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42238A" w14:paraId="640EF750" w14:textId="77777777" w:rsidTr="00F01738">
        <w:trPr>
          <w:trHeight w:hRule="exact" w:val="851"/>
        </w:trPr>
        <w:tc>
          <w:tcPr>
            <w:tcW w:w="1276" w:type="dxa"/>
            <w:tcBorders>
              <w:bottom w:val="single" w:sz="4" w:space="0" w:color="auto"/>
            </w:tcBorders>
          </w:tcPr>
          <w:p w14:paraId="580DD528" w14:textId="77777777" w:rsidR="00132EA9" w:rsidRPr="00AB4C5F" w:rsidRDefault="00132EA9" w:rsidP="00F01738">
            <w:pPr>
              <w:rPr>
                <w:lang w:val="fr-FR"/>
              </w:rPr>
            </w:pPr>
          </w:p>
        </w:tc>
        <w:tc>
          <w:tcPr>
            <w:tcW w:w="2268" w:type="dxa"/>
            <w:tcBorders>
              <w:bottom w:val="single" w:sz="4" w:space="0" w:color="auto"/>
            </w:tcBorders>
            <w:vAlign w:val="bottom"/>
          </w:tcPr>
          <w:p w14:paraId="25B74F8D" w14:textId="77777777" w:rsidR="00132EA9" w:rsidRPr="00AB4C5F" w:rsidRDefault="00132EA9" w:rsidP="00F01738">
            <w:pPr>
              <w:spacing w:after="80" w:line="300" w:lineRule="exact"/>
              <w:rPr>
                <w:sz w:val="28"/>
                <w:lang w:val="fr-FR"/>
              </w:rPr>
            </w:pPr>
            <w:r w:rsidRPr="00AB4C5F">
              <w:rPr>
                <w:sz w:val="28"/>
                <w:lang w:val="fr-FR"/>
              </w:rPr>
              <w:t>Nations Unies</w:t>
            </w:r>
          </w:p>
        </w:tc>
        <w:tc>
          <w:tcPr>
            <w:tcW w:w="6095" w:type="dxa"/>
            <w:gridSpan w:val="2"/>
            <w:tcBorders>
              <w:bottom w:val="single" w:sz="4" w:space="0" w:color="auto"/>
            </w:tcBorders>
            <w:vAlign w:val="bottom"/>
          </w:tcPr>
          <w:p w14:paraId="0473A85F" w14:textId="77777777" w:rsidR="00132EA9" w:rsidRPr="00AB4C5F" w:rsidRDefault="00EB43DF" w:rsidP="00EB43DF">
            <w:pPr>
              <w:jc w:val="right"/>
              <w:rPr>
                <w:lang w:val="fr-FR"/>
              </w:rPr>
            </w:pPr>
            <w:r w:rsidRPr="00AB4C5F">
              <w:rPr>
                <w:sz w:val="40"/>
                <w:lang w:val="fr-FR"/>
              </w:rPr>
              <w:t>ST</w:t>
            </w:r>
            <w:r w:rsidRPr="00AB4C5F">
              <w:rPr>
                <w:lang w:val="fr-FR"/>
              </w:rPr>
              <w:t>/SG/AC.10/48/Add.1</w:t>
            </w:r>
          </w:p>
        </w:tc>
      </w:tr>
      <w:tr w:rsidR="00132EA9" w:rsidRPr="0042238A" w14:paraId="0DA483DB" w14:textId="77777777" w:rsidTr="00F01738">
        <w:trPr>
          <w:trHeight w:hRule="exact" w:val="2835"/>
        </w:trPr>
        <w:tc>
          <w:tcPr>
            <w:tcW w:w="1276" w:type="dxa"/>
            <w:tcBorders>
              <w:top w:val="single" w:sz="4" w:space="0" w:color="auto"/>
              <w:bottom w:val="single" w:sz="12" w:space="0" w:color="auto"/>
            </w:tcBorders>
          </w:tcPr>
          <w:p w14:paraId="2D3297BF" w14:textId="77777777" w:rsidR="00132EA9" w:rsidRPr="00AB4C5F" w:rsidRDefault="00132EA9" w:rsidP="00F01738">
            <w:pPr>
              <w:spacing w:before="120"/>
              <w:jc w:val="center"/>
              <w:rPr>
                <w:lang w:val="fr-FR"/>
              </w:rPr>
            </w:pPr>
            <w:r w:rsidRPr="00AB4C5F">
              <w:rPr>
                <w:noProof/>
                <w:lang w:val="fr-FR" w:eastAsia="fr-CH"/>
              </w:rPr>
              <w:drawing>
                <wp:inline distT="0" distB="0" distL="0" distR="0" wp14:anchorId="249072EF" wp14:editId="549607A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F45282" w14:textId="77777777" w:rsidR="00132EA9" w:rsidRPr="00AB4C5F" w:rsidRDefault="00132EA9" w:rsidP="00F01738">
            <w:pPr>
              <w:spacing w:before="120" w:line="420" w:lineRule="exact"/>
              <w:rPr>
                <w:b/>
                <w:sz w:val="40"/>
                <w:szCs w:val="40"/>
                <w:lang w:val="fr-FR"/>
              </w:rPr>
            </w:pPr>
            <w:r w:rsidRPr="00AB4C5F">
              <w:rPr>
                <w:b/>
                <w:sz w:val="40"/>
                <w:szCs w:val="40"/>
                <w:lang w:val="fr-FR"/>
              </w:rPr>
              <w:t>Secrétariat</w:t>
            </w:r>
          </w:p>
        </w:tc>
        <w:tc>
          <w:tcPr>
            <w:tcW w:w="2835" w:type="dxa"/>
            <w:tcBorders>
              <w:top w:val="single" w:sz="4" w:space="0" w:color="auto"/>
              <w:bottom w:val="single" w:sz="12" w:space="0" w:color="auto"/>
            </w:tcBorders>
          </w:tcPr>
          <w:p w14:paraId="200DE9B8" w14:textId="77777777" w:rsidR="00132EA9" w:rsidRPr="00117EB5" w:rsidRDefault="00EB43DF" w:rsidP="00EB43DF">
            <w:pPr>
              <w:spacing w:before="240" w:line="240" w:lineRule="exact"/>
              <w:rPr>
                <w:lang w:val="fr-FR"/>
              </w:rPr>
            </w:pPr>
            <w:proofErr w:type="spellStart"/>
            <w:r w:rsidRPr="00117EB5">
              <w:rPr>
                <w:lang w:val="fr-FR"/>
              </w:rPr>
              <w:t>Distr</w:t>
            </w:r>
            <w:proofErr w:type="spellEnd"/>
            <w:r w:rsidRPr="00117EB5">
              <w:rPr>
                <w:lang w:val="fr-FR"/>
              </w:rPr>
              <w:t>. générale</w:t>
            </w:r>
          </w:p>
          <w:p w14:paraId="50CBFCED" w14:textId="3723E512" w:rsidR="00EB43DF" w:rsidRPr="00117EB5" w:rsidRDefault="00117EB5" w:rsidP="00EB43DF">
            <w:pPr>
              <w:spacing w:line="240" w:lineRule="exact"/>
              <w:rPr>
                <w:lang w:val="fr-FR"/>
              </w:rPr>
            </w:pPr>
            <w:r>
              <w:rPr>
                <w:lang w:val="fr-FR"/>
              </w:rPr>
              <w:t>4</w:t>
            </w:r>
            <w:r w:rsidR="00EB43DF" w:rsidRPr="00117EB5">
              <w:rPr>
                <w:lang w:val="fr-FR"/>
              </w:rPr>
              <w:t xml:space="preserve"> </w:t>
            </w:r>
            <w:r w:rsidR="008F0111" w:rsidRPr="00117EB5">
              <w:rPr>
                <w:lang w:val="fr-FR"/>
              </w:rPr>
              <w:t>mars</w:t>
            </w:r>
            <w:r w:rsidR="00EB43DF" w:rsidRPr="00117EB5">
              <w:rPr>
                <w:lang w:val="fr-FR"/>
              </w:rPr>
              <w:t xml:space="preserve"> 2021</w:t>
            </w:r>
          </w:p>
          <w:p w14:paraId="3CB2FC12" w14:textId="3928E6F1" w:rsidR="00EB43DF" w:rsidRPr="00117EB5" w:rsidRDefault="008F0111" w:rsidP="00EB43DF">
            <w:pPr>
              <w:spacing w:line="240" w:lineRule="exact"/>
              <w:rPr>
                <w:lang w:val="fr-FR"/>
              </w:rPr>
            </w:pPr>
            <w:r w:rsidRPr="00117EB5">
              <w:rPr>
                <w:lang w:val="fr-FR"/>
              </w:rPr>
              <w:t>Français</w:t>
            </w:r>
          </w:p>
          <w:p w14:paraId="397D0E90" w14:textId="18C377B8" w:rsidR="00EB43DF" w:rsidRPr="00AB4C5F" w:rsidRDefault="00EB43DF" w:rsidP="00EB43DF">
            <w:pPr>
              <w:spacing w:line="240" w:lineRule="exact"/>
              <w:rPr>
                <w:lang w:val="fr-FR"/>
              </w:rPr>
            </w:pPr>
            <w:r w:rsidRPr="00117EB5">
              <w:rPr>
                <w:lang w:val="fr-FR"/>
              </w:rPr>
              <w:t xml:space="preserve">Original : </w:t>
            </w:r>
            <w:r w:rsidR="008F0111" w:rsidRPr="00117EB5">
              <w:rPr>
                <w:lang w:val="fr-FR"/>
              </w:rPr>
              <w:t xml:space="preserve">anglais et </w:t>
            </w:r>
            <w:r w:rsidRPr="00117EB5">
              <w:rPr>
                <w:lang w:val="fr-FR"/>
              </w:rPr>
              <w:t>français</w:t>
            </w:r>
          </w:p>
        </w:tc>
      </w:tr>
    </w:tbl>
    <w:p w14:paraId="31518CCA" w14:textId="77777777" w:rsidR="00EB43DF" w:rsidRPr="0042238A" w:rsidRDefault="00EB43DF" w:rsidP="007513FE">
      <w:pPr>
        <w:spacing w:before="120"/>
        <w:rPr>
          <w:b/>
          <w:sz w:val="24"/>
          <w:szCs w:val="24"/>
          <w:lang w:val="fr-FR"/>
        </w:rPr>
      </w:pPr>
      <w:r w:rsidRPr="0042238A">
        <w:rPr>
          <w:b/>
          <w:sz w:val="24"/>
          <w:szCs w:val="24"/>
          <w:lang w:val="fr-FR"/>
        </w:rPr>
        <w:t>Comité d’experts du transport des marchandises dangereuses</w:t>
      </w:r>
      <w:r w:rsidRPr="0042238A">
        <w:rPr>
          <w:b/>
          <w:sz w:val="24"/>
          <w:szCs w:val="24"/>
          <w:lang w:val="fr-FR"/>
        </w:rPr>
        <w:br/>
        <w:t>et du Système général harmonisé de classification</w:t>
      </w:r>
      <w:r w:rsidRPr="0042238A">
        <w:rPr>
          <w:b/>
          <w:sz w:val="24"/>
          <w:szCs w:val="24"/>
          <w:lang w:val="fr-FR"/>
        </w:rPr>
        <w:br/>
        <w:t>et d’étiquetage des produits chimiques</w:t>
      </w:r>
    </w:p>
    <w:p w14:paraId="77797683" w14:textId="2E0ED838" w:rsidR="00555B27" w:rsidRPr="00AB4C5F" w:rsidRDefault="00555B27" w:rsidP="00555B27">
      <w:pPr>
        <w:pStyle w:val="HChG"/>
        <w:rPr>
          <w:bCs/>
          <w:lang w:val="fr-FR"/>
        </w:rPr>
      </w:pPr>
      <w:r w:rsidRPr="0042238A">
        <w:rPr>
          <w:sz w:val="20"/>
          <w:lang w:val="fr-FR"/>
        </w:rPr>
        <w:tab/>
      </w:r>
      <w:r w:rsidRPr="0042238A">
        <w:rPr>
          <w:sz w:val="20"/>
          <w:lang w:val="fr-FR"/>
        </w:rPr>
        <w:tab/>
      </w:r>
      <w:r w:rsidRPr="00AB4C5F">
        <w:rPr>
          <w:bCs/>
          <w:lang w:val="fr-FR"/>
        </w:rPr>
        <w:t xml:space="preserve">Rapport du Comité d’experts du transport des marchandises dangereuses et du système général harmonisé de classification et d’étiquetage des produits chimiques sur sa dixième session </w:t>
      </w:r>
    </w:p>
    <w:p w14:paraId="09C46DAA" w14:textId="03078242" w:rsidR="00555B27" w:rsidRPr="00AB4C5F" w:rsidRDefault="00555B27" w:rsidP="00555B27">
      <w:pPr>
        <w:pStyle w:val="H56G"/>
        <w:rPr>
          <w:lang w:val="fr-FR"/>
        </w:rPr>
      </w:pPr>
      <w:r w:rsidRPr="00AB4C5F">
        <w:rPr>
          <w:lang w:val="fr-FR"/>
        </w:rPr>
        <w:tab/>
      </w:r>
      <w:r w:rsidRPr="00AB4C5F">
        <w:rPr>
          <w:lang w:val="fr-FR"/>
        </w:rPr>
        <w:tab/>
        <w:t xml:space="preserve">tenue à Genève le </w:t>
      </w:r>
      <w:r w:rsidR="00F20A02" w:rsidRPr="00AB4C5F">
        <w:rPr>
          <w:lang w:val="fr-FR"/>
        </w:rPr>
        <w:t>11</w:t>
      </w:r>
      <w:r w:rsidRPr="00AB4C5F">
        <w:rPr>
          <w:lang w:val="fr-FR"/>
        </w:rPr>
        <w:t xml:space="preserve"> décembre 20</w:t>
      </w:r>
      <w:r w:rsidR="00F20A02" w:rsidRPr="00AB4C5F">
        <w:rPr>
          <w:lang w:val="fr-FR"/>
        </w:rPr>
        <w:t>20</w:t>
      </w:r>
    </w:p>
    <w:p w14:paraId="4FAFBFCA" w14:textId="77777777" w:rsidR="00555B27" w:rsidRPr="00AB4C5F" w:rsidRDefault="00555B27" w:rsidP="00555B27">
      <w:pPr>
        <w:pStyle w:val="H23G"/>
        <w:rPr>
          <w:lang w:val="fr-FR"/>
        </w:rPr>
      </w:pPr>
      <w:r w:rsidRPr="00AB4C5F">
        <w:rPr>
          <w:lang w:val="fr-FR"/>
        </w:rPr>
        <w:tab/>
      </w:r>
      <w:r w:rsidRPr="00AB4C5F">
        <w:rPr>
          <w:lang w:val="fr-FR"/>
        </w:rPr>
        <w:tab/>
        <w:t>Additif</w:t>
      </w:r>
    </w:p>
    <w:p w14:paraId="245D8898" w14:textId="77777777" w:rsidR="00555B27" w:rsidRPr="00AB4C5F" w:rsidRDefault="00555B27" w:rsidP="00555B27">
      <w:pPr>
        <w:pStyle w:val="H1G"/>
        <w:rPr>
          <w:lang w:val="fr-FR"/>
        </w:rPr>
      </w:pPr>
      <w:r w:rsidRPr="00AB4C5F">
        <w:rPr>
          <w:lang w:val="fr-FR"/>
        </w:rPr>
        <w:tab/>
      </w:r>
      <w:r w:rsidRPr="00AB4C5F">
        <w:rPr>
          <w:lang w:val="fr-FR"/>
        </w:rPr>
        <w:tab/>
        <w:t>Annexe I</w:t>
      </w:r>
    </w:p>
    <w:p w14:paraId="334DEB63" w14:textId="1966A44A" w:rsidR="00555B27" w:rsidRPr="00AB4C5F" w:rsidRDefault="00555B27" w:rsidP="00555B27">
      <w:pPr>
        <w:pStyle w:val="H1G"/>
        <w:rPr>
          <w:lang w:val="fr-FR"/>
        </w:rPr>
      </w:pPr>
      <w:r w:rsidRPr="00AB4C5F">
        <w:rPr>
          <w:lang w:val="fr-FR"/>
        </w:rPr>
        <w:tab/>
      </w:r>
      <w:r w:rsidRPr="00AB4C5F">
        <w:rPr>
          <w:lang w:val="fr-FR"/>
        </w:rPr>
        <w:tab/>
        <w:t>Amendements à la vingtième</w:t>
      </w:r>
      <w:r w:rsidR="00F20A02" w:rsidRPr="00AB4C5F">
        <w:rPr>
          <w:lang w:val="fr-FR"/>
        </w:rPr>
        <w:t xml:space="preserve"> et unième</w:t>
      </w:r>
      <w:r w:rsidRPr="00AB4C5F">
        <w:rPr>
          <w:lang w:val="fr-FR"/>
        </w:rPr>
        <w:t xml:space="preserve"> édition révisée des Recommandations relatives au transport des marchandises dangereuses, Règlement Type (ST/SG/AC.10/1/Rev.2</w:t>
      </w:r>
      <w:r w:rsidR="00F20A02" w:rsidRPr="00AB4C5F">
        <w:rPr>
          <w:lang w:val="fr-FR"/>
        </w:rPr>
        <w:t>1</w:t>
      </w:r>
      <w:r w:rsidRPr="00AB4C5F">
        <w:rPr>
          <w:lang w:val="fr-FR"/>
        </w:rPr>
        <w:t>)</w:t>
      </w:r>
    </w:p>
    <w:p w14:paraId="7B631E5B" w14:textId="319F9535" w:rsidR="00F20A02" w:rsidRPr="008F0111" w:rsidRDefault="00F20A02">
      <w:pPr>
        <w:suppressAutoHyphens w:val="0"/>
        <w:kinsoku/>
        <w:overflowPunct/>
        <w:autoSpaceDE/>
        <w:autoSpaceDN/>
        <w:adjustRightInd/>
        <w:snapToGrid/>
        <w:spacing w:after="200" w:line="276" w:lineRule="auto"/>
        <w:rPr>
          <w:lang w:val="fr-FR"/>
        </w:rPr>
      </w:pPr>
      <w:r w:rsidRPr="008F0111">
        <w:rPr>
          <w:lang w:val="fr-FR"/>
        </w:rPr>
        <w:br w:type="page"/>
      </w:r>
    </w:p>
    <w:p w14:paraId="19B92F58" w14:textId="77777777" w:rsidR="00A54B3C" w:rsidRPr="00A54B3C" w:rsidRDefault="00A54B3C" w:rsidP="00A54B3C">
      <w:pPr>
        <w:keepNext/>
        <w:keepLines/>
        <w:tabs>
          <w:tab w:val="right" w:pos="851"/>
        </w:tabs>
        <w:kinsoku/>
        <w:overflowPunct/>
        <w:autoSpaceDE/>
        <w:autoSpaceDN/>
        <w:adjustRightInd/>
        <w:snapToGrid/>
        <w:spacing w:before="360" w:after="240" w:line="270" w:lineRule="exact"/>
        <w:ind w:left="1134" w:right="1134" w:hanging="1134"/>
        <w:rPr>
          <w:b/>
          <w:sz w:val="24"/>
          <w:lang w:eastAsia="en-US"/>
        </w:rPr>
      </w:pPr>
      <w:r w:rsidRPr="00A54B3C">
        <w:rPr>
          <w:b/>
          <w:sz w:val="24"/>
          <w:lang w:eastAsia="en-US"/>
        </w:rPr>
        <w:lastRenderedPageBreak/>
        <w:tab/>
      </w:r>
      <w:r w:rsidRPr="00A54B3C">
        <w:rPr>
          <w:b/>
          <w:sz w:val="24"/>
          <w:lang w:eastAsia="en-US"/>
        </w:rPr>
        <w:tab/>
        <w:t>Recommandations</w:t>
      </w:r>
    </w:p>
    <w:p w14:paraId="475E78EE" w14:textId="15F31BF5" w:rsidR="00A54B3C" w:rsidRPr="00A54B3C" w:rsidRDefault="00A54B3C" w:rsidP="00A54B3C">
      <w:pPr>
        <w:kinsoku/>
        <w:overflowPunct/>
        <w:autoSpaceDE/>
        <w:autoSpaceDN/>
        <w:adjustRightInd/>
        <w:snapToGrid/>
        <w:spacing w:after="120"/>
        <w:ind w:left="1134" w:right="1134"/>
        <w:jc w:val="both"/>
        <w:rPr>
          <w:lang w:eastAsia="en-GB"/>
        </w:rPr>
      </w:pPr>
      <w:r w:rsidRPr="00A54B3C">
        <w:rPr>
          <w:lang w:eastAsia="en-GB"/>
        </w:rPr>
        <w:t>Paragraphe 8</w:t>
      </w:r>
      <w:r w:rsidRPr="00A54B3C">
        <w:rPr>
          <w:lang w:eastAsia="en-GB"/>
        </w:rPr>
        <w:tab/>
      </w:r>
      <w:r w:rsidRPr="00A54B3C">
        <w:rPr>
          <w:lang w:eastAsia="en-GB"/>
        </w:rPr>
        <w:tab/>
        <w:t>Après «</w:t>
      </w:r>
      <w:r>
        <w:rPr>
          <w:lang w:eastAsia="en-GB"/>
        </w:rPr>
        <w:t> </w:t>
      </w:r>
      <w:r w:rsidRPr="00A54B3C">
        <w:rPr>
          <w:lang w:eastAsia="en-GB"/>
        </w:rPr>
        <w:t>ST/SG/AC.10/11/Rev.</w:t>
      </w:r>
      <w:r>
        <w:rPr>
          <w:lang w:eastAsia="en-GB"/>
        </w:rPr>
        <w:t>7 </w:t>
      </w:r>
      <w:r w:rsidRPr="00A54B3C">
        <w:rPr>
          <w:lang w:eastAsia="en-GB"/>
        </w:rPr>
        <w:t>» ajouter «</w:t>
      </w:r>
      <w:r>
        <w:rPr>
          <w:lang w:eastAsia="en-GB"/>
        </w:rPr>
        <w:t> </w:t>
      </w:r>
      <w:r w:rsidRPr="00A54B3C">
        <w:rPr>
          <w:lang w:eastAsia="en-GB"/>
        </w:rPr>
        <w:t>et Amend.1</w:t>
      </w:r>
      <w:r>
        <w:rPr>
          <w:lang w:eastAsia="en-GB"/>
        </w:rPr>
        <w:t> </w:t>
      </w:r>
      <w:r w:rsidRPr="00A54B3C">
        <w:rPr>
          <w:lang w:eastAsia="en-GB"/>
        </w:rPr>
        <w:t>».</w:t>
      </w:r>
    </w:p>
    <w:p w14:paraId="0137164D" w14:textId="77777777" w:rsidR="0031764F" w:rsidRPr="0031764F" w:rsidRDefault="0031764F" w:rsidP="0031764F">
      <w:pPr>
        <w:keepNext/>
        <w:keepLines/>
        <w:tabs>
          <w:tab w:val="right" w:pos="851"/>
        </w:tabs>
        <w:kinsoku/>
        <w:overflowPunct/>
        <w:autoSpaceDE/>
        <w:autoSpaceDN/>
        <w:adjustRightInd/>
        <w:snapToGrid/>
        <w:spacing w:before="360" w:after="240" w:line="270" w:lineRule="exact"/>
        <w:ind w:left="1134" w:right="1134" w:hanging="1134"/>
        <w:rPr>
          <w:b/>
          <w:sz w:val="24"/>
          <w:lang w:eastAsia="en-US"/>
        </w:rPr>
      </w:pPr>
      <w:r w:rsidRPr="0031764F">
        <w:rPr>
          <w:b/>
          <w:sz w:val="24"/>
          <w:lang w:val="fr-FR" w:eastAsia="en-US"/>
        </w:rPr>
        <w:tab/>
      </w:r>
      <w:r w:rsidRPr="0031764F">
        <w:rPr>
          <w:b/>
          <w:sz w:val="24"/>
          <w:lang w:val="fr-FR" w:eastAsia="en-US"/>
        </w:rPr>
        <w:tab/>
        <w:t>Chapitre 1.1</w:t>
      </w:r>
    </w:p>
    <w:p w14:paraId="395F26C5" w14:textId="2E9B9104" w:rsidR="0031764F" w:rsidRPr="0031764F" w:rsidRDefault="0031764F" w:rsidP="0031764F">
      <w:pPr>
        <w:kinsoku/>
        <w:overflowPunct/>
        <w:autoSpaceDE/>
        <w:autoSpaceDN/>
        <w:adjustRightInd/>
        <w:snapToGrid/>
        <w:spacing w:after="120"/>
        <w:ind w:left="1134" w:right="1134"/>
        <w:jc w:val="both"/>
        <w:rPr>
          <w:lang w:eastAsia="en-GB"/>
        </w:rPr>
      </w:pPr>
      <w:r w:rsidRPr="0031764F">
        <w:rPr>
          <w:lang w:eastAsia="en-US"/>
        </w:rPr>
        <w:t xml:space="preserve">Dans le Nota 1, </w:t>
      </w:r>
      <w:r w:rsidRPr="0031764F">
        <w:rPr>
          <w:lang w:eastAsia="en-GB"/>
        </w:rPr>
        <w:t>après «</w:t>
      </w:r>
      <w:r>
        <w:rPr>
          <w:lang w:eastAsia="en-GB"/>
        </w:rPr>
        <w:t> </w:t>
      </w:r>
      <w:r w:rsidRPr="0031764F">
        <w:rPr>
          <w:lang w:eastAsia="en-GB"/>
        </w:rPr>
        <w:t>ST/SG/AC.10/11/Rev.</w:t>
      </w:r>
      <w:r>
        <w:rPr>
          <w:lang w:eastAsia="en-GB"/>
        </w:rPr>
        <w:t>7 </w:t>
      </w:r>
      <w:r w:rsidRPr="0031764F">
        <w:rPr>
          <w:lang w:eastAsia="en-GB"/>
        </w:rPr>
        <w:t>» ajouter «</w:t>
      </w:r>
      <w:r>
        <w:rPr>
          <w:lang w:eastAsia="en-GB"/>
        </w:rPr>
        <w:t> </w:t>
      </w:r>
      <w:r w:rsidRPr="0031764F">
        <w:rPr>
          <w:lang w:eastAsia="en-GB"/>
        </w:rPr>
        <w:t>et Amend.1</w:t>
      </w:r>
      <w:r>
        <w:rPr>
          <w:lang w:eastAsia="en-GB"/>
        </w:rPr>
        <w:t> </w:t>
      </w:r>
      <w:r w:rsidRPr="0031764F">
        <w:rPr>
          <w:lang w:eastAsia="en-GB"/>
        </w:rPr>
        <w:t>».</w:t>
      </w:r>
    </w:p>
    <w:p w14:paraId="72BC92C1" w14:textId="77777777" w:rsidR="00CC7A90" w:rsidRPr="0042238A" w:rsidRDefault="00CC7A90" w:rsidP="00CC7A90">
      <w:pPr>
        <w:pStyle w:val="H1G"/>
        <w:rPr>
          <w:lang w:val="fr-FR"/>
        </w:rPr>
      </w:pPr>
      <w:r w:rsidRPr="0042238A">
        <w:rPr>
          <w:lang w:val="fr-FR"/>
        </w:rPr>
        <w:tab/>
      </w:r>
      <w:r w:rsidRPr="0042238A">
        <w:rPr>
          <w:lang w:val="fr-FR"/>
        </w:rPr>
        <w:tab/>
        <w:t>Chapitre 1.2</w:t>
      </w:r>
    </w:p>
    <w:p w14:paraId="4756D845" w14:textId="77777777" w:rsidR="00CC7A90" w:rsidRPr="0042238A" w:rsidRDefault="00CC7A90" w:rsidP="00CC7A90">
      <w:pPr>
        <w:pStyle w:val="SingleTxtG"/>
        <w:spacing w:before="120"/>
        <w:ind w:left="2268" w:hanging="1134"/>
        <w:rPr>
          <w:lang w:val="fr-FR"/>
        </w:rPr>
      </w:pPr>
      <w:r w:rsidRPr="0042238A">
        <w:rPr>
          <w:lang w:val="fr-FR"/>
        </w:rPr>
        <w:t xml:space="preserve">1.2.1 </w:t>
      </w:r>
      <w:r w:rsidRPr="0042238A">
        <w:rPr>
          <w:lang w:val="fr-FR"/>
        </w:rPr>
        <w:tab/>
        <w:t>Dans la définition de « </w:t>
      </w:r>
      <w:r w:rsidRPr="0042238A">
        <w:rPr>
          <w:i/>
          <w:iCs/>
          <w:lang w:val="fr-FR"/>
        </w:rPr>
        <w:t>Cadre de bouteilles</w:t>
      </w:r>
      <w:r w:rsidRPr="0042238A">
        <w:rPr>
          <w:lang w:val="fr-FR"/>
        </w:rPr>
        <w:t xml:space="preserve"> », remplacer « un ensemble de bouteilles » par « un récipient à pression comprenant un ensemble de bouteilles ou d’enveloppes de bouteilles ». </w:t>
      </w:r>
    </w:p>
    <w:p w14:paraId="411F7EAF" w14:textId="1BFE3DDB" w:rsidR="00887CDD" w:rsidRPr="0042238A" w:rsidRDefault="00724CF2" w:rsidP="00CE03C0">
      <w:pPr>
        <w:tabs>
          <w:tab w:val="left" w:pos="2268"/>
        </w:tabs>
        <w:kinsoku/>
        <w:overflowPunct/>
        <w:autoSpaceDE/>
        <w:adjustRightInd/>
        <w:snapToGrid/>
        <w:spacing w:after="120"/>
        <w:ind w:left="2268" w:right="1134" w:hanging="1134"/>
        <w:jc w:val="both"/>
        <w:rPr>
          <w:lang w:val="fr-FR" w:eastAsia="en-US"/>
        </w:rPr>
      </w:pPr>
      <w:r w:rsidRPr="0042238A">
        <w:rPr>
          <w:lang w:val="fr-FR" w:eastAsia="en-US"/>
        </w:rPr>
        <w:tab/>
      </w:r>
      <w:r w:rsidRPr="0042238A">
        <w:rPr>
          <w:lang w:val="fr-FR"/>
        </w:rPr>
        <w:t>Dans la définition de « </w:t>
      </w:r>
      <w:r w:rsidRPr="0042238A">
        <w:rPr>
          <w:i/>
          <w:iCs/>
          <w:lang w:val="fr-FR"/>
        </w:rPr>
        <w:t>Citerne</w:t>
      </w:r>
      <w:r w:rsidRPr="0042238A">
        <w:rPr>
          <w:lang w:val="fr-FR"/>
        </w:rPr>
        <w:t> », supprimer « (voir 6.7.2.1) ».</w:t>
      </w:r>
    </w:p>
    <w:p w14:paraId="58F56D63" w14:textId="0397A8A5" w:rsidR="00CE03C0" w:rsidRPr="0042238A" w:rsidRDefault="00CE03C0" w:rsidP="00CE03C0">
      <w:pPr>
        <w:tabs>
          <w:tab w:val="left" w:pos="2268"/>
        </w:tabs>
        <w:kinsoku/>
        <w:overflowPunct/>
        <w:autoSpaceDE/>
        <w:adjustRightInd/>
        <w:snapToGrid/>
        <w:spacing w:after="120"/>
        <w:ind w:left="2268" w:right="1134" w:hanging="1134"/>
        <w:jc w:val="both"/>
        <w:rPr>
          <w:lang w:val="fr-FR" w:eastAsia="en-US"/>
        </w:rPr>
      </w:pPr>
      <w:r w:rsidRPr="0042238A">
        <w:rPr>
          <w:lang w:val="fr-FR" w:eastAsia="en-US"/>
        </w:rPr>
        <w:tab/>
        <w:t>Dans la définition de « </w:t>
      </w:r>
      <w:r w:rsidRPr="0042238A">
        <w:rPr>
          <w:i/>
          <w:iCs/>
          <w:lang w:val="fr-FR" w:eastAsia="en-US"/>
        </w:rPr>
        <w:t>Matières plastiques recyclées</w:t>
      </w:r>
      <w:r w:rsidRPr="0042238A">
        <w:rPr>
          <w:lang w:val="fr-FR" w:eastAsia="en-US"/>
        </w:rPr>
        <w:t xml:space="preserve"> », à la fin du NOTA, </w:t>
      </w:r>
      <w:r w:rsidRPr="0042238A">
        <w:rPr>
          <w:lang w:val="fr-FR" w:eastAsia="en-US"/>
        </w:rPr>
        <w:tab/>
        <w:t>ajouter la nouvelle phrase suivante : « </w:t>
      </w:r>
      <w:r w:rsidRPr="0042238A">
        <w:rPr>
          <w:i/>
          <w:iCs/>
          <w:lang w:val="fr-FR" w:eastAsia="en-US"/>
        </w:rPr>
        <w:t>Ces indications supplémentaires ont été élaborées sur la base de l’expérience acquise dans la fabrication de fûts et de bidons à partir de matières plastiques recyclées et, à ce titre, elles devront peut-être être adaptées à d’autres types d’emballages, GRV et grands emballages en matière plastique recyclée.</w:t>
      </w:r>
      <w:r w:rsidRPr="0042238A">
        <w:rPr>
          <w:lang w:val="fr-FR" w:eastAsia="en-US"/>
        </w:rPr>
        <w:t> ».</w:t>
      </w:r>
    </w:p>
    <w:p w14:paraId="2C1EA10F" w14:textId="25520ED0" w:rsidR="00CC7A90" w:rsidRPr="0042238A" w:rsidRDefault="00CC7A90" w:rsidP="00CC7A90">
      <w:pPr>
        <w:pStyle w:val="SingleTxtG"/>
        <w:spacing w:before="120"/>
        <w:ind w:left="2268" w:hanging="1134"/>
        <w:rPr>
          <w:lang w:val="fr-FR"/>
        </w:rPr>
      </w:pPr>
      <w:r w:rsidRPr="0042238A">
        <w:rPr>
          <w:lang w:val="fr-FR"/>
        </w:rPr>
        <w:tab/>
        <w:t xml:space="preserve">Ajouter le nouveau Nota suivant sous la définition de </w:t>
      </w:r>
      <w:r w:rsidR="003C03D0" w:rsidRPr="0042238A">
        <w:rPr>
          <w:lang w:val="fr-FR"/>
        </w:rPr>
        <w:t>« </w:t>
      </w:r>
      <w:r w:rsidR="003C03D0" w:rsidRPr="0042238A">
        <w:rPr>
          <w:i/>
          <w:iCs/>
          <w:lang w:val="fr-FR"/>
        </w:rPr>
        <w:t>Fermeture</w:t>
      </w:r>
      <w:r w:rsidR="003C03D0" w:rsidRPr="0042238A">
        <w:rPr>
          <w:lang w:val="fr-FR"/>
        </w:rPr>
        <w:t> »</w:t>
      </w:r>
      <w:r w:rsidRPr="0042238A">
        <w:rPr>
          <w:lang w:val="fr-FR"/>
        </w:rPr>
        <w:t> :</w:t>
      </w:r>
    </w:p>
    <w:p w14:paraId="2E1585A8" w14:textId="77777777" w:rsidR="00CC7A90" w:rsidRPr="0042238A" w:rsidRDefault="00CC7A90" w:rsidP="00CC7A90">
      <w:pPr>
        <w:pStyle w:val="SingleTxtG"/>
        <w:rPr>
          <w:lang w:val="fr-FR"/>
        </w:rPr>
      </w:pPr>
      <w:r w:rsidRPr="0042238A">
        <w:rPr>
          <w:b/>
          <w:i/>
          <w:iCs/>
          <w:lang w:val="fr-FR"/>
        </w:rPr>
        <w:t>« NOTA</w:t>
      </w:r>
      <w:r w:rsidRPr="0042238A">
        <w:rPr>
          <w:i/>
          <w:iCs/>
          <w:lang w:val="fr-FR"/>
        </w:rPr>
        <w:t> </w:t>
      </w:r>
      <w:r w:rsidRPr="0042238A">
        <w:rPr>
          <w:b/>
          <w:bCs/>
          <w:i/>
          <w:iCs/>
          <w:lang w:val="fr-FR"/>
        </w:rPr>
        <w:t>:</w:t>
      </w:r>
      <w:r w:rsidRPr="0042238A">
        <w:rPr>
          <w:i/>
          <w:iCs/>
          <w:lang w:val="fr-FR"/>
        </w:rPr>
        <w:t xml:space="preserve"> Dans le cas des récipients à pression, le terme “fermetures” désigne par exemple les robinets, les dispositifs de décompression, les manomètres ou encore les jauges de niveau</w:t>
      </w:r>
      <w:r w:rsidRPr="0042238A">
        <w:rPr>
          <w:lang w:val="fr-FR"/>
        </w:rPr>
        <w:t>. ».</w:t>
      </w:r>
    </w:p>
    <w:p w14:paraId="223753D2" w14:textId="7DA0A684" w:rsidR="00837C6D" w:rsidRPr="0042238A" w:rsidRDefault="00CC7A90" w:rsidP="00CC7A90">
      <w:pPr>
        <w:pStyle w:val="SingleTxtG"/>
        <w:spacing w:before="120"/>
        <w:ind w:left="2268" w:hanging="1134"/>
        <w:rPr>
          <w:lang w:val="fr-FR"/>
        </w:rPr>
      </w:pPr>
      <w:bookmarkStart w:id="0" w:name="_Hlk8280737"/>
      <w:r w:rsidRPr="0042238A">
        <w:rPr>
          <w:lang w:val="fr-FR"/>
        </w:rPr>
        <w:tab/>
      </w:r>
      <w:r w:rsidR="00DC2C8E" w:rsidRPr="0042238A">
        <w:rPr>
          <w:lang w:val="fr-FR"/>
        </w:rPr>
        <w:t xml:space="preserve">Modifier </w:t>
      </w:r>
      <w:r w:rsidRPr="0042238A">
        <w:rPr>
          <w:lang w:val="fr-FR"/>
        </w:rPr>
        <w:t>la définition de « </w:t>
      </w:r>
      <w:r w:rsidRPr="0042238A">
        <w:rPr>
          <w:i/>
          <w:iCs/>
          <w:lang w:val="fr-FR"/>
        </w:rPr>
        <w:t>Récipient cryogénique</w:t>
      </w:r>
      <w:r w:rsidRPr="0042238A">
        <w:rPr>
          <w:lang w:val="fr-FR"/>
        </w:rPr>
        <w:t> »</w:t>
      </w:r>
      <w:r w:rsidR="00837C6D" w:rsidRPr="0042238A">
        <w:rPr>
          <w:lang w:val="fr-FR"/>
        </w:rPr>
        <w:t xml:space="preserve"> pour lire comme suit :</w:t>
      </w:r>
    </w:p>
    <w:p w14:paraId="3EC8A74E" w14:textId="342F9F71" w:rsidR="00837C6D" w:rsidRDefault="007272A3" w:rsidP="004F2779">
      <w:pPr>
        <w:pStyle w:val="SingleTxtG"/>
        <w:spacing w:before="120"/>
        <w:rPr>
          <w:lang w:val="fr-FR"/>
        </w:rPr>
      </w:pPr>
      <w:r w:rsidRPr="0042238A">
        <w:rPr>
          <w:i/>
          <w:iCs/>
          <w:lang w:val="fr-FR"/>
        </w:rPr>
        <w:t>« Récipient cryogénique</w:t>
      </w:r>
      <w:r w:rsidR="00C11669" w:rsidRPr="0042238A">
        <w:rPr>
          <w:i/>
          <w:iCs/>
          <w:lang w:val="fr-FR"/>
        </w:rPr>
        <w:t xml:space="preserve"> fermé</w:t>
      </w:r>
      <w:r w:rsidRPr="0042238A">
        <w:rPr>
          <w:lang w:val="fr-FR"/>
        </w:rPr>
        <w:t xml:space="preserve">, un récipient </w:t>
      </w:r>
      <w:r w:rsidR="00C11669" w:rsidRPr="0042238A">
        <w:rPr>
          <w:lang w:val="fr-FR"/>
        </w:rPr>
        <w:t>à pression</w:t>
      </w:r>
      <w:r w:rsidRPr="0042238A">
        <w:rPr>
          <w:lang w:val="fr-FR"/>
        </w:rPr>
        <w:t xml:space="preserve"> isolé thermiquement pour </w:t>
      </w:r>
      <w:r w:rsidRPr="001E73CB">
        <w:rPr>
          <w:lang w:val="fr-FR"/>
        </w:rPr>
        <w:t>le transport de</w:t>
      </w:r>
      <w:r w:rsidRPr="0042238A">
        <w:rPr>
          <w:lang w:val="fr-FR"/>
        </w:rPr>
        <w:t xml:space="preserve"> gaz liquéfiés réfrigérés, d'une contenance en eau ne dépassant pas 1 000 </w:t>
      </w:r>
      <w:r w:rsidRPr="0042238A">
        <w:rPr>
          <w:i/>
          <w:iCs/>
          <w:lang w:val="fr-FR"/>
        </w:rPr>
        <w:t>l</w:t>
      </w:r>
      <w:r w:rsidR="004F2779" w:rsidRPr="0042238A">
        <w:rPr>
          <w:i/>
          <w:iCs/>
          <w:lang w:val="fr-FR"/>
        </w:rPr>
        <w:t> </w:t>
      </w:r>
      <w:r w:rsidRPr="0042238A">
        <w:rPr>
          <w:lang w:val="fr-FR"/>
        </w:rPr>
        <w:t>;</w:t>
      </w:r>
      <w:r w:rsidR="004F2779" w:rsidRPr="0042238A">
        <w:rPr>
          <w:lang w:val="fr-FR"/>
        </w:rPr>
        <w:t> »</w:t>
      </w:r>
    </w:p>
    <w:bookmarkEnd w:id="0"/>
    <w:p w14:paraId="0E310333" w14:textId="5A78168A" w:rsidR="00CC7A90" w:rsidRPr="0042238A" w:rsidRDefault="00CC7A90" w:rsidP="00CC7A90">
      <w:pPr>
        <w:pStyle w:val="SingleTxtG"/>
        <w:spacing w:before="120"/>
        <w:ind w:left="2268" w:hanging="1134"/>
        <w:rPr>
          <w:lang w:val="fr-FR"/>
        </w:rPr>
      </w:pPr>
      <w:r w:rsidRPr="0042238A">
        <w:rPr>
          <w:lang w:val="fr-FR"/>
        </w:rPr>
        <w:tab/>
        <w:t>Dans la définition de « </w:t>
      </w:r>
      <w:r w:rsidRPr="006F20DB">
        <w:rPr>
          <w:i/>
          <w:iCs/>
          <w:lang w:val="fr-FR"/>
        </w:rPr>
        <w:t>Bouteille</w:t>
      </w:r>
      <w:r w:rsidRPr="0042238A">
        <w:rPr>
          <w:lang w:val="fr-FR"/>
        </w:rPr>
        <w:t> », supprimer « transportable ».</w:t>
      </w:r>
    </w:p>
    <w:p w14:paraId="7A4BB878" w14:textId="37AB63AD" w:rsidR="00FC4CFA" w:rsidRPr="00FC4CFA" w:rsidRDefault="00CC7A90" w:rsidP="00FC4CFA">
      <w:pPr>
        <w:pStyle w:val="SingleTxtG"/>
        <w:spacing w:before="120"/>
        <w:ind w:left="2268" w:hanging="1134"/>
        <w:rPr>
          <w:lang w:val="fr-FR"/>
        </w:rPr>
      </w:pPr>
      <w:r w:rsidRPr="0042238A">
        <w:rPr>
          <w:lang w:val="fr-FR"/>
        </w:rPr>
        <w:tab/>
      </w:r>
      <w:r w:rsidR="00FC4CFA" w:rsidRPr="00FC4CFA">
        <w:rPr>
          <w:lang w:val="fr-FR"/>
        </w:rPr>
        <w:t>Dans la définition de «</w:t>
      </w:r>
      <w:r w:rsidR="00FC4CFA">
        <w:rPr>
          <w:lang w:val="fr-FR"/>
        </w:rPr>
        <w:t> </w:t>
      </w:r>
      <w:r w:rsidR="00FC4CFA" w:rsidRPr="006F20DB">
        <w:rPr>
          <w:i/>
          <w:iCs/>
          <w:lang w:val="fr-FR"/>
        </w:rPr>
        <w:t>SGH</w:t>
      </w:r>
      <w:r w:rsidR="00FC4CFA">
        <w:rPr>
          <w:lang w:val="fr-FR"/>
        </w:rPr>
        <w:t> </w:t>
      </w:r>
      <w:r w:rsidR="00FC4CFA" w:rsidRPr="00FC4CFA">
        <w:rPr>
          <w:lang w:val="fr-FR"/>
        </w:rPr>
        <w:t>», remplacer «</w:t>
      </w:r>
      <w:r w:rsidR="00FC4CFA">
        <w:rPr>
          <w:lang w:val="fr-FR"/>
        </w:rPr>
        <w:t> huitième </w:t>
      </w:r>
      <w:r w:rsidR="00FC4CFA" w:rsidRPr="00FC4CFA">
        <w:rPr>
          <w:lang w:val="fr-FR"/>
        </w:rPr>
        <w:t>» par «</w:t>
      </w:r>
      <w:r w:rsidR="00FC4CFA">
        <w:rPr>
          <w:lang w:val="fr-FR"/>
        </w:rPr>
        <w:t> neuvième </w:t>
      </w:r>
      <w:r w:rsidR="00FC4CFA" w:rsidRPr="00FC4CFA">
        <w:rPr>
          <w:lang w:val="fr-FR"/>
        </w:rPr>
        <w:t>» et remplacer «</w:t>
      </w:r>
      <w:r w:rsidR="00FC4CFA">
        <w:rPr>
          <w:lang w:val="fr-FR"/>
        </w:rPr>
        <w:t> </w:t>
      </w:r>
      <w:r w:rsidR="00FC4CFA" w:rsidRPr="00FC4CFA">
        <w:rPr>
          <w:lang w:val="fr-FR"/>
        </w:rPr>
        <w:t>ST/SG/C.10/30/Rev.</w:t>
      </w:r>
      <w:r w:rsidR="00FC4CFA">
        <w:rPr>
          <w:lang w:val="fr-FR"/>
        </w:rPr>
        <w:t>8 </w:t>
      </w:r>
      <w:r w:rsidR="00FC4CFA" w:rsidRPr="00FC4CFA">
        <w:rPr>
          <w:lang w:val="fr-FR"/>
        </w:rPr>
        <w:t>» par «</w:t>
      </w:r>
      <w:r w:rsidR="00FC4CFA">
        <w:rPr>
          <w:lang w:val="fr-FR"/>
        </w:rPr>
        <w:t> </w:t>
      </w:r>
      <w:r w:rsidR="00FC4CFA" w:rsidRPr="00FC4CFA">
        <w:rPr>
          <w:lang w:val="fr-FR"/>
        </w:rPr>
        <w:t>ST/SG/C.10/30/Rev.</w:t>
      </w:r>
      <w:r w:rsidR="00FC4CFA">
        <w:rPr>
          <w:lang w:val="fr-FR"/>
        </w:rPr>
        <w:t>9 </w:t>
      </w:r>
      <w:r w:rsidR="00FC4CFA" w:rsidRPr="00FC4CFA">
        <w:rPr>
          <w:lang w:val="fr-FR"/>
        </w:rPr>
        <w:t>».</w:t>
      </w:r>
    </w:p>
    <w:p w14:paraId="45F0DF7C" w14:textId="4822B958" w:rsidR="00FC4CFA" w:rsidRPr="00FC4CFA" w:rsidRDefault="006F20DB" w:rsidP="00FC4CFA">
      <w:pPr>
        <w:pStyle w:val="SingleTxtG"/>
        <w:spacing w:before="120"/>
        <w:ind w:left="2268" w:hanging="1134"/>
        <w:rPr>
          <w:lang w:val="fr-FR"/>
        </w:rPr>
      </w:pPr>
      <w:r>
        <w:rPr>
          <w:lang w:val="fr-FR"/>
        </w:rPr>
        <w:tab/>
      </w:r>
      <w:r w:rsidR="00FC4CFA" w:rsidRPr="00FC4CFA">
        <w:rPr>
          <w:lang w:val="fr-FR"/>
        </w:rPr>
        <w:tab/>
        <w:t>Dans la définition de «</w:t>
      </w:r>
      <w:r>
        <w:rPr>
          <w:lang w:val="fr-FR"/>
        </w:rPr>
        <w:t> </w:t>
      </w:r>
      <w:r w:rsidR="00FC4CFA" w:rsidRPr="006F20DB">
        <w:rPr>
          <w:i/>
          <w:iCs/>
          <w:lang w:val="fr-FR"/>
        </w:rPr>
        <w:t>Liquide</w:t>
      </w:r>
      <w:r>
        <w:rPr>
          <w:lang w:val="fr-FR"/>
        </w:rPr>
        <w:t> </w:t>
      </w:r>
      <w:r w:rsidR="00FC4CFA" w:rsidRPr="00FC4CFA">
        <w:rPr>
          <w:lang w:val="fr-FR"/>
        </w:rPr>
        <w:t>», dans la note de bas de page 1, remplacer «</w:t>
      </w:r>
      <w:r>
        <w:rPr>
          <w:lang w:val="fr-FR"/>
        </w:rPr>
        <w:t> </w:t>
      </w:r>
      <w:r w:rsidR="002471EC" w:rsidRPr="00A63498">
        <w:rPr>
          <w:lang w:val="fr-FR"/>
        </w:rPr>
        <w:t xml:space="preserve">ECE/TRANS/275 (numéro de </w:t>
      </w:r>
      <w:proofErr w:type="gramStart"/>
      <w:r w:rsidR="002471EC" w:rsidRPr="00A63498">
        <w:rPr>
          <w:lang w:val="fr-FR"/>
        </w:rPr>
        <w:t>vente:</w:t>
      </w:r>
      <w:proofErr w:type="gramEnd"/>
      <w:r w:rsidR="002471EC" w:rsidRPr="00A63498">
        <w:rPr>
          <w:lang w:val="fr-FR"/>
        </w:rPr>
        <w:t xml:space="preserve"> F.18.VIII.1)</w:t>
      </w:r>
      <w:r>
        <w:rPr>
          <w:lang w:val="fr-FR"/>
        </w:rPr>
        <w:t> </w:t>
      </w:r>
      <w:r w:rsidR="00FC4CFA" w:rsidRPr="00FC4CFA">
        <w:rPr>
          <w:lang w:val="fr-FR"/>
        </w:rPr>
        <w:t>» par «</w:t>
      </w:r>
      <w:r>
        <w:rPr>
          <w:lang w:val="fr-FR"/>
        </w:rPr>
        <w:t> </w:t>
      </w:r>
      <w:r w:rsidR="00FC4CFA" w:rsidRPr="00FC4CFA">
        <w:rPr>
          <w:lang w:val="fr-FR"/>
        </w:rPr>
        <w:t>ECE/TRANS/</w:t>
      </w:r>
      <w:r w:rsidR="002471EC">
        <w:rPr>
          <w:lang w:val="fr-FR"/>
        </w:rPr>
        <w:t>300</w:t>
      </w:r>
      <w:r w:rsidR="00FC4CFA" w:rsidRPr="00FC4CFA">
        <w:rPr>
          <w:lang w:val="fr-FR"/>
        </w:rPr>
        <w:t xml:space="preserve"> (numéro de vente</w:t>
      </w:r>
      <w:r>
        <w:rPr>
          <w:lang w:val="fr-FR"/>
        </w:rPr>
        <w:t> </w:t>
      </w:r>
      <w:r w:rsidR="00FC4CFA" w:rsidRPr="00FC4CFA">
        <w:rPr>
          <w:lang w:val="fr-FR"/>
        </w:rPr>
        <w:t>: F.</w:t>
      </w:r>
      <w:r w:rsidR="002471EC">
        <w:rPr>
          <w:lang w:val="fr-FR"/>
        </w:rPr>
        <w:t>2</w:t>
      </w:r>
      <w:r>
        <w:rPr>
          <w:lang w:val="fr-FR"/>
        </w:rPr>
        <w:t>1</w:t>
      </w:r>
      <w:r w:rsidR="00FC4CFA" w:rsidRPr="00FC4CFA">
        <w:rPr>
          <w:lang w:val="fr-FR"/>
        </w:rPr>
        <w:t>.VIII.1)</w:t>
      </w:r>
      <w:r>
        <w:rPr>
          <w:lang w:val="fr-FR"/>
        </w:rPr>
        <w:t> </w:t>
      </w:r>
      <w:r w:rsidR="00FC4CFA" w:rsidRPr="00FC4CFA">
        <w:rPr>
          <w:lang w:val="fr-FR"/>
        </w:rPr>
        <w:t>».</w:t>
      </w:r>
    </w:p>
    <w:p w14:paraId="7D17CEE1" w14:textId="1CCCA883" w:rsidR="006F20DB" w:rsidRDefault="006F20DB" w:rsidP="00FC4CFA">
      <w:pPr>
        <w:pStyle w:val="SingleTxtG"/>
        <w:spacing w:before="120"/>
        <w:ind w:left="2268" w:hanging="1134"/>
        <w:rPr>
          <w:lang w:val="fr-FR"/>
        </w:rPr>
      </w:pPr>
      <w:r>
        <w:rPr>
          <w:lang w:val="fr-FR"/>
        </w:rPr>
        <w:tab/>
      </w:r>
      <w:r w:rsidR="00FC4CFA" w:rsidRPr="00FC4CFA">
        <w:rPr>
          <w:lang w:val="fr-FR"/>
        </w:rPr>
        <w:tab/>
        <w:t>Dans la définition de «</w:t>
      </w:r>
      <w:r>
        <w:rPr>
          <w:lang w:val="fr-FR"/>
        </w:rPr>
        <w:t> </w:t>
      </w:r>
      <w:r w:rsidR="00FC4CFA" w:rsidRPr="006F20DB">
        <w:rPr>
          <w:i/>
          <w:iCs/>
          <w:lang w:val="fr-FR"/>
        </w:rPr>
        <w:t>Manuel d’épreuves et de critères</w:t>
      </w:r>
      <w:r>
        <w:rPr>
          <w:lang w:val="fr-FR"/>
        </w:rPr>
        <w:t> </w:t>
      </w:r>
      <w:r w:rsidR="00FC4CFA" w:rsidRPr="00FC4CFA">
        <w:rPr>
          <w:lang w:val="fr-FR"/>
        </w:rPr>
        <w:t>», après «</w:t>
      </w:r>
      <w:r>
        <w:rPr>
          <w:lang w:val="fr-FR"/>
        </w:rPr>
        <w:t> </w:t>
      </w:r>
      <w:r w:rsidR="00FC4CFA" w:rsidRPr="00FC4CFA">
        <w:rPr>
          <w:lang w:val="fr-FR"/>
        </w:rPr>
        <w:t>ST/SG/AC.10/11/Rev.</w:t>
      </w:r>
      <w:r>
        <w:rPr>
          <w:lang w:val="fr-FR"/>
        </w:rPr>
        <w:t>7 </w:t>
      </w:r>
      <w:r w:rsidR="00FC4CFA" w:rsidRPr="00FC4CFA">
        <w:rPr>
          <w:lang w:val="fr-FR"/>
        </w:rPr>
        <w:t>»,</w:t>
      </w:r>
      <w:bookmarkStart w:id="1" w:name="_GoBack"/>
      <w:bookmarkEnd w:id="1"/>
      <w:r w:rsidR="00FC4CFA" w:rsidRPr="00FC4CFA">
        <w:rPr>
          <w:lang w:val="fr-FR"/>
        </w:rPr>
        <w:t xml:space="preserve"> ajouter «</w:t>
      </w:r>
      <w:r>
        <w:rPr>
          <w:lang w:val="fr-FR"/>
        </w:rPr>
        <w:t> </w:t>
      </w:r>
      <w:r w:rsidR="00FC4CFA" w:rsidRPr="00FC4CFA">
        <w:rPr>
          <w:lang w:val="fr-FR"/>
        </w:rPr>
        <w:t>et Amend.1</w:t>
      </w:r>
      <w:r>
        <w:rPr>
          <w:lang w:val="fr-FR"/>
        </w:rPr>
        <w:t> </w:t>
      </w:r>
      <w:r w:rsidR="00FC4CFA" w:rsidRPr="00FC4CFA">
        <w:rPr>
          <w:lang w:val="fr-FR"/>
        </w:rPr>
        <w:t>».</w:t>
      </w:r>
    </w:p>
    <w:p w14:paraId="067E3330" w14:textId="15688FBE" w:rsidR="00CC7A90" w:rsidRPr="0042238A" w:rsidRDefault="006F20DB" w:rsidP="00FC4CFA">
      <w:pPr>
        <w:pStyle w:val="SingleTxtG"/>
        <w:spacing w:before="120"/>
        <w:ind w:left="2268" w:hanging="1134"/>
        <w:rPr>
          <w:lang w:val="fr-FR"/>
        </w:rPr>
      </w:pPr>
      <w:r>
        <w:rPr>
          <w:lang w:val="fr-FR"/>
        </w:rPr>
        <w:tab/>
      </w:r>
      <w:r w:rsidR="00CC7A90" w:rsidRPr="0042238A">
        <w:rPr>
          <w:lang w:val="fr-FR"/>
        </w:rPr>
        <w:t>Dans la définition de « </w:t>
      </w:r>
      <w:r w:rsidR="00CC7A90" w:rsidRPr="006F20DB">
        <w:rPr>
          <w:i/>
          <w:iCs/>
          <w:lang w:val="fr-FR"/>
        </w:rPr>
        <w:t>Dispositif de stockage à hydrure métallique</w:t>
      </w:r>
      <w:r w:rsidR="00CC7A90" w:rsidRPr="0042238A">
        <w:rPr>
          <w:lang w:val="fr-FR"/>
        </w:rPr>
        <w:t> », remplacer « un récipient » par « une enveloppe de récipient à pression ».</w:t>
      </w:r>
    </w:p>
    <w:p w14:paraId="359771D9" w14:textId="0C3EE421" w:rsidR="00CC7A90" w:rsidRPr="0042238A" w:rsidRDefault="00CC7A90" w:rsidP="00CC7A90">
      <w:pPr>
        <w:pStyle w:val="SingleTxtG"/>
        <w:spacing w:before="120"/>
        <w:ind w:left="2268" w:hanging="1134"/>
        <w:rPr>
          <w:lang w:val="fr-FR"/>
        </w:rPr>
      </w:pPr>
      <w:r w:rsidRPr="0042238A">
        <w:rPr>
          <w:lang w:val="fr-FR"/>
        </w:rPr>
        <w:tab/>
        <w:t>Dans la définition de « </w:t>
      </w:r>
      <w:r w:rsidRPr="006F20DB">
        <w:rPr>
          <w:i/>
          <w:iCs/>
          <w:lang w:val="fr-FR"/>
        </w:rPr>
        <w:t>Fût à pression</w:t>
      </w:r>
      <w:r w:rsidRPr="0042238A">
        <w:rPr>
          <w:lang w:val="fr-FR"/>
        </w:rPr>
        <w:t> », supprimer « transportable ».</w:t>
      </w:r>
    </w:p>
    <w:p w14:paraId="648EFDD3" w14:textId="63C28DB1" w:rsidR="00CC7A90" w:rsidRPr="0042238A" w:rsidRDefault="00CC7A90" w:rsidP="00CC7A90">
      <w:pPr>
        <w:pStyle w:val="SingleTxtG"/>
        <w:spacing w:before="120"/>
        <w:ind w:left="2268" w:hanging="1134"/>
        <w:rPr>
          <w:lang w:val="fr-FR"/>
        </w:rPr>
      </w:pPr>
      <w:r w:rsidRPr="0042238A">
        <w:rPr>
          <w:lang w:val="fr-FR"/>
        </w:rPr>
        <w:tab/>
        <w:t>Dans la définition de « </w:t>
      </w:r>
      <w:r w:rsidRPr="006F20DB">
        <w:rPr>
          <w:i/>
          <w:iCs/>
          <w:lang w:val="fr-FR"/>
        </w:rPr>
        <w:t>Récipient à pression</w:t>
      </w:r>
      <w:r w:rsidRPr="0042238A">
        <w:rPr>
          <w:lang w:val="fr-FR"/>
        </w:rPr>
        <w:t> », au début, remplacer « une bouteille » par « un récipient transportable destiné à contenir des matières sous pression, avec ses fermetures et ses autres équipements de service ; il s’agit d’un terme générique pouvant désigner une bouteille ».</w:t>
      </w:r>
    </w:p>
    <w:p w14:paraId="5CC30955" w14:textId="39C2B8FC" w:rsidR="00CC7A90" w:rsidRPr="0042238A" w:rsidRDefault="00CC7A90" w:rsidP="00CC7A90">
      <w:pPr>
        <w:pStyle w:val="SingleTxtG"/>
        <w:spacing w:before="120"/>
        <w:ind w:left="2268" w:hanging="1134"/>
        <w:rPr>
          <w:lang w:val="fr-FR"/>
        </w:rPr>
      </w:pPr>
      <w:r w:rsidRPr="0042238A">
        <w:rPr>
          <w:lang w:val="fr-FR"/>
        </w:rPr>
        <w:tab/>
        <w:t>Dans la définition de « </w:t>
      </w:r>
      <w:r w:rsidRPr="006F20DB">
        <w:rPr>
          <w:i/>
          <w:iCs/>
          <w:lang w:val="fr-FR"/>
        </w:rPr>
        <w:t>Tube</w:t>
      </w:r>
      <w:r w:rsidRPr="0042238A">
        <w:rPr>
          <w:lang w:val="fr-FR"/>
        </w:rPr>
        <w:t> », supprimer « transportable ».</w:t>
      </w:r>
    </w:p>
    <w:p w14:paraId="49F4CE37" w14:textId="7E3F74C8" w:rsidR="00CC7A90" w:rsidRPr="0042238A" w:rsidRDefault="00CC7A90" w:rsidP="00CC7A90">
      <w:pPr>
        <w:pStyle w:val="SingleTxtG"/>
        <w:spacing w:before="120"/>
        <w:ind w:left="2268" w:hanging="1134"/>
        <w:rPr>
          <w:lang w:val="fr-FR"/>
        </w:rPr>
      </w:pPr>
      <w:r w:rsidRPr="0042238A">
        <w:rPr>
          <w:lang w:val="fr-FR"/>
        </w:rPr>
        <w:tab/>
        <w:t>Modifier la définition de « </w:t>
      </w:r>
      <w:r w:rsidRPr="006F20DB">
        <w:rPr>
          <w:i/>
          <w:iCs/>
          <w:lang w:val="fr-FR"/>
        </w:rPr>
        <w:t>Pression de service</w:t>
      </w:r>
      <w:r w:rsidRPr="0042238A">
        <w:rPr>
          <w:lang w:val="fr-FR"/>
        </w:rPr>
        <w:t xml:space="preserve"> » pour lire comme suit : </w:t>
      </w:r>
    </w:p>
    <w:p w14:paraId="4F97DDDC" w14:textId="77777777" w:rsidR="00CC7A90" w:rsidRPr="0042238A" w:rsidRDefault="00CC7A90" w:rsidP="00CC7A90">
      <w:pPr>
        <w:pStyle w:val="SingleTxtG"/>
        <w:rPr>
          <w:i/>
          <w:lang w:val="fr-FR"/>
        </w:rPr>
      </w:pPr>
      <w:r w:rsidRPr="0042238A">
        <w:rPr>
          <w:lang w:val="fr-FR"/>
        </w:rPr>
        <w:t>« </w:t>
      </w:r>
      <w:r w:rsidRPr="0042238A">
        <w:rPr>
          <w:i/>
          <w:iCs/>
          <w:lang w:val="fr-FR"/>
        </w:rPr>
        <w:t>Pression de service</w:t>
      </w:r>
      <w:r w:rsidRPr="0042238A">
        <w:rPr>
          <w:lang w:val="fr-FR"/>
        </w:rPr>
        <w:t xml:space="preserve"> </w:t>
      </w:r>
    </w:p>
    <w:p w14:paraId="10271E83" w14:textId="77777777" w:rsidR="00CC7A90" w:rsidRPr="0042238A" w:rsidRDefault="00CC7A90" w:rsidP="00CC7A90">
      <w:pPr>
        <w:pStyle w:val="SingleTxtG"/>
        <w:ind w:left="1701" w:hanging="567"/>
        <w:rPr>
          <w:lang w:val="fr-FR"/>
        </w:rPr>
      </w:pPr>
      <w:r w:rsidRPr="0042238A">
        <w:rPr>
          <w:lang w:val="fr-FR"/>
        </w:rPr>
        <w:t>a)</w:t>
      </w:r>
      <w:r w:rsidRPr="0042238A">
        <w:rPr>
          <w:lang w:val="fr-FR"/>
        </w:rPr>
        <w:tab/>
        <w:t>Pour un gaz comprimé, la pression stabilisée à la température de référence de 15 °C dans un récipient à pression plein ;</w:t>
      </w:r>
    </w:p>
    <w:p w14:paraId="47CA360C" w14:textId="77777777" w:rsidR="00CC7A90" w:rsidRPr="00E44533" w:rsidRDefault="00CC7A90" w:rsidP="00CC7A90">
      <w:pPr>
        <w:pStyle w:val="SingleTxtG"/>
        <w:ind w:left="1701" w:hanging="567"/>
        <w:rPr>
          <w:lang w:val="fr-FR"/>
        </w:rPr>
      </w:pPr>
      <w:r w:rsidRPr="0042238A">
        <w:rPr>
          <w:lang w:val="fr-FR"/>
        </w:rPr>
        <w:lastRenderedPageBreak/>
        <w:t>b)</w:t>
      </w:r>
      <w:r w:rsidRPr="0042238A">
        <w:rPr>
          <w:lang w:val="fr-FR"/>
        </w:rPr>
        <w:tab/>
        <w:t>Pour le No ONU 1001, acétylène dissous, la pression stabilisée calculée à une température de référence uniforme de 15° C dans une bouteille d’acétylène contenant le volume de solvant spécifié et la quantité maximale d’acétylène ;</w:t>
      </w:r>
    </w:p>
    <w:p w14:paraId="33883583" w14:textId="77777777" w:rsidR="00CC7A90" w:rsidRPr="00E44533" w:rsidRDefault="00CC7A90" w:rsidP="00CC7A90">
      <w:pPr>
        <w:pStyle w:val="SingleTxtG"/>
        <w:ind w:left="1701" w:hanging="567"/>
        <w:rPr>
          <w:lang w:val="fr-FR"/>
        </w:rPr>
      </w:pPr>
      <w:r w:rsidRPr="0042238A">
        <w:rPr>
          <w:lang w:val="fr-FR"/>
        </w:rPr>
        <w:t>c)</w:t>
      </w:r>
      <w:r w:rsidRPr="0042238A">
        <w:rPr>
          <w:lang w:val="fr-FR"/>
        </w:rPr>
        <w:tab/>
        <w:t>Pour le No ONU 3374, acétylène sans solvant, la pression de service calculée pour la bouteille équivalente pour le No ONU 1001, acétylène dissous. ».</w:t>
      </w:r>
    </w:p>
    <w:p w14:paraId="594FAD58" w14:textId="77777777" w:rsidR="00CC7A90" w:rsidRPr="0042238A" w:rsidRDefault="00CC7A90" w:rsidP="00CC7A90">
      <w:pPr>
        <w:pStyle w:val="SingleTxtG"/>
        <w:spacing w:before="120"/>
        <w:ind w:left="2268" w:hanging="1134"/>
        <w:rPr>
          <w:lang w:val="fr-FR"/>
        </w:rPr>
      </w:pPr>
      <w:r w:rsidRPr="0042238A">
        <w:rPr>
          <w:lang w:val="fr-FR"/>
        </w:rPr>
        <w:t>1.2.1</w:t>
      </w:r>
      <w:r w:rsidRPr="0042238A">
        <w:rPr>
          <w:lang w:val="fr-FR"/>
        </w:rPr>
        <w:tab/>
        <w:t xml:space="preserve">Ajouter les nouvelles définitions suivantes : </w:t>
      </w:r>
    </w:p>
    <w:p w14:paraId="60BA00DA" w14:textId="77777777" w:rsidR="00CC7A90" w:rsidRPr="00E44533" w:rsidRDefault="00CC7A90" w:rsidP="00CC7A90">
      <w:pPr>
        <w:pStyle w:val="SingleTxtG"/>
        <w:rPr>
          <w:lang w:val="fr-FR"/>
        </w:rPr>
      </w:pPr>
      <w:r w:rsidRPr="0042238A">
        <w:rPr>
          <w:lang w:val="fr-FR"/>
        </w:rPr>
        <w:t>« </w:t>
      </w:r>
      <w:r w:rsidRPr="0042238A">
        <w:rPr>
          <w:i/>
          <w:iCs/>
          <w:lang w:val="fr-FR"/>
        </w:rPr>
        <w:t>Réservoir intérieur</w:t>
      </w:r>
      <w:r w:rsidRPr="0042238A">
        <w:rPr>
          <w:lang w:val="fr-FR"/>
        </w:rPr>
        <w:t>, s’agissant d’un récipient cryogénique fermé, le réservoir sous pression destiné à contenir le gaz liquéfié réfrigéré ; » ;</w:t>
      </w:r>
    </w:p>
    <w:p w14:paraId="5ABF9D03" w14:textId="77777777" w:rsidR="00CC7A90" w:rsidRPr="00E44533" w:rsidRDefault="00CC7A90" w:rsidP="00CC7A90">
      <w:pPr>
        <w:pStyle w:val="SingleTxtG"/>
        <w:rPr>
          <w:lang w:val="fr-FR"/>
        </w:rPr>
      </w:pPr>
      <w:r w:rsidRPr="0042238A">
        <w:rPr>
          <w:lang w:val="fr-FR"/>
        </w:rPr>
        <w:t>« </w:t>
      </w:r>
      <w:r w:rsidRPr="0042238A">
        <w:rPr>
          <w:i/>
          <w:iCs/>
          <w:lang w:val="fr-FR"/>
        </w:rPr>
        <w:t>Enveloppe de récipient à pression</w:t>
      </w:r>
      <w:r w:rsidRPr="0042238A">
        <w:rPr>
          <w:lang w:val="fr-FR"/>
        </w:rPr>
        <w:t>, une bouteille, un tube, un fût à pression ou un récipient à pression de secours, sans ses fermetures ou autres équipements de service, mais avec les éventuels dispositifs indémontables (par exemple, collerette, frette de pied, etc.) ;</w:t>
      </w:r>
    </w:p>
    <w:p w14:paraId="03F75290" w14:textId="77777777" w:rsidR="00CC7A90" w:rsidRPr="00E44533" w:rsidRDefault="00CC7A90" w:rsidP="00CC7A90">
      <w:pPr>
        <w:pStyle w:val="SingleTxtG"/>
        <w:rPr>
          <w:i/>
          <w:lang w:val="fr-FR"/>
        </w:rPr>
      </w:pPr>
      <w:r w:rsidRPr="0042238A">
        <w:rPr>
          <w:b/>
          <w:bCs/>
          <w:i/>
          <w:iCs/>
          <w:lang w:val="fr-FR"/>
        </w:rPr>
        <w:t>NOTA </w:t>
      </w:r>
      <w:r w:rsidRPr="0042238A">
        <w:rPr>
          <w:b/>
          <w:i/>
          <w:iCs/>
          <w:lang w:val="fr-FR"/>
        </w:rPr>
        <w:t xml:space="preserve">: </w:t>
      </w:r>
      <w:r w:rsidRPr="0042238A">
        <w:rPr>
          <w:i/>
          <w:iCs/>
          <w:lang w:val="fr-FR"/>
        </w:rPr>
        <w:t xml:space="preserve">Les termes </w:t>
      </w:r>
      <w:r w:rsidRPr="00E44533">
        <w:rPr>
          <w:i/>
          <w:iCs/>
          <w:lang w:val="fr-FR"/>
        </w:rPr>
        <w:t>“</w:t>
      </w:r>
      <w:r w:rsidRPr="0042238A">
        <w:rPr>
          <w:i/>
          <w:iCs/>
          <w:lang w:val="fr-FR"/>
        </w:rPr>
        <w:t>enveloppe de bouteille</w:t>
      </w:r>
      <w:r w:rsidRPr="00E44533">
        <w:rPr>
          <w:i/>
          <w:iCs/>
          <w:lang w:val="fr-FR"/>
        </w:rPr>
        <w:t>”</w:t>
      </w:r>
      <w:r w:rsidRPr="0042238A">
        <w:rPr>
          <w:i/>
          <w:iCs/>
          <w:lang w:val="fr-FR"/>
        </w:rPr>
        <w:t xml:space="preserve">, </w:t>
      </w:r>
      <w:r w:rsidRPr="00E44533">
        <w:rPr>
          <w:i/>
          <w:iCs/>
          <w:lang w:val="fr-FR"/>
        </w:rPr>
        <w:t>“</w:t>
      </w:r>
      <w:r w:rsidRPr="0042238A">
        <w:rPr>
          <w:i/>
          <w:iCs/>
          <w:lang w:val="fr-FR"/>
        </w:rPr>
        <w:t>enveloppe de fût à pression</w:t>
      </w:r>
      <w:r w:rsidRPr="00E44533">
        <w:rPr>
          <w:i/>
          <w:iCs/>
          <w:lang w:val="fr-FR"/>
        </w:rPr>
        <w:t>”</w:t>
      </w:r>
      <w:r w:rsidRPr="0042238A">
        <w:rPr>
          <w:i/>
          <w:iCs/>
          <w:lang w:val="fr-FR"/>
        </w:rPr>
        <w:t xml:space="preserve"> et </w:t>
      </w:r>
      <w:r w:rsidRPr="00E44533">
        <w:rPr>
          <w:i/>
          <w:iCs/>
          <w:lang w:val="fr-FR"/>
        </w:rPr>
        <w:t>“</w:t>
      </w:r>
      <w:r w:rsidRPr="0042238A">
        <w:rPr>
          <w:i/>
          <w:iCs/>
          <w:lang w:val="fr-FR"/>
        </w:rPr>
        <w:t>enveloppe de tube</w:t>
      </w:r>
      <w:r w:rsidRPr="00E44533">
        <w:rPr>
          <w:i/>
          <w:iCs/>
          <w:lang w:val="fr-FR"/>
        </w:rPr>
        <w:t>”</w:t>
      </w:r>
      <w:r w:rsidRPr="0042238A">
        <w:rPr>
          <w:i/>
          <w:iCs/>
          <w:lang w:val="fr-FR"/>
        </w:rPr>
        <w:t xml:space="preserve"> sont également utilisés.</w:t>
      </w:r>
      <w:r w:rsidRPr="0042238A">
        <w:rPr>
          <w:lang w:val="fr-FR"/>
        </w:rPr>
        <w:t> » ;</w:t>
      </w:r>
    </w:p>
    <w:p w14:paraId="422702F4" w14:textId="0DB0723A" w:rsidR="00CC7A90" w:rsidRPr="0042238A" w:rsidRDefault="00CC7A90" w:rsidP="00CC7A90">
      <w:pPr>
        <w:pStyle w:val="SingleTxtG"/>
        <w:rPr>
          <w:lang w:val="fr-FR"/>
        </w:rPr>
      </w:pPr>
      <w:r w:rsidRPr="0042238A">
        <w:rPr>
          <w:lang w:val="fr-FR"/>
        </w:rPr>
        <w:t>« </w:t>
      </w:r>
      <w:r w:rsidRPr="0042238A">
        <w:rPr>
          <w:i/>
          <w:iCs/>
          <w:lang w:val="fr-FR"/>
        </w:rPr>
        <w:t>Équipement de service</w:t>
      </w:r>
      <w:r w:rsidRPr="0042238A">
        <w:rPr>
          <w:lang w:val="fr-FR"/>
        </w:rPr>
        <w:t xml:space="preserve"> d’un récipient à pression, les fermetures, les tuyaux collecteurs, les tubulures, les matières poreuses, absorbantes ou </w:t>
      </w:r>
      <w:proofErr w:type="spellStart"/>
      <w:r w:rsidRPr="0042238A">
        <w:rPr>
          <w:lang w:val="fr-FR"/>
        </w:rPr>
        <w:t>adsorbantes</w:t>
      </w:r>
      <w:proofErr w:type="spellEnd"/>
      <w:r w:rsidRPr="0042238A">
        <w:rPr>
          <w:lang w:val="fr-FR"/>
        </w:rPr>
        <w:t xml:space="preserve"> ainsi que tous les dispositifs structuraux, par exemple destinés à la manutention ; » ;</w:t>
      </w:r>
    </w:p>
    <w:p w14:paraId="33442212" w14:textId="63441F80" w:rsidR="003373E8" w:rsidRPr="00E44533" w:rsidRDefault="003373E8" w:rsidP="003373E8">
      <w:pPr>
        <w:spacing w:after="120"/>
        <w:ind w:left="1134" w:right="1134"/>
        <w:jc w:val="both"/>
        <w:rPr>
          <w:rFonts w:eastAsiaTheme="minorHAnsi"/>
          <w:lang w:val="fr-FR" w:eastAsia="en-US"/>
        </w:rPr>
      </w:pPr>
      <w:r w:rsidRPr="0042238A">
        <w:rPr>
          <w:rFonts w:eastAsiaTheme="minorHAnsi"/>
          <w:lang w:val="fr-FR" w:eastAsia="en-US"/>
        </w:rPr>
        <w:t>« </w:t>
      </w:r>
      <w:r w:rsidRPr="0042238A">
        <w:rPr>
          <w:rFonts w:eastAsiaTheme="minorHAnsi"/>
          <w:i/>
          <w:lang w:val="fr-FR" w:eastAsia="en-US"/>
        </w:rPr>
        <w:t>Règlement de transport des matières radioactives de l’AIEA</w:t>
      </w:r>
      <w:r w:rsidRPr="0042238A">
        <w:rPr>
          <w:rFonts w:eastAsiaTheme="minorHAnsi"/>
          <w:lang w:val="fr-FR" w:eastAsia="en-US"/>
        </w:rPr>
        <w:t>, l’une des éditions de ce Règlement, comme suit :</w:t>
      </w:r>
    </w:p>
    <w:p w14:paraId="57DBE75A" w14:textId="77777777" w:rsidR="003373E8" w:rsidRPr="0042238A" w:rsidRDefault="003373E8" w:rsidP="003373E8">
      <w:pPr>
        <w:spacing w:after="120"/>
        <w:ind w:left="2268" w:right="1134" w:hanging="567"/>
        <w:jc w:val="both"/>
        <w:rPr>
          <w:rFonts w:eastAsiaTheme="minorHAnsi"/>
          <w:lang w:val="fr-FR" w:eastAsia="en-US"/>
        </w:rPr>
      </w:pPr>
      <w:bookmarkStart w:id="2" w:name="_Hlk36653960"/>
      <w:r w:rsidRPr="0042238A">
        <w:rPr>
          <w:rFonts w:eastAsiaTheme="minorHAnsi"/>
          <w:lang w:val="fr-FR" w:eastAsia="en-US"/>
        </w:rPr>
        <w:t>a)</w:t>
      </w:r>
      <w:r w:rsidRPr="0042238A">
        <w:rPr>
          <w:rFonts w:eastAsiaTheme="minorHAnsi"/>
          <w:lang w:val="fr-FR" w:eastAsia="en-US"/>
        </w:rPr>
        <w:tab/>
        <w:t>Pour les éditions de 1985 et de 1985 (telle que modifiée en 1990) : n° 6 de la collection Sécurité de l’AIEA ;</w:t>
      </w:r>
    </w:p>
    <w:p w14:paraId="2A47473B" w14:textId="77777777" w:rsidR="003373E8" w:rsidRPr="0042238A" w:rsidRDefault="003373E8" w:rsidP="003373E8">
      <w:pPr>
        <w:spacing w:after="120"/>
        <w:ind w:left="2268" w:right="1134" w:hanging="567"/>
        <w:jc w:val="both"/>
        <w:rPr>
          <w:rFonts w:eastAsiaTheme="minorHAnsi"/>
          <w:lang w:val="fr-FR" w:eastAsia="en-US"/>
        </w:rPr>
      </w:pPr>
      <w:r w:rsidRPr="0042238A">
        <w:rPr>
          <w:rFonts w:eastAsiaTheme="minorHAnsi"/>
          <w:lang w:val="fr-FR" w:eastAsia="en-US"/>
        </w:rPr>
        <w:t>b)</w:t>
      </w:r>
      <w:r w:rsidRPr="0042238A">
        <w:rPr>
          <w:rFonts w:eastAsiaTheme="minorHAnsi"/>
          <w:lang w:val="fr-FR" w:eastAsia="en-US"/>
        </w:rPr>
        <w:tab/>
        <w:t>Pour l’édition de 1996 : n° ST-1 de la collection des Normes de sûreté de l’AIEA ;</w:t>
      </w:r>
    </w:p>
    <w:p w14:paraId="0B846C9E" w14:textId="77777777" w:rsidR="003373E8" w:rsidRPr="0042238A" w:rsidRDefault="003373E8" w:rsidP="003373E8">
      <w:pPr>
        <w:spacing w:after="120"/>
        <w:ind w:left="2268" w:right="1134" w:hanging="567"/>
        <w:jc w:val="both"/>
        <w:rPr>
          <w:rFonts w:eastAsiaTheme="minorHAnsi"/>
          <w:lang w:val="fr-FR" w:eastAsia="en-US"/>
        </w:rPr>
      </w:pPr>
      <w:r w:rsidRPr="0042238A">
        <w:rPr>
          <w:rFonts w:eastAsiaTheme="minorHAnsi"/>
          <w:lang w:val="fr-FR" w:eastAsia="en-US"/>
        </w:rPr>
        <w:t>c)</w:t>
      </w:r>
      <w:r w:rsidRPr="0042238A">
        <w:rPr>
          <w:rFonts w:eastAsiaTheme="minorHAnsi"/>
          <w:lang w:val="fr-FR" w:eastAsia="en-US"/>
        </w:rPr>
        <w:tab/>
        <w:t>Pour l’édition de 1996 (révisée) : n° TS-R-1 (ST-1, révisée) de la collection des Normes de sûreté de l’AIEA ;</w:t>
      </w:r>
    </w:p>
    <w:p w14:paraId="72479621" w14:textId="77777777" w:rsidR="003373E8" w:rsidRPr="0042238A" w:rsidRDefault="003373E8" w:rsidP="003373E8">
      <w:pPr>
        <w:spacing w:after="120"/>
        <w:ind w:left="2268" w:right="1134" w:hanging="567"/>
        <w:jc w:val="both"/>
        <w:rPr>
          <w:rFonts w:eastAsiaTheme="minorHAnsi"/>
          <w:lang w:val="fr-FR" w:eastAsia="en-US"/>
        </w:rPr>
      </w:pPr>
      <w:r w:rsidRPr="0042238A">
        <w:rPr>
          <w:rFonts w:eastAsiaTheme="minorHAnsi"/>
          <w:lang w:val="fr-FR" w:eastAsia="en-US"/>
        </w:rPr>
        <w:t>d)</w:t>
      </w:r>
      <w:r w:rsidRPr="0042238A">
        <w:rPr>
          <w:rFonts w:eastAsiaTheme="minorHAnsi"/>
          <w:lang w:val="fr-FR" w:eastAsia="en-US"/>
        </w:rPr>
        <w:tab/>
        <w:t>Pour les éditions de 1996 (telle que modifiée en 2003), 2005 et 2009 : n° TS-R-1 (ST-1, révisée) de la collection des Normes de sûreté de l’AIEA ;</w:t>
      </w:r>
    </w:p>
    <w:bookmarkEnd w:id="2"/>
    <w:p w14:paraId="3F575AB0" w14:textId="0D9AA6AC" w:rsidR="003373E8" w:rsidRPr="0042238A" w:rsidRDefault="003373E8" w:rsidP="003373E8">
      <w:pPr>
        <w:spacing w:after="120"/>
        <w:ind w:left="2268" w:right="1134" w:hanging="567"/>
        <w:jc w:val="both"/>
        <w:rPr>
          <w:rFonts w:eastAsiaTheme="minorHAnsi"/>
          <w:lang w:val="fr-FR" w:eastAsia="en-US"/>
        </w:rPr>
      </w:pPr>
      <w:r w:rsidRPr="0042238A">
        <w:rPr>
          <w:rFonts w:eastAsiaTheme="minorHAnsi"/>
          <w:lang w:val="fr-FR" w:eastAsia="en-US"/>
        </w:rPr>
        <w:t>e)</w:t>
      </w:r>
      <w:r w:rsidRPr="0042238A">
        <w:rPr>
          <w:rFonts w:eastAsiaTheme="minorHAnsi"/>
          <w:lang w:val="fr-FR" w:eastAsia="en-US"/>
        </w:rPr>
        <w:tab/>
        <w:t>Pour l’édition de 2012 : n° SSR–6 de la collection des Normes de sûreté de l’AIEA</w:t>
      </w:r>
      <w:r w:rsidR="008D2F65">
        <w:rPr>
          <w:rFonts w:eastAsiaTheme="minorHAnsi"/>
          <w:lang w:val="fr-FR" w:eastAsia="en-US"/>
        </w:rPr>
        <w:t> ;</w:t>
      </w:r>
    </w:p>
    <w:p w14:paraId="4EC3673C" w14:textId="6CBB0783" w:rsidR="000A1297" w:rsidRPr="0042238A" w:rsidRDefault="003373E8" w:rsidP="000A1297">
      <w:pPr>
        <w:spacing w:after="120"/>
        <w:ind w:left="2268" w:right="1134" w:hanging="567"/>
        <w:jc w:val="both"/>
        <w:rPr>
          <w:rFonts w:eastAsiaTheme="minorHAnsi"/>
          <w:lang w:val="fr-FR" w:eastAsia="en-US"/>
        </w:rPr>
      </w:pPr>
      <w:r w:rsidRPr="0042238A">
        <w:rPr>
          <w:rFonts w:eastAsiaTheme="minorHAnsi"/>
          <w:lang w:val="fr-FR" w:eastAsia="en-US"/>
        </w:rPr>
        <w:t>f)</w:t>
      </w:r>
      <w:r w:rsidRPr="0042238A">
        <w:rPr>
          <w:rFonts w:eastAsiaTheme="minorHAnsi"/>
          <w:lang w:val="fr-FR" w:eastAsia="en-US"/>
        </w:rPr>
        <w:tab/>
        <w:t>Pour l’édition de 2018 : n° SSR–6 (Rev.1) de la collection des Normes de sûreté de l’AIEA. »</w:t>
      </w:r>
    </w:p>
    <w:p w14:paraId="4698C193" w14:textId="2C396EA5" w:rsidR="000A1297" w:rsidRPr="0042238A" w:rsidRDefault="000A1297" w:rsidP="002376A7">
      <w:pPr>
        <w:spacing w:after="120"/>
        <w:ind w:left="1134" w:right="1134"/>
        <w:jc w:val="both"/>
        <w:rPr>
          <w:rFonts w:eastAsiaTheme="minorHAnsi"/>
          <w:lang w:val="fr-FR" w:eastAsia="en-US"/>
        </w:rPr>
      </w:pPr>
      <w:r w:rsidRPr="0042238A">
        <w:rPr>
          <w:rFonts w:eastAsiaTheme="minorHAnsi"/>
          <w:lang w:val="fr-FR" w:eastAsia="en-US"/>
        </w:rPr>
        <w:t>1.2.2</w:t>
      </w:r>
      <w:r w:rsidR="009D304A" w:rsidRPr="0042238A">
        <w:rPr>
          <w:rFonts w:eastAsiaTheme="minorHAnsi"/>
          <w:lang w:val="fr-FR" w:eastAsia="en-US"/>
        </w:rPr>
        <w:t>.1</w:t>
      </w:r>
      <w:r w:rsidR="009D304A" w:rsidRPr="0042238A">
        <w:rPr>
          <w:rFonts w:eastAsiaTheme="minorHAnsi"/>
          <w:lang w:val="fr-FR" w:eastAsia="en-US"/>
        </w:rPr>
        <w:tab/>
      </w:r>
      <w:r w:rsidR="009D304A" w:rsidRPr="0042238A">
        <w:rPr>
          <w:rFonts w:eastAsiaTheme="minorHAnsi"/>
          <w:lang w:val="fr-FR" w:eastAsia="en-US"/>
        </w:rPr>
        <w:tab/>
        <w:t xml:space="preserve">Dans le tableau, </w:t>
      </w:r>
      <w:r w:rsidR="00C5757E" w:rsidRPr="0042238A">
        <w:rPr>
          <w:rFonts w:eastAsiaTheme="minorHAnsi"/>
          <w:lang w:val="fr-FR" w:eastAsia="en-US"/>
        </w:rPr>
        <w:t>après la ligne pour « Puissance », ajouter la nouvelle ligne suivante :</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341584" w:rsidRPr="0042238A" w14:paraId="253CA574" w14:textId="77777777" w:rsidTr="00FC798A">
        <w:trPr>
          <w:cantSplit/>
          <w:trHeight w:val="403"/>
        </w:trPr>
        <w:tc>
          <w:tcPr>
            <w:tcW w:w="1898" w:type="dxa"/>
            <w:vAlign w:val="center"/>
          </w:tcPr>
          <w:p w14:paraId="0848DE92" w14:textId="72CC820D" w:rsidR="00341584" w:rsidRPr="0042238A" w:rsidRDefault="00341584" w:rsidP="00341584">
            <w:pPr>
              <w:suppressAutoHyphens w:val="0"/>
              <w:kinsoku/>
              <w:overflowPunct/>
              <w:autoSpaceDE/>
              <w:autoSpaceDN/>
              <w:adjustRightInd/>
              <w:snapToGrid/>
              <w:spacing w:before="40" w:after="40" w:line="220" w:lineRule="exact"/>
              <w:ind w:right="113"/>
              <w:jc w:val="center"/>
              <w:rPr>
                <w:lang w:val="fr-FR" w:eastAsia="en-US"/>
              </w:rPr>
            </w:pPr>
            <w:r w:rsidRPr="0042238A">
              <w:rPr>
                <w:lang w:val="fr-FR" w:eastAsia="en-US"/>
              </w:rPr>
              <w:t>Résistance électrique</w:t>
            </w:r>
          </w:p>
        </w:tc>
        <w:tc>
          <w:tcPr>
            <w:tcW w:w="1504" w:type="dxa"/>
            <w:vAlign w:val="center"/>
          </w:tcPr>
          <w:p w14:paraId="6E8F3C76" w14:textId="77777777" w:rsidR="00341584" w:rsidRPr="0042238A" w:rsidRDefault="00341584" w:rsidP="00341584">
            <w:pPr>
              <w:suppressAutoHyphens w:val="0"/>
              <w:kinsoku/>
              <w:overflowPunct/>
              <w:autoSpaceDE/>
              <w:autoSpaceDN/>
              <w:adjustRightInd/>
              <w:snapToGrid/>
              <w:spacing w:before="40" w:after="40" w:line="220" w:lineRule="exact"/>
              <w:ind w:right="113"/>
              <w:jc w:val="center"/>
              <w:rPr>
                <w:lang w:val="fr-FR" w:eastAsia="en-US"/>
              </w:rPr>
            </w:pPr>
            <w:r w:rsidRPr="0042238A">
              <w:rPr>
                <w:lang w:val="fr-FR" w:eastAsia="en-US"/>
              </w:rPr>
              <w:t>Ω (ohm)</w:t>
            </w:r>
          </w:p>
        </w:tc>
        <w:tc>
          <w:tcPr>
            <w:tcW w:w="1560" w:type="dxa"/>
            <w:vAlign w:val="center"/>
          </w:tcPr>
          <w:p w14:paraId="080F6844" w14:textId="77777777" w:rsidR="00341584" w:rsidRPr="0042238A" w:rsidRDefault="00341584" w:rsidP="00341584">
            <w:pPr>
              <w:kinsoku/>
              <w:overflowPunct/>
              <w:autoSpaceDE/>
              <w:autoSpaceDN/>
              <w:adjustRightInd/>
              <w:snapToGrid/>
              <w:spacing w:after="120"/>
              <w:ind w:left="284" w:hanging="284"/>
              <w:jc w:val="center"/>
              <w:rPr>
                <w:lang w:val="fr-FR" w:eastAsia="en-US"/>
              </w:rPr>
            </w:pPr>
            <w:r w:rsidRPr="0042238A">
              <w:rPr>
                <w:lang w:val="fr-FR" w:eastAsia="en-US"/>
              </w:rPr>
              <w:t>--</w:t>
            </w:r>
          </w:p>
        </w:tc>
        <w:tc>
          <w:tcPr>
            <w:tcW w:w="2409" w:type="dxa"/>
            <w:vAlign w:val="center"/>
          </w:tcPr>
          <w:p w14:paraId="521FB3AC" w14:textId="77777777" w:rsidR="00341584" w:rsidRPr="0042238A" w:rsidRDefault="00341584" w:rsidP="00341584">
            <w:pPr>
              <w:kinsoku/>
              <w:overflowPunct/>
              <w:autoSpaceDE/>
              <w:autoSpaceDN/>
              <w:adjustRightInd/>
              <w:snapToGrid/>
              <w:spacing w:after="120"/>
              <w:ind w:left="284" w:hanging="284"/>
              <w:jc w:val="center"/>
              <w:rPr>
                <w:lang w:val="fr-FR" w:eastAsia="en-US"/>
              </w:rPr>
            </w:pPr>
            <w:r w:rsidRPr="0042238A">
              <w:rPr>
                <w:lang w:val="fr-FR" w:eastAsia="en-US"/>
              </w:rPr>
              <w:t>1 Ω = 1 kg · m² / s³ / A²</w:t>
            </w:r>
          </w:p>
        </w:tc>
      </w:tr>
    </w:tbl>
    <w:p w14:paraId="06E2FAB1" w14:textId="77777777" w:rsidR="00B5420E" w:rsidRPr="0042238A" w:rsidRDefault="00B5420E" w:rsidP="00B5420E">
      <w:pPr>
        <w:keepNext/>
        <w:keepLines/>
        <w:tabs>
          <w:tab w:val="right" w:pos="851"/>
        </w:tabs>
        <w:spacing w:before="360" w:after="240" w:line="270" w:lineRule="exact"/>
        <w:ind w:left="1134" w:right="1134" w:hanging="1134"/>
        <w:rPr>
          <w:b/>
          <w:sz w:val="24"/>
          <w:lang w:val="fr-FR"/>
        </w:rPr>
      </w:pPr>
      <w:r w:rsidRPr="0042238A">
        <w:rPr>
          <w:b/>
          <w:sz w:val="24"/>
          <w:lang w:val="fr-FR"/>
        </w:rPr>
        <w:tab/>
      </w:r>
      <w:r w:rsidRPr="0042238A">
        <w:rPr>
          <w:b/>
          <w:sz w:val="24"/>
          <w:lang w:val="fr-FR"/>
        </w:rPr>
        <w:tab/>
        <w:t>Chapitre 1.4</w:t>
      </w:r>
    </w:p>
    <w:p w14:paraId="4CB80AA7" w14:textId="77777777" w:rsidR="00B5420E" w:rsidRPr="0042238A" w:rsidRDefault="00B5420E" w:rsidP="00B5420E">
      <w:pPr>
        <w:pStyle w:val="SingleTxtG"/>
        <w:ind w:left="2268" w:hanging="1134"/>
        <w:rPr>
          <w:lang w:val="fr-FR"/>
        </w:rPr>
      </w:pPr>
      <w:r w:rsidRPr="0042238A">
        <w:rPr>
          <w:lang w:val="fr-FR"/>
        </w:rPr>
        <w:t>1.4.3.2.3</w:t>
      </w:r>
      <w:r w:rsidRPr="0042238A">
        <w:rPr>
          <w:lang w:val="fr-FR"/>
        </w:rPr>
        <w:tab/>
        <w:t>Supprimer les notes de bas de page 1 et 2. Après « Convention sur la protection physique des matières nucléaires » ajouter « (INFCIRC/274/Rev.1, AIEA, Vienne (1980)) ». Après « "Recommandations de sécurité nucléaire sur la protection physique des matières nucléaires et des installations nucléaires" » ajouter « (INFCIRC/225/Rev.5, AIEA, Vienne (2011)) ».</w:t>
      </w:r>
    </w:p>
    <w:p w14:paraId="7F0843BA" w14:textId="77777777" w:rsidR="00B26045" w:rsidRPr="0042238A" w:rsidRDefault="00B26045" w:rsidP="00B26045">
      <w:pPr>
        <w:pStyle w:val="H1G"/>
        <w:rPr>
          <w:lang w:val="fr-FR" w:eastAsia="en-US"/>
        </w:rPr>
      </w:pPr>
      <w:r w:rsidRPr="0042238A">
        <w:rPr>
          <w:lang w:val="fr-FR" w:eastAsia="en-US"/>
        </w:rPr>
        <w:tab/>
      </w:r>
      <w:r w:rsidRPr="0042238A">
        <w:rPr>
          <w:lang w:val="fr-FR" w:eastAsia="en-US"/>
        </w:rPr>
        <w:tab/>
        <w:t>Chapitre 1.5</w:t>
      </w:r>
    </w:p>
    <w:p w14:paraId="7B1B2982" w14:textId="77777777" w:rsidR="00B26045" w:rsidRPr="00E44533" w:rsidRDefault="00B26045" w:rsidP="00B26045">
      <w:pPr>
        <w:spacing w:after="120"/>
        <w:ind w:left="1134" w:right="1134"/>
        <w:jc w:val="both"/>
        <w:rPr>
          <w:rFonts w:eastAsiaTheme="minorHAnsi"/>
          <w:lang w:val="fr-FR" w:eastAsia="en-US"/>
        </w:rPr>
      </w:pPr>
      <w:r w:rsidRPr="0042238A">
        <w:rPr>
          <w:rFonts w:eastAsiaTheme="minorHAnsi"/>
          <w:lang w:val="fr-FR" w:eastAsia="en-US"/>
        </w:rPr>
        <w:t>1.5.1.1</w:t>
      </w:r>
      <w:r w:rsidRPr="0042238A">
        <w:rPr>
          <w:rFonts w:eastAsiaTheme="minorHAnsi"/>
          <w:lang w:val="fr-FR" w:eastAsia="en-US"/>
        </w:rPr>
        <w:tab/>
      </w:r>
      <w:r w:rsidRPr="0042238A">
        <w:rPr>
          <w:rFonts w:eastAsiaTheme="minorHAnsi"/>
          <w:lang w:val="fr-FR" w:eastAsia="en-US"/>
        </w:rPr>
        <w:tab/>
        <w:t xml:space="preserve">Modifier la deuxième phrase comme suit : « Il est fondé sur l’édition 2018 du </w:t>
      </w:r>
      <w:r w:rsidRPr="0042238A">
        <w:rPr>
          <w:rFonts w:eastAsiaTheme="minorHAnsi"/>
          <w:i/>
          <w:iCs/>
          <w:lang w:val="fr-FR" w:eastAsia="en-US"/>
        </w:rPr>
        <w:t>Règlement de transport des matières radioactives</w:t>
      </w:r>
      <w:r w:rsidRPr="0042238A">
        <w:rPr>
          <w:rFonts w:eastAsiaTheme="minorHAnsi"/>
          <w:lang w:val="fr-FR" w:eastAsia="en-US"/>
        </w:rPr>
        <w:t xml:space="preserve"> de l’AIEA. »</w:t>
      </w:r>
    </w:p>
    <w:p w14:paraId="12B34582" w14:textId="77777777" w:rsidR="00B26045" w:rsidRPr="00E44533" w:rsidRDefault="00B26045" w:rsidP="00B26045">
      <w:pPr>
        <w:pStyle w:val="H1G"/>
        <w:rPr>
          <w:lang w:val="fr-FR" w:eastAsia="en-US"/>
        </w:rPr>
      </w:pPr>
      <w:r w:rsidRPr="0042238A">
        <w:rPr>
          <w:lang w:val="fr-FR" w:eastAsia="en-US"/>
        </w:rPr>
        <w:lastRenderedPageBreak/>
        <w:tab/>
      </w:r>
      <w:r w:rsidRPr="0042238A">
        <w:rPr>
          <w:lang w:val="fr-FR" w:eastAsia="en-US"/>
        </w:rPr>
        <w:tab/>
      </w:r>
      <w:r w:rsidRPr="00E44533">
        <w:rPr>
          <w:lang w:val="fr-FR" w:eastAsia="en-US"/>
        </w:rPr>
        <w:t>Chapitre 2.4</w:t>
      </w:r>
    </w:p>
    <w:p w14:paraId="027E3D3C" w14:textId="21EA56A6" w:rsidR="00B26045" w:rsidRPr="00E44533" w:rsidRDefault="00B26045" w:rsidP="00B26045">
      <w:pPr>
        <w:kinsoku/>
        <w:overflowPunct/>
        <w:autoSpaceDE/>
        <w:autoSpaceDN/>
        <w:adjustRightInd/>
        <w:snapToGrid/>
        <w:spacing w:after="120"/>
        <w:ind w:left="2268" w:right="1134" w:hanging="1134"/>
        <w:jc w:val="both"/>
        <w:rPr>
          <w:lang w:val="fr-FR" w:eastAsia="en-US"/>
        </w:rPr>
      </w:pPr>
      <w:r w:rsidRPr="00E44533">
        <w:rPr>
          <w:lang w:val="fr-FR" w:eastAsia="en-US"/>
        </w:rPr>
        <w:t>2.4.2.3.2.3</w:t>
      </w:r>
      <w:r w:rsidRPr="00E44533">
        <w:rPr>
          <w:lang w:val="fr-FR" w:eastAsia="en-US"/>
        </w:rPr>
        <w:tab/>
        <w:t>Dans la dernière phrase, remplacer « Les préparations énumérées » par « Les préparations non énumérées dans la présente disposition mais énumérées ».</w:t>
      </w:r>
    </w:p>
    <w:p w14:paraId="5434CED0" w14:textId="14F8F640" w:rsidR="00B26045" w:rsidRPr="00E44533" w:rsidRDefault="00B26045" w:rsidP="00B26045">
      <w:pPr>
        <w:kinsoku/>
        <w:overflowPunct/>
        <w:autoSpaceDE/>
        <w:autoSpaceDN/>
        <w:adjustRightInd/>
        <w:snapToGrid/>
        <w:spacing w:before="120" w:after="120"/>
        <w:ind w:left="2268" w:right="1134" w:hanging="1134"/>
        <w:jc w:val="both"/>
        <w:rPr>
          <w:lang w:val="fr-FR" w:eastAsia="en-US"/>
        </w:rPr>
      </w:pPr>
      <w:r w:rsidRPr="00E44533">
        <w:rPr>
          <w:lang w:val="fr-FR" w:eastAsia="en-US"/>
        </w:rPr>
        <w:tab/>
        <w:t>Dans le tableau, insérer la nouvelle rubrique suivante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025"/>
        <w:gridCol w:w="1025"/>
        <w:gridCol w:w="1025"/>
        <w:gridCol w:w="1025"/>
        <w:gridCol w:w="1025"/>
        <w:gridCol w:w="1026"/>
      </w:tblGrid>
      <w:tr w:rsidR="00B26045" w:rsidRPr="0042238A" w14:paraId="2DF40DBA" w14:textId="77777777" w:rsidTr="00FC798A">
        <w:trPr>
          <w:trHeight w:val="360"/>
        </w:trPr>
        <w:tc>
          <w:tcPr>
            <w:tcW w:w="1980" w:type="dxa"/>
            <w:shd w:val="clear" w:color="auto" w:fill="auto"/>
          </w:tcPr>
          <w:p w14:paraId="08EEDA6E" w14:textId="77777777" w:rsidR="00B26045" w:rsidRPr="0042238A" w:rsidRDefault="00B26045" w:rsidP="00FC798A">
            <w:pPr>
              <w:tabs>
                <w:tab w:val="left" w:pos="1269"/>
              </w:tabs>
              <w:spacing w:after="120" w:line="240" w:lineRule="auto"/>
              <w:rPr>
                <w:rFonts w:eastAsiaTheme="minorHAnsi"/>
                <w:lang w:val="fr-FR" w:eastAsia="en-US"/>
              </w:rPr>
            </w:pPr>
            <w:r w:rsidRPr="0042238A">
              <w:rPr>
                <w:rFonts w:eastAsiaTheme="minorHAnsi"/>
                <w:lang w:val="fr-FR" w:eastAsia="en-US"/>
              </w:rPr>
              <w:t xml:space="preserve">Acide (7-méthoxy-5-méthyle-benzothiophène-2-yl) </w:t>
            </w:r>
            <w:proofErr w:type="spellStart"/>
            <w:r w:rsidRPr="0042238A">
              <w:rPr>
                <w:rFonts w:eastAsiaTheme="minorHAnsi"/>
                <w:lang w:val="fr-FR" w:eastAsia="en-US"/>
              </w:rPr>
              <w:t>boronique</w:t>
            </w:r>
            <w:proofErr w:type="spellEnd"/>
          </w:p>
        </w:tc>
        <w:tc>
          <w:tcPr>
            <w:tcW w:w="1025" w:type="dxa"/>
            <w:shd w:val="clear" w:color="auto" w:fill="auto"/>
          </w:tcPr>
          <w:p w14:paraId="4E3E71C5" w14:textId="77777777" w:rsidR="00B26045" w:rsidRPr="0042238A" w:rsidRDefault="00B26045" w:rsidP="00FC798A">
            <w:pPr>
              <w:spacing w:after="120" w:line="240" w:lineRule="auto"/>
              <w:ind w:right="7"/>
              <w:jc w:val="center"/>
              <w:rPr>
                <w:rFonts w:eastAsiaTheme="minorHAnsi"/>
                <w:sz w:val="16"/>
                <w:lang w:val="fr-FR" w:eastAsia="en-US"/>
              </w:rPr>
            </w:pPr>
            <w:r w:rsidRPr="0042238A">
              <w:rPr>
                <w:rFonts w:eastAsiaTheme="minorHAnsi"/>
                <w:lang w:val="fr-FR" w:eastAsia="en-US"/>
              </w:rPr>
              <w:t>88-100</w:t>
            </w:r>
          </w:p>
        </w:tc>
        <w:tc>
          <w:tcPr>
            <w:tcW w:w="1025" w:type="dxa"/>
            <w:shd w:val="clear" w:color="auto" w:fill="auto"/>
          </w:tcPr>
          <w:p w14:paraId="4C9F7B2A" w14:textId="77777777" w:rsidR="00B26045" w:rsidRPr="0042238A" w:rsidRDefault="00B26045" w:rsidP="00FC798A">
            <w:pPr>
              <w:spacing w:after="120" w:line="240" w:lineRule="auto"/>
              <w:ind w:right="7"/>
              <w:jc w:val="center"/>
              <w:rPr>
                <w:rFonts w:eastAsiaTheme="minorHAnsi"/>
                <w:sz w:val="16"/>
                <w:lang w:val="fr-FR" w:eastAsia="en-US"/>
              </w:rPr>
            </w:pPr>
            <w:r w:rsidRPr="0042238A">
              <w:rPr>
                <w:rFonts w:eastAsiaTheme="minorHAnsi"/>
                <w:lang w:val="fr-FR" w:eastAsia="en-US"/>
              </w:rPr>
              <w:t>OP7</w:t>
            </w:r>
          </w:p>
        </w:tc>
        <w:tc>
          <w:tcPr>
            <w:tcW w:w="1025" w:type="dxa"/>
            <w:shd w:val="clear" w:color="auto" w:fill="auto"/>
          </w:tcPr>
          <w:p w14:paraId="1D44E9FA" w14:textId="77777777" w:rsidR="00B26045" w:rsidRPr="0042238A" w:rsidRDefault="00B26045" w:rsidP="00FC798A">
            <w:pPr>
              <w:spacing w:after="120" w:line="240" w:lineRule="auto"/>
              <w:ind w:right="1134"/>
              <w:jc w:val="center"/>
              <w:rPr>
                <w:rFonts w:eastAsiaTheme="minorHAnsi"/>
                <w:sz w:val="16"/>
                <w:lang w:val="fr-FR" w:eastAsia="en-US"/>
              </w:rPr>
            </w:pPr>
          </w:p>
        </w:tc>
        <w:tc>
          <w:tcPr>
            <w:tcW w:w="1025" w:type="dxa"/>
            <w:shd w:val="clear" w:color="auto" w:fill="auto"/>
          </w:tcPr>
          <w:p w14:paraId="77D0EEFD" w14:textId="77777777" w:rsidR="00B26045" w:rsidRPr="0042238A" w:rsidRDefault="00B26045" w:rsidP="00FC798A">
            <w:pPr>
              <w:spacing w:after="120" w:line="240" w:lineRule="auto"/>
              <w:ind w:right="1134"/>
              <w:jc w:val="center"/>
              <w:rPr>
                <w:rFonts w:eastAsiaTheme="minorHAnsi"/>
                <w:sz w:val="16"/>
                <w:lang w:val="fr-FR" w:eastAsia="en-US"/>
              </w:rPr>
            </w:pPr>
          </w:p>
        </w:tc>
        <w:tc>
          <w:tcPr>
            <w:tcW w:w="1025" w:type="dxa"/>
            <w:shd w:val="clear" w:color="auto" w:fill="auto"/>
          </w:tcPr>
          <w:p w14:paraId="256D5194" w14:textId="77777777" w:rsidR="00B26045" w:rsidRPr="0042238A" w:rsidRDefault="00B26045" w:rsidP="00FC798A">
            <w:pPr>
              <w:spacing w:after="120" w:line="240" w:lineRule="auto"/>
              <w:ind w:right="7"/>
              <w:jc w:val="center"/>
              <w:rPr>
                <w:rFonts w:eastAsiaTheme="minorHAnsi"/>
                <w:sz w:val="16"/>
                <w:lang w:val="fr-FR" w:eastAsia="en-US"/>
              </w:rPr>
            </w:pPr>
            <w:r w:rsidRPr="0042238A">
              <w:rPr>
                <w:rFonts w:eastAsiaTheme="minorHAnsi"/>
                <w:lang w:val="fr-FR" w:eastAsia="en-US"/>
              </w:rPr>
              <w:t>3230</w:t>
            </w:r>
          </w:p>
        </w:tc>
        <w:tc>
          <w:tcPr>
            <w:tcW w:w="1026" w:type="dxa"/>
            <w:shd w:val="clear" w:color="auto" w:fill="auto"/>
          </w:tcPr>
          <w:p w14:paraId="6DDF635E" w14:textId="77777777" w:rsidR="00B26045" w:rsidRPr="0042238A" w:rsidRDefault="00B26045" w:rsidP="00FC798A">
            <w:pPr>
              <w:spacing w:after="120" w:line="240" w:lineRule="auto"/>
              <w:ind w:right="7"/>
              <w:jc w:val="center"/>
              <w:rPr>
                <w:rFonts w:eastAsiaTheme="minorHAnsi"/>
                <w:sz w:val="16"/>
                <w:lang w:val="fr-FR" w:eastAsia="en-US"/>
              </w:rPr>
            </w:pPr>
            <w:r w:rsidRPr="0042238A">
              <w:rPr>
                <w:rFonts w:eastAsiaTheme="minorHAnsi"/>
                <w:lang w:val="fr-FR" w:eastAsia="en-US"/>
              </w:rPr>
              <w:t>11)</w:t>
            </w:r>
          </w:p>
        </w:tc>
      </w:tr>
    </w:tbl>
    <w:p w14:paraId="06BF66B9" w14:textId="77777777" w:rsidR="00B26045" w:rsidRPr="0042238A" w:rsidRDefault="00B26045" w:rsidP="00B26045">
      <w:pPr>
        <w:tabs>
          <w:tab w:val="left" w:pos="2268"/>
        </w:tabs>
        <w:spacing w:before="240" w:after="120"/>
        <w:ind w:left="1134" w:right="1134"/>
        <w:jc w:val="both"/>
        <w:rPr>
          <w:rFonts w:eastAsiaTheme="minorHAnsi"/>
          <w:lang w:val="fr-FR" w:eastAsia="en-US"/>
        </w:rPr>
      </w:pPr>
      <w:r w:rsidRPr="0042238A">
        <w:rPr>
          <w:rFonts w:eastAsiaTheme="minorHAnsi"/>
          <w:lang w:val="fr-FR" w:eastAsia="en-US"/>
        </w:rPr>
        <w:tab/>
        <w:t>Ajouter la remarque suivante sous le tableau :</w:t>
      </w:r>
    </w:p>
    <w:p w14:paraId="77D48BFD" w14:textId="01928796" w:rsidR="00B26045" w:rsidRPr="0042238A" w:rsidRDefault="00B26045" w:rsidP="00B26045">
      <w:pPr>
        <w:pStyle w:val="SingleTxtG"/>
        <w:rPr>
          <w:rFonts w:eastAsiaTheme="minorHAnsi"/>
          <w:lang w:val="fr-FR" w:eastAsia="en-US"/>
        </w:rPr>
      </w:pPr>
      <w:r w:rsidRPr="0042238A">
        <w:rPr>
          <w:rFonts w:eastAsiaTheme="minorHAnsi"/>
          <w:lang w:val="fr-FR" w:eastAsia="en-US"/>
        </w:rPr>
        <w:t xml:space="preserve">« 11) </w:t>
      </w:r>
      <w:r w:rsidRPr="0042238A">
        <w:rPr>
          <w:rFonts w:eastAsiaTheme="minorHAnsi"/>
          <w:lang w:val="fr-FR" w:eastAsia="en-US"/>
        </w:rPr>
        <w:tab/>
        <w:t>Le composé technique présentant les limites de concentration spécifiées peut contenir jusqu’à 12</w:t>
      </w:r>
      <w:r w:rsidR="00FE033C" w:rsidRPr="0042238A">
        <w:rPr>
          <w:rFonts w:eastAsiaTheme="minorHAnsi"/>
          <w:lang w:val="fr-FR" w:eastAsia="en-US"/>
        </w:rPr>
        <w:t> </w:t>
      </w:r>
      <w:r w:rsidRPr="0042238A">
        <w:rPr>
          <w:rFonts w:eastAsiaTheme="minorHAnsi"/>
          <w:lang w:val="fr-FR" w:eastAsia="en-US"/>
        </w:rPr>
        <w:t>% d’eau et jusqu’à 1</w:t>
      </w:r>
      <w:r w:rsidR="00FE033C" w:rsidRPr="0042238A">
        <w:rPr>
          <w:rFonts w:eastAsiaTheme="minorHAnsi"/>
          <w:lang w:val="fr-FR" w:eastAsia="en-US"/>
        </w:rPr>
        <w:t> </w:t>
      </w:r>
      <w:r w:rsidRPr="0042238A">
        <w:rPr>
          <w:rFonts w:eastAsiaTheme="minorHAnsi"/>
          <w:lang w:val="fr-FR" w:eastAsia="en-US"/>
        </w:rPr>
        <w:t>% d’impuretés organiques. »</w:t>
      </w:r>
    </w:p>
    <w:p w14:paraId="0BE3C021" w14:textId="77777777" w:rsidR="00CC7A90" w:rsidRPr="00E44533" w:rsidRDefault="00CC7A90" w:rsidP="00CC7A90">
      <w:pPr>
        <w:pStyle w:val="H1G"/>
        <w:rPr>
          <w:lang w:val="fr-FR"/>
        </w:rPr>
      </w:pPr>
      <w:r w:rsidRPr="0042238A">
        <w:rPr>
          <w:lang w:val="fr-FR"/>
        </w:rPr>
        <w:tab/>
      </w:r>
      <w:r w:rsidRPr="0042238A">
        <w:rPr>
          <w:lang w:val="fr-FR"/>
        </w:rPr>
        <w:tab/>
        <w:t>Chapitre 2.5</w:t>
      </w:r>
    </w:p>
    <w:p w14:paraId="01A798F4" w14:textId="7989435E" w:rsidR="005E0013" w:rsidRPr="00E44533" w:rsidRDefault="005E0013" w:rsidP="005E0013">
      <w:pPr>
        <w:kinsoku/>
        <w:overflowPunct/>
        <w:autoSpaceDE/>
        <w:autoSpaceDN/>
        <w:adjustRightInd/>
        <w:snapToGrid/>
        <w:spacing w:after="120"/>
        <w:ind w:left="2268" w:right="1134" w:hanging="1134"/>
        <w:jc w:val="both"/>
        <w:rPr>
          <w:lang w:val="fr-FR" w:eastAsia="en-US"/>
        </w:rPr>
      </w:pPr>
      <w:r w:rsidRPr="00E44533">
        <w:rPr>
          <w:lang w:val="fr-FR" w:eastAsia="en-US"/>
        </w:rPr>
        <w:t>2.5.3.2.4</w:t>
      </w:r>
      <w:r w:rsidRPr="00E44533">
        <w:rPr>
          <w:lang w:val="fr-FR" w:eastAsia="en-US"/>
        </w:rPr>
        <w:tab/>
        <w:t>Dans la dernière phrase, remplacer « Les préparations énumérées » par « Les préparations non énumérées dans la présente disposition mais énumérées ».</w:t>
      </w:r>
    </w:p>
    <w:p w14:paraId="43490E5B" w14:textId="18A315B6" w:rsidR="00687575" w:rsidRPr="0042238A" w:rsidRDefault="00687575" w:rsidP="00687575">
      <w:pPr>
        <w:pStyle w:val="SingleTxtG"/>
        <w:ind w:left="2268" w:hanging="1134"/>
        <w:rPr>
          <w:lang w:val="fr-FR"/>
        </w:rPr>
      </w:pPr>
      <w:r w:rsidRPr="0042238A">
        <w:rPr>
          <w:lang w:val="fr-FR"/>
        </w:rPr>
        <w:tab/>
        <w:t xml:space="preserve">Dans le tableau, insérer les nouvelles rubriques suivantes dans le bon ordre : </w:t>
      </w:r>
    </w:p>
    <w:tbl>
      <w:tblPr>
        <w:tblW w:w="0" w:type="auto"/>
        <w:tblLayout w:type="fixed"/>
        <w:tblLook w:val="0000" w:firstRow="0" w:lastRow="0" w:firstColumn="0" w:lastColumn="0" w:noHBand="0" w:noVBand="0"/>
      </w:tblPr>
      <w:tblGrid>
        <w:gridCol w:w="2182"/>
        <w:gridCol w:w="1580"/>
        <w:gridCol w:w="651"/>
        <w:gridCol w:w="652"/>
        <w:gridCol w:w="652"/>
        <w:gridCol w:w="652"/>
        <w:gridCol w:w="651"/>
        <w:gridCol w:w="652"/>
        <w:gridCol w:w="652"/>
        <w:gridCol w:w="652"/>
        <w:gridCol w:w="652"/>
      </w:tblGrid>
      <w:tr w:rsidR="00687575" w:rsidRPr="0042238A" w14:paraId="0247821B" w14:textId="77777777" w:rsidTr="00FC798A">
        <w:tc>
          <w:tcPr>
            <w:tcW w:w="2182" w:type="dxa"/>
            <w:tcBorders>
              <w:top w:val="single" w:sz="4" w:space="0" w:color="auto"/>
              <w:left w:val="single" w:sz="4" w:space="0" w:color="auto"/>
              <w:bottom w:val="single" w:sz="4" w:space="0" w:color="auto"/>
              <w:right w:val="single" w:sz="4" w:space="0" w:color="auto"/>
            </w:tcBorders>
            <w:vAlign w:val="center"/>
          </w:tcPr>
          <w:p w14:paraId="64B89212" w14:textId="77777777" w:rsidR="00687575" w:rsidRPr="00E44533" w:rsidRDefault="00687575" w:rsidP="00FC798A">
            <w:pPr>
              <w:spacing w:before="60" w:after="60"/>
              <w:rPr>
                <w:rFonts w:eastAsiaTheme="minorHAnsi"/>
                <w:sz w:val="18"/>
                <w:szCs w:val="18"/>
                <w:lang w:val="fr-FR" w:eastAsia="en-US"/>
              </w:rPr>
            </w:pPr>
            <w:r w:rsidRPr="0042238A">
              <w:rPr>
                <w:rFonts w:eastAsiaTheme="minorHAnsi"/>
                <w:lang w:val="fr-FR" w:eastAsia="en-US"/>
              </w:rPr>
              <w:t xml:space="preserve">CARBONATE D’ISOPROPYLE ET DE PEROXY </w:t>
            </w:r>
            <w:proofErr w:type="spellStart"/>
            <w:r w:rsidRPr="0042238A">
              <w:rPr>
                <w:rFonts w:eastAsiaTheme="minorHAnsi"/>
                <w:lang w:val="fr-FR" w:eastAsia="en-US"/>
              </w:rPr>
              <w:t>tert</w:t>
            </w:r>
            <w:proofErr w:type="spellEnd"/>
            <w:r w:rsidRPr="0042238A">
              <w:rPr>
                <w:rFonts w:eastAsiaTheme="minorHAnsi"/>
                <w:lang w:val="fr-FR" w:eastAsia="en-US"/>
              </w:rPr>
              <w:t>-BUTYLE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17C8B4A7" w14:textId="77777777" w:rsidR="00687575" w:rsidRPr="00E44533" w:rsidRDefault="00687575" w:rsidP="00FC798A">
            <w:pPr>
              <w:spacing w:before="60" w:after="60"/>
              <w:jc w:val="center"/>
              <w:rPr>
                <w:rFonts w:eastAsiaTheme="minorHAnsi"/>
                <w:sz w:val="18"/>
                <w:szCs w:val="18"/>
                <w:lang w:val="fr-FR" w:eastAsia="en-US"/>
              </w:rPr>
            </w:pPr>
            <w:r w:rsidRPr="0042238A">
              <w:rPr>
                <w:rFonts w:eastAsiaTheme="minorHAnsi"/>
                <w:lang w:val="fr-FR" w:eastAsia="en-US"/>
              </w:rPr>
              <w:t>≤ 62</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09C724AB" w14:textId="77777777" w:rsidR="00687575" w:rsidRPr="00E44533" w:rsidRDefault="00687575" w:rsidP="00FC798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7D657DD" w14:textId="77777777" w:rsidR="00687575" w:rsidRPr="00E44533" w:rsidRDefault="00687575" w:rsidP="00FC798A">
            <w:pPr>
              <w:spacing w:before="60" w:after="60"/>
              <w:jc w:val="center"/>
              <w:rPr>
                <w:rFonts w:eastAsiaTheme="minorHAnsi"/>
                <w:sz w:val="18"/>
                <w:szCs w:val="18"/>
                <w:lang w:val="fr-FR" w:eastAsia="en-US"/>
              </w:rPr>
            </w:pPr>
            <w:r w:rsidRPr="0042238A">
              <w:rPr>
                <w:rFonts w:eastAsiaTheme="minorHAnsi"/>
                <w:lang w:val="fr-FR" w:eastAsia="en-US"/>
              </w:rPr>
              <w:t>≥ 38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4F5856A" w14:textId="77777777" w:rsidR="00687575" w:rsidRPr="00E44533" w:rsidRDefault="00687575" w:rsidP="00FC798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A0BFBF7" w14:textId="77777777" w:rsidR="00687575" w:rsidRPr="00E44533" w:rsidRDefault="00687575" w:rsidP="00FC798A">
            <w:pPr>
              <w:spacing w:before="60" w:after="60"/>
              <w:jc w:val="center"/>
              <w:rPr>
                <w:rFonts w:eastAsiaTheme="minorHAnsi"/>
                <w:sz w:val="18"/>
                <w:szCs w:val="18"/>
                <w:lang w:val="fr-FR" w:eastAsia="en-US"/>
              </w:rPr>
            </w:pP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48CDFF02" w14:textId="77777777" w:rsidR="00687575" w:rsidRPr="00E44533" w:rsidRDefault="00687575" w:rsidP="00FC798A">
            <w:pPr>
              <w:spacing w:before="60" w:after="60"/>
              <w:jc w:val="center"/>
              <w:rPr>
                <w:rFonts w:eastAsiaTheme="minorHAnsi"/>
                <w:sz w:val="18"/>
                <w:szCs w:val="18"/>
                <w:lang w:val="fr-FR" w:eastAsia="en-US"/>
              </w:rPr>
            </w:pPr>
            <w:r w:rsidRPr="0042238A">
              <w:rPr>
                <w:rFonts w:eastAsiaTheme="minorHAnsi"/>
                <w:lang w:val="fr-FR" w:eastAsia="en-US"/>
              </w:rPr>
              <w:t>OP7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1BCC61F" w14:textId="77777777" w:rsidR="00687575" w:rsidRPr="00E44533" w:rsidRDefault="00687575" w:rsidP="00FC798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209574B" w14:textId="77777777" w:rsidR="00687575" w:rsidRPr="00E44533" w:rsidRDefault="00687575" w:rsidP="00FC798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B66D5C1" w14:textId="77777777" w:rsidR="00687575" w:rsidRPr="00E44533" w:rsidRDefault="00687575" w:rsidP="00FC798A">
            <w:pPr>
              <w:spacing w:before="60" w:after="60"/>
              <w:jc w:val="center"/>
              <w:rPr>
                <w:rFonts w:eastAsiaTheme="minorHAnsi"/>
                <w:sz w:val="18"/>
                <w:szCs w:val="18"/>
                <w:lang w:val="fr-FR" w:eastAsia="en-US"/>
              </w:rPr>
            </w:pPr>
            <w:r w:rsidRPr="0042238A">
              <w:rPr>
                <w:rFonts w:eastAsiaTheme="minorHAnsi"/>
                <w:lang w:val="fr-FR" w:eastAsia="en-US"/>
              </w:rPr>
              <w:t>3105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3230A1B" w14:textId="77777777" w:rsidR="00687575" w:rsidRPr="00E44533" w:rsidRDefault="00687575" w:rsidP="00FC798A">
            <w:pPr>
              <w:spacing w:before="60" w:after="60"/>
              <w:jc w:val="center"/>
              <w:rPr>
                <w:rFonts w:eastAsiaTheme="minorHAnsi"/>
                <w:sz w:val="18"/>
                <w:szCs w:val="18"/>
                <w:lang w:val="fr-FR" w:eastAsia="en-US"/>
              </w:rPr>
            </w:pPr>
          </w:p>
        </w:tc>
      </w:tr>
      <w:tr w:rsidR="00687575" w:rsidRPr="0042238A" w14:paraId="4EC73A4D" w14:textId="77777777" w:rsidTr="00FC798A">
        <w:tc>
          <w:tcPr>
            <w:tcW w:w="2182" w:type="dxa"/>
            <w:tcBorders>
              <w:top w:val="single" w:sz="4" w:space="0" w:color="auto"/>
              <w:left w:val="single" w:sz="4" w:space="0" w:color="auto"/>
              <w:bottom w:val="single" w:sz="4" w:space="0" w:color="auto"/>
              <w:right w:val="single" w:sz="4" w:space="0" w:color="auto"/>
            </w:tcBorders>
            <w:vAlign w:val="center"/>
          </w:tcPr>
          <w:p w14:paraId="0C57068D" w14:textId="77777777" w:rsidR="00687575" w:rsidRPr="00E44533" w:rsidRDefault="00687575" w:rsidP="00FC798A">
            <w:pPr>
              <w:spacing w:before="60" w:after="60"/>
              <w:rPr>
                <w:rFonts w:eastAsiaTheme="minorHAnsi"/>
                <w:sz w:val="18"/>
                <w:szCs w:val="18"/>
                <w:lang w:val="fr-FR" w:eastAsia="en-US"/>
              </w:rPr>
            </w:pPr>
            <w:r w:rsidRPr="0042238A">
              <w:rPr>
                <w:rFonts w:eastAsiaTheme="minorHAnsi"/>
                <w:lang w:val="fr-FR" w:eastAsia="en-US"/>
              </w:rPr>
              <w:t xml:space="preserve">PEROXYPIVALATE DE </w:t>
            </w:r>
            <w:proofErr w:type="spellStart"/>
            <w:r w:rsidRPr="0042238A">
              <w:rPr>
                <w:rFonts w:eastAsiaTheme="minorHAnsi"/>
                <w:lang w:val="fr-FR" w:eastAsia="en-US"/>
              </w:rPr>
              <w:t>tert</w:t>
            </w:r>
            <w:proofErr w:type="spellEnd"/>
            <w:r w:rsidRPr="0042238A">
              <w:rPr>
                <w:rFonts w:eastAsiaTheme="minorHAnsi"/>
                <w:lang w:val="fr-FR" w:eastAsia="en-US"/>
              </w:rPr>
              <w:t>-HEXYLE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01A3004F" w14:textId="77777777" w:rsidR="00687575" w:rsidRPr="00E44533" w:rsidRDefault="00687575" w:rsidP="00FC798A">
            <w:pPr>
              <w:spacing w:before="60" w:after="60"/>
              <w:jc w:val="center"/>
              <w:rPr>
                <w:rFonts w:eastAsiaTheme="minorHAnsi"/>
                <w:sz w:val="18"/>
                <w:szCs w:val="18"/>
                <w:lang w:val="fr-FR" w:eastAsia="en-US"/>
              </w:rPr>
            </w:pPr>
            <w:r w:rsidRPr="0042238A">
              <w:rPr>
                <w:rFonts w:eastAsiaTheme="minorHAnsi"/>
                <w:lang w:val="fr-FR" w:eastAsia="en-US"/>
              </w:rPr>
              <w:t>≤ 52 (dispersion stable dans l’eau)</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654F79D4" w14:textId="77777777" w:rsidR="00687575" w:rsidRPr="00E44533" w:rsidRDefault="00687575" w:rsidP="00FC798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501B23B" w14:textId="77777777" w:rsidR="00687575" w:rsidRPr="00E44533" w:rsidRDefault="00687575" w:rsidP="00FC798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D1F5548" w14:textId="77777777" w:rsidR="00687575" w:rsidRPr="00E44533" w:rsidRDefault="00687575" w:rsidP="00FC798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6176872" w14:textId="77777777" w:rsidR="00687575" w:rsidRPr="00E44533" w:rsidRDefault="00687575" w:rsidP="00FC798A">
            <w:pPr>
              <w:spacing w:before="60" w:after="60"/>
              <w:jc w:val="center"/>
              <w:rPr>
                <w:rFonts w:eastAsiaTheme="minorHAnsi"/>
                <w:sz w:val="18"/>
                <w:szCs w:val="18"/>
                <w:lang w:val="fr-FR" w:eastAsia="en-US"/>
              </w:rPr>
            </w:pP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5B0ECD95" w14:textId="77777777" w:rsidR="00687575" w:rsidRPr="00E44533" w:rsidRDefault="00687575" w:rsidP="00FC798A">
            <w:pPr>
              <w:spacing w:before="60" w:after="60"/>
              <w:jc w:val="center"/>
              <w:rPr>
                <w:rFonts w:eastAsiaTheme="minorHAnsi"/>
                <w:sz w:val="18"/>
                <w:szCs w:val="18"/>
                <w:lang w:val="fr-FR" w:eastAsia="en-US"/>
              </w:rPr>
            </w:pPr>
            <w:r w:rsidRPr="0042238A">
              <w:rPr>
                <w:rFonts w:eastAsiaTheme="minorHAnsi"/>
                <w:lang w:val="fr-FR" w:eastAsia="en-US"/>
              </w:rPr>
              <w:t>OP8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1F1A3BF" w14:textId="77777777" w:rsidR="00687575" w:rsidRPr="00E44533" w:rsidRDefault="00687575" w:rsidP="00FC798A">
            <w:pPr>
              <w:spacing w:before="60" w:after="60"/>
              <w:jc w:val="center"/>
              <w:rPr>
                <w:rFonts w:eastAsiaTheme="minorHAnsi"/>
                <w:sz w:val="18"/>
                <w:szCs w:val="18"/>
                <w:lang w:val="fr-FR" w:eastAsia="en-US"/>
              </w:rPr>
            </w:pPr>
            <w:r w:rsidRPr="0042238A">
              <w:rPr>
                <w:rFonts w:eastAsiaTheme="minorHAnsi"/>
                <w:lang w:val="fr-FR" w:eastAsia="en-US"/>
              </w:rPr>
              <w:t>+ 15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E23AF54" w14:textId="77777777" w:rsidR="00687575" w:rsidRPr="00E44533" w:rsidRDefault="00687575" w:rsidP="00FC798A">
            <w:pPr>
              <w:spacing w:before="60" w:after="60"/>
              <w:jc w:val="center"/>
              <w:rPr>
                <w:rFonts w:eastAsiaTheme="minorHAnsi"/>
                <w:sz w:val="18"/>
                <w:szCs w:val="18"/>
                <w:lang w:val="fr-FR" w:eastAsia="en-US"/>
              </w:rPr>
            </w:pPr>
            <w:r w:rsidRPr="0042238A">
              <w:rPr>
                <w:rFonts w:eastAsiaTheme="minorHAnsi"/>
                <w:lang w:val="fr-FR" w:eastAsia="en-US"/>
              </w:rPr>
              <w:t>+ 20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A09F44C" w14:textId="77777777" w:rsidR="00687575" w:rsidRPr="00E44533" w:rsidRDefault="00687575" w:rsidP="00FC798A">
            <w:pPr>
              <w:spacing w:before="60" w:after="60"/>
              <w:jc w:val="center"/>
              <w:rPr>
                <w:rFonts w:eastAsiaTheme="minorHAnsi"/>
                <w:sz w:val="18"/>
                <w:szCs w:val="18"/>
                <w:lang w:val="fr-FR" w:eastAsia="en-US"/>
              </w:rPr>
            </w:pPr>
            <w:r w:rsidRPr="0042238A">
              <w:rPr>
                <w:rFonts w:eastAsiaTheme="minorHAnsi"/>
                <w:lang w:val="fr-FR" w:eastAsia="en-US"/>
              </w:rPr>
              <w:t>3117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AEDC5BA" w14:textId="77777777" w:rsidR="00687575" w:rsidRPr="00E44533" w:rsidRDefault="00687575" w:rsidP="00FC798A">
            <w:pPr>
              <w:spacing w:before="60" w:after="60"/>
              <w:jc w:val="center"/>
              <w:rPr>
                <w:rFonts w:eastAsiaTheme="minorHAnsi"/>
                <w:sz w:val="18"/>
                <w:szCs w:val="18"/>
                <w:lang w:val="fr-FR" w:eastAsia="en-US"/>
              </w:rPr>
            </w:pPr>
          </w:p>
        </w:tc>
      </w:tr>
      <w:tr w:rsidR="00687575" w:rsidRPr="0042238A" w14:paraId="0A7B952E" w14:textId="77777777" w:rsidTr="00FC798A">
        <w:tc>
          <w:tcPr>
            <w:tcW w:w="2182" w:type="dxa"/>
            <w:tcBorders>
              <w:top w:val="single" w:sz="4" w:space="0" w:color="auto"/>
              <w:left w:val="single" w:sz="4" w:space="0" w:color="auto"/>
              <w:bottom w:val="single" w:sz="4" w:space="0" w:color="auto"/>
              <w:right w:val="single" w:sz="4" w:space="0" w:color="auto"/>
            </w:tcBorders>
            <w:vAlign w:val="center"/>
          </w:tcPr>
          <w:p w14:paraId="2939C70D" w14:textId="7D5DD183" w:rsidR="00687575" w:rsidRPr="0042238A" w:rsidRDefault="00687575" w:rsidP="00FC798A">
            <w:pPr>
              <w:spacing w:before="60" w:after="60"/>
              <w:rPr>
                <w:rFonts w:eastAsiaTheme="minorHAnsi"/>
                <w:lang w:val="fr-FR" w:eastAsia="en-US"/>
              </w:rPr>
            </w:pPr>
            <w:r w:rsidRPr="0042238A">
              <w:rPr>
                <w:lang w:val="fr-FR"/>
              </w:rPr>
              <w:t>PEROXYDE D’ACÉTYLACÉTONE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2895FC37" w14:textId="0F9993C5" w:rsidR="00687575" w:rsidRPr="0042238A" w:rsidRDefault="00687575" w:rsidP="00FC798A">
            <w:pPr>
              <w:spacing w:before="60" w:after="60"/>
              <w:jc w:val="center"/>
              <w:rPr>
                <w:rFonts w:eastAsiaTheme="minorHAnsi"/>
                <w:lang w:val="fr-FR" w:eastAsia="en-US"/>
              </w:rPr>
            </w:pPr>
            <w:r w:rsidRPr="0042238A">
              <w:rPr>
                <w:rFonts w:eastAsiaTheme="minorHAnsi"/>
                <w:lang w:val="fr-FR" w:eastAsia="en-US"/>
              </w:rPr>
              <w:t>≤ 35</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1CF99031" w14:textId="66838501" w:rsidR="00687575" w:rsidRPr="00D268A7" w:rsidRDefault="00687575" w:rsidP="00FC798A">
            <w:pPr>
              <w:spacing w:before="60" w:after="60"/>
              <w:jc w:val="center"/>
              <w:rPr>
                <w:rFonts w:eastAsiaTheme="minorHAnsi"/>
                <w:sz w:val="18"/>
                <w:szCs w:val="18"/>
                <w:lang w:val="fr-FR" w:eastAsia="en-US"/>
              </w:rPr>
            </w:pPr>
            <w:r w:rsidRPr="00D268A7">
              <w:rPr>
                <w:rFonts w:eastAsiaTheme="minorHAnsi"/>
                <w:sz w:val="18"/>
                <w:szCs w:val="18"/>
                <w:lang w:val="fr-FR" w:eastAsia="en-US"/>
              </w:rPr>
              <w:t>≥ 57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D1D62D9" w14:textId="77777777" w:rsidR="00687575" w:rsidRPr="00D268A7" w:rsidRDefault="00687575" w:rsidP="00FC798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B65D767" w14:textId="77777777" w:rsidR="00687575" w:rsidRPr="00D268A7" w:rsidRDefault="00687575" w:rsidP="00FC798A">
            <w:pPr>
              <w:spacing w:before="60" w:after="60"/>
              <w:jc w:val="center"/>
              <w:rPr>
                <w:rFonts w:eastAsiaTheme="minorHAnsi"/>
                <w:sz w:val="18"/>
                <w:szCs w:val="18"/>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D056993" w14:textId="4FBC16E4" w:rsidR="00687575" w:rsidRPr="00D268A7" w:rsidRDefault="00687575" w:rsidP="00FC798A">
            <w:pPr>
              <w:spacing w:before="60" w:after="60"/>
              <w:jc w:val="center"/>
              <w:rPr>
                <w:rFonts w:eastAsiaTheme="minorHAnsi"/>
                <w:sz w:val="18"/>
                <w:szCs w:val="18"/>
                <w:lang w:val="fr-FR" w:eastAsia="en-US"/>
              </w:rPr>
            </w:pPr>
            <w:r w:rsidRPr="00D268A7">
              <w:rPr>
                <w:rFonts w:eastAsiaTheme="minorHAnsi"/>
                <w:sz w:val="18"/>
                <w:szCs w:val="18"/>
                <w:lang w:val="fr-FR" w:eastAsia="en-US"/>
              </w:rPr>
              <w:t>≥ 8</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03B02078" w14:textId="5BA936BF" w:rsidR="00687575" w:rsidRPr="0042238A" w:rsidRDefault="00687575" w:rsidP="00FC798A">
            <w:pPr>
              <w:spacing w:before="60" w:after="60"/>
              <w:jc w:val="center"/>
              <w:rPr>
                <w:rFonts w:eastAsiaTheme="minorHAnsi"/>
                <w:lang w:val="fr-FR" w:eastAsia="en-US"/>
              </w:rPr>
            </w:pPr>
            <w:r w:rsidRPr="0042238A">
              <w:rPr>
                <w:rFonts w:eastAsiaTheme="minorHAnsi"/>
                <w:lang w:val="fr-FR" w:eastAsia="en-US"/>
              </w:rPr>
              <w:t>OP8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6DA5D02" w14:textId="77777777" w:rsidR="00687575" w:rsidRPr="0042238A" w:rsidRDefault="00687575" w:rsidP="00FC798A">
            <w:pPr>
              <w:spacing w:before="60" w:after="60"/>
              <w:jc w:val="center"/>
              <w:rPr>
                <w:rFonts w:eastAsiaTheme="minorHAnsi"/>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22EDF28" w14:textId="77777777" w:rsidR="00687575" w:rsidRPr="0042238A" w:rsidRDefault="00687575" w:rsidP="00FC798A">
            <w:pPr>
              <w:spacing w:before="60" w:after="60"/>
              <w:jc w:val="center"/>
              <w:rPr>
                <w:rFonts w:eastAsiaTheme="minorHAnsi"/>
                <w:lang w:val="fr-FR"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B33DBAB" w14:textId="1991BA79" w:rsidR="00687575" w:rsidRPr="0042238A" w:rsidRDefault="00687575" w:rsidP="00FC798A">
            <w:pPr>
              <w:spacing w:before="60" w:after="60"/>
              <w:jc w:val="center"/>
              <w:rPr>
                <w:rFonts w:eastAsiaTheme="minorHAnsi"/>
                <w:lang w:val="fr-FR" w:eastAsia="en-US"/>
              </w:rPr>
            </w:pPr>
            <w:r w:rsidRPr="0042238A">
              <w:rPr>
                <w:rFonts w:eastAsiaTheme="minorHAnsi"/>
                <w:lang w:val="fr-FR" w:eastAsia="en-US"/>
              </w:rPr>
              <w:t>3107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F7F1CAB" w14:textId="52BCA2B1" w:rsidR="00687575" w:rsidRPr="00D268A7" w:rsidRDefault="00687575" w:rsidP="00FC798A">
            <w:pPr>
              <w:spacing w:before="60" w:after="60"/>
              <w:jc w:val="center"/>
              <w:rPr>
                <w:rFonts w:eastAsiaTheme="minorHAnsi"/>
                <w:sz w:val="18"/>
                <w:szCs w:val="18"/>
                <w:lang w:val="fr-FR" w:eastAsia="en-US"/>
              </w:rPr>
            </w:pPr>
            <w:r w:rsidRPr="00D268A7">
              <w:rPr>
                <w:rFonts w:eastAsiaTheme="minorHAnsi"/>
                <w:sz w:val="18"/>
                <w:szCs w:val="18"/>
                <w:lang w:val="fr-FR" w:eastAsia="en-US"/>
              </w:rPr>
              <w:t>32)</w:t>
            </w:r>
          </w:p>
        </w:tc>
      </w:tr>
    </w:tbl>
    <w:p w14:paraId="4DA98BC2" w14:textId="77777777" w:rsidR="00CC7A90" w:rsidRPr="00D268A7" w:rsidRDefault="00CC7A90" w:rsidP="00CC7A90">
      <w:pPr>
        <w:pStyle w:val="SingleTxtG"/>
        <w:spacing w:before="240"/>
        <w:ind w:left="2268"/>
        <w:rPr>
          <w:lang w:val="fr-FR"/>
        </w:rPr>
      </w:pPr>
      <w:r w:rsidRPr="00D268A7">
        <w:rPr>
          <w:lang w:val="fr-FR"/>
        </w:rPr>
        <w:t>Dans la liste des « Observations » ajouter la nouvelle rubrique suivante :</w:t>
      </w:r>
    </w:p>
    <w:p w14:paraId="7C6366D1" w14:textId="77777777" w:rsidR="00CC7A90" w:rsidRPr="00D268A7" w:rsidRDefault="00CC7A90" w:rsidP="00CC7A90">
      <w:pPr>
        <w:pStyle w:val="SingleTxtG"/>
        <w:ind w:left="2268"/>
        <w:rPr>
          <w:lang w:val="fr-FR"/>
        </w:rPr>
      </w:pPr>
      <w:r w:rsidRPr="00D268A7">
        <w:rPr>
          <w:lang w:val="fr-FR"/>
        </w:rPr>
        <w:t>« </w:t>
      </w:r>
      <w:r w:rsidRPr="00D268A7">
        <w:rPr>
          <w:i/>
          <w:iCs/>
          <w:lang w:val="fr-FR"/>
        </w:rPr>
        <w:t>32) Oxygène actif ≤ 4.15 %.</w:t>
      </w:r>
      <w:r w:rsidRPr="00D268A7">
        <w:rPr>
          <w:lang w:val="fr-FR"/>
        </w:rPr>
        <w:t> »</w:t>
      </w:r>
    </w:p>
    <w:p w14:paraId="3C9F92A1" w14:textId="77777777" w:rsidR="00B222D7" w:rsidRPr="00D268A7" w:rsidRDefault="00B222D7" w:rsidP="00B222D7">
      <w:pPr>
        <w:pStyle w:val="H1G"/>
        <w:rPr>
          <w:lang w:val="fr-FR" w:eastAsia="en-US"/>
        </w:rPr>
      </w:pPr>
      <w:r w:rsidRPr="0042238A">
        <w:rPr>
          <w:lang w:val="fr-FR" w:eastAsia="en-US"/>
        </w:rPr>
        <w:tab/>
      </w:r>
      <w:r w:rsidRPr="0042238A">
        <w:rPr>
          <w:lang w:val="fr-FR" w:eastAsia="en-US"/>
        </w:rPr>
        <w:tab/>
      </w:r>
      <w:r w:rsidRPr="00D268A7">
        <w:rPr>
          <w:lang w:val="fr-FR" w:eastAsia="en-US"/>
        </w:rPr>
        <w:t>Chapitre 2.6</w:t>
      </w:r>
    </w:p>
    <w:p w14:paraId="50C908AC" w14:textId="77777777" w:rsidR="00B222D7" w:rsidRPr="00D268A7" w:rsidRDefault="00B222D7" w:rsidP="00B222D7">
      <w:pPr>
        <w:pStyle w:val="SingleTxtG"/>
        <w:rPr>
          <w:lang w:val="fr-FR"/>
        </w:rPr>
      </w:pPr>
      <w:r w:rsidRPr="00D268A7">
        <w:rPr>
          <w:lang w:val="fr-FR"/>
        </w:rPr>
        <w:t>Dans le Nota 2 sous le titre du chapitre, à la fin, après « au numéro ONU 3172 », ajouter « ou au numéro ONU 3462 ».</w:t>
      </w:r>
    </w:p>
    <w:p w14:paraId="067AF47D" w14:textId="77777777" w:rsidR="00B222D7" w:rsidRPr="0042238A" w:rsidRDefault="00B222D7" w:rsidP="00B222D7">
      <w:pPr>
        <w:pStyle w:val="H1G"/>
        <w:rPr>
          <w:lang w:val="fr-FR" w:eastAsia="en-US"/>
        </w:rPr>
      </w:pPr>
      <w:r w:rsidRPr="0042238A">
        <w:rPr>
          <w:lang w:val="fr-FR" w:eastAsia="en-US"/>
        </w:rPr>
        <w:tab/>
      </w:r>
      <w:r w:rsidRPr="0042238A">
        <w:rPr>
          <w:lang w:val="fr-FR" w:eastAsia="en-US"/>
        </w:rPr>
        <w:tab/>
        <w:t>Chapitre 2.7</w:t>
      </w:r>
    </w:p>
    <w:p w14:paraId="36021D01" w14:textId="77777777" w:rsidR="00B222D7" w:rsidRPr="0042238A" w:rsidRDefault="00B222D7" w:rsidP="00B222D7">
      <w:pPr>
        <w:tabs>
          <w:tab w:val="left" w:pos="2268"/>
        </w:tabs>
        <w:kinsoku/>
        <w:overflowPunct/>
        <w:autoSpaceDE/>
        <w:autoSpaceDN/>
        <w:adjustRightInd/>
        <w:snapToGrid/>
        <w:spacing w:after="120"/>
        <w:ind w:left="1134" w:right="1134"/>
        <w:jc w:val="both"/>
        <w:rPr>
          <w:lang w:val="fr-FR" w:eastAsia="en-US"/>
        </w:rPr>
      </w:pPr>
      <w:r w:rsidRPr="0042238A">
        <w:rPr>
          <w:lang w:val="fr-FR" w:eastAsia="en-US"/>
        </w:rPr>
        <w:t xml:space="preserve">2.7.2.3.1.4 </w:t>
      </w:r>
      <w:r w:rsidRPr="0042238A">
        <w:rPr>
          <w:lang w:val="fr-FR" w:eastAsia="en-US"/>
        </w:rPr>
        <w:tab/>
        <w:t>Supprimer et ajouter « 2.7.2.3.1.4</w:t>
      </w:r>
      <w:r w:rsidRPr="0042238A">
        <w:rPr>
          <w:lang w:val="fr-FR" w:eastAsia="en-US"/>
        </w:rPr>
        <w:tab/>
      </w:r>
      <w:r w:rsidRPr="0042238A">
        <w:rPr>
          <w:i/>
          <w:iCs/>
          <w:lang w:val="fr-FR" w:eastAsia="en-US"/>
        </w:rPr>
        <w:t>Supprimé</w:t>
      </w:r>
      <w:r w:rsidRPr="0042238A">
        <w:rPr>
          <w:lang w:val="fr-FR" w:eastAsia="en-US"/>
        </w:rPr>
        <w:t>. ».</w:t>
      </w:r>
    </w:p>
    <w:p w14:paraId="72E5CF57" w14:textId="77777777" w:rsidR="00B222D7" w:rsidRPr="0042238A" w:rsidRDefault="00B222D7" w:rsidP="00B222D7">
      <w:pPr>
        <w:tabs>
          <w:tab w:val="left" w:pos="2268"/>
        </w:tabs>
        <w:kinsoku/>
        <w:overflowPunct/>
        <w:autoSpaceDE/>
        <w:autoSpaceDN/>
        <w:adjustRightInd/>
        <w:snapToGrid/>
        <w:spacing w:after="120"/>
        <w:ind w:left="1134" w:right="1134"/>
        <w:jc w:val="both"/>
        <w:rPr>
          <w:lang w:val="fr-FR" w:eastAsia="en-US"/>
        </w:rPr>
      </w:pPr>
      <w:r w:rsidRPr="0042238A">
        <w:rPr>
          <w:lang w:val="fr-FR" w:eastAsia="en-US"/>
        </w:rPr>
        <w:t>2.7.2.3.1.5</w:t>
      </w:r>
      <w:r w:rsidRPr="0042238A">
        <w:rPr>
          <w:lang w:val="fr-FR" w:eastAsia="en-US"/>
        </w:rPr>
        <w:tab/>
        <w:t xml:space="preserve">Supprimer et ajouter « 2.7.2.3.1.5 </w:t>
      </w:r>
      <w:r w:rsidRPr="0042238A">
        <w:rPr>
          <w:lang w:val="fr-FR" w:eastAsia="en-US"/>
        </w:rPr>
        <w:tab/>
      </w:r>
      <w:r w:rsidRPr="0042238A">
        <w:rPr>
          <w:i/>
          <w:iCs/>
          <w:lang w:val="fr-FR" w:eastAsia="en-US"/>
        </w:rPr>
        <w:t>Supprimé</w:t>
      </w:r>
      <w:r w:rsidRPr="0042238A">
        <w:rPr>
          <w:lang w:val="fr-FR" w:eastAsia="en-US"/>
        </w:rPr>
        <w:t>. ».</w:t>
      </w:r>
    </w:p>
    <w:p w14:paraId="2250A1EA" w14:textId="77777777" w:rsidR="00B222D7" w:rsidRPr="0042238A" w:rsidRDefault="00B222D7" w:rsidP="00B222D7">
      <w:pPr>
        <w:tabs>
          <w:tab w:val="left" w:pos="2268"/>
        </w:tabs>
        <w:kinsoku/>
        <w:overflowPunct/>
        <w:autoSpaceDE/>
        <w:autoSpaceDN/>
        <w:adjustRightInd/>
        <w:snapToGrid/>
        <w:spacing w:after="120"/>
        <w:ind w:left="1134" w:right="1134"/>
        <w:jc w:val="both"/>
        <w:rPr>
          <w:lang w:val="fr-FR" w:eastAsia="en-US"/>
        </w:rPr>
      </w:pPr>
      <w:r w:rsidRPr="0042238A">
        <w:rPr>
          <w:lang w:val="fr-FR" w:eastAsia="en-US"/>
        </w:rPr>
        <w:t>2.7.2.3.4</w:t>
      </w:r>
      <w:r w:rsidRPr="0042238A">
        <w:rPr>
          <w:lang w:val="fr-FR" w:eastAsia="en-US"/>
        </w:rPr>
        <w:tab/>
        <w:t>La modification ne s’applique pas au texte français.</w:t>
      </w:r>
    </w:p>
    <w:p w14:paraId="2B88EF07" w14:textId="77777777" w:rsidR="00B222D7" w:rsidRPr="0042238A" w:rsidRDefault="00B222D7" w:rsidP="00B222D7">
      <w:pPr>
        <w:tabs>
          <w:tab w:val="left" w:pos="2268"/>
        </w:tabs>
        <w:kinsoku/>
        <w:overflowPunct/>
        <w:autoSpaceDE/>
        <w:autoSpaceDN/>
        <w:adjustRightInd/>
        <w:snapToGrid/>
        <w:spacing w:after="120"/>
        <w:ind w:left="1134" w:right="1134"/>
        <w:jc w:val="both"/>
        <w:rPr>
          <w:lang w:val="fr-FR" w:eastAsia="en-US"/>
        </w:rPr>
      </w:pPr>
      <w:r w:rsidRPr="0042238A">
        <w:rPr>
          <w:lang w:val="fr-FR" w:eastAsia="en-US"/>
        </w:rPr>
        <w:t>2.7.2.3.4.1 c)</w:t>
      </w:r>
      <w:r w:rsidRPr="0042238A">
        <w:rPr>
          <w:lang w:val="fr-FR" w:eastAsia="en-US"/>
        </w:rPr>
        <w:tab/>
      </w:r>
      <w:r w:rsidRPr="0042238A">
        <w:rPr>
          <w:lang w:val="fr-FR" w:eastAsia="en-US"/>
        </w:rPr>
        <w:tab/>
        <w:t>Dans la première phrase, remplacer « 2.7.2.3.1.4 » par « 2.7.2.3.4.3 ».</w:t>
      </w:r>
    </w:p>
    <w:p w14:paraId="161D8378" w14:textId="77777777" w:rsidR="00B222D7" w:rsidRPr="0042238A" w:rsidRDefault="00B222D7" w:rsidP="00B222D7">
      <w:pPr>
        <w:tabs>
          <w:tab w:val="left" w:pos="2268"/>
        </w:tabs>
        <w:kinsoku/>
        <w:overflowPunct/>
        <w:autoSpaceDE/>
        <w:autoSpaceDN/>
        <w:adjustRightInd/>
        <w:snapToGrid/>
        <w:spacing w:after="120"/>
        <w:ind w:left="1134" w:right="1134"/>
        <w:jc w:val="both"/>
        <w:rPr>
          <w:lang w:val="fr-FR" w:eastAsia="en-US"/>
        </w:rPr>
      </w:pPr>
      <w:r w:rsidRPr="0042238A">
        <w:rPr>
          <w:lang w:val="fr-FR" w:eastAsia="en-US"/>
        </w:rPr>
        <w:t>2.7.2.3.4.3</w:t>
      </w:r>
      <w:r w:rsidRPr="0042238A">
        <w:rPr>
          <w:lang w:val="fr-FR" w:eastAsia="en-US"/>
        </w:rPr>
        <w:tab/>
        <w:t>Ajouter un nouveau 2.7.2.3.4.3 pour lire comme suit :</w:t>
      </w:r>
    </w:p>
    <w:p w14:paraId="054943FA" w14:textId="77777777" w:rsidR="00B222D7" w:rsidRPr="0042238A" w:rsidRDefault="00B222D7" w:rsidP="00B222D7">
      <w:pPr>
        <w:tabs>
          <w:tab w:val="left" w:pos="2268"/>
        </w:tabs>
        <w:kinsoku/>
        <w:overflowPunct/>
        <w:autoSpaceDE/>
        <w:autoSpaceDN/>
        <w:adjustRightInd/>
        <w:snapToGrid/>
        <w:spacing w:after="120"/>
        <w:ind w:left="1134" w:right="1134"/>
        <w:jc w:val="both"/>
        <w:rPr>
          <w:sz w:val="21"/>
          <w:lang w:val="fr-FR"/>
        </w:rPr>
      </w:pPr>
      <w:r w:rsidRPr="0042238A">
        <w:rPr>
          <w:lang w:val="fr-FR" w:eastAsia="en-US"/>
        </w:rPr>
        <w:t>« 2.7.2.3.4.3</w:t>
      </w:r>
      <w:r w:rsidRPr="0042238A">
        <w:rPr>
          <w:lang w:val="fr-FR" w:eastAsia="en-US"/>
        </w:rPr>
        <w:tab/>
      </w:r>
      <w:r w:rsidRPr="0042238A">
        <w:rPr>
          <w:sz w:val="21"/>
          <w:lang w:val="fr-FR"/>
        </w:rPr>
        <w:t xml:space="preserve">Des matières solides représentant le contenu total du colis doivent être immergées dans l’eau pendant 7 jours à la température ambiante. Le volume d’eau doit être suffisant pour qu’à la fin de la période d’épreuve de 7 jours le volume libre de l’eau restante non absorbée et n’ayant pas réagi soit au moins égal à 10 % du volume de l’échantillon solide utilisé pour l’épreuve. L’eau doit avoir un pH initial de 6 à 8 et une </w:t>
      </w:r>
      <w:r w:rsidRPr="0042238A">
        <w:rPr>
          <w:sz w:val="21"/>
          <w:lang w:val="fr-FR"/>
        </w:rPr>
        <w:lastRenderedPageBreak/>
        <w:t xml:space="preserve">conductivité maximale de 1 </w:t>
      </w:r>
      <w:proofErr w:type="spellStart"/>
      <w:r w:rsidRPr="0042238A">
        <w:rPr>
          <w:sz w:val="21"/>
          <w:lang w:val="fr-FR"/>
        </w:rPr>
        <w:t>mS</w:t>
      </w:r>
      <w:proofErr w:type="spellEnd"/>
      <w:r w:rsidRPr="0042238A">
        <w:rPr>
          <w:sz w:val="21"/>
          <w:lang w:val="fr-FR"/>
        </w:rPr>
        <w:t>/m à 20 °C. L’activité totale du volume libre d’eau doit être mesurée après immersion de l’échantillon pendant 7 jours. »</w:t>
      </w:r>
    </w:p>
    <w:p w14:paraId="66C175D4" w14:textId="77777777" w:rsidR="00B222D7" w:rsidRPr="0042238A" w:rsidRDefault="00B222D7" w:rsidP="00B222D7">
      <w:pPr>
        <w:tabs>
          <w:tab w:val="left" w:pos="2268"/>
        </w:tabs>
        <w:kinsoku/>
        <w:overflowPunct/>
        <w:autoSpaceDE/>
        <w:autoSpaceDN/>
        <w:adjustRightInd/>
        <w:snapToGrid/>
        <w:spacing w:after="120"/>
        <w:ind w:left="2268" w:right="1134"/>
        <w:jc w:val="both"/>
        <w:rPr>
          <w:lang w:val="fr-FR" w:eastAsia="en-US"/>
        </w:rPr>
      </w:pPr>
      <w:r w:rsidRPr="0042238A">
        <w:rPr>
          <w:sz w:val="21"/>
          <w:lang w:val="fr-FR"/>
        </w:rPr>
        <w:t xml:space="preserve">Renuméroter le </w:t>
      </w:r>
      <w:r w:rsidRPr="0042238A">
        <w:rPr>
          <w:lang w:val="fr-FR" w:eastAsia="en-US"/>
        </w:rPr>
        <w:t>2.7.2.3.4.3 en 2.7.2.3.4.4 et remplacer « 2.7.2.3.4.1 et 2.7.2.3.4.2 » par « 2.7.2.3.4.1, 2.7.2.3.4.2 et 2.7.2.3.4.3 ».</w:t>
      </w:r>
    </w:p>
    <w:p w14:paraId="35C49752" w14:textId="77777777" w:rsidR="00CC7A90" w:rsidRPr="0042238A" w:rsidRDefault="00CC7A90" w:rsidP="00CC7A90">
      <w:pPr>
        <w:pStyle w:val="H1G"/>
        <w:rPr>
          <w:lang w:val="fr-FR"/>
        </w:rPr>
      </w:pPr>
      <w:r w:rsidRPr="0042238A">
        <w:rPr>
          <w:lang w:val="fr-FR"/>
        </w:rPr>
        <w:tab/>
      </w:r>
      <w:r w:rsidRPr="0042238A">
        <w:rPr>
          <w:lang w:val="fr-FR"/>
        </w:rPr>
        <w:tab/>
        <w:t>Chapitre 2.8</w:t>
      </w:r>
    </w:p>
    <w:p w14:paraId="51EDF928" w14:textId="53F792BE" w:rsidR="00CC7A90" w:rsidRPr="0042238A" w:rsidRDefault="00CC7A90" w:rsidP="00CC7A90">
      <w:pPr>
        <w:pStyle w:val="SingleTxtG"/>
        <w:spacing w:before="120"/>
        <w:ind w:left="2268" w:hanging="1134"/>
        <w:rPr>
          <w:lang w:val="fr-FR"/>
        </w:rPr>
      </w:pPr>
      <w:r w:rsidRPr="0042238A">
        <w:rPr>
          <w:lang w:val="fr-FR"/>
        </w:rPr>
        <w:t>2.8.3.2</w:t>
      </w:r>
      <w:r w:rsidRPr="0042238A">
        <w:rPr>
          <w:lang w:val="fr-FR"/>
        </w:rPr>
        <w:tab/>
      </w:r>
      <w:r w:rsidRPr="0042238A">
        <w:rPr>
          <w:lang w:val="fr-FR"/>
        </w:rPr>
        <w:tab/>
        <w:t>Dans la deuxième phrase, remplacer « Lignes directrices de l’OCDE</w:t>
      </w:r>
      <w:r w:rsidRPr="0042238A">
        <w:rPr>
          <w:vertAlign w:val="superscript"/>
          <w:lang w:val="fr-FR"/>
        </w:rPr>
        <w:t>1,2,3,4</w:t>
      </w:r>
      <w:r w:rsidRPr="0042238A">
        <w:rPr>
          <w:lang w:val="fr-FR"/>
        </w:rPr>
        <w:t> » par « Lignes directrices de l’OCDE Nos. 404</w:t>
      </w:r>
      <w:r w:rsidRPr="0042238A">
        <w:rPr>
          <w:vertAlign w:val="superscript"/>
          <w:lang w:val="fr-FR"/>
        </w:rPr>
        <w:t>1</w:t>
      </w:r>
      <w:r w:rsidRPr="0042238A">
        <w:rPr>
          <w:lang w:val="fr-FR"/>
        </w:rPr>
        <w:t>, 435</w:t>
      </w:r>
      <w:r w:rsidRPr="0042238A">
        <w:rPr>
          <w:vertAlign w:val="superscript"/>
          <w:lang w:val="fr-FR"/>
        </w:rPr>
        <w:t>2</w:t>
      </w:r>
      <w:r w:rsidRPr="0042238A">
        <w:rPr>
          <w:lang w:val="fr-FR"/>
        </w:rPr>
        <w:t>, 431</w:t>
      </w:r>
      <w:r w:rsidRPr="0042238A">
        <w:rPr>
          <w:vertAlign w:val="superscript"/>
          <w:lang w:val="fr-FR"/>
        </w:rPr>
        <w:t>3</w:t>
      </w:r>
      <w:r w:rsidRPr="0042238A">
        <w:rPr>
          <w:lang w:val="fr-FR"/>
        </w:rPr>
        <w:t xml:space="preserve"> ou 430</w:t>
      </w:r>
      <w:r w:rsidRPr="0042238A">
        <w:rPr>
          <w:vertAlign w:val="superscript"/>
          <w:lang w:val="fr-FR"/>
        </w:rPr>
        <w:t>4</w:t>
      </w:r>
      <w:r w:rsidRPr="0042238A">
        <w:rPr>
          <w:lang w:val="fr-FR"/>
        </w:rPr>
        <w:t> ». Dans la troisième phrase, remplacer « aux Lignes directrices de l’OCDE</w:t>
      </w:r>
      <w:r w:rsidRPr="0042238A">
        <w:rPr>
          <w:vertAlign w:val="superscript"/>
          <w:lang w:val="fr-FR"/>
        </w:rPr>
        <w:t>1,2,3,4</w:t>
      </w:r>
      <w:r w:rsidRPr="0042238A">
        <w:rPr>
          <w:lang w:val="fr-FR"/>
        </w:rPr>
        <w:t xml:space="preserve"> est » par « à l’une de ces lignes directrices </w:t>
      </w:r>
      <w:r w:rsidRPr="0042238A">
        <w:rPr>
          <w:rFonts w:eastAsia="Batang"/>
          <w:lang w:val="fr-FR"/>
        </w:rPr>
        <w:t>ou qui n’est pas classée conformément à la ligne directrice No 439</w:t>
      </w:r>
      <w:r w:rsidRPr="0042238A">
        <w:rPr>
          <w:rFonts w:eastAsia="Batang"/>
          <w:vertAlign w:val="superscript"/>
          <w:lang w:val="fr-FR"/>
        </w:rPr>
        <w:t>5</w:t>
      </w:r>
      <w:r w:rsidRPr="0042238A">
        <w:rPr>
          <w:rFonts w:eastAsia="Batang"/>
          <w:lang w:val="fr-FR"/>
        </w:rPr>
        <w:t xml:space="preserve"> </w:t>
      </w:r>
      <w:r w:rsidRPr="0042238A">
        <w:rPr>
          <w:lang w:val="fr-FR"/>
        </w:rPr>
        <w:t xml:space="preserve">peut être ». Dans la quatrième phrase, remplacer « de l’essai </w:t>
      </w:r>
      <w:r w:rsidRPr="0042238A">
        <w:rPr>
          <w:i/>
          <w:iCs/>
          <w:lang w:val="fr-FR"/>
        </w:rPr>
        <w:t>in vitro</w:t>
      </w:r>
      <w:r w:rsidRPr="0042238A">
        <w:rPr>
          <w:lang w:val="fr-FR"/>
        </w:rPr>
        <w:t> » par « d’épreuve ». À la fin, ajouter la nouvelle phrase suivante : « Si les résultats d’épreuve indiquent que la matière est corrosive mais que la méthode d’épreuve ne permet pas la discrimination entre les groupes d’emballage, elle doit être affectée au groupe d’emballage I si aucune des autres épreuves réalisées n’indique un groupe d’emballage différent. »</w:t>
      </w:r>
    </w:p>
    <w:p w14:paraId="317C619A" w14:textId="77777777" w:rsidR="00CC7A90" w:rsidRPr="00D268A7" w:rsidRDefault="00CC7A90" w:rsidP="00CC7A90">
      <w:pPr>
        <w:pStyle w:val="SingleTxtG"/>
        <w:spacing w:before="120"/>
        <w:ind w:left="2268" w:hanging="1134"/>
        <w:rPr>
          <w:lang w:val="fr-FR"/>
        </w:rPr>
      </w:pPr>
      <w:r w:rsidRPr="00D268A7">
        <w:rPr>
          <w:lang w:val="fr-FR"/>
        </w:rPr>
        <w:tab/>
      </w:r>
      <w:r w:rsidRPr="00D268A7">
        <w:rPr>
          <w:lang w:val="fr-FR"/>
        </w:rPr>
        <w:tab/>
        <w:t>Ajouter une note de bas de page 5 pour lire comme suit : « </w:t>
      </w:r>
      <w:r w:rsidRPr="00D268A7">
        <w:rPr>
          <w:vertAlign w:val="superscript"/>
          <w:lang w:val="fr-FR"/>
        </w:rPr>
        <w:t>5 </w:t>
      </w:r>
      <w:r w:rsidRPr="00D268A7">
        <w:rPr>
          <w:i/>
          <w:iCs/>
          <w:lang w:val="fr-FR"/>
        </w:rPr>
        <w:t>Ligne directrice de l’OCDE pour les essais de produits chimiques No 439 “Irritation cutanée in vitro : essai sur épiderme humain reconstitué”, 2015.</w:t>
      </w:r>
      <w:r w:rsidRPr="00D268A7">
        <w:rPr>
          <w:lang w:val="fr-FR"/>
        </w:rPr>
        <w:t> »</w:t>
      </w:r>
    </w:p>
    <w:p w14:paraId="58B11DF1" w14:textId="77777777" w:rsidR="00CC7A90" w:rsidRPr="0042238A" w:rsidRDefault="00CC7A90" w:rsidP="00CC7A90">
      <w:pPr>
        <w:pStyle w:val="SingleTxtG"/>
        <w:spacing w:before="120"/>
        <w:ind w:left="2268" w:hanging="1134"/>
        <w:rPr>
          <w:lang w:val="fr-FR"/>
        </w:rPr>
      </w:pPr>
      <w:r w:rsidRPr="0042238A">
        <w:rPr>
          <w:lang w:val="fr-FR"/>
        </w:rPr>
        <w:t>2.8.3.3 c) ii)</w:t>
      </w:r>
      <w:r w:rsidRPr="0042238A">
        <w:rPr>
          <w:lang w:val="fr-FR"/>
        </w:rPr>
        <w:tab/>
        <w:t>La modification ne s’applique pas au texte français.</w:t>
      </w:r>
    </w:p>
    <w:p w14:paraId="1787D2A1" w14:textId="77777777" w:rsidR="000F368F" w:rsidRPr="0042238A" w:rsidRDefault="000F368F" w:rsidP="000F368F">
      <w:pPr>
        <w:pStyle w:val="H1G"/>
        <w:rPr>
          <w:lang w:val="fr-FR" w:eastAsia="en-US"/>
        </w:rPr>
      </w:pPr>
      <w:r w:rsidRPr="0042238A">
        <w:rPr>
          <w:lang w:val="fr-FR" w:eastAsia="en-US"/>
        </w:rPr>
        <w:tab/>
      </w:r>
      <w:r w:rsidRPr="0042238A">
        <w:rPr>
          <w:lang w:val="fr-FR" w:eastAsia="en-US"/>
        </w:rPr>
        <w:tab/>
        <w:t>Chapitre 2.9</w:t>
      </w:r>
    </w:p>
    <w:p w14:paraId="50A82143" w14:textId="77777777" w:rsidR="000F368F" w:rsidRPr="0042238A" w:rsidRDefault="000F368F" w:rsidP="000F368F">
      <w:pPr>
        <w:tabs>
          <w:tab w:val="left" w:pos="2268"/>
        </w:tabs>
        <w:kinsoku/>
        <w:overflowPunct/>
        <w:autoSpaceDE/>
        <w:autoSpaceDN/>
        <w:adjustRightInd/>
        <w:snapToGrid/>
        <w:spacing w:after="120"/>
        <w:ind w:left="2268" w:right="1134" w:hanging="1134"/>
        <w:jc w:val="both"/>
        <w:rPr>
          <w:lang w:val="fr-FR"/>
        </w:rPr>
      </w:pPr>
      <w:r w:rsidRPr="0042238A">
        <w:rPr>
          <w:lang w:val="fr-FR"/>
        </w:rPr>
        <w:t>2.9.3.4.3.4 a)</w:t>
      </w:r>
      <w:r w:rsidRPr="0042238A">
        <w:rPr>
          <w:lang w:val="fr-FR"/>
        </w:rPr>
        <w:tab/>
        <w:t>Sous l’alinéa i), ajouter un nouveau Nota pour lire comme suit :</w:t>
      </w:r>
    </w:p>
    <w:p w14:paraId="5D10D8B6" w14:textId="77777777" w:rsidR="000F368F" w:rsidRPr="0042238A" w:rsidRDefault="000F368F" w:rsidP="000F368F">
      <w:pPr>
        <w:kinsoku/>
        <w:overflowPunct/>
        <w:autoSpaceDE/>
        <w:autoSpaceDN/>
        <w:adjustRightInd/>
        <w:snapToGrid/>
        <w:spacing w:after="120"/>
        <w:ind w:left="1134" w:right="1134"/>
        <w:jc w:val="both"/>
        <w:rPr>
          <w:lang w:val="fr-FR"/>
        </w:rPr>
      </w:pPr>
      <w:r w:rsidRPr="0042238A">
        <w:rPr>
          <w:lang w:val="fr-FR"/>
        </w:rPr>
        <w:t>« </w:t>
      </w:r>
      <w:r w:rsidRPr="0042238A">
        <w:rPr>
          <w:b/>
          <w:bCs/>
          <w:i/>
          <w:iCs/>
          <w:lang w:val="fr-FR"/>
        </w:rPr>
        <w:t>NOTA :</w:t>
      </w:r>
      <w:r w:rsidRPr="0042238A">
        <w:rPr>
          <w:i/>
          <w:iCs/>
          <w:lang w:val="fr-FR"/>
        </w:rPr>
        <w:t xml:space="preserve"> Dans ce cas, si le mélange testé présente une </w:t>
      </w:r>
      <w:proofErr w:type="spellStart"/>
      <w:r w:rsidRPr="0042238A">
        <w:rPr>
          <w:i/>
          <w:iCs/>
          <w:lang w:val="fr-FR"/>
        </w:rPr>
        <w:t>CE</w:t>
      </w:r>
      <w:r w:rsidRPr="0042238A">
        <w:rPr>
          <w:i/>
          <w:iCs/>
          <w:vertAlign w:val="subscript"/>
          <w:lang w:val="fr-FR"/>
        </w:rPr>
        <w:t>x</w:t>
      </w:r>
      <w:proofErr w:type="spellEnd"/>
      <w:r w:rsidRPr="0042238A">
        <w:rPr>
          <w:i/>
          <w:iCs/>
          <w:lang w:val="fr-FR"/>
        </w:rPr>
        <w:t xml:space="preserve"> ou CSEO &gt; 0,1 mg/l, il n’est pas nécessaire de classer le mélange dans une catégorie de danger à long terme conformément au présent Règlement.</w:t>
      </w:r>
      <w:r w:rsidRPr="0042238A">
        <w:rPr>
          <w:lang w:val="fr-FR"/>
        </w:rPr>
        <w:t> ».</w:t>
      </w:r>
    </w:p>
    <w:p w14:paraId="18919259" w14:textId="77777777" w:rsidR="000F368F" w:rsidRPr="0042238A" w:rsidRDefault="000F368F" w:rsidP="000F368F">
      <w:pPr>
        <w:tabs>
          <w:tab w:val="left" w:pos="2268"/>
        </w:tabs>
        <w:kinsoku/>
        <w:overflowPunct/>
        <w:autoSpaceDE/>
        <w:adjustRightInd/>
        <w:snapToGrid/>
        <w:spacing w:after="120"/>
        <w:ind w:left="2268" w:right="1134" w:hanging="1134"/>
        <w:jc w:val="both"/>
        <w:rPr>
          <w:lang w:val="fr-FR" w:eastAsia="en-US"/>
        </w:rPr>
      </w:pPr>
      <w:r w:rsidRPr="0042238A">
        <w:rPr>
          <w:lang w:val="fr-FR" w:eastAsia="en-US"/>
        </w:rPr>
        <w:t>2.9.4 g)</w:t>
      </w:r>
      <w:r w:rsidRPr="0042238A">
        <w:rPr>
          <w:lang w:val="fr-FR" w:eastAsia="en-US"/>
        </w:rPr>
        <w:tab/>
        <w:t>Modifier le début de la phrase pour lire : « À l’exception des piles boutons montées dans un équipement (y compris les circuits imprimés), les fabricants… ».</w:t>
      </w:r>
    </w:p>
    <w:p w14:paraId="4AF3D7E3" w14:textId="77777777" w:rsidR="00CC7A90" w:rsidRPr="0042238A" w:rsidRDefault="00CC7A90" w:rsidP="00CC7A90">
      <w:pPr>
        <w:pStyle w:val="H1G"/>
        <w:rPr>
          <w:lang w:val="fr-FR"/>
        </w:rPr>
      </w:pPr>
      <w:r w:rsidRPr="0042238A">
        <w:rPr>
          <w:lang w:val="fr-FR"/>
        </w:rPr>
        <w:tab/>
      </w:r>
      <w:r w:rsidRPr="0042238A">
        <w:rPr>
          <w:lang w:val="fr-FR"/>
        </w:rPr>
        <w:tab/>
        <w:t xml:space="preserve">Chapitre 3.2, </w:t>
      </w:r>
      <w:r w:rsidRPr="0042238A">
        <w:rPr>
          <w:iCs/>
          <w:lang w:val="fr-FR"/>
        </w:rPr>
        <w:t>l</w:t>
      </w:r>
      <w:r w:rsidRPr="0042238A">
        <w:rPr>
          <w:lang w:val="fr-FR"/>
        </w:rPr>
        <w:t>iste des marchandises dangereuses</w:t>
      </w:r>
    </w:p>
    <w:p w14:paraId="70B91F84" w14:textId="77777777" w:rsidR="008940AF" w:rsidRPr="00D268A7" w:rsidRDefault="008940AF" w:rsidP="008940AF">
      <w:pPr>
        <w:pStyle w:val="SingleTxtG"/>
        <w:rPr>
          <w:iCs/>
          <w:lang w:val="fr-FR"/>
        </w:rPr>
      </w:pPr>
      <w:r w:rsidRPr="00D268A7">
        <w:rPr>
          <w:iCs/>
          <w:lang w:val="fr-FR"/>
        </w:rPr>
        <w:t>Pour le No ONU 1002, ajouter « 397 » en colonne (6).</w:t>
      </w:r>
    </w:p>
    <w:p w14:paraId="20AB9D82" w14:textId="77777777" w:rsidR="008940AF" w:rsidRPr="00D268A7" w:rsidRDefault="008940AF" w:rsidP="008940AF">
      <w:pPr>
        <w:pStyle w:val="SingleTxtG"/>
        <w:rPr>
          <w:iCs/>
          <w:lang w:val="fr-FR"/>
        </w:rPr>
      </w:pPr>
      <w:r w:rsidRPr="00D268A7">
        <w:rPr>
          <w:iCs/>
          <w:lang w:val="fr-FR"/>
        </w:rPr>
        <w:t>Pour le No ONU 1012, ajouter « 398 » en colonne (6).</w:t>
      </w:r>
    </w:p>
    <w:p w14:paraId="393FA6F8" w14:textId="77777777" w:rsidR="008940AF" w:rsidRPr="00D268A7" w:rsidRDefault="008940AF" w:rsidP="008940AF">
      <w:pPr>
        <w:pStyle w:val="SingleTxtG"/>
        <w:rPr>
          <w:iCs/>
          <w:lang w:val="fr-FR"/>
        </w:rPr>
      </w:pPr>
      <w:r w:rsidRPr="00D268A7">
        <w:rPr>
          <w:iCs/>
          <w:lang w:val="fr-FR"/>
        </w:rPr>
        <w:t>Supprimer les deux rubriques pour le No ONU 1169.</w:t>
      </w:r>
    </w:p>
    <w:p w14:paraId="31D9A091" w14:textId="77777777" w:rsidR="008940AF" w:rsidRPr="00D268A7" w:rsidRDefault="008940AF" w:rsidP="008940AF">
      <w:pPr>
        <w:pStyle w:val="SingleTxtG"/>
        <w:ind w:left="2268" w:hanging="1134"/>
        <w:rPr>
          <w:iCs/>
          <w:lang w:val="fr-FR"/>
        </w:rPr>
      </w:pPr>
      <w:r w:rsidRPr="00D268A7">
        <w:rPr>
          <w:iCs/>
          <w:lang w:val="fr-FR"/>
        </w:rPr>
        <w:t>Pour le No ONU 1197, groupes d’emballages II et III, modifier le nom et la description en colonne (2) pour lire « EXTRAITS, LIQUIDES, pour aromatiser ».</w:t>
      </w:r>
    </w:p>
    <w:p w14:paraId="489E3281" w14:textId="77777777" w:rsidR="008940AF" w:rsidRPr="0042238A" w:rsidRDefault="008940AF" w:rsidP="008940AF">
      <w:pPr>
        <w:kinsoku/>
        <w:overflowPunct/>
        <w:autoSpaceDE/>
        <w:autoSpaceDN/>
        <w:adjustRightInd/>
        <w:snapToGrid/>
        <w:spacing w:after="120"/>
        <w:ind w:left="2268" w:right="1134" w:hanging="1134"/>
        <w:jc w:val="both"/>
        <w:rPr>
          <w:iCs/>
          <w:lang w:val="fr-FR" w:eastAsia="en-US"/>
        </w:rPr>
      </w:pPr>
      <w:r w:rsidRPr="0042238A">
        <w:rPr>
          <w:iCs/>
          <w:lang w:val="fr-FR" w:eastAsia="en-US"/>
        </w:rPr>
        <w:t>Pour le No ONU 1891, en colonne (3), remplacer « 6.1 » par « 3 ». En colonne (4), ajouter « 6.1 ». En colonne (7a), remplacer « 100 ml » par « 1 L ». En colonne (7b), remplacer « E4 » par « E2 ».</w:t>
      </w:r>
    </w:p>
    <w:p w14:paraId="585BD39D" w14:textId="77777777" w:rsidR="008940AF" w:rsidRPr="0042238A" w:rsidRDefault="008940AF" w:rsidP="008940AF">
      <w:pPr>
        <w:kinsoku/>
        <w:overflowPunct/>
        <w:autoSpaceDE/>
        <w:autoSpaceDN/>
        <w:adjustRightInd/>
        <w:snapToGrid/>
        <w:spacing w:after="120"/>
        <w:ind w:left="1134" w:right="1134"/>
        <w:jc w:val="both"/>
        <w:rPr>
          <w:iCs/>
          <w:lang w:val="fr-FR" w:eastAsia="en-US"/>
        </w:rPr>
      </w:pPr>
      <w:r w:rsidRPr="0042238A">
        <w:rPr>
          <w:iCs/>
          <w:lang w:val="fr-FR" w:eastAsia="en-US"/>
        </w:rPr>
        <w:t>Pour le No ONU 3208, groupe d’emballage II, remplacer « E0 » par « E2 » en colonne (7b).</w:t>
      </w:r>
    </w:p>
    <w:p w14:paraId="38324A34" w14:textId="2278F823" w:rsidR="008940AF" w:rsidRPr="00D268A7" w:rsidRDefault="008940AF" w:rsidP="008940AF">
      <w:pPr>
        <w:kinsoku/>
        <w:overflowPunct/>
        <w:autoSpaceDE/>
        <w:autoSpaceDN/>
        <w:adjustRightInd/>
        <w:snapToGrid/>
        <w:spacing w:after="120"/>
        <w:ind w:left="1134" w:right="1134"/>
        <w:jc w:val="both"/>
        <w:rPr>
          <w:i/>
          <w:lang w:val="fr-FR"/>
        </w:rPr>
      </w:pPr>
      <w:r w:rsidRPr="0042238A">
        <w:rPr>
          <w:iCs/>
          <w:lang w:val="fr-FR" w:eastAsia="en-US"/>
        </w:rPr>
        <w:t>Pour le No ONU 3209, groupe d’emballage II, remplacer « E2 » par « E0 » en colonne (7b).</w:t>
      </w:r>
    </w:p>
    <w:p w14:paraId="07ADEAB2" w14:textId="6C70FDC7" w:rsidR="00CC7A90" w:rsidRPr="0042238A" w:rsidRDefault="00CC7A90" w:rsidP="00CC7A90">
      <w:pPr>
        <w:pStyle w:val="SingleTxtG"/>
        <w:rPr>
          <w:lang w:val="fr-FR"/>
        </w:rPr>
      </w:pPr>
      <w:r w:rsidRPr="0042238A">
        <w:rPr>
          <w:lang w:val="fr-FR"/>
        </w:rPr>
        <w:t>Pour les Nos ONU 3269 et 3527</w:t>
      </w:r>
      <w:r w:rsidR="001265E5" w:rsidRPr="00D268A7">
        <w:rPr>
          <w:iCs/>
          <w:lang w:val="fr-FR"/>
        </w:rPr>
        <w:t>, groupes d’emballages II et III</w:t>
      </w:r>
      <w:r w:rsidR="008940AF" w:rsidRPr="0042238A">
        <w:rPr>
          <w:lang w:val="fr-FR"/>
        </w:rPr>
        <w:t>,</w:t>
      </w:r>
      <w:r w:rsidRPr="0042238A">
        <w:rPr>
          <w:lang w:val="fr-FR"/>
        </w:rPr>
        <w:t xml:space="preserve"> remplacer « E0 » par « Voir DS 340 au chapitre 3.3 » dans la colonne (7b).</w:t>
      </w:r>
    </w:p>
    <w:p w14:paraId="560B3870" w14:textId="24C319E1" w:rsidR="00CC7A90" w:rsidRPr="00D268A7" w:rsidRDefault="00CC7A90" w:rsidP="00CC7A90">
      <w:pPr>
        <w:pStyle w:val="SingleTxtG"/>
        <w:rPr>
          <w:iCs/>
          <w:lang w:val="fr-FR"/>
        </w:rPr>
      </w:pPr>
      <w:r w:rsidRPr="00D268A7">
        <w:rPr>
          <w:iCs/>
          <w:lang w:val="fr-FR"/>
        </w:rPr>
        <w:t>Pour le No ONU 3538, ajouter « 396 » en colonne (6).</w:t>
      </w:r>
    </w:p>
    <w:p w14:paraId="6D3B06DB" w14:textId="77777777" w:rsidR="0074239B" w:rsidRPr="0042238A" w:rsidRDefault="0074239B" w:rsidP="0074239B">
      <w:pPr>
        <w:kinsoku/>
        <w:overflowPunct/>
        <w:autoSpaceDE/>
        <w:autoSpaceDN/>
        <w:adjustRightInd/>
        <w:snapToGrid/>
        <w:spacing w:after="120"/>
        <w:ind w:left="1134" w:right="1134"/>
        <w:jc w:val="both"/>
        <w:rPr>
          <w:iCs/>
          <w:lang w:val="fr-FR" w:eastAsia="en-US"/>
        </w:rPr>
      </w:pPr>
      <w:r w:rsidRPr="0042238A">
        <w:rPr>
          <w:iCs/>
          <w:lang w:val="fr-FR" w:eastAsia="en-US"/>
        </w:rPr>
        <w:t>Ajouter la nouvelle rubrique suivante :</w:t>
      </w:r>
    </w:p>
    <w:tbl>
      <w:tblPr>
        <w:tblW w:w="39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1"/>
        <w:gridCol w:w="2088"/>
        <w:gridCol w:w="464"/>
        <w:gridCol w:w="354"/>
        <w:gridCol w:w="503"/>
        <w:gridCol w:w="503"/>
        <w:gridCol w:w="429"/>
        <w:gridCol w:w="429"/>
        <w:gridCol w:w="719"/>
        <w:gridCol w:w="560"/>
        <w:gridCol w:w="506"/>
        <w:gridCol w:w="639"/>
      </w:tblGrid>
      <w:tr w:rsidR="0074239B" w:rsidRPr="0042238A" w14:paraId="66013931" w14:textId="77777777" w:rsidTr="00FC798A">
        <w:trPr>
          <w:trHeight w:val="537"/>
          <w:jc w:val="center"/>
        </w:trPr>
        <w:tc>
          <w:tcPr>
            <w:tcW w:w="283" w:type="pct"/>
          </w:tcPr>
          <w:p w14:paraId="0C82F3C7" w14:textId="77777777" w:rsidR="0074239B" w:rsidRPr="00D268A7" w:rsidRDefault="0074239B" w:rsidP="00FC798A">
            <w:pPr>
              <w:widowControl w:val="0"/>
              <w:suppressAutoHyphens w:val="0"/>
              <w:kinsoku/>
              <w:overflowPunct/>
              <w:adjustRightInd/>
              <w:snapToGrid/>
              <w:spacing w:before="3" w:line="240" w:lineRule="auto"/>
              <w:jc w:val="center"/>
              <w:rPr>
                <w:sz w:val="16"/>
                <w:szCs w:val="16"/>
                <w:lang w:val="fr-FR" w:eastAsia="en-US"/>
              </w:rPr>
            </w:pPr>
            <w:r w:rsidRPr="00D268A7">
              <w:rPr>
                <w:sz w:val="16"/>
                <w:szCs w:val="16"/>
                <w:lang w:val="fr-FR" w:eastAsia="en-US"/>
              </w:rPr>
              <w:lastRenderedPageBreak/>
              <w:t>3550</w:t>
            </w:r>
          </w:p>
        </w:tc>
        <w:tc>
          <w:tcPr>
            <w:tcW w:w="1369" w:type="pct"/>
          </w:tcPr>
          <w:p w14:paraId="16CEC248" w14:textId="77777777" w:rsidR="0074239B" w:rsidRPr="00D268A7" w:rsidRDefault="0074239B" w:rsidP="00FC798A">
            <w:pPr>
              <w:widowControl w:val="0"/>
              <w:suppressAutoHyphens w:val="0"/>
              <w:kinsoku/>
              <w:overflowPunct/>
              <w:adjustRightInd/>
              <w:snapToGrid/>
              <w:spacing w:before="6" w:line="240" w:lineRule="auto"/>
              <w:ind w:left="6" w:right="6"/>
              <w:rPr>
                <w:b/>
                <w:sz w:val="16"/>
                <w:szCs w:val="16"/>
                <w:lang w:val="fr-FR" w:eastAsia="en-US"/>
              </w:rPr>
            </w:pPr>
            <w:r w:rsidRPr="00D268A7">
              <w:rPr>
                <w:sz w:val="16"/>
                <w:szCs w:val="16"/>
                <w:lang w:val="fr-FR" w:eastAsia="en-US"/>
              </w:rPr>
              <w:t>POUDRE DE DIHYDROXYDE DE COBALT ayant une teneur en particules respirables supérieure ou égale à 10 %</w:t>
            </w:r>
          </w:p>
        </w:tc>
        <w:tc>
          <w:tcPr>
            <w:tcW w:w="304" w:type="pct"/>
          </w:tcPr>
          <w:p w14:paraId="15000559" w14:textId="77777777" w:rsidR="0074239B" w:rsidRPr="00D268A7" w:rsidRDefault="0074239B" w:rsidP="00FC798A">
            <w:pPr>
              <w:widowControl w:val="0"/>
              <w:suppressAutoHyphens w:val="0"/>
              <w:kinsoku/>
              <w:overflowPunct/>
              <w:adjustRightInd/>
              <w:snapToGrid/>
              <w:spacing w:before="6" w:line="240" w:lineRule="auto"/>
              <w:ind w:left="127" w:right="126"/>
              <w:jc w:val="center"/>
              <w:rPr>
                <w:b/>
                <w:sz w:val="16"/>
                <w:szCs w:val="16"/>
                <w:lang w:val="fr-FR" w:eastAsia="en-US"/>
              </w:rPr>
            </w:pPr>
            <w:r w:rsidRPr="00D268A7">
              <w:rPr>
                <w:sz w:val="16"/>
                <w:szCs w:val="16"/>
                <w:lang w:val="fr-FR" w:eastAsia="en-US"/>
              </w:rPr>
              <w:t>6.1</w:t>
            </w:r>
          </w:p>
        </w:tc>
        <w:tc>
          <w:tcPr>
            <w:tcW w:w="232" w:type="pct"/>
          </w:tcPr>
          <w:p w14:paraId="3CD9DBDB" w14:textId="77777777" w:rsidR="0074239B" w:rsidRPr="00D268A7" w:rsidRDefault="0074239B" w:rsidP="00FC798A">
            <w:pPr>
              <w:widowControl w:val="0"/>
              <w:suppressAutoHyphens w:val="0"/>
              <w:kinsoku/>
              <w:overflowPunct/>
              <w:adjustRightInd/>
              <w:snapToGrid/>
              <w:spacing w:before="6" w:line="240" w:lineRule="auto"/>
              <w:ind w:left="107" w:right="107"/>
              <w:jc w:val="center"/>
              <w:rPr>
                <w:b/>
                <w:sz w:val="16"/>
                <w:szCs w:val="16"/>
                <w:lang w:val="fr-FR" w:eastAsia="en-US"/>
              </w:rPr>
            </w:pPr>
          </w:p>
        </w:tc>
        <w:tc>
          <w:tcPr>
            <w:tcW w:w="330" w:type="pct"/>
          </w:tcPr>
          <w:p w14:paraId="0CD44710" w14:textId="77777777" w:rsidR="0074239B" w:rsidRPr="00D268A7" w:rsidRDefault="0074239B" w:rsidP="00FC798A">
            <w:pPr>
              <w:widowControl w:val="0"/>
              <w:suppressAutoHyphens w:val="0"/>
              <w:kinsoku/>
              <w:overflowPunct/>
              <w:adjustRightInd/>
              <w:snapToGrid/>
              <w:spacing w:before="6" w:line="240" w:lineRule="auto"/>
              <w:ind w:left="67" w:right="67"/>
              <w:jc w:val="center"/>
              <w:rPr>
                <w:bCs/>
                <w:sz w:val="16"/>
                <w:szCs w:val="16"/>
                <w:lang w:val="fr-FR" w:eastAsia="en-US"/>
              </w:rPr>
            </w:pPr>
            <w:r w:rsidRPr="00D268A7">
              <w:rPr>
                <w:bCs/>
                <w:sz w:val="16"/>
                <w:szCs w:val="16"/>
                <w:lang w:val="fr-FR" w:eastAsia="en-US"/>
              </w:rPr>
              <w:t>I</w:t>
            </w:r>
          </w:p>
        </w:tc>
        <w:tc>
          <w:tcPr>
            <w:tcW w:w="330" w:type="pct"/>
          </w:tcPr>
          <w:p w14:paraId="46B6F6DF" w14:textId="77777777" w:rsidR="0074239B" w:rsidRPr="00D268A7" w:rsidRDefault="0074239B" w:rsidP="00FC798A">
            <w:pPr>
              <w:widowControl w:val="0"/>
              <w:suppressAutoHyphens w:val="0"/>
              <w:kinsoku/>
              <w:overflowPunct/>
              <w:adjustRightInd/>
              <w:snapToGrid/>
              <w:spacing w:before="6" w:line="240" w:lineRule="auto"/>
              <w:ind w:left="106" w:right="102"/>
              <w:jc w:val="center"/>
              <w:rPr>
                <w:b/>
                <w:sz w:val="16"/>
                <w:szCs w:val="16"/>
                <w:lang w:val="fr-FR" w:eastAsia="en-US"/>
              </w:rPr>
            </w:pPr>
          </w:p>
        </w:tc>
        <w:tc>
          <w:tcPr>
            <w:tcW w:w="281" w:type="pct"/>
          </w:tcPr>
          <w:p w14:paraId="74299C7B" w14:textId="77777777" w:rsidR="0074239B" w:rsidRPr="00D268A7" w:rsidRDefault="0074239B" w:rsidP="00FC798A">
            <w:pPr>
              <w:widowControl w:val="0"/>
              <w:suppressAutoHyphens w:val="0"/>
              <w:kinsoku/>
              <w:overflowPunct/>
              <w:adjustRightInd/>
              <w:snapToGrid/>
              <w:spacing w:before="6" w:line="240" w:lineRule="auto"/>
              <w:ind w:left="-15" w:right="16"/>
              <w:jc w:val="center"/>
              <w:rPr>
                <w:b/>
                <w:sz w:val="16"/>
                <w:szCs w:val="16"/>
                <w:lang w:val="fr-FR" w:eastAsia="en-US"/>
              </w:rPr>
            </w:pPr>
            <w:r w:rsidRPr="00D268A7">
              <w:rPr>
                <w:sz w:val="16"/>
                <w:szCs w:val="16"/>
                <w:lang w:val="fr-FR" w:eastAsia="en-US"/>
              </w:rPr>
              <w:t>0</w:t>
            </w:r>
          </w:p>
        </w:tc>
        <w:tc>
          <w:tcPr>
            <w:tcW w:w="281" w:type="pct"/>
          </w:tcPr>
          <w:p w14:paraId="7B6501DB" w14:textId="77777777" w:rsidR="0074239B" w:rsidRPr="00D268A7" w:rsidRDefault="0074239B" w:rsidP="00FC798A">
            <w:pPr>
              <w:widowControl w:val="0"/>
              <w:suppressAutoHyphens w:val="0"/>
              <w:kinsoku/>
              <w:overflowPunct/>
              <w:adjustRightInd/>
              <w:snapToGrid/>
              <w:spacing w:before="6" w:line="240" w:lineRule="auto"/>
              <w:jc w:val="center"/>
              <w:rPr>
                <w:b/>
                <w:sz w:val="16"/>
                <w:szCs w:val="16"/>
                <w:lang w:val="fr-FR" w:eastAsia="en-US"/>
              </w:rPr>
            </w:pPr>
            <w:r w:rsidRPr="00D268A7">
              <w:rPr>
                <w:sz w:val="16"/>
                <w:szCs w:val="16"/>
                <w:lang w:val="fr-FR" w:eastAsia="en-US"/>
              </w:rPr>
              <w:t>E5</w:t>
            </w:r>
          </w:p>
        </w:tc>
        <w:tc>
          <w:tcPr>
            <w:tcW w:w="471" w:type="pct"/>
          </w:tcPr>
          <w:p w14:paraId="6D053367" w14:textId="77777777" w:rsidR="0074239B" w:rsidRPr="00D268A7" w:rsidRDefault="0074239B" w:rsidP="00FC798A">
            <w:pPr>
              <w:widowControl w:val="0"/>
              <w:suppressAutoHyphens w:val="0"/>
              <w:kinsoku/>
              <w:overflowPunct/>
              <w:adjustRightInd/>
              <w:snapToGrid/>
              <w:spacing w:before="6" w:line="240" w:lineRule="auto"/>
              <w:ind w:left="141" w:right="141"/>
              <w:jc w:val="center"/>
              <w:rPr>
                <w:b/>
                <w:sz w:val="16"/>
                <w:szCs w:val="16"/>
                <w:lang w:val="fr-FR" w:eastAsia="en-US"/>
              </w:rPr>
            </w:pPr>
            <w:r w:rsidRPr="00D268A7">
              <w:rPr>
                <w:sz w:val="16"/>
                <w:szCs w:val="16"/>
                <w:lang w:val="fr-FR" w:eastAsia="en-US"/>
              </w:rPr>
              <w:t>P002</w:t>
            </w:r>
            <w:r w:rsidRPr="00D268A7">
              <w:rPr>
                <w:sz w:val="16"/>
                <w:szCs w:val="16"/>
                <w:lang w:val="fr-FR" w:eastAsia="en-US"/>
              </w:rPr>
              <w:br/>
            </w:r>
            <w:r w:rsidRPr="00D268A7">
              <w:rPr>
                <w:bCs/>
                <w:sz w:val="16"/>
                <w:szCs w:val="16"/>
                <w:lang w:val="fr-FR" w:eastAsia="en-US"/>
              </w:rPr>
              <w:t>IBC07</w:t>
            </w:r>
          </w:p>
        </w:tc>
        <w:tc>
          <w:tcPr>
            <w:tcW w:w="367" w:type="pct"/>
          </w:tcPr>
          <w:p w14:paraId="7B91F891" w14:textId="77777777" w:rsidR="0074239B" w:rsidRPr="00D268A7" w:rsidRDefault="0074239B" w:rsidP="00FC798A">
            <w:pPr>
              <w:widowControl w:val="0"/>
              <w:suppressAutoHyphens w:val="0"/>
              <w:kinsoku/>
              <w:overflowPunct/>
              <w:adjustRightInd/>
              <w:snapToGrid/>
              <w:spacing w:before="6" w:line="240" w:lineRule="auto"/>
              <w:ind w:left="141" w:right="141"/>
              <w:jc w:val="center"/>
              <w:rPr>
                <w:sz w:val="16"/>
                <w:szCs w:val="16"/>
                <w:lang w:val="fr-FR" w:eastAsia="en-US"/>
              </w:rPr>
            </w:pPr>
          </w:p>
          <w:p w14:paraId="29F9C026" w14:textId="77777777" w:rsidR="0074239B" w:rsidRPr="00D268A7" w:rsidRDefault="0074239B" w:rsidP="00FC798A">
            <w:pPr>
              <w:widowControl w:val="0"/>
              <w:suppressAutoHyphens w:val="0"/>
              <w:kinsoku/>
              <w:overflowPunct/>
              <w:adjustRightInd/>
              <w:snapToGrid/>
              <w:spacing w:before="6" w:line="240" w:lineRule="auto"/>
              <w:ind w:left="141" w:right="141"/>
              <w:jc w:val="center"/>
              <w:rPr>
                <w:sz w:val="16"/>
                <w:szCs w:val="16"/>
                <w:lang w:val="fr-FR" w:eastAsia="en-US"/>
              </w:rPr>
            </w:pPr>
            <w:r w:rsidRPr="00D268A7">
              <w:rPr>
                <w:sz w:val="16"/>
                <w:szCs w:val="16"/>
                <w:lang w:val="fr-FR" w:eastAsia="en-US"/>
              </w:rPr>
              <w:t>B1, B20</w:t>
            </w:r>
          </w:p>
        </w:tc>
        <w:tc>
          <w:tcPr>
            <w:tcW w:w="332" w:type="pct"/>
          </w:tcPr>
          <w:p w14:paraId="6D4D33D0" w14:textId="77777777" w:rsidR="0074239B" w:rsidRPr="00D268A7" w:rsidRDefault="0074239B" w:rsidP="00FC798A">
            <w:pPr>
              <w:widowControl w:val="0"/>
              <w:suppressAutoHyphens w:val="0"/>
              <w:kinsoku/>
              <w:overflowPunct/>
              <w:adjustRightInd/>
              <w:snapToGrid/>
              <w:spacing w:before="6" w:line="240" w:lineRule="auto"/>
              <w:ind w:left="141" w:right="141"/>
              <w:jc w:val="center"/>
              <w:rPr>
                <w:sz w:val="16"/>
                <w:szCs w:val="16"/>
                <w:lang w:val="fr-FR" w:eastAsia="en-US"/>
              </w:rPr>
            </w:pPr>
            <w:r w:rsidRPr="00D268A7">
              <w:rPr>
                <w:sz w:val="16"/>
                <w:szCs w:val="16"/>
                <w:lang w:val="fr-FR" w:eastAsia="en-US"/>
              </w:rPr>
              <w:t>T6</w:t>
            </w:r>
          </w:p>
        </w:tc>
        <w:tc>
          <w:tcPr>
            <w:tcW w:w="419" w:type="pct"/>
          </w:tcPr>
          <w:p w14:paraId="45C9B3BD" w14:textId="77777777" w:rsidR="0074239B" w:rsidRPr="00D268A7" w:rsidRDefault="0074239B" w:rsidP="00FC798A">
            <w:pPr>
              <w:widowControl w:val="0"/>
              <w:suppressAutoHyphens w:val="0"/>
              <w:kinsoku/>
              <w:overflowPunct/>
              <w:adjustRightInd/>
              <w:snapToGrid/>
              <w:spacing w:before="6" w:line="240" w:lineRule="auto"/>
              <w:ind w:left="141" w:right="141"/>
              <w:jc w:val="center"/>
              <w:rPr>
                <w:sz w:val="16"/>
                <w:szCs w:val="16"/>
                <w:lang w:val="fr-FR" w:eastAsia="en-US"/>
              </w:rPr>
            </w:pPr>
            <w:r w:rsidRPr="00D268A7">
              <w:rPr>
                <w:sz w:val="16"/>
                <w:szCs w:val="16"/>
                <w:lang w:val="fr-FR" w:eastAsia="en-US"/>
              </w:rPr>
              <w:t>TP33</w:t>
            </w:r>
          </w:p>
        </w:tc>
      </w:tr>
    </w:tbl>
    <w:p w14:paraId="78E72C6C" w14:textId="77777777" w:rsidR="00CC7A90" w:rsidRPr="00D268A7" w:rsidRDefault="00CC7A90" w:rsidP="00CC7A90">
      <w:pPr>
        <w:pStyle w:val="H1G"/>
        <w:rPr>
          <w:lang w:val="fr-FR"/>
        </w:rPr>
      </w:pPr>
      <w:r w:rsidRPr="00D268A7">
        <w:rPr>
          <w:lang w:val="fr-FR"/>
        </w:rPr>
        <w:tab/>
      </w:r>
      <w:r w:rsidRPr="00D268A7">
        <w:rPr>
          <w:lang w:val="fr-FR"/>
        </w:rPr>
        <w:tab/>
        <w:t>Chapitre 3.3</w:t>
      </w:r>
    </w:p>
    <w:p w14:paraId="57A01375" w14:textId="77777777" w:rsidR="00CC7A90" w:rsidRPr="00D268A7" w:rsidRDefault="00CC7A90" w:rsidP="00CC7A90">
      <w:pPr>
        <w:pStyle w:val="SingleTxtG"/>
        <w:rPr>
          <w:iCs/>
          <w:lang w:val="fr-FR"/>
        </w:rPr>
      </w:pPr>
      <w:r w:rsidRPr="00D268A7">
        <w:rPr>
          <w:iCs/>
          <w:lang w:val="fr-FR"/>
        </w:rPr>
        <w:t>DS 188 f)</w:t>
      </w:r>
      <w:r w:rsidRPr="00D268A7">
        <w:rPr>
          <w:iCs/>
          <w:lang w:val="fr-FR"/>
        </w:rPr>
        <w:tab/>
        <w:t>Supprimer le Nota 1 et renommer le Nota 2 en tant que Nota.</w:t>
      </w:r>
    </w:p>
    <w:p w14:paraId="17B2069B" w14:textId="77777777" w:rsidR="001D74A1" w:rsidRPr="00D268A7" w:rsidRDefault="001D74A1" w:rsidP="001D74A1">
      <w:pPr>
        <w:spacing w:after="120"/>
        <w:ind w:left="1134" w:right="1134"/>
        <w:rPr>
          <w:iCs/>
          <w:lang w:val="fr-FR"/>
        </w:rPr>
      </w:pPr>
      <w:r w:rsidRPr="00D268A7">
        <w:rPr>
          <w:iCs/>
          <w:lang w:val="fr-FR"/>
        </w:rPr>
        <w:t>DS 225</w:t>
      </w:r>
      <w:r w:rsidRPr="00D268A7">
        <w:rPr>
          <w:iCs/>
          <w:lang w:val="fr-FR"/>
        </w:rPr>
        <w:tab/>
        <w:t>Après l’alinéa a), insérer le nouveau Nota suivant :</w:t>
      </w:r>
    </w:p>
    <w:p w14:paraId="23B428F9" w14:textId="77777777" w:rsidR="001D74A1" w:rsidRPr="00D268A7" w:rsidRDefault="001D74A1" w:rsidP="001D74A1">
      <w:pPr>
        <w:spacing w:after="120"/>
        <w:ind w:left="1134" w:right="1134"/>
        <w:jc w:val="both"/>
        <w:rPr>
          <w:iCs/>
          <w:lang w:val="fr-FR"/>
        </w:rPr>
      </w:pPr>
      <w:r w:rsidRPr="00D268A7">
        <w:rPr>
          <w:iCs/>
          <w:lang w:val="fr-FR"/>
        </w:rPr>
        <w:t>« </w:t>
      </w:r>
      <w:r w:rsidRPr="00D268A7">
        <w:rPr>
          <w:b/>
          <w:bCs/>
          <w:i/>
          <w:lang w:val="fr-FR"/>
        </w:rPr>
        <w:t>NOTA :</w:t>
      </w:r>
      <w:r w:rsidRPr="00D268A7">
        <w:rPr>
          <w:i/>
          <w:lang w:val="fr-FR"/>
        </w:rPr>
        <w:tab/>
        <w:t>Cette rubrique s’applique aux extincteurs portatifs, même si certains éléments nécessaires à leur bon fonctionnement (par exemple, les tuyaux et les buses) sont temporairement détachés, tant que la sécurité des conteneurs d’agent d’extinction sous pression n’est pas compromise et que les extincteurs continuent d’être identifiés en tant qu’extincteurs portatifs.</w:t>
      </w:r>
      <w:r w:rsidRPr="00D268A7">
        <w:rPr>
          <w:iCs/>
          <w:lang w:val="fr-FR"/>
        </w:rPr>
        <w:t> »</w:t>
      </w:r>
    </w:p>
    <w:p w14:paraId="2336DAAC" w14:textId="5BC56E78" w:rsidR="00CC7A90" w:rsidRPr="00D268A7" w:rsidRDefault="00CC7A90" w:rsidP="00CC7A90">
      <w:pPr>
        <w:pStyle w:val="SingleTxtG"/>
        <w:rPr>
          <w:iCs/>
          <w:lang w:val="fr-FR"/>
        </w:rPr>
      </w:pPr>
      <w:r w:rsidRPr="00D268A7">
        <w:rPr>
          <w:iCs/>
          <w:lang w:val="fr-FR"/>
        </w:rPr>
        <w:t xml:space="preserve">Ajouter </w:t>
      </w:r>
      <w:r w:rsidR="00E0647E" w:rsidRPr="00D268A7">
        <w:rPr>
          <w:iCs/>
          <w:lang w:val="fr-FR"/>
        </w:rPr>
        <w:t xml:space="preserve">les </w:t>
      </w:r>
      <w:r w:rsidRPr="00D268A7">
        <w:rPr>
          <w:iCs/>
          <w:lang w:val="fr-FR"/>
        </w:rPr>
        <w:t>nouvelle</w:t>
      </w:r>
      <w:r w:rsidR="00E0647E" w:rsidRPr="00D268A7">
        <w:rPr>
          <w:iCs/>
          <w:lang w:val="fr-FR"/>
        </w:rPr>
        <w:t>s</w:t>
      </w:r>
      <w:r w:rsidRPr="00D268A7">
        <w:rPr>
          <w:iCs/>
          <w:lang w:val="fr-FR"/>
        </w:rPr>
        <w:t xml:space="preserve"> disposition</w:t>
      </w:r>
      <w:r w:rsidR="00E0647E" w:rsidRPr="00D268A7">
        <w:rPr>
          <w:iCs/>
          <w:lang w:val="fr-FR"/>
        </w:rPr>
        <w:t>s</w:t>
      </w:r>
      <w:r w:rsidRPr="00D268A7">
        <w:rPr>
          <w:iCs/>
          <w:lang w:val="fr-FR"/>
        </w:rPr>
        <w:t xml:space="preserve"> spéciale</w:t>
      </w:r>
      <w:r w:rsidR="00E0647E" w:rsidRPr="00D268A7">
        <w:rPr>
          <w:iCs/>
          <w:lang w:val="fr-FR"/>
        </w:rPr>
        <w:t>s</w:t>
      </w:r>
      <w:r w:rsidRPr="00D268A7">
        <w:rPr>
          <w:iCs/>
          <w:lang w:val="fr-FR"/>
        </w:rPr>
        <w:t xml:space="preserve"> suivante</w:t>
      </w:r>
      <w:r w:rsidR="00E0647E" w:rsidRPr="00D268A7">
        <w:rPr>
          <w:iCs/>
          <w:lang w:val="fr-FR"/>
        </w:rPr>
        <w:t>s</w:t>
      </w:r>
      <w:r w:rsidRPr="00D268A7">
        <w:rPr>
          <w:iCs/>
          <w:lang w:val="fr-FR"/>
        </w:rPr>
        <w:t xml:space="preserve"> : </w:t>
      </w:r>
    </w:p>
    <w:p w14:paraId="0A6FBDCC" w14:textId="77777777" w:rsidR="00CC7A90" w:rsidRPr="0042238A" w:rsidRDefault="00CC7A90" w:rsidP="00CC7A90">
      <w:pPr>
        <w:pStyle w:val="SingleTxtG"/>
        <w:keepNext/>
        <w:rPr>
          <w:lang w:val="fr-FR"/>
        </w:rPr>
      </w:pPr>
      <w:r w:rsidRPr="00D268A7">
        <w:rPr>
          <w:iCs/>
          <w:lang w:val="fr-FR"/>
        </w:rPr>
        <w:t>« </w:t>
      </w:r>
      <w:r w:rsidRPr="0042238A">
        <w:rPr>
          <w:lang w:val="fr-FR"/>
        </w:rPr>
        <w:t>396</w:t>
      </w:r>
      <w:r w:rsidRPr="0042238A">
        <w:rPr>
          <w:lang w:val="fr-FR"/>
        </w:rPr>
        <w:tab/>
        <w:t>Les objets de grande taille et robustes peuvent être transportés raccordés à des bouteilles à gaz dont les robinets sont ouverts indépendamment du 4.1.6.1.5, à condition que :</w:t>
      </w:r>
    </w:p>
    <w:p w14:paraId="7BD0EF42" w14:textId="77777777" w:rsidR="00CC7A90" w:rsidRPr="0042238A" w:rsidRDefault="00CC7A90" w:rsidP="00CC7A90">
      <w:pPr>
        <w:pStyle w:val="SingleTxtG"/>
        <w:keepNext/>
        <w:rPr>
          <w:lang w:val="fr-FR"/>
        </w:rPr>
      </w:pPr>
      <w:r w:rsidRPr="0042238A">
        <w:rPr>
          <w:lang w:val="fr-FR"/>
        </w:rPr>
        <w:t>a)</w:t>
      </w:r>
      <w:r w:rsidRPr="0042238A">
        <w:rPr>
          <w:lang w:val="fr-FR"/>
        </w:rPr>
        <w:tab/>
        <w:t>Les bouteilles de gaz contiennent de l’azote du No ONU 1066 ou un gaz comprimé du No ONU 1956 ou de l’air comprimé du No ONU 1002 ;</w:t>
      </w:r>
    </w:p>
    <w:p w14:paraId="1977A101" w14:textId="77777777" w:rsidR="00CC7A90" w:rsidRPr="0042238A" w:rsidRDefault="00CC7A90" w:rsidP="00CC7A90">
      <w:pPr>
        <w:pStyle w:val="SingleTxtG"/>
        <w:rPr>
          <w:lang w:val="fr-FR"/>
        </w:rPr>
      </w:pPr>
      <w:r w:rsidRPr="0042238A">
        <w:rPr>
          <w:lang w:val="fr-FR"/>
        </w:rPr>
        <w:t>b)</w:t>
      </w:r>
      <w:r w:rsidRPr="0042238A">
        <w:rPr>
          <w:lang w:val="fr-FR"/>
        </w:rPr>
        <w:tab/>
        <w:t xml:space="preserve">Les bouteilles de gaz soient raccordées à l’objet par l’intermédiaire de détendeurs et de tuyauteries fixes de telle sorte que la pression de gaz (pression manométrique) dans l’objet ne dépasse pas 35 kPa (0,35 bar) ; </w:t>
      </w:r>
    </w:p>
    <w:p w14:paraId="1D6857BE" w14:textId="77777777" w:rsidR="00CC7A90" w:rsidRPr="0042238A" w:rsidRDefault="00CC7A90" w:rsidP="00CC7A90">
      <w:pPr>
        <w:pStyle w:val="SingleTxtG"/>
        <w:rPr>
          <w:lang w:val="fr-FR"/>
        </w:rPr>
      </w:pPr>
      <w:r w:rsidRPr="0042238A">
        <w:rPr>
          <w:lang w:val="fr-FR"/>
        </w:rPr>
        <w:t>c)</w:t>
      </w:r>
      <w:r w:rsidRPr="0042238A">
        <w:rPr>
          <w:lang w:val="fr-FR"/>
        </w:rPr>
        <w:tab/>
        <w:t>Les bouteilles de gaz soient correctement fixées, de telle façon qu’elles ne puissent se déplacer par rapport à l’objet et soient équipées de tuyaux et conduites robustes et résistants à la pression ;</w:t>
      </w:r>
    </w:p>
    <w:p w14:paraId="46FAC63A" w14:textId="77777777" w:rsidR="00CC7A90" w:rsidRPr="0042238A" w:rsidRDefault="00CC7A90" w:rsidP="00CC7A90">
      <w:pPr>
        <w:pStyle w:val="SingleTxtG"/>
        <w:rPr>
          <w:lang w:val="fr-FR"/>
        </w:rPr>
      </w:pPr>
      <w:r w:rsidRPr="0042238A">
        <w:rPr>
          <w:lang w:val="fr-FR"/>
        </w:rPr>
        <w:t>d)</w:t>
      </w:r>
      <w:r w:rsidRPr="0042238A">
        <w:rPr>
          <w:lang w:val="fr-FR"/>
        </w:rPr>
        <w:tab/>
        <w:t>Les bouteilles de gaz, les détendeurs, la tuyauterie et les autres composants soient protégés contre les dommages et les impacts pendant le transport par des harasses en bois ou par un autre moyen approprié ;</w:t>
      </w:r>
    </w:p>
    <w:p w14:paraId="1D936D5F" w14:textId="77777777" w:rsidR="00CC7A90" w:rsidRPr="0042238A" w:rsidRDefault="00CC7A90" w:rsidP="00CC7A90">
      <w:pPr>
        <w:pStyle w:val="SingleTxtG"/>
        <w:rPr>
          <w:lang w:val="fr-FR"/>
        </w:rPr>
      </w:pPr>
      <w:r w:rsidRPr="0042238A">
        <w:rPr>
          <w:lang w:val="fr-FR"/>
        </w:rPr>
        <w:t>e)</w:t>
      </w:r>
      <w:r w:rsidRPr="0042238A">
        <w:rPr>
          <w:lang w:val="fr-FR"/>
        </w:rPr>
        <w:tab/>
        <w:t xml:space="preserve">Le document de transport contienne la mention suivante : </w:t>
      </w:r>
      <w:r w:rsidRPr="00D268A7">
        <w:rPr>
          <w:lang w:val="fr-FR"/>
        </w:rPr>
        <w:t>“</w:t>
      </w:r>
      <w:r w:rsidRPr="0042238A">
        <w:rPr>
          <w:lang w:val="fr-FR"/>
        </w:rPr>
        <w:t>Transport selon la disposition spéciale 396” ;</w:t>
      </w:r>
    </w:p>
    <w:p w14:paraId="3BD7A83C" w14:textId="77777777" w:rsidR="00CC7A90" w:rsidRPr="0042238A" w:rsidRDefault="00CC7A90" w:rsidP="00CC7A90">
      <w:pPr>
        <w:pStyle w:val="SingleTxtG"/>
        <w:rPr>
          <w:lang w:val="fr-FR"/>
        </w:rPr>
      </w:pPr>
      <w:r w:rsidRPr="0042238A">
        <w:rPr>
          <w:lang w:val="fr-FR"/>
        </w:rPr>
        <w:t>f)</w:t>
      </w:r>
      <w:r w:rsidRPr="0042238A">
        <w:rPr>
          <w:lang w:val="fr-FR"/>
        </w:rPr>
        <w:tab/>
        <w:t>Les engins de transport contenant des objets transportés avec des bouteilles dont les robinets sont ouverts contenant un gaz présentant un risque d’asphyxie soient bien ventilés et marqués conformément au 5.5.3.6. ».</w:t>
      </w:r>
    </w:p>
    <w:p w14:paraId="55597B5B" w14:textId="77777777" w:rsidR="00E0647E" w:rsidRPr="0042238A" w:rsidRDefault="00E0647E" w:rsidP="00E0647E">
      <w:pPr>
        <w:keepNext/>
        <w:spacing w:after="120"/>
        <w:ind w:left="1134" w:right="1134"/>
        <w:jc w:val="both"/>
        <w:rPr>
          <w:rFonts w:eastAsiaTheme="minorHAnsi"/>
          <w:lang w:val="fr-FR" w:eastAsia="en-US"/>
        </w:rPr>
      </w:pPr>
      <w:r w:rsidRPr="0042238A">
        <w:rPr>
          <w:rFonts w:eastAsiaTheme="minorHAnsi"/>
          <w:lang w:val="fr-FR" w:eastAsia="en-US"/>
        </w:rPr>
        <w:t>« 397</w:t>
      </w:r>
      <w:r w:rsidRPr="0042238A">
        <w:rPr>
          <w:rFonts w:eastAsiaTheme="minorHAnsi"/>
          <w:lang w:val="fr-FR" w:eastAsia="en-US"/>
        </w:rPr>
        <w:tab/>
        <w:t>Les mélanges d’azote et d’oxygène contenant au moins 19,5 % et au plus 23,5 % d’oxygène (volume) peuvent être transportés sous cette rubrique si aucun autre gaz comburant n’est présent. Pour les concentrations ne dépassant pas cette limite, l’utilisation de l’étiquette de danger subsidiaire de la division 5.1 n’est pas nécessaire. »</w:t>
      </w:r>
    </w:p>
    <w:p w14:paraId="38D9D8A7" w14:textId="77777777" w:rsidR="00E0647E" w:rsidRPr="0042238A" w:rsidRDefault="00E0647E" w:rsidP="00E0647E">
      <w:pPr>
        <w:keepNext/>
        <w:spacing w:after="120"/>
        <w:ind w:left="1134" w:right="1134"/>
        <w:jc w:val="both"/>
        <w:rPr>
          <w:rFonts w:eastAsiaTheme="minorHAnsi"/>
          <w:lang w:val="fr-FR" w:eastAsia="en-US"/>
        </w:rPr>
      </w:pPr>
      <w:r w:rsidRPr="0042238A">
        <w:rPr>
          <w:rFonts w:eastAsiaTheme="minorHAnsi"/>
          <w:lang w:val="fr-FR" w:eastAsia="en-US"/>
        </w:rPr>
        <w:t>« 398</w:t>
      </w:r>
      <w:r w:rsidRPr="0042238A">
        <w:rPr>
          <w:rFonts w:eastAsiaTheme="minorHAnsi"/>
          <w:lang w:val="fr-FR" w:eastAsia="en-US"/>
        </w:rPr>
        <w:tab/>
        <w:t>Cette rubrique s’applique aux mélanges de butylènes, au 1 butylène, au cis-2-butylène et au trans-2-butylène. Pour l’</w:t>
      </w:r>
      <w:proofErr w:type="spellStart"/>
      <w:r w:rsidRPr="0042238A">
        <w:rPr>
          <w:rFonts w:eastAsiaTheme="minorHAnsi"/>
          <w:lang w:val="fr-FR" w:eastAsia="en-US"/>
        </w:rPr>
        <w:t>isobutylène</w:t>
      </w:r>
      <w:proofErr w:type="spellEnd"/>
      <w:r w:rsidRPr="0042238A">
        <w:rPr>
          <w:rFonts w:eastAsiaTheme="minorHAnsi"/>
          <w:lang w:val="fr-FR" w:eastAsia="en-US"/>
        </w:rPr>
        <w:t>, voir le No ONU 1055. »</w:t>
      </w:r>
    </w:p>
    <w:p w14:paraId="67A5B5FA" w14:textId="77777777" w:rsidR="0030054E" w:rsidRPr="0042238A" w:rsidRDefault="0030054E" w:rsidP="0030054E">
      <w:pPr>
        <w:keepNext/>
        <w:keepLines/>
        <w:tabs>
          <w:tab w:val="right" w:pos="851"/>
        </w:tabs>
        <w:kinsoku/>
        <w:overflowPunct/>
        <w:autoSpaceDE/>
        <w:autoSpaceDN/>
        <w:adjustRightInd/>
        <w:snapToGrid/>
        <w:spacing w:before="360" w:after="240" w:line="270" w:lineRule="exact"/>
        <w:ind w:left="1134" w:right="1134" w:hanging="1134"/>
        <w:rPr>
          <w:b/>
          <w:sz w:val="24"/>
          <w:lang w:val="fr-FR" w:eastAsia="en-US"/>
        </w:rPr>
      </w:pPr>
      <w:r w:rsidRPr="0042238A">
        <w:rPr>
          <w:b/>
          <w:sz w:val="24"/>
          <w:lang w:val="fr-FR" w:eastAsia="en-US"/>
        </w:rPr>
        <w:tab/>
      </w:r>
      <w:r w:rsidRPr="0042238A">
        <w:rPr>
          <w:b/>
          <w:sz w:val="24"/>
          <w:lang w:val="fr-FR" w:eastAsia="en-US"/>
        </w:rPr>
        <w:tab/>
        <w:t>Index alphabétique</w:t>
      </w:r>
    </w:p>
    <w:p w14:paraId="3F1F0918" w14:textId="7CF97205" w:rsidR="00241C37" w:rsidRPr="0042238A" w:rsidRDefault="00241C37" w:rsidP="0030054E">
      <w:pPr>
        <w:pStyle w:val="SingleTxtG"/>
        <w:spacing w:before="120"/>
        <w:rPr>
          <w:iCs/>
          <w:lang w:val="fr-FR"/>
        </w:rPr>
      </w:pPr>
      <w:r w:rsidRPr="0042238A">
        <w:rPr>
          <w:iCs/>
          <w:lang w:val="fr-FR"/>
        </w:rPr>
        <w:t>Dans les Notes relatives à l’utilisation de l’index, note 2, après « </w:t>
      </w:r>
      <w:r w:rsidR="00885859" w:rsidRPr="0042238A">
        <w:rPr>
          <w:iCs/>
          <w:lang w:val="fr-FR"/>
        </w:rPr>
        <w:t>"</w:t>
      </w:r>
      <w:proofErr w:type="spellStart"/>
      <w:r w:rsidR="00885859" w:rsidRPr="0042238A">
        <w:rPr>
          <w:iCs/>
          <w:lang w:val="fr-FR"/>
        </w:rPr>
        <w:t>tert</w:t>
      </w:r>
      <w:proofErr w:type="spellEnd"/>
      <w:r w:rsidR="00885859" w:rsidRPr="0042238A">
        <w:rPr>
          <w:iCs/>
          <w:lang w:val="fr-FR"/>
        </w:rPr>
        <w:t>", » ajouter « </w:t>
      </w:r>
      <w:r w:rsidR="001F6BA8" w:rsidRPr="0042238A">
        <w:rPr>
          <w:iCs/>
          <w:lang w:val="fr-FR"/>
        </w:rPr>
        <w:t>des préfixes "cis" et "trans"</w:t>
      </w:r>
      <w:r w:rsidR="003451AC" w:rsidRPr="0042238A">
        <w:rPr>
          <w:iCs/>
          <w:lang w:val="fr-FR"/>
        </w:rPr>
        <w:t>,</w:t>
      </w:r>
      <w:r w:rsidR="001F6BA8" w:rsidRPr="0042238A">
        <w:rPr>
          <w:iCs/>
          <w:lang w:val="fr-FR"/>
        </w:rPr>
        <w:t> ».</w:t>
      </w:r>
    </w:p>
    <w:p w14:paraId="5B4313E8" w14:textId="3FB5DE54" w:rsidR="0030054E" w:rsidRPr="00D268A7" w:rsidRDefault="0030054E" w:rsidP="0030054E">
      <w:pPr>
        <w:pStyle w:val="SingleTxtG"/>
        <w:spacing w:before="120"/>
        <w:rPr>
          <w:iCs/>
          <w:lang w:val="fr-FR"/>
        </w:rPr>
      </w:pPr>
      <w:r w:rsidRPr="00D268A7">
        <w:rPr>
          <w:iCs/>
          <w:lang w:val="fr-FR"/>
        </w:rPr>
        <w:t>Modifier la rubrique pour « EXTRAITS AROMATIQUES LIQUIDES » pour lire comme suit :</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42"/>
        <w:gridCol w:w="812"/>
        <w:gridCol w:w="1517"/>
      </w:tblGrid>
      <w:tr w:rsidR="0030054E" w:rsidRPr="0042238A" w14:paraId="46A9F5BE" w14:textId="77777777" w:rsidTr="00FC798A">
        <w:trPr>
          <w:cantSplit/>
          <w:trHeight w:val="403"/>
        </w:trPr>
        <w:tc>
          <w:tcPr>
            <w:tcW w:w="5042" w:type="dxa"/>
          </w:tcPr>
          <w:p w14:paraId="375F8E30" w14:textId="088FB4DA" w:rsidR="0030054E" w:rsidRPr="0042238A" w:rsidRDefault="0030054E" w:rsidP="00FC798A">
            <w:pPr>
              <w:suppressAutoHyphens w:val="0"/>
              <w:kinsoku/>
              <w:overflowPunct/>
              <w:autoSpaceDE/>
              <w:autoSpaceDN/>
              <w:adjustRightInd/>
              <w:snapToGrid/>
              <w:spacing w:before="40" w:after="40" w:line="220" w:lineRule="exact"/>
              <w:ind w:right="113"/>
              <w:rPr>
                <w:lang w:val="fr-FR" w:eastAsia="en-US"/>
              </w:rPr>
            </w:pPr>
            <w:r w:rsidRPr="00D268A7">
              <w:rPr>
                <w:iCs/>
                <w:lang w:val="fr-FR"/>
              </w:rPr>
              <w:t>Extraits aromatiques liquides</w:t>
            </w:r>
            <w:r w:rsidR="001C3288">
              <w:rPr>
                <w:iCs/>
                <w:lang w:val="fr-FR"/>
              </w:rPr>
              <w:t>, voir</w:t>
            </w:r>
          </w:p>
        </w:tc>
        <w:tc>
          <w:tcPr>
            <w:tcW w:w="812" w:type="dxa"/>
          </w:tcPr>
          <w:p w14:paraId="67DE9848" w14:textId="77777777" w:rsidR="0030054E" w:rsidRPr="0042238A" w:rsidRDefault="0030054E" w:rsidP="00FC798A">
            <w:pPr>
              <w:kinsoku/>
              <w:overflowPunct/>
              <w:autoSpaceDE/>
              <w:autoSpaceDN/>
              <w:adjustRightInd/>
              <w:snapToGrid/>
              <w:spacing w:after="120"/>
              <w:ind w:left="284" w:hanging="284"/>
              <w:jc w:val="center"/>
              <w:rPr>
                <w:lang w:val="fr-FR" w:eastAsia="en-US"/>
              </w:rPr>
            </w:pPr>
            <w:r w:rsidRPr="0042238A">
              <w:rPr>
                <w:lang w:val="fr-FR" w:eastAsia="en-US"/>
              </w:rPr>
              <w:t>3</w:t>
            </w:r>
          </w:p>
        </w:tc>
        <w:tc>
          <w:tcPr>
            <w:tcW w:w="1517" w:type="dxa"/>
          </w:tcPr>
          <w:p w14:paraId="618501FB" w14:textId="06F90BBF" w:rsidR="0030054E" w:rsidRPr="0042238A" w:rsidRDefault="0030054E" w:rsidP="00FC798A">
            <w:pPr>
              <w:kinsoku/>
              <w:overflowPunct/>
              <w:autoSpaceDE/>
              <w:autoSpaceDN/>
              <w:adjustRightInd/>
              <w:snapToGrid/>
              <w:spacing w:after="120"/>
              <w:jc w:val="center"/>
              <w:rPr>
                <w:lang w:val="fr-FR" w:eastAsia="en-US"/>
              </w:rPr>
            </w:pPr>
            <w:r w:rsidRPr="0042238A">
              <w:rPr>
                <w:lang w:val="fr-FR" w:eastAsia="en-US"/>
              </w:rPr>
              <w:t>1197</w:t>
            </w:r>
          </w:p>
        </w:tc>
      </w:tr>
    </w:tbl>
    <w:p w14:paraId="58F49662" w14:textId="77777777" w:rsidR="0030054E" w:rsidRPr="00D268A7" w:rsidRDefault="0030054E" w:rsidP="0030054E">
      <w:pPr>
        <w:pStyle w:val="SingleTxtG"/>
        <w:spacing w:before="120"/>
        <w:rPr>
          <w:iCs/>
          <w:lang w:val="fr-FR"/>
        </w:rPr>
      </w:pPr>
      <w:r w:rsidRPr="00D268A7">
        <w:rPr>
          <w:iCs/>
          <w:lang w:val="fr-FR"/>
        </w:rPr>
        <w:t>Modifier la rubrique pour « </w:t>
      </w:r>
      <w:r w:rsidRPr="00D268A7">
        <w:rPr>
          <w:lang w:val="fr-FR"/>
        </w:rPr>
        <w:t>EXTRAITS LIQUIDES POUR AROMATISER</w:t>
      </w:r>
      <w:r w:rsidRPr="00D268A7">
        <w:rPr>
          <w:iCs/>
          <w:lang w:val="fr-FR"/>
        </w:rPr>
        <w:t> » pour lire comme suit :</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42"/>
        <w:gridCol w:w="812"/>
        <w:gridCol w:w="1517"/>
      </w:tblGrid>
      <w:tr w:rsidR="0030054E" w:rsidRPr="0042238A" w14:paraId="405AAB9C" w14:textId="77777777" w:rsidTr="00FC798A">
        <w:trPr>
          <w:cantSplit/>
          <w:trHeight w:val="403"/>
        </w:trPr>
        <w:tc>
          <w:tcPr>
            <w:tcW w:w="5042" w:type="dxa"/>
          </w:tcPr>
          <w:p w14:paraId="3A3A0AF7" w14:textId="77777777" w:rsidR="0030054E" w:rsidRPr="0042238A" w:rsidRDefault="0030054E" w:rsidP="00FC798A">
            <w:pPr>
              <w:suppressAutoHyphens w:val="0"/>
              <w:kinsoku/>
              <w:overflowPunct/>
              <w:autoSpaceDE/>
              <w:autoSpaceDN/>
              <w:adjustRightInd/>
              <w:snapToGrid/>
              <w:spacing w:before="40" w:after="40" w:line="220" w:lineRule="exact"/>
              <w:ind w:right="113"/>
              <w:rPr>
                <w:lang w:val="fr-FR" w:eastAsia="en-US"/>
              </w:rPr>
            </w:pPr>
            <w:r w:rsidRPr="00D268A7">
              <w:rPr>
                <w:iCs/>
                <w:lang w:val="fr-FR"/>
              </w:rPr>
              <w:lastRenderedPageBreak/>
              <w:t>EXTRAITS, LIQUIDES, pour aromatiser</w:t>
            </w:r>
          </w:p>
        </w:tc>
        <w:tc>
          <w:tcPr>
            <w:tcW w:w="812" w:type="dxa"/>
          </w:tcPr>
          <w:p w14:paraId="5FC3711B" w14:textId="77777777" w:rsidR="0030054E" w:rsidRPr="0042238A" w:rsidRDefault="0030054E" w:rsidP="00FC798A">
            <w:pPr>
              <w:kinsoku/>
              <w:overflowPunct/>
              <w:autoSpaceDE/>
              <w:autoSpaceDN/>
              <w:adjustRightInd/>
              <w:snapToGrid/>
              <w:spacing w:after="120"/>
              <w:ind w:left="284" w:hanging="284"/>
              <w:jc w:val="center"/>
              <w:rPr>
                <w:lang w:val="fr-FR" w:eastAsia="en-US"/>
              </w:rPr>
            </w:pPr>
            <w:r w:rsidRPr="0042238A">
              <w:rPr>
                <w:lang w:val="fr-FR" w:eastAsia="en-US"/>
              </w:rPr>
              <w:t>3</w:t>
            </w:r>
          </w:p>
        </w:tc>
        <w:tc>
          <w:tcPr>
            <w:tcW w:w="1517" w:type="dxa"/>
          </w:tcPr>
          <w:p w14:paraId="67D70EAB" w14:textId="77777777" w:rsidR="0030054E" w:rsidRPr="0042238A" w:rsidRDefault="0030054E" w:rsidP="00FC798A">
            <w:pPr>
              <w:kinsoku/>
              <w:overflowPunct/>
              <w:autoSpaceDE/>
              <w:autoSpaceDN/>
              <w:adjustRightInd/>
              <w:snapToGrid/>
              <w:spacing w:after="120"/>
              <w:jc w:val="center"/>
              <w:rPr>
                <w:lang w:val="fr-FR" w:eastAsia="en-US"/>
              </w:rPr>
            </w:pPr>
            <w:r w:rsidRPr="0042238A">
              <w:rPr>
                <w:lang w:val="fr-FR" w:eastAsia="en-US"/>
              </w:rPr>
              <w:t>1197</w:t>
            </w:r>
          </w:p>
        </w:tc>
      </w:tr>
    </w:tbl>
    <w:p w14:paraId="6340D4AD" w14:textId="77777777" w:rsidR="0030054E" w:rsidRPr="0042238A" w:rsidRDefault="0030054E" w:rsidP="0030054E">
      <w:pPr>
        <w:kinsoku/>
        <w:overflowPunct/>
        <w:autoSpaceDE/>
        <w:autoSpaceDN/>
        <w:adjustRightInd/>
        <w:snapToGrid/>
        <w:spacing w:before="120" w:after="120" w:line="240" w:lineRule="auto"/>
        <w:ind w:left="1134" w:right="1134"/>
        <w:jc w:val="both"/>
        <w:rPr>
          <w:iCs/>
          <w:lang w:val="fr-FR" w:eastAsia="en-US"/>
        </w:rPr>
      </w:pPr>
      <w:r w:rsidRPr="0042238A">
        <w:rPr>
          <w:iCs/>
          <w:lang w:val="fr-FR" w:eastAsia="en-US"/>
        </w:rPr>
        <w:t>Ajouter les nouvelles rubriques suivantes dans l’ordre alphabétique :</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42"/>
        <w:gridCol w:w="812"/>
        <w:gridCol w:w="1517"/>
      </w:tblGrid>
      <w:tr w:rsidR="0030054E" w:rsidRPr="0042238A" w14:paraId="4BF290AB" w14:textId="77777777" w:rsidTr="00FC798A">
        <w:trPr>
          <w:cantSplit/>
          <w:trHeight w:val="403"/>
        </w:trPr>
        <w:tc>
          <w:tcPr>
            <w:tcW w:w="5042" w:type="dxa"/>
          </w:tcPr>
          <w:p w14:paraId="492BD660" w14:textId="23DDE20E" w:rsidR="0030054E" w:rsidRPr="0042238A" w:rsidRDefault="0030054E" w:rsidP="00FC798A">
            <w:pPr>
              <w:suppressAutoHyphens w:val="0"/>
              <w:kinsoku/>
              <w:overflowPunct/>
              <w:autoSpaceDE/>
              <w:autoSpaceDN/>
              <w:adjustRightInd/>
              <w:snapToGrid/>
              <w:spacing w:before="40" w:after="40" w:line="220" w:lineRule="exact"/>
              <w:ind w:right="113"/>
              <w:rPr>
                <w:lang w:val="fr-FR" w:eastAsia="en-US"/>
              </w:rPr>
            </w:pPr>
            <w:r w:rsidRPr="00D268A7">
              <w:rPr>
                <w:color w:val="000000" w:themeColor="text1"/>
                <w:lang w:val="fr-FR"/>
              </w:rPr>
              <w:t>1-butylène</w:t>
            </w:r>
            <w:r w:rsidR="001C3288">
              <w:rPr>
                <w:color w:val="000000" w:themeColor="text1"/>
                <w:lang w:val="fr-FR"/>
              </w:rPr>
              <w:t>, voir</w:t>
            </w:r>
          </w:p>
        </w:tc>
        <w:tc>
          <w:tcPr>
            <w:tcW w:w="812" w:type="dxa"/>
          </w:tcPr>
          <w:p w14:paraId="31CBFF70" w14:textId="77777777" w:rsidR="0030054E" w:rsidRPr="0042238A" w:rsidRDefault="0030054E" w:rsidP="00FC798A">
            <w:pPr>
              <w:kinsoku/>
              <w:overflowPunct/>
              <w:autoSpaceDE/>
              <w:autoSpaceDN/>
              <w:adjustRightInd/>
              <w:snapToGrid/>
              <w:spacing w:after="120"/>
              <w:ind w:left="284" w:hanging="284"/>
              <w:jc w:val="center"/>
              <w:rPr>
                <w:lang w:val="fr-FR" w:eastAsia="en-US"/>
              </w:rPr>
            </w:pPr>
            <w:r w:rsidRPr="0042238A">
              <w:rPr>
                <w:lang w:val="fr-FR" w:eastAsia="en-US"/>
              </w:rPr>
              <w:t>2.1</w:t>
            </w:r>
          </w:p>
        </w:tc>
        <w:tc>
          <w:tcPr>
            <w:tcW w:w="1517" w:type="dxa"/>
          </w:tcPr>
          <w:p w14:paraId="7A132800" w14:textId="1FFEB6FD" w:rsidR="0030054E" w:rsidRPr="0042238A" w:rsidRDefault="0030054E" w:rsidP="00FC798A">
            <w:pPr>
              <w:kinsoku/>
              <w:overflowPunct/>
              <w:autoSpaceDE/>
              <w:autoSpaceDN/>
              <w:adjustRightInd/>
              <w:snapToGrid/>
              <w:spacing w:after="120"/>
              <w:jc w:val="center"/>
              <w:rPr>
                <w:lang w:val="fr-FR" w:eastAsia="en-US"/>
              </w:rPr>
            </w:pPr>
            <w:r w:rsidRPr="0042238A">
              <w:rPr>
                <w:lang w:val="fr-FR" w:eastAsia="en-US"/>
              </w:rPr>
              <w:t>1012</w:t>
            </w:r>
          </w:p>
        </w:tc>
      </w:tr>
      <w:tr w:rsidR="0030054E" w:rsidRPr="0042238A" w14:paraId="23A17DD9" w14:textId="77777777" w:rsidTr="00FC798A">
        <w:trPr>
          <w:cantSplit/>
          <w:trHeight w:val="403"/>
        </w:trPr>
        <w:tc>
          <w:tcPr>
            <w:tcW w:w="5042" w:type="dxa"/>
          </w:tcPr>
          <w:p w14:paraId="33A4D5F3" w14:textId="6078E3A1" w:rsidR="0030054E" w:rsidRPr="00D268A7" w:rsidRDefault="0030054E" w:rsidP="00FC798A">
            <w:pPr>
              <w:suppressAutoHyphens w:val="0"/>
              <w:kinsoku/>
              <w:overflowPunct/>
              <w:autoSpaceDE/>
              <w:autoSpaceDN/>
              <w:adjustRightInd/>
              <w:snapToGrid/>
              <w:spacing w:before="40" w:after="40" w:line="220" w:lineRule="exact"/>
              <w:ind w:right="113"/>
              <w:rPr>
                <w:color w:val="000000" w:themeColor="text1"/>
                <w:lang w:val="fr-FR"/>
              </w:rPr>
            </w:pPr>
            <w:r w:rsidRPr="00D268A7">
              <w:rPr>
                <w:color w:val="000000" w:themeColor="text1"/>
                <w:lang w:val="fr-FR"/>
              </w:rPr>
              <w:t>cis-2-butylène</w:t>
            </w:r>
            <w:r w:rsidR="001C3288">
              <w:rPr>
                <w:color w:val="000000" w:themeColor="text1"/>
                <w:lang w:val="fr-FR"/>
              </w:rPr>
              <w:t>, voir</w:t>
            </w:r>
          </w:p>
        </w:tc>
        <w:tc>
          <w:tcPr>
            <w:tcW w:w="812" w:type="dxa"/>
          </w:tcPr>
          <w:p w14:paraId="55B09F59" w14:textId="77777777" w:rsidR="0030054E" w:rsidRPr="0042238A" w:rsidRDefault="0030054E" w:rsidP="00FC798A">
            <w:pPr>
              <w:kinsoku/>
              <w:overflowPunct/>
              <w:autoSpaceDE/>
              <w:autoSpaceDN/>
              <w:adjustRightInd/>
              <w:snapToGrid/>
              <w:spacing w:after="120"/>
              <w:ind w:left="284" w:hanging="284"/>
              <w:jc w:val="center"/>
              <w:rPr>
                <w:lang w:val="fr-FR" w:eastAsia="en-US"/>
              </w:rPr>
            </w:pPr>
            <w:r w:rsidRPr="0042238A">
              <w:rPr>
                <w:lang w:val="fr-FR" w:eastAsia="en-US"/>
              </w:rPr>
              <w:t>2.1</w:t>
            </w:r>
          </w:p>
        </w:tc>
        <w:tc>
          <w:tcPr>
            <w:tcW w:w="1517" w:type="dxa"/>
          </w:tcPr>
          <w:p w14:paraId="73DDEB87" w14:textId="09BED996" w:rsidR="0030054E" w:rsidRPr="0042238A" w:rsidRDefault="0030054E" w:rsidP="00FC798A">
            <w:pPr>
              <w:kinsoku/>
              <w:overflowPunct/>
              <w:autoSpaceDE/>
              <w:autoSpaceDN/>
              <w:adjustRightInd/>
              <w:snapToGrid/>
              <w:spacing w:after="120"/>
              <w:jc w:val="center"/>
              <w:rPr>
                <w:lang w:val="fr-FR" w:eastAsia="en-US"/>
              </w:rPr>
            </w:pPr>
            <w:r w:rsidRPr="0042238A">
              <w:rPr>
                <w:lang w:val="fr-FR" w:eastAsia="en-US"/>
              </w:rPr>
              <w:t>1012</w:t>
            </w:r>
          </w:p>
        </w:tc>
      </w:tr>
      <w:tr w:rsidR="0030054E" w:rsidRPr="0042238A" w14:paraId="3B93BC48" w14:textId="77777777" w:rsidTr="00FC798A">
        <w:trPr>
          <w:cantSplit/>
          <w:trHeight w:val="403"/>
        </w:trPr>
        <w:tc>
          <w:tcPr>
            <w:tcW w:w="5042" w:type="dxa"/>
          </w:tcPr>
          <w:p w14:paraId="0565C594" w14:textId="77777777" w:rsidR="0030054E" w:rsidRPr="0042238A" w:rsidRDefault="0030054E" w:rsidP="00FC798A">
            <w:pPr>
              <w:suppressAutoHyphens w:val="0"/>
              <w:kinsoku/>
              <w:overflowPunct/>
              <w:autoSpaceDE/>
              <w:autoSpaceDN/>
              <w:adjustRightInd/>
              <w:snapToGrid/>
              <w:spacing w:before="40" w:after="40" w:line="220" w:lineRule="exact"/>
              <w:ind w:right="113"/>
              <w:rPr>
                <w:lang w:val="fr-FR" w:eastAsia="en-US"/>
              </w:rPr>
            </w:pPr>
            <w:r w:rsidRPr="0042238A">
              <w:rPr>
                <w:lang w:val="fr-FR" w:eastAsia="en-US"/>
              </w:rPr>
              <w:t>POUDRE DE DIHYDROXYDE DE COBALT ayant une teneur en particules respirables égale ou supérieure à 10 %</w:t>
            </w:r>
          </w:p>
        </w:tc>
        <w:tc>
          <w:tcPr>
            <w:tcW w:w="812" w:type="dxa"/>
          </w:tcPr>
          <w:p w14:paraId="2C5966C7" w14:textId="77777777" w:rsidR="0030054E" w:rsidRPr="0042238A" w:rsidRDefault="0030054E" w:rsidP="00FC798A">
            <w:pPr>
              <w:kinsoku/>
              <w:overflowPunct/>
              <w:autoSpaceDE/>
              <w:autoSpaceDN/>
              <w:adjustRightInd/>
              <w:snapToGrid/>
              <w:spacing w:after="120"/>
              <w:ind w:left="284" w:hanging="284"/>
              <w:jc w:val="center"/>
              <w:rPr>
                <w:lang w:val="fr-FR" w:eastAsia="en-US"/>
              </w:rPr>
            </w:pPr>
            <w:r w:rsidRPr="0042238A">
              <w:rPr>
                <w:lang w:val="fr-FR" w:eastAsia="en-US"/>
              </w:rPr>
              <w:t>6.1</w:t>
            </w:r>
          </w:p>
        </w:tc>
        <w:tc>
          <w:tcPr>
            <w:tcW w:w="1517" w:type="dxa"/>
          </w:tcPr>
          <w:p w14:paraId="7CC8B9FB" w14:textId="77777777" w:rsidR="0030054E" w:rsidRPr="0042238A" w:rsidRDefault="0030054E" w:rsidP="00FC798A">
            <w:pPr>
              <w:kinsoku/>
              <w:overflowPunct/>
              <w:autoSpaceDE/>
              <w:autoSpaceDN/>
              <w:adjustRightInd/>
              <w:snapToGrid/>
              <w:spacing w:after="120"/>
              <w:ind w:left="284" w:hanging="284"/>
              <w:jc w:val="center"/>
              <w:rPr>
                <w:lang w:val="fr-FR" w:eastAsia="en-US"/>
              </w:rPr>
            </w:pPr>
            <w:r w:rsidRPr="0042238A">
              <w:rPr>
                <w:lang w:val="fr-FR" w:eastAsia="en-US"/>
              </w:rPr>
              <w:t>3550</w:t>
            </w:r>
          </w:p>
        </w:tc>
      </w:tr>
      <w:tr w:rsidR="0030054E" w:rsidRPr="0042238A" w14:paraId="6030B8AB" w14:textId="77777777" w:rsidTr="00FC798A">
        <w:trPr>
          <w:cantSplit/>
          <w:trHeight w:val="403"/>
        </w:trPr>
        <w:tc>
          <w:tcPr>
            <w:tcW w:w="5042" w:type="dxa"/>
          </w:tcPr>
          <w:p w14:paraId="2DAAF7CA" w14:textId="1E776530" w:rsidR="0030054E" w:rsidRPr="00D268A7" w:rsidRDefault="0030054E" w:rsidP="00FC798A">
            <w:pPr>
              <w:suppressAutoHyphens w:val="0"/>
              <w:kinsoku/>
              <w:overflowPunct/>
              <w:autoSpaceDE/>
              <w:autoSpaceDN/>
              <w:adjustRightInd/>
              <w:snapToGrid/>
              <w:spacing w:before="40" w:after="40" w:line="220" w:lineRule="exact"/>
              <w:ind w:right="113"/>
              <w:rPr>
                <w:color w:val="000000" w:themeColor="text1"/>
                <w:lang w:val="fr-FR"/>
              </w:rPr>
            </w:pPr>
            <w:r w:rsidRPr="00D268A7">
              <w:rPr>
                <w:color w:val="000000" w:themeColor="text1"/>
                <w:lang w:val="fr-FR"/>
              </w:rPr>
              <w:t>trans-2-butylène</w:t>
            </w:r>
            <w:r w:rsidR="001C3288">
              <w:rPr>
                <w:color w:val="000000" w:themeColor="text1"/>
                <w:lang w:val="fr-FR"/>
              </w:rPr>
              <w:t>, voir</w:t>
            </w:r>
            <w:r w:rsidRPr="00D268A7">
              <w:rPr>
                <w:color w:val="000000" w:themeColor="text1"/>
                <w:lang w:val="fr-FR"/>
              </w:rPr>
              <w:t> </w:t>
            </w:r>
          </w:p>
        </w:tc>
        <w:tc>
          <w:tcPr>
            <w:tcW w:w="812" w:type="dxa"/>
          </w:tcPr>
          <w:p w14:paraId="12F0CDDD" w14:textId="77777777" w:rsidR="0030054E" w:rsidRPr="0042238A" w:rsidRDefault="0030054E" w:rsidP="00FC798A">
            <w:pPr>
              <w:kinsoku/>
              <w:overflowPunct/>
              <w:autoSpaceDE/>
              <w:autoSpaceDN/>
              <w:adjustRightInd/>
              <w:snapToGrid/>
              <w:spacing w:after="120"/>
              <w:ind w:left="284" w:hanging="284"/>
              <w:jc w:val="center"/>
              <w:rPr>
                <w:lang w:val="fr-FR" w:eastAsia="en-US"/>
              </w:rPr>
            </w:pPr>
            <w:r w:rsidRPr="0042238A">
              <w:rPr>
                <w:lang w:val="fr-FR" w:eastAsia="en-US"/>
              </w:rPr>
              <w:t>2.1</w:t>
            </w:r>
          </w:p>
        </w:tc>
        <w:tc>
          <w:tcPr>
            <w:tcW w:w="1517" w:type="dxa"/>
          </w:tcPr>
          <w:p w14:paraId="3B1643B8" w14:textId="79AE0284" w:rsidR="0030054E" w:rsidRPr="0042238A" w:rsidRDefault="0030054E" w:rsidP="00FC798A">
            <w:pPr>
              <w:kinsoku/>
              <w:overflowPunct/>
              <w:autoSpaceDE/>
              <w:autoSpaceDN/>
              <w:adjustRightInd/>
              <w:snapToGrid/>
              <w:spacing w:after="120"/>
              <w:jc w:val="center"/>
              <w:rPr>
                <w:lang w:val="fr-FR" w:eastAsia="en-US"/>
              </w:rPr>
            </w:pPr>
            <w:r w:rsidRPr="0042238A">
              <w:rPr>
                <w:lang w:val="fr-FR" w:eastAsia="en-US"/>
              </w:rPr>
              <w:t>1012</w:t>
            </w:r>
          </w:p>
        </w:tc>
      </w:tr>
    </w:tbl>
    <w:p w14:paraId="38A760ED" w14:textId="40559FBC" w:rsidR="00CC7A90" w:rsidRPr="0042238A" w:rsidRDefault="00CC7A90" w:rsidP="00CC7A90">
      <w:pPr>
        <w:pStyle w:val="H1G"/>
        <w:rPr>
          <w:lang w:val="fr-FR"/>
        </w:rPr>
      </w:pPr>
      <w:r w:rsidRPr="0042238A">
        <w:rPr>
          <w:lang w:val="fr-FR"/>
        </w:rPr>
        <w:tab/>
      </w:r>
      <w:r w:rsidRPr="0042238A">
        <w:rPr>
          <w:lang w:val="fr-FR"/>
        </w:rPr>
        <w:tab/>
        <w:t>Chapitre 4.1</w:t>
      </w:r>
    </w:p>
    <w:p w14:paraId="083E3519" w14:textId="77777777" w:rsidR="00CC7A90" w:rsidRPr="001C3288" w:rsidRDefault="00CC7A90" w:rsidP="00CC7A90">
      <w:pPr>
        <w:pStyle w:val="SingleTxtG"/>
        <w:rPr>
          <w:lang w:val="fr-FR"/>
        </w:rPr>
      </w:pPr>
      <w:r w:rsidRPr="001C3288">
        <w:rPr>
          <w:lang w:val="fr-FR"/>
        </w:rPr>
        <w:t>4.1.1.15</w:t>
      </w:r>
      <w:r w:rsidRPr="001C3288">
        <w:rPr>
          <w:lang w:val="fr-FR"/>
        </w:rPr>
        <w:tab/>
        <w:t>Ajouter un Nota à la fin pour lire comme suit :</w:t>
      </w:r>
    </w:p>
    <w:p w14:paraId="5587C11E" w14:textId="77777777" w:rsidR="00CC7A90" w:rsidRPr="001C3288" w:rsidRDefault="00CC7A90" w:rsidP="00CC7A90">
      <w:pPr>
        <w:pStyle w:val="SingleTxtG"/>
        <w:ind w:left="2268" w:hanging="1134"/>
        <w:rPr>
          <w:i/>
          <w:iCs/>
          <w:lang w:val="fr-FR"/>
        </w:rPr>
      </w:pPr>
      <w:r w:rsidRPr="001C3288">
        <w:rPr>
          <w:i/>
          <w:iCs/>
          <w:lang w:val="fr-FR"/>
        </w:rPr>
        <w:tab/>
      </w:r>
      <w:r w:rsidRPr="001C3288">
        <w:rPr>
          <w:lang w:val="fr-FR"/>
        </w:rPr>
        <w:t>«</w:t>
      </w:r>
      <w:r w:rsidRPr="001C3288">
        <w:rPr>
          <w:i/>
          <w:iCs/>
          <w:lang w:val="fr-FR"/>
        </w:rPr>
        <w:t> </w:t>
      </w:r>
      <w:r w:rsidRPr="001C3288">
        <w:rPr>
          <w:b/>
          <w:bCs/>
          <w:i/>
          <w:iCs/>
          <w:lang w:val="fr-FR"/>
        </w:rPr>
        <w:t>NOTA</w:t>
      </w:r>
      <w:r w:rsidRPr="001C3288">
        <w:rPr>
          <w:i/>
          <w:iCs/>
          <w:lang w:val="fr-FR"/>
        </w:rPr>
        <w:t> : Pour les GRV composites, cette durée d’utilisation fait référence à la date de fabrication du récipient intérieur. </w:t>
      </w:r>
      <w:r w:rsidRPr="001C3288">
        <w:rPr>
          <w:lang w:val="fr-FR"/>
        </w:rPr>
        <w:t>»</w:t>
      </w:r>
    </w:p>
    <w:p w14:paraId="4CEE7EB5" w14:textId="77777777" w:rsidR="00AD6221" w:rsidRPr="001C3288" w:rsidRDefault="00AD6221" w:rsidP="00AD6221">
      <w:pPr>
        <w:tabs>
          <w:tab w:val="left" w:pos="2268"/>
        </w:tabs>
        <w:kinsoku/>
        <w:overflowPunct/>
        <w:autoSpaceDE/>
        <w:autoSpaceDN/>
        <w:adjustRightInd/>
        <w:snapToGrid/>
        <w:spacing w:after="120"/>
        <w:ind w:left="2268" w:right="1134" w:hanging="1134"/>
        <w:jc w:val="both"/>
        <w:rPr>
          <w:lang w:val="fr-FR" w:eastAsia="en-US"/>
        </w:rPr>
      </w:pPr>
      <w:r w:rsidRPr="001C3288">
        <w:rPr>
          <w:lang w:val="fr-FR" w:eastAsia="en-US"/>
        </w:rPr>
        <w:t>4.1.1.19.2</w:t>
      </w:r>
      <w:r w:rsidRPr="001C3288">
        <w:rPr>
          <w:lang w:val="fr-FR" w:eastAsia="en-US"/>
        </w:rPr>
        <w:tab/>
        <w:t>Supprimer la deuxième phrase. Dans l’avant-dernière phrase, remplacer « 1000 litres » par « 3000 litres ».</w:t>
      </w:r>
    </w:p>
    <w:p w14:paraId="15BD4ACA" w14:textId="77777777" w:rsidR="00B11C66" w:rsidRPr="0042238A" w:rsidRDefault="00B11C66" w:rsidP="00B11C66">
      <w:pPr>
        <w:pStyle w:val="SingleTxtG"/>
        <w:rPr>
          <w:rFonts w:eastAsiaTheme="minorHAnsi"/>
          <w:lang w:val="fr-FR" w:eastAsia="en-US"/>
        </w:rPr>
      </w:pPr>
      <w:r w:rsidRPr="0042238A">
        <w:rPr>
          <w:rFonts w:eastAsiaTheme="minorHAnsi"/>
          <w:lang w:val="fr-FR" w:eastAsia="en-US"/>
        </w:rPr>
        <w:t>4.1.3.3</w:t>
      </w:r>
      <w:r w:rsidRPr="0042238A">
        <w:rPr>
          <w:rFonts w:eastAsiaTheme="minorHAnsi"/>
          <w:lang w:val="fr-FR" w:eastAsia="en-US"/>
        </w:rPr>
        <w:tab/>
      </w:r>
      <w:r w:rsidRPr="0042238A">
        <w:rPr>
          <w:rFonts w:eastAsiaTheme="minorHAnsi"/>
          <w:lang w:val="fr-FR" w:eastAsia="en-US"/>
        </w:rPr>
        <w:tab/>
        <w:t>Ajouter une nouvelle dernière phrase se lisant comme suit :</w:t>
      </w:r>
    </w:p>
    <w:p w14:paraId="19EAD7F0" w14:textId="77777777" w:rsidR="00B11C66" w:rsidRPr="0042238A" w:rsidRDefault="00B11C66" w:rsidP="00B11C66">
      <w:pPr>
        <w:pStyle w:val="SingleTxtG"/>
        <w:rPr>
          <w:rFonts w:eastAsiaTheme="minorHAnsi"/>
          <w:lang w:val="fr-FR" w:eastAsia="en-US"/>
        </w:rPr>
      </w:pPr>
      <w:r w:rsidRPr="0042238A">
        <w:rPr>
          <w:rFonts w:eastAsiaTheme="minorHAnsi"/>
          <w:lang w:val="fr-FR" w:eastAsia="en-US"/>
        </w:rPr>
        <w:t>« Lorsque des emballages qui ne doivent pas nécessairement satisfaire aux prescriptions du 4.1.1.3 (par exemple, caisses, palettes, etc.) sont autorisés dans une instruction d’emballage ou les dispositions spéciales indiquées dans la liste des marchandises dangereuses, ces emballages ne sont pas soumis aux limites de masse ou de volume généralement applicables aux emballages conformes aux prescriptions du chapitre 6.1, sauf indication contraire dans l’instruction d’emballage pertinente. »</w:t>
      </w:r>
    </w:p>
    <w:p w14:paraId="339D11AC" w14:textId="77777777" w:rsidR="00244084" w:rsidRPr="0042238A" w:rsidRDefault="00244084" w:rsidP="00244084">
      <w:pPr>
        <w:pStyle w:val="SingleTxtG"/>
        <w:rPr>
          <w:lang w:val="fr-FR" w:eastAsia="en-US"/>
        </w:rPr>
      </w:pPr>
      <w:r w:rsidRPr="0042238A">
        <w:rPr>
          <w:lang w:val="fr-FR" w:eastAsia="en-US"/>
        </w:rPr>
        <w:t>4.1.4.1, P003</w:t>
      </w:r>
      <w:r w:rsidRPr="0042238A">
        <w:rPr>
          <w:lang w:val="fr-FR" w:eastAsia="en-US"/>
        </w:rPr>
        <w:tab/>
        <w:t>Sous la disposition spéciale d’emballage PP32, ajouter un nouveau Nota, libellé comme suit :</w:t>
      </w:r>
    </w:p>
    <w:p w14:paraId="2BBBC036" w14:textId="77777777" w:rsidR="00244084" w:rsidRPr="0042238A" w:rsidRDefault="00244084" w:rsidP="00244084">
      <w:pPr>
        <w:pStyle w:val="SingleTxtG"/>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La masse nette des emballages autorisés peut dépasser 400 kg (voir 4.1.3.3).</w:t>
      </w:r>
      <w:r w:rsidRPr="0042238A">
        <w:rPr>
          <w:rFonts w:eastAsiaTheme="minorHAnsi"/>
          <w:lang w:val="fr-FR" w:eastAsia="en-US"/>
        </w:rPr>
        <w:t> »</w:t>
      </w:r>
    </w:p>
    <w:p w14:paraId="68844237" w14:textId="412F2B2F" w:rsidR="00244084" w:rsidRPr="0042238A" w:rsidRDefault="00244084" w:rsidP="00244084">
      <w:pPr>
        <w:pStyle w:val="SingleTxtG"/>
        <w:rPr>
          <w:lang w:val="fr-FR" w:eastAsia="en-US"/>
        </w:rPr>
      </w:pPr>
      <w:r w:rsidRPr="0042238A">
        <w:rPr>
          <w:lang w:val="fr-FR" w:eastAsia="en-US"/>
        </w:rPr>
        <w:t>4.1.4.1, P004</w:t>
      </w:r>
      <w:r w:rsidRPr="0042238A">
        <w:rPr>
          <w:lang w:val="fr-FR" w:eastAsia="en-US"/>
        </w:rPr>
        <w:tab/>
      </w:r>
      <w:r w:rsidR="00715CA8" w:rsidRPr="0042238A">
        <w:rPr>
          <w:lang w:val="fr-FR" w:eastAsia="en-US"/>
        </w:rPr>
        <w:t xml:space="preserve">Après </w:t>
      </w:r>
      <w:r w:rsidR="00E41EC3" w:rsidRPr="0042238A">
        <w:rPr>
          <w:lang w:val="fr-FR" w:eastAsia="en-US"/>
        </w:rPr>
        <w:t>3)</w:t>
      </w:r>
      <w:r w:rsidRPr="0042238A">
        <w:rPr>
          <w:lang w:val="fr-FR" w:eastAsia="en-US"/>
        </w:rPr>
        <w:t>, ajouter un nouveau Nota, libellé comme suit :</w:t>
      </w:r>
    </w:p>
    <w:p w14:paraId="34ED2A66" w14:textId="49986F28" w:rsidR="00244084" w:rsidRPr="0042238A" w:rsidRDefault="00244084" w:rsidP="00244084">
      <w:pPr>
        <w:pStyle w:val="SingleTxtG"/>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La masse nette des emballages autorisés </w:t>
      </w:r>
      <w:r w:rsidR="00E96599" w:rsidRPr="0042238A">
        <w:rPr>
          <w:rFonts w:eastAsiaTheme="minorHAnsi"/>
          <w:i/>
          <w:iCs/>
          <w:lang w:val="fr-FR" w:eastAsia="en-US"/>
        </w:rPr>
        <w:t xml:space="preserve">aux </w:t>
      </w:r>
      <w:r w:rsidR="00F456C0" w:rsidRPr="0042238A">
        <w:rPr>
          <w:rFonts w:eastAsiaTheme="minorHAnsi"/>
          <w:i/>
          <w:iCs/>
          <w:lang w:val="fr-FR" w:eastAsia="en-US"/>
        </w:rPr>
        <w:t>paragraphes</w:t>
      </w:r>
      <w:r w:rsidR="00E96599" w:rsidRPr="0042238A">
        <w:rPr>
          <w:rFonts w:eastAsiaTheme="minorHAnsi"/>
          <w:i/>
          <w:iCs/>
          <w:lang w:val="fr-FR" w:eastAsia="en-US"/>
        </w:rPr>
        <w:t xml:space="preserve"> 2) et 3) </w:t>
      </w:r>
      <w:r w:rsidRPr="0042238A">
        <w:rPr>
          <w:rFonts w:eastAsiaTheme="minorHAnsi"/>
          <w:i/>
          <w:iCs/>
          <w:lang w:val="fr-FR" w:eastAsia="en-US"/>
        </w:rPr>
        <w:t>peut dépasser 400 kg (voir 4.1.3.3).</w:t>
      </w:r>
      <w:r w:rsidRPr="0042238A">
        <w:rPr>
          <w:rFonts w:eastAsiaTheme="minorHAnsi"/>
          <w:lang w:val="fr-FR" w:eastAsia="en-US"/>
        </w:rPr>
        <w:t> »</w:t>
      </w:r>
    </w:p>
    <w:p w14:paraId="1A0540E6" w14:textId="77777777" w:rsidR="00244084" w:rsidRPr="0042238A" w:rsidRDefault="00244084" w:rsidP="00244084">
      <w:pPr>
        <w:pStyle w:val="SingleTxtG"/>
        <w:rPr>
          <w:lang w:val="fr-FR" w:eastAsia="en-US"/>
        </w:rPr>
      </w:pPr>
      <w:r w:rsidRPr="0042238A">
        <w:rPr>
          <w:lang w:val="fr-FR" w:eastAsia="en-US"/>
        </w:rPr>
        <w:t>4.1.4.1, P005</w:t>
      </w:r>
      <w:r w:rsidRPr="0042238A">
        <w:rPr>
          <w:lang w:val="fr-FR" w:eastAsia="en-US"/>
        </w:rPr>
        <w:tab/>
        <w:t>Dans la deuxième ligne sous la ligne de titre, sous le deuxième paragraphe, ajouter un nouveau Nota, libellé comme suit :</w:t>
      </w:r>
    </w:p>
    <w:p w14:paraId="56976735" w14:textId="77777777" w:rsidR="00244084" w:rsidRPr="0042238A" w:rsidRDefault="00244084" w:rsidP="00244084">
      <w:pPr>
        <w:pStyle w:val="SingleTxtG"/>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La masse nette des emballages autorisés peut dépasser 400 kg (voir 4.1.3.3).</w:t>
      </w:r>
      <w:r w:rsidRPr="0042238A">
        <w:rPr>
          <w:rFonts w:eastAsiaTheme="minorHAnsi"/>
          <w:lang w:val="fr-FR" w:eastAsia="en-US"/>
        </w:rPr>
        <w:t> »</w:t>
      </w:r>
    </w:p>
    <w:p w14:paraId="27AD65BC" w14:textId="77777777" w:rsidR="00244084" w:rsidRPr="0042238A" w:rsidRDefault="00244084" w:rsidP="00244084">
      <w:pPr>
        <w:pStyle w:val="SingleTxtG"/>
        <w:rPr>
          <w:lang w:val="fr-FR" w:eastAsia="en-US"/>
        </w:rPr>
      </w:pPr>
      <w:r w:rsidRPr="0042238A">
        <w:rPr>
          <w:lang w:val="fr-FR" w:eastAsia="en-US"/>
        </w:rPr>
        <w:t>4.1.4.1, P006 2)</w:t>
      </w:r>
      <w:r w:rsidRPr="0042238A">
        <w:rPr>
          <w:lang w:val="fr-FR" w:eastAsia="en-US"/>
        </w:rPr>
        <w:tab/>
        <w:t>À la fin, ajouter un nouveau Nota, libellé comme suit :</w:t>
      </w:r>
    </w:p>
    <w:p w14:paraId="4224986A" w14:textId="77777777" w:rsidR="00244084" w:rsidRPr="0042238A" w:rsidRDefault="00244084" w:rsidP="00244084">
      <w:pPr>
        <w:pStyle w:val="SingleTxtG"/>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La masse nette des emballages autorisés peut dépasser 400 kg (voir 4.1.3.3).</w:t>
      </w:r>
      <w:r w:rsidRPr="0042238A">
        <w:rPr>
          <w:rFonts w:eastAsiaTheme="minorHAnsi"/>
          <w:lang w:val="fr-FR" w:eastAsia="en-US"/>
        </w:rPr>
        <w:t> »</w:t>
      </w:r>
    </w:p>
    <w:p w14:paraId="1534972F" w14:textId="77777777" w:rsidR="00244084" w:rsidRPr="0042238A" w:rsidRDefault="00244084" w:rsidP="00244084">
      <w:pPr>
        <w:pStyle w:val="SingleTxtG"/>
        <w:rPr>
          <w:lang w:val="fr-FR" w:eastAsia="en-US"/>
        </w:rPr>
      </w:pPr>
      <w:r w:rsidRPr="0042238A">
        <w:rPr>
          <w:lang w:val="fr-FR" w:eastAsia="en-US"/>
        </w:rPr>
        <w:t>4.1.4.1, P130</w:t>
      </w:r>
      <w:r w:rsidRPr="0042238A">
        <w:rPr>
          <w:lang w:val="fr-FR" w:eastAsia="en-US"/>
        </w:rPr>
        <w:tab/>
        <w:t>Sous la disposition spéciale d’emballage PP67, ajouter un nouveau Nota, libellé comme suit :</w:t>
      </w:r>
    </w:p>
    <w:p w14:paraId="1D98B427" w14:textId="77777777" w:rsidR="00244084" w:rsidRPr="0042238A" w:rsidRDefault="00244084" w:rsidP="00244084">
      <w:pPr>
        <w:pStyle w:val="SingleTxtG"/>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La masse nette des emballages autorisés peut dépasser 400 kg (voir 4.1.3.3).</w:t>
      </w:r>
      <w:r w:rsidRPr="0042238A">
        <w:rPr>
          <w:rFonts w:eastAsiaTheme="minorHAnsi"/>
          <w:lang w:val="fr-FR" w:eastAsia="en-US"/>
        </w:rPr>
        <w:t> »</w:t>
      </w:r>
    </w:p>
    <w:p w14:paraId="7AF7EE26" w14:textId="6F60AF15" w:rsidR="00743531" w:rsidRPr="0042238A" w:rsidRDefault="00743531" w:rsidP="006055CB">
      <w:pPr>
        <w:pStyle w:val="SingleTxtG"/>
        <w:rPr>
          <w:lang w:val="fr-FR" w:eastAsia="en-US"/>
        </w:rPr>
      </w:pPr>
      <w:r w:rsidRPr="0042238A">
        <w:rPr>
          <w:lang w:val="fr-FR" w:eastAsia="en-US"/>
        </w:rPr>
        <w:t>4.1.4.1, P137</w:t>
      </w:r>
      <w:r w:rsidRPr="0042238A">
        <w:rPr>
          <w:lang w:val="fr-FR" w:eastAsia="en-US"/>
        </w:rPr>
        <w:tab/>
      </w:r>
      <w:r w:rsidR="00B67CCA" w:rsidRPr="0042238A">
        <w:rPr>
          <w:lang w:val="fr-FR" w:eastAsia="en-US"/>
        </w:rPr>
        <w:t xml:space="preserve">Dans la disposition spéciale d’emballage PP70, </w:t>
      </w:r>
      <w:r w:rsidR="00965B3B" w:rsidRPr="0042238A">
        <w:rPr>
          <w:lang w:val="fr-FR" w:eastAsia="en-US"/>
        </w:rPr>
        <w:t xml:space="preserve">dans la première phrase, </w:t>
      </w:r>
      <w:r w:rsidR="00B67CCA" w:rsidRPr="0042238A">
        <w:rPr>
          <w:lang w:val="fr-FR" w:eastAsia="en-US"/>
        </w:rPr>
        <w:t>remplacer « </w:t>
      </w:r>
      <w:r w:rsidR="00693873" w:rsidRPr="0042238A">
        <w:rPr>
          <w:lang w:val="fr-FR" w:eastAsia="en-US"/>
        </w:rPr>
        <w:t>selon les dispositions du 5.2.1.7.1 » par « </w:t>
      </w:r>
      <w:r w:rsidR="00E45158" w:rsidRPr="0042238A">
        <w:rPr>
          <w:lang w:val="fr-FR" w:eastAsia="en-US"/>
        </w:rPr>
        <w:t xml:space="preserve">comme </w:t>
      </w:r>
      <w:r w:rsidR="000860F9" w:rsidRPr="0042238A">
        <w:rPr>
          <w:lang w:val="fr-FR" w:eastAsia="en-US"/>
        </w:rPr>
        <w:t>le montrent</w:t>
      </w:r>
      <w:r w:rsidR="00E45158" w:rsidRPr="0042238A">
        <w:rPr>
          <w:lang w:val="fr-FR" w:eastAsia="en-US"/>
        </w:rPr>
        <w:t xml:space="preserve"> les figure</w:t>
      </w:r>
      <w:r w:rsidR="000860F9" w:rsidRPr="0042238A">
        <w:rPr>
          <w:lang w:val="fr-FR" w:eastAsia="en-US"/>
        </w:rPr>
        <w:t>s</w:t>
      </w:r>
      <w:r w:rsidR="00E45158" w:rsidRPr="0042238A">
        <w:rPr>
          <w:lang w:val="fr-FR" w:eastAsia="en-US"/>
        </w:rPr>
        <w:t xml:space="preserve"> 5.2.3 ou 5.2.4 ».</w:t>
      </w:r>
    </w:p>
    <w:p w14:paraId="78DA0CC3" w14:textId="3ACD8F1C" w:rsidR="00244084" w:rsidRPr="0042238A" w:rsidRDefault="00244084" w:rsidP="00244084">
      <w:pPr>
        <w:pStyle w:val="SingleTxtG"/>
        <w:rPr>
          <w:lang w:val="fr-FR" w:eastAsia="en-US"/>
        </w:rPr>
      </w:pPr>
      <w:r w:rsidRPr="0042238A">
        <w:rPr>
          <w:lang w:val="fr-FR" w:eastAsia="en-US"/>
        </w:rPr>
        <w:t>4.1.4.1, P144</w:t>
      </w:r>
      <w:r w:rsidRPr="0042238A">
        <w:rPr>
          <w:lang w:val="fr-FR" w:eastAsia="en-US"/>
        </w:rPr>
        <w:tab/>
        <w:t>Sous la disposition spéciale d’emballage PP77, ajouter un nouveau Nota, libellé comme suit :</w:t>
      </w:r>
    </w:p>
    <w:p w14:paraId="60289B56" w14:textId="77777777" w:rsidR="00244084" w:rsidRPr="0042238A" w:rsidRDefault="00244084" w:rsidP="00244084">
      <w:pPr>
        <w:pStyle w:val="SingleTxtG"/>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La masse nette des emballages autorisés peut dépasser 400 kg (voir 4.1.3.3).</w:t>
      </w:r>
      <w:r w:rsidRPr="0042238A">
        <w:rPr>
          <w:rFonts w:eastAsiaTheme="minorHAnsi"/>
          <w:lang w:val="fr-FR" w:eastAsia="en-US"/>
        </w:rPr>
        <w:t> »</w:t>
      </w:r>
    </w:p>
    <w:p w14:paraId="676AF95C" w14:textId="43B7CBC9" w:rsidR="00CC7A90" w:rsidRPr="001C3288" w:rsidRDefault="00CC7A90" w:rsidP="00CC7A90">
      <w:pPr>
        <w:pStyle w:val="SingleTxtG"/>
        <w:ind w:left="2268" w:hanging="1134"/>
        <w:rPr>
          <w:lang w:val="fr-FR"/>
        </w:rPr>
      </w:pPr>
      <w:r w:rsidRPr="001C3288">
        <w:rPr>
          <w:lang w:val="fr-FR"/>
        </w:rPr>
        <w:t>4.1.4.1, P200 5)</w:t>
      </w:r>
      <w:r w:rsidRPr="001C3288">
        <w:rPr>
          <w:lang w:val="fr-FR"/>
        </w:rPr>
        <w:tab/>
        <w:t xml:space="preserve">Dans la disposition spéciale d’emballage « d », après « des récipients à pression en acier », insérer « ou des récipients à pression composites avec revêtement en acier ». </w:t>
      </w:r>
    </w:p>
    <w:p w14:paraId="2C87DBEE" w14:textId="2DF8CCE5" w:rsidR="00626167" w:rsidRPr="0042238A" w:rsidRDefault="00626167" w:rsidP="00626167">
      <w:pPr>
        <w:tabs>
          <w:tab w:val="left" w:pos="2268"/>
        </w:tabs>
        <w:kinsoku/>
        <w:overflowPunct/>
        <w:autoSpaceDE/>
        <w:adjustRightInd/>
        <w:snapToGrid/>
        <w:spacing w:after="120"/>
        <w:ind w:left="2268" w:right="1134" w:hanging="1134"/>
        <w:jc w:val="both"/>
        <w:rPr>
          <w:lang w:val="fr-FR" w:eastAsia="en-US"/>
        </w:rPr>
      </w:pPr>
      <w:r w:rsidRPr="0042238A">
        <w:rPr>
          <w:lang w:val="fr-FR" w:eastAsia="en-US"/>
        </w:rPr>
        <w:lastRenderedPageBreak/>
        <w:tab/>
        <w:t>À la fin de la disposition spéciale d’emballage « z », ajouter :</w:t>
      </w:r>
    </w:p>
    <w:p w14:paraId="730D0B5B" w14:textId="77777777" w:rsidR="00626167" w:rsidRPr="0042238A" w:rsidRDefault="00626167" w:rsidP="00626167">
      <w:pPr>
        <w:pStyle w:val="SingleTxtG"/>
        <w:rPr>
          <w:rFonts w:eastAsiaTheme="minorHAnsi"/>
          <w:lang w:val="fr-FR" w:eastAsia="en-US"/>
        </w:rPr>
      </w:pPr>
      <w:r w:rsidRPr="0042238A">
        <w:rPr>
          <w:rFonts w:eastAsiaTheme="minorHAnsi"/>
          <w:lang w:val="fr-FR" w:eastAsia="en-US"/>
        </w:rPr>
        <w:t>« Le remplissage des mélanges de fluor et d’azote dont la concentration en fluor est inférieure à 35 % en volume peut être permis dans des récipients à pression jusqu’à une pression de service maximale autorisée pour laquelle la pression partielle de fluor n’excède pas 31 bars absolus.</w:t>
      </w:r>
    </w:p>
    <w:p w14:paraId="5679905A" w14:textId="77ED3D80" w:rsidR="00626167" w:rsidRPr="0042238A" w:rsidRDefault="00626167" w:rsidP="00626167">
      <w:pPr>
        <w:rPr>
          <w:rFonts w:asciiTheme="minorHAnsi" w:eastAsiaTheme="minorEastAsia" w:hAnsiTheme="minorHAnsi" w:cstheme="minorBidi"/>
          <w:sz w:val="22"/>
          <w:szCs w:val="22"/>
          <w:lang w:val="fr-FR"/>
        </w:rPr>
      </w:pPr>
      <m:oMathPara>
        <m:oMath>
          <m:r>
            <w:rPr>
              <w:rFonts w:ascii="Cambria Math" w:eastAsiaTheme="minorEastAsia" w:hAnsi="Cambria Math" w:cstheme="minorBidi"/>
              <w:sz w:val="22"/>
              <w:szCs w:val="22"/>
              <w:lang w:val="fr-FR"/>
            </w:rPr>
            <m:t>pression de service</m:t>
          </m:r>
          <m:r>
            <m:rPr>
              <m:sty m:val="p"/>
            </m:rPr>
            <w:rPr>
              <w:rFonts w:ascii="Cambria Math" w:eastAsiaTheme="minorEastAsia" w:hAnsi="Cambria Math" w:cstheme="minorBidi"/>
              <w:sz w:val="22"/>
              <w:szCs w:val="22"/>
              <w:lang w:val="fr-FR"/>
            </w:rPr>
            <m:t xml:space="preserve"> </m:t>
          </m:r>
          <m:d>
            <m:dPr>
              <m:ctrlPr>
                <w:rPr>
                  <w:rFonts w:ascii="Cambria Math" w:eastAsiaTheme="minorEastAsia" w:hAnsi="Cambria Math" w:cstheme="minorBidi"/>
                  <w:iCs/>
                  <w:sz w:val="22"/>
                  <w:szCs w:val="22"/>
                  <w:lang w:val="fr-FR"/>
                </w:rPr>
              </m:ctrlPr>
            </m:dPr>
            <m:e>
              <m:r>
                <m:rPr>
                  <m:sty m:val="p"/>
                </m:rPr>
                <w:rPr>
                  <w:rFonts w:ascii="Cambria Math" w:eastAsiaTheme="minorEastAsia" w:hAnsi="Cambria Math" w:cstheme="minorBidi"/>
                  <w:sz w:val="22"/>
                  <w:szCs w:val="22"/>
                  <w:lang w:val="fr-FR"/>
                </w:rPr>
                <m:t>bar</m:t>
              </m:r>
            </m:e>
          </m:d>
          <m:r>
            <w:rPr>
              <w:rFonts w:ascii="Cambria Math" w:eastAsiaTheme="minorEastAsia" w:hAnsi="Cambria Math" w:cstheme="minorBidi"/>
              <w:sz w:val="22"/>
              <w:szCs w:val="22"/>
              <w:lang w:val="fr-FR"/>
            </w:rPr>
            <m:t>&lt;</m:t>
          </m:r>
          <m:f>
            <m:fPr>
              <m:ctrlPr>
                <w:rPr>
                  <w:rFonts w:ascii="Cambria Math" w:eastAsiaTheme="minorEastAsia" w:hAnsi="Cambria Math" w:cstheme="minorBidi"/>
                  <w:i/>
                  <w:sz w:val="22"/>
                  <w:szCs w:val="22"/>
                  <w:lang w:val="fr-FR"/>
                </w:rPr>
              </m:ctrlPr>
            </m:fPr>
            <m:num>
              <m:r>
                <w:rPr>
                  <w:rFonts w:ascii="Cambria Math" w:eastAsiaTheme="minorEastAsia" w:hAnsi="Cambria Math" w:cstheme="minorBidi"/>
                  <w:sz w:val="22"/>
                  <w:szCs w:val="22"/>
                  <w:lang w:val="fr-FR"/>
                </w:rPr>
                <m:t>31</m:t>
              </m:r>
            </m:num>
            <m:den>
              <m:sSub>
                <m:sSubPr>
                  <m:ctrlPr>
                    <w:rPr>
                      <w:rFonts w:ascii="Cambria Math" w:eastAsiaTheme="minorEastAsia" w:hAnsi="Cambria Math" w:cstheme="minorBidi"/>
                      <w:i/>
                      <w:sz w:val="22"/>
                      <w:szCs w:val="22"/>
                      <w:lang w:val="fr-FR"/>
                    </w:rPr>
                  </m:ctrlPr>
                </m:sSubPr>
                <m:e>
                  <m:r>
                    <w:rPr>
                      <w:rFonts w:ascii="Cambria Math" w:eastAsiaTheme="minorEastAsia" w:hAnsi="Cambria Math" w:cstheme="minorBidi"/>
                      <w:sz w:val="22"/>
                      <w:szCs w:val="22"/>
                      <w:lang w:val="fr-FR"/>
                    </w:rPr>
                    <m:t>x</m:t>
                  </m:r>
                </m:e>
                <m:sub>
                  <m:r>
                    <w:rPr>
                      <w:rFonts w:ascii="Cambria Math" w:eastAsiaTheme="minorEastAsia" w:hAnsi="Cambria Math" w:cstheme="minorBidi"/>
                      <w:sz w:val="22"/>
                      <w:szCs w:val="22"/>
                      <w:lang w:val="fr-FR"/>
                    </w:rPr>
                    <m:t>f</m:t>
                  </m:r>
                </m:sub>
              </m:sSub>
            </m:den>
          </m:f>
          <m:r>
            <w:rPr>
              <w:rFonts w:ascii="Cambria Math" w:eastAsiaTheme="minorEastAsia" w:hAnsi="Cambria Math" w:cstheme="minorBidi"/>
              <w:sz w:val="22"/>
              <w:szCs w:val="22"/>
              <w:lang w:val="fr-FR"/>
            </w:rPr>
            <m:t>-1</m:t>
          </m:r>
        </m:oMath>
      </m:oMathPara>
    </w:p>
    <w:p w14:paraId="10A3B4EC" w14:textId="77777777" w:rsidR="00626167" w:rsidRPr="0042238A" w:rsidRDefault="00626167" w:rsidP="00626167">
      <w:pPr>
        <w:pStyle w:val="SingleTxtG"/>
        <w:ind w:left="1701"/>
        <w:rPr>
          <w:rFonts w:eastAsiaTheme="minorHAnsi"/>
          <w:lang w:val="fr-FR" w:eastAsia="en-US"/>
        </w:rPr>
      </w:pPr>
      <w:r w:rsidRPr="0042238A">
        <w:rPr>
          <w:rFonts w:eastAsiaTheme="minorHAnsi"/>
          <w:lang w:val="fr-FR" w:eastAsia="en-US"/>
        </w:rPr>
        <w:t xml:space="preserve">où </w:t>
      </w:r>
      <w:proofErr w:type="spellStart"/>
      <w:r w:rsidRPr="0042238A">
        <w:rPr>
          <w:rFonts w:eastAsiaTheme="minorHAnsi"/>
          <w:i/>
          <w:iCs/>
          <w:lang w:val="fr-FR" w:eastAsia="en-US"/>
        </w:rPr>
        <w:t>x</w:t>
      </w:r>
      <w:r w:rsidRPr="0042238A">
        <w:rPr>
          <w:rFonts w:eastAsiaTheme="minorHAnsi"/>
          <w:i/>
          <w:iCs/>
          <w:vertAlign w:val="subscript"/>
          <w:lang w:val="fr-FR" w:eastAsia="en-US"/>
        </w:rPr>
        <w:t>f</w:t>
      </w:r>
      <w:proofErr w:type="spellEnd"/>
      <w:r w:rsidRPr="0042238A">
        <w:rPr>
          <w:rFonts w:eastAsiaTheme="minorHAnsi"/>
          <w:lang w:val="fr-FR" w:eastAsia="en-US"/>
        </w:rPr>
        <w:t xml:space="preserve"> = concentration en fluor exprimée en % par volume/100.</w:t>
      </w:r>
    </w:p>
    <w:p w14:paraId="73608E9C" w14:textId="77777777" w:rsidR="00626167" w:rsidRPr="0042238A" w:rsidRDefault="00626167" w:rsidP="00626167">
      <w:pPr>
        <w:pStyle w:val="SingleTxtG"/>
        <w:rPr>
          <w:rFonts w:eastAsiaTheme="minorHAnsi"/>
          <w:lang w:val="fr-FR" w:eastAsia="en-US"/>
        </w:rPr>
      </w:pPr>
      <w:r w:rsidRPr="0042238A">
        <w:rPr>
          <w:rFonts w:eastAsiaTheme="minorHAnsi"/>
          <w:lang w:val="fr-FR" w:eastAsia="en-US"/>
        </w:rPr>
        <w:t>Le remplissage des mélanges de fluor et de gaz inertes dont la concentration en fluor est inférieure à 35 % en volume peut être permis dans des récipients à pression jusqu’à une pression de service maximale autorisée pour laquelle la pression partielle de fluor n’excède pas 31 bars absolus, le coefficient d’équivalence en azote, établi conformément à la norme ISO 10156:2017, devant aussi être pris en compte dans le calcul de la pression partielle.</w:t>
      </w:r>
    </w:p>
    <w:p w14:paraId="5A4BDE72" w14:textId="635D4DE3" w:rsidR="00626167" w:rsidRPr="0042238A" w:rsidRDefault="00626167" w:rsidP="00626167">
      <w:pPr>
        <w:spacing w:after="120"/>
        <w:ind w:left="1701" w:right="1134"/>
        <w:jc w:val="both"/>
        <w:rPr>
          <w:rFonts w:eastAsiaTheme="minorHAnsi"/>
          <w:lang w:val="fr-FR" w:eastAsia="en-US"/>
        </w:rPr>
      </w:pPr>
      <m:oMathPara>
        <m:oMath>
          <m:r>
            <w:rPr>
              <w:rFonts w:ascii="Cambria Math" w:eastAsiaTheme="minorHAnsi" w:hAnsi="Cambria Math"/>
              <w:lang w:val="fr-FR" w:eastAsia="en-US"/>
            </w:rPr>
            <m:t>pression de service</m:t>
          </m:r>
          <m:r>
            <m:rPr>
              <m:sty m:val="p"/>
            </m:rPr>
            <w:rPr>
              <w:rFonts w:ascii="Cambria Math" w:eastAsiaTheme="minorHAnsi" w:hAnsi="Cambria Math"/>
              <w:lang w:val="fr-FR" w:eastAsia="en-US"/>
            </w:rPr>
            <m:t xml:space="preserve"> </m:t>
          </m:r>
          <m:d>
            <m:dPr>
              <m:ctrlPr>
                <w:rPr>
                  <w:rFonts w:ascii="Cambria Math" w:eastAsiaTheme="minorHAnsi" w:hAnsi="Cambria Math"/>
                  <w:iCs/>
                  <w:lang w:val="fr-FR" w:eastAsia="en-US"/>
                </w:rPr>
              </m:ctrlPr>
            </m:dPr>
            <m:e>
              <m:r>
                <m:rPr>
                  <m:sty m:val="p"/>
                </m:rPr>
                <w:rPr>
                  <w:rFonts w:ascii="Cambria Math" w:eastAsiaTheme="minorHAnsi" w:hAnsi="Cambria Math"/>
                  <w:lang w:val="fr-FR" w:eastAsia="en-US"/>
                </w:rPr>
                <m:t>bar</m:t>
              </m:r>
            </m:e>
          </m:d>
          <m:r>
            <w:rPr>
              <w:rFonts w:ascii="Cambria Math" w:eastAsiaTheme="minorHAnsi" w:hAnsi="Cambria Math"/>
              <w:lang w:val="fr-FR" w:eastAsia="en-US"/>
            </w:rPr>
            <m:t>&lt;</m:t>
          </m:r>
          <m:f>
            <m:fPr>
              <m:ctrlPr>
                <w:rPr>
                  <w:rFonts w:ascii="Cambria Math" w:eastAsiaTheme="minorHAnsi" w:hAnsi="Cambria Math"/>
                  <w:i/>
                  <w:lang w:val="fr-FR" w:eastAsia="en-US"/>
                </w:rPr>
              </m:ctrlPr>
            </m:fPr>
            <m:num>
              <m:r>
                <w:rPr>
                  <w:rFonts w:ascii="Cambria Math" w:eastAsiaTheme="minorHAnsi" w:hAnsi="Cambria Math"/>
                  <w:lang w:val="fr-FR" w:eastAsia="en-US"/>
                </w:rPr>
                <m:t>31</m:t>
              </m:r>
            </m:num>
            <m:den>
              <m:sSub>
                <m:sSubPr>
                  <m:ctrlPr>
                    <w:rPr>
                      <w:rFonts w:ascii="Cambria Math" w:eastAsiaTheme="minorHAnsi" w:hAnsi="Cambria Math"/>
                      <w:i/>
                      <w:lang w:val="fr-FR" w:eastAsia="en-US"/>
                    </w:rPr>
                  </m:ctrlPr>
                </m:sSubPr>
                <m:e>
                  <m:r>
                    <w:rPr>
                      <w:rFonts w:ascii="Cambria Math" w:eastAsiaTheme="minorHAnsi" w:hAnsi="Cambria Math"/>
                      <w:lang w:val="fr-FR" w:eastAsia="en-US"/>
                    </w:rPr>
                    <m:t>x</m:t>
                  </m:r>
                </m:e>
                <m:sub>
                  <m:r>
                    <w:rPr>
                      <w:rFonts w:ascii="Cambria Math" w:eastAsiaTheme="minorHAnsi" w:hAnsi="Cambria Math"/>
                      <w:lang w:val="fr-FR" w:eastAsia="en-US"/>
                    </w:rPr>
                    <m:t>f</m:t>
                  </m:r>
                </m:sub>
              </m:sSub>
            </m:den>
          </m:f>
          <m:d>
            <m:dPr>
              <m:ctrlPr>
                <w:rPr>
                  <w:rFonts w:ascii="Cambria Math" w:eastAsiaTheme="minorHAnsi" w:hAnsi="Cambria Math"/>
                  <w:i/>
                  <w:lang w:val="fr-FR" w:eastAsia="en-US"/>
                </w:rPr>
              </m:ctrlPr>
            </m:dPr>
            <m:e>
              <m:sSub>
                <m:sSubPr>
                  <m:ctrlPr>
                    <w:rPr>
                      <w:rFonts w:ascii="Cambria Math" w:eastAsiaTheme="minorHAnsi" w:hAnsi="Cambria Math"/>
                      <w:i/>
                      <w:lang w:val="fr-FR" w:eastAsia="en-US"/>
                    </w:rPr>
                  </m:ctrlPr>
                </m:sSubPr>
                <m:e>
                  <m:r>
                    <w:rPr>
                      <w:rFonts w:ascii="Cambria Math" w:eastAsiaTheme="minorHAnsi" w:hAnsi="Cambria Math"/>
                      <w:lang w:val="fr-FR" w:eastAsia="en-US"/>
                    </w:rPr>
                    <m:t>x</m:t>
                  </m:r>
                </m:e>
                <m:sub>
                  <m:r>
                    <w:rPr>
                      <w:rFonts w:ascii="Cambria Math" w:eastAsiaTheme="minorHAnsi" w:hAnsi="Cambria Math"/>
                      <w:lang w:val="fr-FR" w:eastAsia="en-US"/>
                    </w:rPr>
                    <m:t>f</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k</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x</m:t>
                  </m:r>
                </m:e>
                <m:sub>
                  <m:r>
                    <w:rPr>
                      <w:rFonts w:ascii="Cambria Math" w:eastAsiaTheme="minorHAnsi" w:hAnsi="Cambria Math"/>
                      <w:lang w:val="fr-FR" w:eastAsia="en-US"/>
                    </w:rPr>
                    <m:t>k</m:t>
                  </m:r>
                </m:sub>
              </m:sSub>
            </m:e>
          </m:d>
          <m:r>
            <w:rPr>
              <w:rFonts w:ascii="Cambria Math" w:eastAsiaTheme="minorHAnsi" w:hAnsi="Cambria Math"/>
              <w:lang w:val="fr-FR" w:eastAsia="en-US"/>
            </w:rPr>
            <m:t>-1</m:t>
          </m:r>
        </m:oMath>
      </m:oMathPara>
    </w:p>
    <w:p w14:paraId="2BA1AB49" w14:textId="77777777" w:rsidR="00626167" w:rsidRPr="0042238A" w:rsidRDefault="00626167" w:rsidP="00626167">
      <w:pPr>
        <w:pStyle w:val="SingleTxtG"/>
        <w:ind w:left="1701"/>
        <w:rPr>
          <w:rFonts w:eastAsiaTheme="minorHAnsi"/>
          <w:lang w:val="fr-FR" w:eastAsia="en-US"/>
        </w:rPr>
      </w:pPr>
      <w:r w:rsidRPr="0042238A">
        <w:rPr>
          <w:rFonts w:eastAsiaTheme="minorHAnsi"/>
          <w:lang w:val="fr-FR" w:eastAsia="en-US"/>
        </w:rPr>
        <w:t xml:space="preserve">où </w:t>
      </w:r>
      <w:proofErr w:type="spellStart"/>
      <w:r w:rsidRPr="0042238A">
        <w:rPr>
          <w:rFonts w:eastAsiaTheme="minorHAnsi"/>
          <w:i/>
          <w:iCs/>
          <w:lang w:val="fr-FR" w:eastAsia="en-US"/>
        </w:rPr>
        <w:t>x</w:t>
      </w:r>
      <w:r w:rsidRPr="0042238A">
        <w:rPr>
          <w:rFonts w:eastAsiaTheme="minorHAnsi"/>
          <w:i/>
          <w:iCs/>
          <w:vertAlign w:val="subscript"/>
          <w:lang w:val="fr-FR" w:eastAsia="en-US"/>
        </w:rPr>
        <w:t>f</w:t>
      </w:r>
      <w:proofErr w:type="spellEnd"/>
      <w:r w:rsidRPr="0042238A">
        <w:rPr>
          <w:rFonts w:eastAsiaTheme="minorHAnsi"/>
          <w:lang w:val="fr-FR" w:eastAsia="en-US"/>
        </w:rPr>
        <w:t xml:space="preserve"> = concentration de fluor exprimée en % par volume/100 ;</w:t>
      </w:r>
    </w:p>
    <w:p w14:paraId="7434CA43" w14:textId="77777777" w:rsidR="00626167" w:rsidRPr="0042238A" w:rsidRDefault="00626167" w:rsidP="00626167">
      <w:pPr>
        <w:pStyle w:val="SingleTxtG"/>
        <w:ind w:left="1701"/>
        <w:rPr>
          <w:rFonts w:eastAsiaTheme="minorHAnsi"/>
          <w:lang w:val="fr-FR" w:eastAsia="en-US"/>
        </w:rPr>
      </w:pPr>
      <w:proofErr w:type="spellStart"/>
      <w:r w:rsidRPr="0042238A">
        <w:rPr>
          <w:rFonts w:eastAsiaTheme="minorHAnsi"/>
          <w:i/>
          <w:iCs/>
          <w:lang w:val="fr-FR" w:eastAsia="en-US"/>
        </w:rPr>
        <w:t>K</w:t>
      </w:r>
      <w:r w:rsidRPr="0042238A">
        <w:rPr>
          <w:rFonts w:eastAsiaTheme="minorHAnsi"/>
          <w:i/>
          <w:iCs/>
          <w:vertAlign w:val="subscript"/>
          <w:lang w:val="fr-FR" w:eastAsia="en-US"/>
        </w:rPr>
        <w:t>k</w:t>
      </w:r>
      <w:proofErr w:type="spellEnd"/>
      <w:r w:rsidRPr="0042238A">
        <w:rPr>
          <w:rFonts w:eastAsiaTheme="minorHAnsi"/>
          <w:lang w:val="fr-FR" w:eastAsia="en-US"/>
        </w:rPr>
        <w:t xml:space="preserve"> = coefficient d’équivalence d’un gaz inerte par rapport à l’azote (coefficient d’équivalence en azote) ;</w:t>
      </w:r>
    </w:p>
    <w:p w14:paraId="284055C4" w14:textId="77777777" w:rsidR="00626167" w:rsidRPr="0042238A" w:rsidRDefault="00626167" w:rsidP="00626167">
      <w:pPr>
        <w:pStyle w:val="SingleTxtG"/>
        <w:ind w:left="1701"/>
        <w:rPr>
          <w:rFonts w:eastAsiaTheme="minorHAnsi"/>
          <w:lang w:val="fr-FR" w:eastAsia="en-US"/>
        </w:rPr>
      </w:pPr>
      <w:proofErr w:type="spellStart"/>
      <w:r w:rsidRPr="0042238A">
        <w:rPr>
          <w:rFonts w:eastAsiaTheme="minorHAnsi"/>
          <w:i/>
          <w:iCs/>
          <w:lang w:val="fr-FR" w:eastAsia="en-US"/>
        </w:rPr>
        <w:t>x</w:t>
      </w:r>
      <w:r w:rsidRPr="0042238A">
        <w:rPr>
          <w:rFonts w:eastAsiaTheme="minorHAnsi"/>
          <w:i/>
          <w:iCs/>
          <w:vertAlign w:val="subscript"/>
          <w:lang w:val="fr-FR" w:eastAsia="en-US"/>
        </w:rPr>
        <w:t>k</w:t>
      </w:r>
      <w:proofErr w:type="spellEnd"/>
      <w:r w:rsidRPr="0042238A">
        <w:rPr>
          <w:rFonts w:eastAsiaTheme="minorHAnsi"/>
          <w:lang w:val="fr-FR" w:eastAsia="en-US"/>
        </w:rPr>
        <w:t xml:space="preserve"> = concentration de gaz inerte exprimée en % par volume/100.</w:t>
      </w:r>
    </w:p>
    <w:p w14:paraId="4727098F" w14:textId="77777777" w:rsidR="00626167" w:rsidRPr="0042238A" w:rsidRDefault="00626167" w:rsidP="00626167">
      <w:pPr>
        <w:pStyle w:val="SingleTxtG"/>
        <w:rPr>
          <w:rFonts w:eastAsiaTheme="minorHAnsi"/>
          <w:lang w:val="fr-FR" w:eastAsia="en-US"/>
        </w:rPr>
      </w:pPr>
      <w:r w:rsidRPr="0042238A">
        <w:rPr>
          <w:rFonts w:eastAsiaTheme="minorHAnsi"/>
          <w:lang w:val="fr-FR" w:eastAsia="en-US"/>
        </w:rPr>
        <w:t>Toutefois, la pression de service pour les mélanges de fluor et de gaz inertes ne doit pas dépasser 200 bars. La pression d’épreuve minimale des récipients à pression pour les mélanges de fluor et de gaz inertes est fixée à 1,5 fois la pression de service ou à 200 bars, la valeur la plus haute étant retenue. ».</w:t>
      </w:r>
    </w:p>
    <w:p w14:paraId="61E6BDC4" w14:textId="77777777" w:rsidR="00704D78" w:rsidRPr="0042238A" w:rsidRDefault="00704D78" w:rsidP="00704D78">
      <w:pPr>
        <w:tabs>
          <w:tab w:val="left" w:pos="2268"/>
        </w:tabs>
        <w:kinsoku/>
        <w:overflowPunct/>
        <w:autoSpaceDE/>
        <w:adjustRightInd/>
        <w:snapToGrid/>
        <w:spacing w:after="120"/>
        <w:ind w:left="2268" w:right="1134" w:hanging="1134"/>
        <w:jc w:val="both"/>
        <w:rPr>
          <w:lang w:val="fr-FR" w:eastAsia="en-US"/>
        </w:rPr>
      </w:pPr>
      <w:r w:rsidRPr="0042238A">
        <w:rPr>
          <w:lang w:val="fr-FR" w:eastAsia="en-US"/>
        </w:rPr>
        <w:t>4.1.4.1, P200</w:t>
      </w:r>
      <w:r w:rsidRPr="0042238A">
        <w:rPr>
          <w:lang w:val="fr-FR" w:eastAsia="en-US"/>
        </w:rPr>
        <w:tab/>
        <w:t>Dans le tableau 2 :</w:t>
      </w:r>
    </w:p>
    <w:p w14:paraId="6C0B0242" w14:textId="77777777" w:rsidR="00704D78" w:rsidRPr="0042238A" w:rsidRDefault="00704D78" w:rsidP="00704D78">
      <w:pPr>
        <w:pStyle w:val="Bullet1G"/>
        <w:numPr>
          <w:ilvl w:val="0"/>
          <w:numId w:val="1"/>
        </w:numPr>
        <w:tabs>
          <w:tab w:val="clear" w:pos="1701"/>
          <w:tab w:val="num" w:pos="2438"/>
        </w:tabs>
        <w:ind w:left="2438"/>
        <w:rPr>
          <w:lang w:val="fr-FR" w:eastAsia="en-US"/>
        </w:rPr>
      </w:pPr>
      <w:r w:rsidRPr="0042238A">
        <w:rPr>
          <w:lang w:val="fr-FR" w:eastAsia="en-US"/>
        </w:rPr>
        <w:t>Pour le No ONU 1008, remplacer « 387 » par « 864 » dans la colonne « CL</w:t>
      </w:r>
      <w:r w:rsidRPr="0042238A">
        <w:rPr>
          <w:vertAlign w:val="subscript"/>
          <w:lang w:val="fr-FR" w:eastAsia="en-US"/>
        </w:rPr>
        <w:t>50</w:t>
      </w:r>
      <w:r w:rsidRPr="0042238A">
        <w:rPr>
          <w:lang w:val="fr-FR" w:eastAsia="en-US"/>
        </w:rPr>
        <w:t xml:space="preserve"> (en ml/m</w:t>
      </w:r>
      <w:r w:rsidRPr="0042238A">
        <w:rPr>
          <w:vertAlign w:val="superscript"/>
          <w:lang w:val="fr-FR" w:eastAsia="en-US"/>
        </w:rPr>
        <w:t>3</w:t>
      </w:r>
      <w:r w:rsidRPr="0042238A">
        <w:rPr>
          <w:lang w:val="fr-FR" w:eastAsia="en-US"/>
        </w:rPr>
        <w:t>) ».</w:t>
      </w:r>
    </w:p>
    <w:p w14:paraId="7D629A0E" w14:textId="77777777" w:rsidR="00704D78" w:rsidRPr="0042238A" w:rsidRDefault="00704D78" w:rsidP="00704D78">
      <w:pPr>
        <w:pStyle w:val="Bullet1G"/>
        <w:numPr>
          <w:ilvl w:val="0"/>
          <w:numId w:val="1"/>
        </w:numPr>
        <w:tabs>
          <w:tab w:val="clear" w:pos="1701"/>
          <w:tab w:val="num" w:pos="2438"/>
        </w:tabs>
        <w:ind w:left="2438"/>
        <w:rPr>
          <w:lang w:val="fr-FR" w:eastAsia="en-US"/>
        </w:rPr>
      </w:pPr>
      <w:r w:rsidRPr="0042238A">
        <w:rPr>
          <w:lang w:val="fr-FR" w:eastAsia="en-US"/>
        </w:rPr>
        <w:t>Pour le No ONU 2196, remplacer « 160 » par « 218 » dans la colonne « CL</w:t>
      </w:r>
      <w:r w:rsidRPr="0042238A">
        <w:rPr>
          <w:vertAlign w:val="subscript"/>
          <w:lang w:val="fr-FR" w:eastAsia="en-US"/>
        </w:rPr>
        <w:t>50</w:t>
      </w:r>
      <w:r w:rsidRPr="0042238A">
        <w:rPr>
          <w:lang w:val="fr-FR" w:eastAsia="en-US"/>
        </w:rPr>
        <w:t xml:space="preserve"> (en ml/m</w:t>
      </w:r>
      <w:r w:rsidRPr="0042238A">
        <w:rPr>
          <w:vertAlign w:val="superscript"/>
          <w:lang w:val="fr-FR" w:eastAsia="en-US"/>
        </w:rPr>
        <w:t>3</w:t>
      </w:r>
      <w:r w:rsidRPr="0042238A">
        <w:rPr>
          <w:lang w:val="fr-FR" w:eastAsia="en-US"/>
        </w:rPr>
        <w:t>) ». Ajouter « X » dans les colonnes « Tubes », « Fûts à pression » et « CGEM ». Supprimer « , k » dans la colonne « Dispositions spéciales d’emballage ».</w:t>
      </w:r>
    </w:p>
    <w:p w14:paraId="4ABD037F" w14:textId="77777777" w:rsidR="00704D78" w:rsidRPr="0042238A" w:rsidRDefault="00704D78" w:rsidP="00704D78">
      <w:pPr>
        <w:pStyle w:val="Bullet1G"/>
        <w:numPr>
          <w:ilvl w:val="0"/>
          <w:numId w:val="1"/>
        </w:numPr>
        <w:tabs>
          <w:tab w:val="clear" w:pos="1701"/>
          <w:tab w:val="num" w:pos="2438"/>
        </w:tabs>
        <w:ind w:left="2438"/>
        <w:rPr>
          <w:lang w:val="fr-FR" w:eastAsia="en-US"/>
        </w:rPr>
      </w:pPr>
      <w:r w:rsidRPr="0042238A">
        <w:rPr>
          <w:lang w:val="fr-FR" w:eastAsia="en-US"/>
        </w:rPr>
        <w:t>Pour le No ONU 2198, remplacer « 190 » par « 261 » dans la colonne « CL</w:t>
      </w:r>
      <w:r w:rsidRPr="0042238A">
        <w:rPr>
          <w:vertAlign w:val="subscript"/>
          <w:lang w:val="fr-FR" w:eastAsia="en-US"/>
        </w:rPr>
        <w:t>50</w:t>
      </w:r>
      <w:r w:rsidRPr="0042238A">
        <w:rPr>
          <w:lang w:val="fr-FR" w:eastAsia="en-US"/>
        </w:rPr>
        <w:t xml:space="preserve"> (en ml/m</w:t>
      </w:r>
      <w:r w:rsidRPr="0042238A">
        <w:rPr>
          <w:vertAlign w:val="superscript"/>
          <w:lang w:val="fr-FR" w:eastAsia="en-US"/>
        </w:rPr>
        <w:t>3</w:t>
      </w:r>
      <w:r w:rsidRPr="0042238A">
        <w:rPr>
          <w:lang w:val="fr-FR" w:eastAsia="en-US"/>
        </w:rPr>
        <w:t>) ». Ajouter « X » dans les colonnes « Tubes », « Fûts à pression » et « CGEM ». Supprimer « k » (deux fois) dans la colonne « Dispositions spéciales d’emballage ».</w:t>
      </w:r>
    </w:p>
    <w:p w14:paraId="1E0D80F5" w14:textId="2A0BA71F" w:rsidR="00F97655" w:rsidRPr="0042238A" w:rsidRDefault="00F97655" w:rsidP="00CC7A90">
      <w:pPr>
        <w:pStyle w:val="SingleTxtG"/>
        <w:spacing w:before="120"/>
        <w:ind w:left="2268" w:hanging="1134"/>
        <w:rPr>
          <w:iCs/>
          <w:lang w:val="fr-FR"/>
        </w:rPr>
      </w:pPr>
      <w:r w:rsidRPr="0042238A">
        <w:rPr>
          <w:iCs/>
          <w:lang w:val="fr-FR"/>
        </w:rPr>
        <w:tab/>
        <w:t>Dans le tableau 3, pour le No ONU 1052, dans la colonne «</w:t>
      </w:r>
      <w:r w:rsidR="0067517B" w:rsidRPr="0042238A">
        <w:rPr>
          <w:iCs/>
          <w:lang w:val="fr-FR"/>
        </w:rPr>
        <w:t> </w:t>
      </w:r>
      <w:r w:rsidRPr="0042238A">
        <w:rPr>
          <w:iCs/>
          <w:lang w:val="fr-FR"/>
        </w:rPr>
        <w:t>CL</w:t>
      </w:r>
      <w:r w:rsidRPr="0042238A">
        <w:rPr>
          <w:iCs/>
          <w:vertAlign w:val="subscript"/>
          <w:lang w:val="fr-FR"/>
        </w:rPr>
        <w:t>50</w:t>
      </w:r>
      <w:r w:rsidRPr="0042238A">
        <w:rPr>
          <w:iCs/>
          <w:lang w:val="fr-FR"/>
        </w:rPr>
        <w:t xml:space="preserve"> (en ml/m</w:t>
      </w:r>
      <w:r w:rsidRPr="0042238A">
        <w:rPr>
          <w:iCs/>
          <w:vertAlign w:val="superscript"/>
          <w:lang w:val="fr-FR"/>
        </w:rPr>
        <w:t>3</w:t>
      </w:r>
      <w:r w:rsidRPr="0042238A">
        <w:rPr>
          <w:iCs/>
          <w:lang w:val="fr-FR"/>
        </w:rPr>
        <w:t>)</w:t>
      </w:r>
      <w:r w:rsidR="0067517B" w:rsidRPr="0042238A">
        <w:rPr>
          <w:iCs/>
          <w:lang w:val="fr-FR"/>
        </w:rPr>
        <w:t> </w:t>
      </w:r>
      <w:r w:rsidRPr="0042238A">
        <w:rPr>
          <w:iCs/>
          <w:lang w:val="fr-FR"/>
        </w:rPr>
        <w:t>», remplacer «</w:t>
      </w:r>
      <w:r w:rsidR="0067517B" w:rsidRPr="0042238A">
        <w:rPr>
          <w:iCs/>
          <w:lang w:val="fr-FR"/>
        </w:rPr>
        <w:t> </w:t>
      </w:r>
      <w:r w:rsidRPr="0042238A">
        <w:rPr>
          <w:iCs/>
          <w:lang w:val="fr-FR"/>
        </w:rPr>
        <w:t>966</w:t>
      </w:r>
      <w:r w:rsidR="0067517B" w:rsidRPr="0042238A">
        <w:rPr>
          <w:iCs/>
          <w:lang w:val="fr-FR"/>
        </w:rPr>
        <w:t> </w:t>
      </w:r>
      <w:r w:rsidRPr="0042238A">
        <w:rPr>
          <w:iCs/>
          <w:lang w:val="fr-FR"/>
        </w:rPr>
        <w:t>» par «</w:t>
      </w:r>
      <w:r w:rsidR="0067517B" w:rsidRPr="0042238A">
        <w:rPr>
          <w:iCs/>
          <w:lang w:val="fr-FR"/>
        </w:rPr>
        <w:t> </w:t>
      </w:r>
      <w:r w:rsidRPr="0042238A">
        <w:rPr>
          <w:iCs/>
          <w:lang w:val="fr-FR"/>
        </w:rPr>
        <w:t>1307</w:t>
      </w:r>
      <w:r w:rsidR="0067517B" w:rsidRPr="0042238A">
        <w:rPr>
          <w:iCs/>
          <w:lang w:val="fr-FR"/>
        </w:rPr>
        <w:t> </w:t>
      </w:r>
      <w:r w:rsidRPr="0042238A">
        <w:rPr>
          <w:iCs/>
          <w:lang w:val="fr-FR"/>
        </w:rPr>
        <w:t>».</w:t>
      </w:r>
    </w:p>
    <w:p w14:paraId="0698D304" w14:textId="77777777" w:rsidR="007650CF" w:rsidRPr="0042238A" w:rsidRDefault="007650CF" w:rsidP="007650CF">
      <w:pPr>
        <w:tabs>
          <w:tab w:val="left" w:pos="2268"/>
        </w:tabs>
        <w:kinsoku/>
        <w:overflowPunct/>
        <w:autoSpaceDE/>
        <w:autoSpaceDN/>
        <w:adjustRightInd/>
        <w:snapToGrid/>
        <w:spacing w:after="120"/>
        <w:ind w:left="2268" w:right="1134" w:hanging="1134"/>
        <w:jc w:val="both"/>
        <w:rPr>
          <w:lang w:val="fr-FR" w:eastAsia="en-US"/>
        </w:rPr>
      </w:pPr>
      <w:r w:rsidRPr="0042238A">
        <w:rPr>
          <w:lang w:val="fr-FR" w:eastAsia="en-US"/>
        </w:rPr>
        <w:t>4.1.4.1, P205 5), 6) et 7)</w:t>
      </w:r>
      <w:r w:rsidRPr="0042238A">
        <w:rPr>
          <w:lang w:val="fr-FR" w:eastAsia="en-US"/>
        </w:rPr>
        <w:tab/>
        <w:t>Remplacer « ISO 16111:2008 » par « ISO 16111:2008 ou ISO 16111:2018 ».</w:t>
      </w:r>
    </w:p>
    <w:p w14:paraId="55377878" w14:textId="77777777" w:rsidR="007650CF" w:rsidRPr="0042238A" w:rsidRDefault="007650CF" w:rsidP="007650CF">
      <w:pPr>
        <w:tabs>
          <w:tab w:val="left" w:pos="2268"/>
        </w:tabs>
        <w:kinsoku/>
        <w:overflowPunct/>
        <w:autoSpaceDE/>
        <w:autoSpaceDN/>
        <w:adjustRightInd/>
        <w:snapToGrid/>
        <w:spacing w:after="120"/>
        <w:ind w:left="2268" w:right="1134" w:hanging="1134"/>
        <w:jc w:val="both"/>
        <w:rPr>
          <w:lang w:val="fr-FR" w:eastAsia="en-US"/>
        </w:rPr>
      </w:pPr>
      <w:r w:rsidRPr="0042238A">
        <w:rPr>
          <w:lang w:val="fr-FR" w:eastAsia="en-US"/>
        </w:rPr>
        <w:t>4.1.4.1, P205 7)</w:t>
      </w:r>
      <w:r w:rsidRPr="0042238A">
        <w:rPr>
          <w:lang w:val="fr-FR" w:eastAsia="en-US"/>
        </w:rPr>
        <w:tab/>
        <w:t>À la fin, ajouter la nouvelle phrase suivante : « Voir 6.2.2.4 pour déterminer quelle norme est applicable au moment des contrôles et épreuves périodiques. ».</w:t>
      </w:r>
    </w:p>
    <w:p w14:paraId="712D3DCA" w14:textId="77777777" w:rsidR="007650CF" w:rsidRPr="0042238A" w:rsidRDefault="007650CF" w:rsidP="007650CF">
      <w:pPr>
        <w:tabs>
          <w:tab w:val="left" w:pos="2268"/>
        </w:tabs>
        <w:kinsoku/>
        <w:overflowPunct/>
        <w:autoSpaceDE/>
        <w:autoSpaceDN/>
        <w:adjustRightInd/>
        <w:snapToGrid/>
        <w:spacing w:after="120"/>
        <w:ind w:left="2268" w:right="1134" w:hanging="1134"/>
        <w:jc w:val="both"/>
        <w:rPr>
          <w:lang w:val="fr-FR" w:eastAsia="en-US"/>
        </w:rPr>
      </w:pPr>
      <w:r w:rsidRPr="0042238A">
        <w:rPr>
          <w:lang w:val="fr-FR" w:eastAsia="en-US"/>
        </w:rPr>
        <w:t>4.1.4.1, P208 1) a)</w:t>
      </w:r>
      <w:r w:rsidRPr="0042238A">
        <w:rPr>
          <w:lang w:val="fr-FR" w:eastAsia="en-US"/>
        </w:rPr>
        <w:tab/>
        <w:t xml:space="preserve">Remplacer « ISO </w:t>
      </w:r>
      <w:r w:rsidRPr="001C3288">
        <w:rPr>
          <w:lang w:val="fr-FR"/>
        </w:rPr>
        <w:t>11513:2011 ou ISO 9809-1:2010</w:t>
      </w:r>
      <w:r w:rsidRPr="0042238A">
        <w:rPr>
          <w:lang w:val="fr-FR" w:eastAsia="en-US"/>
        </w:rPr>
        <w:t> » par « </w:t>
      </w:r>
      <w:r w:rsidRPr="001C3288">
        <w:rPr>
          <w:lang w:val="fr-FR"/>
        </w:rPr>
        <w:t>ISO 11513:2011, ISO 11513:2019, ISO 9809-1:2010 ou ISO 9809-1:2019</w:t>
      </w:r>
      <w:r w:rsidRPr="0042238A">
        <w:rPr>
          <w:lang w:val="fr-FR" w:eastAsia="en-US"/>
        </w:rPr>
        <w:t> ».</w:t>
      </w:r>
    </w:p>
    <w:p w14:paraId="2A6270EE" w14:textId="77777777" w:rsidR="007650CF" w:rsidRPr="0042238A" w:rsidRDefault="007650CF" w:rsidP="007650CF">
      <w:pPr>
        <w:tabs>
          <w:tab w:val="left" w:pos="2268"/>
        </w:tabs>
        <w:kinsoku/>
        <w:overflowPunct/>
        <w:autoSpaceDE/>
        <w:autoSpaceDN/>
        <w:adjustRightInd/>
        <w:snapToGrid/>
        <w:spacing w:after="120"/>
        <w:ind w:left="2268" w:right="1134" w:hanging="1134"/>
        <w:jc w:val="both"/>
        <w:rPr>
          <w:lang w:val="fr-FR" w:eastAsia="en-US"/>
        </w:rPr>
      </w:pPr>
      <w:r w:rsidRPr="0042238A">
        <w:rPr>
          <w:lang w:val="fr-FR" w:eastAsia="en-US"/>
        </w:rPr>
        <w:t>4.1.4.1, P208 11)</w:t>
      </w:r>
      <w:r w:rsidRPr="0042238A">
        <w:rPr>
          <w:lang w:val="fr-FR" w:eastAsia="en-US"/>
        </w:rPr>
        <w:tab/>
        <w:t>Remplacer « à l’annexe A de la norme ISO 11513:2011 » par « à l’annexe A de la norme ISO 11513:2011 (applicable jusqu’au 31 décembre 2024) ou à l’annexe A de la norme ISO 11513:2019 ».</w:t>
      </w:r>
    </w:p>
    <w:p w14:paraId="305EE145" w14:textId="77777777" w:rsidR="007650CF" w:rsidRPr="0042238A" w:rsidRDefault="007650CF" w:rsidP="007650CF">
      <w:pPr>
        <w:pStyle w:val="SingleTxtG"/>
        <w:rPr>
          <w:lang w:val="fr-FR" w:eastAsia="en-US"/>
        </w:rPr>
      </w:pPr>
      <w:r w:rsidRPr="0042238A">
        <w:rPr>
          <w:lang w:val="fr-FR" w:eastAsia="en-US"/>
        </w:rPr>
        <w:t>4.1.4.1, P408 2)</w:t>
      </w:r>
      <w:r w:rsidRPr="0042238A">
        <w:rPr>
          <w:lang w:val="fr-FR" w:eastAsia="en-US"/>
        </w:rPr>
        <w:tab/>
        <w:t>À la fin, ajouter un nouveau Nota, libellé comme suit :</w:t>
      </w:r>
    </w:p>
    <w:p w14:paraId="42F4EAC2" w14:textId="77777777" w:rsidR="007650CF" w:rsidRPr="0042238A" w:rsidRDefault="007650CF" w:rsidP="007650CF">
      <w:pPr>
        <w:pStyle w:val="SingleTxtG"/>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La masse nette des emballages autorisés peut dépasser 400 kg (voir 4.1.3.3).</w:t>
      </w:r>
      <w:r w:rsidRPr="0042238A">
        <w:rPr>
          <w:rFonts w:eastAsiaTheme="minorHAnsi"/>
          <w:lang w:val="fr-FR" w:eastAsia="en-US"/>
        </w:rPr>
        <w:t> »</w:t>
      </w:r>
    </w:p>
    <w:p w14:paraId="2C5240A0" w14:textId="77777777" w:rsidR="007650CF" w:rsidRPr="001C3288" w:rsidRDefault="007650CF" w:rsidP="007650CF">
      <w:pPr>
        <w:tabs>
          <w:tab w:val="left" w:pos="2268"/>
        </w:tabs>
        <w:kinsoku/>
        <w:overflowPunct/>
        <w:autoSpaceDE/>
        <w:autoSpaceDN/>
        <w:adjustRightInd/>
        <w:snapToGrid/>
        <w:spacing w:after="120"/>
        <w:ind w:left="2268" w:right="1134" w:hanging="1134"/>
        <w:jc w:val="both"/>
        <w:rPr>
          <w:lang w:val="fr-FR" w:eastAsia="en-US"/>
        </w:rPr>
      </w:pPr>
      <w:r w:rsidRPr="001C3288">
        <w:rPr>
          <w:lang w:val="fr-FR" w:eastAsia="en-US"/>
        </w:rPr>
        <w:lastRenderedPageBreak/>
        <w:t>4.1.4.1, P621 1)</w:t>
      </w:r>
      <w:r w:rsidRPr="001C3288">
        <w:rPr>
          <w:lang w:val="fr-FR" w:eastAsia="en-US"/>
        </w:rPr>
        <w:tab/>
        <w:t>Après « Fûts », modifier le texte entre parenthèses pour lire « (1A1, 1A2, 1B1, 1B2, 1N1, 1N2, 1H1, 1H2, 1D, 1G) ». Après « Bidons (jerricanes) », modifier le texte entre parenthèses pour lire « (3A1, 3A2, 3B1, 3B2, 3H1, 3H2) ».</w:t>
      </w:r>
    </w:p>
    <w:p w14:paraId="38DFEABE" w14:textId="3BD1003F" w:rsidR="007650CF" w:rsidRPr="0042238A" w:rsidRDefault="007650CF" w:rsidP="007650CF">
      <w:pPr>
        <w:pStyle w:val="SingleTxtG"/>
        <w:rPr>
          <w:lang w:val="fr-FR" w:eastAsia="en-US"/>
        </w:rPr>
      </w:pPr>
      <w:r w:rsidRPr="0042238A">
        <w:rPr>
          <w:lang w:val="fr-FR" w:eastAsia="en-US"/>
        </w:rPr>
        <w:t>4.1.4.1, P801</w:t>
      </w:r>
      <w:r w:rsidRPr="0042238A">
        <w:rPr>
          <w:lang w:val="fr-FR" w:eastAsia="en-US"/>
        </w:rPr>
        <w:tab/>
        <w:t xml:space="preserve">Après </w:t>
      </w:r>
      <w:r w:rsidR="00715CA8" w:rsidRPr="0042238A">
        <w:rPr>
          <w:lang w:val="fr-FR" w:eastAsia="en-US"/>
        </w:rPr>
        <w:t>2)</w:t>
      </w:r>
      <w:r w:rsidRPr="0042238A">
        <w:rPr>
          <w:lang w:val="fr-FR" w:eastAsia="en-US"/>
        </w:rPr>
        <w:t>, ajouter un nouveau Nota, libellé comme suit :</w:t>
      </w:r>
    </w:p>
    <w:p w14:paraId="013D4FC6" w14:textId="5C0346E7" w:rsidR="007650CF" w:rsidRPr="0042238A" w:rsidRDefault="007650CF" w:rsidP="007650CF">
      <w:pPr>
        <w:pStyle w:val="SingleTxtG"/>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La masse nette des emballages autorisés au paragraphe 1) et </w:t>
      </w:r>
      <w:r w:rsidR="00B82CAF" w:rsidRPr="0042238A">
        <w:rPr>
          <w:rFonts w:eastAsiaTheme="minorHAnsi"/>
          <w:i/>
          <w:iCs/>
          <w:lang w:val="fr-FR" w:eastAsia="en-US"/>
        </w:rPr>
        <w:t>au</w:t>
      </w:r>
      <w:r w:rsidR="00E31F4E" w:rsidRPr="0042238A">
        <w:rPr>
          <w:rFonts w:eastAsiaTheme="minorHAnsi"/>
          <w:i/>
          <w:iCs/>
          <w:lang w:val="fr-FR" w:eastAsia="en-US"/>
        </w:rPr>
        <w:t xml:space="preserve"> paragraphe </w:t>
      </w:r>
      <w:r w:rsidRPr="0042238A">
        <w:rPr>
          <w:rFonts w:eastAsiaTheme="minorHAnsi"/>
          <w:i/>
          <w:iCs/>
          <w:lang w:val="fr-FR" w:eastAsia="en-US"/>
        </w:rPr>
        <w:t>2) peut dépasser 400 kg (voir 4.1.3.3).</w:t>
      </w:r>
      <w:r w:rsidRPr="0042238A">
        <w:rPr>
          <w:rFonts w:eastAsiaTheme="minorHAnsi"/>
          <w:lang w:val="fr-FR" w:eastAsia="en-US"/>
        </w:rPr>
        <w:t> »</w:t>
      </w:r>
    </w:p>
    <w:p w14:paraId="5E74B53B" w14:textId="4563BB19" w:rsidR="00CC7A90" w:rsidRPr="001C3288" w:rsidRDefault="00CC7A90" w:rsidP="00CC7A90">
      <w:pPr>
        <w:pStyle w:val="SingleTxtG"/>
        <w:spacing w:before="120"/>
        <w:ind w:left="2268" w:hanging="1134"/>
        <w:rPr>
          <w:iCs/>
          <w:lang w:val="fr-FR"/>
        </w:rPr>
      </w:pPr>
      <w:r w:rsidRPr="001C3288">
        <w:rPr>
          <w:iCs/>
          <w:lang w:val="fr-FR"/>
        </w:rPr>
        <w:t>4.1.4.1, P903 2)</w:t>
      </w:r>
      <w:r w:rsidRPr="001C3288">
        <w:rPr>
          <w:iCs/>
          <w:lang w:val="fr-FR"/>
        </w:rPr>
        <w:tab/>
        <w:t>Remplacer « pour les piles ou les batteries » par « pour une pile ou une batterie » et supprimer « , ainsi que pour les assemblages de telles piles ou batteries ».</w:t>
      </w:r>
    </w:p>
    <w:p w14:paraId="0AEE9D2C" w14:textId="77777777" w:rsidR="00CC7A90" w:rsidRPr="001C3288" w:rsidRDefault="00CC7A90" w:rsidP="00CC7A90">
      <w:pPr>
        <w:pStyle w:val="SingleTxtG"/>
        <w:spacing w:before="120"/>
        <w:ind w:left="2268" w:hanging="1134"/>
        <w:rPr>
          <w:iCs/>
          <w:lang w:val="fr-FR"/>
        </w:rPr>
      </w:pPr>
      <w:r w:rsidRPr="001C3288">
        <w:rPr>
          <w:iCs/>
          <w:lang w:val="fr-FR"/>
        </w:rPr>
        <w:t>4.1.4.1, P903 4) et 5)</w:t>
      </w:r>
      <w:r w:rsidRPr="001C3288">
        <w:rPr>
          <w:iCs/>
          <w:lang w:val="fr-FR"/>
        </w:rPr>
        <w:tab/>
      </w:r>
      <w:r w:rsidRPr="001C3288">
        <w:rPr>
          <w:iCs/>
          <w:lang w:val="fr-FR"/>
        </w:rPr>
        <w:tab/>
        <w:t>Dans l’avant-dernière phrase, transférer le membre de phrase « </w:t>
      </w:r>
      <w:r w:rsidRPr="001C3288">
        <w:rPr>
          <w:lang w:val="fr-FR"/>
        </w:rPr>
        <w:t>lorsqu'ils sont intentionnellement actifs » au début de la phrase pour lire « Lorsqu'ils sont intentionnellement actifs,</w:t>
      </w:r>
      <w:r w:rsidRPr="001C3288">
        <w:rPr>
          <w:iCs/>
          <w:lang w:val="fr-FR"/>
        </w:rPr>
        <w:t xml:space="preserve"> </w:t>
      </w:r>
      <w:r w:rsidRPr="001C3288">
        <w:rPr>
          <w:lang w:val="fr-FR"/>
        </w:rPr>
        <w:t>les dispositifs tels qu’étiquettes d’identification par radiofréquence, montres et enregistreurs de température, qui ne sont pas susceptibles de générer un dégagement dangereux de chaleur peuvent être transportés dans des emballages extérieurs robustes. ».</w:t>
      </w:r>
    </w:p>
    <w:p w14:paraId="18A3FF68" w14:textId="77777777" w:rsidR="00EC27A5" w:rsidRPr="0042238A" w:rsidRDefault="00EC27A5" w:rsidP="00EC27A5">
      <w:pPr>
        <w:spacing w:after="120"/>
        <w:ind w:left="1134" w:right="1134"/>
        <w:jc w:val="both"/>
        <w:rPr>
          <w:rFonts w:eastAsiaTheme="minorHAnsi"/>
          <w:lang w:val="fr-FR" w:eastAsia="en-US"/>
        </w:rPr>
      </w:pPr>
      <w:r w:rsidRPr="0042238A">
        <w:rPr>
          <w:rFonts w:eastAsiaTheme="minorHAnsi"/>
          <w:lang w:val="fr-FR" w:eastAsia="en-US"/>
        </w:rPr>
        <w:t>4.1.4.1, P903</w:t>
      </w:r>
      <w:r w:rsidRPr="0042238A">
        <w:rPr>
          <w:rFonts w:eastAsiaTheme="minorHAnsi"/>
          <w:lang w:val="fr-FR" w:eastAsia="en-US"/>
        </w:rPr>
        <w:tab/>
        <w:t>À la fin, après 5), ajouter un nouveau Nota, libellé comme suit :</w:t>
      </w:r>
    </w:p>
    <w:p w14:paraId="6689E626" w14:textId="77777777" w:rsidR="00EC27A5" w:rsidRPr="0042238A" w:rsidRDefault="00EC27A5" w:rsidP="00EC27A5">
      <w:pPr>
        <w:spacing w:after="120"/>
        <w:ind w:left="1134" w:right="1134"/>
        <w:jc w:val="both"/>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La masse nette des emballages autorisés aux paragraphes 2), 4) et 5) peut dépasser 400 kg (voir 4.1.3.3).</w:t>
      </w:r>
      <w:r w:rsidRPr="0042238A">
        <w:rPr>
          <w:rFonts w:eastAsiaTheme="minorHAnsi"/>
          <w:lang w:val="fr-FR" w:eastAsia="en-US"/>
        </w:rPr>
        <w:t> »</w:t>
      </w:r>
    </w:p>
    <w:p w14:paraId="1F5F10A5" w14:textId="77777777" w:rsidR="00EC27A5" w:rsidRPr="0042238A" w:rsidRDefault="00EC27A5" w:rsidP="00EC27A5">
      <w:pPr>
        <w:pStyle w:val="SingleTxtG"/>
        <w:rPr>
          <w:lang w:val="fr-FR" w:eastAsia="en-US"/>
        </w:rPr>
      </w:pPr>
      <w:r w:rsidRPr="0042238A">
        <w:rPr>
          <w:lang w:val="fr-FR" w:eastAsia="en-US"/>
        </w:rPr>
        <w:t>4.1.4.1, P905</w:t>
      </w:r>
      <w:r w:rsidRPr="0042238A">
        <w:rPr>
          <w:lang w:val="fr-FR" w:eastAsia="en-US"/>
        </w:rPr>
        <w:tab/>
      </w:r>
      <w:r w:rsidRPr="0042238A">
        <w:rPr>
          <w:lang w:val="fr-FR"/>
        </w:rPr>
        <w:t>Dans la deuxième ligne sous la ligne de titre, après la première phrase</w:t>
      </w:r>
      <w:r w:rsidRPr="0042238A">
        <w:rPr>
          <w:lang w:val="fr-FR" w:eastAsia="en-US"/>
        </w:rPr>
        <w:t>, ajouter un nouveau Nota, libellé comme suit :</w:t>
      </w:r>
    </w:p>
    <w:p w14:paraId="1D0E504D" w14:textId="77777777" w:rsidR="00EC27A5" w:rsidRPr="0042238A" w:rsidRDefault="00EC27A5" w:rsidP="00EC27A5">
      <w:pPr>
        <w:pStyle w:val="SingleTxtG"/>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La masse nette des emballages autorisés peut dépasser 400 kg (voir 4.1.3.3).</w:t>
      </w:r>
      <w:r w:rsidRPr="0042238A">
        <w:rPr>
          <w:rFonts w:eastAsiaTheme="minorHAnsi"/>
          <w:lang w:val="fr-FR" w:eastAsia="en-US"/>
        </w:rPr>
        <w:t> »</w:t>
      </w:r>
    </w:p>
    <w:p w14:paraId="20800156" w14:textId="77777777" w:rsidR="00EC27A5" w:rsidRPr="0042238A" w:rsidRDefault="00EC27A5" w:rsidP="00EC27A5">
      <w:pPr>
        <w:pStyle w:val="SingleTxtG"/>
        <w:rPr>
          <w:lang w:val="fr-FR" w:eastAsia="en-US"/>
        </w:rPr>
      </w:pPr>
      <w:r w:rsidRPr="0042238A">
        <w:rPr>
          <w:lang w:val="fr-FR" w:eastAsia="en-US"/>
        </w:rPr>
        <w:t>4.1.4.1, P906 2)</w:t>
      </w:r>
      <w:r w:rsidRPr="0042238A">
        <w:rPr>
          <w:lang w:val="fr-FR" w:eastAsia="en-US"/>
        </w:rPr>
        <w:tab/>
        <w:t>Sous l’alinéa b), ajouter un nouveau Nota, libellé comme suit :</w:t>
      </w:r>
    </w:p>
    <w:p w14:paraId="69BFF9C9" w14:textId="77777777" w:rsidR="00EC27A5" w:rsidRPr="0042238A" w:rsidRDefault="00EC27A5" w:rsidP="00EC27A5">
      <w:pPr>
        <w:pStyle w:val="SingleTxtG"/>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1 :</w:t>
      </w:r>
      <w:r w:rsidRPr="0042238A">
        <w:rPr>
          <w:rFonts w:eastAsiaTheme="minorHAnsi"/>
          <w:i/>
          <w:iCs/>
          <w:lang w:val="fr-FR" w:eastAsia="en-US"/>
        </w:rPr>
        <w:t xml:space="preserve"> La masse nette des emballages autorisés peut dépasser 400 kg (voir 4.1.3.3).</w:t>
      </w:r>
      <w:r w:rsidRPr="0042238A">
        <w:rPr>
          <w:rFonts w:eastAsiaTheme="minorHAnsi"/>
          <w:lang w:val="fr-FR" w:eastAsia="en-US"/>
        </w:rPr>
        <w:t> »</w:t>
      </w:r>
    </w:p>
    <w:p w14:paraId="04DE810B" w14:textId="77777777" w:rsidR="00EC27A5" w:rsidRPr="0042238A" w:rsidRDefault="00EC27A5" w:rsidP="00EC27A5">
      <w:pPr>
        <w:pStyle w:val="SingleTxtG"/>
        <w:ind w:left="2268"/>
        <w:rPr>
          <w:lang w:val="fr-FR" w:eastAsia="en-US"/>
        </w:rPr>
      </w:pPr>
      <w:r w:rsidRPr="0042238A">
        <w:rPr>
          <w:lang w:val="fr-FR" w:eastAsia="en-US"/>
        </w:rPr>
        <w:t>Sous le dernier paragraphe avant les dispositions supplémentaires, ajouter un nouveau Nota, libellé comme suit :</w:t>
      </w:r>
    </w:p>
    <w:p w14:paraId="6709417C" w14:textId="77777777" w:rsidR="00EC27A5" w:rsidRPr="0042238A" w:rsidRDefault="00EC27A5" w:rsidP="00EC27A5">
      <w:pPr>
        <w:pStyle w:val="SingleTxtG"/>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2 :</w:t>
      </w:r>
      <w:r w:rsidRPr="0042238A">
        <w:rPr>
          <w:rFonts w:eastAsiaTheme="minorHAnsi"/>
          <w:i/>
          <w:iCs/>
          <w:lang w:val="fr-FR" w:eastAsia="en-US"/>
        </w:rPr>
        <w:t xml:space="preserve"> La masse nette des emballages autorisés peut dépasser 400 kg (voir 4.1.3.3).</w:t>
      </w:r>
      <w:r w:rsidRPr="0042238A">
        <w:rPr>
          <w:rFonts w:eastAsiaTheme="minorHAnsi"/>
          <w:lang w:val="fr-FR" w:eastAsia="en-US"/>
        </w:rPr>
        <w:t> »</w:t>
      </w:r>
    </w:p>
    <w:p w14:paraId="5CFD74CE" w14:textId="77777777" w:rsidR="00EC27A5" w:rsidRPr="0042238A" w:rsidRDefault="00EC27A5" w:rsidP="00EC27A5">
      <w:pPr>
        <w:pStyle w:val="SingleTxtG"/>
        <w:rPr>
          <w:lang w:val="fr-FR" w:eastAsia="en-US"/>
        </w:rPr>
      </w:pPr>
      <w:r w:rsidRPr="0042238A">
        <w:rPr>
          <w:lang w:val="fr-FR" w:eastAsia="en-US"/>
        </w:rPr>
        <w:t>4.1.4.1, P907</w:t>
      </w:r>
      <w:r w:rsidRPr="0042238A">
        <w:rPr>
          <w:lang w:val="fr-FR" w:eastAsia="en-US"/>
        </w:rPr>
        <w:tab/>
      </w:r>
      <w:r w:rsidRPr="0042238A">
        <w:rPr>
          <w:lang w:val="fr-FR"/>
        </w:rPr>
        <w:t>À la fin</w:t>
      </w:r>
      <w:r w:rsidRPr="0042238A">
        <w:rPr>
          <w:lang w:val="fr-FR" w:eastAsia="en-US"/>
        </w:rPr>
        <w:t>, ajouter un nouveau Nota, libellé comme suit :</w:t>
      </w:r>
    </w:p>
    <w:p w14:paraId="0276E1C6" w14:textId="77777777" w:rsidR="00EC27A5" w:rsidRPr="0042238A" w:rsidRDefault="00EC27A5" w:rsidP="00EC27A5">
      <w:pPr>
        <w:pStyle w:val="SingleTxtG"/>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La masse nette des emballages autorisés peut dépasser 400 kg (voir 4.1.3.3).</w:t>
      </w:r>
      <w:r w:rsidRPr="0042238A">
        <w:rPr>
          <w:rFonts w:eastAsiaTheme="minorHAnsi"/>
          <w:lang w:val="fr-FR" w:eastAsia="en-US"/>
        </w:rPr>
        <w:t> »</w:t>
      </w:r>
    </w:p>
    <w:p w14:paraId="53A60F3C" w14:textId="321487FA" w:rsidR="00EC27A5" w:rsidRPr="0042238A" w:rsidRDefault="00EC27A5" w:rsidP="00EC27A5">
      <w:pPr>
        <w:pStyle w:val="SingleTxtG"/>
        <w:rPr>
          <w:lang w:val="fr-FR" w:eastAsia="en-US"/>
        </w:rPr>
      </w:pPr>
      <w:r w:rsidRPr="0042238A">
        <w:rPr>
          <w:lang w:val="fr-FR" w:eastAsia="en-US"/>
        </w:rPr>
        <w:t>4.1.4.1, P909</w:t>
      </w:r>
      <w:r w:rsidRPr="0042238A">
        <w:rPr>
          <w:lang w:val="fr-FR" w:eastAsia="en-US"/>
        </w:rPr>
        <w:tab/>
        <w:t>À la fin</w:t>
      </w:r>
      <w:r w:rsidR="00CA2B58" w:rsidRPr="0042238A">
        <w:rPr>
          <w:lang w:val="fr-FR" w:eastAsia="en-US"/>
        </w:rPr>
        <w:t>, a</w:t>
      </w:r>
      <w:r w:rsidR="00937CDF" w:rsidRPr="0042238A">
        <w:rPr>
          <w:lang w:val="fr-FR" w:eastAsia="en-US"/>
        </w:rPr>
        <w:t xml:space="preserve">près </w:t>
      </w:r>
      <w:r w:rsidR="00E31F4E" w:rsidRPr="0042238A">
        <w:rPr>
          <w:lang w:val="fr-FR" w:eastAsia="en-US"/>
        </w:rPr>
        <w:t>4)</w:t>
      </w:r>
      <w:r w:rsidRPr="0042238A">
        <w:rPr>
          <w:lang w:val="fr-FR" w:eastAsia="en-US"/>
        </w:rPr>
        <w:t>, ajouter un nouveau Nota, libellé comme suit :</w:t>
      </w:r>
    </w:p>
    <w:p w14:paraId="24A35DE5" w14:textId="58B15537" w:rsidR="00EC27A5" w:rsidRPr="0042238A" w:rsidRDefault="00EC27A5" w:rsidP="00EC27A5">
      <w:pPr>
        <w:pStyle w:val="SingleTxtG"/>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La masse nette des emballages autorisés </w:t>
      </w:r>
      <w:r w:rsidR="00937CDF" w:rsidRPr="0042238A">
        <w:rPr>
          <w:rFonts w:eastAsiaTheme="minorHAnsi"/>
          <w:i/>
          <w:iCs/>
          <w:lang w:val="fr-FR" w:eastAsia="en-US"/>
        </w:rPr>
        <w:t xml:space="preserve">aux paragraphes 3) et 4) </w:t>
      </w:r>
      <w:r w:rsidRPr="0042238A">
        <w:rPr>
          <w:rFonts w:eastAsiaTheme="minorHAnsi"/>
          <w:i/>
          <w:iCs/>
          <w:lang w:val="fr-FR" w:eastAsia="en-US"/>
        </w:rPr>
        <w:t>peut dépasser 400 kg (voir 4.1.3.3).</w:t>
      </w:r>
      <w:r w:rsidRPr="0042238A">
        <w:rPr>
          <w:rFonts w:eastAsiaTheme="minorHAnsi"/>
          <w:lang w:val="fr-FR" w:eastAsia="en-US"/>
        </w:rPr>
        <w:t> »</w:t>
      </w:r>
    </w:p>
    <w:p w14:paraId="3B71CBC1" w14:textId="77777777" w:rsidR="00EC27A5" w:rsidRPr="0042238A" w:rsidRDefault="00EC27A5" w:rsidP="00EC27A5">
      <w:pPr>
        <w:pStyle w:val="SingleTxtG"/>
        <w:rPr>
          <w:lang w:val="fr-FR" w:eastAsia="en-US"/>
        </w:rPr>
      </w:pPr>
      <w:r w:rsidRPr="0042238A">
        <w:rPr>
          <w:lang w:val="fr-FR" w:eastAsia="en-US"/>
        </w:rPr>
        <w:t>4.1.4.1, P910 3)</w:t>
      </w:r>
      <w:r w:rsidRPr="0042238A">
        <w:rPr>
          <w:lang w:val="fr-FR" w:eastAsia="en-US"/>
        </w:rPr>
        <w:tab/>
      </w:r>
      <w:r w:rsidRPr="0042238A">
        <w:rPr>
          <w:lang w:val="fr-FR"/>
        </w:rPr>
        <w:t>À la fin</w:t>
      </w:r>
      <w:r w:rsidRPr="0042238A">
        <w:rPr>
          <w:lang w:val="fr-FR" w:eastAsia="en-US"/>
        </w:rPr>
        <w:t>, ajouter un nouveau Nota, libellé comme suit :</w:t>
      </w:r>
    </w:p>
    <w:p w14:paraId="17A28CE6" w14:textId="77777777" w:rsidR="00EC27A5" w:rsidRPr="0042238A" w:rsidRDefault="00EC27A5" w:rsidP="00EC27A5">
      <w:pPr>
        <w:pStyle w:val="SingleTxtG"/>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La masse nette des emballages autorisés peut dépasser 400 kg (voir 4.1.3.3). </w:t>
      </w:r>
      <w:r w:rsidRPr="0042238A">
        <w:rPr>
          <w:rFonts w:eastAsiaTheme="minorHAnsi"/>
          <w:lang w:val="fr-FR" w:eastAsia="en-US"/>
        </w:rPr>
        <w:t>»</w:t>
      </w:r>
    </w:p>
    <w:p w14:paraId="7FCAECDC" w14:textId="77777777" w:rsidR="00EC27A5" w:rsidRPr="0042238A" w:rsidRDefault="00EC27A5" w:rsidP="00EC27A5">
      <w:pPr>
        <w:kinsoku/>
        <w:overflowPunct/>
        <w:autoSpaceDE/>
        <w:adjustRightInd/>
        <w:snapToGrid/>
        <w:spacing w:after="120"/>
        <w:ind w:left="2268" w:right="1134" w:hanging="1134"/>
        <w:jc w:val="both"/>
        <w:rPr>
          <w:lang w:val="fr-FR" w:eastAsia="en-US"/>
        </w:rPr>
      </w:pPr>
      <w:r w:rsidRPr="0042238A">
        <w:rPr>
          <w:lang w:val="fr-FR" w:eastAsia="en-US"/>
        </w:rPr>
        <w:t>4.1.4.1, P911</w:t>
      </w:r>
      <w:r w:rsidRPr="0042238A">
        <w:rPr>
          <w:lang w:val="fr-FR" w:eastAsia="en-US"/>
        </w:rPr>
        <w:tab/>
        <w:t xml:space="preserve">Dans la note </w:t>
      </w:r>
      <w:r w:rsidRPr="0042238A">
        <w:rPr>
          <w:vertAlign w:val="superscript"/>
          <w:lang w:val="fr-FR" w:eastAsia="en-US"/>
        </w:rPr>
        <w:t>a</w:t>
      </w:r>
      <w:r w:rsidRPr="0042238A">
        <w:rPr>
          <w:lang w:val="fr-FR" w:eastAsia="en-US"/>
        </w:rPr>
        <w:t>, à la fin, ajouter un nouvel alinéa pour lire comme suit :</w:t>
      </w:r>
    </w:p>
    <w:p w14:paraId="26EDA9DC" w14:textId="77777777" w:rsidR="00EC27A5" w:rsidRPr="0042238A" w:rsidRDefault="00EC27A5" w:rsidP="00EC27A5">
      <w:pPr>
        <w:pStyle w:val="SingleTxtG"/>
        <w:tabs>
          <w:tab w:val="left" w:pos="2268"/>
        </w:tabs>
        <w:rPr>
          <w:lang w:val="fr-FR" w:eastAsia="en-US"/>
        </w:rPr>
      </w:pPr>
      <w:r w:rsidRPr="0042238A">
        <w:rPr>
          <w:lang w:val="fr-FR" w:eastAsia="en-US"/>
        </w:rPr>
        <w:t>« i)</w:t>
      </w:r>
      <w:r w:rsidRPr="0042238A">
        <w:rPr>
          <w:lang w:val="fr-FR" w:eastAsia="en-US"/>
        </w:rPr>
        <w:tab/>
        <w:t>Dans le cas de batteries multiples et d’équipements multiples contenant des batteries, des prescriptions additionnelles visant par exemple le nombre maximum de batteries et d’équipements seuls, le contenu énergétique total maximum des batteries et la disposition à l’intérieur du colis, y compris les séparations et les protections des pièces, doivent être envisagées. »</w:t>
      </w:r>
    </w:p>
    <w:p w14:paraId="2F48D2C4" w14:textId="77777777" w:rsidR="00CC7A90" w:rsidRPr="001C3288" w:rsidRDefault="00CC7A90" w:rsidP="00CC7A90">
      <w:pPr>
        <w:pStyle w:val="SingleTxtG"/>
        <w:spacing w:before="120"/>
        <w:ind w:left="2268" w:hanging="1134"/>
        <w:rPr>
          <w:iCs/>
          <w:lang w:val="fr-FR"/>
        </w:rPr>
      </w:pPr>
      <w:r w:rsidRPr="001C3288">
        <w:rPr>
          <w:iCs/>
          <w:lang w:val="fr-FR"/>
        </w:rPr>
        <w:t>4.1.4.2, IBC02</w:t>
      </w:r>
      <w:r w:rsidRPr="001C3288">
        <w:rPr>
          <w:iCs/>
          <w:lang w:val="fr-FR"/>
        </w:rPr>
        <w:tab/>
        <w:t>Dans la disposition spéciale d’emballage B15, remplacer « </w:t>
      </w:r>
      <w:r w:rsidRPr="001C3288">
        <w:rPr>
          <w:lang w:val="fr-FR"/>
        </w:rPr>
        <w:t>et de GRV composites au récipient interne en plastique rigide » par « </w:t>
      </w:r>
      <w:r w:rsidRPr="001C3288">
        <w:rPr>
          <w:iCs/>
          <w:lang w:val="fr-FR"/>
        </w:rPr>
        <w:t>et de récipients internes en plastique rigide de GRV composites ».</w:t>
      </w:r>
    </w:p>
    <w:p w14:paraId="7847C56E" w14:textId="77777777" w:rsidR="00933754" w:rsidRPr="001C3288" w:rsidRDefault="00933754" w:rsidP="00933754">
      <w:pPr>
        <w:tabs>
          <w:tab w:val="left" w:pos="2268"/>
        </w:tabs>
        <w:kinsoku/>
        <w:overflowPunct/>
        <w:autoSpaceDE/>
        <w:autoSpaceDN/>
        <w:adjustRightInd/>
        <w:snapToGrid/>
        <w:spacing w:after="120"/>
        <w:ind w:left="2268" w:right="1134" w:hanging="1134"/>
        <w:jc w:val="both"/>
        <w:rPr>
          <w:lang w:val="fr-FR" w:eastAsia="en-US"/>
        </w:rPr>
      </w:pPr>
      <w:r w:rsidRPr="001C3288">
        <w:rPr>
          <w:lang w:val="fr-FR" w:eastAsia="en-US"/>
        </w:rPr>
        <w:t>4.1.4.2, IBC07</w:t>
      </w:r>
      <w:r w:rsidRPr="001C3288">
        <w:rPr>
          <w:lang w:val="fr-FR" w:eastAsia="en-US"/>
        </w:rPr>
        <w:tab/>
        <w:t>Ajouter la nouvelle disposition spéciale d’emballage suivante :</w:t>
      </w:r>
    </w:p>
    <w:p w14:paraId="746DF94F" w14:textId="77777777" w:rsidR="00933754" w:rsidRPr="00AF0DC5" w:rsidRDefault="00933754" w:rsidP="00933754">
      <w:pPr>
        <w:tabs>
          <w:tab w:val="left" w:pos="2268"/>
        </w:tabs>
        <w:kinsoku/>
        <w:overflowPunct/>
        <w:autoSpaceDE/>
        <w:autoSpaceDN/>
        <w:adjustRightInd/>
        <w:snapToGrid/>
        <w:spacing w:after="120"/>
        <w:ind w:left="1134" w:right="1134"/>
        <w:jc w:val="both"/>
        <w:rPr>
          <w:lang w:val="fr-FR" w:eastAsia="en-US"/>
        </w:rPr>
      </w:pPr>
      <w:r w:rsidRPr="001C3288">
        <w:rPr>
          <w:lang w:val="fr-FR" w:eastAsia="en-US"/>
        </w:rPr>
        <w:t>« </w:t>
      </w:r>
      <w:r w:rsidRPr="00AF0DC5">
        <w:rPr>
          <w:b/>
          <w:bCs/>
          <w:lang w:val="fr-FR" w:eastAsia="en-US"/>
        </w:rPr>
        <w:t>B20</w:t>
      </w:r>
      <w:r w:rsidRPr="00AF0DC5">
        <w:rPr>
          <w:lang w:val="fr-FR" w:eastAsia="en-US"/>
        </w:rPr>
        <w:tab/>
        <w:t>Le No ONU 3550 peut être transporté dans des GRV souples (13H3 ou 13H4) avec des doublures étanches aux pulvérulents pour empêcher toute fuite de poussière pendant le transport. »</w:t>
      </w:r>
    </w:p>
    <w:p w14:paraId="00DCA012" w14:textId="77777777" w:rsidR="00933754" w:rsidRPr="00AF0DC5" w:rsidRDefault="00933754" w:rsidP="00933754">
      <w:pPr>
        <w:tabs>
          <w:tab w:val="left" w:pos="2268"/>
        </w:tabs>
        <w:kinsoku/>
        <w:overflowPunct/>
        <w:autoSpaceDE/>
        <w:autoSpaceDN/>
        <w:adjustRightInd/>
        <w:snapToGrid/>
        <w:spacing w:after="120"/>
        <w:ind w:left="2268" w:right="1134" w:hanging="1134"/>
        <w:jc w:val="both"/>
        <w:rPr>
          <w:lang w:val="fr-FR" w:eastAsia="en-US"/>
        </w:rPr>
      </w:pPr>
      <w:r w:rsidRPr="00AF0DC5">
        <w:rPr>
          <w:lang w:val="fr-FR" w:eastAsia="en-US"/>
        </w:rPr>
        <w:lastRenderedPageBreak/>
        <w:t>4.1.4.2, IBC520</w:t>
      </w:r>
      <w:r w:rsidRPr="00AF0DC5">
        <w:rPr>
          <w:lang w:val="fr-FR" w:eastAsia="en-US"/>
        </w:rPr>
        <w:tab/>
        <w:t>Dans la deuxième phrase (troisième ligne), remplacer « Les préparations énumérées » par « Les préparations énumérées ni au 2.4.2.3.2.3 ni au 2.5.3.2.4 mais énumérées ».</w:t>
      </w:r>
    </w:p>
    <w:p w14:paraId="73AED7EF" w14:textId="77777777" w:rsidR="0000013B" w:rsidRPr="0042238A" w:rsidRDefault="0000013B" w:rsidP="0000013B">
      <w:pPr>
        <w:tabs>
          <w:tab w:val="left" w:pos="2268"/>
        </w:tabs>
        <w:kinsoku/>
        <w:overflowPunct/>
        <w:autoSpaceDE/>
        <w:adjustRightInd/>
        <w:snapToGrid/>
        <w:spacing w:after="120"/>
        <w:ind w:left="1134" w:right="1134"/>
        <w:jc w:val="both"/>
        <w:rPr>
          <w:lang w:val="fr-FR" w:eastAsia="en-US"/>
        </w:rPr>
      </w:pPr>
      <w:r w:rsidRPr="0042238A">
        <w:rPr>
          <w:lang w:val="fr-FR" w:eastAsia="en-US"/>
        </w:rPr>
        <w:t>4.1.4.3, LP906</w:t>
      </w:r>
      <w:r w:rsidRPr="0042238A">
        <w:rPr>
          <w:lang w:val="fr-FR" w:eastAsia="en-US"/>
        </w:rPr>
        <w:tab/>
        <w:t>Modifier la troisième phrase pour lire « Pour les batteries et pour les équipements seuls contenant des batteries. ».</w:t>
      </w:r>
    </w:p>
    <w:p w14:paraId="159ED5A1" w14:textId="77777777" w:rsidR="0000013B" w:rsidRPr="0042238A" w:rsidRDefault="0000013B" w:rsidP="0000013B">
      <w:pPr>
        <w:pStyle w:val="SingleTxtG"/>
        <w:tabs>
          <w:tab w:val="left" w:pos="2268"/>
        </w:tabs>
        <w:rPr>
          <w:lang w:val="fr-FR" w:eastAsia="en-US"/>
        </w:rPr>
      </w:pPr>
      <w:r w:rsidRPr="0042238A">
        <w:rPr>
          <w:lang w:val="fr-FR" w:eastAsia="en-US"/>
        </w:rPr>
        <w:tab/>
      </w:r>
      <w:r w:rsidRPr="0042238A">
        <w:rPr>
          <w:lang w:val="fr-FR" w:eastAsia="en-US"/>
        </w:rPr>
        <w:tab/>
        <w:t>Au point 2), modifier le deuxième paragraphe pour lire comme suit :</w:t>
      </w:r>
    </w:p>
    <w:p w14:paraId="09762C6D" w14:textId="77777777" w:rsidR="0000013B" w:rsidRPr="0042238A" w:rsidRDefault="0000013B" w:rsidP="0000013B">
      <w:pPr>
        <w:pStyle w:val="SingleTxtG"/>
        <w:tabs>
          <w:tab w:val="left" w:pos="2268"/>
        </w:tabs>
        <w:rPr>
          <w:lang w:val="fr-FR" w:eastAsia="en-US"/>
        </w:rPr>
      </w:pPr>
      <w:r w:rsidRPr="0042238A">
        <w:rPr>
          <w:lang w:val="fr-FR" w:eastAsia="en-US"/>
        </w:rPr>
        <w:t>« Un rapport établi à l’issue de la vérification doit être disponible à la demande. Doivent y être énumérés, au minimum, le nom des batteries, leur type tel que défini à la section 38.3.2.3 du Manuel d’épreuves et de critères, le nombre maximal de batteries, la masse totale des batteries, le contenu énergétique total des batteries, l'identification du grand emballage et les données d’épreuves, selon la méthode de vérification spécifiée par l'autorité compétente. »</w:t>
      </w:r>
    </w:p>
    <w:p w14:paraId="15930826" w14:textId="77777777" w:rsidR="0000013B" w:rsidRPr="0042238A" w:rsidRDefault="0000013B" w:rsidP="0000013B">
      <w:pPr>
        <w:pStyle w:val="SingleTxtG"/>
        <w:tabs>
          <w:tab w:val="left" w:pos="2268"/>
        </w:tabs>
        <w:rPr>
          <w:lang w:val="fr-FR" w:eastAsia="en-US"/>
        </w:rPr>
      </w:pPr>
      <w:r w:rsidRPr="0042238A">
        <w:rPr>
          <w:lang w:val="fr-FR" w:eastAsia="en-US"/>
        </w:rPr>
        <w:tab/>
        <w:t>Ajouter un quatrième point pour lire comme suit :</w:t>
      </w:r>
    </w:p>
    <w:p w14:paraId="44AC5646" w14:textId="77777777" w:rsidR="0000013B" w:rsidRPr="0042238A" w:rsidRDefault="0000013B" w:rsidP="0000013B">
      <w:pPr>
        <w:pStyle w:val="SingleTxtG"/>
        <w:tabs>
          <w:tab w:val="left" w:pos="2268"/>
        </w:tabs>
        <w:rPr>
          <w:lang w:val="fr-FR" w:eastAsia="en-US"/>
        </w:rPr>
      </w:pPr>
      <w:r w:rsidRPr="0042238A">
        <w:rPr>
          <w:lang w:val="fr-FR" w:eastAsia="en-US"/>
        </w:rPr>
        <w:t>« 4)</w:t>
      </w:r>
      <w:r w:rsidRPr="0042238A">
        <w:rPr>
          <w:lang w:val="fr-FR" w:eastAsia="en-US"/>
        </w:rPr>
        <w:tab/>
        <w:t>Les instructions spécifiques relatives aux conditions d’utilisation de l’emballage doivent être communiquées à l’expéditeur par les fabricants d'emballages et les distributeurs ultérieurs. Elles doivent préciser au minimum l’identification des batteries et des équipements seuls pouvant être contenus à l’intérieur de l’emballage, le nombre maximum de batteries contenues dans le colis et le total maximum du contenu énergétique des batteries, ainsi que la configuration à l’intérieur du colis, y compris les séparations et les protections utilisées pendant l’épreuve de vérification de la performance. »</w:t>
      </w:r>
    </w:p>
    <w:p w14:paraId="22768550" w14:textId="77777777" w:rsidR="0000013B" w:rsidRPr="0042238A" w:rsidRDefault="0000013B" w:rsidP="0000013B">
      <w:pPr>
        <w:kinsoku/>
        <w:overflowPunct/>
        <w:autoSpaceDE/>
        <w:adjustRightInd/>
        <w:snapToGrid/>
        <w:spacing w:after="120"/>
        <w:ind w:left="2268" w:right="1134" w:hanging="1134"/>
        <w:jc w:val="both"/>
        <w:rPr>
          <w:lang w:val="fr-FR" w:eastAsia="en-US"/>
        </w:rPr>
      </w:pPr>
      <w:r w:rsidRPr="0042238A">
        <w:rPr>
          <w:lang w:val="fr-FR" w:eastAsia="en-US"/>
        </w:rPr>
        <w:tab/>
        <w:t xml:space="preserve">Dans la note </w:t>
      </w:r>
      <w:r w:rsidRPr="0042238A">
        <w:rPr>
          <w:vertAlign w:val="superscript"/>
          <w:lang w:val="fr-FR" w:eastAsia="en-US"/>
        </w:rPr>
        <w:t>a</w:t>
      </w:r>
      <w:r w:rsidRPr="0042238A">
        <w:rPr>
          <w:lang w:val="fr-FR" w:eastAsia="en-US"/>
        </w:rPr>
        <w:t>, à la fin, ajouter un nouvel alinéa pour lire comme suit :</w:t>
      </w:r>
    </w:p>
    <w:p w14:paraId="37E50549" w14:textId="77777777" w:rsidR="0000013B" w:rsidRPr="0042238A" w:rsidRDefault="0000013B" w:rsidP="0000013B">
      <w:pPr>
        <w:pStyle w:val="SingleTxtG"/>
        <w:tabs>
          <w:tab w:val="left" w:pos="2268"/>
        </w:tabs>
        <w:rPr>
          <w:lang w:val="fr-FR" w:eastAsia="en-US"/>
        </w:rPr>
      </w:pPr>
      <w:r w:rsidRPr="0042238A">
        <w:rPr>
          <w:lang w:val="fr-FR" w:eastAsia="en-US"/>
        </w:rPr>
        <w:t>« i)</w:t>
      </w:r>
      <w:r w:rsidRPr="0042238A">
        <w:rPr>
          <w:lang w:val="fr-FR" w:eastAsia="en-US"/>
        </w:rPr>
        <w:tab/>
        <w:t>Dans le cas de batteries multiples et d’équipements multiples contenant des batteries, des prescriptions additionnelles visant par exemple le nombre maximum de batteries et d’équipements seuls, le contenu énergétique total maximum des batteries et la disposition à l’intérieur du colis, y compris les séparations et les protections des pièces, doivent être envisagées. »</w:t>
      </w:r>
    </w:p>
    <w:p w14:paraId="4DF29B9A" w14:textId="77777777" w:rsidR="00CC7A90" w:rsidRPr="0042238A" w:rsidRDefault="00CC7A90" w:rsidP="00CC7A90">
      <w:pPr>
        <w:pStyle w:val="SingleTxtG"/>
        <w:spacing w:before="120"/>
        <w:ind w:left="2268" w:hanging="1134"/>
        <w:rPr>
          <w:lang w:val="fr-FR"/>
        </w:rPr>
      </w:pPr>
      <w:r w:rsidRPr="00AF0DC5">
        <w:rPr>
          <w:lang w:val="fr-FR"/>
        </w:rPr>
        <w:t>4.1.6.1.6</w:t>
      </w:r>
      <w:r w:rsidRPr="00AF0DC5">
        <w:rPr>
          <w:lang w:val="fr-FR"/>
        </w:rPr>
        <w:tab/>
        <w:t xml:space="preserve">À la fin de la première phrase, ajouter « et en tenant </w:t>
      </w:r>
      <w:r w:rsidRPr="0042238A">
        <w:rPr>
          <w:lang w:val="fr-FR"/>
        </w:rPr>
        <w:t xml:space="preserve">compte de la pression nominale la plus basse de chaque composant ». </w:t>
      </w:r>
    </w:p>
    <w:p w14:paraId="6F483271" w14:textId="77777777" w:rsidR="00CC7A90" w:rsidRPr="0042238A" w:rsidRDefault="00CC7A90" w:rsidP="00CC7A90">
      <w:pPr>
        <w:pStyle w:val="SingleTxtG"/>
        <w:spacing w:before="120"/>
        <w:ind w:left="2268"/>
        <w:rPr>
          <w:lang w:val="fr-FR"/>
        </w:rPr>
      </w:pPr>
      <w:r w:rsidRPr="0042238A">
        <w:rPr>
          <w:lang w:val="fr-FR"/>
        </w:rPr>
        <w:t xml:space="preserve">Ajouter la nouvelle deuxième phrase suivante : « Les équipements de service dont la pression nominale est inférieure à celle des autres composants doivent néanmoins satisfaire aux prescriptions du 6.2.1.3.1. ». </w:t>
      </w:r>
    </w:p>
    <w:p w14:paraId="3FC40E8A" w14:textId="77777777" w:rsidR="00CC7A90" w:rsidRPr="00AF0DC5" w:rsidRDefault="00CC7A90" w:rsidP="00CC7A90">
      <w:pPr>
        <w:pStyle w:val="SingleTxtG"/>
        <w:spacing w:before="120"/>
        <w:ind w:left="2268"/>
        <w:rPr>
          <w:lang w:val="fr-FR"/>
        </w:rPr>
      </w:pPr>
      <w:r w:rsidRPr="0042238A">
        <w:rPr>
          <w:lang w:val="fr-FR"/>
        </w:rPr>
        <w:t>Supprimer la dernière phrase.</w:t>
      </w:r>
    </w:p>
    <w:p w14:paraId="445A5B3B" w14:textId="77777777" w:rsidR="00DA1321" w:rsidRPr="0042238A" w:rsidRDefault="00DA1321" w:rsidP="00DA1321">
      <w:pPr>
        <w:tabs>
          <w:tab w:val="left" w:pos="2268"/>
        </w:tabs>
        <w:kinsoku/>
        <w:overflowPunct/>
        <w:autoSpaceDE/>
        <w:autoSpaceDN/>
        <w:adjustRightInd/>
        <w:snapToGrid/>
        <w:spacing w:after="120"/>
        <w:ind w:left="2268" w:right="1134" w:hanging="1134"/>
        <w:jc w:val="both"/>
        <w:rPr>
          <w:lang w:val="fr-FR" w:eastAsia="en-US"/>
        </w:rPr>
      </w:pPr>
      <w:r w:rsidRPr="0042238A">
        <w:rPr>
          <w:lang w:val="fr-FR" w:eastAsia="en-US"/>
        </w:rPr>
        <w:t>4.1.6.1.8</w:t>
      </w:r>
      <w:r w:rsidRPr="0042238A">
        <w:rPr>
          <w:lang w:val="fr-FR" w:eastAsia="en-US"/>
        </w:rPr>
        <w:tab/>
        <w:t>Dans l’avant-dernier paragraphe, dans la première phrase, remplacer « ISO 11117:1998 ou ISO 11117:2008 + Cor 1:2009 » par « </w:t>
      </w:r>
      <w:r w:rsidRPr="00AF0DC5">
        <w:rPr>
          <w:lang w:val="fr-FR"/>
        </w:rPr>
        <w:t>ISO 11117:1998, ISO 11117:2008 + Cor 1:2009 ou ISO 11117:2019</w:t>
      </w:r>
      <w:r w:rsidRPr="0042238A">
        <w:rPr>
          <w:lang w:val="fr-FR" w:eastAsia="en-US"/>
        </w:rPr>
        <w:t> ».</w:t>
      </w:r>
    </w:p>
    <w:p w14:paraId="596AB7A8" w14:textId="77777777" w:rsidR="00DA1321" w:rsidRPr="0042238A" w:rsidRDefault="00DA1321" w:rsidP="00DA1321">
      <w:pPr>
        <w:tabs>
          <w:tab w:val="left" w:pos="2268"/>
        </w:tabs>
        <w:kinsoku/>
        <w:overflowPunct/>
        <w:autoSpaceDE/>
        <w:autoSpaceDN/>
        <w:adjustRightInd/>
        <w:snapToGrid/>
        <w:spacing w:after="120"/>
        <w:ind w:left="2268" w:right="1134" w:hanging="1134"/>
        <w:jc w:val="both"/>
        <w:rPr>
          <w:lang w:val="fr-FR" w:eastAsia="en-US"/>
        </w:rPr>
      </w:pPr>
      <w:r w:rsidRPr="0042238A">
        <w:rPr>
          <w:lang w:val="fr-FR" w:eastAsia="en-US"/>
        </w:rPr>
        <w:tab/>
        <w:t>Dans la dernière phrase, remplacer « ISO 16111:2008 » par « ISO 16111:2008 ou ISO 16111:2018 ».</w:t>
      </w:r>
    </w:p>
    <w:p w14:paraId="309B378C" w14:textId="53DEAF36" w:rsidR="00CC7A90" w:rsidRPr="00AF0DC5" w:rsidRDefault="00CC7A90" w:rsidP="00CC7A90">
      <w:pPr>
        <w:pStyle w:val="SingleTxtG"/>
        <w:spacing w:before="120"/>
        <w:ind w:left="2268" w:hanging="1134"/>
        <w:rPr>
          <w:lang w:val="fr-FR"/>
        </w:rPr>
      </w:pPr>
      <w:r w:rsidRPr="00AF0DC5">
        <w:rPr>
          <w:lang w:val="fr-FR"/>
        </w:rPr>
        <w:t>4.1.6.1.10</w:t>
      </w:r>
      <w:r w:rsidRPr="00AF0DC5">
        <w:rPr>
          <w:lang w:val="fr-FR"/>
        </w:rPr>
        <w:tab/>
        <w:t xml:space="preserve">Dans la première phrase, ajouter « fermés » après « récipients cryogéniques » et remplacer « P205 ou P206 » par « P205, P206 ou P208 ». </w:t>
      </w:r>
    </w:p>
    <w:p w14:paraId="20F4970A" w14:textId="58362DFA" w:rsidR="00E464FF" w:rsidRPr="0042238A" w:rsidRDefault="00E464FF" w:rsidP="00E464FF">
      <w:pPr>
        <w:kinsoku/>
        <w:overflowPunct/>
        <w:autoSpaceDE/>
        <w:autoSpaceDN/>
        <w:adjustRightInd/>
        <w:snapToGrid/>
        <w:spacing w:after="120"/>
        <w:ind w:left="2268" w:right="1134" w:hanging="1134"/>
        <w:jc w:val="both"/>
        <w:rPr>
          <w:lang w:val="fr-FR" w:eastAsia="en-US"/>
        </w:rPr>
      </w:pPr>
      <w:r w:rsidRPr="0042238A">
        <w:rPr>
          <w:lang w:val="fr-FR" w:eastAsia="en-US"/>
        </w:rPr>
        <w:t>4.1.9.1.4</w:t>
      </w:r>
      <w:r w:rsidRPr="0042238A">
        <w:rPr>
          <w:lang w:val="fr-FR" w:eastAsia="en-US"/>
        </w:rPr>
        <w:tab/>
        <w:t>Dans la première phrase, supprimer « , des citernes, des grands récipients pour vrac ».</w:t>
      </w:r>
    </w:p>
    <w:p w14:paraId="425DC5FF" w14:textId="77777777" w:rsidR="00CC7A90" w:rsidRPr="0042238A" w:rsidRDefault="00CC7A90" w:rsidP="00CC7A90">
      <w:pPr>
        <w:pStyle w:val="H1G"/>
        <w:rPr>
          <w:lang w:val="fr-FR"/>
        </w:rPr>
      </w:pPr>
      <w:r w:rsidRPr="0042238A">
        <w:rPr>
          <w:lang w:val="fr-FR"/>
        </w:rPr>
        <w:tab/>
      </w:r>
      <w:r w:rsidRPr="0042238A">
        <w:rPr>
          <w:lang w:val="fr-FR"/>
        </w:rPr>
        <w:tab/>
        <w:t>Chapitre 4.2</w:t>
      </w:r>
    </w:p>
    <w:p w14:paraId="5BD6C174" w14:textId="67A22B57" w:rsidR="006A58F4" w:rsidRPr="00AF0DC5" w:rsidRDefault="006A58F4" w:rsidP="00CC7A90">
      <w:pPr>
        <w:pStyle w:val="SingleTxtG"/>
        <w:ind w:left="2268" w:hanging="1134"/>
        <w:rPr>
          <w:lang w:val="fr-FR"/>
        </w:rPr>
      </w:pPr>
      <w:r w:rsidRPr="0042238A">
        <w:rPr>
          <w:lang w:val="fr-FR"/>
        </w:rPr>
        <w:t>4.2.5.2.1</w:t>
      </w:r>
      <w:r w:rsidRPr="0042238A">
        <w:rPr>
          <w:lang w:val="fr-FR"/>
        </w:rPr>
        <w:tab/>
        <w:t>À la fin, ajouter « ou du chapitre 6.9 ».</w:t>
      </w:r>
    </w:p>
    <w:p w14:paraId="0758A508" w14:textId="1BED0B04" w:rsidR="00874E97" w:rsidRPr="0042238A" w:rsidRDefault="00874E97" w:rsidP="00AF0DC5">
      <w:pPr>
        <w:pStyle w:val="SingleTxtG"/>
        <w:spacing w:before="120"/>
        <w:ind w:left="2268" w:hanging="1134"/>
        <w:rPr>
          <w:rFonts w:eastAsiaTheme="minorHAnsi"/>
          <w:lang w:val="fr-FR" w:eastAsia="en-US"/>
        </w:rPr>
      </w:pPr>
      <w:r w:rsidRPr="0042238A">
        <w:rPr>
          <w:rFonts w:eastAsiaTheme="minorHAnsi"/>
          <w:lang w:val="fr-FR" w:eastAsia="en-US"/>
        </w:rPr>
        <w:t>4.2.5.2.2</w:t>
      </w:r>
      <w:r w:rsidRPr="0042238A">
        <w:rPr>
          <w:rFonts w:eastAsiaTheme="minorHAnsi"/>
          <w:lang w:val="fr-FR" w:eastAsia="en-US"/>
        </w:rPr>
        <w:tab/>
        <w:t>Remplacer « (en acier de référence) » par « (en acier de référence ou l’épaisseur minimale du réservoir en matière plastique renforcée de fibres (PRF)) ».</w:t>
      </w:r>
    </w:p>
    <w:p w14:paraId="185853FE" w14:textId="027FCFC9" w:rsidR="004959B5" w:rsidRPr="0042238A" w:rsidRDefault="004959B5" w:rsidP="00AF0DC5">
      <w:pPr>
        <w:pStyle w:val="SingleTxtG"/>
        <w:spacing w:before="120"/>
        <w:ind w:left="2268" w:hanging="1134"/>
        <w:rPr>
          <w:rFonts w:eastAsiaTheme="minorHAnsi"/>
          <w:lang w:val="fr-FR" w:eastAsia="en-US"/>
        </w:rPr>
      </w:pPr>
      <w:r w:rsidRPr="0042238A">
        <w:rPr>
          <w:rFonts w:eastAsiaTheme="minorHAnsi"/>
          <w:lang w:val="fr-FR" w:eastAsia="en-US"/>
        </w:rPr>
        <w:t>4.2.5.2.6</w:t>
      </w:r>
      <w:r w:rsidRPr="0042238A">
        <w:rPr>
          <w:rFonts w:eastAsiaTheme="minorHAnsi"/>
          <w:lang w:val="fr-FR" w:eastAsia="en-US"/>
        </w:rPr>
        <w:tab/>
        <w:t>Dans le paragraphe d’introduction, après « (en mm d’acier de référence) », ajouter « ou l’épaisseur minimale du réservoir pour les citernes en matière plastique renforcée de fibres (PRF) ».</w:t>
      </w:r>
    </w:p>
    <w:p w14:paraId="1F71F3FC" w14:textId="261EFF31" w:rsidR="008B6ECE" w:rsidRPr="00AF0DC5" w:rsidRDefault="008B6ECE" w:rsidP="00AF0DC5">
      <w:pPr>
        <w:pStyle w:val="SingleTxtG"/>
        <w:ind w:left="2268" w:hanging="1134"/>
        <w:rPr>
          <w:lang w:val="fr-FR"/>
        </w:rPr>
      </w:pPr>
      <w:r w:rsidRPr="00AF0DC5">
        <w:rPr>
          <w:lang w:val="fr-FR"/>
        </w:rPr>
        <w:lastRenderedPageBreak/>
        <w:t>4.2.5.2.6, T1-T22</w:t>
      </w:r>
      <w:r w:rsidRPr="00AF0DC5">
        <w:rPr>
          <w:lang w:val="fr-FR"/>
        </w:rPr>
        <w:tab/>
        <w:t xml:space="preserve">Dans l’entête, ajouter </w:t>
      </w:r>
      <w:r w:rsidR="00CA2B58" w:rsidRPr="0042238A">
        <w:rPr>
          <w:lang w:val="fr-FR"/>
        </w:rPr>
        <w:t>les nouvelles phrases suivantes</w:t>
      </w:r>
      <w:r w:rsidRPr="00AF0DC5">
        <w:rPr>
          <w:lang w:val="fr-FR"/>
        </w:rPr>
        <w:t xml:space="preserve"> à la fin :</w:t>
      </w:r>
    </w:p>
    <w:p w14:paraId="71A9BFBE" w14:textId="065292A5" w:rsidR="008B6ECE" w:rsidRPr="00AF0DC5" w:rsidRDefault="008B6ECE" w:rsidP="00AF0DC5">
      <w:pPr>
        <w:pStyle w:val="SingleTxtG"/>
        <w:ind w:left="2268" w:hanging="1134"/>
        <w:rPr>
          <w:lang w:val="fr-FR"/>
        </w:rPr>
      </w:pPr>
      <w:r w:rsidRPr="00AF0DC5">
        <w:rPr>
          <w:lang w:val="fr-FR"/>
        </w:rPr>
        <w:tab/>
        <w:t>« </w:t>
      </w:r>
      <w:r w:rsidRPr="00AF0DC5">
        <w:rPr>
          <w:i/>
          <w:iCs/>
          <w:lang w:val="fr-FR"/>
        </w:rPr>
        <w:t>Les instructions concernant les citernes mobiles avec un réservoir en PRF s’appliquent aux matières des classes ou divisions 1, 3, 5.1, 6.1, 6.2, 8 et 9. En outre, les prescriptions du chapitre 6.9 s’appliquent aux citernes mobiles avec un réservoir en PRF. </w:t>
      </w:r>
      <w:r w:rsidRPr="00AF0DC5">
        <w:rPr>
          <w:lang w:val="fr-FR"/>
        </w:rPr>
        <w:t>»</w:t>
      </w:r>
    </w:p>
    <w:p w14:paraId="38846B73" w14:textId="424B66AB" w:rsidR="008A0215" w:rsidRPr="00AF0DC5" w:rsidRDefault="00CC7A90" w:rsidP="00CC7A90">
      <w:pPr>
        <w:pStyle w:val="SingleTxtG"/>
        <w:ind w:left="2268" w:hanging="1134"/>
        <w:rPr>
          <w:lang w:val="fr-FR"/>
        </w:rPr>
      </w:pPr>
      <w:r w:rsidRPr="00AF0DC5">
        <w:rPr>
          <w:lang w:val="fr-FR"/>
        </w:rPr>
        <w:t>4.2.5.2.6, T23</w:t>
      </w:r>
      <w:r w:rsidRPr="00AF0DC5">
        <w:rPr>
          <w:lang w:val="fr-FR"/>
        </w:rPr>
        <w:tab/>
      </w:r>
      <w:r w:rsidRPr="00AF0DC5">
        <w:rPr>
          <w:lang w:val="fr-FR"/>
        </w:rPr>
        <w:tab/>
      </w:r>
      <w:r w:rsidR="008A0215" w:rsidRPr="00AF0DC5">
        <w:rPr>
          <w:lang w:val="fr-FR" w:eastAsia="en-US"/>
        </w:rPr>
        <w:tab/>
        <w:t>Dans la dernière phrase du paragraphe sous la ligne de titre, remplacer « Les préparations énumérées » par « Les préparations énumérées ni au 2.4.2.3.2.3 ni au 2.5.3.2.4 mais énumérées ».</w:t>
      </w:r>
    </w:p>
    <w:p w14:paraId="2281B290" w14:textId="00903D18" w:rsidR="00CC7A90" w:rsidRPr="00AF0DC5" w:rsidRDefault="00CC7A90" w:rsidP="00CC7A90">
      <w:pPr>
        <w:pStyle w:val="SingleTxtG"/>
        <w:ind w:left="2268" w:hanging="1134"/>
        <w:rPr>
          <w:lang w:val="fr-FR"/>
        </w:rPr>
      </w:pPr>
      <w:r w:rsidRPr="00AF0DC5">
        <w:rPr>
          <w:lang w:val="fr-FR"/>
        </w:rPr>
        <w:tab/>
        <w:t>Pour le numéro ONU 3109 « PEROXYDE ORGANIQUE DU TYPE F, LIQUIDE » ajouter « </w:t>
      </w:r>
      <w:proofErr w:type="spellStart"/>
      <w:r w:rsidRPr="00AF0DC5">
        <w:rPr>
          <w:rFonts w:eastAsiaTheme="minorEastAsia"/>
          <w:lang w:val="fr-FR"/>
        </w:rPr>
        <w:t>Hydroperoxyde</w:t>
      </w:r>
      <w:proofErr w:type="spellEnd"/>
      <w:r w:rsidRPr="00AF0DC5">
        <w:rPr>
          <w:rFonts w:eastAsiaTheme="minorEastAsia"/>
          <w:lang w:val="fr-FR"/>
        </w:rPr>
        <w:t xml:space="preserve"> de </w:t>
      </w:r>
      <w:proofErr w:type="spellStart"/>
      <w:r w:rsidRPr="00AF0DC5">
        <w:rPr>
          <w:rFonts w:eastAsiaTheme="minorEastAsia"/>
          <w:lang w:val="fr-FR"/>
        </w:rPr>
        <w:t>tert</w:t>
      </w:r>
      <w:proofErr w:type="spellEnd"/>
      <w:r w:rsidRPr="00AF0DC5">
        <w:rPr>
          <w:rFonts w:eastAsiaTheme="minorEastAsia"/>
          <w:lang w:val="fr-FR"/>
        </w:rPr>
        <w:t xml:space="preserve">-butyle, à 56 % au plus dans un diluant de type </w:t>
      </w:r>
      <w:proofErr w:type="spellStart"/>
      <w:r w:rsidRPr="00AF0DC5">
        <w:rPr>
          <w:rFonts w:eastAsiaTheme="minorEastAsia"/>
          <w:lang w:val="fr-FR"/>
        </w:rPr>
        <w:t>B</w:t>
      </w:r>
      <w:r w:rsidRPr="00AF0DC5">
        <w:rPr>
          <w:vertAlign w:val="superscript"/>
          <w:lang w:val="fr-FR"/>
        </w:rPr>
        <w:t>b</w:t>
      </w:r>
      <w:proofErr w:type="spellEnd"/>
      <w:r w:rsidRPr="00AF0DC5">
        <w:rPr>
          <w:lang w:val="fr-FR"/>
        </w:rPr>
        <w:t> » dans la colonne « Matière ».</w:t>
      </w:r>
    </w:p>
    <w:p w14:paraId="64ABF981" w14:textId="477B69E2" w:rsidR="00CC7A90" w:rsidRPr="00AF0DC5" w:rsidRDefault="00CC7A90" w:rsidP="00CC7A90">
      <w:pPr>
        <w:pStyle w:val="SingleTxtG"/>
        <w:ind w:left="2268" w:hanging="1134"/>
        <w:rPr>
          <w:lang w:val="fr-FR"/>
        </w:rPr>
      </w:pPr>
      <w:r w:rsidRPr="00AF0DC5">
        <w:rPr>
          <w:lang w:val="fr-FR"/>
        </w:rPr>
        <w:tab/>
      </w:r>
      <w:r w:rsidRPr="00AF0DC5">
        <w:rPr>
          <w:lang w:val="fr-FR"/>
        </w:rPr>
        <w:tab/>
        <w:t>Ajouter une nouvelle note de bas de tableau « b » pour lire comme suit : « </w:t>
      </w:r>
      <w:r w:rsidRPr="00AF0DC5">
        <w:rPr>
          <w:vertAlign w:val="superscript"/>
          <w:lang w:val="fr-FR"/>
        </w:rPr>
        <w:t>b</w:t>
      </w:r>
      <w:r w:rsidRPr="00AF0DC5">
        <w:rPr>
          <w:lang w:val="fr-FR"/>
        </w:rPr>
        <w:t> A</w:t>
      </w:r>
      <w:hyperlink r:id="rId12" w:history="1">
        <w:r w:rsidRPr="00AF0DC5">
          <w:rPr>
            <w:lang w:val="fr-FR"/>
          </w:rPr>
          <w:t xml:space="preserve">lcool </w:t>
        </w:r>
        <w:proofErr w:type="spellStart"/>
        <w:r w:rsidRPr="00AF0DC5">
          <w:rPr>
            <w:lang w:val="fr-FR"/>
          </w:rPr>
          <w:t>tert</w:t>
        </w:r>
        <w:proofErr w:type="spellEnd"/>
        <w:r w:rsidRPr="00AF0DC5">
          <w:rPr>
            <w:lang w:val="fr-FR"/>
          </w:rPr>
          <w:t>-butylique</w:t>
        </w:r>
      </w:hyperlink>
      <w:r w:rsidRPr="00AF0DC5">
        <w:rPr>
          <w:lang w:val="fr-FR"/>
        </w:rPr>
        <w:t> » et renuméroter les notes de bas de tableau « b » à « d » en tant que notes « c » à « e ».</w:t>
      </w:r>
    </w:p>
    <w:p w14:paraId="6499DD8A" w14:textId="430A86D4" w:rsidR="003334FF" w:rsidRPr="00AF0DC5" w:rsidRDefault="003334FF">
      <w:pPr>
        <w:pStyle w:val="SingleTxtG"/>
        <w:ind w:left="2268" w:hanging="1134"/>
        <w:rPr>
          <w:rFonts w:eastAsiaTheme="minorHAnsi"/>
          <w:lang w:val="fr-FR" w:eastAsia="en-US"/>
        </w:rPr>
      </w:pPr>
      <w:r w:rsidRPr="0042238A">
        <w:rPr>
          <w:rFonts w:eastAsiaTheme="minorHAnsi"/>
          <w:bCs/>
          <w:lang w:val="fr-FR" w:eastAsia="en-US"/>
        </w:rPr>
        <w:t>4.2.5.3</w:t>
      </w:r>
      <w:r w:rsidR="00EC5894" w:rsidRPr="0042238A">
        <w:rPr>
          <w:rFonts w:eastAsiaTheme="minorHAnsi"/>
          <w:bCs/>
          <w:lang w:val="fr-FR" w:eastAsia="en-US"/>
        </w:rPr>
        <w:t>, TP32 a)</w:t>
      </w:r>
      <w:r w:rsidRPr="0042238A">
        <w:rPr>
          <w:rFonts w:eastAsiaTheme="minorHAnsi"/>
          <w:bCs/>
          <w:lang w:val="fr-FR" w:eastAsia="en-US"/>
        </w:rPr>
        <w:tab/>
      </w:r>
      <w:r w:rsidR="00EC5894" w:rsidRPr="0042238A">
        <w:rPr>
          <w:rFonts w:eastAsiaTheme="minorHAnsi"/>
          <w:bCs/>
          <w:lang w:val="fr-FR" w:eastAsia="en-US"/>
        </w:rPr>
        <w:t>D</w:t>
      </w:r>
      <w:r w:rsidRPr="0042238A">
        <w:rPr>
          <w:rFonts w:eastAsiaTheme="minorHAnsi"/>
          <w:bCs/>
          <w:lang w:val="fr-FR" w:eastAsia="en-US"/>
        </w:rPr>
        <w:t xml:space="preserve">ans la première phrase, </w:t>
      </w:r>
      <w:r w:rsidRPr="0042238A">
        <w:rPr>
          <w:rFonts w:eastAsiaTheme="minorHAnsi"/>
          <w:lang w:val="fr-FR" w:eastAsia="en-US"/>
        </w:rPr>
        <w:t>ajouter « </w:t>
      </w:r>
      <w:r w:rsidRPr="0042238A">
        <w:rPr>
          <w:rFonts w:eastAsiaTheme="minorHAnsi"/>
          <w:bCs/>
          <w:lang w:val="fr-FR" w:eastAsia="en-US"/>
        </w:rPr>
        <w:t>ou en matière plastique renforcée de fibres (PRF)</w:t>
      </w:r>
      <w:r w:rsidRPr="0042238A">
        <w:rPr>
          <w:rFonts w:eastAsiaTheme="minorHAnsi"/>
          <w:lang w:val="fr-FR" w:eastAsia="en-US"/>
        </w:rPr>
        <w:t> »</w:t>
      </w:r>
      <w:r w:rsidRPr="0042238A">
        <w:rPr>
          <w:rFonts w:eastAsiaTheme="minorHAnsi"/>
          <w:bCs/>
          <w:lang w:val="fr-FR" w:eastAsia="en-US"/>
        </w:rPr>
        <w:t xml:space="preserve"> après « ci</w:t>
      </w:r>
      <w:r w:rsidRPr="0042238A">
        <w:rPr>
          <w:rFonts w:eastAsiaTheme="minorHAnsi"/>
          <w:lang w:val="fr-FR" w:eastAsia="en-US"/>
        </w:rPr>
        <w:t>ternes mobiles métalliques ».</w:t>
      </w:r>
    </w:p>
    <w:p w14:paraId="08622138" w14:textId="77777777" w:rsidR="00CC7A90" w:rsidRPr="0042238A" w:rsidRDefault="00CC7A90" w:rsidP="00CC7A90">
      <w:pPr>
        <w:pStyle w:val="H1G"/>
        <w:rPr>
          <w:lang w:val="fr-FR"/>
        </w:rPr>
      </w:pPr>
      <w:r w:rsidRPr="0042238A">
        <w:rPr>
          <w:lang w:val="fr-FR"/>
        </w:rPr>
        <w:tab/>
      </w:r>
      <w:r w:rsidRPr="0042238A">
        <w:rPr>
          <w:lang w:val="fr-FR"/>
        </w:rPr>
        <w:tab/>
        <w:t>Chapitre 4.3</w:t>
      </w:r>
    </w:p>
    <w:p w14:paraId="37A1096E" w14:textId="77777777" w:rsidR="00CC7A90" w:rsidRPr="00AF0DC5" w:rsidRDefault="00CC7A90" w:rsidP="00CC7A90">
      <w:pPr>
        <w:pStyle w:val="SingleTxtG"/>
        <w:spacing w:before="120"/>
        <w:ind w:left="2268" w:hanging="1134"/>
        <w:rPr>
          <w:iCs/>
          <w:lang w:val="fr-FR"/>
        </w:rPr>
      </w:pPr>
      <w:r w:rsidRPr="00AF0DC5">
        <w:rPr>
          <w:iCs/>
          <w:lang w:val="fr-FR"/>
        </w:rPr>
        <w:t>4.3.1.15</w:t>
      </w:r>
      <w:r w:rsidRPr="00AF0DC5">
        <w:rPr>
          <w:iCs/>
          <w:lang w:val="fr-FR"/>
        </w:rPr>
        <w:tab/>
        <w:t>Remplacer les alinéas a) à i) par les alinéas a) à c) suivants :</w:t>
      </w:r>
    </w:p>
    <w:p w14:paraId="37F3A19F" w14:textId="6877C361" w:rsidR="00CC7A90" w:rsidRPr="0042238A" w:rsidRDefault="00CC7A90" w:rsidP="00CC7A90">
      <w:pPr>
        <w:pStyle w:val="SingleTxtG"/>
        <w:rPr>
          <w:lang w:val="fr-FR"/>
        </w:rPr>
      </w:pPr>
      <w:r w:rsidRPr="00AF0DC5">
        <w:rPr>
          <w:iCs/>
          <w:lang w:val="fr-FR"/>
        </w:rPr>
        <w:t>« a)</w:t>
      </w:r>
      <w:r w:rsidRPr="00AF0DC5">
        <w:rPr>
          <w:iCs/>
          <w:lang w:val="fr-FR"/>
        </w:rPr>
        <w:tab/>
      </w:r>
      <w:r w:rsidRPr="0042238A">
        <w:rPr>
          <w:lang w:val="fr-FR"/>
        </w:rPr>
        <w:t>Les pliures, fissures ou ruptures dans un élément structural ou de soutien</w:t>
      </w:r>
      <w:r w:rsidR="006E6557">
        <w:rPr>
          <w:lang w:val="fr-FR"/>
        </w:rPr>
        <w:t>, ou</w:t>
      </w:r>
      <w:r w:rsidRPr="0042238A">
        <w:rPr>
          <w:lang w:val="fr-FR"/>
        </w:rPr>
        <w:t xml:space="preserve"> tout dommage causé à l’équipement de service ou au matériel d’exploitation</w:t>
      </w:r>
      <w:r w:rsidR="00FC798A">
        <w:rPr>
          <w:lang w:val="fr-FR"/>
        </w:rPr>
        <w:t>,</w:t>
      </w:r>
      <w:r w:rsidRPr="0042238A">
        <w:rPr>
          <w:lang w:val="fr-FR"/>
        </w:rPr>
        <w:t xml:space="preserve"> qui affecte</w:t>
      </w:r>
      <w:r w:rsidR="006E6557">
        <w:rPr>
          <w:lang w:val="fr-FR"/>
        </w:rPr>
        <w:t>nt</w:t>
      </w:r>
      <w:r w:rsidRPr="0042238A">
        <w:rPr>
          <w:lang w:val="fr-FR"/>
        </w:rPr>
        <w:t xml:space="preserve"> l’intégrité du conteneur ;</w:t>
      </w:r>
    </w:p>
    <w:p w14:paraId="188C1061" w14:textId="77777777" w:rsidR="00CC7A90" w:rsidRPr="00AF0DC5" w:rsidRDefault="00CC7A90" w:rsidP="00CC7A90">
      <w:pPr>
        <w:pStyle w:val="SingleTxtG"/>
        <w:rPr>
          <w:lang w:val="fr-FR"/>
        </w:rPr>
      </w:pPr>
      <w:r w:rsidRPr="0042238A">
        <w:rPr>
          <w:lang w:val="fr-FR"/>
        </w:rPr>
        <w:t>b)</w:t>
      </w:r>
      <w:r w:rsidRPr="0042238A">
        <w:rPr>
          <w:lang w:val="fr-FR"/>
        </w:rPr>
        <w:tab/>
      </w:r>
      <w:r w:rsidRPr="00AF0DC5">
        <w:rPr>
          <w:lang w:val="fr-FR"/>
        </w:rPr>
        <w:t xml:space="preserve">Tout désalignement d’ensemble </w:t>
      </w:r>
      <w:r w:rsidRPr="0042238A">
        <w:rPr>
          <w:lang w:val="fr-FR"/>
        </w:rPr>
        <w:t xml:space="preserve">et tout dommage causé aux </w:t>
      </w:r>
      <w:r w:rsidRPr="00AF0DC5">
        <w:rPr>
          <w:lang w:val="fr-FR"/>
        </w:rPr>
        <w:t>attaches de levage ou à l’interface de l’équipement de manutention suffisant pour empêcher le positionnement correct du matériel de manutention, le montage et l’assujettissement sur les châssis ou les véhicules, ou l’insertion dans les cellules du navire, et le cas échéant ;</w:t>
      </w:r>
    </w:p>
    <w:p w14:paraId="505D14E1" w14:textId="77777777" w:rsidR="00CC7A90" w:rsidRPr="00AF0DC5" w:rsidRDefault="00CC7A90" w:rsidP="00CC7A90">
      <w:pPr>
        <w:pStyle w:val="SingleTxtG"/>
        <w:rPr>
          <w:iCs/>
          <w:lang w:val="fr-FR"/>
        </w:rPr>
      </w:pPr>
      <w:r w:rsidRPr="0042238A">
        <w:rPr>
          <w:lang w:val="fr-FR"/>
        </w:rPr>
        <w:t>c)</w:t>
      </w:r>
      <w:r w:rsidRPr="0042238A">
        <w:rPr>
          <w:lang w:val="fr-FR"/>
        </w:rPr>
        <w:tab/>
      </w:r>
      <w:r w:rsidRPr="00AF0DC5">
        <w:rPr>
          <w:lang w:val="fr-FR"/>
        </w:rPr>
        <w:t xml:space="preserve">Les charnières de porte, joints de porte et ferrures </w:t>
      </w:r>
      <w:r w:rsidRPr="0042238A">
        <w:rPr>
          <w:lang w:val="fr-FR"/>
        </w:rPr>
        <w:t>grippés</w:t>
      </w:r>
      <w:r w:rsidRPr="00AF0DC5">
        <w:rPr>
          <w:lang w:val="fr-FR"/>
        </w:rPr>
        <w:t>, tordus, cassés, hors d’usage ou manquants ; ».</w:t>
      </w:r>
    </w:p>
    <w:p w14:paraId="24CAB9A4" w14:textId="77777777" w:rsidR="00CC7A90" w:rsidRPr="00AF0DC5" w:rsidRDefault="00CC7A90" w:rsidP="00CC7A90">
      <w:pPr>
        <w:pStyle w:val="H1G"/>
        <w:rPr>
          <w:lang w:val="fr-FR"/>
        </w:rPr>
      </w:pPr>
      <w:r w:rsidRPr="00AF0DC5">
        <w:rPr>
          <w:lang w:val="fr-FR"/>
        </w:rPr>
        <w:tab/>
      </w:r>
      <w:r w:rsidRPr="00AF0DC5">
        <w:rPr>
          <w:lang w:val="fr-FR"/>
        </w:rPr>
        <w:tab/>
        <w:t>Chapitre 5.1</w:t>
      </w:r>
    </w:p>
    <w:p w14:paraId="10409947" w14:textId="77777777" w:rsidR="00CC7A90" w:rsidRPr="0042238A" w:rsidRDefault="00CC7A90" w:rsidP="00CC7A90">
      <w:pPr>
        <w:pStyle w:val="SingleTxtG"/>
        <w:keepNext/>
        <w:rPr>
          <w:lang w:val="fr-FR"/>
        </w:rPr>
      </w:pPr>
      <w:r w:rsidRPr="0042238A">
        <w:rPr>
          <w:lang w:val="fr-FR"/>
        </w:rPr>
        <w:t>5.1.5.1.3</w:t>
      </w:r>
      <w:r w:rsidRPr="0042238A">
        <w:rPr>
          <w:lang w:val="fr-FR"/>
        </w:rPr>
        <w:tab/>
        <w:t>Modifier pour lire comme suit :</w:t>
      </w:r>
    </w:p>
    <w:p w14:paraId="19450453" w14:textId="77777777" w:rsidR="00CC7A90" w:rsidRPr="00AF0DC5" w:rsidRDefault="00CC7A90" w:rsidP="00CC7A90">
      <w:pPr>
        <w:pStyle w:val="SingleTxtG"/>
        <w:rPr>
          <w:lang w:val="fr-FR"/>
        </w:rPr>
      </w:pPr>
      <w:r w:rsidRPr="00AF0DC5">
        <w:rPr>
          <w:lang w:val="fr-FR"/>
        </w:rPr>
        <w:t>« 5.1.5.1.3</w:t>
      </w:r>
      <w:r w:rsidRPr="00AF0DC5">
        <w:rPr>
          <w:lang w:val="fr-FR"/>
        </w:rPr>
        <w:tab/>
        <w:t>Une autorité compétente peut approuver des dispositions en vertu desquelles les envois qui ne satisfont pas à toutes les prescriptions applicables du présent Règlement peuvent être transportés en application d’un arrangement spécial (voir 1.5.4). ».</w:t>
      </w:r>
    </w:p>
    <w:p w14:paraId="7626C6F3" w14:textId="77777777" w:rsidR="00CC7A90" w:rsidRPr="0042238A" w:rsidRDefault="00CC7A90" w:rsidP="00CC7A90">
      <w:pPr>
        <w:pStyle w:val="H1G"/>
        <w:ind w:left="0" w:firstLine="0"/>
        <w:rPr>
          <w:lang w:val="fr-FR"/>
        </w:rPr>
      </w:pPr>
      <w:r w:rsidRPr="0042238A">
        <w:rPr>
          <w:lang w:val="fr-FR"/>
        </w:rPr>
        <w:tab/>
      </w:r>
      <w:r w:rsidRPr="0042238A">
        <w:rPr>
          <w:lang w:val="fr-FR"/>
        </w:rPr>
        <w:tab/>
        <w:t>Chapitre 5.2</w:t>
      </w:r>
    </w:p>
    <w:p w14:paraId="48AB5209" w14:textId="77777777" w:rsidR="00CC7A90" w:rsidRPr="00AF0DC5" w:rsidRDefault="00CC7A90" w:rsidP="00CC7A90">
      <w:pPr>
        <w:pStyle w:val="SingleTxtG"/>
        <w:spacing w:before="120"/>
        <w:ind w:left="2268" w:hanging="1134"/>
        <w:rPr>
          <w:lang w:val="fr-FR"/>
        </w:rPr>
      </w:pPr>
      <w:r w:rsidRPr="00AF0DC5">
        <w:rPr>
          <w:lang w:val="fr-FR"/>
        </w:rPr>
        <w:t>5.2.1.7.1</w:t>
      </w:r>
      <w:r w:rsidRPr="00AF0DC5">
        <w:rPr>
          <w:lang w:val="fr-FR"/>
        </w:rPr>
        <w:tab/>
        <w:t>Au troisième alinéa, remplacer « récipients cryogéniques » par « récipients cryogéniques fermés ou ouverts ».</w:t>
      </w:r>
    </w:p>
    <w:p w14:paraId="43D021B9" w14:textId="6A099777" w:rsidR="00CC7A90" w:rsidRPr="00AF0DC5" w:rsidRDefault="00CC7A90" w:rsidP="00CC7A90">
      <w:pPr>
        <w:pStyle w:val="SingleTxtG"/>
        <w:spacing w:before="120"/>
        <w:ind w:left="2268" w:hanging="1134"/>
        <w:rPr>
          <w:lang w:val="fr-FR"/>
        </w:rPr>
      </w:pPr>
      <w:r w:rsidRPr="00AF0DC5">
        <w:rPr>
          <w:lang w:val="fr-FR"/>
        </w:rPr>
        <w:t>5.2.1.7.2 a)</w:t>
      </w:r>
      <w:r w:rsidRPr="00AF0DC5">
        <w:rPr>
          <w:lang w:val="fr-FR"/>
        </w:rPr>
        <w:tab/>
        <w:t>Remplacer « récipients cryogéniques » par « récipients cryogéniques fermés ou ouverts ».</w:t>
      </w:r>
    </w:p>
    <w:p w14:paraId="07D7852A" w14:textId="77777777" w:rsidR="000C353D" w:rsidRPr="0042238A" w:rsidRDefault="000C353D" w:rsidP="000C353D">
      <w:pPr>
        <w:pStyle w:val="SingleTxtG"/>
        <w:ind w:left="2268" w:hanging="1134"/>
        <w:rPr>
          <w:rFonts w:eastAsiaTheme="minorHAnsi"/>
          <w:lang w:val="fr-FR" w:eastAsia="en-US"/>
        </w:rPr>
      </w:pPr>
      <w:r w:rsidRPr="0042238A">
        <w:rPr>
          <w:lang w:val="fr-FR" w:eastAsia="en-US"/>
        </w:rPr>
        <w:t>5.2.1.9.2</w:t>
      </w:r>
      <w:r w:rsidRPr="0042238A">
        <w:rPr>
          <w:lang w:val="fr-FR" w:eastAsia="en-US"/>
        </w:rPr>
        <w:tab/>
      </w:r>
      <w:r w:rsidRPr="0042238A">
        <w:rPr>
          <w:rFonts w:eastAsiaTheme="minorHAnsi"/>
          <w:lang w:val="fr-FR" w:eastAsia="en-US"/>
        </w:rPr>
        <w:t>Enlever le double astérisque dans la figure 5.2.5 et supprimer la note correspondant à ce double astérisque sous la figure.</w:t>
      </w:r>
    </w:p>
    <w:p w14:paraId="721C4E02" w14:textId="77777777" w:rsidR="000C353D" w:rsidRPr="0042238A" w:rsidRDefault="000C353D" w:rsidP="000C353D">
      <w:pPr>
        <w:pStyle w:val="SingleTxtG"/>
        <w:tabs>
          <w:tab w:val="left" w:pos="2268"/>
        </w:tabs>
        <w:rPr>
          <w:rFonts w:eastAsiaTheme="minorHAnsi"/>
          <w:lang w:val="fr-FR" w:eastAsia="en-US"/>
        </w:rPr>
      </w:pPr>
      <w:r w:rsidRPr="0042238A">
        <w:rPr>
          <w:rFonts w:eastAsiaTheme="minorHAnsi"/>
          <w:lang w:val="fr-FR" w:eastAsia="en-US"/>
        </w:rPr>
        <w:tab/>
      </w:r>
      <w:r w:rsidRPr="0042238A">
        <w:rPr>
          <w:rFonts w:eastAsiaTheme="minorHAnsi"/>
          <w:lang w:val="fr-FR" w:eastAsia="en-US"/>
        </w:rPr>
        <w:tab/>
        <w:t>À la fin, ajouter un nouveau Nota pour lire comme suit :</w:t>
      </w:r>
    </w:p>
    <w:p w14:paraId="0D04AFC3" w14:textId="05D2055F" w:rsidR="000C353D" w:rsidRPr="0042238A" w:rsidRDefault="000C353D" w:rsidP="000C353D">
      <w:pPr>
        <w:pStyle w:val="SingleTxtG"/>
        <w:tabs>
          <w:tab w:val="left" w:pos="2268"/>
        </w:tabs>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w:t>
      </w:r>
      <w:r w:rsidRPr="0042238A">
        <w:rPr>
          <w:rFonts w:eastAsiaTheme="minorHAnsi"/>
          <w:i/>
          <w:iCs/>
          <w:lang w:val="fr-FR" w:eastAsia="en-US"/>
        </w:rPr>
        <w:tab/>
        <w:t>La marque représentée à la figure 5.2.5 du 5.2.1.9 de la vingt et unième édition révisée des Recommandations relatives au transport des marchandises dangereuses, Règlement type, peut continuer à être appliquée jusqu’au 31 décembre 2026.</w:t>
      </w:r>
      <w:r w:rsidRPr="0042238A">
        <w:rPr>
          <w:rFonts w:eastAsiaTheme="minorHAnsi"/>
          <w:lang w:val="fr-FR" w:eastAsia="en-US"/>
        </w:rPr>
        <w:t> »</w:t>
      </w:r>
    </w:p>
    <w:p w14:paraId="72DF505A" w14:textId="77777777" w:rsidR="00AC1D97" w:rsidRPr="00AF0DC5" w:rsidRDefault="00AC1D97" w:rsidP="00AC1D97">
      <w:pPr>
        <w:pStyle w:val="H1G"/>
        <w:rPr>
          <w:lang w:val="fr-FR" w:eastAsia="en-US"/>
        </w:rPr>
      </w:pPr>
      <w:r w:rsidRPr="0042238A">
        <w:rPr>
          <w:lang w:val="fr-FR" w:eastAsia="en-US"/>
        </w:rPr>
        <w:lastRenderedPageBreak/>
        <w:tab/>
      </w:r>
      <w:r w:rsidRPr="0042238A">
        <w:rPr>
          <w:lang w:val="fr-FR" w:eastAsia="en-US"/>
        </w:rPr>
        <w:tab/>
      </w:r>
      <w:r w:rsidRPr="00AF0DC5">
        <w:rPr>
          <w:lang w:val="fr-FR" w:eastAsia="en-US"/>
        </w:rPr>
        <w:t>Chapitre 5.4</w:t>
      </w:r>
    </w:p>
    <w:p w14:paraId="7C1A88C6" w14:textId="77777777" w:rsidR="00AC1D97" w:rsidRPr="00AF0DC5" w:rsidRDefault="00AC1D97" w:rsidP="00AC1D97">
      <w:pPr>
        <w:tabs>
          <w:tab w:val="left" w:pos="2268"/>
        </w:tabs>
        <w:kinsoku/>
        <w:overflowPunct/>
        <w:autoSpaceDE/>
        <w:autoSpaceDN/>
        <w:adjustRightInd/>
        <w:snapToGrid/>
        <w:spacing w:after="120"/>
        <w:ind w:left="2268" w:right="1134" w:hanging="1134"/>
        <w:jc w:val="both"/>
        <w:rPr>
          <w:lang w:val="fr-FR" w:eastAsia="en-US"/>
        </w:rPr>
      </w:pPr>
      <w:r w:rsidRPr="00AF0DC5">
        <w:rPr>
          <w:lang w:val="fr-FR" w:eastAsia="en-US"/>
        </w:rPr>
        <w:t>5.4.1.4.3</w:t>
      </w:r>
      <w:r w:rsidRPr="00AF0DC5">
        <w:rPr>
          <w:lang w:val="fr-FR" w:eastAsia="en-US"/>
        </w:rPr>
        <w:tab/>
        <w:t>Ajouter le nouvel alinéa d) suivant :</w:t>
      </w:r>
    </w:p>
    <w:p w14:paraId="20FE0C57" w14:textId="77777777" w:rsidR="00AC1D97" w:rsidRPr="00AF0DC5" w:rsidRDefault="00AC1D97" w:rsidP="00AC1D97">
      <w:pPr>
        <w:tabs>
          <w:tab w:val="left" w:pos="2268"/>
        </w:tabs>
        <w:kinsoku/>
        <w:overflowPunct/>
        <w:autoSpaceDE/>
        <w:autoSpaceDN/>
        <w:adjustRightInd/>
        <w:snapToGrid/>
        <w:spacing w:after="120"/>
        <w:ind w:left="1134" w:right="1134"/>
        <w:jc w:val="both"/>
        <w:rPr>
          <w:lang w:val="fr-FR" w:eastAsia="en-US"/>
        </w:rPr>
      </w:pPr>
      <w:r w:rsidRPr="00AF0DC5">
        <w:rPr>
          <w:lang w:val="fr-FR" w:eastAsia="en-US"/>
        </w:rPr>
        <w:t>« d)</w:t>
      </w:r>
      <w:r w:rsidRPr="00AF0DC5">
        <w:rPr>
          <w:lang w:val="fr-FR" w:eastAsia="en-US"/>
        </w:rPr>
        <w:tab/>
        <w:t>Matières fondues : Lorsqu’une matière qui est un solide selon la définition donnée en 1.2.1 est présentée au transport à l’état fondu, il faut ajouter le qualificatif "</w:t>
      </w:r>
      <w:r w:rsidRPr="00AF0DC5">
        <w:rPr>
          <w:b/>
          <w:bCs/>
          <w:lang w:val="fr-FR" w:eastAsia="en-US"/>
        </w:rPr>
        <w:t>FONDU</w:t>
      </w:r>
      <w:r w:rsidRPr="00AF0DC5">
        <w:rPr>
          <w:lang w:val="fr-FR" w:eastAsia="en-US"/>
        </w:rPr>
        <w:t>" dans la désignation officielle de transport, à moins qu’il ne figure déjà dans celle-ci (voir 3.1.2.5) ; »</w:t>
      </w:r>
    </w:p>
    <w:p w14:paraId="4D2C3B8C" w14:textId="77777777" w:rsidR="00AC1D97" w:rsidRPr="00AF0DC5" w:rsidRDefault="00AC1D97" w:rsidP="00AC1D97">
      <w:pPr>
        <w:tabs>
          <w:tab w:val="left" w:pos="2268"/>
        </w:tabs>
        <w:kinsoku/>
        <w:overflowPunct/>
        <w:autoSpaceDE/>
        <w:autoSpaceDN/>
        <w:adjustRightInd/>
        <w:snapToGrid/>
        <w:spacing w:after="120"/>
        <w:ind w:left="2268" w:right="1134" w:hanging="1134"/>
        <w:jc w:val="both"/>
        <w:rPr>
          <w:lang w:val="fr-FR" w:eastAsia="en-US"/>
        </w:rPr>
      </w:pPr>
      <w:r w:rsidRPr="00AF0DC5">
        <w:rPr>
          <w:lang w:val="fr-FR" w:eastAsia="en-US"/>
        </w:rPr>
        <w:tab/>
        <w:t>Renuméroter l’alinéa d) existant en tant que e).</w:t>
      </w:r>
    </w:p>
    <w:p w14:paraId="34F550D0" w14:textId="77777777" w:rsidR="00AC1D97" w:rsidRPr="00AF0DC5" w:rsidRDefault="00AC1D97" w:rsidP="00AC1D97">
      <w:pPr>
        <w:tabs>
          <w:tab w:val="left" w:pos="2268"/>
        </w:tabs>
        <w:kinsoku/>
        <w:overflowPunct/>
        <w:autoSpaceDE/>
        <w:autoSpaceDN/>
        <w:adjustRightInd/>
        <w:snapToGrid/>
        <w:spacing w:after="120"/>
        <w:ind w:left="2268" w:right="1134" w:hanging="1134"/>
        <w:jc w:val="both"/>
        <w:rPr>
          <w:lang w:val="fr-FR" w:eastAsia="en-US"/>
        </w:rPr>
      </w:pPr>
      <w:r w:rsidRPr="00AF0DC5">
        <w:rPr>
          <w:lang w:val="fr-FR" w:eastAsia="en-US"/>
        </w:rPr>
        <w:tab/>
        <w:t>Ajouter le nouvel alinéa f) suivant à la fin :</w:t>
      </w:r>
    </w:p>
    <w:p w14:paraId="422A0511" w14:textId="77777777" w:rsidR="00AC1D97" w:rsidRPr="008F75CD" w:rsidRDefault="00AC1D97" w:rsidP="00AC1D97">
      <w:pPr>
        <w:tabs>
          <w:tab w:val="left" w:pos="2268"/>
        </w:tabs>
        <w:kinsoku/>
        <w:overflowPunct/>
        <w:autoSpaceDE/>
        <w:autoSpaceDN/>
        <w:adjustRightInd/>
        <w:snapToGrid/>
        <w:spacing w:after="120"/>
        <w:ind w:left="1134" w:right="1134"/>
        <w:jc w:val="both"/>
        <w:rPr>
          <w:lang w:val="fr-FR" w:eastAsia="en-US"/>
        </w:rPr>
      </w:pPr>
      <w:r w:rsidRPr="00AF0DC5">
        <w:rPr>
          <w:lang w:val="fr-FR" w:eastAsia="en-US"/>
        </w:rPr>
        <w:t>« f)</w:t>
      </w:r>
      <w:r w:rsidRPr="00AF0DC5">
        <w:rPr>
          <w:lang w:val="fr-FR" w:eastAsia="en-US"/>
        </w:rPr>
        <w:tab/>
        <w:t>Matières stabilisées et matières stabilisées par régulation de température : À moins qu’il ne figure déjà dans la désignation officielle de transport, il faut ajouter le terme "</w:t>
      </w:r>
      <w:r w:rsidRPr="00AF0DC5">
        <w:rPr>
          <w:b/>
          <w:bCs/>
          <w:lang w:val="fr-FR" w:eastAsia="en-US"/>
        </w:rPr>
        <w:t>STABILISÉ</w:t>
      </w:r>
      <w:r w:rsidRPr="00AF0DC5">
        <w:rPr>
          <w:lang w:val="fr-FR" w:eastAsia="en-US"/>
        </w:rPr>
        <w:t>" dans le cas d’une stabilisation, ou les termes "</w:t>
      </w:r>
      <w:r w:rsidRPr="008F75CD">
        <w:rPr>
          <w:b/>
          <w:bCs/>
          <w:lang w:val="fr-FR" w:eastAsia="en-US"/>
        </w:rPr>
        <w:t>AVEC RÉGULATION DE TEMPÉRATURE</w:t>
      </w:r>
      <w:r w:rsidRPr="008F75CD">
        <w:rPr>
          <w:lang w:val="fr-FR" w:eastAsia="en-US"/>
        </w:rPr>
        <w:t>" si la stabilisation se fait par régulation de température ou par stabilisation chimique en combinaison avec la régulation de température (voir 3.1.2.6). »</w:t>
      </w:r>
    </w:p>
    <w:p w14:paraId="6D8F3994" w14:textId="77777777" w:rsidR="00AC1D97" w:rsidRPr="0042238A" w:rsidRDefault="00AC1D97" w:rsidP="00AC1D97">
      <w:pPr>
        <w:kinsoku/>
        <w:overflowPunct/>
        <w:autoSpaceDE/>
        <w:autoSpaceDN/>
        <w:adjustRightInd/>
        <w:snapToGrid/>
        <w:spacing w:after="120"/>
        <w:ind w:left="2268" w:right="1134" w:hanging="1134"/>
        <w:jc w:val="both"/>
        <w:rPr>
          <w:lang w:val="fr-FR" w:eastAsia="en-US"/>
        </w:rPr>
      </w:pPr>
      <w:r w:rsidRPr="0042238A">
        <w:rPr>
          <w:lang w:val="fr-FR" w:eastAsia="en-US"/>
        </w:rPr>
        <w:t>5.4.1.5.3</w:t>
      </w:r>
      <w:r w:rsidRPr="0042238A">
        <w:rPr>
          <w:lang w:val="fr-FR" w:eastAsia="en-US"/>
        </w:rPr>
        <w:tab/>
        <w:t>Modifier le paragraphe sous le titre pour lire comme suit :</w:t>
      </w:r>
    </w:p>
    <w:p w14:paraId="2AA0D269" w14:textId="77777777" w:rsidR="00AC1D97" w:rsidRPr="0042238A" w:rsidRDefault="00AC1D97" w:rsidP="00AC1D97">
      <w:pPr>
        <w:kinsoku/>
        <w:overflowPunct/>
        <w:autoSpaceDE/>
        <w:autoSpaceDN/>
        <w:adjustRightInd/>
        <w:snapToGrid/>
        <w:spacing w:after="120"/>
        <w:ind w:left="1134" w:right="1134"/>
        <w:jc w:val="both"/>
        <w:rPr>
          <w:lang w:val="fr-FR" w:eastAsia="en-US"/>
        </w:rPr>
      </w:pPr>
      <w:r w:rsidRPr="0042238A">
        <w:rPr>
          <w:lang w:val="fr-FR" w:eastAsia="en-US"/>
        </w:rPr>
        <w:t>« Pour les marchandises dangereuses qui sont transportées dans un emballage de secours conformément au 4.1.1.18, y compris dans un grand emballage de secours, des emballages de plus grande dimension ou des grands emballages d’un type et d’un niveau d’épreuve appropriés, les mots "</w:t>
      </w:r>
      <w:r w:rsidRPr="008F75CD">
        <w:rPr>
          <w:b/>
          <w:bCs/>
          <w:lang w:val="fr-FR" w:eastAsia="en-US"/>
        </w:rPr>
        <w:t>EMBALLAGE DE SECOURS</w:t>
      </w:r>
      <w:r w:rsidRPr="0042238A">
        <w:rPr>
          <w:lang w:val="fr-FR" w:eastAsia="en-US"/>
        </w:rPr>
        <w:t>" doivent être ajoutés.</w:t>
      </w:r>
    </w:p>
    <w:p w14:paraId="76B4D27E" w14:textId="77777777" w:rsidR="00AC1D97" w:rsidRPr="0042238A" w:rsidRDefault="00AC1D97" w:rsidP="00AC1D97">
      <w:pPr>
        <w:kinsoku/>
        <w:overflowPunct/>
        <w:autoSpaceDE/>
        <w:autoSpaceDN/>
        <w:adjustRightInd/>
        <w:snapToGrid/>
        <w:spacing w:after="120"/>
        <w:ind w:left="1134" w:right="1134"/>
        <w:jc w:val="both"/>
        <w:rPr>
          <w:lang w:val="fr-FR" w:eastAsia="en-US"/>
        </w:rPr>
      </w:pPr>
      <w:r w:rsidRPr="0042238A">
        <w:rPr>
          <w:lang w:val="fr-FR" w:eastAsia="en-US"/>
        </w:rPr>
        <w:t>Pour les marchandises dangereuses qui sont transportées dans un récipient à pression de secours conformément au 4.1.1.19, les mots "</w:t>
      </w:r>
      <w:r w:rsidRPr="008F75CD">
        <w:rPr>
          <w:b/>
          <w:bCs/>
          <w:lang w:val="fr-FR" w:eastAsia="en-US"/>
        </w:rPr>
        <w:t>RÉCIPIENT À PRESSION DE SECOURS</w:t>
      </w:r>
      <w:r w:rsidRPr="0042238A">
        <w:rPr>
          <w:lang w:val="fr-FR" w:eastAsia="en-US"/>
        </w:rPr>
        <w:t>" doivent être ajoutés. ».</w:t>
      </w:r>
    </w:p>
    <w:p w14:paraId="12B70191" w14:textId="77777777" w:rsidR="00AC1D97" w:rsidRPr="008F75CD" w:rsidRDefault="00AC1D97" w:rsidP="00AC1D97">
      <w:pPr>
        <w:tabs>
          <w:tab w:val="left" w:pos="2268"/>
        </w:tabs>
        <w:kinsoku/>
        <w:overflowPunct/>
        <w:autoSpaceDE/>
        <w:autoSpaceDN/>
        <w:adjustRightInd/>
        <w:snapToGrid/>
        <w:spacing w:after="120"/>
        <w:ind w:left="2268" w:right="1134" w:hanging="1134"/>
        <w:jc w:val="both"/>
        <w:rPr>
          <w:lang w:val="fr-FR" w:eastAsia="en-US"/>
        </w:rPr>
      </w:pPr>
      <w:r w:rsidRPr="008F75CD">
        <w:rPr>
          <w:lang w:val="fr-FR" w:eastAsia="en-US"/>
        </w:rPr>
        <w:t>5.4.1.5.4</w:t>
      </w:r>
      <w:r w:rsidRPr="008F75CD">
        <w:rPr>
          <w:lang w:val="fr-FR" w:eastAsia="en-US"/>
        </w:rPr>
        <w:tab/>
        <w:t>Remplacer « Si le mot "</w:t>
      </w:r>
      <w:r w:rsidRPr="008F75CD">
        <w:rPr>
          <w:b/>
          <w:bCs/>
          <w:lang w:val="fr-FR" w:eastAsia="en-US"/>
        </w:rPr>
        <w:t>STABILISÉ</w:t>
      </w:r>
      <w:r w:rsidRPr="008F75CD">
        <w:rPr>
          <w:lang w:val="fr-FR" w:eastAsia="en-US"/>
        </w:rPr>
        <w:t>" fait partie de » par « Si les mots "</w:t>
      </w:r>
      <w:r w:rsidRPr="008F75CD">
        <w:rPr>
          <w:b/>
          <w:bCs/>
          <w:lang w:val="fr-FR" w:eastAsia="en-US"/>
        </w:rPr>
        <w:t>AVEC RÉGULATION DE TEMPÉRATURE</w:t>
      </w:r>
      <w:r w:rsidRPr="008F75CD">
        <w:rPr>
          <w:lang w:val="fr-FR" w:eastAsia="en-US"/>
        </w:rPr>
        <w:t>" font partie de ». Supprimer « lorsque la stabilisation est obtenue par régulation de température, ».</w:t>
      </w:r>
    </w:p>
    <w:p w14:paraId="2112F4CC" w14:textId="77777777" w:rsidR="00AC1D97" w:rsidRPr="0042238A" w:rsidRDefault="00AC1D97" w:rsidP="00AC1D97">
      <w:pPr>
        <w:kinsoku/>
        <w:overflowPunct/>
        <w:autoSpaceDE/>
        <w:autoSpaceDN/>
        <w:adjustRightInd/>
        <w:snapToGrid/>
        <w:spacing w:after="120"/>
        <w:ind w:left="2268" w:right="1134" w:hanging="1134"/>
        <w:jc w:val="both"/>
        <w:rPr>
          <w:lang w:val="fr-FR" w:eastAsia="en-US"/>
        </w:rPr>
      </w:pPr>
      <w:r w:rsidRPr="0042238A">
        <w:rPr>
          <w:lang w:val="fr-FR" w:eastAsia="en-US"/>
        </w:rPr>
        <w:t>5.4.1.5.12</w:t>
      </w:r>
      <w:r w:rsidRPr="0042238A">
        <w:rPr>
          <w:lang w:val="fr-FR" w:eastAsia="en-US"/>
        </w:rPr>
        <w:tab/>
        <w:t>Modifier pour lire comme suit :</w:t>
      </w:r>
    </w:p>
    <w:p w14:paraId="6F45F68C" w14:textId="77777777" w:rsidR="00AC1D97" w:rsidRPr="0042238A" w:rsidRDefault="00AC1D97" w:rsidP="00AC1D97">
      <w:pPr>
        <w:kinsoku/>
        <w:overflowPunct/>
        <w:autoSpaceDE/>
        <w:autoSpaceDN/>
        <w:adjustRightInd/>
        <w:snapToGrid/>
        <w:spacing w:after="120"/>
        <w:ind w:left="1134" w:right="1134"/>
        <w:jc w:val="both"/>
        <w:rPr>
          <w:lang w:val="fr-FR" w:eastAsia="en-US"/>
        </w:rPr>
      </w:pPr>
      <w:r w:rsidRPr="0042238A">
        <w:rPr>
          <w:lang w:val="fr-FR" w:eastAsia="en-US"/>
        </w:rPr>
        <w:t>« 5.4.1.5.12</w:t>
      </w:r>
      <w:r w:rsidRPr="0042238A">
        <w:rPr>
          <w:lang w:val="fr-FR" w:eastAsia="en-US"/>
        </w:rPr>
        <w:tab/>
      </w:r>
      <w:r w:rsidRPr="0042238A">
        <w:rPr>
          <w:i/>
          <w:iCs/>
          <w:lang w:val="fr-FR" w:eastAsia="en-US"/>
        </w:rPr>
        <w:t>Rubriques supplémentaires en cas d’application de dispositions spéciales</w:t>
      </w:r>
    </w:p>
    <w:p w14:paraId="6A103ACA" w14:textId="77777777" w:rsidR="00AC1D97" w:rsidRPr="0042238A" w:rsidRDefault="00AC1D97" w:rsidP="00AC1D97">
      <w:pPr>
        <w:tabs>
          <w:tab w:val="left" w:pos="1134"/>
        </w:tabs>
        <w:kinsoku/>
        <w:overflowPunct/>
        <w:autoSpaceDE/>
        <w:autoSpaceDN/>
        <w:adjustRightInd/>
        <w:snapToGrid/>
        <w:spacing w:after="120"/>
        <w:ind w:left="1134" w:right="1134"/>
        <w:jc w:val="both"/>
        <w:rPr>
          <w:lang w:val="fr-FR" w:eastAsia="en-US"/>
        </w:rPr>
      </w:pPr>
      <w:r w:rsidRPr="0042238A">
        <w:rPr>
          <w:lang w:val="fr-FR" w:eastAsia="en-US"/>
        </w:rPr>
        <w:tab/>
        <w:t>Lorsque, conformément à une disposition spéciale du chapitre 3.3, des informations supplémentaires sont nécessaires, ces informations doivent figurer dans le document de transport de marchandises dangereuses. ».</w:t>
      </w:r>
    </w:p>
    <w:p w14:paraId="3225FBCF" w14:textId="77777777" w:rsidR="006B287B" w:rsidRPr="008F75CD" w:rsidRDefault="006B287B" w:rsidP="006B287B">
      <w:pPr>
        <w:pStyle w:val="H1G"/>
        <w:rPr>
          <w:lang w:val="fr-FR" w:eastAsia="en-US"/>
        </w:rPr>
      </w:pPr>
      <w:r w:rsidRPr="0042238A">
        <w:rPr>
          <w:lang w:val="fr-FR" w:eastAsia="en-US"/>
        </w:rPr>
        <w:tab/>
      </w:r>
      <w:r w:rsidRPr="0042238A">
        <w:rPr>
          <w:lang w:val="fr-FR" w:eastAsia="en-US"/>
        </w:rPr>
        <w:tab/>
      </w:r>
      <w:r w:rsidRPr="008F75CD">
        <w:rPr>
          <w:lang w:val="fr-FR" w:eastAsia="en-US"/>
        </w:rPr>
        <w:t>Chapitre 6.1</w:t>
      </w:r>
    </w:p>
    <w:p w14:paraId="7639F502" w14:textId="77777777" w:rsidR="006B287B" w:rsidRPr="0042238A" w:rsidRDefault="006B287B" w:rsidP="006B287B">
      <w:pPr>
        <w:pStyle w:val="SingleTxtG"/>
        <w:ind w:left="2268" w:hanging="1134"/>
        <w:rPr>
          <w:rFonts w:eastAsiaTheme="minorHAnsi"/>
          <w:lang w:val="fr-FR" w:eastAsia="en-US"/>
        </w:rPr>
      </w:pPr>
      <w:r w:rsidRPr="0042238A">
        <w:rPr>
          <w:lang w:val="fr-FR" w:eastAsia="en-US"/>
        </w:rPr>
        <w:t>6.1.1.2</w:t>
      </w:r>
      <w:r w:rsidRPr="0042238A">
        <w:rPr>
          <w:lang w:val="fr-FR" w:eastAsia="en-US"/>
        </w:rPr>
        <w:tab/>
      </w:r>
      <w:r w:rsidRPr="0042238A">
        <w:rPr>
          <w:lang w:val="fr-FR" w:eastAsia="en-US"/>
        </w:rPr>
        <w:tab/>
      </w:r>
      <w:r w:rsidRPr="0042238A">
        <w:rPr>
          <w:rFonts w:eastAsiaTheme="minorHAnsi"/>
          <w:lang w:val="fr-FR" w:eastAsia="en-US"/>
        </w:rPr>
        <w:t>Dans la deuxième phrase, remplacer « aux épreuves décrites » par « aux prescriptions décrites. ».</w:t>
      </w:r>
    </w:p>
    <w:p w14:paraId="515ECD3E" w14:textId="77777777" w:rsidR="006B287B" w:rsidRPr="008F75CD" w:rsidRDefault="006B287B" w:rsidP="006B287B">
      <w:pPr>
        <w:tabs>
          <w:tab w:val="left" w:pos="2268"/>
        </w:tabs>
        <w:kinsoku/>
        <w:overflowPunct/>
        <w:autoSpaceDE/>
        <w:autoSpaceDN/>
        <w:adjustRightInd/>
        <w:snapToGrid/>
        <w:spacing w:after="120"/>
        <w:ind w:left="2268" w:right="1134" w:hanging="1134"/>
        <w:jc w:val="both"/>
        <w:rPr>
          <w:lang w:val="fr-FR" w:eastAsia="en-US"/>
        </w:rPr>
      </w:pPr>
      <w:r w:rsidRPr="008F75CD">
        <w:rPr>
          <w:lang w:val="fr-FR" w:eastAsia="en-US"/>
        </w:rPr>
        <w:t>6.1.1.4</w:t>
      </w:r>
      <w:r w:rsidRPr="008F75CD">
        <w:rPr>
          <w:lang w:val="fr-FR" w:eastAsia="en-US"/>
        </w:rPr>
        <w:tab/>
        <w:t>Dans le Nota, remplacer « ISO 16106:2006 » par « ISO 16106:2020 » et modifier le titre de la norme pour lire « Emballages de transport pour marchandises dangereuses – Emballages pour marchandises dangereuses, grands récipients pour vrac (GRV) et grands emballages – Lignes directrices pour l’application de la norme ISO. ».</w:t>
      </w:r>
    </w:p>
    <w:p w14:paraId="02F4FE97" w14:textId="77777777" w:rsidR="00CC7A90" w:rsidRPr="0042238A" w:rsidRDefault="00CC7A90" w:rsidP="00CC7A90">
      <w:pPr>
        <w:pStyle w:val="H1G"/>
        <w:rPr>
          <w:lang w:val="fr-FR"/>
        </w:rPr>
      </w:pPr>
      <w:r w:rsidRPr="0042238A">
        <w:rPr>
          <w:lang w:val="fr-FR"/>
        </w:rPr>
        <w:tab/>
      </w:r>
      <w:r w:rsidRPr="0042238A">
        <w:rPr>
          <w:lang w:val="fr-FR"/>
        </w:rPr>
        <w:tab/>
        <w:t>Chapitre 6.2</w:t>
      </w:r>
    </w:p>
    <w:p w14:paraId="0BD7904B" w14:textId="77777777" w:rsidR="00CC7A90" w:rsidRPr="008F75CD" w:rsidRDefault="00CC7A90" w:rsidP="00CC7A90">
      <w:pPr>
        <w:pStyle w:val="SingleTxtG"/>
        <w:spacing w:before="120"/>
        <w:ind w:left="2268" w:hanging="1134"/>
        <w:rPr>
          <w:lang w:val="fr-FR"/>
        </w:rPr>
      </w:pPr>
      <w:r w:rsidRPr="008F75CD">
        <w:rPr>
          <w:lang w:val="fr-FR"/>
        </w:rPr>
        <w:t>6.2.1.1.1</w:t>
      </w:r>
      <w:r w:rsidRPr="008F75CD">
        <w:rPr>
          <w:lang w:val="fr-FR"/>
        </w:rPr>
        <w:tab/>
        <w:t>Après « Les récipients à pression », supprimer « et leurs fermetures ». À la fin de la phrase, remplacer « en cours de transport » par « en cours de transport et d’utilisation prévue ».</w:t>
      </w:r>
    </w:p>
    <w:p w14:paraId="649D2441" w14:textId="77777777" w:rsidR="00CC7A90" w:rsidRPr="008F75CD" w:rsidRDefault="00CC7A90" w:rsidP="00CC7A90">
      <w:pPr>
        <w:pStyle w:val="SingleTxtG"/>
        <w:spacing w:before="120"/>
        <w:ind w:left="2268" w:hanging="1134"/>
        <w:rPr>
          <w:lang w:val="fr-FR"/>
        </w:rPr>
      </w:pPr>
      <w:r w:rsidRPr="008F75CD">
        <w:rPr>
          <w:lang w:val="fr-FR"/>
        </w:rPr>
        <w:t>6.2.1.1.4</w:t>
      </w:r>
      <w:r w:rsidRPr="008F75CD">
        <w:rPr>
          <w:lang w:val="fr-FR"/>
        </w:rPr>
        <w:tab/>
        <w:t>À la fin de la phrase, remplacer « employer » par « souder ».</w:t>
      </w:r>
    </w:p>
    <w:p w14:paraId="3007E0E5" w14:textId="77777777" w:rsidR="00CC7A90" w:rsidRPr="008F75CD" w:rsidRDefault="00CC7A90" w:rsidP="00CC7A90">
      <w:pPr>
        <w:pStyle w:val="SingleTxtG"/>
        <w:spacing w:before="120"/>
        <w:ind w:left="2268" w:hanging="1134"/>
        <w:rPr>
          <w:lang w:val="fr-FR"/>
        </w:rPr>
      </w:pPr>
      <w:r w:rsidRPr="008F75CD">
        <w:rPr>
          <w:lang w:val="fr-FR"/>
        </w:rPr>
        <w:t>6.2.1.1.5</w:t>
      </w:r>
      <w:r w:rsidRPr="008F75CD">
        <w:rPr>
          <w:lang w:val="fr-FR"/>
        </w:rPr>
        <w:tab/>
        <w:t xml:space="preserve">Dans la première phrase, remplacer « les bouteilles, les tubes, les fûts à pression » par « les enveloppes de récipients à pression ». </w:t>
      </w:r>
    </w:p>
    <w:p w14:paraId="394B78C0" w14:textId="77777777" w:rsidR="00CC7A90" w:rsidRPr="008F75CD" w:rsidRDefault="00CC7A90" w:rsidP="00CC7A90">
      <w:pPr>
        <w:pStyle w:val="SingleTxtG"/>
        <w:spacing w:before="120"/>
        <w:ind w:left="2268"/>
        <w:rPr>
          <w:lang w:val="fr-FR"/>
        </w:rPr>
      </w:pPr>
      <w:r w:rsidRPr="008F75CD">
        <w:rPr>
          <w:lang w:val="fr-FR"/>
        </w:rPr>
        <w:lastRenderedPageBreak/>
        <w:t>Dans la dernière phrase, avant « la bouteille pour un gaz adsorbé », ajouter « l’enveloppe de ».</w:t>
      </w:r>
    </w:p>
    <w:p w14:paraId="5FA4B0D5" w14:textId="77777777" w:rsidR="00CC7A90" w:rsidRPr="008F75CD" w:rsidRDefault="00CC7A90" w:rsidP="00CC7A90">
      <w:pPr>
        <w:pStyle w:val="SingleTxtG"/>
        <w:spacing w:before="120"/>
        <w:ind w:left="2268" w:hanging="1134"/>
        <w:rPr>
          <w:lang w:val="fr-FR"/>
        </w:rPr>
      </w:pPr>
      <w:r w:rsidRPr="008F75CD">
        <w:rPr>
          <w:lang w:val="fr-FR"/>
        </w:rPr>
        <w:t>6.2.1.1.6</w:t>
      </w:r>
      <w:r w:rsidRPr="008F75CD">
        <w:rPr>
          <w:lang w:val="fr-FR"/>
        </w:rPr>
        <w:tab/>
        <w:t xml:space="preserve">Remplacer « Les récipients à pression assemblés dans un cadre doivent être soutenus par une structure et reliés ensemble de façon à former une unité. Ils doivent être fixés... » par « Les bouteilles ou enveloppes de bouteilles assemblées dans un cadre doivent être soutenues par une structure et reliées ensemble de façon à former une unité. Elles doivent être fixées... ». </w:t>
      </w:r>
    </w:p>
    <w:p w14:paraId="4C20C148" w14:textId="77777777" w:rsidR="00CC7A90" w:rsidRPr="0042238A" w:rsidRDefault="00CC7A90" w:rsidP="00CC7A90">
      <w:pPr>
        <w:pStyle w:val="SingleTxtG"/>
        <w:spacing w:before="120"/>
        <w:ind w:left="2268"/>
        <w:rPr>
          <w:lang w:val="fr-FR"/>
        </w:rPr>
      </w:pPr>
      <w:r w:rsidRPr="008F75CD">
        <w:rPr>
          <w:lang w:val="fr-FR"/>
        </w:rPr>
        <w:t>Dans la dernière phrase, remplacer « chaque récipient à pression doit être</w:t>
      </w:r>
      <w:r w:rsidRPr="0042238A">
        <w:rPr>
          <w:lang w:val="fr-FR"/>
        </w:rPr>
        <w:t xml:space="preserve"> muni » par « chaque enveloppe de bouteille doit être munie », « chaque récipient à pression puisse être rempli » par « chaque bouteille puisse être remplie » et « puisse se produire entre les récipients à pression » par « ne puisse se produire entre les bouteilles ».</w:t>
      </w:r>
    </w:p>
    <w:p w14:paraId="685DC63D" w14:textId="77777777" w:rsidR="00CC7A90" w:rsidRPr="008F75CD" w:rsidRDefault="00CC7A90" w:rsidP="00CC7A90">
      <w:pPr>
        <w:pStyle w:val="SingleTxtG"/>
        <w:spacing w:before="120"/>
        <w:ind w:left="2268" w:hanging="1134"/>
        <w:rPr>
          <w:lang w:val="fr-FR"/>
        </w:rPr>
      </w:pPr>
      <w:r w:rsidRPr="008F75CD">
        <w:rPr>
          <w:lang w:val="fr-FR"/>
        </w:rPr>
        <w:t>6.2.1.1.8.2</w:t>
      </w:r>
      <w:r w:rsidRPr="008F75CD">
        <w:rPr>
          <w:lang w:val="fr-FR"/>
        </w:rPr>
        <w:tab/>
        <w:t xml:space="preserve">Dans la troisième phrase, remplacer « la paroi du récipient à pression » par « le réservoir intérieur ». </w:t>
      </w:r>
    </w:p>
    <w:p w14:paraId="708AF656" w14:textId="77777777" w:rsidR="00CC7A90" w:rsidRPr="008F75CD" w:rsidRDefault="00CC7A90" w:rsidP="00CC7A90">
      <w:pPr>
        <w:pStyle w:val="SingleTxtG"/>
        <w:spacing w:before="120"/>
        <w:ind w:left="2268"/>
        <w:rPr>
          <w:lang w:val="fr-FR"/>
        </w:rPr>
      </w:pPr>
      <w:r w:rsidRPr="008F75CD">
        <w:rPr>
          <w:lang w:val="fr-FR"/>
        </w:rPr>
        <w:t>Dans la quatrième phrase, remplacer « récipient à pression » par « réservoir intérieur » et, à la fin, remplacer « organes » par « équipements de service ».</w:t>
      </w:r>
    </w:p>
    <w:p w14:paraId="4918EDC9" w14:textId="77777777" w:rsidR="00CC7A90" w:rsidRPr="008F75CD" w:rsidRDefault="00CC7A90" w:rsidP="00CC7A90">
      <w:pPr>
        <w:pStyle w:val="SingleTxtG"/>
        <w:spacing w:before="120"/>
        <w:ind w:left="2268" w:hanging="1134"/>
        <w:rPr>
          <w:lang w:val="fr-FR"/>
        </w:rPr>
      </w:pPr>
      <w:r w:rsidRPr="008F75CD">
        <w:rPr>
          <w:lang w:val="fr-FR"/>
        </w:rPr>
        <w:t>6.2.1.1.9</w:t>
      </w:r>
      <w:r w:rsidRPr="008F75CD">
        <w:rPr>
          <w:lang w:val="fr-FR"/>
        </w:rPr>
        <w:tab/>
        <w:t xml:space="preserve">À la fin du titre, remplacer « récipients à pression pour le transport de l’acétylène » par « bouteilles d’acétylène ». </w:t>
      </w:r>
    </w:p>
    <w:p w14:paraId="5C671395" w14:textId="77777777" w:rsidR="00CC7A90" w:rsidRPr="008F75CD" w:rsidRDefault="00CC7A90" w:rsidP="00CC7A90">
      <w:pPr>
        <w:pStyle w:val="SingleTxtG"/>
        <w:spacing w:before="120"/>
        <w:ind w:left="2268"/>
        <w:rPr>
          <w:lang w:val="fr-FR"/>
        </w:rPr>
      </w:pPr>
      <w:r w:rsidRPr="008F75CD">
        <w:rPr>
          <w:lang w:val="fr-FR"/>
        </w:rPr>
        <w:t xml:space="preserve">Dans la première phrase, remplacer « récipients à pression » par « enveloppes de bouteilles ». </w:t>
      </w:r>
    </w:p>
    <w:p w14:paraId="7967139E" w14:textId="77777777" w:rsidR="00CC7A90" w:rsidRPr="008F75CD" w:rsidRDefault="00CC7A90" w:rsidP="00CC7A90">
      <w:pPr>
        <w:pStyle w:val="SingleTxtG"/>
        <w:spacing w:before="120"/>
        <w:ind w:left="2268"/>
        <w:rPr>
          <w:lang w:val="fr-FR"/>
        </w:rPr>
      </w:pPr>
      <w:r w:rsidRPr="008F75CD">
        <w:rPr>
          <w:lang w:val="fr-FR"/>
        </w:rPr>
        <w:t xml:space="preserve">À l’alinéa a), remplacer « le récipient à pression » par « l’enveloppe de bouteille ». </w:t>
      </w:r>
    </w:p>
    <w:p w14:paraId="02688219" w14:textId="77777777" w:rsidR="00CC7A90" w:rsidRPr="008F75CD" w:rsidRDefault="00CC7A90" w:rsidP="00CC7A90">
      <w:pPr>
        <w:pStyle w:val="SingleTxtG"/>
        <w:spacing w:before="120"/>
        <w:ind w:left="2268"/>
        <w:rPr>
          <w:lang w:val="fr-FR"/>
        </w:rPr>
      </w:pPr>
      <w:r w:rsidRPr="008F75CD">
        <w:rPr>
          <w:lang w:val="fr-FR"/>
        </w:rPr>
        <w:t>Dans la dernière phrase, remplacer « compatible avec le récipient à pression » par « compatible avec les parties de la bouteille qui se trouvent en contact avec lui ».</w:t>
      </w:r>
    </w:p>
    <w:p w14:paraId="6A9CC0CB" w14:textId="77777777" w:rsidR="00CC7A90" w:rsidRPr="008F75CD" w:rsidRDefault="00CC7A90" w:rsidP="00CC7A90">
      <w:pPr>
        <w:pStyle w:val="SingleTxtG"/>
        <w:spacing w:before="120"/>
        <w:ind w:left="2268" w:hanging="1134"/>
        <w:rPr>
          <w:lang w:val="fr-FR"/>
        </w:rPr>
      </w:pPr>
      <w:r w:rsidRPr="008F75CD">
        <w:rPr>
          <w:lang w:val="fr-FR"/>
        </w:rPr>
        <w:t>6.2.1.2.1</w:t>
      </w:r>
      <w:r w:rsidRPr="008F75CD">
        <w:rPr>
          <w:lang w:val="fr-FR"/>
        </w:rPr>
        <w:tab/>
        <w:t>Après « des récipients à pression », supprimer « et de leurs fermetures ».</w:t>
      </w:r>
    </w:p>
    <w:p w14:paraId="1A052274" w14:textId="77777777" w:rsidR="00CC7A90" w:rsidRPr="008F75CD" w:rsidRDefault="00CC7A90" w:rsidP="00CC7A90">
      <w:pPr>
        <w:pStyle w:val="SingleTxtG"/>
        <w:spacing w:before="120"/>
        <w:ind w:left="2268" w:hanging="1134"/>
        <w:rPr>
          <w:lang w:val="fr-FR"/>
        </w:rPr>
      </w:pPr>
      <w:r w:rsidRPr="008F75CD">
        <w:rPr>
          <w:lang w:val="fr-FR"/>
        </w:rPr>
        <w:t>6.2.1.2.2</w:t>
      </w:r>
      <w:r w:rsidRPr="008F75CD">
        <w:rPr>
          <w:lang w:val="fr-FR"/>
        </w:rPr>
        <w:tab/>
        <w:t>Au début de la première phrase, après « récipients à pression », supprimer « et leurs fermetures ».</w:t>
      </w:r>
    </w:p>
    <w:p w14:paraId="0393C397" w14:textId="77777777" w:rsidR="00CC7A90" w:rsidRPr="008F75CD" w:rsidRDefault="00CC7A90" w:rsidP="00CC7A90">
      <w:pPr>
        <w:pStyle w:val="SingleTxtG"/>
        <w:spacing w:before="120"/>
        <w:ind w:left="2268" w:hanging="1134"/>
        <w:rPr>
          <w:lang w:val="fr-FR"/>
        </w:rPr>
      </w:pPr>
      <w:r w:rsidRPr="008F75CD">
        <w:rPr>
          <w:lang w:val="fr-FR"/>
        </w:rPr>
        <w:t>6.2.1.3.1</w:t>
      </w:r>
      <w:r w:rsidRPr="008F75CD">
        <w:rPr>
          <w:lang w:val="fr-FR"/>
        </w:rPr>
        <w:tab/>
        <w:t xml:space="preserve">Remplacer « robinets, tubulures, organes et équipements » par « équipements de service » et « à l’exception des dispositifs de décompression » par « à l’exception des matières poreuses, absorbantes ou </w:t>
      </w:r>
      <w:proofErr w:type="spellStart"/>
      <w:r w:rsidRPr="008F75CD">
        <w:rPr>
          <w:lang w:val="fr-FR"/>
        </w:rPr>
        <w:t>adsorbantes</w:t>
      </w:r>
      <w:proofErr w:type="spellEnd"/>
      <w:r w:rsidRPr="008F75CD">
        <w:rPr>
          <w:lang w:val="fr-FR"/>
        </w:rPr>
        <w:t>, des dispositifs de décompression, des manomètres et des jauges de niveau ».</w:t>
      </w:r>
    </w:p>
    <w:p w14:paraId="1822F066" w14:textId="77777777" w:rsidR="00CC7A90" w:rsidRPr="008F75CD" w:rsidRDefault="00CC7A90" w:rsidP="00CC7A90">
      <w:pPr>
        <w:pStyle w:val="SingleTxtG"/>
        <w:spacing w:before="120"/>
        <w:ind w:left="2268" w:hanging="1134"/>
        <w:rPr>
          <w:lang w:val="fr-FR"/>
        </w:rPr>
      </w:pPr>
      <w:r w:rsidRPr="008F75CD">
        <w:rPr>
          <w:lang w:val="fr-FR"/>
        </w:rPr>
        <w:t>6.2.1.3.2</w:t>
      </w:r>
      <w:r w:rsidRPr="008F75CD">
        <w:rPr>
          <w:lang w:val="fr-FR"/>
        </w:rPr>
        <w:tab/>
        <w:t>Modifier pour lire comme suit :</w:t>
      </w:r>
    </w:p>
    <w:p w14:paraId="0F6D3A05" w14:textId="77777777" w:rsidR="00CC7A90" w:rsidRPr="008F75CD" w:rsidRDefault="00CC7A90" w:rsidP="00CC7A90">
      <w:pPr>
        <w:pStyle w:val="SingleTxtG"/>
        <w:rPr>
          <w:lang w:val="fr-FR"/>
        </w:rPr>
      </w:pPr>
      <w:r w:rsidRPr="008F75CD">
        <w:rPr>
          <w:lang w:val="fr-FR"/>
        </w:rPr>
        <w:t>« 6.2.1.3.2</w:t>
      </w:r>
      <w:r w:rsidRPr="008F75CD">
        <w:rPr>
          <w:lang w:val="fr-FR"/>
        </w:rPr>
        <w:tab/>
        <w:t>L’équipement de service doit être disposé ou conçu de façon à empêcher toute avarie ou toute ouverture intempestive risquant de se traduire par la fuite du contenu du récipient en conditions normales de manutention ou de transport. Toutes les fermetures doivent être protégées de la même manière que ce qui est prescrit pour les robinets au paragraphe 4.1.6.1.8. Les parties du tuyau collecteur raccordées aux obturateurs doivent être suffisamment souples pour protéger les robinets et la tuyauterie contre une rupture par cisaillement ou une libération du contenu du récipient à pression. ».</w:t>
      </w:r>
    </w:p>
    <w:p w14:paraId="77675FF9" w14:textId="77777777" w:rsidR="00CC7A90" w:rsidRPr="0042238A" w:rsidRDefault="00CC7A90" w:rsidP="00CC7A90">
      <w:pPr>
        <w:pStyle w:val="SingleTxtG"/>
        <w:spacing w:before="120"/>
        <w:ind w:left="2268" w:hanging="1134"/>
        <w:rPr>
          <w:lang w:val="fr-FR"/>
        </w:rPr>
      </w:pPr>
      <w:r w:rsidRPr="0042238A">
        <w:rPr>
          <w:lang w:val="fr-FR"/>
        </w:rPr>
        <w:t>6.2.1.3.3</w:t>
      </w:r>
      <w:r w:rsidRPr="0042238A">
        <w:rPr>
          <w:lang w:val="fr-FR"/>
        </w:rPr>
        <w:tab/>
        <w:t>Remplacer « doivent être équipé de dispositifs » par « doivent être équipé de dispositifs de manutention ».</w:t>
      </w:r>
    </w:p>
    <w:p w14:paraId="637AB018" w14:textId="77777777" w:rsidR="00CC7A90" w:rsidRPr="008F75CD" w:rsidRDefault="00CC7A90" w:rsidP="00CC7A90">
      <w:pPr>
        <w:pStyle w:val="SingleTxtG"/>
        <w:spacing w:before="120"/>
        <w:ind w:left="2268" w:hanging="1134"/>
        <w:rPr>
          <w:lang w:val="fr-FR"/>
        </w:rPr>
      </w:pPr>
      <w:r w:rsidRPr="0042238A">
        <w:rPr>
          <w:lang w:val="fr-FR"/>
        </w:rPr>
        <w:t>6.2.1.4.1</w:t>
      </w:r>
      <w:r w:rsidRPr="0042238A">
        <w:rPr>
          <w:lang w:val="fr-FR"/>
        </w:rPr>
        <w:tab/>
        <w:t>Supprimer la deuxième phrase, commençant par « Les récipients à pression ».</w:t>
      </w:r>
    </w:p>
    <w:p w14:paraId="607CB76C" w14:textId="77777777" w:rsidR="00CC7A90" w:rsidRPr="0042238A" w:rsidRDefault="00CC7A90" w:rsidP="00CC7A90">
      <w:pPr>
        <w:pStyle w:val="SingleTxtG"/>
        <w:spacing w:before="120"/>
        <w:ind w:left="2268" w:hanging="1134"/>
        <w:rPr>
          <w:lang w:val="fr-FR"/>
        </w:rPr>
      </w:pPr>
      <w:r w:rsidRPr="0042238A">
        <w:rPr>
          <w:lang w:val="fr-FR"/>
        </w:rPr>
        <w:t>6.2.1.4.3</w:t>
      </w:r>
      <w:r w:rsidRPr="0042238A">
        <w:rPr>
          <w:lang w:val="fr-FR"/>
        </w:rPr>
        <w:tab/>
        <w:t>Ajouter un nouveau paragraphe 6.2.1.4.3, libellé comme suit :</w:t>
      </w:r>
    </w:p>
    <w:p w14:paraId="2B958A5E" w14:textId="77777777" w:rsidR="00CC7A90" w:rsidRPr="0042238A" w:rsidRDefault="00CC7A90" w:rsidP="00CC7A90">
      <w:pPr>
        <w:pStyle w:val="SingleTxtG"/>
        <w:rPr>
          <w:lang w:val="fr-FR"/>
        </w:rPr>
      </w:pPr>
      <w:r w:rsidRPr="0042238A">
        <w:rPr>
          <w:lang w:val="fr-FR"/>
        </w:rPr>
        <w:t>« 6.2.1.4.3</w:t>
      </w:r>
      <w:r w:rsidRPr="0042238A">
        <w:rPr>
          <w:lang w:val="fr-FR"/>
        </w:rPr>
        <w:tab/>
        <w:t>Les enveloppes des récipients à pression et les réservoirs intérieurs des récipients cryogéniques fermés doivent être examinés, éprouvés et agréés par un organisme de contrôle. ».</w:t>
      </w:r>
    </w:p>
    <w:p w14:paraId="0903059C" w14:textId="77777777" w:rsidR="00CC7A90" w:rsidRPr="0042238A" w:rsidRDefault="00CC7A90" w:rsidP="00CC7A90">
      <w:pPr>
        <w:pStyle w:val="SingleTxtG"/>
        <w:spacing w:before="120"/>
        <w:ind w:left="2268" w:hanging="1134"/>
        <w:rPr>
          <w:lang w:val="fr-FR"/>
        </w:rPr>
      </w:pPr>
      <w:r w:rsidRPr="0042238A">
        <w:rPr>
          <w:lang w:val="fr-FR"/>
        </w:rPr>
        <w:t>6.2.1.4.4</w:t>
      </w:r>
      <w:r w:rsidRPr="0042238A">
        <w:rPr>
          <w:lang w:val="fr-FR"/>
        </w:rPr>
        <w:tab/>
        <w:t>Ajouter un nouveau paragraphe 6.2.1.4.4, libellé comme suit :</w:t>
      </w:r>
    </w:p>
    <w:p w14:paraId="53FAF901" w14:textId="77777777" w:rsidR="00CC7A90" w:rsidRPr="0042238A" w:rsidRDefault="00CC7A90" w:rsidP="00CC7A90">
      <w:pPr>
        <w:pStyle w:val="SingleTxtG"/>
        <w:rPr>
          <w:lang w:val="fr-FR"/>
        </w:rPr>
      </w:pPr>
      <w:r w:rsidRPr="0042238A">
        <w:rPr>
          <w:lang w:val="fr-FR"/>
        </w:rPr>
        <w:lastRenderedPageBreak/>
        <w:t>« 6.2.1.4.4</w:t>
      </w:r>
      <w:r w:rsidRPr="0042238A">
        <w:rPr>
          <w:lang w:val="fr-FR"/>
        </w:rPr>
        <w:tab/>
        <w:t>Dans le cas des bouteilles rechargeables, des fûts à pression et des tubes, on peut procéder séparément à l’évaluation de la conformité de l’enveloppe et de la ou des fermetures. Aucune évaluation supplémentaire de l’assemblage final n’est alors requise.</w:t>
      </w:r>
    </w:p>
    <w:p w14:paraId="5E2F7234" w14:textId="77777777" w:rsidR="00CC7A90" w:rsidRPr="0042238A" w:rsidRDefault="00CC7A90" w:rsidP="00CC7A90">
      <w:pPr>
        <w:pStyle w:val="SingleTxtG"/>
        <w:ind w:firstLine="567"/>
        <w:rPr>
          <w:lang w:val="fr-FR"/>
        </w:rPr>
      </w:pPr>
      <w:r w:rsidRPr="0042238A">
        <w:rPr>
          <w:lang w:val="fr-FR"/>
        </w:rPr>
        <w:t>S’agissant des cadres de bouteilles, les enveloppes des bouteilles et le ou les robinets peuvent être évalués séparément mais il faut procéder à une évaluation supplémentaire de l’assemblage final.</w:t>
      </w:r>
    </w:p>
    <w:p w14:paraId="5D3D22BC" w14:textId="77777777" w:rsidR="00CC7A90" w:rsidRPr="0042238A" w:rsidRDefault="00CC7A90" w:rsidP="00CC7A90">
      <w:pPr>
        <w:pStyle w:val="SingleTxtG"/>
        <w:ind w:firstLine="567"/>
        <w:rPr>
          <w:lang w:val="fr-FR"/>
        </w:rPr>
      </w:pPr>
      <w:r w:rsidRPr="0042238A">
        <w:rPr>
          <w:lang w:val="fr-FR"/>
        </w:rPr>
        <w:t>S’agissant des récipients cryogéniques fermés, les réservoirs intérieurs et les fermetures peuvent être évalués séparément mais une évaluation supplémentaire de l’assemblage complet est requise.</w:t>
      </w:r>
    </w:p>
    <w:p w14:paraId="0D6A6B14" w14:textId="77777777" w:rsidR="00CC7A90" w:rsidRPr="0042238A" w:rsidRDefault="00CC7A90" w:rsidP="00CC7A90">
      <w:pPr>
        <w:pStyle w:val="SingleTxtG"/>
        <w:ind w:firstLine="567"/>
        <w:rPr>
          <w:lang w:val="fr-FR"/>
        </w:rPr>
      </w:pPr>
      <w:r w:rsidRPr="0042238A">
        <w:rPr>
          <w:lang w:val="fr-FR"/>
        </w:rPr>
        <w:t>Dans le cas des bouteilles d’acétylène, l’évaluation de la conformité doit consister, au choix :</w:t>
      </w:r>
    </w:p>
    <w:p w14:paraId="469A9D81" w14:textId="77777777" w:rsidR="00CC7A90" w:rsidRPr="0042238A" w:rsidRDefault="00CC7A90" w:rsidP="00CC7A90">
      <w:pPr>
        <w:pStyle w:val="SingleTxtG"/>
        <w:ind w:left="1701"/>
        <w:rPr>
          <w:lang w:val="fr-FR"/>
        </w:rPr>
      </w:pPr>
      <w:r w:rsidRPr="0042238A">
        <w:rPr>
          <w:lang w:val="fr-FR"/>
        </w:rPr>
        <w:t>a)</w:t>
      </w:r>
      <w:r w:rsidRPr="0042238A">
        <w:rPr>
          <w:lang w:val="fr-FR"/>
        </w:rPr>
        <w:tab/>
        <w:t>En une évaluation de la conformité portant à la fois sur l’enveloppe de la bouteille et sur la matière poreuse qu’elle contient ; ou</w:t>
      </w:r>
    </w:p>
    <w:p w14:paraId="34994364" w14:textId="4C98C8F0" w:rsidR="00CC7A90" w:rsidRPr="0042238A" w:rsidRDefault="00CC7A90" w:rsidP="00CC7A90">
      <w:pPr>
        <w:pStyle w:val="SingleTxtG"/>
        <w:ind w:left="1701"/>
        <w:rPr>
          <w:lang w:val="fr-FR"/>
        </w:rPr>
      </w:pPr>
      <w:r w:rsidRPr="0042238A">
        <w:rPr>
          <w:lang w:val="fr-FR"/>
        </w:rPr>
        <w:t>b)</w:t>
      </w:r>
      <w:r w:rsidRPr="0042238A">
        <w:rPr>
          <w:lang w:val="fr-FR"/>
        </w:rPr>
        <w:tab/>
      </w:r>
      <w:r w:rsidR="00724A45" w:rsidRPr="0042238A">
        <w:rPr>
          <w:lang w:val="fr-FR" w:eastAsia="en-US"/>
        </w:rPr>
        <w:t>En une évaluation de la conformité séparée portant sur l’enveloppe de la bouteille vide et une évaluation de la conformité supplémentaire portant sur l’enveloppe de la bouteille avec la matière poreuse qu’elle contient.</w:t>
      </w:r>
      <w:r w:rsidRPr="0042238A">
        <w:rPr>
          <w:lang w:val="fr-FR"/>
        </w:rPr>
        <w:t> ».</w:t>
      </w:r>
    </w:p>
    <w:p w14:paraId="0675B426" w14:textId="77777777" w:rsidR="00CC7A90" w:rsidRPr="0042238A" w:rsidRDefault="00CC7A90" w:rsidP="00CC7A90">
      <w:pPr>
        <w:pStyle w:val="SingleTxtG"/>
        <w:spacing w:before="120"/>
        <w:ind w:left="2268" w:hanging="1134"/>
        <w:rPr>
          <w:lang w:val="fr-FR"/>
        </w:rPr>
      </w:pPr>
      <w:r w:rsidRPr="0042238A">
        <w:rPr>
          <w:lang w:val="fr-FR"/>
        </w:rPr>
        <w:t>6.2.1.5.1</w:t>
      </w:r>
      <w:r w:rsidRPr="0042238A">
        <w:rPr>
          <w:lang w:val="fr-FR"/>
        </w:rPr>
        <w:tab/>
        <w:t xml:space="preserve">Dans la première phrase, remplacer « les récipients cryogéniques fermés et les dispositifs de stockage à hydrure métallique » par « les récipients cryogéniques fermés, les dispositifs de stockage à hydrure métallique et les cadres de bouteilles ». Après « aux normes de conception », ajouter « où à des codes techniques reconnus ». </w:t>
      </w:r>
    </w:p>
    <w:p w14:paraId="6C8CD1D2" w14:textId="77777777" w:rsidR="00CC7A90" w:rsidRPr="0042238A" w:rsidRDefault="00CC7A90" w:rsidP="00CC7A90">
      <w:pPr>
        <w:pStyle w:val="SingleTxtG"/>
        <w:spacing w:before="120"/>
        <w:ind w:left="2268" w:hanging="1134"/>
        <w:rPr>
          <w:lang w:val="fr-FR"/>
        </w:rPr>
      </w:pPr>
      <w:r w:rsidRPr="0042238A">
        <w:rPr>
          <w:lang w:val="fr-FR"/>
        </w:rPr>
        <w:tab/>
      </w:r>
      <w:r w:rsidRPr="0042238A">
        <w:rPr>
          <w:lang w:val="fr-FR"/>
        </w:rPr>
        <w:tab/>
        <w:t>À la ligne précédant l’alinéa a), remplacer « de récipients à pression » par « d’enveloppes de récipients à pression ».</w:t>
      </w:r>
    </w:p>
    <w:p w14:paraId="715A5215" w14:textId="77777777" w:rsidR="00CC7A90" w:rsidRPr="0042238A" w:rsidRDefault="00CC7A90" w:rsidP="00CC7A90">
      <w:pPr>
        <w:pStyle w:val="SingleTxtG"/>
        <w:spacing w:before="120"/>
        <w:ind w:left="2268" w:hanging="1134"/>
        <w:rPr>
          <w:lang w:val="fr-FR"/>
        </w:rPr>
      </w:pPr>
      <w:r w:rsidRPr="0042238A">
        <w:rPr>
          <w:lang w:val="fr-FR"/>
        </w:rPr>
        <w:tab/>
        <w:t>À la fin de l’alinéa d), supprimer « des récipients à pression ».</w:t>
      </w:r>
    </w:p>
    <w:p w14:paraId="310BE5F1" w14:textId="77777777" w:rsidR="00CC7A90" w:rsidRPr="0042238A" w:rsidRDefault="00CC7A90" w:rsidP="00CC7A90">
      <w:pPr>
        <w:pStyle w:val="SingleTxtG"/>
        <w:spacing w:before="120"/>
        <w:ind w:left="2268" w:hanging="1134"/>
        <w:rPr>
          <w:lang w:val="fr-FR"/>
        </w:rPr>
      </w:pPr>
      <w:r w:rsidRPr="0042238A">
        <w:rPr>
          <w:lang w:val="fr-FR"/>
        </w:rPr>
        <w:tab/>
        <w:t>À l’alinéa e), remplacer « filetage des goulots » par « filetages utilisés pour ajuster les fermetures ».</w:t>
      </w:r>
    </w:p>
    <w:p w14:paraId="30812133" w14:textId="77777777" w:rsidR="00CC7A90" w:rsidRPr="0042238A" w:rsidRDefault="00CC7A90" w:rsidP="00CC7A90">
      <w:pPr>
        <w:pStyle w:val="SingleTxtG"/>
        <w:spacing w:before="120"/>
        <w:ind w:left="2268" w:hanging="1134"/>
        <w:rPr>
          <w:lang w:val="fr-FR"/>
        </w:rPr>
      </w:pPr>
      <w:r w:rsidRPr="0042238A">
        <w:rPr>
          <w:lang w:val="fr-FR"/>
        </w:rPr>
        <w:tab/>
      </w:r>
      <w:r w:rsidRPr="0042238A">
        <w:rPr>
          <w:lang w:val="fr-FR"/>
        </w:rPr>
        <w:tab/>
        <w:t>À la ligne précédant l’alinéa g), remplacer « tous les récipients à pression » par « toutes les enveloppes de récipients à pression ».</w:t>
      </w:r>
    </w:p>
    <w:p w14:paraId="64E3626A" w14:textId="77777777" w:rsidR="00CC7A90" w:rsidRPr="0042238A" w:rsidRDefault="00CC7A90" w:rsidP="00CC7A90">
      <w:pPr>
        <w:pStyle w:val="SingleTxtG"/>
        <w:spacing w:before="120"/>
        <w:ind w:left="2268" w:hanging="1134"/>
        <w:rPr>
          <w:lang w:val="fr-FR"/>
        </w:rPr>
      </w:pPr>
      <w:r w:rsidRPr="0042238A">
        <w:rPr>
          <w:lang w:val="fr-FR"/>
        </w:rPr>
        <w:tab/>
        <w:t>À l’alinéa g), remplacer « récipients à pression » par « enveloppes des récipients à pression ».</w:t>
      </w:r>
    </w:p>
    <w:p w14:paraId="024361E4" w14:textId="77777777" w:rsidR="00CC7A90" w:rsidRPr="0042238A" w:rsidRDefault="00CC7A90" w:rsidP="00CC7A90">
      <w:pPr>
        <w:pStyle w:val="SingleTxtG"/>
        <w:spacing w:before="120"/>
        <w:ind w:left="2268" w:hanging="1134"/>
        <w:rPr>
          <w:lang w:val="fr-FR"/>
        </w:rPr>
      </w:pPr>
      <w:r w:rsidRPr="0042238A">
        <w:rPr>
          <w:lang w:val="fr-FR"/>
        </w:rPr>
        <w:tab/>
        <w:t>À l’alinéa h), remplacer dans les deux phrases « récipients à pression » par « enveloppes des récipients à pression ».</w:t>
      </w:r>
    </w:p>
    <w:p w14:paraId="6E0F1216" w14:textId="77777777" w:rsidR="00CC7A90" w:rsidRPr="0042238A" w:rsidRDefault="00CC7A90" w:rsidP="00CC7A90">
      <w:pPr>
        <w:pStyle w:val="SingleTxtG"/>
        <w:spacing w:before="120"/>
        <w:ind w:left="2268" w:hanging="1134"/>
        <w:rPr>
          <w:lang w:val="fr-FR"/>
        </w:rPr>
      </w:pPr>
      <w:r w:rsidRPr="0042238A">
        <w:rPr>
          <w:lang w:val="fr-FR"/>
        </w:rPr>
        <w:tab/>
        <w:t>À l’alinéa i), remplacer « récipients à pression » par « enveloppes de récipients à pression ».</w:t>
      </w:r>
    </w:p>
    <w:p w14:paraId="5335C0EB" w14:textId="77777777" w:rsidR="00CC7A90" w:rsidRPr="0042238A" w:rsidRDefault="00CC7A90" w:rsidP="00CC7A90">
      <w:pPr>
        <w:pStyle w:val="SingleTxtG"/>
        <w:spacing w:before="120"/>
        <w:ind w:left="2268" w:hanging="1134"/>
        <w:rPr>
          <w:lang w:val="fr-FR"/>
        </w:rPr>
      </w:pPr>
      <w:r w:rsidRPr="0042238A">
        <w:rPr>
          <w:lang w:val="fr-FR"/>
        </w:rPr>
        <w:tab/>
        <w:t>À l’alinéa j), remplacer « récipients à pression destinés ... doivent être examinés » par « enveloppes des bouteilles destinées ... doivent être examinées ».</w:t>
      </w:r>
    </w:p>
    <w:p w14:paraId="5036C991" w14:textId="77777777" w:rsidR="00CC7A90" w:rsidRPr="0042238A" w:rsidRDefault="00CC7A90" w:rsidP="00CC7A90">
      <w:pPr>
        <w:pStyle w:val="SingleTxtG"/>
        <w:spacing w:before="120"/>
        <w:ind w:left="2268" w:hanging="1134"/>
        <w:rPr>
          <w:lang w:val="fr-FR"/>
        </w:rPr>
      </w:pPr>
      <w:r w:rsidRPr="0042238A">
        <w:rPr>
          <w:lang w:val="fr-FR"/>
        </w:rPr>
        <w:tab/>
        <w:t>Après l’alinéa j), ajouter les nouvelles dispositions suivantes :</w:t>
      </w:r>
    </w:p>
    <w:p w14:paraId="60DFA37B" w14:textId="77777777" w:rsidR="00CC7A90" w:rsidRPr="0042238A" w:rsidRDefault="00CC7A90" w:rsidP="00CC7A90">
      <w:pPr>
        <w:pStyle w:val="SingleTxtG"/>
        <w:spacing w:before="120"/>
        <w:ind w:left="2268" w:hanging="1134"/>
        <w:rPr>
          <w:lang w:val="fr-FR"/>
        </w:rPr>
      </w:pPr>
      <w:r w:rsidRPr="0042238A">
        <w:rPr>
          <w:lang w:val="fr-FR"/>
        </w:rPr>
        <w:t>« Sur un échantillon suffisant de fermetures :</w:t>
      </w:r>
    </w:p>
    <w:p w14:paraId="7E8F7D6C" w14:textId="77777777" w:rsidR="00CC7A90" w:rsidRPr="0042238A" w:rsidRDefault="00CC7A90" w:rsidP="00CC7A90">
      <w:pPr>
        <w:pStyle w:val="SingleTxtG"/>
        <w:spacing w:before="120"/>
        <w:ind w:left="1560" w:hanging="426"/>
        <w:rPr>
          <w:lang w:val="fr-FR"/>
        </w:rPr>
      </w:pPr>
      <w:r w:rsidRPr="0042238A">
        <w:rPr>
          <w:lang w:val="fr-FR"/>
        </w:rPr>
        <w:t>k)</w:t>
      </w:r>
      <w:r w:rsidRPr="0042238A">
        <w:rPr>
          <w:lang w:val="fr-FR"/>
        </w:rPr>
        <w:tab/>
        <w:t>Vérification des matériaux ;</w:t>
      </w:r>
    </w:p>
    <w:p w14:paraId="61CB8CF9" w14:textId="77777777" w:rsidR="00CC7A90" w:rsidRPr="0042238A" w:rsidRDefault="00CC7A90" w:rsidP="00CC7A90">
      <w:pPr>
        <w:pStyle w:val="SingleTxtG"/>
        <w:spacing w:before="120"/>
        <w:ind w:left="1560" w:hanging="426"/>
        <w:rPr>
          <w:lang w:val="fr-FR"/>
        </w:rPr>
      </w:pPr>
      <w:r w:rsidRPr="0042238A">
        <w:rPr>
          <w:lang w:val="fr-FR"/>
        </w:rPr>
        <w:t>l)</w:t>
      </w:r>
      <w:r w:rsidRPr="0042238A">
        <w:rPr>
          <w:lang w:val="fr-FR"/>
        </w:rPr>
        <w:tab/>
        <w:t>Vérification des dimensions ;</w:t>
      </w:r>
    </w:p>
    <w:p w14:paraId="58EC064B" w14:textId="77777777" w:rsidR="00CC7A90" w:rsidRPr="0042238A" w:rsidRDefault="00CC7A90" w:rsidP="00CC7A90">
      <w:pPr>
        <w:pStyle w:val="SingleTxtG"/>
        <w:spacing w:before="120"/>
        <w:ind w:left="1560" w:hanging="426"/>
        <w:rPr>
          <w:lang w:val="fr-FR"/>
        </w:rPr>
      </w:pPr>
      <w:r w:rsidRPr="0042238A">
        <w:rPr>
          <w:lang w:val="fr-FR"/>
        </w:rPr>
        <w:t>m)</w:t>
      </w:r>
      <w:r w:rsidRPr="0042238A">
        <w:rPr>
          <w:lang w:val="fr-FR"/>
        </w:rPr>
        <w:tab/>
        <w:t>Vérification de la propreté ;</w:t>
      </w:r>
    </w:p>
    <w:p w14:paraId="71BA6347" w14:textId="77777777" w:rsidR="00CC7A90" w:rsidRPr="0042238A" w:rsidRDefault="00CC7A90" w:rsidP="00CC7A90">
      <w:pPr>
        <w:pStyle w:val="SingleTxtG"/>
        <w:spacing w:before="120"/>
        <w:ind w:left="1560" w:hanging="426"/>
        <w:rPr>
          <w:lang w:val="fr-FR"/>
        </w:rPr>
      </w:pPr>
      <w:r w:rsidRPr="0042238A">
        <w:rPr>
          <w:lang w:val="fr-FR"/>
        </w:rPr>
        <w:t>n)</w:t>
      </w:r>
      <w:r w:rsidRPr="0042238A">
        <w:rPr>
          <w:lang w:val="fr-FR"/>
        </w:rPr>
        <w:tab/>
        <w:t>Contrôle de l’assemblage complet ;</w:t>
      </w:r>
    </w:p>
    <w:p w14:paraId="167F9A8C" w14:textId="77777777" w:rsidR="00CC7A90" w:rsidRPr="0042238A" w:rsidRDefault="00CC7A90" w:rsidP="00CC7A90">
      <w:pPr>
        <w:pStyle w:val="SingleTxtG"/>
        <w:spacing w:before="120"/>
        <w:ind w:left="1560" w:hanging="426"/>
        <w:rPr>
          <w:lang w:val="fr-FR"/>
        </w:rPr>
      </w:pPr>
      <w:r w:rsidRPr="0042238A">
        <w:rPr>
          <w:lang w:val="fr-FR"/>
        </w:rPr>
        <w:t>o)</w:t>
      </w:r>
      <w:r w:rsidRPr="0042238A">
        <w:rPr>
          <w:lang w:val="fr-FR"/>
        </w:rPr>
        <w:tab/>
        <w:t xml:space="preserve">Vérification de la présence de marques. </w:t>
      </w:r>
    </w:p>
    <w:p w14:paraId="3858BB29" w14:textId="77777777" w:rsidR="00CC7A90" w:rsidRPr="0042238A" w:rsidDel="0090237F" w:rsidRDefault="00CC7A90" w:rsidP="00CC7A90">
      <w:pPr>
        <w:pStyle w:val="SingleTxtG"/>
        <w:spacing w:before="120"/>
        <w:ind w:left="1560" w:hanging="426"/>
        <w:rPr>
          <w:lang w:val="fr-FR"/>
        </w:rPr>
      </w:pPr>
      <w:r w:rsidRPr="0042238A">
        <w:rPr>
          <w:lang w:val="fr-FR"/>
        </w:rPr>
        <w:t>Pour toutes les fermetures :</w:t>
      </w:r>
    </w:p>
    <w:p w14:paraId="3F10E69E" w14:textId="77777777" w:rsidR="00CC7A90" w:rsidRPr="0042238A" w:rsidRDefault="00CC7A90" w:rsidP="00CC7A90">
      <w:pPr>
        <w:pStyle w:val="SingleTxtG"/>
        <w:spacing w:before="120"/>
        <w:ind w:left="1560" w:hanging="426"/>
        <w:rPr>
          <w:lang w:val="fr-FR"/>
        </w:rPr>
      </w:pPr>
      <w:r w:rsidRPr="0042238A">
        <w:rPr>
          <w:lang w:val="fr-FR"/>
        </w:rPr>
        <w:t>p)</w:t>
      </w:r>
      <w:r w:rsidRPr="0042238A">
        <w:rPr>
          <w:lang w:val="fr-FR"/>
        </w:rPr>
        <w:tab/>
        <w:t>Épreuve d’étanchéité. ».</w:t>
      </w:r>
    </w:p>
    <w:p w14:paraId="78C5B5DE" w14:textId="77777777" w:rsidR="00CC7A90" w:rsidRPr="0042238A" w:rsidRDefault="00CC7A90" w:rsidP="00CC7A90">
      <w:pPr>
        <w:pStyle w:val="SingleTxtG"/>
        <w:spacing w:before="120"/>
        <w:ind w:left="2268" w:hanging="1134"/>
        <w:rPr>
          <w:lang w:val="fr-FR"/>
        </w:rPr>
      </w:pPr>
      <w:r w:rsidRPr="0042238A">
        <w:rPr>
          <w:lang w:val="fr-FR"/>
        </w:rPr>
        <w:t>6.2.1.5.2</w:t>
      </w:r>
      <w:r w:rsidRPr="0042238A">
        <w:rPr>
          <w:lang w:val="fr-FR"/>
        </w:rPr>
        <w:tab/>
        <w:t>Modifier pour lire comme suit :</w:t>
      </w:r>
    </w:p>
    <w:p w14:paraId="53DEFD02" w14:textId="77777777" w:rsidR="00CC7A90" w:rsidRPr="0042238A" w:rsidRDefault="00CC7A90" w:rsidP="00CC7A90">
      <w:pPr>
        <w:pStyle w:val="SingleTxtG"/>
        <w:rPr>
          <w:lang w:val="fr-FR"/>
        </w:rPr>
      </w:pPr>
      <w:r w:rsidRPr="0042238A">
        <w:rPr>
          <w:lang w:val="fr-FR"/>
        </w:rPr>
        <w:lastRenderedPageBreak/>
        <w:t>« 6.2.1.5.2</w:t>
      </w:r>
      <w:r w:rsidRPr="0042238A">
        <w:rPr>
          <w:lang w:val="fr-FR"/>
        </w:rPr>
        <w:tab/>
        <w:t>Les récipients cryogéniques fermés doivent subir les épreuves et les contrôles pendant et après fabrication conformément aux normes de conception qui leur sont applicables ou à des codes techniques reconnus, et notamment les suivants :</w:t>
      </w:r>
    </w:p>
    <w:p w14:paraId="2C9D1D34" w14:textId="77777777" w:rsidR="00CC7A90" w:rsidRPr="0042238A" w:rsidRDefault="00CC7A90" w:rsidP="00CC7A90">
      <w:pPr>
        <w:pStyle w:val="SingleTxtG"/>
        <w:rPr>
          <w:lang w:val="fr-FR"/>
        </w:rPr>
      </w:pPr>
      <w:r w:rsidRPr="0042238A">
        <w:rPr>
          <w:lang w:val="fr-FR"/>
        </w:rPr>
        <w:tab/>
      </w:r>
      <w:r w:rsidRPr="0042238A">
        <w:rPr>
          <w:lang w:val="fr-FR"/>
        </w:rPr>
        <w:tab/>
        <w:t>Sur un échantillon suffisant de réservoirs intérieurs :</w:t>
      </w:r>
    </w:p>
    <w:p w14:paraId="227627D0" w14:textId="77777777" w:rsidR="00CC7A90" w:rsidRPr="0042238A" w:rsidRDefault="00CC7A90" w:rsidP="00CC7A90">
      <w:pPr>
        <w:pStyle w:val="SingleTxtG"/>
        <w:ind w:left="1701"/>
        <w:rPr>
          <w:lang w:val="fr-FR"/>
        </w:rPr>
      </w:pPr>
      <w:r w:rsidRPr="0042238A">
        <w:rPr>
          <w:lang w:val="fr-FR"/>
        </w:rPr>
        <w:t>a)</w:t>
      </w:r>
      <w:r w:rsidRPr="0042238A">
        <w:rPr>
          <w:lang w:val="fr-FR"/>
        </w:rPr>
        <w:tab/>
        <w:t>Essais pour vérifier les caractéristiques mécaniques du matériau de construction ;</w:t>
      </w:r>
    </w:p>
    <w:p w14:paraId="29E21AD3" w14:textId="77777777" w:rsidR="00CC7A90" w:rsidRPr="0042238A" w:rsidRDefault="00CC7A90" w:rsidP="00CC7A90">
      <w:pPr>
        <w:pStyle w:val="SingleTxtG"/>
        <w:ind w:left="1701"/>
        <w:rPr>
          <w:lang w:val="fr-FR"/>
        </w:rPr>
      </w:pPr>
      <w:r w:rsidRPr="0042238A">
        <w:rPr>
          <w:lang w:val="fr-FR"/>
        </w:rPr>
        <w:t>b)</w:t>
      </w:r>
      <w:r w:rsidRPr="0042238A">
        <w:rPr>
          <w:lang w:val="fr-FR"/>
        </w:rPr>
        <w:tab/>
        <w:t>Vérification de l'épaisseur minimale de la paroi ;</w:t>
      </w:r>
    </w:p>
    <w:p w14:paraId="622BD655" w14:textId="77777777" w:rsidR="00CC7A90" w:rsidRPr="0042238A" w:rsidRDefault="00CC7A90" w:rsidP="00CC7A90">
      <w:pPr>
        <w:pStyle w:val="SingleTxtG"/>
        <w:ind w:left="1701"/>
        <w:rPr>
          <w:lang w:val="fr-FR"/>
        </w:rPr>
      </w:pPr>
      <w:r w:rsidRPr="0042238A">
        <w:rPr>
          <w:lang w:val="fr-FR"/>
        </w:rPr>
        <w:t>c)</w:t>
      </w:r>
      <w:r w:rsidRPr="0042238A">
        <w:rPr>
          <w:lang w:val="fr-FR"/>
        </w:rPr>
        <w:tab/>
        <w:t>Contrôle de l'état extérieur et intérieur ;</w:t>
      </w:r>
    </w:p>
    <w:p w14:paraId="46CA783C" w14:textId="77777777" w:rsidR="00CC7A90" w:rsidRPr="0042238A" w:rsidRDefault="00CC7A90" w:rsidP="00CC7A90">
      <w:pPr>
        <w:pStyle w:val="SingleTxtG"/>
        <w:ind w:left="1701"/>
        <w:rPr>
          <w:lang w:val="fr-FR"/>
        </w:rPr>
      </w:pPr>
      <w:r w:rsidRPr="0042238A">
        <w:rPr>
          <w:lang w:val="fr-FR"/>
        </w:rPr>
        <w:t>d)</w:t>
      </w:r>
      <w:r w:rsidRPr="0042238A">
        <w:rPr>
          <w:lang w:val="fr-FR"/>
        </w:rPr>
        <w:tab/>
        <w:t>Vérification de la conformité avec la norme de conception ou le code technique ;</w:t>
      </w:r>
    </w:p>
    <w:p w14:paraId="60736B37" w14:textId="77777777" w:rsidR="00CC7A90" w:rsidRPr="0042238A" w:rsidRDefault="00CC7A90" w:rsidP="00CC7A90">
      <w:pPr>
        <w:pStyle w:val="SingleTxtG"/>
        <w:ind w:left="1701"/>
        <w:rPr>
          <w:lang w:val="fr-FR"/>
        </w:rPr>
      </w:pPr>
      <w:r w:rsidRPr="0042238A">
        <w:rPr>
          <w:lang w:val="fr-FR"/>
        </w:rPr>
        <w:t>e)</w:t>
      </w:r>
      <w:r w:rsidRPr="0042238A">
        <w:rPr>
          <w:lang w:val="fr-FR"/>
        </w:rPr>
        <w:tab/>
        <w:t>Contrôle des soudures doivent être vérifiées par radiographie, ultrasons ou toute autre méthode d'épreuve non destructive, conformément à la norme de conception et de construction ou au code technique ;</w:t>
      </w:r>
    </w:p>
    <w:p w14:paraId="46E4F984" w14:textId="77777777" w:rsidR="00CC7A90" w:rsidRPr="0042238A" w:rsidRDefault="00CC7A90" w:rsidP="00CC7A90">
      <w:pPr>
        <w:pStyle w:val="SingleTxtG"/>
        <w:ind w:left="1701"/>
        <w:rPr>
          <w:lang w:val="fr-FR"/>
        </w:rPr>
      </w:pPr>
      <w:r w:rsidRPr="0042238A">
        <w:rPr>
          <w:lang w:val="fr-FR"/>
        </w:rPr>
        <w:t>Sur tous les réservoirs intérieurs :</w:t>
      </w:r>
    </w:p>
    <w:p w14:paraId="5945234E" w14:textId="77777777" w:rsidR="00CC7A90" w:rsidRPr="0042238A" w:rsidRDefault="00CC7A90" w:rsidP="00CC7A90">
      <w:pPr>
        <w:pStyle w:val="SingleTxtG"/>
        <w:ind w:left="1701"/>
        <w:rPr>
          <w:lang w:val="fr-FR"/>
        </w:rPr>
      </w:pPr>
      <w:r w:rsidRPr="0042238A">
        <w:rPr>
          <w:lang w:val="fr-FR"/>
        </w:rPr>
        <w:t>f)</w:t>
      </w:r>
      <w:r w:rsidRPr="0042238A">
        <w:rPr>
          <w:lang w:val="fr-FR"/>
        </w:rPr>
        <w:tab/>
        <w:t>Epreuve de pression hydraulique : le réservoir intérieur doit se conformer aux critères d’acceptation énoncés dans la norme technique de conception et de fabrication ou dans le code technique ;</w:t>
      </w:r>
    </w:p>
    <w:p w14:paraId="4C6845D2" w14:textId="77777777" w:rsidR="00CC7A90" w:rsidRPr="0042238A" w:rsidRDefault="00CC7A90" w:rsidP="00CC7A90">
      <w:pPr>
        <w:pStyle w:val="SingleTxtG"/>
        <w:ind w:left="1701"/>
        <w:rPr>
          <w:i/>
          <w:iCs/>
          <w:lang w:val="fr-FR"/>
        </w:rPr>
      </w:pPr>
      <w:r w:rsidRPr="0042238A">
        <w:rPr>
          <w:b/>
          <w:bCs/>
          <w:i/>
          <w:iCs/>
          <w:lang w:val="fr-FR"/>
        </w:rPr>
        <w:t>NOTA :</w:t>
      </w:r>
      <w:r w:rsidRPr="0042238A">
        <w:rPr>
          <w:i/>
          <w:iCs/>
          <w:lang w:val="fr-FR"/>
        </w:rPr>
        <w:t xml:space="preserve"> Avec l'accord de l’autorité compétente, l'épreuve de pression hydraulique peut être remplacée par une épreuve au moyen d'un gaz, lorsque cette opération ne présente pas de danger.</w:t>
      </w:r>
    </w:p>
    <w:p w14:paraId="574B6500" w14:textId="77777777" w:rsidR="00CC7A90" w:rsidRPr="0042238A" w:rsidRDefault="00CC7A90" w:rsidP="00CC7A90">
      <w:pPr>
        <w:pStyle w:val="SingleTxtG"/>
        <w:ind w:left="1701"/>
        <w:rPr>
          <w:lang w:val="fr-FR"/>
        </w:rPr>
      </w:pPr>
      <w:r w:rsidRPr="0042238A">
        <w:rPr>
          <w:lang w:val="fr-FR"/>
        </w:rPr>
        <w:t>g)</w:t>
      </w:r>
      <w:r w:rsidRPr="0042238A">
        <w:rPr>
          <w:lang w:val="fr-FR"/>
        </w:rPr>
        <w:tab/>
        <w:t>Examen et évaluation des défauts de fabrication et, soit réparation des réservoirs intérieurs, soit déclaration de ceux-ci comme impropres à l'usage ;</w:t>
      </w:r>
    </w:p>
    <w:p w14:paraId="026E976E" w14:textId="77777777" w:rsidR="00CC7A90" w:rsidRPr="0042238A" w:rsidRDefault="00CC7A90" w:rsidP="00CC7A90">
      <w:pPr>
        <w:pStyle w:val="SingleTxtG"/>
        <w:ind w:left="1701"/>
        <w:rPr>
          <w:lang w:val="fr-FR"/>
        </w:rPr>
      </w:pPr>
      <w:r w:rsidRPr="0042238A">
        <w:rPr>
          <w:lang w:val="fr-FR"/>
        </w:rPr>
        <w:t>h)</w:t>
      </w:r>
      <w:r w:rsidRPr="0042238A">
        <w:rPr>
          <w:lang w:val="fr-FR"/>
        </w:rPr>
        <w:tab/>
        <w:t>Contrôle des marques.</w:t>
      </w:r>
    </w:p>
    <w:p w14:paraId="67B4160C" w14:textId="77777777" w:rsidR="00CC7A90" w:rsidRPr="0042238A" w:rsidRDefault="00CC7A90" w:rsidP="00CC7A90">
      <w:pPr>
        <w:pStyle w:val="SingleTxtG"/>
        <w:ind w:left="1701"/>
        <w:rPr>
          <w:lang w:val="fr-FR"/>
        </w:rPr>
      </w:pPr>
      <w:r w:rsidRPr="0042238A">
        <w:rPr>
          <w:lang w:val="fr-FR"/>
        </w:rPr>
        <w:t>Sur un échantillon suffisant de fermetures :</w:t>
      </w:r>
    </w:p>
    <w:p w14:paraId="02BEC852" w14:textId="77777777" w:rsidR="00CC7A90" w:rsidRPr="0042238A" w:rsidRDefault="00CC7A90" w:rsidP="00CC7A90">
      <w:pPr>
        <w:pStyle w:val="SingleTxtG"/>
        <w:ind w:left="1701"/>
        <w:rPr>
          <w:lang w:val="fr-FR"/>
        </w:rPr>
      </w:pPr>
      <w:r w:rsidRPr="0042238A">
        <w:rPr>
          <w:lang w:val="fr-FR"/>
        </w:rPr>
        <w:t>i)</w:t>
      </w:r>
      <w:r w:rsidRPr="0042238A">
        <w:rPr>
          <w:lang w:val="fr-FR"/>
        </w:rPr>
        <w:tab/>
        <w:t>Vérification des matériaux ;</w:t>
      </w:r>
    </w:p>
    <w:p w14:paraId="6C17A2DD" w14:textId="77777777" w:rsidR="00CC7A90" w:rsidRPr="0042238A" w:rsidRDefault="00CC7A90" w:rsidP="00CC7A90">
      <w:pPr>
        <w:pStyle w:val="SingleTxtG"/>
        <w:ind w:left="1701"/>
        <w:rPr>
          <w:lang w:val="fr-FR"/>
        </w:rPr>
      </w:pPr>
      <w:r w:rsidRPr="0042238A">
        <w:rPr>
          <w:lang w:val="fr-FR"/>
        </w:rPr>
        <w:t>j)</w:t>
      </w:r>
      <w:r w:rsidRPr="0042238A">
        <w:rPr>
          <w:lang w:val="fr-FR"/>
        </w:rPr>
        <w:tab/>
        <w:t>Vérification des dimensions ;</w:t>
      </w:r>
    </w:p>
    <w:p w14:paraId="61CFF784" w14:textId="77777777" w:rsidR="00CC7A90" w:rsidRPr="008F75CD" w:rsidRDefault="00CC7A90" w:rsidP="00CC7A90">
      <w:pPr>
        <w:pStyle w:val="SingleTxtG"/>
        <w:ind w:firstLine="567"/>
        <w:rPr>
          <w:lang w:val="fr-FR"/>
        </w:rPr>
      </w:pPr>
      <w:r w:rsidRPr="008F75CD">
        <w:rPr>
          <w:lang w:val="fr-FR"/>
        </w:rPr>
        <w:t>k)</w:t>
      </w:r>
      <w:r w:rsidRPr="008F75CD">
        <w:rPr>
          <w:lang w:val="fr-FR"/>
        </w:rPr>
        <w:tab/>
        <w:t>Vérification de la propreté ;</w:t>
      </w:r>
    </w:p>
    <w:p w14:paraId="02575DD8" w14:textId="77777777" w:rsidR="00CC7A90" w:rsidRPr="008F75CD" w:rsidRDefault="00CC7A90" w:rsidP="00CC7A90">
      <w:pPr>
        <w:pStyle w:val="SingleTxtG"/>
        <w:ind w:firstLine="567"/>
        <w:rPr>
          <w:lang w:val="fr-FR"/>
        </w:rPr>
      </w:pPr>
      <w:r w:rsidRPr="008F75CD">
        <w:rPr>
          <w:lang w:val="fr-FR"/>
        </w:rPr>
        <w:t>l)</w:t>
      </w:r>
      <w:r w:rsidRPr="008F75CD">
        <w:rPr>
          <w:lang w:val="fr-FR"/>
        </w:rPr>
        <w:tab/>
        <w:t>Contrôle de l’assemblage complet ;</w:t>
      </w:r>
    </w:p>
    <w:p w14:paraId="6CB7E79B" w14:textId="77777777" w:rsidR="00CC7A90" w:rsidRPr="008F75CD" w:rsidRDefault="00CC7A90" w:rsidP="00CC7A90">
      <w:pPr>
        <w:pStyle w:val="SingleTxtG"/>
        <w:ind w:firstLine="567"/>
        <w:rPr>
          <w:lang w:val="fr-FR"/>
        </w:rPr>
      </w:pPr>
      <w:r w:rsidRPr="008F75CD">
        <w:rPr>
          <w:lang w:val="fr-FR"/>
        </w:rPr>
        <w:t>m)</w:t>
      </w:r>
      <w:r w:rsidRPr="008F75CD">
        <w:rPr>
          <w:lang w:val="fr-FR"/>
        </w:rPr>
        <w:tab/>
        <w:t>Vérification de la présence de marques.</w:t>
      </w:r>
    </w:p>
    <w:p w14:paraId="663D11BB" w14:textId="77777777" w:rsidR="00CC7A90" w:rsidRPr="008F75CD" w:rsidRDefault="00CC7A90" w:rsidP="00CC7A90">
      <w:pPr>
        <w:pStyle w:val="SingleTxtG"/>
        <w:ind w:firstLine="567"/>
        <w:rPr>
          <w:lang w:val="fr-FR"/>
        </w:rPr>
      </w:pPr>
      <w:r w:rsidRPr="008F75CD">
        <w:rPr>
          <w:lang w:val="fr-FR"/>
        </w:rPr>
        <w:t>Pour toutes les fermetures :</w:t>
      </w:r>
    </w:p>
    <w:p w14:paraId="4FDE1D68" w14:textId="77777777" w:rsidR="00CC7A90" w:rsidRPr="008F75CD" w:rsidRDefault="00CC7A90" w:rsidP="00CC7A90">
      <w:pPr>
        <w:pStyle w:val="SingleTxtG"/>
        <w:ind w:firstLine="567"/>
        <w:rPr>
          <w:lang w:val="fr-FR"/>
        </w:rPr>
      </w:pPr>
      <w:r w:rsidRPr="008F75CD">
        <w:rPr>
          <w:lang w:val="fr-FR"/>
        </w:rPr>
        <w:t>n)</w:t>
      </w:r>
      <w:r w:rsidRPr="008F75CD">
        <w:rPr>
          <w:lang w:val="fr-FR"/>
        </w:rPr>
        <w:tab/>
        <w:t>Épreuve d’étanchéité.</w:t>
      </w:r>
    </w:p>
    <w:p w14:paraId="171AFCE5" w14:textId="77777777" w:rsidR="00CC7A90" w:rsidRPr="008F75CD" w:rsidRDefault="00CC7A90" w:rsidP="00CC7A90">
      <w:pPr>
        <w:pStyle w:val="SingleTxtG"/>
        <w:ind w:firstLine="567"/>
        <w:rPr>
          <w:lang w:val="fr-FR"/>
        </w:rPr>
      </w:pPr>
      <w:r w:rsidRPr="008F75CD">
        <w:rPr>
          <w:iCs/>
          <w:lang w:val="fr-FR"/>
        </w:rPr>
        <w:t>Sur un échantillon suffisant de récipients cryogéniques fermés complets </w:t>
      </w:r>
      <w:r w:rsidRPr="008F75CD">
        <w:rPr>
          <w:lang w:val="fr-FR"/>
        </w:rPr>
        <w:t>:</w:t>
      </w:r>
    </w:p>
    <w:p w14:paraId="01649611" w14:textId="77777777" w:rsidR="00CC7A90" w:rsidRPr="008F75CD" w:rsidRDefault="00CC7A90" w:rsidP="00CC7A90">
      <w:pPr>
        <w:pStyle w:val="SingleTxtG"/>
        <w:ind w:firstLine="567"/>
        <w:rPr>
          <w:lang w:val="fr-FR"/>
        </w:rPr>
      </w:pPr>
      <w:r w:rsidRPr="008F75CD">
        <w:rPr>
          <w:lang w:val="fr-FR"/>
        </w:rPr>
        <w:t>o)</w:t>
      </w:r>
      <w:r w:rsidRPr="008F75CD">
        <w:rPr>
          <w:lang w:val="fr-FR"/>
        </w:rPr>
        <w:tab/>
        <w:t xml:space="preserve">Épreuve de </w:t>
      </w:r>
      <w:r w:rsidRPr="008F75CD">
        <w:rPr>
          <w:iCs/>
          <w:lang w:val="fr-FR"/>
        </w:rPr>
        <w:t>bon fonctionnement de l’équipement </w:t>
      </w:r>
      <w:r w:rsidRPr="008F75CD">
        <w:rPr>
          <w:lang w:val="fr-FR"/>
        </w:rPr>
        <w:t>;</w:t>
      </w:r>
    </w:p>
    <w:p w14:paraId="0ADDB87C" w14:textId="77777777" w:rsidR="00CC7A90" w:rsidRPr="008F75CD" w:rsidRDefault="00CC7A90" w:rsidP="00CC7A90">
      <w:pPr>
        <w:pStyle w:val="SingleTxtG"/>
        <w:ind w:left="2268" w:hanging="567"/>
        <w:rPr>
          <w:iCs/>
          <w:lang w:val="fr-FR"/>
        </w:rPr>
      </w:pPr>
      <w:r w:rsidRPr="008F75CD">
        <w:rPr>
          <w:lang w:val="fr-FR"/>
        </w:rPr>
        <w:t>p)</w:t>
      </w:r>
      <w:r w:rsidRPr="008F75CD">
        <w:rPr>
          <w:lang w:val="fr-FR"/>
        </w:rPr>
        <w:tab/>
        <w:t>Vérification de la conformité avec la norme de conception ou le code technique.</w:t>
      </w:r>
    </w:p>
    <w:p w14:paraId="76FB2A43" w14:textId="77777777" w:rsidR="00CC7A90" w:rsidRPr="008F75CD" w:rsidRDefault="00CC7A90" w:rsidP="00CC7A90">
      <w:pPr>
        <w:pStyle w:val="SingleTxtG"/>
        <w:ind w:firstLine="567"/>
        <w:rPr>
          <w:lang w:val="fr-FR"/>
        </w:rPr>
      </w:pPr>
      <w:r w:rsidRPr="008F75CD">
        <w:rPr>
          <w:lang w:val="fr-FR"/>
        </w:rPr>
        <w:t>Pour tous les récipients à pression cryogéniques fermés complets :</w:t>
      </w:r>
    </w:p>
    <w:p w14:paraId="1C91410B" w14:textId="77777777" w:rsidR="00CC7A90" w:rsidRPr="008F75CD" w:rsidRDefault="00CC7A90" w:rsidP="00CC7A90">
      <w:pPr>
        <w:pStyle w:val="SingleTxtG"/>
        <w:ind w:firstLine="567"/>
        <w:rPr>
          <w:lang w:val="fr-FR"/>
        </w:rPr>
      </w:pPr>
      <w:r w:rsidRPr="008F75CD">
        <w:rPr>
          <w:lang w:val="fr-FR"/>
        </w:rPr>
        <w:t>q)</w:t>
      </w:r>
      <w:r w:rsidRPr="008F75CD">
        <w:rPr>
          <w:lang w:val="fr-FR"/>
        </w:rPr>
        <w:tab/>
        <w:t>Épreuve d’étanchéité. ».</w:t>
      </w:r>
    </w:p>
    <w:p w14:paraId="3CEA36BB" w14:textId="77777777" w:rsidR="00CC7A90" w:rsidRPr="0042238A" w:rsidRDefault="00CC7A90" w:rsidP="00CC7A90">
      <w:pPr>
        <w:pStyle w:val="SingleTxtG"/>
        <w:spacing w:before="120"/>
        <w:ind w:left="2268" w:hanging="1134"/>
        <w:rPr>
          <w:lang w:val="fr-FR"/>
        </w:rPr>
      </w:pPr>
      <w:r w:rsidRPr="0042238A">
        <w:rPr>
          <w:lang w:val="fr-FR"/>
        </w:rPr>
        <w:t>6.2.1.5.3</w:t>
      </w:r>
      <w:r w:rsidRPr="0042238A">
        <w:rPr>
          <w:lang w:val="fr-FR"/>
        </w:rPr>
        <w:tab/>
        <w:t>Dans la première phrase, remplacer « de récipients utilisés » par « d’enveloppes de récipients à pression utilisées ».</w:t>
      </w:r>
    </w:p>
    <w:p w14:paraId="0FD4BE24" w14:textId="77777777" w:rsidR="00CC7A90" w:rsidRPr="0042238A" w:rsidRDefault="00CC7A90" w:rsidP="00CC7A90">
      <w:pPr>
        <w:pStyle w:val="SingleTxtG"/>
        <w:rPr>
          <w:lang w:val="fr-FR"/>
        </w:rPr>
      </w:pPr>
      <w:r w:rsidRPr="0042238A">
        <w:rPr>
          <w:lang w:val="fr-FR"/>
        </w:rPr>
        <w:t>6.2.1.5.4</w:t>
      </w:r>
      <w:r w:rsidRPr="0042238A">
        <w:rPr>
          <w:lang w:val="fr-FR"/>
        </w:rPr>
        <w:tab/>
        <w:t>Ajouter le nouveau paragraphe suivant :</w:t>
      </w:r>
    </w:p>
    <w:p w14:paraId="6F8F333C" w14:textId="77777777" w:rsidR="00CC7A90" w:rsidRPr="0042238A" w:rsidRDefault="00CC7A90" w:rsidP="00CC7A90">
      <w:pPr>
        <w:pStyle w:val="SingleTxtG"/>
        <w:rPr>
          <w:lang w:val="fr-FR"/>
        </w:rPr>
      </w:pPr>
      <w:r w:rsidRPr="0042238A">
        <w:rPr>
          <w:lang w:val="fr-FR"/>
        </w:rPr>
        <w:t>« 6.2.1.5.4</w:t>
      </w:r>
      <w:r w:rsidRPr="0042238A">
        <w:rPr>
          <w:lang w:val="fr-FR"/>
        </w:rPr>
        <w:tab/>
        <w:t>Pour les cadres de bouteilles, les enveloppes et les fermetures des bouteilles doivent subir les contrôles et épreuves initiaux prescrits au 6.2.1.5.1. Un échantillon de cadres suffisant doit être soumis à une épreuve de charge de deux fois la masse brute maximale du cadre de bouteilles.</w:t>
      </w:r>
    </w:p>
    <w:p w14:paraId="63AD69EE" w14:textId="77777777" w:rsidR="00CC7A90" w:rsidRPr="0042238A" w:rsidRDefault="00CC7A90" w:rsidP="00CC7A90">
      <w:pPr>
        <w:pStyle w:val="SingleTxtG"/>
        <w:rPr>
          <w:lang w:val="fr-FR"/>
        </w:rPr>
      </w:pPr>
      <w:r w:rsidRPr="0042238A">
        <w:rPr>
          <w:lang w:val="fr-FR"/>
        </w:rPr>
        <w:lastRenderedPageBreak/>
        <w:t xml:space="preserve">En outre, tous les tuyaux collecteurs des cadres de bouteilles doivent subir une épreuve de pression hydraulique et tous les cadres de bouteilles complets doivent être soumis à une épreuve d’étanchéité. </w:t>
      </w:r>
    </w:p>
    <w:p w14:paraId="0EC5B97D" w14:textId="77777777" w:rsidR="00CC7A90" w:rsidRPr="008F75CD" w:rsidRDefault="00CC7A90" w:rsidP="00CC7A90">
      <w:pPr>
        <w:pStyle w:val="SingleTxtG"/>
        <w:rPr>
          <w:bCs/>
          <w:lang w:val="fr-FR"/>
        </w:rPr>
      </w:pPr>
      <w:r w:rsidRPr="0042238A">
        <w:rPr>
          <w:b/>
          <w:bCs/>
          <w:i/>
          <w:iCs/>
          <w:lang w:val="fr-FR"/>
        </w:rPr>
        <w:t>NOTA :</w:t>
      </w:r>
      <w:r w:rsidRPr="0042238A">
        <w:rPr>
          <w:lang w:val="fr-FR"/>
        </w:rPr>
        <w:t xml:space="preserve"> </w:t>
      </w:r>
      <w:r w:rsidRPr="0042238A">
        <w:rPr>
          <w:i/>
          <w:iCs/>
          <w:lang w:val="fr-FR"/>
        </w:rPr>
        <w:t>Sous réserve de l’accord de l’autorité compétente, l’épreuve de pression hydraulique peut être remplacée par une épreuve effectuée au moyen d’un gaz, sous réserve que cette opération ne présente pas de danger.</w:t>
      </w:r>
      <w:r w:rsidRPr="0042238A">
        <w:rPr>
          <w:lang w:val="fr-FR"/>
        </w:rPr>
        <w:t> ».</w:t>
      </w:r>
    </w:p>
    <w:p w14:paraId="39E0ABB7" w14:textId="77777777" w:rsidR="00CC7A90" w:rsidRPr="0042238A" w:rsidRDefault="00CC7A90" w:rsidP="00CC7A90">
      <w:pPr>
        <w:pStyle w:val="SingleTxtG"/>
        <w:spacing w:before="120"/>
        <w:ind w:left="2268" w:hanging="1134"/>
        <w:rPr>
          <w:lang w:val="fr-FR"/>
        </w:rPr>
      </w:pPr>
      <w:r w:rsidRPr="0042238A">
        <w:rPr>
          <w:lang w:val="fr-FR"/>
        </w:rPr>
        <w:t>6.2.1.6.1</w:t>
      </w:r>
      <w:r w:rsidRPr="0042238A">
        <w:rPr>
          <w:lang w:val="fr-FR"/>
        </w:rPr>
        <w:tab/>
        <w:t>Remplacer les alinéas c) et d) par ce qui suit :</w:t>
      </w:r>
    </w:p>
    <w:p w14:paraId="7B285DE6" w14:textId="77777777" w:rsidR="00CC7A90" w:rsidRPr="0042238A" w:rsidRDefault="00CC7A90" w:rsidP="00CC7A90">
      <w:pPr>
        <w:pStyle w:val="SingleTxtG"/>
        <w:rPr>
          <w:lang w:val="fr-FR"/>
        </w:rPr>
      </w:pPr>
      <w:r w:rsidRPr="0042238A">
        <w:rPr>
          <w:lang w:val="fr-FR"/>
        </w:rPr>
        <w:t>« c)</w:t>
      </w:r>
      <w:r w:rsidRPr="0042238A">
        <w:rPr>
          <w:lang w:val="fr-FR"/>
        </w:rPr>
        <w:tab/>
        <w:t>Contrôle du filetage :</w:t>
      </w:r>
    </w:p>
    <w:p w14:paraId="56A73943" w14:textId="77777777" w:rsidR="00CC7A90" w:rsidRPr="0042238A" w:rsidRDefault="00CC7A90" w:rsidP="00CC7A90">
      <w:pPr>
        <w:pStyle w:val="SingleTxtG"/>
        <w:ind w:left="1701"/>
        <w:rPr>
          <w:lang w:val="fr-FR"/>
        </w:rPr>
      </w:pPr>
      <w:r w:rsidRPr="0042238A">
        <w:rPr>
          <w:lang w:val="fr-FR"/>
        </w:rPr>
        <w:t>i)</w:t>
      </w:r>
      <w:r w:rsidRPr="0042238A">
        <w:rPr>
          <w:lang w:val="fr-FR"/>
        </w:rPr>
        <w:tab/>
        <w:t>S’il y a des signes de corrosion ; ou</w:t>
      </w:r>
    </w:p>
    <w:p w14:paraId="684CB127" w14:textId="77777777" w:rsidR="00CC7A90" w:rsidRPr="0042238A" w:rsidRDefault="00CC7A90" w:rsidP="00CC7A90">
      <w:pPr>
        <w:pStyle w:val="SingleTxtG"/>
        <w:ind w:left="1701"/>
        <w:rPr>
          <w:lang w:val="fr-FR"/>
        </w:rPr>
      </w:pPr>
      <w:r w:rsidRPr="0042238A">
        <w:rPr>
          <w:lang w:val="fr-FR"/>
        </w:rPr>
        <w:t>ii)</w:t>
      </w:r>
      <w:r w:rsidRPr="0042238A">
        <w:rPr>
          <w:lang w:val="fr-FR"/>
        </w:rPr>
        <w:tab/>
        <w:t>Si les fermetures ou d’autres équipements de service ont été démontés ;</w:t>
      </w:r>
    </w:p>
    <w:p w14:paraId="613521FF" w14:textId="77777777" w:rsidR="00CC7A90" w:rsidRPr="0042238A" w:rsidRDefault="00CC7A90" w:rsidP="00CC7A90">
      <w:pPr>
        <w:pStyle w:val="SingleTxtG"/>
        <w:rPr>
          <w:lang w:val="fr-FR"/>
        </w:rPr>
      </w:pPr>
      <w:r w:rsidRPr="0042238A">
        <w:rPr>
          <w:lang w:val="fr-FR"/>
        </w:rPr>
        <w:t>d)</w:t>
      </w:r>
      <w:r w:rsidRPr="0042238A">
        <w:rPr>
          <w:lang w:val="fr-FR"/>
        </w:rPr>
        <w:tab/>
        <w:t>Épreuve de pression hydraulique sur l’enveloppe du récipient à pression et, si nécessaire, vérification des caractéristiques du matériau par des épreuves appropriées ; ».</w:t>
      </w:r>
    </w:p>
    <w:p w14:paraId="2E9CFACF" w14:textId="78482BC5" w:rsidR="00FE268C" w:rsidRPr="0042238A" w:rsidRDefault="00CC7A90" w:rsidP="00EB2C24">
      <w:pPr>
        <w:pStyle w:val="SingleTxtG"/>
        <w:spacing w:before="120"/>
        <w:ind w:left="2268" w:hanging="1134"/>
        <w:rPr>
          <w:lang w:val="fr-FR"/>
        </w:rPr>
      </w:pPr>
      <w:r w:rsidRPr="0042238A">
        <w:rPr>
          <w:lang w:val="fr-FR"/>
        </w:rPr>
        <w:tab/>
        <w:t>Dans le Nota 2 :</w:t>
      </w:r>
      <w:r w:rsidRPr="0042238A">
        <w:rPr>
          <w:lang w:val="fr-FR"/>
        </w:rPr>
        <w:tab/>
        <w:t>Remplacer « </w:t>
      </w:r>
      <w:r w:rsidR="0059245A" w:rsidRPr="0042238A">
        <w:rPr>
          <w:lang w:val="fr-FR"/>
        </w:rPr>
        <w:t>Pour les bouteilles et tubes en acier sans soudure</w:t>
      </w:r>
      <w:r w:rsidRPr="0042238A">
        <w:rPr>
          <w:lang w:val="fr-FR"/>
        </w:rPr>
        <w:t xml:space="preserve"> » par « </w:t>
      </w:r>
      <w:r w:rsidR="0059245A" w:rsidRPr="0042238A">
        <w:rPr>
          <w:lang w:val="fr-FR"/>
        </w:rPr>
        <w:t>Pour les enveloppes de bouteilles et tubes en acier sans soudure</w:t>
      </w:r>
      <w:r w:rsidRPr="0042238A">
        <w:rPr>
          <w:lang w:val="fr-FR"/>
        </w:rPr>
        <w:t> ».</w:t>
      </w:r>
    </w:p>
    <w:p w14:paraId="3FA66A62" w14:textId="77777777" w:rsidR="00CC7A90" w:rsidRPr="008F75CD" w:rsidRDefault="00CC7A90" w:rsidP="00CC7A90">
      <w:pPr>
        <w:pStyle w:val="SingleTxtG"/>
        <w:spacing w:before="120"/>
        <w:ind w:left="2268" w:hanging="1134"/>
        <w:rPr>
          <w:iCs/>
          <w:lang w:val="fr-FR"/>
        </w:rPr>
      </w:pPr>
      <w:r w:rsidRPr="008F75CD">
        <w:rPr>
          <w:iCs/>
          <w:lang w:val="fr-FR"/>
        </w:rPr>
        <w:tab/>
        <w:t>Modifier le Nota 3 pour lire comme suit :</w:t>
      </w:r>
    </w:p>
    <w:p w14:paraId="6E4C1554" w14:textId="77777777" w:rsidR="00CC7A90" w:rsidRPr="0042238A" w:rsidRDefault="00CC7A90" w:rsidP="00CC7A90">
      <w:pPr>
        <w:pStyle w:val="SingleTxtG"/>
        <w:rPr>
          <w:lang w:val="fr-FR"/>
        </w:rPr>
      </w:pPr>
      <w:r w:rsidRPr="008F75CD">
        <w:rPr>
          <w:iCs/>
          <w:lang w:val="fr-FR"/>
        </w:rPr>
        <w:t>« </w:t>
      </w:r>
      <w:r w:rsidRPr="0042238A">
        <w:rPr>
          <w:b/>
          <w:bCs/>
          <w:i/>
          <w:iCs/>
          <w:lang w:val="fr-FR"/>
        </w:rPr>
        <w:t>3 :</w:t>
      </w:r>
      <w:r w:rsidRPr="0042238A">
        <w:rPr>
          <w:lang w:val="fr-FR"/>
        </w:rPr>
        <w:tab/>
      </w:r>
      <w:r w:rsidRPr="0042238A">
        <w:rPr>
          <w:i/>
          <w:iCs/>
          <w:lang w:val="fr-FR"/>
        </w:rPr>
        <w:t>Le contrôle de l’état intérieur du 6.2.1.6.1 b) et l’épreuve de pression hydraulique du 6.2.1.6.1 d) peuvent être remplacés par un contrôle par ultrasons, effectué conformément à la norme ISO 18119:2018 pour les enveloppes de bouteilles à gaz sans soudure en acier et en alliages d’aluminium.</w:t>
      </w:r>
      <w:r w:rsidRPr="0042238A">
        <w:rPr>
          <w:lang w:val="fr-FR"/>
        </w:rPr>
        <w:t xml:space="preserve"> </w:t>
      </w:r>
      <w:r w:rsidRPr="0042238A">
        <w:rPr>
          <w:i/>
          <w:iCs/>
          <w:lang w:val="fr-FR"/>
        </w:rPr>
        <w:t>Pendant une période transitoire allant jusqu’au 31 décembre 2024, la norme ISO 10461:2005 + A1:2006 peut être utilisée pour les enveloppes de bouteilles à gaz en alliage d’aluminium sans soudure et la norme ISO 6406:2005 peut être utilisée pour les bouteilles à gaz en acier sans soudure, à cette même fin. </w:t>
      </w:r>
      <w:r w:rsidRPr="0042238A">
        <w:rPr>
          <w:lang w:val="fr-FR"/>
        </w:rPr>
        <w:t>».</w:t>
      </w:r>
    </w:p>
    <w:p w14:paraId="77DB2EA6" w14:textId="77777777" w:rsidR="00CC7A90" w:rsidRPr="0042238A" w:rsidRDefault="00CC7A90" w:rsidP="00CC7A90">
      <w:pPr>
        <w:pStyle w:val="SingleTxtG"/>
        <w:spacing w:before="120"/>
        <w:ind w:left="2268" w:hanging="1134"/>
        <w:rPr>
          <w:lang w:val="fr-FR"/>
        </w:rPr>
      </w:pPr>
      <w:r w:rsidRPr="0042238A">
        <w:rPr>
          <w:lang w:val="fr-FR"/>
        </w:rPr>
        <w:tab/>
        <w:t>Ajouter le nouveau Nota 4, comme suit :</w:t>
      </w:r>
    </w:p>
    <w:p w14:paraId="2E998F51" w14:textId="77777777" w:rsidR="00CC7A90" w:rsidRPr="0042238A" w:rsidRDefault="00CC7A90" w:rsidP="00CC7A90">
      <w:pPr>
        <w:pStyle w:val="SingleTxtG"/>
        <w:rPr>
          <w:lang w:val="fr-FR"/>
        </w:rPr>
      </w:pPr>
      <w:r w:rsidRPr="0042238A">
        <w:rPr>
          <w:lang w:val="fr-FR"/>
        </w:rPr>
        <w:t>« </w:t>
      </w:r>
      <w:r w:rsidRPr="0042238A">
        <w:rPr>
          <w:b/>
          <w:bCs/>
          <w:i/>
          <w:iCs/>
          <w:lang w:val="fr-FR"/>
        </w:rPr>
        <w:t>4 :</w:t>
      </w:r>
      <w:r w:rsidRPr="0042238A">
        <w:rPr>
          <w:i/>
          <w:iCs/>
          <w:lang w:val="fr-FR"/>
        </w:rPr>
        <w:tab/>
        <w:t>Pour les cadres de bouteilles, l’épreuve de pression hydraulique mentionnée à l’alinéa d) ci-dessus doit être effectuée sur les enveloppes de bouteilles et sur le tuyau collecteur.</w:t>
      </w:r>
      <w:r w:rsidRPr="0042238A">
        <w:rPr>
          <w:lang w:val="fr-FR"/>
        </w:rPr>
        <w:t> ».</w:t>
      </w:r>
    </w:p>
    <w:p w14:paraId="541BD763" w14:textId="77777777" w:rsidR="00CC7A90" w:rsidRPr="0042238A" w:rsidRDefault="00CC7A90" w:rsidP="00CC7A90">
      <w:pPr>
        <w:pStyle w:val="SingleTxtG"/>
        <w:spacing w:before="120"/>
        <w:ind w:left="2268" w:hanging="1134"/>
        <w:rPr>
          <w:lang w:val="fr-FR"/>
        </w:rPr>
      </w:pPr>
      <w:r w:rsidRPr="0042238A">
        <w:rPr>
          <w:lang w:val="fr-FR"/>
        </w:rPr>
        <w:tab/>
      </w:r>
      <w:r w:rsidRPr="0042238A">
        <w:rPr>
          <w:lang w:val="fr-FR"/>
        </w:rPr>
        <w:tab/>
        <w:t>Remplacer l’alinéa e) actuel et ajouter un nouvel alinéa f), comme suit :</w:t>
      </w:r>
    </w:p>
    <w:p w14:paraId="4B22DD50" w14:textId="5EDB99A0" w:rsidR="00CC7A90" w:rsidRPr="0042238A" w:rsidRDefault="00CC7A90" w:rsidP="00CC7A90">
      <w:pPr>
        <w:pStyle w:val="SingleTxtG"/>
        <w:rPr>
          <w:lang w:val="fr-FR"/>
        </w:rPr>
      </w:pPr>
      <w:r w:rsidRPr="0042238A">
        <w:rPr>
          <w:lang w:val="fr-FR"/>
        </w:rPr>
        <w:t>« e)</w:t>
      </w:r>
      <w:r w:rsidRPr="0042238A">
        <w:rPr>
          <w:lang w:val="fr-FR"/>
        </w:rPr>
        <w:tab/>
        <w:t>Contrôle des équipements de service, s’ils doivent être remis en service. Ce contrôle peut être réalisé séparément de celui de l’enveloppe du récipient à pression ;</w:t>
      </w:r>
      <w:r w:rsidR="00C0438D" w:rsidRPr="0042238A">
        <w:rPr>
          <w:lang w:val="fr-FR"/>
        </w:rPr>
        <w:t xml:space="preserve"> et</w:t>
      </w:r>
    </w:p>
    <w:p w14:paraId="13911291" w14:textId="77777777" w:rsidR="00CC7A90" w:rsidRPr="0042238A" w:rsidRDefault="00CC7A90" w:rsidP="00CC7A90">
      <w:pPr>
        <w:pStyle w:val="SingleTxtG"/>
        <w:rPr>
          <w:lang w:val="fr-FR"/>
        </w:rPr>
      </w:pPr>
      <w:r w:rsidRPr="0042238A">
        <w:rPr>
          <w:lang w:val="fr-FR"/>
        </w:rPr>
        <w:t>f)</w:t>
      </w:r>
      <w:r w:rsidRPr="0042238A">
        <w:rPr>
          <w:lang w:val="fr-FR"/>
        </w:rPr>
        <w:tab/>
        <w:t>Épreuve d’étanchéité sur les cadres de bouteilles après réassemblage. ».</w:t>
      </w:r>
    </w:p>
    <w:p w14:paraId="7AB783B4" w14:textId="77777777" w:rsidR="00CC7A90" w:rsidRPr="008F75CD" w:rsidRDefault="00CC7A90" w:rsidP="00CC7A90">
      <w:pPr>
        <w:pStyle w:val="SingleTxtG"/>
        <w:rPr>
          <w:iCs/>
          <w:lang w:val="fr-FR"/>
        </w:rPr>
      </w:pPr>
      <w:r w:rsidRPr="008F75CD">
        <w:rPr>
          <w:iCs/>
          <w:lang w:val="fr-FR"/>
        </w:rPr>
        <w:t>6.2.1.6.2</w:t>
      </w:r>
      <w:r w:rsidRPr="008F75CD">
        <w:rPr>
          <w:iCs/>
          <w:lang w:val="fr-FR"/>
        </w:rPr>
        <w:tab/>
        <w:t>Remplacer « récipients à pression destinés » par « bouteilles destinées ».</w:t>
      </w:r>
    </w:p>
    <w:p w14:paraId="7A2F8BC1" w14:textId="77777777" w:rsidR="00CC7A90" w:rsidRPr="0042238A" w:rsidRDefault="00CC7A90" w:rsidP="00CC7A90">
      <w:pPr>
        <w:pStyle w:val="SingleTxtG"/>
        <w:spacing w:before="120"/>
        <w:ind w:left="2268" w:hanging="1134"/>
        <w:rPr>
          <w:lang w:val="fr-FR"/>
        </w:rPr>
      </w:pPr>
      <w:r w:rsidRPr="0042238A">
        <w:rPr>
          <w:lang w:val="fr-FR"/>
        </w:rPr>
        <w:t>6.2.1.7.2</w:t>
      </w:r>
      <w:r w:rsidRPr="0042238A">
        <w:rPr>
          <w:lang w:val="fr-FR"/>
        </w:rPr>
        <w:tab/>
        <w:t>Modifier pour lire comme suit :</w:t>
      </w:r>
    </w:p>
    <w:p w14:paraId="0D115C55" w14:textId="77777777" w:rsidR="00CC7A90" w:rsidRPr="0042238A" w:rsidRDefault="00CC7A90" w:rsidP="00CC7A90">
      <w:pPr>
        <w:pStyle w:val="SingleTxtG"/>
        <w:rPr>
          <w:b/>
          <w:bCs/>
          <w:lang w:val="fr-FR"/>
        </w:rPr>
      </w:pPr>
      <w:r w:rsidRPr="0042238A">
        <w:rPr>
          <w:lang w:val="fr-FR"/>
        </w:rPr>
        <w:t>« 6.2.1.7.2</w:t>
      </w:r>
      <w:r w:rsidRPr="0042238A">
        <w:rPr>
          <w:lang w:val="fr-FR"/>
        </w:rPr>
        <w:tab/>
        <w:t xml:space="preserve">Une évaluation de l’aptitude des fabricants des enveloppes de récipients à pression et des réservoirs intérieurs de récipients cryogéniques fermés doit </w:t>
      </w:r>
      <w:r w:rsidRPr="008F75CD">
        <w:rPr>
          <w:lang w:val="fr-FR"/>
        </w:rPr>
        <w:t xml:space="preserve">être effectuée dans tous les cas par un organisme de contrôle reconnu par l'autorité compétente du pays d'agrément. Des évaluations d’aptitude des fabricants de fermetures doivent être effectuées si l’autorité compétente l’exige. </w:t>
      </w:r>
      <w:r w:rsidRPr="0042238A">
        <w:rPr>
          <w:lang w:val="fr-FR"/>
        </w:rPr>
        <w:t>Cette évaluation doit être menée soit au moment de l’agrément du modèle type soit dans le cadre du contrôle de la production et de la certification. ».</w:t>
      </w:r>
      <w:r w:rsidRPr="008F75CD">
        <w:rPr>
          <w:lang w:val="fr-FR"/>
        </w:rPr>
        <w:t xml:space="preserve"> </w:t>
      </w:r>
    </w:p>
    <w:p w14:paraId="742BC235" w14:textId="77777777" w:rsidR="00CC7A90" w:rsidRPr="0042238A" w:rsidRDefault="00CC7A90" w:rsidP="00CC7A90">
      <w:pPr>
        <w:pStyle w:val="SingleTxtG"/>
        <w:spacing w:before="120"/>
        <w:ind w:left="2268" w:hanging="1134"/>
        <w:rPr>
          <w:lang w:val="fr-FR"/>
        </w:rPr>
      </w:pPr>
      <w:r w:rsidRPr="0042238A">
        <w:rPr>
          <w:lang w:val="fr-FR"/>
        </w:rPr>
        <w:t>6.2.2</w:t>
      </w:r>
      <w:r w:rsidRPr="0042238A">
        <w:rPr>
          <w:lang w:val="fr-FR"/>
        </w:rPr>
        <w:tab/>
        <w:t xml:space="preserve">Dans le NOTA 2, après « Les récipients à pression “UN” », supprimer « et les équipements de service ». </w:t>
      </w:r>
    </w:p>
    <w:p w14:paraId="4E04510C" w14:textId="77777777" w:rsidR="00CC7A90" w:rsidRPr="0042238A" w:rsidRDefault="00CC7A90" w:rsidP="00CC7A90">
      <w:pPr>
        <w:pStyle w:val="SingleTxtG"/>
        <w:spacing w:before="120"/>
        <w:ind w:left="2268" w:hanging="1134"/>
        <w:rPr>
          <w:lang w:val="fr-FR"/>
        </w:rPr>
      </w:pPr>
      <w:r w:rsidRPr="0042238A">
        <w:rPr>
          <w:lang w:val="fr-FR"/>
        </w:rPr>
        <w:t>6.2.2.1.1</w:t>
      </w:r>
      <w:r w:rsidRPr="0042238A">
        <w:rPr>
          <w:lang w:val="fr-FR"/>
        </w:rPr>
        <w:tab/>
        <w:t xml:space="preserve">Dans la première phrase, remplacer « bouteilles “UN” » par « enveloppes de bouteilles “UN” rechargeables ». </w:t>
      </w:r>
    </w:p>
    <w:p w14:paraId="72FFF664" w14:textId="77777777" w:rsidR="00847A57" w:rsidRPr="0042238A" w:rsidRDefault="00847A57" w:rsidP="00847A57">
      <w:pPr>
        <w:pStyle w:val="SingleTxtG"/>
        <w:ind w:left="2268" w:hanging="1134"/>
        <w:rPr>
          <w:lang w:val="fr-FR"/>
        </w:rPr>
      </w:pPr>
      <w:r w:rsidRPr="0042238A">
        <w:rPr>
          <w:lang w:val="fr-FR" w:eastAsia="en-US"/>
        </w:rPr>
        <w:tab/>
      </w:r>
      <w:r w:rsidRPr="0042238A">
        <w:rPr>
          <w:rFonts w:eastAsiaTheme="minorHAnsi"/>
          <w:lang w:val="fr-FR" w:eastAsia="en-US"/>
        </w:rPr>
        <w:t xml:space="preserve">Dans le tableau, pour « ISO 9809-1:2010 », dans la colonne « Applicable à la fabrication », remplacer « Jusqu’à nouvel ordre » par « Jusqu’au 31 décembre 2026 ». </w:t>
      </w:r>
      <w:r w:rsidRPr="0042238A">
        <w:rPr>
          <w:lang w:val="fr-FR"/>
        </w:rPr>
        <w:t>Après la rubrique existante pour la norme « </w:t>
      </w:r>
      <w:r w:rsidRPr="0042238A">
        <w:rPr>
          <w:rFonts w:eastAsiaTheme="minorHAnsi"/>
          <w:lang w:val="fr-FR" w:eastAsia="en-US"/>
        </w:rPr>
        <w:t>ISO 9809-1:2010</w:t>
      </w:r>
      <w:r w:rsidRPr="0042238A">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847A57" w:rsidRPr="0042238A" w14:paraId="70261D21" w14:textId="77777777" w:rsidTr="00FC798A">
        <w:tc>
          <w:tcPr>
            <w:tcW w:w="1544" w:type="dxa"/>
            <w:shd w:val="clear" w:color="auto" w:fill="auto"/>
          </w:tcPr>
          <w:p w14:paraId="609C49E5" w14:textId="77777777" w:rsidR="00847A57" w:rsidRPr="0042238A" w:rsidRDefault="00847A57" w:rsidP="00FC798A">
            <w:pPr>
              <w:kinsoku/>
              <w:overflowPunct/>
              <w:autoSpaceDE/>
              <w:autoSpaceDN/>
              <w:adjustRightInd/>
              <w:snapToGrid/>
              <w:rPr>
                <w:lang w:val="fr-FR" w:eastAsia="en-US"/>
              </w:rPr>
            </w:pPr>
            <w:r w:rsidRPr="0042238A">
              <w:rPr>
                <w:lang w:val="fr-FR" w:eastAsia="en-US"/>
              </w:rPr>
              <w:lastRenderedPageBreak/>
              <w:t xml:space="preserve">ISO 9809-1:2019 </w:t>
            </w:r>
          </w:p>
        </w:tc>
        <w:tc>
          <w:tcPr>
            <w:tcW w:w="4820" w:type="dxa"/>
            <w:shd w:val="clear" w:color="auto" w:fill="auto"/>
          </w:tcPr>
          <w:p w14:paraId="66CBC1DC" w14:textId="77777777" w:rsidR="00847A57" w:rsidRPr="0042238A" w:rsidRDefault="00847A57" w:rsidP="00FC798A">
            <w:pPr>
              <w:kinsoku/>
              <w:overflowPunct/>
              <w:autoSpaceDE/>
              <w:autoSpaceDN/>
              <w:adjustRightInd/>
              <w:snapToGrid/>
              <w:jc w:val="both"/>
              <w:rPr>
                <w:lang w:val="fr-FR" w:eastAsia="en-US"/>
              </w:rPr>
            </w:pPr>
            <w:r w:rsidRPr="0042238A">
              <w:rPr>
                <w:iCs/>
                <w:color w:val="000000"/>
                <w:lang w:val="fr-FR" w:eastAsia="en-US"/>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31D915CD" w14:textId="77777777" w:rsidR="00847A57" w:rsidRPr="0042238A" w:rsidRDefault="00847A57"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01387C05" w14:textId="77777777" w:rsidR="00847A57" w:rsidRPr="0042238A" w:rsidRDefault="00847A57" w:rsidP="00847A57">
      <w:pPr>
        <w:pStyle w:val="SingleTxtG"/>
        <w:tabs>
          <w:tab w:val="left" w:pos="2268"/>
        </w:tabs>
        <w:spacing w:before="120"/>
        <w:ind w:left="2268" w:hanging="1134"/>
        <w:rPr>
          <w:lang w:val="fr-FR"/>
        </w:rPr>
      </w:pPr>
      <w:r w:rsidRPr="0042238A">
        <w:rPr>
          <w:lang w:val="fr-FR" w:eastAsia="en-US"/>
        </w:rPr>
        <w:tab/>
      </w:r>
      <w:r w:rsidRPr="0042238A">
        <w:rPr>
          <w:lang w:val="fr-FR" w:eastAsia="en-US"/>
        </w:rPr>
        <w:tab/>
      </w:r>
      <w:r w:rsidRPr="0042238A">
        <w:rPr>
          <w:rFonts w:eastAsiaTheme="minorHAnsi"/>
          <w:lang w:val="fr-FR" w:eastAsia="en-US"/>
        </w:rPr>
        <w:t xml:space="preserve">Dans le tableau, pour « ISO 9809-2:2010 », dans la colonne « Applicable à la fabrication », remplacer « Jusqu’à nouvel ordre » par « Jusqu’au 31 décembre 2026 ». </w:t>
      </w:r>
      <w:r w:rsidRPr="0042238A">
        <w:rPr>
          <w:lang w:val="fr-FR"/>
        </w:rPr>
        <w:t>Après la rubrique existante pour la norme « I</w:t>
      </w:r>
      <w:r w:rsidRPr="0042238A">
        <w:rPr>
          <w:rFonts w:eastAsiaTheme="minorHAnsi"/>
          <w:lang w:val="fr-FR" w:eastAsia="en-US"/>
        </w:rPr>
        <w:t>SO 9809-2:2010</w:t>
      </w:r>
      <w:r w:rsidRPr="0042238A">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847A57" w:rsidRPr="0042238A" w14:paraId="40DE2640" w14:textId="77777777" w:rsidTr="00FC798A">
        <w:tc>
          <w:tcPr>
            <w:tcW w:w="1544" w:type="dxa"/>
            <w:shd w:val="clear" w:color="auto" w:fill="auto"/>
          </w:tcPr>
          <w:p w14:paraId="6EFA7733" w14:textId="77777777" w:rsidR="00847A57" w:rsidRPr="0042238A" w:rsidRDefault="00847A57" w:rsidP="00FC798A">
            <w:pPr>
              <w:kinsoku/>
              <w:overflowPunct/>
              <w:autoSpaceDE/>
              <w:autoSpaceDN/>
              <w:adjustRightInd/>
              <w:snapToGrid/>
              <w:rPr>
                <w:lang w:val="fr-FR" w:eastAsia="en-US"/>
              </w:rPr>
            </w:pPr>
            <w:r w:rsidRPr="0042238A">
              <w:rPr>
                <w:lang w:val="fr-FR" w:eastAsia="en-US"/>
              </w:rPr>
              <w:t xml:space="preserve">ISO 9809-2:2019 </w:t>
            </w:r>
          </w:p>
        </w:tc>
        <w:tc>
          <w:tcPr>
            <w:tcW w:w="4820" w:type="dxa"/>
            <w:shd w:val="clear" w:color="auto" w:fill="auto"/>
          </w:tcPr>
          <w:p w14:paraId="19BBBFE4" w14:textId="77777777" w:rsidR="00847A57" w:rsidRPr="0042238A" w:rsidRDefault="00847A57" w:rsidP="00FC798A">
            <w:pPr>
              <w:kinsoku/>
              <w:overflowPunct/>
              <w:autoSpaceDE/>
              <w:autoSpaceDN/>
              <w:adjustRightInd/>
              <w:snapToGrid/>
              <w:jc w:val="both"/>
              <w:rPr>
                <w:lang w:val="fr-FR" w:eastAsia="en-US"/>
              </w:rPr>
            </w:pPr>
            <w:r w:rsidRPr="0042238A">
              <w:rPr>
                <w:iCs/>
                <w:color w:val="000000"/>
                <w:lang w:val="fr-FR" w:eastAsia="en-US"/>
              </w:rPr>
              <w:t>Bouteilles à gaz — Conception, construction et essais des bouteilles à gaz et des tubes rechargeables en acier sans soudure — Partie 2: Bouteilles et tubes en acier trempé et revenu ayant une résistance à la traction supérieure ou égale à 1 100 MPa</w:t>
            </w:r>
          </w:p>
        </w:tc>
        <w:tc>
          <w:tcPr>
            <w:tcW w:w="1275" w:type="dxa"/>
            <w:shd w:val="clear" w:color="auto" w:fill="auto"/>
          </w:tcPr>
          <w:p w14:paraId="52BD3D1B" w14:textId="77777777" w:rsidR="00847A57" w:rsidRPr="0042238A" w:rsidRDefault="00847A57"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256E3F3E" w14:textId="77777777" w:rsidR="00847A57" w:rsidRPr="0042238A" w:rsidRDefault="00847A57" w:rsidP="00847A57">
      <w:pPr>
        <w:pStyle w:val="SingleTxtG"/>
        <w:tabs>
          <w:tab w:val="left" w:pos="2268"/>
        </w:tabs>
        <w:spacing w:before="120"/>
        <w:ind w:left="2268" w:hanging="1134"/>
        <w:rPr>
          <w:lang w:val="fr-FR"/>
        </w:rPr>
      </w:pPr>
      <w:r w:rsidRPr="0042238A">
        <w:rPr>
          <w:lang w:val="fr-FR" w:eastAsia="en-US"/>
        </w:rPr>
        <w:tab/>
      </w:r>
      <w:r w:rsidRPr="0042238A">
        <w:rPr>
          <w:lang w:val="fr-FR" w:eastAsia="en-US"/>
        </w:rPr>
        <w:tab/>
      </w:r>
      <w:r w:rsidRPr="0042238A">
        <w:rPr>
          <w:rFonts w:eastAsiaTheme="minorHAnsi"/>
          <w:lang w:val="fr-FR" w:eastAsia="en-US"/>
        </w:rPr>
        <w:t xml:space="preserve">Dans le tableau, pour « ISO 9809-3:2010 », dans la colonne « Applicable à la fabrication », remplacer « Jusqu’à nouvel ordre » par « Jusqu’au 31 décembre 2026 ». </w:t>
      </w:r>
      <w:r w:rsidRPr="0042238A">
        <w:rPr>
          <w:lang w:val="fr-FR"/>
        </w:rPr>
        <w:t>Après la rubrique existante pour la norme « I</w:t>
      </w:r>
      <w:r w:rsidRPr="0042238A">
        <w:rPr>
          <w:rFonts w:eastAsiaTheme="minorHAnsi"/>
          <w:lang w:val="fr-FR" w:eastAsia="en-US"/>
        </w:rPr>
        <w:t>SO 9809-3:2010</w:t>
      </w:r>
      <w:r w:rsidRPr="0042238A">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847A57" w:rsidRPr="0042238A" w14:paraId="2E59C05D" w14:textId="77777777" w:rsidTr="00FC798A">
        <w:tc>
          <w:tcPr>
            <w:tcW w:w="1544" w:type="dxa"/>
            <w:shd w:val="clear" w:color="auto" w:fill="auto"/>
          </w:tcPr>
          <w:p w14:paraId="117CE6C6" w14:textId="77777777" w:rsidR="00847A57" w:rsidRPr="0042238A" w:rsidRDefault="00847A57" w:rsidP="00FC798A">
            <w:pPr>
              <w:kinsoku/>
              <w:overflowPunct/>
              <w:autoSpaceDE/>
              <w:autoSpaceDN/>
              <w:adjustRightInd/>
              <w:snapToGrid/>
              <w:rPr>
                <w:lang w:val="fr-FR" w:eastAsia="en-US"/>
              </w:rPr>
            </w:pPr>
            <w:r w:rsidRPr="0042238A">
              <w:rPr>
                <w:lang w:val="fr-FR" w:eastAsia="en-US"/>
              </w:rPr>
              <w:t xml:space="preserve">ISO 9809-3:2019 </w:t>
            </w:r>
          </w:p>
        </w:tc>
        <w:tc>
          <w:tcPr>
            <w:tcW w:w="4820" w:type="dxa"/>
            <w:shd w:val="clear" w:color="auto" w:fill="auto"/>
          </w:tcPr>
          <w:p w14:paraId="7FADE4B6" w14:textId="77777777" w:rsidR="00847A57" w:rsidRPr="0042238A" w:rsidRDefault="00847A57" w:rsidP="00FC798A">
            <w:pPr>
              <w:kinsoku/>
              <w:overflowPunct/>
              <w:autoSpaceDE/>
              <w:autoSpaceDN/>
              <w:adjustRightInd/>
              <w:snapToGrid/>
              <w:jc w:val="both"/>
              <w:rPr>
                <w:lang w:val="fr-FR" w:eastAsia="en-US"/>
              </w:rPr>
            </w:pPr>
            <w:r w:rsidRPr="0042238A">
              <w:rPr>
                <w:iCs/>
                <w:color w:val="000000"/>
                <w:lang w:val="fr-FR" w:eastAsia="en-US"/>
              </w:rPr>
              <w:t>Bouteilles à gaz — Conception, construction et essais des bouteilles à gaz et des tubes rechargeables en acier sans soudure — Partie 3: Bouteilles et tubes en acier normalisé</w:t>
            </w:r>
          </w:p>
        </w:tc>
        <w:tc>
          <w:tcPr>
            <w:tcW w:w="1275" w:type="dxa"/>
            <w:shd w:val="clear" w:color="auto" w:fill="auto"/>
          </w:tcPr>
          <w:p w14:paraId="4D2C0F74" w14:textId="77777777" w:rsidR="00847A57" w:rsidRPr="0042238A" w:rsidRDefault="00847A57"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16A610BB" w14:textId="77777777" w:rsidR="00CC7A90" w:rsidRPr="0042238A" w:rsidRDefault="00CC7A90" w:rsidP="00CC7A90">
      <w:pPr>
        <w:pStyle w:val="SingleTxtG"/>
        <w:spacing w:before="120"/>
        <w:ind w:left="2268" w:hanging="1134"/>
        <w:rPr>
          <w:lang w:val="fr-FR"/>
        </w:rPr>
      </w:pPr>
      <w:r w:rsidRPr="0042238A">
        <w:rPr>
          <w:lang w:val="fr-FR"/>
        </w:rPr>
        <w:tab/>
        <w:t xml:space="preserve">Dans le tableau, supprimer les lignes correspondant aux références ISO 11118:1999 et ISO 11118:2015. </w:t>
      </w:r>
    </w:p>
    <w:p w14:paraId="7BDC8177" w14:textId="43BCE3EC" w:rsidR="00CC7A90" w:rsidRPr="0042238A" w:rsidRDefault="00CC7A90" w:rsidP="00CC7A90">
      <w:pPr>
        <w:pStyle w:val="SingleTxtG"/>
        <w:spacing w:before="120"/>
        <w:ind w:left="2268" w:hanging="1134"/>
        <w:rPr>
          <w:lang w:val="fr-FR"/>
        </w:rPr>
      </w:pPr>
      <w:r w:rsidRPr="0042238A">
        <w:rPr>
          <w:lang w:val="fr-FR"/>
        </w:rPr>
        <w:tab/>
        <w:t xml:space="preserve">Dans le </w:t>
      </w:r>
      <w:r w:rsidR="002B38D7" w:rsidRPr="0042238A">
        <w:rPr>
          <w:lang w:val="fr-FR"/>
        </w:rPr>
        <w:t xml:space="preserve">Nota 1 </w:t>
      </w:r>
      <w:r w:rsidR="00FC7E80" w:rsidRPr="0042238A">
        <w:rPr>
          <w:lang w:val="fr-FR"/>
        </w:rPr>
        <w:t>après le tableau</w:t>
      </w:r>
      <w:r w:rsidRPr="0042238A">
        <w:rPr>
          <w:bCs/>
          <w:iCs/>
          <w:lang w:val="fr-FR"/>
        </w:rPr>
        <w:t>,</w:t>
      </w:r>
      <w:r w:rsidRPr="0042238A">
        <w:rPr>
          <w:lang w:val="fr-FR"/>
        </w:rPr>
        <w:t xml:space="preserve"> remplacer « </w:t>
      </w:r>
      <w:r w:rsidRPr="0042238A">
        <w:rPr>
          <w:i/>
          <w:lang w:val="fr-FR"/>
        </w:rPr>
        <w:t>bouteilles à gaz composites</w:t>
      </w:r>
      <w:r w:rsidRPr="0042238A">
        <w:rPr>
          <w:lang w:val="fr-FR"/>
        </w:rPr>
        <w:t xml:space="preserve"> » par « </w:t>
      </w:r>
      <w:r w:rsidRPr="0042238A">
        <w:rPr>
          <w:i/>
          <w:lang w:val="fr-FR"/>
        </w:rPr>
        <w:t>enveloppes de bouteilles à gaz composites</w:t>
      </w:r>
      <w:r w:rsidRPr="0042238A">
        <w:rPr>
          <w:lang w:val="fr-FR"/>
        </w:rPr>
        <w:t xml:space="preserve"> ». </w:t>
      </w:r>
    </w:p>
    <w:p w14:paraId="555FA086" w14:textId="385515C5" w:rsidR="00CC7A90" w:rsidRPr="0042238A" w:rsidRDefault="00CC7A90" w:rsidP="00CC7A90">
      <w:pPr>
        <w:pStyle w:val="SingleTxtG"/>
        <w:spacing w:before="120"/>
        <w:ind w:left="2268" w:hanging="1134"/>
        <w:rPr>
          <w:lang w:val="fr-FR"/>
        </w:rPr>
      </w:pPr>
      <w:r w:rsidRPr="0042238A">
        <w:rPr>
          <w:lang w:val="fr-FR"/>
        </w:rPr>
        <w:tab/>
        <w:t xml:space="preserve">Dans la première phrase du </w:t>
      </w:r>
      <w:r w:rsidR="00A05DB4" w:rsidRPr="0042238A">
        <w:rPr>
          <w:lang w:val="fr-FR"/>
        </w:rPr>
        <w:t>Nota 2</w:t>
      </w:r>
      <w:r w:rsidR="00FC7E80" w:rsidRPr="0042238A">
        <w:rPr>
          <w:b/>
          <w:bCs/>
          <w:i/>
          <w:iCs/>
          <w:lang w:val="fr-FR"/>
        </w:rPr>
        <w:t xml:space="preserve"> </w:t>
      </w:r>
      <w:r w:rsidR="00FC7E80" w:rsidRPr="0042238A">
        <w:rPr>
          <w:lang w:val="fr-FR"/>
        </w:rPr>
        <w:t>après le tableau</w:t>
      </w:r>
      <w:r w:rsidRPr="0042238A">
        <w:rPr>
          <w:bCs/>
          <w:iCs/>
          <w:lang w:val="fr-FR"/>
        </w:rPr>
        <w:t>,</w:t>
      </w:r>
      <w:r w:rsidRPr="0042238A">
        <w:rPr>
          <w:lang w:val="fr-FR"/>
        </w:rPr>
        <w:t xml:space="preserve"> remplacer « </w:t>
      </w:r>
      <w:r w:rsidRPr="0042238A">
        <w:rPr>
          <w:i/>
          <w:lang w:val="fr-FR"/>
        </w:rPr>
        <w:t>bouteilles composites</w:t>
      </w:r>
      <w:r w:rsidRPr="0042238A">
        <w:rPr>
          <w:lang w:val="fr-FR"/>
        </w:rPr>
        <w:t> » par « </w:t>
      </w:r>
      <w:r w:rsidRPr="0042238A">
        <w:rPr>
          <w:i/>
          <w:lang w:val="fr-FR"/>
        </w:rPr>
        <w:t>enveloppes de bouteilles composites</w:t>
      </w:r>
      <w:r w:rsidRPr="0042238A">
        <w:rPr>
          <w:lang w:val="fr-FR"/>
        </w:rPr>
        <w:t> ». Dans la deuxième phrase, remplacer « </w:t>
      </w:r>
      <w:r w:rsidRPr="0042238A">
        <w:rPr>
          <w:i/>
          <w:lang w:val="fr-FR"/>
        </w:rPr>
        <w:t>bouteilles</w:t>
      </w:r>
      <w:r w:rsidRPr="0042238A">
        <w:rPr>
          <w:lang w:val="fr-FR"/>
        </w:rPr>
        <w:t> » par « </w:t>
      </w:r>
      <w:r w:rsidRPr="0042238A">
        <w:rPr>
          <w:i/>
          <w:lang w:val="fr-FR"/>
        </w:rPr>
        <w:t>enveloppes de bouteilles composite </w:t>
      </w:r>
      <w:r w:rsidRPr="0042238A">
        <w:rPr>
          <w:lang w:val="fr-FR"/>
        </w:rPr>
        <w:t>». Dans la dernière phrase, remplacer « </w:t>
      </w:r>
      <w:r w:rsidRPr="0042238A">
        <w:rPr>
          <w:i/>
          <w:lang w:val="fr-FR"/>
        </w:rPr>
        <w:t>bouteille composite</w:t>
      </w:r>
      <w:r w:rsidRPr="0042238A">
        <w:rPr>
          <w:lang w:val="fr-FR"/>
        </w:rPr>
        <w:t> » par « </w:t>
      </w:r>
      <w:r w:rsidRPr="0042238A">
        <w:rPr>
          <w:i/>
          <w:lang w:val="fr-FR"/>
        </w:rPr>
        <w:t>enveloppe de bouteille composite</w:t>
      </w:r>
      <w:r w:rsidRPr="0042238A">
        <w:rPr>
          <w:lang w:val="fr-FR"/>
        </w:rPr>
        <w:t> ».</w:t>
      </w:r>
    </w:p>
    <w:p w14:paraId="5CC7BD28" w14:textId="77777777" w:rsidR="00CC7A90" w:rsidRPr="0042238A" w:rsidRDefault="00CC7A90" w:rsidP="00CC7A90">
      <w:pPr>
        <w:pStyle w:val="SingleTxtG"/>
        <w:spacing w:before="120"/>
        <w:ind w:left="2268" w:hanging="1134"/>
        <w:rPr>
          <w:lang w:val="fr-FR"/>
        </w:rPr>
      </w:pPr>
      <w:r w:rsidRPr="0042238A">
        <w:rPr>
          <w:lang w:val="fr-FR"/>
        </w:rPr>
        <w:t>6.2.2.1.2</w:t>
      </w:r>
      <w:r w:rsidRPr="0042238A">
        <w:rPr>
          <w:lang w:val="fr-FR"/>
        </w:rPr>
        <w:tab/>
        <w:t xml:space="preserve">Dans la première phrase, remplacer « tubes </w:t>
      </w:r>
      <w:r w:rsidRPr="008F75CD">
        <w:rPr>
          <w:bCs/>
          <w:lang w:val="fr-FR"/>
        </w:rPr>
        <w:t>“</w:t>
      </w:r>
      <w:r w:rsidRPr="0042238A">
        <w:rPr>
          <w:lang w:val="fr-FR"/>
        </w:rPr>
        <w:t>UN</w:t>
      </w:r>
      <w:r w:rsidRPr="008F75CD">
        <w:rPr>
          <w:bCs/>
          <w:lang w:val="fr-FR"/>
        </w:rPr>
        <w:t>”</w:t>
      </w:r>
      <w:r w:rsidRPr="0042238A">
        <w:rPr>
          <w:lang w:val="fr-FR"/>
        </w:rPr>
        <w:t xml:space="preserve"> » par « enveloppes de tubes </w:t>
      </w:r>
      <w:r w:rsidRPr="008F75CD">
        <w:rPr>
          <w:bCs/>
          <w:lang w:val="fr-FR"/>
        </w:rPr>
        <w:t>“</w:t>
      </w:r>
      <w:r w:rsidRPr="0042238A">
        <w:rPr>
          <w:lang w:val="fr-FR"/>
        </w:rPr>
        <w:t>UN</w:t>
      </w:r>
      <w:r w:rsidRPr="008F75CD">
        <w:rPr>
          <w:bCs/>
          <w:lang w:val="fr-FR"/>
        </w:rPr>
        <w:t>”</w:t>
      </w:r>
      <w:r w:rsidRPr="0042238A">
        <w:rPr>
          <w:lang w:val="fr-FR"/>
        </w:rPr>
        <w:t xml:space="preserve"> ». </w:t>
      </w:r>
    </w:p>
    <w:p w14:paraId="75B08F4E" w14:textId="77777777" w:rsidR="00CC7A90" w:rsidRPr="0042238A" w:rsidRDefault="00CC7A90" w:rsidP="00CC7A90">
      <w:pPr>
        <w:pStyle w:val="SingleTxtG"/>
        <w:spacing w:before="120"/>
        <w:ind w:left="2268" w:hanging="1134"/>
        <w:rPr>
          <w:lang w:val="fr-FR"/>
        </w:rPr>
      </w:pPr>
      <w:r w:rsidRPr="0042238A">
        <w:rPr>
          <w:lang w:val="fr-FR"/>
        </w:rPr>
        <w:tab/>
      </w:r>
      <w:r w:rsidRPr="0042238A">
        <w:rPr>
          <w:lang w:val="fr-FR"/>
        </w:rPr>
        <w:tab/>
        <w:t>Dans le tableau, pour la norme ISO 11515:2013, remplacer « Jusqu’à nouvel ordre » par « Jusqu’au 31 décembre 2026 ». Après la norme ISO 11515:2013,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CC7A90" w:rsidRPr="0042238A" w14:paraId="4DB7A0E4" w14:textId="77777777" w:rsidTr="00FC798A">
        <w:tc>
          <w:tcPr>
            <w:tcW w:w="1544" w:type="dxa"/>
            <w:shd w:val="clear" w:color="auto" w:fill="auto"/>
          </w:tcPr>
          <w:p w14:paraId="11769322" w14:textId="77777777" w:rsidR="00CC7A90" w:rsidRPr="008F75CD" w:rsidRDefault="00CC7A90" w:rsidP="00FC798A">
            <w:pPr>
              <w:rPr>
                <w:lang w:val="fr-FR"/>
              </w:rPr>
            </w:pPr>
            <w:r w:rsidRPr="0042238A">
              <w:rPr>
                <w:lang w:val="fr-FR"/>
              </w:rPr>
              <w:t xml:space="preserve">ISO 11515:2013 + </w:t>
            </w:r>
            <w:proofErr w:type="spellStart"/>
            <w:r w:rsidRPr="0042238A">
              <w:rPr>
                <w:lang w:val="fr-FR"/>
              </w:rPr>
              <w:t>Amd</w:t>
            </w:r>
            <w:proofErr w:type="spellEnd"/>
            <w:r w:rsidRPr="0042238A">
              <w:rPr>
                <w:lang w:val="fr-FR"/>
              </w:rPr>
              <w:t xml:space="preserve"> 1:2018 </w:t>
            </w:r>
          </w:p>
        </w:tc>
        <w:tc>
          <w:tcPr>
            <w:tcW w:w="4820" w:type="dxa"/>
            <w:shd w:val="clear" w:color="auto" w:fill="auto"/>
          </w:tcPr>
          <w:p w14:paraId="0CF73321" w14:textId="77777777" w:rsidR="00CC7A90" w:rsidRPr="0042238A" w:rsidRDefault="00CC7A90" w:rsidP="00FC798A">
            <w:pPr>
              <w:rPr>
                <w:lang w:val="fr-FR"/>
              </w:rPr>
            </w:pPr>
            <w:r w:rsidRPr="0042238A">
              <w:rPr>
                <w:lang w:val="fr-FR"/>
              </w:rPr>
              <w:t>Bouteilles à gaz − Bouteilles tubulaires en composite renforcé rechargeables d’une capacité de 450 </w:t>
            </w:r>
            <w:r w:rsidRPr="0042238A">
              <w:rPr>
                <w:i/>
                <w:iCs/>
                <w:lang w:val="fr-FR"/>
              </w:rPr>
              <w:t>l</w:t>
            </w:r>
            <w:r w:rsidRPr="0042238A">
              <w:rPr>
                <w:lang w:val="fr-FR"/>
              </w:rPr>
              <w:t xml:space="preserve"> à 3 000 </w:t>
            </w:r>
            <w:r w:rsidRPr="0042238A">
              <w:rPr>
                <w:i/>
                <w:iCs/>
                <w:lang w:val="fr-FR"/>
              </w:rPr>
              <w:t>l</w:t>
            </w:r>
            <w:r w:rsidRPr="0042238A">
              <w:rPr>
                <w:lang w:val="fr-FR"/>
              </w:rPr>
              <w:t xml:space="preserve"> − Conception, construction et essais</w:t>
            </w:r>
          </w:p>
        </w:tc>
        <w:tc>
          <w:tcPr>
            <w:tcW w:w="1275" w:type="dxa"/>
            <w:shd w:val="clear" w:color="auto" w:fill="auto"/>
          </w:tcPr>
          <w:p w14:paraId="0271402D" w14:textId="77777777" w:rsidR="00CC7A90" w:rsidRPr="008F75CD" w:rsidRDefault="00CC7A90" w:rsidP="00FC798A">
            <w:pPr>
              <w:rPr>
                <w:lang w:val="fr-FR"/>
              </w:rPr>
            </w:pPr>
            <w:r w:rsidRPr="0042238A">
              <w:rPr>
                <w:lang w:val="fr-FR"/>
              </w:rPr>
              <w:t>Jusqu’à nouvel ordre</w:t>
            </w:r>
          </w:p>
        </w:tc>
      </w:tr>
    </w:tbl>
    <w:p w14:paraId="0431551C" w14:textId="4ED42184" w:rsidR="006931F9" w:rsidRPr="0042238A" w:rsidRDefault="006931F9" w:rsidP="006931F9">
      <w:pPr>
        <w:pStyle w:val="SingleTxtG"/>
        <w:spacing w:before="120"/>
        <w:ind w:left="2268" w:hanging="1134"/>
        <w:rPr>
          <w:lang w:val="fr-FR"/>
        </w:rPr>
      </w:pPr>
      <w:r w:rsidRPr="0042238A">
        <w:rPr>
          <w:lang w:val="fr-FR" w:eastAsia="en-US"/>
        </w:rPr>
        <w:tab/>
      </w:r>
      <w:r w:rsidRPr="0042238A">
        <w:rPr>
          <w:lang w:val="fr-FR" w:eastAsia="en-US"/>
        </w:rPr>
        <w:tab/>
        <w:t xml:space="preserve">À la fin du tableau, </w:t>
      </w:r>
      <w:r w:rsidRPr="0042238A">
        <w:rPr>
          <w:lang w:val="fr-FR"/>
        </w:rPr>
        <w:t>ajouter les nouvelles rubriques suivantes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931F9" w:rsidRPr="0042238A" w14:paraId="09F81C4B" w14:textId="77777777" w:rsidTr="00FC798A">
        <w:tc>
          <w:tcPr>
            <w:tcW w:w="1544" w:type="dxa"/>
            <w:shd w:val="clear" w:color="auto" w:fill="auto"/>
          </w:tcPr>
          <w:p w14:paraId="739AD82E" w14:textId="77777777" w:rsidR="006931F9" w:rsidRPr="0042238A" w:rsidRDefault="006931F9" w:rsidP="00FC798A">
            <w:pPr>
              <w:kinsoku/>
              <w:overflowPunct/>
              <w:autoSpaceDE/>
              <w:autoSpaceDN/>
              <w:adjustRightInd/>
              <w:snapToGrid/>
              <w:rPr>
                <w:lang w:val="fr-FR" w:eastAsia="en-US"/>
              </w:rPr>
            </w:pPr>
            <w:r w:rsidRPr="0042238A">
              <w:rPr>
                <w:lang w:val="fr-FR" w:eastAsia="en-US"/>
              </w:rPr>
              <w:t>ISO 9809-1:2019</w:t>
            </w:r>
          </w:p>
        </w:tc>
        <w:tc>
          <w:tcPr>
            <w:tcW w:w="4820" w:type="dxa"/>
            <w:shd w:val="clear" w:color="auto" w:fill="auto"/>
          </w:tcPr>
          <w:p w14:paraId="166441B8" w14:textId="77777777" w:rsidR="006931F9" w:rsidRPr="0042238A" w:rsidRDefault="006931F9" w:rsidP="00FC798A">
            <w:pPr>
              <w:kinsoku/>
              <w:overflowPunct/>
              <w:autoSpaceDE/>
              <w:autoSpaceDN/>
              <w:adjustRightInd/>
              <w:snapToGrid/>
              <w:jc w:val="both"/>
              <w:rPr>
                <w:lang w:val="fr-FR" w:eastAsia="en-US"/>
              </w:rPr>
            </w:pPr>
            <w:r w:rsidRPr="0042238A">
              <w:rPr>
                <w:iCs/>
                <w:color w:val="000000"/>
                <w:lang w:val="fr-FR" w:eastAsia="en-US"/>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1F39DDA1" w14:textId="77777777" w:rsidR="006931F9" w:rsidRPr="0042238A" w:rsidRDefault="006931F9" w:rsidP="00FC798A">
            <w:pPr>
              <w:kinsoku/>
              <w:overflowPunct/>
              <w:autoSpaceDE/>
              <w:autoSpaceDN/>
              <w:adjustRightInd/>
              <w:snapToGrid/>
              <w:rPr>
                <w:lang w:val="fr-FR" w:eastAsia="en-US"/>
              </w:rPr>
            </w:pPr>
            <w:r w:rsidRPr="0042238A">
              <w:rPr>
                <w:rFonts w:eastAsiaTheme="minorHAnsi"/>
                <w:lang w:val="fr-FR" w:eastAsia="en-US"/>
              </w:rPr>
              <w:t>Jusqu’à nouvel ordre</w:t>
            </w:r>
          </w:p>
        </w:tc>
      </w:tr>
      <w:tr w:rsidR="006931F9" w:rsidRPr="0042238A" w14:paraId="1E43C308" w14:textId="77777777" w:rsidTr="00FC798A">
        <w:tc>
          <w:tcPr>
            <w:tcW w:w="1544" w:type="dxa"/>
            <w:shd w:val="clear" w:color="auto" w:fill="auto"/>
          </w:tcPr>
          <w:p w14:paraId="0E622292" w14:textId="77777777" w:rsidR="006931F9" w:rsidRPr="0042238A" w:rsidRDefault="006931F9" w:rsidP="00FC798A">
            <w:pPr>
              <w:kinsoku/>
              <w:overflowPunct/>
              <w:autoSpaceDE/>
              <w:autoSpaceDN/>
              <w:adjustRightInd/>
              <w:snapToGrid/>
              <w:rPr>
                <w:lang w:val="fr-FR" w:eastAsia="en-US"/>
              </w:rPr>
            </w:pPr>
            <w:r w:rsidRPr="0042238A">
              <w:rPr>
                <w:lang w:val="fr-FR" w:eastAsia="en-US"/>
              </w:rPr>
              <w:t>ISO 9809-2:2019</w:t>
            </w:r>
          </w:p>
        </w:tc>
        <w:tc>
          <w:tcPr>
            <w:tcW w:w="4820" w:type="dxa"/>
            <w:shd w:val="clear" w:color="auto" w:fill="auto"/>
          </w:tcPr>
          <w:p w14:paraId="65D4ECCA" w14:textId="77777777" w:rsidR="006931F9" w:rsidRPr="0042238A" w:rsidRDefault="006931F9" w:rsidP="00FC798A">
            <w:pPr>
              <w:kinsoku/>
              <w:overflowPunct/>
              <w:autoSpaceDE/>
              <w:autoSpaceDN/>
              <w:adjustRightInd/>
              <w:snapToGrid/>
              <w:jc w:val="both"/>
              <w:rPr>
                <w:iCs/>
                <w:color w:val="000000"/>
                <w:lang w:val="fr-FR" w:eastAsia="en-US"/>
              </w:rPr>
            </w:pPr>
            <w:r w:rsidRPr="0042238A">
              <w:rPr>
                <w:iCs/>
                <w:color w:val="000000"/>
                <w:lang w:val="fr-FR" w:eastAsia="en-US"/>
              </w:rPr>
              <w:t>Bouteilles à gaz — Conception, construction et essais des bouteilles à gaz et des tubes rechargeables en acier sans soudure — Partie 2: Bouteilles et tubes en acier trempé et revenu ayant une résistance à la traction supérieure ou égale à 1 100 MPa</w:t>
            </w:r>
          </w:p>
        </w:tc>
        <w:tc>
          <w:tcPr>
            <w:tcW w:w="1275" w:type="dxa"/>
            <w:shd w:val="clear" w:color="auto" w:fill="auto"/>
          </w:tcPr>
          <w:p w14:paraId="348CF29A" w14:textId="77777777" w:rsidR="006931F9" w:rsidRPr="0042238A" w:rsidRDefault="006931F9" w:rsidP="00FC798A">
            <w:pPr>
              <w:kinsoku/>
              <w:overflowPunct/>
              <w:autoSpaceDE/>
              <w:autoSpaceDN/>
              <w:adjustRightInd/>
              <w:snapToGrid/>
              <w:rPr>
                <w:rFonts w:eastAsiaTheme="minorHAnsi"/>
                <w:lang w:val="fr-FR" w:eastAsia="en-US"/>
              </w:rPr>
            </w:pPr>
            <w:r w:rsidRPr="0042238A">
              <w:rPr>
                <w:rFonts w:eastAsiaTheme="minorHAnsi"/>
                <w:lang w:val="fr-FR" w:eastAsia="en-US"/>
              </w:rPr>
              <w:t>Jusqu’à nouvel ordre</w:t>
            </w:r>
          </w:p>
        </w:tc>
      </w:tr>
      <w:tr w:rsidR="006931F9" w:rsidRPr="0042238A" w14:paraId="2B204F96" w14:textId="77777777" w:rsidTr="00FC798A">
        <w:tc>
          <w:tcPr>
            <w:tcW w:w="1544" w:type="dxa"/>
            <w:shd w:val="clear" w:color="auto" w:fill="auto"/>
          </w:tcPr>
          <w:p w14:paraId="289DCF84" w14:textId="77777777" w:rsidR="006931F9" w:rsidRPr="0042238A" w:rsidRDefault="006931F9" w:rsidP="00FC798A">
            <w:pPr>
              <w:kinsoku/>
              <w:overflowPunct/>
              <w:autoSpaceDE/>
              <w:autoSpaceDN/>
              <w:adjustRightInd/>
              <w:snapToGrid/>
              <w:rPr>
                <w:lang w:val="fr-FR" w:eastAsia="en-US"/>
              </w:rPr>
            </w:pPr>
            <w:r w:rsidRPr="0042238A">
              <w:rPr>
                <w:lang w:val="fr-FR" w:eastAsia="en-US"/>
              </w:rPr>
              <w:t xml:space="preserve">ISO 9809-3:2019 </w:t>
            </w:r>
          </w:p>
        </w:tc>
        <w:tc>
          <w:tcPr>
            <w:tcW w:w="4820" w:type="dxa"/>
            <w:shd w:val="clear" w:color="auto" w:fill="auto"/>
          </w:tcPr>
          <w:p w14:paraId="492ECAFA" w14:textId="77777777" w:rsidR="006931F9" w:rsidRPr="0042238A" w:rsidRDefault="006931F9" w:rsidP="00FC798A">
            <w:pPr>
              <w:kinsoku/>
              <w:overflowPunct/>
              <w:autoSpaceDE/>
              <w:autoSpaceDN/>
              <w:adjustRightInd/>
              <w:snapToGrid/>
              <w:jc w:val="both"/>
              <w:rPr>
                <w:lang w:val="fr-FR" w:eastAsia="en-US"/>
              </w:rPr>
            </w:pPr>
            <w:r w:rsidRPr="0042238A">
              <w:rPr>
                <w:iCs/>
                <w:color w:val="000000"/>
                <w:lang w:val="fr-FR" w:eastAsia="en-US"/>
              </w:rPr>
              <w:t>Bouteilles à gaz — Conception, construction et essais des bouteilles à gaz et des tubes rechargeables en acier sans soudure — Partie 3: Bouteilles et tubes en acier normalisé</w:t>
            </w:r>
          </w:p>
        </w:tc>
        <w:tc>
          <w:tcPr>
            <w:tcW w:w="1275" w:type="dxa"/>
            <w:shd w:val="clear" w:color="auto" w:fill="auto"/>
          </w:tcPr>
          <w:p w14:paraId="232DB25D" w14:textId="77777777" w:rsidR="006931F9" w:rsidRPr="0042238A" w:rsidRDefault="006931F9"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18A41A8F" w14:textId="252FB5DC" w:rsidR="00CC7A90" w:rsidRPr="0042238A" w:rsidRDefault="00CC7A90" w:rsidP="00CC7A90">
      <w:pPr>
        <w:pStyle w:val="SingleTxtG"/>
        <w:spacing w:before="120"/>
        <w:ind w:left="2268" w:hanging="1134"/>
        <w:rPr>
          <w:lang w:val="fr-FR"/>
        </w:rPr>
      </w:pPr>
      <w:r w:rsidRPr="0042238A">
        <w:rPr>
          <w:lang w:val="fr-FR"/>
        </w:rPr>
        <w:lastRenderedPageBreak/>
        <w:tab/>
        <w:t>Dans le Nota 1</w:t>
      </w:r>
      <w:r w:rsidR="002B38D7" w:rsidRPr="0042238A">
        <w:rPr>
          <w:lang w:val="fr-FR"/>
        </w:rPr>
        <w:t xml:space="preserve"> après le tableau</w:t>
      </w:r>
      <w:r w:rsidRPr="0042238A">
        <w:rPr>
          <w:bCs/>
          <w:iCs/>
          <w:lang w:val="fr-FR"/>
        </w:rPr>
        <w:t>,</w:t>
      </w:r>
      <w:r w:rsidRPr="0042238A">
        <w:rPr>
          <w:lang w:val="fr-FR"/>
        </w:rPr>
        <w:t xml:space="preserve"> remplacer « </w:t>
      </w:r>
      <w:r w:rsidRPr="0042238A">
        <w:rPr>
          <w:i/>
          <w:lang w:val="fr-FR"/>
        </w:rPr>
        <w:t>tubes composites</w:t>
      </w:r>
      <w:r w:rsidRPr="0042238A">
        <w:rPr>
          <w:lang w:val="fr-FR"/>
        </w:rPr>
        <w:t> » par « </w:t>
      </w:r>
      <w:r w:rsidRPr="0042238A">
        <w:rPr>
          <w:i/>
          <w:lang w:val="fr-FR"/>
        </w:rPr>
        <w:t>enveloppes de tubes composites</w:t>
      </w:r>
      <w:r w:rsidRPr="0042238A">
        <w:rPr>
          <w:lang w:val="fr-FR"/>
        </w:rPr>
        <w:t xml:space="preserve"> ». </w:t>
      </w:r>
    </w:p>
    <w:p w14:paraId="6A9B8E41" w14:textId="203DFCEE" w:rsidR="00CC7A90" w:rsidRPr="0042238A" w:rsidRDefault="00CC7A90" w:rsidP="00CC7A90">
      <w:pPr>
        <w:pStyle w:val="SingleTxtG"/>
        <w:spacing w:before="120"/>
        <w:ind w:left="2268" w:hanging="1134"/>
        <w:rPr>
          <w:lang w:val="fr-FR"/>
        </w:rPr>
      </w:pPr>
      <w:r w:rsidRPr="0042238A">
        <w:rPr>
          <w:lang w:val="fr-FR"/>
        </w:rPr>
        <w:tab/>
        <w:t>Dans la première phrase du Nota 2</w:t>
      </w:r>
      <w:r w:rsidR="002B38D7" w:rsidRPr="0042238A">
        <w:rPr>
          <w:lang w:val="fr-FR"/>
        </w:rPr>
        <w:t xml:space="preserve"> après le tableau</w:t>
      </w:r>
      <w:r w:rsidRPr="0042238A">
        <w:rPr>
          <w:lang w:val="fr-FR"/>
        </w:rPr>
        <w:t>, remplacer « </w:t>
      </w:r>
      <w:r w:rsidRPr="0042238A">
        <w:rPr>
          <w:i/>
          <w:lang w:val="fr-FR"/>
        </w:rPr>
        <w:t>tubes composites</w:t>
      </w:r>
      <w:r w:rsidRPr="0042238A">
        <w:rPr>
          <w:lang w:val="fr-FR"/>
        </w:rPr>
        <w:t> » par « </w:t>
      </w:r>
      <w:r w:rsidRPr="0042238A">
        <w:rPr>
          <w:i/>
          <w:lang w:val="fr-FR"/>
        </w:rPr>
        <w:t>enveloppes de tubes composites</w:t>
      </w:r>
      <w:r w:rsidRPr="0042238A">
        <w:rPr>
          <w:lang w:val="fr-FR"/>
        </w:rPr>
        <w:t> »</w:t>
      </w:r>
      <w:r w:rsidR="003015CF" w:rsidRPr="0042238A">
        <w:rPr>
          <w:lang w:val="fr-FR"/>
        </w:rPr>
        <w:t xml:space="preserve"> et </w:t>
      </w:r>
      <w:r w:rsidR="00E278A9" w:rsidRPr="0042238A">
        <w:rPr>
          <w:lang w:val="fr-FR"/>
        </w:rPr>
        <w:t>remplacer « être remplis » par « être remplies »</w:t>
      </w:r>
      <w:r w:rsidRPr="0042238A">
        <w:rPr>
          <w:lang w:val="fr-FR"/>
        </w:rPr>
        <w:t>. Dans la deuxième phrase, remplacer « </w:t>
      </w:r>
      <w:r w:rsidRPr="0042238A">
        <w:rPr>
          <w:i/>
          <w:lang w:val="fr-FR"/>
        </w:rPr>
        <w:t>tubes fabriqués ... restent sûrs</w:t>
      </w:r>
      <w:r w:rsidRPr="0042238A">
        <w:rPr>
          <w:lang w:val="fr-FR"/>
        </w:rPr>
        <w:t> » par « </w:t>
      </w:r>
      <w:r w:rsidRPr="0042238A">
        <w:rPr>
          <w:i/>
          <w:lang w:val="fr-FR"/>
        </w:rPr>
        <w:t>enveloppes de tubes fabriquées ... restent sûres</w:t>
      </w:r>
      <w:r w:rsidRPr="0042238A">
        <w:rPr>
          <w:lang w:val="fr-FR"/>
        </w:rPr>
        <w:t> ». Dans la dernière phrase, remplacer « </w:t>
      </w:r>
      <w:r w:rsidRPr="0042238A">
        <w:rPr>
          <w:i/>
          <w:lang w:val="fr-FR"/>
        </w:rPr>
        <w:t>d’un tube</w:t>
      </w:r>
      <w:r w:rsidRPr="0042238A">
        <w:rPr>
          <w:lang w:val="fr-FR"/>
        </w:rPr>
        <w:t> » par « </w:t>
      </w:r>
      <w:r w:rsidRPr="0042238A">
        <w:rPr>
          <w:i/>
          <w:lang w:val="fr-FR"/>
        </w:rPr>
        <w:t>d’une enveloppe de tube</w:t>
      </w:r>
      <w:r w:rsidRPr="0042238A">
        <w:rPr>
          <w:lang w:val="fr-FR"/>
        </w:rPr>
        <w:t> ».</w:t>
      </w:r>
    </w:p>
    <w:p w14:paraId="729E920E" w14:textId="77777777" w:rsidR="00022183" w:rsidRPr="0042238A" w:rsidRDefault="00022183" w:rsidP="00022183">
      <w:pPr>
        <w:pStyle w:val="SingleTxtG"/>
        <w:ind w:left="2268" w:hanging="1134"/>
        <w:rPr>
          <w:lang w:val="fr-FR"/>
        </w:rPr>
      </w:pPr>
      <w:r w:rsidRPr="0042238A">
        <w:rPr>
          <w:lang w:val="fr-FR" w:eastAsia="en-US"/>
        </w:rPr>
        <w:t>6.2.2.1.3</w:t>
      </w:r>
      <w:r w:rsidRPr="0042238A">
        <w:rPr>
          <w:lang w:val="fr-FR" w:eastAsia="en-US"/>
        </w:rPr>
        <w:tab/>
      </w:r>
      <w:r w:rsidRPr="0042238A">
        <w:rPr>
          <w:rFonts w:eastAsiaTheme="minorHAnsi"/>
          <w:lang w:val="fr-FR" w:eastAsia="en-US"/>
        </w:rPr>
        <w:t xml:space="preserve">Dans le premier tableau, pour « ISO 9809-1:2010 », dans la colonne « Applicable à la fabrication », remplacer « Jusqu’à nouvel ordre » par « Jusqu’au 31 décembre 2026 ». </w:t>
      </w:r>
      <w:r w:rsidRPr="0042238A">
        <w:rPr>
          <w:lang w:val="fr-FR"/>
        </w:rPr>
        <w:t>Après la rubrique existante pour la norme « </w:t>
      </w:r>
      <w:r w:rsidRPr="0042238A">
        <w:rPr>
          <w:rFonts w:eastAsiaTheme="minorHAnsi"/>
          <w:lang w:val="fr-FR" w:eastAsia="en-US"/>
        </w:rPr>
        <w:t>ISO 9809-1:2010</w:t>
      </w:r>
      <w:r w:rsidRPr="0042238A">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022183" w:rsidRPr="0042238A" w14:paraId="7FD915B6" w14:textId="77777777" w:rsidTr="00FC798A">
        <w:tc>
          <w:tcPr>
            <w:tcW w:w="1544" w:type="dxa"/>
            <w:shd w:val="clear" w:color="auto" w:fill="auto"/>
          </w:tcPr>
          <w:p w14:paraId="48561D4B" w14:textId="77777777" w:rsidR="00022183" w:rsidRPr="0042238A" w:rsidRDefault="00022183" w:rsidP="00FC798A">
            <w:pPr>
              <w:kinsoku/>
              <w:overflowPunct/>
              <w:autoSpaceDE/>
              <w:autoSpaceDN/>
              <w:adjustRightInd/>
              <w:snapToGrid/>
              <w:rPr>
                <w:lang w:val="fr-FR" w:eastAsia="en-US"/>
              </w:rPr>
            </w:pPr>
            <w:r w:rsidRPr="0042238A">
              <w:rPr>
                <w:lang w:val="fr-FR" w:eastAsia="en-US"/>
              </w:rPr>
              <w:t xml:space="preserve">ISO 9809-1:2019 </w:t>
            </w:r>
          </w:p>
        </w:tc>
        <w:tc>
          <w:tcPr>
            <w:tcW w:w="4820" w:type="dxa"/>
            <w:shd w:val="clear" w:color="auto" w:fill="auto"/>
          </w:tcPr>
          <w:p w14:paraId="2AAEA9FA" w14:textId="77777777" w:rsidR="00022183" w:rsidRPr="0042238A" w:rsidRDefault="00022183" w:rsidP="00FC798A">
            <w:pPr>
              <w:kinsoku/>
              <w:overflowPunct/>
              <w:autoSpaceDE/>
              <w:autoSpaceDN/>
              <w:adjustRightInd/>
              <w:snapToGrid/>
              <w:jc w:val="both"/>
              <w:rPr>
                <w:lang w:val="fr-FR" w:eastAsia="en-US"/>
              </w:rPr>
            </w:pPr>
            <w:r w:rsidRPr="0042238A">
              <w:rPr>
                <w:iCs/>
                <w:color w:val="000000"/>
                <w:lang w:val="fr-FR" w:eastAsia="en-US"/>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09BBAC99" w14:textId="77777777" w:rsidR="00022183" w:rsidRPr="0042238A" w:rsidRDefault="00022183"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4622E6CC" w14:textId="77777777" w:rsidR="00022183" w:rsidRPr="0042238A" w:rsidRDefault="00022183" w:rsidP="00022183">
      <w:pPr>
        <w:pStyle w:val="SingleTxtG"/>
        <w:tabs>
          <w:tab w:val="left" w:pos="2268"/>
        </w:tabs>
        <w:spacing w:before="120"/>
        <w:ind w:left="2268" w:hanging="1134"/>
        <w:rPr>
          <w:lang w:val="fr-FR"/>
        </w:rPr>
      </w:pPr>
      <w:r w:rsidRPr="0042238A">
        <w:rPr>
          <w:lang w:val="fr-FR" w:eastAsia="en-US"/>
        </w:rPr>
        <w:tab/>
      </w:r>
      <w:r w:rsidRPr="0042238A">
        <w:rPr>
          <w:rFonts w:eastAsiaTheme="minorHAnsi"/>
          <w:lang w:val="fr-FR" w:eastAsia="en-US"/>
        </w:rPr>
        <w:t xml:space="preserve">Dans le premier tableau, pour « ISO 9809-3:2010 », dans la colonne « Applicable à la fabrication », remplacer « Jusqu’à nouvel ordre » par « Jusqu’au 31 décembre 2026 ». </w:t>
      </w:r>
      <w:r w:rsidRPr="0042238A">
        <w:rPr>
          <w:lang w:val="fr-FR"/>
        </w:rPr>
        <w:t>Après la rubrique existante pour la norme « </w:t>
      </w:r>
      <w:r w:rsidRPr="0042238A">
        <w:rPr>
          <w:rFonts w:eastAsiaTheme="minorHAnsi"/>
          <w:lang w:val="fr-FR" w:eastAsia="en-US"/>
        </w:rPr>
        <w:t>ISO 9809-3:2010</w:t>
      </w:r>
      <w:r w:rsidRPr="0042238A">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022183" w:rsidRPr="0042238A" w14:paraId="02BF4310" w14:textId="77777777" w:rsidTr="00FC798A">
        <w:tc>
          <w:tcPr>
            <w:tcW w:w="1544" w:type="dxa"/>
            <w:shd w:val="clear" w:color="auto" w:fill="auto"/>
          </w:tcPr>
          <w:p w14:paraId="43FCE75E" w14:textId="77777777" w:rsidR="00022183" w:rsidRPr="0042238A" w:rsidRDefault="00022183" w:rsidP="00FC798A">
            <w:pPr>
              <w:kinsoku/>
              <w:overflowPunct/>
              <w:autoSpaceDE/>
              <w:autoSpaceDN/>
              <w:adjustRightInd/>
              <w:snapToGrid/>
              <w:rPr>
                <w:lang w:val="fr-FR" w:eastAsia="en-US"/>
              </w:rPr>
            </w:pPr>
            <w:r w:rsidRPr="0042238A">
              <w:rPr>
                <w:lang w:val="fr-FR" w:eastAsia="en-US"/>
              </w:rPr>
              <w:t xml:space="preserve">ISO 9809-3:2019 </w:t>
            </w:r>
          </w:p>
        </w:tc>
        <w:tc>
          <w:tcPr>
            <w:tcW w:w="4820" w:type="dxa"/>
            <w:shd w:val="clear" w:color="auto" w:fill="auto"/>
          </w:tcPr>
          <w:p w14:paraId="5844D105" w14:textId="77777777" w:rsidR="00022183" w:rsidRPr="0042238A" w:rsidRDefault="00022183" w:rsidP="00FC798A">
            <w:pPr>
              <w:kinsoku/>
              <w:overflowPunct/>
              <w:autoSpaceDE/>
              <w:autoSpaceDN/>
              <w:adjustRightInd/>
              <w:snapToGrid/>
              <w:jc w:val="both"/>
              <w:rPr>
                <w:lang w:val="fr-FR" w:eastAsia="en-US"/>
              </w:rPr>
            </w:pPr>
            <w:r w:rsidRPr="0042238A">
              <w:rPr>
                <w:iCs/>
                <w:color w:val="000000"/>
                <w:lang w:val="fr-FR" w:eastAsia="en-US"/>
              </w:rPr>
              <w:t>Bouteilles à gaz — Conception, construction et essais des bouteilles à gaz et des tubes rechargeables en acier sans soudure — Partie 3: Bouteilles et tubes en acier normalisé</w:t>
            </w:r>
          </w:p>
        </w:tc>
        <w:tc>
          <w:tcPr>
            <w:tcW w:w="1275" w:type="dxa"/>
            <w:shd w:val="clear" w:color="auto" w:fill="auto"/>
          </w:tcPr>
          <w:p w14:paraId="63139EC8" w14:textId="77777777" w:rsidR="00022183" w:rsidRPr="0042238A" w:rsidRDefault="00022183"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4C2B3C00" w14:textId="03C41F4E" w:rsidR="00CC7A90" w:rsidRPr="0042238A" w:rsidRDefault="00CC7A90" w:rsidP="00CC7A90">
      <w:pPr>
        <w:pStyle w:val="SingleTxtG"/>
        <w:spacing w:before="120"/>
        <w:ind w:left="2268" w:hanging="1134"/>
        <w:rPr>
          <w:lang w:val="fr-FR"/>
        </w:rPr>
      </w:pPr>
      <w:r w:rsidRPr="0042238A">
        <w:rPr>
          <w:lang w:val="fr-FR"/>
        </w:rPr>
        <w:t>6.2.2.1.4</w:t>
      </w:r>
      <w:r w:rsidRPr="0042238A">
        <w:rPr>
          <w:lang w:val="fr-FR"/>
        </w:rPr>
        <w:tab/>
      </w:r>
      <w:r w:rsidR="003C1E9F" w:rsidRPr="0042238A">
        <w:rPr>
          <w:lang w:val="fr-FR"/>
        </w:rPr>
        <w:t>Dans la première phrase, r</w:t>
      </w:r>
      <w:r w:rsidRPr="0042238A">
        <w:rPr>
          <w:lang w:val="fr-FR"/>
        </w:rPr>
        <w:t xml:space="preserve">emplacer « récipients cryogéniques </w:t>
      </w:r>
      <w:r w:rsidRPr="008F75CD">
        <w:rPr>
          <w:bCs/>
          <w:lang w:val="fr-FR"/>
        </w:rPr>
        <w:t>“</w:t>
      </w:r>
      <w:r w:rsidRPr="0042238A">
        <w:rPr>
          <w:lang w:val="fr-FR"/>
        </w:rPr>
        <w:t>UN</w:t>
      </w:r>
      <w:r w:rsidRPr="008F75CD">
        <w:rPr>
          <w:bCs/>
          <w:lang w:val="fr-FR"/>
        </w:rPr>
        <w:t>”</w:t>
      </w:r>
      <w:r w:rsidRPr="0042238A">
        <w:rPr>
          <w:lang w:val="fr-FR"/>
        </w:rPr>
        <w:t xml:space="preserve"> » par « récipients cryogéniques </w:t>
      </w:r>
      <w:r w:rsidRPr="008F75CD">
        <w:rPr>
          <w:bCs/>
          <w:lang w:val="fr-FR"/>
        </w:rPr>
        <w:t>“</w:t>
      </w:r>
      <w:r w:rsidRPr="0042238A">
        <w:rPr>
          <w:lang w:val="fr-FR"/>
        </w:rPr>
        <w:t>UN</w:t>
      </w:r>
      <w:r w:rsidRPr="008F75CD">
        <w:rPr>
          <w:bCs/>
          <w:lang w:val="fr-FR"/>
        </w:rPr>
        <w:t>”</w:t>
      </w:r>
      <w:r w:rsidRPr="0042238A">
        <w:rPr>
          <w:lang w:val="fr-FR"/>
        </w:rPr>
        <w:t xml:space="preserve"> fermés ».</w:t>
      </w:r>
    </w:p>
    <w:p w14:paraId="60E142CA" w14:textId="77777777" w:rsidR="00B96174" w:rsidRPr="0042238A" w:rsidRDefault="00B96174" w:rsidP="00B96174">
      <w:pPr>
        <w:pStyle w:val="SingleTxtG"/>
        <w:ind w:left="2268" w:hanging="1134"/>
        <w:rPr>
          <w:lang w:val="fr-FR"/>
        </w:rPr>
      </w:pPr>
      <w:r w:rsidRPr="0042238A">
        <w:rPr>
          <w:lang w:val="fr-FR" w:eastAsia="en-US"/>
        </w:rPr>
        <w:tab/>
      </w:r>
      <w:r w:rsidRPr="0042238A">
        <w:rPr>
          <w:rFonts w:eastAsiaTheme="minorHAnsi"/>
          <w:lang w:val="fr-FR" w:eastAsia="en-US"/>
        </w:rPr>
        <w:t xml:space="preserve">Dans le tableau, pour « ISO 21029-1:2004 », dans la colonne « Applicable à la fabrication », remplacer « Jusqu’à nouvel ordre » par « Jusqu’au 31 décembre 2026 ». </w:t>
      </w:r>
      <w:r w:rsidRPr="0042238A">
        <w:rPr>
          <w:lang w:val="fr-FR"/>
        </w:rPr>
        <w:t>Après la rubrique existante pour la norme « </w:t>
      </w:r>
      <w:r w:rsidRPr="0042238A">
        <w:rPr>
          <w:rFonts w:eastAsiaTheme="minorHAnsi"/>
          <w:lang w:val="fr-FR" w:eastAsia="en-US"/>
        </w:rPr>
        <w:t>ISO 21029-1:2004</w:t>
      </w:r>
      <w:r w:rsidRPr="0042238A">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96174" w:rsidRPr="0042238A" w14:paraId="48E5B730" w14:textId="77777777" w:rsidTr="00FC798A">
        <w:tc>
          <w:tcPr>
            <w:tcW w:w="1544" w:type="dxa"/>
            <w:shd w:val="clear" w:color="auto" w:fill="auto"/>
          </w:tcPr>
          <w:p w14:paraId="3CCC1B3F" w14:textId="77777777" w:rsidR="00B96174" w:rsidRPr="0042238A" w:rsidRDefault="00B96174" w:rsidP="00FC798A">
            <w:pPr>
              <w:kinsoku/>
              <w:overflowPunct/>
              <w:autoSpaceDE/>
              <w:autoSpaceDN/>
              <w:adjustRightInd/>
              <w:snapToGrid/>
              <w:rPr>
                <w:lang w:val="fr-FR" w:eastAsia="en-US"/>
              </w:rPr>
            </w:pPr>
            <w:r w:rsidRPr="0042238A">
              <w:rPr>
                <w:lang w:val="fr-FR" w:eastAsia="en-US"/>
              </w:rPr>
              <w:t>ISO 21029-1:2018 + Amd.1:2019</w:t>
            </w:r>
          </w:p>
        </w:tc>
        <w:tc>
          <w:tcPr>
            <w:tcW w:w="4820" w:type="dxa"/>
            <w:shd w:val="clear" w:color="auto" w:fill="auto"/>
          </w:tcPr>
          <w:p w14:paraId="7D3E0DE2" w14:textId="77777777" w:rsidR="00B96174" w:rsidRPr="0042238A" w:rsidRDefault="00B96174" w:rsidP="00FC798A">
            <w:pPr>
              <w:kinsoku/>
              <w:overflowPunct/>
              <w:autoSpaceDE/>
              <w:autoSpaceDN/>
              <w:adjustRightInd/>
              <w:snapToGrid/>
              <w:jc w:val="both"/>
              <w:rPr>
                <w:lang w:val="fr-FR" w:eastAsia="en-US"/>
              </w:rPr>
            </w:pPr>
            <w:r w:rsidRPr="0042238A">
              <w:rPr>
                <w:iCs/>
                <w:color w:val="000000"/>
                <w:lang w:val="fr-FR" w:eastAsia="en-US"/>
              </w:rPr>
              <w:t>Récipients cryogéniques — Récipients transportables, isolés sous vide, d'un volume n'excédant pas 1 000 litres — Partie 1: Conception, fabrication, inspection et essais</w:t>
            </w:r>
          </w:p>
        </w:tc>
        <w:tc>
          <w:tcPr>
            <w:tcW w:w="1275" w:type="dxa"/>
            <w:shd w:val="clear" w:color="auto" w:fill="auto"/>
          </w:tcPr>
          <w:p w14:paraId="50A79AAD" w14:textId="77777777" w:rsidR="00B96174" w:rsidRPr="0042238A" w:rsidRDefault="00B96174"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4D50875A" w14:textId="77777777" w:rsidR="002B16D6" w:rsidRPr="0042238A" w:rsidRDefault="002B16D6" w:rsidP="002B16D6">
      <w:pPr>
        <w:pStyle w:val="SingleTxtG"/>
        <w:spacing w:before="120"/>
        <w:ind w:left="2268" w:hanging="1134"/>
        <w:rPr>
          <w:lang w:val="fr-FR"/>
        </w:rPr>
      </w:pPr>
      <w:r w:rsidRPr="0042238A">
        <w:rPr>
          <w:lang w:val="fr-FR" w:eastAsia="en-US"/>
        </w:rPr>
        <w:t>6.2.2.1.5</w:t>
      </w:r>
      <w:r w:rsidRPr="0042238A">
        <w:rPr>
          <w:lang w:val="fr-FR" w:eastAsia="en-US"/>
        </w:rPr>
        <w:tab/>
      </w:r>
      <w:r w:rsidRPr="0042238A">
        <w:rPr>
          <w:rFonts w:eastAsiaTheme="minorHAnsi"/>
          <w:lang w:val="fr-FR" w:eastAsia="en-US"/>
        </w:rPr>
        <w:t xml:space="preserve">Dans le tableau, pour « ISO 16111:2008 », dans la colonne « Applicable à la fabrication », remplacer « Jusqu’à nouvel ordre » par « Jusqu’au 31 décembre 2026 ». </w:t>
      </w:r>
      <w:r w:rsidRPr="0042238A">
        <w:rPr>
          <w:lang w:val="fr-FR"/>
        </w:rPr>
        <w:t>Après la rubrique existante pour la norme « </w:t>
      </w:r>
      <w:r w:rsidRPr="0042238A">
        <w:rPr>
          <w:rFonts w:eastAsiaTheme="minorHAnsi"/>
          <w:lang w:val="fr-FR" w:eastAsia="en-US"/>
        </w:rPr>
        <w:t>ISO 16111:2008</w:t>
      </w:r>
      <w:r w:rsidRPr="0042238A">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2B16D6" w:rsidRPr="0042238A" w14:paraId="54651E5F" w14:textId="77777777" w:rsidTr="00FC798A">
        <w:tc>
          <w:tcPr>
            <w:tcW w:w="1544" w:type="dxa"/>
            <w:shd w:val="clear" w:color="auto" w:fill="auto"/>
          </w:tcPr>
          <w:p w14:paraId="2565746B" w14:textId="77777777" w:rsidR="002B16D6" w:rsidRPr="0042238A" w:rsidRDefault="002B16D6" w:rsidP="00FC798A">
            <w:pPr>
              <w:kinsoku/>
              <w:overflowPunct/>
              <w:autoSpaceDE/>
              <w:autoSpaceDN/>
              <w:adjustRightInd/>
              <w:snapToGrid/>
              <w:rPr>
                <w:lang w:val="fr-FR" w:eastAsia="en-US"/>
              </w:rPr>
            </w:pPr>
            <w:r w:rsidRPr="0042238A">
              <w:rPr>
                <w:lang w:val="fr-FR" w:eastAsia="en-US"/>
              </w:rPr>
              <w:t>ISO 16111:2018</w:t>
            </w:r>
          </w:p>
        </w:tc>
        <w:tc>
          <w:tcPr>
            <w:tcW w:w="4820" w:type="dxa"/>
            <w:shd w:val="clear" w:color="auto" w:fill="auto"/>
          </w:tcPr>
          <w:p w14:paraId="402FF5DA" w14:textId="77777777" w:rsidR="002B16D6" w:rsidRPr="0042238A" w:rsidRDefault="002B16D6" w:rsidP="00FC798A">
            <w:pPr>
              <w:kinsoku/>
              <w:overflowPunct/>
              <w:autoSpaceDE/>
              <w:autoSpaceDN/>
              <w:adjustRightInd/>
              <w:snapToGrid/>
              <w:jc w:val="both"/>
              <w:rPr>
                <w:lang w:val="fr-FR" w:eastAsia="en-US"/>
              </w:rPr>
            </w:pPr>
            <w:r w:rsidRPr="0042238A">
              <w:rPr>
                <w:iCs/>
                <w:color w:val="000000"/>
                <w:lang w:val="fr-FR" w:eastAsia="en-US"/>
              </w:rPr>
              <w:t>Appareils de stockage de gaz transportables — Hydrogène absorbé dans un hydrure métallique réversible</w:t>
            </w:r>
          </w:p>
        </w:tc>
        <w:tc>
          <w:tcPr>
            <w:tcW w:w="1275" w:type="dxa"/>
            <w:shd w:val="clear" w:color="auto" w:fill="auto"/>
          </w:tcPr>
          <w:p w14:paraId="0AF782E4" w14:textId="77777777" w:rsidR="002B16D6" w:rsidRPr="0042238A" w:rsidRDefault="002B16D6"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546E7939" w14:textId="77777777" w:rsidR="00CC7A90" w:rsidRPr="0042238A" w:rsidRDefault="00CC7A90" w:rsidP="00CC7A90">
      <w:pPr>
        <w:pStyle w:val="SingleTxtG"/>
        <w:spacing w:before="120"/>
        <w:ind w:left="2268" w:hanging="1134"/>
        <w:rPr>
          <w:lang w:val="fr-FR"/>
        </w:rPr>
      </w:pPr>
      <w:r w:rsidRPr="0042238A">
        <w:rPr>
          <w:lang w:val="fr-FR"/>
        </w:rPr>
        <w:t>6.2.2.1.6</w:t>
      </w:r>
      <w:r w:rsidRPr="0042238A">
        <w:rPr>
          <w:lang w:val="fr-FR"/>
        </w:rPr>
        <w:tab/>
        <w:t xml:space="preserve">La modification à la première phrase est sans objet en français. </w:t>
      </w:r>
    </w:p>
    <w:p w14:paraId="2D2D745F" w14:textId="77777777" w:rsidR="00CC7A90" w:rsidRPr="0042238A" w:rsidRDefault="00CC7A90" w:rsidP="00CC7A90">
      <w:pPr>
        <w:pStyle w:val="SingleTxtG"/>
        <w:spacing w:before="120"/>
        <w:ind w:left="2268" w:hanging="1134"/>
        <w:rPr>
          <w:lang w:val="fr-FR"/>
        </w:rPr>
      </w:pPr>
      <w:r w:rsidRPr="0042238A">
        <w:rPr>
          <w:lang w:val="fr-FR"/>
        </w:rPr>
        <w:tab/>
        <w:t xml:space="preserve">Dans la deuxième phrase, remplacer « bouteille </w:t>
      </w:r>
      <w:r w:rsidRPr="008F75CD">
        <w:rPr>
          <w:bCs/>
          <w:lang w:val="fr-FR"/>
        </w:rPr>
        <w:t>“</w:t>
      </w:r>
      <w:r w:rsidRPr="0042238A">
        <w:rPr>
          <w:lang w:val="fr-FR"/>
        </w:rPr>
        <w:t>UN</w:t>
      </w:r>
      <w:r w:rsidRPr="008F75CD">
        <w:rPr>
          <w:bCs/>
          <w:lang w:val="fr-FR"/>
        </w:rPr>
        <w:t>”</w:t>
      </w:r>
      <w:r w:rsidRPr="0042238A">
        <w:rPr>
          <w:lang w:val="fr-FR"/>
        </w:rPr>
        <w:t xml:space="preserve"> » par « bouteille </w:t>
      </w:r>
      <w:r w:rsidRPr="008F75CD">
        <w:rPr>
          <w:bCs/>
          <w:lang w:val="fr-FR"/>
        </w:rPr>
        <w:t>“</w:t>
      </w:r>
      <w:r w:rsidRPr="0042238A">
        <w:rPr>
          <w:lang w:val="fr-FR"/>
        </w:rPr>
        <w:t>UN</w:t>
      </w:r>
      <w:r w:rsidRPr="008F75CD">
        <w:rPr>
          <w:bCs/>
          <w:lang w:val="fr-FR"/>
        </w:rPr>
        <w:t>”</w:t>
      </w:r>
      <w:r w:rsidRPr="0042238A">
        <w:rPr>
          <w:lang w:val="fr-FR"/>
        </w:rPr>
        <w:t xml:space="preserve"> ou une enveloppe de bouteille </w:t>
      </w:r>
      <w:r w:rsidRPr="008F75CD">
        <w:rPr>
          <w:bCs/>
          <w:lang w:val="fr-FR"/>
        </w:rPr>
        <w:t>“</w:t>
      </w:r>
      <w:r w:rsidRPr="0042238A">
        <w:rPr>
          <w:lang w:val="fr-FR"/>
        </w:rPr>
        <w:t>UN</w:t>
      </w:r>
      <w:r w:rsidRPr="008F75CD">
        <w:rPr>
          <w:bCs/>
          <w:lang w:val="fr-FR"/>
        </w:rPr>
        <w:t>”</w:t>
      </w:r>
      <w:r w:rsidRPr="0042238A">
        <w:rPr>
          <w:lang w:val="fr-FR"/>
        </w:rPr>
        <w:t xml:space="preserve"> ». </w:t>
      </w:r>
    </w:p>
    <w:p w14:paraId="2AD6DA14" w14:textId="77777777" w:rsidR="00F92565" w:rsidRPr="0042238A" w:rsidRDefault="00F92565" w:rsidP="00F92565">
      <w:pPr>
        <w:pStyle w:val="SingleTxtG"/>
        <w:ind w:left="2268" w:hanging="1134"/>
        <w:rPr>
          <w:lang w:val="fr-FR"/>
        </w:rPr>
      </w:pPr>
      <w:r w:rsidRPr="0042238A">
        <w:rPr>
          <w:lang w:val="fr-FR" w:eastAsia="en-US"/>
        </w:rPr>
        <w:tab/>
      </w:r>
      <w:r w:rsidRPr="0042238A">
        <w:rPr>
          <w:rFonts w:eastAsiaTheme="minorHAnsi"/>
          <w:lang w:val="fr-FR" w:eastAsia="en-US"/>
        </w:rPr>
        <w:t xml:space="preserve">Dans le tableau, pour « ISO 10961:2010 », dans la colonne « Applicable à la fabrication », remplacer « Jusqu’à nouvel ordre » par « Jusqu’au 31 décembre 2026 ». </w:t>
      </w:r>
      <w:r w:rsidRPr="0042238A">
        <w:rPr>
          <w:lang w:val="fr-FR"/>
        </w:rPr>
        <w:t>Après la rubrique existante pour la norme « </w:t>
      </w:r>
      <w:r w:rsidRPr="0042238A">
        <w:rPr>
          <w:rFonts w:eastAsiaTheme="minorHAnsi"/>
          <w:lang w:val="fr-FR" w:eastAsia="en-US"/>
        </w:rPr>
        <w:t>ISO 10961:2010</w:t>
      </w:r>
      <w:r w:rsidRPr="0042238A">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F92565" w:rsidRPr="0042238A" w14:paraId="525CE6A6" w14:textId="77777777" w:rsidTr="00FC798A">
        <w:tc>
          <w:tcPr>
            <w:tcW w:w="1544" w:type="dxa"/>
            <w:shd w:val="clear" w:color="auto" w:fill="auto"/>
          </w:tcPr>
          <w:p w14:paraId="0F79038A" w14:textId="77777777" w:rsidR="00F92565" w:rsidRPr="0042238A" w:rsidRDefault="00F92565" w:rsidP="00FC798A">
            <w:pPr>
              <w:kinsoku/>
              <w:overflowPunct/>
              <w:autoSpaceDE/>
              <w:autoSpaceDN/>
              <w:adjustRightInd/>
              <w:snapToGrid/>
              <w:rPr>
                <w:lang w:val="fr-FR" w:eastAsia="en-US"/>
              </w:rPr>
            </w:pPr>
            <w:r w:rsidRPr="0042238A">
              <w:rPr>
                <w:lang w:val="fr-FR" w:eastAsia="en-US"/>
              </w:rPr>
              <w:t>ISO 10961:2019</w:t>
            </w:r>
          </w:p>
        </w:tc>
        <w:tc>
          <w:tcPr>
            <w:tcW w:w="4820" w:type="dxa"/>
            <w:shd w:val="clear" w:color="auto" w:fill="auto"/>
          </w:tcPr>
          <w:p w14:paraId="3089898B" w14:textId="77777777" w:rsidR="00F92565" w:rsidRPr="0042238A" w:rsidRDefault="00F92565" w:rsidP="00FC798A">
            <w:pPr>
              <w:kinsoku/>
              <w:overflowPunct/>
              <w:autoSpaceDE/>
              <w:autoSpaceDN/>
              <w:adjustRightInd/>
              <w:snapToGrid/>
              <w:jc w:val="both"/>
              <w:rPr>
                <w:lang w:val="fr-FR" w:eastAsia="en-US"/>
              </w:rPr>
            </w:pPr>
            <w:r w:rsidRPr="0042238A">
              <w:rPr>
                <w:iCs/>
                <w:color w:val="000000"/>
                <w:lang w:val="fr-FR" w:eastAsia="en-US"/>
              </w:rPr>
              <w:t>Bouteilles à gaz — Cadres de bouteilles — Conception, fabrication, essais et inspection</w:t>
            </w:r>
          </w:p>
        </w:tc>
        <w:tc>
          <w:tcPr>
            <w:tcW w:w="1275" w:type="dxa"/>
            <w:shd w:val="clear" w:color="auto" w:fill="auto"/>
          </w:tcPr>
          <w:p w14:paraId="276E6D1E" w14:textId="77777777" w:rsidR="00F92565" w:rsidRPr="0042238A" w:rsidRDefault="00F92565"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43D6333C" w14:textId="04F5AD51" w:rsidR="00CC7A90" w:rsidRPr="008F75CD" w:rsidRDefault="00CC7A90" w:rsidP="00CC7A90">
      <w:pPr>
        <w:pStyle w:val="SingleTxtG"/>
        <w:spacing w:before="120"/>
        <w:ind w:left="2268" w:hanging="1134"/>
        <w:rPr>
          <w:lang w:val="fr-FR"/>
        </w:rPr>
      </w:pPr>
      <w:r w:rsidRPr="0042238A">
        <w:rPr>
          <w:lang w:val="fr-FR"/>
        </w:rPr>
        <w:tab/>
        <w:t xml:space="preserve">Remplacer le NOTA actuel </w:t>
      </w:r>
      <w:r w:rsidR="00B657CC" w:rsidRPr="0042238A">
        <w:rPr>
          <w:lang w:val="fr-FR"/>
        </w:rPr>
        <w:t xml:space="preserve">après le tableau </w:t>
      </w:r>
      <w:r w:rsidRPr="0042238A">
        <w:rPr>
          <w:lang w:val="fr-FR"/>
        </w:rPr>
        <w:t>par :</w:t>
      </w:r>
    </w:p>
    <w:p w14:paraId="0B784CA8" w14:textId="6D2B19E9" w:rsidR="00CC7A90" w:rsidRPr="008F75CD" w:rsidRDefault="00CC7A90" w:rsidP="00CC7A90">
      <w:pPr>
        <w:pStyle w:val="SingleTxtG"/>
        <w:rPr>
          <w:i/>
          <w:lang w:val="fr-FR"/>
        </w:rPr>
      </w:pPr>
      <w:r w:rsidRPr="0042238A">
        <w:rPr>
          <w:lang w:val="fr-FR"/>
        </w:rPr>
        <w:t>«</w:t>
      </w:r>
      <w:r w:rsidR="00B657CC" w:rsidRPr="0042238A">
        <w:rPr>
          <w:lang w:val="fr-FR"/>
        </w:rPr>
        <w:t> </w:t>
      </w:r>
      <w:r w:rsidRPr="0042238A">
        <w:rPr>
          <w:b/>
          <w:bCs/>
          <w:i/>
          <w:iCs/>
          <w:lang w:val="fr-FR"/>
        </w:rPr>
        <w:t>NOTA </w:t>
      </w:r>
      <w:r w:rsidRPr="0042238A">
        <w:rPr>
          <w:b/>
          <w:i/>
          <w:iCs/>
          <w:lang w:val="fr-FR"/>
        </w:rPr>
        <w:t>:</w:t>
      </w:r>
      <w:r w:rsidRPr="0042238A">
        <w:rPr>
          <w:i/>
          <w:lang w:val="fr-FR"/>
        </w:rPr>
        <w:t xml:space="preserve"> Il n’est pas nécessaire de refaire l’évaluation de la conformité d’un cadre de bouteilles portant la marque </w:t>
      </w:r>
      <w:r w:rsidRPr="008F75CD">
        <w:rPr>
          <w:i/>
          <w:lang w:val="fr-FR"/>
        </w:rPr>
        <w:t>“</w:t>
      </w:r>
      <w:r w:rsidRPr="0042238A">
        <w:rPr>
          <w:i/>
          <w:lang w:val="fr-FR"/>
        </w:rPr>
        <w:t>UN</w:t>
      </w:r>
      <w:r w:rsidRPr="008F75CD">
        <w:rPr>
          <w:i/>
          <w:lang w:val="fr-FR"/>
        </w:rPr>
        <w:t>”</w:t>
      </w:r>
      <w:r w:rsidRPr="0042238A">
        <w:rPr>
          <w:i/>
          <w:lang w:val="fr-FR"/>
        </w:rPr>
        <w:t xml:space="preserve"> dans lequel une ou plusieurs bouteilles ou une ou </w:t>
      </w:r>
      <w:r w:rsidRPr="0042238A">
        <w:rPr>
          <w:i/>
          <w:lang w:val="fr-FR"/>
        </w:rPr>
        <w:lastRenderedPageBreak/>
        <w:t>plusieurs enveloppes de bouteilles ayant le même modèle type, y compris la même pression d’épreuve, ont été changées. L’équipement de service du cadre de bouteilles peut aussi être remplacé sans qu’il soit besoin de procéder à une nouvelle évaluation de conformité s’il est conforme au modèle type</w:t>
      </w:r>
      <w:r w:rsidRPr="0042238A">
        <w:rPr>
          <w:i/>
          <w:iCs/>
          <w:lang w:val="fr-FR"/>
        </w:rPr>
        <w:t>.</w:t>
      </w:r>
      <w:r w:rsidRPr="0042238A">
        <w:rPr>
          <w:lang w:val="fr-FR"/>
        </w:rPr>
        <w:t> ».</w:t>
      </w:r>
    </w:p>
    <w:p w14:paraId="15A126A5" w14:textId="77777777" w:rsidR="00DD0CB7" w:rsidRPr="0042238A" w:rsidRDefault="00454681" w:rsidP="00DD0CB7">
      <w:pPr>
        <w:pStyle w:val="SingleTxtG"/>
        <w:tabs>
          <w:tab w:val="left" w:pos="2268"/>
        </w:tabs>
        <w:spacing w:before="120"/>
        <w:ind w:left="2268" w:hanging="1134"/>
        <w:rPr>
          <w:lang w:val="fr-FR"/>
        </w:rPr>
      </w:pPr>
      <w:r w:rsidRPr="0042238A">
        <w:rPr>
          <w:lang w:val="fr-FR" w:eastAsia="en-US"/>
        </w:rPr>
        <w:t>6.2.2.1.7</w:t>
      </w:r>
      <w:r w:rsidR="00DD0CB7" w:rsidRPr="0042238A">
        <w:rPr>
          <w:lang w:val="fr-FR" w:eastAsia="en-US"/>
        </w:rPr>
        <w:tab/>
      </w:r>
      <w:r w:rsidR="00DD0CB7" w:rsidRPr="0042238A">
        <w:rPr>
          <w:lang w:val="fr-FR" w:eastAsia="en-US"/>
        </w:rPr>
        <w:tab/>
      </w:r>
      <w:r w:rsidR="00DD0CB7" w:rsidRPr="0042238A">
        <w:rPr>
          <w:rFonts w:eastAsiaTheme="minorHAnsi"/>
          <w:lang w:val="fr-FR" w:eastAsia="en-US"/>
        </w:rPr>
        <w:t xml:space="preserve">Dans le tableau, pour « ISO 11513:2011 », dans la colonne « Applicable à la fabrication », remplacer « Jusqu’à nouvel ordre » par « Jusqu’au 31 décembre 2026 ». </w:t>
      </w:r>
      <w:r w:rsidR="00DD0CB7" w:rsidRPr="0042238A">
        <w:rPr>
          <w:lang w:val="fr-FR"/>
        </w:rPr>
        <w:t>Après la rubrique existante pour la norme « </w:t>
      </w:r>
      <w:r w:rsidR="00DD0CB7" w:rsidRPr="0042238A">
        <w:rPr>
          <w:rFonts w:eastAsiaTheme="minorHAnsi"/>
          <w:lang w:val="fr-FR" w:eastAsia="en-US"/>
        </w:rPr>
        <w:t>ISO 11513:2011 </w:t>
      </w:r>
      <w:r w:rsidR="00DD0CB7" w:rsidRPr="0042238A">
        <w:rPr>
          <w:lang w:val="fr-FR"/>
        </w:rPr>
        <w:t>»,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D0CB7" w:rsidRPr="0042238A" w14:paraId="57DE88E0" w14:textId="77777777" w:rsidTr="00FC798A">
        <w:tc>
          <w:tcPr>
            <w:tcW w:w="1544" w:type="dxa"/>
            <w:shd w:val="clear" w:color="auto" w:fill="auto"/>
          </w:tcPr>
          <w:p w14:paraId="625445D5" w14:textId="77777777" w:rsidR="00DD0CB7" w:rsidRPr="0042238A" w:rsidRDefault="00DD0CB7" w:rsidP="00FC798A">
            <w:pPr>
              <w:kinsoku/>
              <w:overflowPunct/>
              <w:autoSpaceDE/>
              <w:autoSpaceDN/>
              <w:adjustRightInd/>
              <w:snapToGrid/>
              <w:rPr>
                <w:lang w:val="fr-FR" w:eastAsia="en-US"/>
              </w:rPr>
            </w:pPr>
            <w:r w:rsidRPr="0042238A">
              <w:rPr>
                <w:lang w:val="fr-FR" w:eastAsia="en-US"/>
              </w:rPr>
              <w:t>ISO 11513:2019</w:t>
            </w:r>
          </w:p>
        </w:tc>
        <w:tc>
          <w:tcPr>
            <w:tcW w:w="4820" w:type="dxa"/>
            <w:shd w:val="clear" w:color="auto" w:fill="auto"/>
          </w:tcPr>
          <w:p w14:paraId="5607D791" w14:textId="77777777" w:rsidR="00DD0CB7" w:rsidRPr="0042238A" w:rsidRDefault="00DD0CB7" w:rsidP="00FC798A">
            <w:pPr>
              <w:kinsoku/>
              <w:overflowPunct/>
              <w:autoSpaceDE/>
              <w:autoSpaceDN/>
              <w:adjustRightInd/>
              <w:snapToGrid/>
              <w:jc w:val="both"/>
              <w:rPr>
                <w:lang w:val="fr-FR" w:eastAsia="en-US"/>
              </w:rPr>
            </w:pPr>
            <w:r w:rsidRPr="0042238A">
              <w:rPr>
                <w:iCs/>
                <w:color w:val="000000"/>
                <w:lang w:val="fr-FR" w:eastAsia="en-US"/>
              </w:rPr>
              <w:t xml:space="preserve">Bouteilles à gaz — Bouteilles en acier soudées rechargeables contenant des matériaux pour le stockage des gaz à une pression </w:t>
            </w:r>
            <w:proofErr w:type="spellStart"/>
            <w:r w:rsidRPr="0042238A">
              <w:rPr>
                <w:iCs/>
                <w:color w:val="000000"/>
                <w:lang w:val="fr-FR" w:eastAsia="en-US"/>
              </w:rPr>
              <w:t>sub</w:t>
            </w:r>
            <w:proofErr w:type="spellEnd"/>
            <w:r w:rsidRPr="0042238A">
              <w:rPr>
                <w:iCs/>
                <w:color w:val="000000"/>
                <w:lang w:val="fr-FR" w:eastAsia="en-US"/>
              </w:rPr>
              <w:t>-atmosphérique (à l'exclusion de l'acétylène) — Conception, fabrication, essais, utilisation et contrôle périodique</w:t>
            </w:r>
          </w:p>
        </w:tc>
        <w:tc>
          <w:tcPr>
            <w:tcW w:w="1275" w:type="dxa"/>
            <w:shd w:val="clear" w:color="auto" w:fill="auto"/>
          </w:tcPr>
          <w:p w14:paraId="05E5B1B1" w14:textId="77777777" w:rsidR="00DD0CB7" w:rsidRPr="0042238A" w:rsidRDefault="00DD0CB7"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3955926E" w14:textId="0F35CE59" w:rsidR="00454681" w:rsidRPr="0042238A" w:rsidRDefault="00454681" w:rsidP="00DD0CB7">
      <w:pPr>
        <w:pStyle w:val="SingleTxtG"/>
        <w:spacing w:before="120"/>
        <w:ind w:left="2268" w:hanging="1134"/>
        <w:rPr>
          <w:lang w:val="fr-FR"/>
        </w:rPr>
      </w:pPr>
      <w:r w:rsidRPr="0042238A">
        <w:rPr>
          <w:lang w:val="fr-FR" w:eastAsia="en-US"/>
        </w:rPr>
        <w:tab/>
      </w:r>
      <w:r w:rsidRPr="0042238A">
        <w:rPr>
          <w:rFonts w:eastAsiaTheme="minorHAnsi"/>
          <w:lang w:val="fr-FR" w:eastAsia="en-US"/>
        </w:rPr>
        <w:t xml:space="preserve">Dans le tableau, pour « ISO 9809-1:2010 », dans la colonne « Applicable à la fabrication », remplacer « Jusqu’à nouvel ordre » par « Jusqu’au 31 décembre 2026 ». </w:t>
      </w:r>
      <w:r w:rsidRPr="0042238A">
        <w:rPr>
          <w:lang w:val="fr-FR"/>
        </w:rPr>
        <w:t>Après la rubrique existante pour la norme « </w:t>
      </w:r>
      <w:r w:rsidRPr="0042238A">
        <w:rPr>
          <w:rFonts w:eastAsiaTheme="minorHAnsi"/>
          <w:lang w:val="fr-FR" w:eastAsia="en-US"/>
        </w:rPr>
        <w:t>ISO 9809-1:2010</w:t>
      </w:r>
      <w:r w:rsidRPr="0042238A">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454681" w:rsidRPr="0042238A" w14:paraId="1C3093A4" w14:textId="77777777" w:rsidTr="00FC798A">
        <w:tc>
          <w:tcPr>
            <w:tcW w:w="1544" w:type="dxa"/>
            <w:shd w:val="clear" w:color="auto" w:fill="auto"/>
          </w:tcPr>
          <w:p w14:paraId="22DF4E6B" w14:textId="77777777" w:rsidR="00454681" w:rsidRPr="0042238A" w:rsidRDefault="00454681" w:rsidP="00FC798A">
            <w:pPr>
              <w:kinsoku/>
              <w:overflowPunct/>
              <w:autoSpaceDE/>
              <w:autoSpaceDN/>
              <w:adjustRightInd/>
              <w:snapToGrid/>
              <w:rPr>
                <w:lang w:val="fr-FR" w:eastAsia="en-US"/>
              </w:rPr>
            </w:pPr>
            <w:r w:rsidRPr="0042238A">
              <w:rPr>
                <w:lang w:val="fr-FR" w:eastAsia="en-US"/>
              </w:rPr>
              <w:t xml:space="preserve">ISO 9809-1:2019 </w:t>
            </w:r>
          </w:p>
        </w:tc>
        <w:tc>
          <w:tcPr>
            <w:tcW w:w="4820" w:type="dxa"/>
            <w:shd w:val="clear" w:color="auto" w:fill="auto"/>
          </w:tcPr>
          <w:p w14:paraId="6BD02B25" w14:textId="77777777" w:rsidR="00454681" w:rsidRPr="0042238A" w:rsidRDefault="00454681" w:rsidP="00FC798A">
            <w:pPr>
              <w:kinsoku/>
              <w:overflowPunct/>
              <w:autoSpaceDE/>
              <w:autoSpaceDN/>
              <w:adjustRightInd/>
              <w:snapToGrid/>
              <w:jc w:val="both"/>
              <w:rPr>
                <w:lang w:val="fr-FR" w:eastAsia="en-US"/>
              </w:rPr>
            </w:pPr>
            <w:r w:rsidRPr="0042238A">
              <w:rPr>
                <w:iCs/>
                <w:color w:val="000000"/>
                <w:lang w:val="fr-FR" w:eastAsia="en-US"/>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2C142733" w14:textId="77777777" w:rsidR="00454681" w:rsidRPr="0042238A" w:rsidRDefault="00454681"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1DCEEC19" w14:textId="77777777" w:rsidR="00CC7A90" w:rsidRPr="0042238A" w:rsidRDefault="00CC7A90" w:rsidP="00CC7A90">
      <w:pPr>
        <w:pStyle w:val="SingleTxtG"/>
        <w:spacing w:before="120"/>
        <w:ind w:left="2268" w:hanging="1134"/>
        <w:rPr>
          <w:lang w:val="fr-FR"/>
        </w:rPr>
      </w:pPr>
      <w:r w:rsidRPr="0042238A">
        <w:rPr>
          <w:lang w:val="fr-FR"/>
        </w:rPr>
        <w:t>6.2.2.1.8</w:t>
      </w:r>
      <w:r w:rsidRPr="0042238A">
        <w:rPr>
          <w:lang w:val="fr-FR"/>
        </w:rPr>
        <w:tab/>
        <w:t>Dans le tableau, pour la norme ISO 21172-1:2015, remplacer « Jusqu’à nouvel ordre » par « Jusqu’au 31 décembre 2026 ». Après la norme ISO 21172-1:2015,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4444"/>
        <w:gridCol w:w="1275"/>
      </w:tblGrid>
      <w:tr w:rsidR="00CC7A90" w:rsidRPr="0042238A" w14:paraId="42B39118" w14:textId="77777777" w:rsidTr="00FC798A">
        <w:tc>
          <w:tcPr>
            <w:tcW w:w="1760" w:type="dxa"/>
            <w:shd w:val="clear" w:color="auto" w:fill="auto"/>
          </w:tcPr>
          <w:p w14:paraId="26443C1F" w14:textId="77777777" w:rsidR="00CC7A90" w:rsidRPr="008F75CD" w:rsidRDefault="00CC7A90" w:rsidP="00FC798A">
            <w:pPr>
              <w:rPr>
                <w:lang w:val="fr-FR"/>
              </w:rPr>
            </w:pPr>
            <w:r w:rsidRPr="0042238A">
              <w:rPr>
                <w:lang w:val="fr-FR"/>
              </w:rPr>
              <w:t xml:space="preserve">ISO 21172-1:2015 + </w:t>
            </w:r>
            <w:proofErr w:type="spellStart"/>
            <w:r w:rsidRPr="0042238A">
              <w:rPr>
                <w:lang w:val="fr-FR"/>
              </w:rPr>
              <w:t>Amd</w:t>
            </w:r>
            <w:proofErr w:type="spellEnd"/>
            <w:r w:rsidRPr="0042238A">
              <w:rPr>
                <w:lang w:val="fr-FR"/>
              </w:rPr>
              <w:t xml:space="preserve"> 1:2018</w:t>
            </w:r>
          </w:p>
        </w:tc>
        <w:tc>
          <w:tcPr>
            <w:tcW w:w="4444" w:type="dxa"/>
            <w:shd w:val="clear" w:color="auto" w:fill="auto"/>
          </w:tcPr>
          <w:p w14:paraId="22C33E37" w14:textId="77777777" w:rsidR="00CC7A90" w:rsidRPr="0042238A" w:rsidRDefault="00CC7A90" w:rsidP="00FC798A">
            <w:pPr>
              <w:rPr>
                <w:lang w:val="fr-FR"/>
              </w:rPr>
            </w:pPr>
            <w:r w:rsidRPr="0042238A">
              <w:rPr>
                <w:lang w:val="fr-FR"/>
              </w:rPr>
              <w:t xml:space="preserve">Bouteilles à gaz − Fûts soudés de capacité inférieure ou égale à 3 000 litres destinés au transport des gaz − Partie 1 : Capacité jusqu’à 1 000 litres </w:t>
            </w:r>
          </w:p>
        </w:tc>
        <w:tc>
          <w:tcPr>
            <w:tcW w:w="1275" w:type="dxa"/>
            <w:shd w:val="clear" w:color="auto" w:fill="auto"/>
          </w:tcPr>
          <w:p w14:paraId="37368C5D" w14:textId="77777777" w:rsidR="00CC7A90" w:rsidRPr="008F75CD" w:rsidRDefault="00CC7A90" w:rsidP="00FC798A">
            <w:pPr>
              <w:rPr>
                <w:lang w:val="fr-FR"/>
              </w:rPr>
            </w:pPr>
            <w:r w:rsidRPr="0042238A">
              <w:rPr>
                <w:lang w:val="fr-FR"/>
              </w:rPr>
              <w:t>Jusqu’à nouvel ordre</w:t>
            </w:r>
          </w:p>
        </w:tc>
      </w:tr>
    </w:tbl>
    <w:p w14:paraId="012B6176" w14:textId="77777777" w:rsidR="00CC7A90" w:rsidRPr="0042238A" w:rsidRDefault="00CC7A90" w:rsidP="00CC7A90">
      <w:pPr>
        <w:pStyle w:val="SingleTxtG"/>
        <w:spacing w:before="120"/>
        <w:ind w:left="2268" w:hanging="1134"/>
        <w:rPr>
          <w:lang w:val="fr-FR"/>
        </w:rPr>
      </w:pPr>
      <w:r w:rsidRPr="0042238A">
        <w:rPr>
          <w:lang w:val="fr-FR"/>
        </w:rPr>
        <w:t>6.2.2.1.9</w:t>
      </w:r>
      <w:r w:rsidRPr="0042238A">
        <w:rPr>
          <w:lang w:val="fr-FR"/>
        </w:rPr>
        <w:tab/>
        <w:t>Ajouter un nouveau paragraphe et un nouveau tableau, comme suit :</w:t>
      </w:r>
    </w:p>
    <w:p w14:paraId="7846A03D" w14:textId="77777777" w:rsidR="00CC7A90" w:rsidRPr="0042238A" w:rsidRDefault="00CC7A90" w:rsidP="00CC7A90">
      <w:pPr>
        <w:pStyle w:val="SingleTxtG"/>
        <w:rPr>
          <w:lang w:val="fr-FR"/>
        </w:rPr>
      </w:pPr>
      <w:r w:rsidRPr="0042238A">
        <w:rPr>
          <w:lang w:val="fr-FR"/>
        </w:rPr>
        <w:t>« 6.2.2.1.9</w:t>
      </w:r>
      <w:r w:rsidRPr="0042238A">
        <w:rPr>
          <w:lang w:val="fr-FR"/>
        </w:rPr>
        <w:tab/>
        <w:t>Les normes ci-après s’appliquent à la conception, à la construction ainsi qu’aux épreuves et aux contrôles initiaux des bouteilles non rechargeables portant la marque “UN”, si ce n’est que les prescriptions de contrôle relatives au système d’évaluation de conformité et à l’agrément doivent être conformes au 6.2.2.5.</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8"/>
        <w:gridCol w:w="3616"/>
        <w:gridCol w:w="1946"/>
      </w:tblGrid>
      <w:tr w:rsidR="00CC7A90" w:rsidRPr="0042238A" w14:paraId="38FE9922" w14:textId="77777777" w:rsidTr="00FC798A">
        <w:trPr>
          <w:cantSplit/>
          <w:tblHeader/>
        </w:trPr>
        <w:tc>
          <w:tcPr>
            <w:tcW w:w="1843" w:type="dxa"/>
            <w:tcBorders>
              <w:bottom w:val="single" w:sz="4" w:space="0" w:color="auto"/>
            </w:tcBorders>
            <w:shd w:val="clear" w:color="auto" w:fill="auto"/>
            <w:vAlign w:val="bottom"/>
          </w:tcPr>
          <w:p w14:paraId="487E4317" w14:textId="77777777" w:rsidR="00CC7A90" w:rsidRPr="008F75CD" w:rsidRDefault="00CC7A90" w:rsidP="00FC798A">
            <w:pPr>
              <w:spacing w:before="80" w:after="80" w:line="200" w:lineRule="exact"/>
              <w:ind w:left="57" w:right="57"/>
              <w:rPr>
                <w:b/>
                <w:sz w:val="16"/>
                <w:lang w:val="fr-FR"/>
              </w:rPr>
            </w:pPr>
            <w:r w:rsidRPr="0042238A">
              <w:rPr>
                <w:b/>
                <w:sz w:val="16"/>
                <w:lang w:val="fr-FR"/>
              </w:rPr>
              <w:t>Référence</w:t>
            </w:r>
          </w:p>
        </w:tc>
        <w:tc>
          <w:tcPr>
            <w:tcW w:w="3686" w:type="dxa"/>
            <w:tcBorders>
              <w:bottom w:val="single" w:sz="4" w:space="0" w:color="auto"/>
            </w:tcBorders>
            <w:shd w:val="clear" w:color="auto" w:fill="auto"/>
            <w:vAlign w:val="bottom"/>
          </w:tcPr>
          <w:p w14:paraId="2EE0A332" w14:textId="77777777" w:rsidR="00CC7A90" w:rsidRPr="008F75CD" w:rsidRDefault="00CC7A90" w:rsidP="00FC798A">
            <w:pPr>
              <w:spacing w:before="80" w:after="80" w:line="200" w:lineRule="exact"/>
              <w:ind w:left="57" w:right="57"/>
              <w:rPr>
                <w:b/>
                <w:sz w:val="16"/>
                <w:lang w:val="fr-FR"/>
              </w:rPr>
            </w:pPr>
            <w:r w:rsidRPr="0042238A">
              <w:rPr>
                <w:b/>
                <w:sz w:val="16"/>
                <w:lang w:val="fr-FR"/>
              </w:rPr>
              <w:t>Titre</w:t>
            </w:r>
          </w:p>
        </w:tc>
        <w:tc>
          <w:tcPr>
            <w:tcW w:w="1984" w:type="dxa"/>
            <w:tcBorders>
              <w:bottom w:val="single" w:sz="4" w:space="0" w:color="auto"/>
            </w:tcBorders>
            <w:shd w:val="clear" w:color="auto" w:fill="auto"/>
            <w:vAlign w:val="bottom"/>
          </w:tcPr>
          <w:p w14:paraId="7AE186D5" w14:textId="77777777" w:rsidR="00CC7A90" w:rsidRPr="008F75CD" w:rsidRDefault="00CC7A90" w:rsidP="00FC798A">
            <w:pPr>
              <w:spacing w:before="80" w:after="80" w:line="200" w:lineRule="exact"/>
              <w:ind w:left="57" w:right="57"/>
              <w:rPr>
                <w:b/>
                <w:sz w:val="16"/>
                <w:lang w:val="fr-FR"/>
              </w:rPr>
            </w:pPr>
            <w:r w:rsidRPr="0042238A">
              <w:rPr>
                <w:b/>
                <w:sz w:val="16"/>
                <w:lang w:val="fr-FR"/>
              </w:rPr>
              <w:t>Applicable à la fabrication</w:t>
            </w:r>
          </w:p>
        </w:tc>
      </w:tr>
      <w:tr w:rsidR="00CC7A90" w:rsidRPr="0042238A" w14:paraId="68A1E867" w14:textId="77777777" w:rsidTr="00FC798A">
        <w:trPr>
          <w:cantSplit/>
          <w:trHeight w:hRule="exact" w:val="113"/>
        </w:trPr>
        <w:tc>
          <w:tcPr>
            <w:tcW w:w="1843" w:type="dxa"/>
            <w:tcBorders>
              <w:bottom w:val="nil"/>
            </w:tcBorders>
            <w:shd w:val="clear" w:color="auto" w:fill="auto"/>
          </w:tcPr>
          <w:p w14:paraId="1A457BA7" w14:textId="77777777" w:rsidR="00CC7A90" w:rsidRPr="0042238A" w:rsidRDefault="00CC7A90" w:rsidP="00FC798A">
            <w:pPr>
              <w:spacing w:before="40" w:after="120"/>
              <w:ind w:left="57" w:right="57"/>
              <w:rPr>
                <w:lang w:val="fr-FR"/>
              </w:rPr>
            </w:pPr>
          </w:p>
        </w:tc>
        <w:tc>
          <w:tcPr>
            <w:tcW w:w="3686" w:type="dxa"/>
            <w:tcBorders>
              <w:bottom w:val="nil"/>
            </w:tcBorders>
            <w:shd w:val="clear" w:color="auto" w:fill="auto"/>
          </w:tcPr>
          <w:p w14:paraId="76A58863" w14:textId="77777777" w:rsidR="00CC7A90" w:rsidRPr="0042238A" w:rsidRDefault="00CC7A90" w:rsidP="00FC798A">
            <w:pPr>
              <w:spacing w:before="40" w:after="120"/>
              <w:ind w:left="57" w:right="57"/>
              <w:rPr>
                <w:lang w:val="fr-FR"/>
              </w:rPr>
            </w:pPr>
          </w:p>
        </w:tc>
        <w:tc>
          <w:tcPr>
            <w:tcW w:w="1984" w:type="dxa"/>
            <w:tcBorders>
              <w:bottom w:val="nil"/>
            </w:tcBorders>
            <w:shd w:val="clear" w:color="auto" w:fill="auto"/>
          </w:tcPr>
          <w:p w14:paraId="476E2C2F" w14:textId="77777777" w:rsidR="00CC7A90" w:rsidRPr="0042238A" w:rsidRDefault="00CC7A90" w:rsidP="00FC798A">
            <w:pPr>
              <w:spacing w:before="40" w:after="120"/>
              <w:ind w:left="57" w:right="57"/>
              <w:rPr>
                <w:lang w:val="fr-FR"/>
              </w:rPr>
            </w:pPr>
          </w:p>
        </w:tc>
      </w:tr>
      <w:tr w:rsidR="00CC7A90" w:rsidRPr="0042238A" w14:paraId="470F34A3" w14:textId="77777777" w:rsidTr="00FC798A">
        <w:trPr>
          <w:cantSplit/>
        </w:trPr>
        <w:tc>
          <w:tcPr>
            <w:tcW w:w="1843" w:type="dxa"/>
            <w:tcBorders>
              <w:top w:val="nil"/>
            </w:tcBorders>
            <w:shd w:val="clear" w:color="auto" w:fill="auto"/>
          </w:tcPr>
          <w:p w14:paraId="265DB5C0" w14:textId="77777777" w:rsidR="00CC7A90" w:rsidRPr="008F75CD" w:rsidRDefault="00CC7A90" w:rsidP="00FC798A">
            <w:pPr>
              <w:spacing w:before="40" w:after="120"/>
              <w:ind w:left="57" w:right="57"/>
              <w:rPr>
                <w:lang w:val="fr-FR"/>
              </w:rPr>
            </w:pPr>
            <w:r w:rsidRPr="0042238A">
              <w:rPr>
                <w:lang w:val="fr-FR"/>
              </w:rPr>
              <w:t>ISO 11118:1999</w:t>
            </w:r>
          </w:p>
        </w:tc>
        <w:tc>
          <w:tcPr>
            <w:tcW w:w="3686" w:type="dxa"/>
            <w:tcBorders>
              <w:top w:val="nil"/>
            </w:tcBorders>
            <w:shd w:val="clear" w:color="auto" w:fill="auto"/>
          </w:tcPr>
          <w:p w14:paraId="741243AA" w14:textId="77777777" w:rsidR="00CC7A90" w:rsidRPr="008F75CD" w:rsidRDefault="00CC7A90" w:rsidP="00FC798A">
            <w:pPr>
              <w:spacing w:before="40" w:after="120"/>
              <w:ind w:left="57" w:right="57"/>
              <w:rPr>
                <w:lang w:val="fr-FR"/>
              </w:rPr>
            </w:pPr>
            <w:r w:rsidRPr="0042238A">
              <w:rPr>
                <w:lang w:val="fr-FR"/>
              </w:rPr>
              <w:t>Bouteilles à gaz − Bouteilles à gaz métalliques non rechargeables − Spécifications et méthodes d’essai</w:t>
            </w:r>
          </w:p>
        </w:tc>
        <w:tc>
          <w:tcPr>
            <w:tcW w:w="1984" w:type="dxa"/>
            <w:tcBorders>
              <w:top w:val="nil"/>
            </w:tcBorders>
            <w:shd w:val="clear" w:color="auto" w:fill="auto"/>
          </w:tcPr>
          <w:p w14:paraId="7BBAC472" w14:textId="77777777" w:rsidR="00CC7A90" w:rsidRPr="008F75CD" w:rsidRDefault="00CC7A90" w:rsidP="00FC798A">
            <w:pPr>
              <w:spacing w:before="40" w:after="120"/>
              <w:ind w:left="57" w:right="57"/>
              <w:rPr>
                <w:lang w:val="fr-FR"/>
              </w:rPr>
            </w:pPr>
            <w:r w:rsidRPr="0042238A">
              <w:rPr>
                <w:lang w:val="fr-FR"/>
              </w:rPr>
              <w:t>Jusqu’au 31 décembre 2020</w:t>
            </w:r>
          </w:p>
        </w:tc>
      </w:tr>
      <w:tr w:rsidR="00CC7A90" w:rsidRPr="0042238A" w14:paraId="608EBB93" w14:textId="77777777" w:rsidTr="00FC798A">
        <w:tc>
          <w:tcPr>
            <w:tcW w:w="1843" w:type="dxa"/>
            <w:shd w:val="clear" w:color="auto" w:fill="auto"/>
          </w:tcPr>
          <w:p w14:paraId="2D63285C" w14:textId="77777777" w:rsidR="00CC7A90" w:rsidRPr="008F75CD" w:rsidRDefault="00CC7A90" w:rsidP="00FC798A">
            <w:pPr>
              <w:spacing w:before="40" w:after="120"/>
              <w:ind w:left="57" w:right="57"/>
              <w:rPr>
                <w:lang w:val="fr-FR"/>
              </w:rPr>
            </w:pPr>
            <w:r w:rsidRPr="0042238A">
              <w:rPr>
                <w:lang w:val="fr-FR"/>
              </w:rPr>
              <w:t>ISO 13340:2001</w:t>
            </w:r>
          </w:p>
        </w:tc>
        <w:tc>
          <w:tcPr>
            <w:tcW w:w="3686" w:type="dxa"/>
            <w:shd w:val="clear" w:color="auto" w:fill="auto"/>
          </w:tcPr>
          <w:p w14:paraId="50100E6A" w14:textId="77777777" w:rsidR="00CC7A90" w:rsidRPr="008F75CD" w:rsidRDefault="00CC7A90" w:rsidP="00FC798A">
            <w:pPr>
              <w:spacing w:before="40" w:after="120"/>
              <w:ind w:left="57" w:right="57"/>
              <w:rPr>
                <w:lang w:val="fr-FR"/>
              </w:rPr>
            </w:pPr>
            <w:r w:rsidRPr="0042238A">
              <w:rPr>
                <w:lang w:val="fr-FR"/>
              </w:rPr>
              <w:t>Bouteilles à gaz transportables − Robinets pour bouteilles à gaz non rechargeables − Spécifications et essais de prototype</w:t>
            </w:r>
          </w:p>
        </w:tc>
        <w:tc>
          <w:tcPr>
            <w:tcW w:w="1984" w:type="dxa"/>
            <w:shd w:val="clear" w:color="auto" w:fill="auto"/>
          </w:tcPr>
          <w:p w14:paraId="1305CCCE" w14:textId="77777777" w:rsidR="00CC7A90" w:rsidRPr="008F75CD" w:rsidRDefault="00CC7A90" w:rsidP="00FC798A">
            <w:pPr>
              <w:spacing w:before="40" w:after="120"/>
              <w:ind w:left="57" w:right="57"/>
              <w:rPr>
                <w:lang w:val="fr-FR"/>
              </w:rPr>
            </w:pPr>
            <w:r w:rsidRPr="0042238A">
              <w:rPr>
                <w:lang w:val="fr-FR"/>
              </w:rPr>
              <w:t>Jusqu’au 31 décembre 2020</w:t>
            </w:r>
          </w:p>
        </w:tc>
      </w:tr>
      <w:tr w:rsidR="00CC7A90" w:rsidRPr="0042238A" w14:paraId="6427B652" w14:textId="77777777" w:rsidTr="00FC798A">
        <w:tc>
          <w:tcPr>
            <w:tcW w:w="1843" w:type="dxa"/>
            <w:shd w:val="clear" w:color="auto" w:fill="auto"/>
          </w:tcPr>
          <w:p w14:paraId="5EBECDD8" w14:textId="77777777" w:rsidR="00CC7A90" w:rsidRPr="008F75CD" w:rsidRDefault="00CC7A90" w:rsidP="00FC798A">
            <w:pPr>
              <w:spacing w:before="40" w:after="120"/>
              <w:ind w:left="57" w:right="57"/>
              <w:rPr>
                <w:lang w:val="fr-FR"/>
              </w:rPr>
            </w:pPr>
            <w:r w:rsidRPr="0042238A">
              <w:rPr>
                <w:lang w:val="fr-FR"/>
              </w:rPr>
              <w:t>ISO 11118:2015</w:t>
            </w:r>
          </w:p>
        </w:tc>
        <w:tc>
          <w:tcPr>
            <w:tcW w:w="3686" w:type="dxa"/>
            <w:shd w:val="clear" w:color="auto" w:fill="auto"/>
          </w:tcPr>
          <w:p w14:paraId="58EBB055" w14:textId="77777777" w:rsidR="00CC7A90" w:rsidRPr="008F75CD" w:rsidRDefault="00CC7A90" w:rsidP="00FC798A">
            <w:pPr>
              <w:spacing w:before="40" w:after="120"/>
              <w:ind w:left="57" w:right="57"/>
              <w:rPr>
                <w:lang w:val="fr-FR"/>
              </w:rPr>
            </w:pPr>
            <w:r w:rsidRPr="0042238A">
              <w:rPr>
                <w:lang w:val="fr-FR"/>
              </w:rPr>
              <w:t>Bouteilles à gaz − Bouteilles à gaz métalliques non rechargeables − Spécifications et méthodes d’essai</w:t>
            </w:r>
          </w:p>
        </w:tc>
        <w:tc>
          <w:tcPr>
            <w:tcW w:w="1984" w:type="dxa"/>
            <w:shd w:val="clear" w:color="auto" w:fill="auto"/>
          </w:tcPr>
          <w:p w14:paraId="64D8970D" w14:textId="15F194D5" w:rsidR="00CC7A90" w:rsidRPr="008F75CD" w:rsidRDefault="005A52CF" w:rsidP="00FC798A">
            <w:pPr>
              <w:spacing w:before="40" w:after="120"/>
              <w:ind w:left="57" w:right="57"/>
              <w:rPr>
                <w:lang w:val="fr-FR"/>
              </w:rPr>
            </w:pPr>
            <w:r w:rsidRPr="0042238A">
              <w:rPr>
                <w:rFonts w:eastAsiaTheme="minorHAnsi"/>
                <w:lang w:val="fr-FR" w:eastAsia="en-US"/>
              </w:rPr>
              <w:t>Jusqu’au 31 décembre 2026</w:t>
            </w:r>
          </w:p>
        </w:tc>
      </w:tr>
      <w:tr w:rsidR="005A52CF" w:rsidRPr="0042238A" w14:paraId="0DDE8553" w14:textId="77777777" w:rsidTr="00FC798A">
        <w:tc>
          <w:tcPr>
            <w:tcW w:w="1843" w:type="dxa"/>
            <w:shd w:val="clear" w:color="auto" w:fill="auto"/>
          </w:tcPr>
          <w:p w14:paraId="27AD0570" w14:textId="6BB73395" w:rsidR="005A52CF" w:rsidRPr="0042238A" w:rsidRDefault="0002621E" w:rsidP="00FC798A">
            <w:pPr>
              <w:spacing w:before="40" w:after="120"/>
              <w:ind w:left="57" w:right="57"/>
              <w:rPr>
                <w:lang w:val="fr-FR"/>
              </w:rPr>
            </w:pPr>
            <w:r w:rsidRPr="0042238A">
              <w:rPr>
                <w:lang w:val="fr-FR" w:eastAsia="en-US"/>
              </w:rPr>
              <w:t>ISO 11118:2015 +Amd.1:2019</w:t>
            </w:r>
          </w:p>
        </w:tc>
        <w:tc>
          <w:tcPr>
            <w:tcW w:w="3686" w:type="dxa"/>
            <w:shd w:val="clear" w:color="auto" w:fill="auto"/>
          </w:tcPr>
          <w:p w14:paraId="33B66F1B" w14:textId="76FAF12A" w:rsidR="005A52CF" w:rsidRPr="0042238A" w:rsidRDefault="00B43181" w:rsidP="00FC798A">
            <w:pPr>
              <w:spacing w:before="40" w:after="120"/>
              <w:ind w:left="57" w:right="57"/>
              <w:rPr>
                <w:lang w:val="fr-FR"/>
              </w:rPr>
            </w:pPr>
            <w:r w:rsidRPr="0042238A">
              <w:rPr>
                <w:iCs/>
                <w:color w:val="000000"/>
                <w:lang w:val="fr-FR" w:eastAsia="en-US"/>
              </w:rPr>
              <w:t xml:space="preserve">Bouteilles à gaz </w:t>
            </w:r>
            <w:r w:rsidRPr="0042238A">
              <w:rPr>
                <w:lang w:val="fr-FR"/>
              </w:rPr>
              <w:t>−</w:t>
            </w:r>
            <w:r w:rsidRPr="0042238A">
              <w:rPr>
                <w:iCs/>
                <w:color w:val="000000"/>
                <w:lang w:val="fr-FR" w:eastAsia="en-US"/>
              </w:rPr>
              <w:t xml:space="preserve"> Bouteilles à gaz métalliques non rechargeables </w:t>
            </w:r>
            <w:r w:rsidRPr="0042238A">
              <w:rPr>
                <w:lang w:val="fr-FR"/>
              </w:rPr>
              <w:t>−</w:t>
            </w:r>
            <w:r w:rsidRPr="0042238A">
              <w:rPr>
                <w:iCs/>
                <w:color w:val="000000"/>
                <w:lang w:val="fr-FR" w:eastAsia="en-US"/>
              </w:rPr>
              <w:t xml:space="preserve"> Spécifications et méthodes d'essai</w:t>
            </w:r>
          </w:p>
        </w:tc>
        <w:tc>
          <w:tcPr>
            <w:tcW w:w="1984" w:type="dxa"/>
            <w:shd w:val="clear" w:color="auto" w:fill="auto"/>
          </w:tcPr>
          <w:p w14:paraId="78D13B58" w14:textId="116603C5" w:rsidR="005A52CF" w:rsidRPr="0042238A" w:rsidRDefault="00100CD2" w:rsidP="00FC798A">
            <w:pPr>
              <w:spacing w:before="40" w:after="120"/>
              <w:ind w:left="57" w:right="57"/>
              <w:rPr>
                <w:rFonts w:eastAsiaTheme="minorHAnsi"/>
                <w:lang w:val="fr-FR" w:eastAsia="en-US"/>
              </w:rPr>
            </w:pPr>
            <w:r w:rsidRPr="0042238A">
              <w:rPr>
                <w:rFonts w:eastAsiaTheme="minorHAnsi"/>
                <w:lang w:val="fr-FR" w:eastAsia="en-US"/>
              </w:rPr>
              <w:t>Jusqu’à nouvel ordre</w:t>
            </w:r>
          </w:p>
        </w:tc>
      </w:tr>
    </w:tbl>
    <w:p w14:paraId="628A5781" w14:textId="77777777" w:rsidR="00CC7A90" w:rsidRPr="0042238A" w:rsidRDefault="00CC7A90" w:rsidP="00CC7A90">
      <w:pPr>
        <w:pStyle w:val="SingleTxtG"/>
        <w:spacing w:before="120"/>
        <w:jc w:val="right"/>
        <w:rPr>
          <w:lang w:val="fr-FR"/>
        </w:rPr>
      </w:pPr>
      <w:r w:rsidRPr="0042238A">
        <w:rPr>
          <w:lang w:val="fr-FR"/>
        </w:rPr>
        <w:t> ».</w:t>
      </w:r>
    </w:p>
    <w:p w14:paraId="2B45B95C" w14:textId="77777777" w:rsidR="00CC7A90" w:rsidRPr="0042238A" w:rsidRDefault="00CC7A90" w:rsidP="00CC7A90">
      <w:pPr>
        <w:pStyle w:val="SingleTxtG"/>
        <w:spacing w:before="120"/>
        <w:ind w:left="2268" w:hanging="1134"/>
        <w:rPr>
          <w:lang w:val="fr-FR"/>
        </w:rPr>
      </w:pPr>
      <w:r w:rsidRPr="0042238A">
        <w:rPr>
          <w:lang w:val="fr-FR"/>
        </w:rPr>
        <w:t>6.2.2.2</w:t>
      </w:r>
      <w:r w:rsidRPr="0042238A">
        <w:rPr>
          <w:lang w:val="fr-FR"/>
        </w:rPr>
        <w:tab/>
      </w:r>
      <w:r w:rsidRPr="0042238A">
        <w:rPr>
          <w:lang w:val="fr-FR"/>
        </w:rPr>
        <w:tab/>
        <w:t>Dans la première phrase, supprimer « des récipients à pression ».</w:t>
      </w:r>
    </w:p>
    <w:p w14:paraId="5FB431C1" w14:textId="77777777" w:rsidR="00CC7A90" w:rsidRPr="008F75CD" w:rsidRDefault="00CC7A90" w:rsidP="00CC7A90">
      <w:pPr>
        <w:pStyle w:val="SingleTxtG"/>
        <w:spacing w:before="120"/>
        <w:ind w:left="2268" w:hanging="1134"/>
        <w:rPr>
          <w:lang w:val="fr-FR"/>
        </w:rPr>
      </w:pPr>
      <w:r w:rsidRPr="0042238A">
        <w:rPr>
          <w:lang w:val="fr-FR"/>
        </w:rPr>
        <w:lastRenderedPageBreak/>
        <w:t>6.2.2.3</w:t>
      </w:r>
      <w:r w:rsidRPr="0042238A">
        <w:rPr>
          <w:lang w:val="fr-FR"/>
        </w:rPr>
        <w:tab/>
      </w:r>
      <w:r w:rsidRPr="0042238A">
        <w:rPr>
          <w:lang w:val="fr-FR"/>
        </w:rPr>
        <w:tab/>
        <w:t>Remplacer le titre « </w:t>
      </w:r>
      <w:r w:rsidRPr="0042238A">
        <w:rPr>
          <w:b/>
          <w:bCs/>
          <w:i/>
          <w:iCs/>
          <w:lang w:val="fr-FR"/>
        </w:rPr>
        <w:t>Équipement de service</w:t>
      </w:r>
      <w:r w:rsidRPr="0042238A">
        <w:rPr>
          <w:lang w:val="fr-FR"/>
        </w:rPr>
        <w:t xml:space="preserve"> » par « </w:t>
      </w:r>
      <w:r w:rsidRPr="0042238A">
        <w:rPr>
          <w:b/>
          <w:bCs/>
          <w:i/>
          <w:iCs/>
          <w:lang w:val="fr-FR"/>
        </w:rPr>
        <w:t>Fermetures et leur protection</w:t>
      </w:r>
      <w:r w:rsidRPr="0042238A">
        <w:rPr>
          <w:lang w:val="fr-FR"/>
        </w:rPr>
        <w:t> ».</w:t>
      </w:r>
    </w:p>
    <w:p w14:paraId="1EE5ADA1" w14:textId="77777777" w:rsidR="00CC7A90" w:rsidRPr="0042238A" w:rsidRDefault="00CC7A90" w:rsidP="00CC7A90">
      <w:pPr>
        <w:pStyle w:val="SingleTxtG"/>
        <w:spacing w:before="120"/>
        <w:ind w:left="2268" w:hanging="1134"/>
        <w:rPr>
          <w:lang w:val="fr-FR"/>
        </w:rPr>
      </w:pPr>
      <w:r w:rsidRPr="0042238A">
        <w:rPr>
          <w:lang w:val="fr-FR"/>
        </w:rPr>
        <w:tab/>
      </w:r>
      <w:r w:rsidRPr="0042238A">
        <w:rPr>
          <w:lang w:val="fr-FR"/>
        </w:rPr>
        <w:tab/>
        <w:t xml:space="preserve">Remplacer la première phrase par : « Les normes ci-après s’appliquent à la conception, à la construction ainsi qu’aux épreuves et aux contrôles initiaux des fermetures et de leur protection : ». </w:t>
      </w:r>
    </w:p>
    <w:p w14:paraId="16ED514F" w14:textId="77777777" w:rsidR="00CF0A00" w:rsidRPr="0042238A" w:rsidRDefault="00CF0A00" w:rsidP="00CF0A00">
      <w:pPr>
        <w:pStyle w:val="SingleTxtG"/>
        <w:ind w:left="2268" w:hanging="1134"/>
        <w:rPr>
          <w:lang w:val="fr-FR"/>
        </w:rPr>
      </w:pPr>
      <w:r w:rsidRPr="0042238A">
        <w:rPr>
          <w:lang w:val="fr-FR" w:eastAsia="en-US"/>
        </w:rPr>
        <w:tab/>
      </w:r>
      <w:r w:rsidRPr="0042238A">
        <w:rPr>
          <w:lang w:val="fr-FR" w:eastAsia="en-US"/>
        </w:rPr>
        <w:tab/>
      </w:r>
      <w:r w:rsidRPr="0042238A">
        <w:rPr>
          <w:rFonts w:eastAsiaTheme="minorHAnsi"/>
          <w:lang w:val="fr-FR" w:eastAsia="en-US"/>
        </w:rPr>
        <w:t xml:space="preserve">Dans le premier tableau, pour « ISO 11117:2008 + Cor.1:2009 », dans la colonne « Applicable à la fabrication », remplacer « Jusqu’à nouvel ordre » par « Jusqu’au 31 décembre 2026 ». </w:t>
      </w:r>
      <w:r w:rsidRPr="0042238A">
        <w:rPr>
          <w:lang w:val="fr-FR"/>
        </w:rPr>
        <w:t>Après la rubrique existante pour la norme « </w:t>
      </w:r>
      <w:r w:rsidRPr="0042238A">
        <w:rPr>
          <w:rFonts w:eastAsiaTheme="minorHAnsi"/>
          <w:lang w:val="fr-FR" w:eastAsia="en-US"/>
        </w:rPr>
        <w:t>ISO 11117:2008 + Cor.1:2009</w:t>
      </w:r>
      <w:r w:rsidRPr="0042238A">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0A00" w:rsidRPr="0042238A" w14:paraId="6521B784" w14:textId="77777777" w:rsidTr="00FC798A">
        <w:tc>
          <w:tcPr>
            <w:tcW w:w="1544" w:type="dxa"/>
            <w:shd w:val="clear" w:color="auto" w:fill="auto"/>
          </w:tcPr>
          <w:p w14:paraId="29550304" w14:textId="77777777" w:rsidR="00CF0A00" w:rsidRPr="0042238A" w:rsidRDefault="00CF0A00" w:rsidP="00FC798A">
            <w:pPr>
              <w:kinsoku/>
              <w:overflowPunct/>
              <w:autoSpaceDE/>
              <w:autoSpaceDN/>
              <w:adjustRightInd/>
              <w:snapToGrid/>
              <w:rPr>
                <w:lang w:val="fr-FR" w:eastAsia="en-US"/>
              </w:rPr>
            </w:pPr>
            <w:r w:rsidRPr="0042238A">
              <w:rPr>
                <w:lang w:val="fr-FR" w:eastAsia="en-US"/>
              </w:rPr>
              <w:t>ISO 11117:2019</w:t>
            </w:r>
          </w:p>
        </w:tc>
        <w:tc>
          <w:tcPr>
            <w:tcW w:w="4820" w:type="dxa"/>
            <w:shd w:val="clear" w:color="auto" w:fill="auto"/>
          </w:tcPr>
          <w:p w14:paraId="3D617696" w14:textId="77777777" w:rsidR="00CF0A00" w:rsidRPr="0042238A" w:rsidRDefault="00CF0A00" w:rsidP="00FC798A">
            <w:pPr>
              <w:kinsoku/>
              <w:overflowPunct/>
              <w:autoSpaceDE/>
              <w:autoSpaceDN/>
              <w:adjustRightInd/>
              <w:snapToGrid/>
              <w:jc w:val="both"/>
              <w:rPr>
                <w:lang w:val="fr-FR" w:eastAsia="en-US"/>
              </w:rPr>
            </w:pPr>
            <w:r w:rsidRPr="0042238A">
              <w:rPr>
                <w:iCs/>
                <w:color w:val="000000"/>
                <w:lang w:val="fr-FR" w:eastAsia="en-US"/>
              </w:rPr>
              <w:t>Bouteilles à gaz — Chapeaux fermés et chapeaux ouverts de protection des robinets — Conception, construction et essais</w:t>
            </w:r>
          </w:p>
        </w:tc>
        <w:tc>
          <w:tcPr>
            <w:tcW w:w="1275" w:type="dxa"/>
            <w:shd w:val="clear" w:color="auto" w:fill="auto"/>
          </w:tcPr>
          <w:p w14:paraId="5F0F32EE" w14:textId="77777777" w:rsidR="00CF0A00" w:rsidRPr="0042238A" w:rsidRDefault="00CF0A00"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1E61BCD5" w14:textId="77777777" w:rsidR="005E69F3" w:rsidRPr="0042238A" w:rsidRDefault="005E69F3" w:rsidP="005E69F3">
      <w:pPr>
        <w:pStyle w:val="SingleTxtG"/>
        <w:spacing w:before="120"/>
        <w:ind w:left="2268" w:hanging="1134"/>
        <w:rPr>
          <w:lang w:val="fr-FR"/>
        </w:rPr>
      </w:pPr>
      <w:r w:rsidRPr="0042238A">
        <w:rPr>
          <w:lang w:val="fr-FR"/>
        </w:rPr>
        <w:tab/>
      </w:r>
      <w:r w:rsidRPr="0042238A">
        <w:rPr>
          <w:lang w:val="fr-FR"/>
        </w:rPr>
        <w:tab/>
        <w:t>Dans le premier tableau, supprimer la ligne correspondant à la référence « ISO 13340:2001 ».</w:t>
      </w:r>
    </w:p>
    <w:p w14:paraId="598A21BC" w14:textId="77777777" w:rsidR="00CF0A00" w:rsidRPr="0042238A" w:rsidRDefault="00CF0A00" w:rsidP="00CF0A00">
      <w:pPr>
        <w:pStyle w:val="SingleTxtG"/>
        <w:spacing w:before="120"/>
        <w:ind w:left="2268" w:hanging="1134"/>
        <w:rPr>
          <w:rFonts w:eastAsiaTheme="minorHAnsi"/>
          <w:lang w:val="fr-FR" w:eastAsia="en-US"/>
        </w:rPr>
      </w:pPr>
      <w:r w:rsidRPr="0042238A">
        <w:rPr>
          <w:lang w:val="fr-FR" w:eastAsia="en-US"/>
        </w:rPr>
        <w:tab/>
      </w:r>
      <w:r w:rsidRPr="0042238A">
        <w:rPr>
          <w:lang w:val="fr-FR" w:eastAsia="en-US"/>
        </w:rPr>
        <w:tab/>
      </w:r>
      <w:r w:rsidRPr="0042238A">
        <w:rPr>
          <w:rFonts w:eastAsiaTheme="minorHAnsi"/>
          <w:lang w:val="fr-FR" w:eastAsia="en-US"/>
        </w:rPr>
        <w:t xml:space="preserve">Dans le premier tableau, pour « ISO 17871:2015 », dans la colonne « Applicable à la fabrication », remplacer « Jusqu’à nouvel ordre » par « Jusqu’au 31 décembre 2026 ». Dans la colonne « Titre », ajouter le nouveau Nota suivant sous le titre : </w:t>
      </w:r>
    </w:p>
    <w:p w14:paraId="2E87C820" w14:textId="77777777" w:rsidR="00343208" w:rsidRPr="0042238A" w:rsidRDefault="00343208" w:rsidP="00343208">
      <w:pPr>
        <w:pStyle w:val="SingleTxtG"/>
        <w:spacing w:before="120"/>
        <w:rPr>
          <w:rFonts w:eastAsiaTheme="minorHAnsi"/>
          <w:lang w:val="fr-FR" w:eastAsia="en-US"/>
        </w:rPr>
      </w:pPr>
      <w:r w:rsidRPr="0042238A">
        <w:rPr>
          <w:rFonts w:eastAsiaTheme="minorHAnsi"/>
          <w:lang w:val="fr-FR" w:eastAsia="en-US"/>
        </w:rPr>
        <w:t>« </w:t>
      </w:r>
      <w:r w:rsidRPr="0042238A">
        <w:rPr>
          <w:rFonts w:eastAsiaTheme="minorHAnsi"/>
          <w:b/>
          <w:bCs/>
          <w:i/>
          <w:iCs/>
          <w:lang w:val="fr-FR" w:eastAsia="en-US"/>
        </w:rPr>
        <w:t>NOTA :</w:t>
      </w:r>
      <w:r w:rsidRPr="0042238A">
        <w:rPr>
          <w:rFonts w:eastAsiaTheme="minorHAnsi"/>
          <w:i/>
          <w:iCs/>
          <w:lang w:val="fr-FR" w:eastAsia="en-US"/>
        </w:rPr>
        <w:t xml:space="preserve"> Cette norme ne doit pas être utilisée pour les gaz inflammables.</w:t>
      </w:r>
      <w:r w:rsidRPr="0042238A">
        <w:rPr>
          <w:rFonts w:eastAsiaTheme="minorHAnsi"/>
          <w:lang w:val="fr-FR" w:eastAsia="en-US"/>
        </w:rPr>
        <w:t> »</w:t>
      </w:r>
    </w:p>
    <w:p w14:paraId="2A1532AE" w14:textId="77777777" w:rsidR="00343208" w:rsidRPr="0042238A" w:rsidRDefault="00343208" w:rsidP="00343208">
      <w:pPr>
        <w:pStyle w:val="SingleTxtG"/>
        <w:tabs>
          <w:tab w:val="left" w:pos="2268"/>
        </w:tabs>
        <w:spacing w:before="120"/>
        <w:ind w:left="2268" w:hanging="1134"/>
        <w:rPr>
          <w:lang w:val="fr-FR"/>
        </w:rPr>
      </w:pPr>
      <w:r w:rsidRPr="0042238A">
        <w:rPr>
          <w:lang w:val="fr-FR"/>
        </w:rPr>
        <w:tab/>
        <w:t>Après la rubrique existante pour la norme « </w:t>
      </w:r>
      <w:r w:rsidRPr="0042238A">
        <w:rPr>
          <w:rFonts w:eastAsiaTheme="minorHAnsi"/>
          <w:lang w:val="fr-FR" w:eastAsia="en-US"/>
        </w:rPr>
        <w:t>17871:2015</w:t>
      </w:r>
      <w:r w:rsidRPr="0042238A">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343208" w:rsidRPr="0042238A" w14:paraId="5EA6AB78" w14:textId="77777777" w:rsidTr="00FC798A">
        <w:tc>
          <w:tcPr>
            <w:tcW w:w="1544" w:type="dxa"/>
            <w:shd w:val="clear" w:color="auto" w:fill="auto"/>
          </w:tcPr>
          <w:p w14:paraId="0A45FE24" w14:textId="77777777" w:rsidR="00343208" w:rsidRPr="0042238A" w:rsidRDefault="00343208" w:rsidP="00FC798A">
            <w:pPr>
              <w:kinsoku/>
              <w:overflowPunct/>
              <w:autoSpaceDE/>
              <w:autoSpaceDN/>
              <w:adjustRightInd/>
              <w:snapToGrid/>
              <w:rPr>
                <w:lang w:val="fr-FR" w:eastAsia="en-US"/>
              </w:rPr>
            </w:pPr>
            <w:r w:rsidRPr="0042238A">
              <w:rPr>
                <w:lang w:val="fr-FR" w:eastAsia="en-US"/>
              </w:rPr>
              <w:t>ISO 17871:2020</w:t>
            </w:r>
          </w:p>
        </w:tc>
        <w:tc>
          <w:tcPr>
            <w:tcW w:w="4820" w:type="dxa"/>
            <w:shd w:val="clear" w:color="auto" w:fill="auto"/>
          </w:tcPr>
          <w:p w14:paraId="3A335A65" w14:textId="77777777" w:rsidR="00343208" w:rsidRPr="0042238A" w:rsidRDefault="00343208" w:rsidP="00FC798A">
            <w:pPr>
              <w:kinsoku/>
              <w:overflowPunct/>
              <w:autoSpaceDE/>
              <w:autoSpaceDN/>
              <w:adjustRightInd/>
              <w:snapToGrid/>
              <w:jc w:val="both"/>
              <w:rPr>
                <w:lang w:val="fr-FR" w:eastAsia="en-US"/>
              </w:rPr>
            </w:pPr>
            <w:r w:rsidRPr="0042238A">
              <w:rPr>
                <w:iCs/>
                <w:color w:val="000000"/>
                <w:lang w:val="fr-FR" w:eastAsia="en-US"/>
              </w:rPr>
              <w:t>Bouteilles à gaz — Robinets de bouteilles à ouverture rapide — Spécifications et essais de type</w:t>
            </w:r>
          </w:p>
        </w:tc>
        <w:tc>
          <w:tcPr>
            <w:tcW w:w="1275" w:type="dxa"/>
            <w:shd w:val="clear" w:color="auto" w:fill="auto"/>
          </w:tcPr>
          <w:p w14:paraId="5F1FB66F" w14:textId="77777777" w:rsidR="00343208" w:rsidRPr="0042238A" w:rsidRDefault="00343208"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3B0D110E" w14:textId="77777777" w:rsidR="00343208" w:rsidRPr="0042238A" w:rsidRDefault="00343208" w:rsidP="00343208">
      <w:pPr>
        <w:pStyle w:val="SingleTxtG"/>
        <w:tabs>
          <w:tab w:val="left" w:pos="2268"/>
        </w:tabs>
        <w:spacing w:before="120"/>
        <w:ind w:left="2268" w:hanging="1134"/>
        <w:rPr>
          <w:lang w:val="fr-FR"/>
        </w:rPr>
      </w:pPr>
      <w:r w:rsidRPr="0042238A">
        <w:rPr>
          <w:rFonts w:eastAsiaTheme="minorHAnsi"/>
          <w:lang w:val="fr-FR" w:eastAsia="en-US"/>
        </w:rPr>
        <w:tab/>
        <w:t xml:space="preserve">Dans le deuxième tableau, pour « ISO 16111:2008 », dans la colonne « Applicable à la fabrication », remplacer « Jusqu’à nouvel ordre » par « Jusqu’au 31 décembre 2026 ». </w:t>
      </w:r>
      <w:r w:rsidRPr="0042238A">
        <w:rPr>
          <w:lang w:val="fr-FR"/>
        </w:rPr>
        <w:t>Après la rubrique existante pour la norme « </w:t>
      </w:r>
      <w:r w:rsidRPr="0042238A">
        <w:rPr>
          <w:rFonts w:eastAsiaTheme="minorHAnsi"/>
          <w:lang w:val="fr-FR" w:eastAsia="en-US"/>
        </w:rPr>
        <w:t>ISO 16111:2008</w:t>
      </w:r>
      <w:r w:rsidRPr="0042238A">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343208" w:rsidRPr="0042238A" w14:paraId="1DA4C526" w14:textId="77777777" w:rsidTr="00FC798A">
        <w:tc>
          <w:tcPr>
            <w:tcW w:w="1544" w:type="dxa"/>
            <w:shd w:val="clear" w:color="auto" w:fill="auto"/>
          </w:tcPr>
          <w:p w14:paraId="7F542697" w14:textId="77777777" w:rsidR="00343208" w:rsidRPr="0042238A" w:rsidRDefault="00343208" w:rsidP="00FC798A">
            <w:pPr>
              <w:kinsoku/>
              <w:overflowPunct/>
              <w:autoSpaceDE/>
              <w:autoSpaceDN/>
              <w:adjustRightInd/>
              <w:snapToGrid/>
              <w:rPr>
                <w:lang w:val="fr-FR" w:eastAsia="en-US"/>
              </w:rPr>
            </w:pPr>
            <w:r w:rsidRPr="0042238A">
              <w:rPr>
                <w:lang w:val="fr-FR" w:eastAsia="en-US"/>
              </w:rPr>
              <w:t>ISO 16111:2018</w:t>
            </w:r>
          </w:p>
        </w:tc>
        <w:tc>
          <w:tcPr>
            <w:tcW w:w="4820" w:type="dxa"/>
            <w:shd w:val="clear" w:color="auto" w:fill="auto"/>
          </w:tcPr>
          <w:p w14:paraId="5A596D42" w14:textId="77777777" w:rsidR="00343208" w:rsidRPr="0042238A" w:rsidRDefault="00343208" w:rsidP="00FC798A">
            <w:pPr>
              <w:kinsoku/>
              <w:overflowPunct/>
              <w:autoSpaceDE/>
              <w:autoSpaceDN/>
              <w:adjustRightInd/>
              <w:snapToGrid/>
              <w:jc w:val="both"/>
              <w:rPr>
                <w:lang w:val="fr-FR" w:eastAsia="en-US"/>
              </w:rPr>
            </w:pPr>
            <w:r w:rsidRPr="0042238A">
              <w:rPr>
                <w:iCs/>
                <w:color w:val="000000"/>
                <w:lang w:val="fr-FR" w:eastAsia="en-US"/>
              </w:rPr>
              <w:t>Appareils de stockage de gaz transportables — Hydrogène absorbé dans un hydrure métallique réversible</w:t>
            </w:r>
          </w:p>
        </w:tc>
        <w:tc>
          <w:tcPr>
            <w:tcW w:w="1275" w:type="dxa"/>
            <w:shd w:val="clear" w:color="auto" w:fill="auto"/>
          </w:tcPr>
          <w:p w14:paraId="33C1674D" w14:textId="77777777" w:rsidR="00343208" w:rsidRPr="0042238A" w:rsidRDefault="00343208"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70B3429F" w14:textId="77777777" w:rsidR="00CC7A90" w:rsidRPr="008F75CD" w:rsidRDefault="00CC7A90" w:rsidP="00CC7A90">
      <w:pPr>
        <w:pStyle w:val="SingleTxtG"/>
        <w:spacing w:before="120"/>
        <w:ind w:left="2268" w:hanging="1134"/>
        <w:rPr>
          <w:lang w:val="fr-FR"/>
        </w:rPr>
      </w:pPr>
      <w:r w:rsidRPr="0042238A">
        <w:rPr>
          <w:lang w:val="fr-FR"/>
        </w:rPr>
        <w:t>6.2.2.4</w:t>
      </w:r>
      <w:r w:rsidRPr="0042238A">
        <w:rPr>
          <w:lang w:val="fr-FR"/>
        </w:rPr>
        <w:tab/>
      </w:r>
      <w:r w:rsidRPr="0042238A">
        <w:rPr>
          <w:lang w:val="fr-FR"/>
        </w:rPr>
        <w:tab/>
        <w:t xml:space="preserve">Modifier la première phrase comme suit : « Les normes ci-après s’appliquent aux épreuves et aux contrôles périodiques des récipients à pression </w:t>
      </w:r>
      <w:r w:rsidRPr="008F75CD">
        <w:rPr>
          <w:bCs/>
          <w:lang w:val="fr-FR"/>
        </w:rPr>
        <w:t>“</w:t>
      </w:r>
      <w:r w:rsidRPr="0042238A">
        <w:rPr>
          <w:lang w:val="fr-FR"/>
        </w:rPr>
        <w:t>UN</w:t>
      </w:r>
      <w:r w:rsidRPr="008F75CD">
        <w:rPr>
          <w:bCs/>
          <w:lang w:val="fr-FR"/>
        </w:rPr>
        <w:t>”</w:t>
      </w:r>
      <w:r w:rsidRPr="0042238A">
        <w:rPr>
          <w:lang w:val="fr-FR"/>
        </w:rPr>
        <w:t> : ».</w:t>
      </w:r>
    </w:p>
    <w:p w14:paraId="280FD323" w14:textId="341CCD13" w:rsidR="00CC7A90" w:rsidRPr="0042238A" w:rsidRDefault="00CC7A90" w:rsidP="00CC7A90">
      <w:pPr>
        <w:pStyle w:val="SingleTxtG"/>
        <w:spacing w:before="120"/>
        <w:ind w:left="2268" w:hanging="1134"/>
        <w:rPr>
          <w:lang w:val="fr-FR"/>
        </w:rPr>
      </w:pPr>
      <w:r w:rsidRPr="0042238A">
        <w:rPr>
          <w:lang w:val="fr-FR"/>
        </w:rPr>
        <w:tab/>
      </w:r>
      <w:r w:rsidRPr="0042238A">
        <w:rPr>
          <w:lang w:val="fr-FR"/>
        </w:rPr>
        <w:tab/>
        <w:t xml:space="preserve">Dans le premier tableau, pour </w:t>
      </w:r>
      <w:r w:rsidR="008F75CD">
        <w:rPr>
          <w:lang w:val="fr-FR"/>
        </w:rPr>
        <w:t>la</w:t>
      </w:r>
      <w:r w:rsidR="008F75CD" w:rsidRPr="0042238A">
        <w:rPr>
          <w:lang w:val="fr-FR"/>
        </w:rPr>
        <w:t xml:space="preserve"> </w:t>
      </w:r>
      <w:r w:rsidRPr="0042238A">
        <w:rPr>
          <w:lang w:val="fr-FR"/>
        </w:rPr>
        <w:t>norme ISO 6406:2005, remplacer « Jusqu’à nouvel ordre » par « Jusqu’au 31 décembre 2026 ». Après la norme ISO 6406:2005,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508"/>
        <w:gridCol w:w="1275"/>
      </w:tblGrid>
      <w:tr w:rsidR="00CC7A90" w:rsidRPr="0042238A" w14:paraId="5CD3F9D0" w14:textId="77777777" w:rsidTr="00FC798A">
        <w:tc>
          <w:tcPr>
            <w:tcW w:w="1696" w:type="dxa"/>
            <w:shd w:val="clear" w:color="auto" w:fill="auto"/>
          </w:tcPr>
          <w:p w14:paraId="0223A57C" w14:textId="77777777" w:rsidR="00CC7A90" w:rsidRPr="008F75CD" w:rsidRDefault="00CC7A90" w:rsidP="00FC798A">
            <w:pPr>
              <w:rPr>
                <w:lang w:val="fr-FR"/>
              </w:rPr>
            </w:pPr>
            <w:r w:rsidRPr="0042238A">
              <w:rPr>
                <w:lang w:val="fr-FR"/>
              </w:rPr>
              <w:t>ISO 18119:2018</w:t>
            </w:r>
          </w:p>
        </w:tc>
        <w:tc>
          <w:tcPr>
            <w:tcW w:w="4508" w:type="dxa"/>
            <w:shd w:val="clear" w:color="auto" w:fill="auto"/>
          </w:tcPr>
          <w:p w14:paraId="2C902944" w14:textId="77777777" w:rsidR="00CC7A90" w:rsidRPr="0042238A" w:rsidRDefault="00CC7A90" w:rsidP="00FC798A">
            <w:pPr>
              <w:rPr>
                <w:lang w:val="fr-FR"/>
              </w:rPr>
            </w:pPr>
            <w:r w:rsidRPr="0042238A">
              <w:rPr>
                <w:lang w:val="fr-FR"/>
              </w:rPr>
              <w:t>Bouteilles à gaz − Bouteilles à gaz en acier et en alliages d’aluminium, sans soudure − Contrôles et essais périodiques</w:t>
            </w:r>
          </w:p>
        </w:tc>
        <w:tc>
          <w:tcPr>
            <w:tcW w:w="1275" w:type="dxa"/>
            <w:shd w:val="clear" w:color="auto" w:fill="auto"/>
          </w:tcPr>
          <w:p w14:paraId="318BD76B" w14:textId="77777777" w:rsidR="00CC7A90" w:rsidRPr="008F75CD" w:rsidRDefault="00CC7A90" w:rsidP="00FC798A">
            <w:pPr>
              <w:rPr>
                <w:lang w:val="fr-FR"/>
              </w:rPr>
            </w:pPr>
            <w:r w:rsidRPr="0042238A">
              <w:rPr>
                <w:lang w:val="fr-FR"/>
              </w:rPr>
              <w:t>Jusqu’à nouvel ordre</w:t>
            </w:r>
          </w:p>
        </w:tc>
      </w:tr>
    </w:tbl>
    <w:p w14:paraId="4B238783" w14:textId="77777777" w:rsidR="00CC7A90" w:rsidRPr="0042238A" w:rsidRDefault="00CC7A90" w:rsidP="00CC7A90">
      <w:pPr>
        <w:pStyle w:val="SingleTxtG"/>
        <w:spacing w:before="120"/>
        <w:ind w:left="2268" w:hanging="1134"/>
        <w:rPr>
          <w:lang w:val="fr-FR"/>
        </w:rPr>
      </w:pPr>
      <w:r w:rsidRPr="0042238A">
        <w:rPr>
          <w:lang w:val="fr-FR"/>
        </w:rPr>
        <w:tab/>
      </w:r>
      <w:r w:rsidRPr="0042238A">
        <w:rPr>
          <w:lang w:val="fr-FR"/>
        </w:rPr>
        <w:tab/>
        <w:t>Dans le premier tableau, pour la norme ISO 10460:2005, remplacer « Jusqu’à nouvel ordre » par « Jusqu’au 31 décembre 2024 ». Après la norme ISO 10460:2005,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CC7A90" w:rsidRPr="0042238A" w14:paraId="6EDDE75C" w14:textId="77777777" w:rsidTr="00FC798A">
        <w:tc>
          <w:tcPr>
            <w:tcW w:w="1544" w:type="dxa"/>
            <w:shd w:val="clear" w:color="auto" w:fill="auto"/>
          </w:tcPr>
          <w:p w14:paraId="2D129C76" w14:textId="77777777" w:rsidR="00CC7A90" w:rsidRPr="008F75CD" w:rsidRDefault="00CC7A90" w:rsidP="00FC798A">
            <w:pPr>
              <w:rPr>
                <w:lang w:val="fr-FR"/>
              </w:rPr>
            </w:pPr>
            <w:r w:rsidRPr="0042238A">
              <w:rPr>
                <w:lang w:val="fr-FR"/>
              </w:rPr>
              <w:t>ISO 10460:2018</w:t>
            </w:r>
          </w:p>
        </w:tc>
        <w:tc>
          <w:tcPr>
            <w:tcW w:w="4820" w:type="dxa"/>
            <w:shd w:val="clear" w:color="auto" w:fill="auto"/>
          </w:tcPr>
          <w:p w14:paraId="3E09159D" w14:textId="77777777" w:rsidR="00CC7A90" w:rsidRPr="0042238A" w:rsidRDefault="00CC7A90" w:rsidP="00FC798A">
            <w:pPr>
              <w:rPr>
                <w:lang w:val="fr-FR"/>
              </w:rPr>
            </w:pPr>
            <w:r w:rsidRPr="0042238A">
              <w:rPr>
                <w:lang w:val="fr-FR"/>
              </w:rPr>
              <w:t>Bouteilles à gaz − Bouteilles à gaz soudées en alliage d’aluminium, carbone et acier inoxydable − Contrôles et essais périodiques</w:t>
            </w:r>
          </w:p>
        </w:tc>
        <w:tc>
          <w:tcPr>
            <w:tcW w:w="1275" w:type="dxa"/>
            <w:shd w:val="clear" w:color="auto" w:fill="auto"/>
          </w:tcPr>
          <w:p w14:paraId="7D8EEB18" w14:textId="77777777" w:rsidR="00CC7A90" w:rsidRPr="008F75CD" w:rsidRDefault="00CC7A90" w:rsidP="00FC798A">
            <w:pPr>
              <w:rPr>
                <w:lang w:val="fr-FR"/>
              </w:rPr>
            </w:pPr>
            <w:r w:rsidRPr="0042238A">
              <w:rPr>
                <w:lang w:val="fr-FR"/>
              </w:rPr>
              <w:t>Jusqu’à nouvel ordre</w:t>
            </w:r>
          </w:p>
        </w:tc>
      </w:tr>
    </w:tbl>
    <w:p w14:paraId="09ABBB80" w14:textId="108EAB7C" w:rsidR="008F75CD" w:rsidRPr="0042238A" w:rsidRDefault="008F75CD" w:rsidP="008F75CD">
      <w:pPr>
        <w:pStyle w:val="SingleTxtG"/>
        <w:spacing w:before="120"/>
        <w:ind w:left="2268" w:hanging="1134"/>
        <w:rPr>
          <w:lang w:val="fr-FR"/>
        </w:rPr>
      </w:pPr>
      <w:r w:rsidRPr="0042238A">
        <w:rPr>
          <w:lang w:val="fr-FR"/>
        </w:rPr>
        <w:tab/>
      </w:r>
      <w:r w:rsidRPr="0042238A">
        <w:rPr>
          <w:lang w:val="fr-FR"/>
        </w:rPr>
        <w:tab/>
        <w:t xml:space="preserve">Dans le premier tableau, pour </w:t>
      </w:r>
      <w:r>
        <w:rPr>
          <w:lang w:val="fr-FR"/>
        </w:rPr>
        <w:t>la</w:t>
      </w:r>
      <w:r w:rsidRPr="0042238A">
        <w:rPr>
          <w:lang w:val="fr-FR"/>
        </w:rPr>
        <w:t xml:space="preserve"> norme ISO 10461:2005/A1:2006, remplacer « Jusqu’à nouvel ordre » par « Jusqu’au 31 décembre 2026 ». </w:t>
      </w:r>
    </w:p>
    <w:p w14:paraId="5866DAB8" w14:textId="77777777" w:rsidR="00B0484A" w:rsidRPr="0042238A" w:rsidRDefault="00B0484A" w:rsidP="00B0484A">
      <w:pPr>
        <w:pStyle w:val="SingleTxtG"/>
        <w:spacing w:before="120"/>
        <w:ind w:left="2268" w:hanging="1134"/>
        <w:rPr>
          <w:lang w:val="fr-FR"/>
        </w:rPr>
      </w:pPr>
      <w:r w:rsidRPr="0042238A">
        <w:rPr>
          <w:rFonts w:eastAsiaTheme="minorHAnsi"/>
          <w:lang w:val="fr-FR" w:eastAsia="en-US"/>
        </w:rPr>
        <w:tab/>
      </w:r>
      <w:r w:rsidRPr="0042238A">
        <w:rPr>
          <w:rFonts w:eastAsiaTheme="minorHAnsi"/>
          <w:lang w:val="fr-FR" w:eastAsia="en-US"/>
        </w:rPr>
        <w:tab/>
        <w:t xml:space="preserve">Dans le premier tableau, pour « ISO 10462:2013 », dans la colonne « Applicable à la fabrication », remplacer « Jusqu’à nouvel ordre » par « Jusqu’au 31 décembre 2024 ». </w:t>
      </w:r>
      <w:r w:rsidRPr="0042238A">
        <w:rPr>
          <w:lang w:val="fr-FR"/>
        </w:rPr>
        <w:t>Après la rubrique existante pour la norme « </w:t>
      </w:r>
      <w:r w:rsidRPr="0042238A">
        <w:rPr>
          <w:rFonts w:eastAsiaTheme="minorHAnsi"/>
          <w:lang w:val="fr-FR" w:eastAsia="en-US"/>
        </w:rPr>
        <w:t>ISO 10462:2013</w:t>
      </w:r>
      <w:r w:rsidRPr="0042238A">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0484A" w:rsidRPr="0042238A" w14:paraId="02AA4BCF" w14:textId="77777777" w:rsidTr="00FC798A">
        <w:tc>
          <w:tcPr>
            <w:tcW w:w="1544" w:type="dxa"/>
            <w:shd w:val="clear" w:color="auto" w:fill="auto"/>
          </w:tcPr>
          <w:p w14:paraId="7CE1AFFD" w14:textId="77777777" w:rsidR="00B0484A" w:rsidRPr="0042238A" w:rsidRDefault="00B0484A" w:rsidP="00FC798A">
            <w:pPr>
              <w:kinsoku/>
              <w:overflowPunct/>
              <w:autoSpaceDE/>
              <w:autoSpaceDN/>
              <w:adjustRightInd/>
              <w:snapToGrid/>
              <w:rPr>
                <w:lang w:val="fr-FR" w:eastAsia="en-US"/>
              </w:rPr>
            </w:pPr>
            <w:r w:rsidRPr="0042238A">
              <w:rPr>
                <w:lang w:val="fr-FR" w:eastAsia="en-US"/>
              </w:rPr>
              <w:lastRenderedPageBreak/>
              <w:t>ISO 10462:2013 + Amd1:2019</w:t>
            </w:r>
          </w:p>
        </w:tc>
        <w:tc>
          <w:tcPr>
            <w:tcW w:w="4820" w:type="dxa"/>
            <w:shd w:val="clear" w:color="auto" w:fill="auto"/>
          </w:tcPr>
          <w:p w14:paraId="7929735E" w14:textId="77777777" w:rsidR="00B0484A" w:rsidRPr="0042238A" w:rsidRDefault="00B0484A" w:rsidP="00FC798A">
            <w:pPr>
              <w:kinsoku/>
              <w:overflowPunct/>
              <w:autoSpaceDE/>
              <w:autoSpaceDN/>
              <w:adjustRightInd/>
              <w:snapToGrid/>
              <w:jc w:val="both"/>
              <w:rPr>
                <w:lang w:val="fr-FR" w:eastAsia="en-US"/>
              </w:rPr>
            </w:pPr>
            <w:r w:rsidRPr="0042238A">
              <w:rPr>
                <w:iCs/>
                <w:color w:val="000000"/>
                <w:lang w:val="fr-FR" w:eastAsia="en-US"/>
              </w:rPr>
              <w:t>Bouteilles à gaz — Bouteilles d'acétylène — Contrôle et entretien périodiques</w:t>
            </w:r>
          </w:p>
        </w:tc>
        <w:tc>
          <w:tcPr>
            <w:tcW w:w="1275" w:type="dxa"/>
            <w:shd w:val="clear" w:color="auto" w:fill="auto"/>
          </w:tcPr>
          <w:p w14:paraId="463BE418" w14:textId="77777777" w:rsidR="00B0484A" w:rsidRPr="0042238A" w:rsidRDefault="00B0484A"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335B024B" w14:textId="77777777" w:rsidR="006F77BF" w:rsidRPr="0042238A" w:rsidRDefault="006F77BF" w:rsidP="006F77BF">
      <w:pPr>
        <w:pStyle w:val="SingleTxtG"/>
        <w:tabs>
          <w:tab w:val="left" w:pos="2268"/>
        </w:tabs>
        <w:spacing w:before="120"/>
        <w:ind w:left="2268" w:hanging="1134"/>
        <w:rPr>
          <w:lang w:val="fr-FR"/>
        </w:rPr>
      </w:pPr>
      <w:r w:rsidRPr="0042238A">
        <w:rPr>
          <w:lang w:val="fr-FR" w:eastAsia="en-US"/>
        </w:rPr>
        <w:tab/>
      </w:r>
      <w:r w:rsidRPr="0042238A">
        <w:rPr>
          <w:lang w:val="fr-FR" w:eastAsia="en-US"/>
        </w:rPr>
        <w:tab/>
      </w:r>
      <w:r w:rsidRPr="0042238A">
        <w:rPr>
          <w:rFonts w:eastAsiaTheme="minorHAnsi"/>
          <w:lang w:val="fr-FR" w:eastAsia="en-US"/>
        </w:rPr>
        <w:t xml:space="preserve">Dans le premier tableau, pour « ISO 11513:2011 », dans la colonne « Applicable à la fabrication », remplacer « Jusqu’à nouvel ordre » par « Jusqu’au 31 décembre 2024 ». </w:t>
      </w:r>
      <w:r w:rsidRPr="0042238A">
        <w:rPr>
          <w:lang w:val="fr-FR"/>
        </w:rPr>
        <w:t>Après la rubrique existante pour la norme « </w:t>
      </w:r>
      <w:r w:rsidRPr="0042238A">
        <w:rPr>
          <w:rFonts w:eastAsiaTheme="minorHAnsi"/>
          <w:lang w:val="fr-FR" w:eastAsia="en-US"/>
        </w:rPr>
        <w:t>ISO 11513:2011 </w:t>
      </w:r>
      <w:r w:rsidRPr="0042238A">
        <w:rPr>
          <w:lang w:val="fr-FR"/>
        </w:rPr>
        <w:t>»,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77BF" w:rsidRPr="0042238A" w14:paraId="53BAD54E" w14:textId="77777777" w:rsidTr="00FC798A">
        <w:tc>
          <w:tcPr>
            <w:tcW w:w="1544" w:type="dxa"/>
            <w:shd w:val="clear" w:color="auto" w:fill="auto"/>
          </w:tcPr>
          <w:p w14:paraId="4573D894" w14:textId="77777777" w:rsidR="006F77BF" w:rsidRPr="0042238A" w:rsidRDefault="006F77BF" w:rsidP="00FC798A">
            <w:pPr>
              <w:keepNext/>
              <w:keepLines/>
              <w:kinsoku/>
              <w:overflowPunct/>
              <w:autoSpaceDE/>
              <w:autoSpaceDN/>
              <w:adjustRightInd/>
              <w:snapToGrid/>
              <w:rPr>
                <w:lang w:val="fr-FR" w:eastAsia="en-US"/>
              </w:rPr>
            </w:pPr>
            <w:r w:rsidRPr="0042238A">
              <w:rPr>
                <w:lang w:val="fr-FR" w:eastAsia="en-US"/>
              </w:rPr>
              <w:t>ISO 11513:2019</w:t>
            </w:r>
          </w:p>
        </w:tc>
        <w:tc>
          <w:tcPr>
            <w:tcW w:w="4820" w:type="dxa"/>
            <w:shd w:val="clear" w:color="auto" w:fill="auto"/>
          </w:tcPr>
          <w:p w14:paraId="08487DBC" w14:textId="77777777" w:rsidR="006F77BF" w:rsidRPr="0042238A" w:rsidRDefault="006F77BF" w:rsidP="00FC798A">
            <w:pPr>
              <w:keepNext/>
              <w:keepLines/>
              <w:kinsoku/>
              <w:overflowPunct/>
              <w:autoSpaceDE/>
              <w:autoSpaceDN/>
              <w:adjustRightInd/>
              <w:snapToGrid/>
              <w:jc w:val="both"/>
              <w:rPr>
                <w:lang w:val="fr-FR" w:eastAsia="en-US"/>
              </w:rPr>
            </w:pPr>
            <w:r w:rsidRPr="0042238A">
              <w:rPr>
                <w:iCs/>
                <w:color w:val="000000"/>
                <w:lang w:val="fr-FR" w:eastAsia="en-US"/>
              </w:rPr>
              <w:t xml:space="preserve">Bouteilles à gaz — Bouteilles en acier soudées rechargeables contenant des matériaux pour le stockage des gaz à une pression </w:t>
            </w:r>
            <w:proofErr w:type="spellStart"/>
            <w:r w:rsidRPr="0042238A">
              <w:rPr>
                <w:iCs/>
                <w:color w:val="000000"/>
                <w:lang w:val="fr-FR" w:eastAsia="en-US"/>
              </w:rPr>
              <w:t>sub</w:t>
            </w:r>
            <w:proofErr w:type="spellEnd"/>
            <w:r w:rsidRPr="0042238A">
              <w:rPr>
                <w:iCs/>
                <w:color w:val="000000"/>
                <w:lang w:val="fr-FR" w:eastAsia="en-US"/>
              </w:rPr>
              <w:t>-atmosphérique (à l'exclusion de l'acétylène) — Conception, fabrication, essais, utilisation et contrôle périodique</w:t>
            </w:r>
          </w:p>
        </w:tc>
        <w:tc>
          <w:tcPr>
            <w:tcW w:w="1275" w:type="dxa"/>
            <w:shd w:val="clear" w:color="auto" w:fill="auto"/>
          </w:tcPr>
          <w:p w14:paraId="600C5236" w14:textId="77777777" w:rsidR="006F77BF" w:rsidRPr="0042238A" w:rsidRDefault="006F77BF" w:rsidP="00FC798A">
            <w:pPr>
              <w:keepNext/>
              <w:keepLines/>
              <w:kinsoku/>
              <w:overflowPunct/>
              <w:autoSpaceDE/>
              <w:autoSpaceDN/>
              <w:adjustRightInd/>
              <w:snapToGrid/>
              <w:rPr>
                <w:lang w:val="fr-FR" w:eastAsia="en-US"/>
              </w:rPr>
            </w:pPr>
            <w:r w:rsidRPr="0042238A">
              <w:rPr>
                <w:rFonts w:eastAsiaTheme="minorHAnsi"/>
                <w:lang w:val="fr-FR" w:eastAsia="en-US"/>
              </w:rPr>
              <w:t>Jusqu’à nouvel ordre</w:t>
            </w:r>
          </w:p>
        </w:tc>
      </w:tr>
    </w:tbl>
    <w:p w14:paraId="2F37DD52" w14:textId="77777777" w:rsidR="00B0484A" w:rsidRPr="0042238A" w:rsidRDefault="00B0484A" w:rsidP="00B0484A">
      <w:pPr>
        <w:pStyle w:val="SingleTxtG"/>
        <w:spacing w:before="120"/>
        <w:ind w:left="2268" w:hanging="1134"/>
        <w:rPr>
          <w:lang w:val="fr-FR"/>
        </w:rPr>
      </w:pPr>
      <w:r w:rsidRPr="0042238A">
        <w:rPr>
          <w:lang w:val="fr-FR"/>
        </w:rPr>
        <w:tab/>
        <w:t>Dans le premier tableau, supprimer la ligne relative à la norme ISO 11623:2002</w:t>
      </w:r>
    </w:p>
    <w:p w14:paraId="101E5BF6" w14:textId="77777777" w:rsidR="006F77BF" w:rsidRPr="0042238A" w:rsidRDefault="006F77BF" w:rsidP="006F77BF">
      <w:pPr>
        <w:pStyle w:val="SingleTxtG"/>
        <w:tabs>
          <w:tab w:val="left" w:pos="2268"/>
        </w:tabs>
        <w:spacing w:before="120"/>
        <w:rPr>
          <w:rFonts w:eastAsiaTheme="minorHAnsi"/>
          <w:lang w:val="fr-FR" w:eastAsia="en-US"/>
        </w:rPr>
      </w:pPr>
      <w:r w:rsidRPr="0042238A">
        <w:rPr>
          <w:rFonts w:eastAsiaTheme="minorHAnsi"/>
          <w:lang w:val="fr-FR" w:eastAsia="en-US"/>
        </w:rPr>
        <w:tab/>
        <w:t>À la fin du premier tableau,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77BF" w:rsidRPr="0042238A" w14:paraId="38D52FF2" w14:textId="77777777" w:rsidTr="00FC798A">
        <w:tc>
          <w:tcPr>
            <w:tcW w:w="1544" w:type="dxa"/>
            <w:shd w:val="clear" w:color="auto" w:fill="auto"/>
          </w:tcPr>
          <w:p w14:paraId="77BAB379" w14:textId="77777777" w:rsidR="006F77BF" w:rsidRPr="0042238A" w:rsidRDefault="006F77BF" w:rsidP="00FC798A">
            <w:pPr>
              <w:kinsoku/>
              <w:overflowPunct/>
              <w:autoSpaceDE/>
              <w:autoSpaceDN/>
              <w:adjustRightInd/>
              <w:snapToGrid/>
              <w:rPr>
                <w:lang w:val="fr-FR" w:eastAsia="en-US"/>
              </w:rPr>
            </w:pPr>
            <w:r w:rsidRPr="0042238A">
              <w:rPr>
                <w:lang w:val="fr-FR" w:eastAsia="en-US"/>
              </w:rPr>
              <w:t>ISO 23088:2020</w:t>
            </w:r>
          </w:p>
        </w:tc>
        <w:tc>
          <w:tcPr>
            <w:tcW w:w="4820" w:type="dxa"/>
            <w:shd w:val="clear" w:color="auto" w:fill="auto"/>
          </w:tcPr>
          <w:p w14:paraId="50841142" w14:textId="77777777" w:rsidR="006F77BF" w:rsidRPr="0042238A" w:rsidRDefault="006F77BF" w:rsidP="00FC798A">
            <w:pPr>
              <w:kinsoku/>
              <w:overflowPunct/>
              <w:autoSpaceDE/>
              <w:autoSpaceDN/>
              <w:adjustRightInd/>
              <w:snapToGrid/>
              <w:rPr>
                <w:lang w:val="fr-FR" w:eastAsia="en-US"/>
              </w:rPr>
            </w:pPr>
            <w:r w:rsidRPr="0042238A">
              <w:rPr>
                <w:iCs/>
                <w:color w:val="000000"/>
                <w:lang w:val="fr-FR" w:eastAsia="en-US"/>
              </w:rPr>
              <w:t>Bouteilles à gaz — Contrôle et entretien périodiques des fûts sous pression en acier soudé — Capacités jusqu'à 1 000 l</w:t>
            </w:r>
          </w:p>
        </w:tc>
        <w:tc>
          <w:tcPr>
            <w:tcW w:w="1275" w:type="dxa"/>
            <w:shd w:val="clear" w:color="auto" w:fill="auto"/>
          </w:tcPr>
          <w:p w14:paraId="7596E4D2" w14:textId="77777777" w:rsidR="006F77BF" w:rsidRPr="0042238A" w:rsidRDefault="006F77BF"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6FC1AAA8" w14:textId="77777777" w:rsidR="0038248A" w:rsidRPr="0042238A" w:rsidRDefault="0038248A" w:rsidP="0038248A">
      <w:pPr>
        <w:pStyle w:val="SingleTxtG"/>
        <w:tabs>
          <w:tab w:val="left" w:pos="2268"/>
        </w:tabs>
        <w:spacing w:before="120"/>
        <w:ind w:left="2268" w:hanging="1134"/>
        <w:rPr>
          <w:lang w:val="fr-FR"/>
        </w:rPr>
      </w:pPr>
      <w:r w:rsidRPr="0042238A">
        <w:rPr>
          <w:rFonts w:eastAsiaTheme="minorHAnsi"/>
          <w:lang w:val="fr-FR" w:eastAsia="en-US"/>
        </w:rPr>
        <w:tab/>
        <w:t xml:space="preserve">Dans le deuxième tableau, pour « ISO 16111:2008 », dans la colonne « Applicable à la fabrication », remplacer « Jusqu’à nouvel ordre » par « Jusqu’au 31 décembre 2024 ». </w:t>
      </w:r>
      <w:r w:rsidRPr="0042238A">
        <w:rPr>
          <w:lang w:val="fr-FR"/>
        </w:rPr>
        <w:t>Après la rubrique existante pour la norme « </w:t>
      </w:r>
      <w:r w:rsidRPr="0042238A">
        <w:rPr>
          <w:rFonts w:eastAsiaTheme="minorHAnsi"/>
          <w:lang w:val="fr-FR" w:eastAsia="en-US"/>
        </w:rPr>
        <w:t>ISO 16111:2008</w:t>
      </w:r>
      <w:r w:rsidRPr="0042238A">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38248A" w:rsidRPr="0042238A" w14:paraId="0DF8A023" w14:textId="77777777" w:rsidTr="00FC798A">
        <w:tc>
          <w:tcPr>
            <w:tcW w:w="1544" w:type="dxa"/>
            <w:shd w:val="clear" w:color="auto" w:fill="auto"/>
          </w:tcPr>
          <w:p w14:paraId="73BCF4A0" w14:textId="77777777" w:rsidR="0038248A" w:rsidRPr="0042238A" w:rsidRDefault="0038248A" w:rsidP="00FC798A">
            <w:pPr>
              <w:kinsoku/>
              <w:overflowPunct/>
              <w:autoSpaceDE/>
              <w:autoSpaceDN/>
              <w:adjustRightInd/>
              <w:snapToGrid/>
              <w:rPr>
                <w:lang w:val="fr-FR" w:eastAsia="en-US"/>
              </w:rPr>
            </w:pPr>
            <w:r w:rsidRPr="0042238A">
              <w:rPr>
                <w:lang w:val="fr-FR" w:eastAsia="en-US"/>
              </w:rPr>
              <w:t>ISO 16111:2018</w:t>
            </w:r>
          </w:p>
        </w:tc>
        <w:tc>
          <w:tcPr>
            <w:tcW w:w="4820" w:type="dxa"/>
            <w:shd w:val="clear" w:color="auto" w:fill="auto"/>
          </w:tcPr>
          <w:p w14:paraId="3301993C" w14:textId="77777777" w:rsidR="0038248A" w:rsidRPr="0042238A" w:rsidRDefault="0038248A" w:rsidP="00FC798A">
            <w:pPr>
              <w:kinsoku/>
              <w:overflowPunct/>
              <w:autoSpaceDE/>
              <w:autoSpaceDN/>
              <w:adjustRightInd/>
              <w:snapToGrid/>
              <w:jc w:val="both"/>
              <w:rPr>
                <w:lang w:val="fr-FR" w:eastAsia="en-US"/>
              </w:rPr>
            </w:pPr>
            <w:r w:rsidRPr="0042238A">
              <w:rPr>
                <w:iCs/>
                <w:color w:val="000000"/>
                <w:lang w:val="fr-FR" w:eastAsia="en-US"/>
              </w:rPr>
              <w:t>Appareils de stockage de gaz transportables — Hydrogène absorbé dans un hydrure métallique réversible</w:t>
            </w:r>
          </w:p>
        </w:tc>
        <w:tc>
          <w:tcPr>
            <w:tcW w:w="1275" w:type="dxa"/>
            <w:shd w:val="clear" w:color="auto" w:fill="auto"/>
          </w:tcPr>
          <w:p w14:paraId="5F60570E" w14:textId="77777777" w:rsidR="0038248A" w:rsidRPr="0042238A" w:rsidRDefault="0038248A" w:rsidP="00FC798A">
            <w:pPr>
              <w:kinsoku/>
              <w:overflowPunct/>
              <w:autoSpaceDE/>
              <w:autoSpaceDN/>
              <w:adjustRightInd/>
              <w:snapToGrid/>
              <w:rPr>
                <w:lang w:val="fr-FR" w:eastAsia="en-US"/>
              </w:rPr>
            </w:pPr>
            <w:r w:rsidRPr="0042238A">
              <w:rPr>
                <w:rFonts w:eastAsiaTheme="minorHAnsi"/>
                <w:lang w:val="fr-FR" w:eastAsia="en-US"/>
              </w:rPr>
              <w:t>Jusqu’à nouvel ordre</w:t>
            </w:r>
          </w:p>
        </w:tc>
      </w:tr>
    </w:tbl>
    <w:p w14:paraId="5565EA0D" w14:textId="77777777" w:rsidR="00CC7A90" w:rsidRPr="00CB71F9" w:rsidRDefault="00CC7A90" w:rsidP="00CC7A90">
      <w:pPr>
        <w:pStyle w:val="SingleTxtG"/>
        <w:spacing w:before="120"/>
        <w:ind w:left="2268" w:hanging="1134"/>
        <w:rPr>
          <w:lang w:val="fr-FR"/>
        </w:rPr>
      </w:pPr>
      <w:r w:rsidRPr="0042238A">
        <w:rPr>
          <w:lang w:val="fr-FR"/>
        </w:rPr>
        <w:t>6.2.2.5</w:t>
      </w:r>
      <w:r w:rsidRPr="0042238A">
        <w:rPr>
          <w:lang w:val="fr-FR"/>
        </w:rPr>
        <w:tab/>
      </w:r>
      <w:r w:rsidRPr="0042238A">
        <w:rPr>
          <w:lang w:val="fr-FR"/>
        </w:rPr>
        <w:tab/>
        <w:t>Au début du 6.2.2.5, le 6.2.2.5.1 devient le 6.2.2.5.0. Ajouter le Nota suivant à la fin (après la définition de « </w:t>
      </w:r>
      <w:r w:rsidRPr="0042238A">
        <w:rPr>
          <w:i/>
          <w:iCs/>
          <w:lang w:val="fr-FR"/>
        </w:rPr>
        <w:t>Vérifier </w:t>
      </w:r>
      <w:r w:rsidRPr="0042238A">
        <w:rPr>
          <w:lang w:val="fr-FR"/>
        </w:rPr>
        <w:t>») :</w:t>
      </w:r>
    </w:p>
    <w:p w14:paraId="41D0C81E" w14:textId="77777777" w:rsidR="00CC7A90" w:rsidRPr="00CB71F9" w:rsidRDefault="00CC7A90" w:rsidP="00CC7A90">
      <w:pPr>
        <w:pStyle w:val="SingleTxtG"/>
        <w:rPr>
          <w:lang w:val="fr-FR"/>
        </w:rPr>
      </w:pPr>
      <w:r w:rsidRPr="0042238A">
        <w:rPr>
          <w:bCs/>
          <w:iCs/>
          <w:lang w:val="fr-FR"/>
        </w:rPr>
        <w:t>«</w:t>
      </w:r>
      <w:r w:rsidRPr="0042238A">
        <w:rPr>
          <w:b/>
          <w:bCs/>
          <w:i/>
          <w:iCs/>
          <w:lang w:val="fr-FR"/>
        </w:rPr>
        <w:t> NOTA </w:t>
      </w:r>
      <w:r w:rsidRPr="0042238A">
        <w:rPr>
          <w:bCs/>
          <w:i/>
          <w:iCs/>
          <w:lang w:val="fr-FR"/>
        </w:rPr>
        <w:t>:</w:t>
      </w:r>
      <w:r w:rsidRPr="0042238A">
        <w:rPr>
          <w:lang w:val="fr-FR"/>
        </w:rPr>
        <w:t xml:space="preserve"> </w:t>
      </w:r>
      <w:r w:rsidRPr="0042238A">
        <w:rPr>
          <w:i/>
          <w:iCs/>
          <w:lang w:val="fr-FR"/>
        </w:rPr>
        <w:t xml:space="preserve">Dans la présente sous-section, lorsque des évaluations séparées sont réalisées, le terme </w:t>
      </w:r>
      <w:r w:rsidRPr="00CB71F9">
        <w:rPr>
          <w:bCs/>
          <w:i/>
          <w:iCs/>
          <w:lang w:val="fr-FR"/>
        </w:rPr>
        <w:t>“</w:t>
      </w:r>
      <w:r w:rsidRPr="0042238A">
        <w:rPr>
          <w:i/>
          <w:iCs/>
          <w:lang w:val="fr-FR"/>
        </w:rPr>
        <w:t>récipient à pression</w:t>
      </w:r>
      <w:r w:rsidRPr="00CB71F9">
        <w:rPr>
          <w:bCs/>
          <w:i/>
          <w:iCs/>
          <w:lang w:val="fr-FR"/>
        </w:rPr>
        <w:t>”</w:t>
      </w:r>
      <w:r w:rsidRPr="0042238A">
        <w:rPr>
          <w:i/>
          <w:iCs/>
          <w:lang w:val="fr-FR"/>
        </w:rPr>
        <w:t xml:space="preserve"> désigne, selon le cas, le récipient à pression, l’enveloppe du récipient à pression, le réservoir intérieur du récipient cryogénique fermé ou une fermeture.</w:t>
      </w:r>
      <w:r w:rsidRPr="0042238A">
        <w:rPr>
          <w:lang w:val="fr-FR"/>
        </w:rPr>
        <w:t> ».</w:t>
      </w:r>
    </w:p>
    <w:p w14:paraId="0D0F7958" w14:textId="77777777" w:rsidR="00CC7A90" w:rsidRPr="0042238A" w:rsidRDefault="00CC7A90" w:rsidP="00CC7A90">
      <w:pPr>
        <w:pStyle w:val="SingleTxtG"/>
        <w:rPr>
          <w:lang w:val="fr-FR"/>
        </w:rPr>
      </w:pPr>
      <w:r w:rsidRPr="0042238A">
        <w:rPr>
          <w:lang w:val="fr-FR"/>
        </w:rPr>
        <w:t>6.2.2.5.1</w:t>
      </w:r>
      <w:r w:rsidRPr="0042238A">
        <w:rPr>
          <w:lang w:val="fr-FR"/>
        </w:rPr>
        <w:tab/>
        <w:t>Ajouter un nouveau paragraphe 6.2.2.5.1, libellé comme suit :</w:t>
      </w:r>
    </w:p>
    <w:p w14:paraId="25AED2FA" w14:textId="77777777" w:rsidR="00CC7A90" w:rsidRPr="0042238A" w:rsidRDefault="00CC7A90" w:rsidP="00CC7A90">
      <w:pPr>
        <w:pStyle w:val="SingleTxtG"/>
        <w:rPr>
          <w:lang w:val="fr-FR"/>
        </w:rPr>
      </w:pPr>
      <w:r w:rsidRPr="0042238A">
        <w:rPr>
          <w:lang w:val="fr-FR"/>
        </w:rPr>
        <w:t>« 6.2.2.5.1</w:t>
      </w:r>
      <w:r w:rsidRPr="0042238A">
        <w:rPr>
          <w:lang w:val="fr-FR"/>
        </w:rPr>
        <w:tab/>
        <w:t>Les prescriptions du 6.2.2.5 doivent être appliquées pour évaluer la conformité des récipients à pression. Le paragraphe 6.2.1.4.3 indique dans le détail quelles parties des récipients à pression peuvent faire l’objet d’une évaluation de conformité séparée. Les prescriptions du 6.2.2.5 peuvent cependant être remplacées par d’autres prescriptions spécifiées par l’autorité compétente, dans les cas suivants :</w:t>
      </w:r>
    </w:p>
    <w:p w14:paraId="3EE09407" w14:textId="77777777" w:rsidR="00CC7A90" w:rsidRPr="0042238A" w:rsidRDefault="00CC7A90" w:rsidP="00CC7A90">
      <w:pPr>
        <w:pStyle w:val="SingleTxtG"/>
        <w:rPr>
          <w:lang w:val="fr-FR"/>
        </w:rPr>
      </w:pPr>
      <w:r w:rsidRPr="0042238A">
        <w:rPr>
          <w:lang w:val="fr-FR"/>
        </w:rPr>
        <w:t>a)</w:t>
      </w:r>
      <w:r w:rsidRPr="0042238A">
        <w:rPr>
          <w:lang w:val="fr-FR"/>
        </w:rPr>
        <w:tab/>
        <w:t>Évaluation de la conformité des fermetures ;</w:t>
      </w:r>
    </w:p>
    <w:p w14:paraId="489BB283" w14:textId="77777777" w:rsidR="00CC7A90" w:rsidRPr="0042238A" w:rsidRDefault="00CC7A90" w:rsidP="00CC7A90">
      <w:pPr>
        <w:pStyle w:val="SingleTxtG"/>
        <w:rPr>
          <w:lang w:val="fr-FR"/>
        </w:rPr>
      </w:pPr>
      <w:r w:rsidRPr="0042238A">
        <w:rPr>
          <w:lang w:val="fr-FR"/>
        </w:rPr>
        <w:t>b)</w:t>
      </w:r>
      <w:r w:rsidRPr="0042238A">
        <w:rPr>
          <w:lang w:val="fr-FR"/>
        </w:rPr>
        <w:tab/>
        <w:t>Évaluation de la conformité de l’assemblage complet des cadres de bouteilles, sous réserve que la conformité des enveloppes de bouteilles qui le composent ait été évaluée conformément aux prescriptions du 6.2.2.5 ; et</w:t>
      </w:r>
    </w:p>
    <w:p w14:paraId="181C2535" w14:textId="77777777" w:rsidR="00CC7A90" w:rsidRPr="0042238A" w:rsidRDefault="00CC7A90" w:rsidP="00CC7A90">
      <w:pPr>
        <w:pStyle w:val="SingleTxtG"/>
        <w:rPr>
          <w:lang w:val="fr-FR"/>
        </w:rPr>
      </w:pPr>
      <w:r w:rsidRPr="0042238A">
        <w:rPr>
          <w:lang w:val="fr-FR"/>
        </w:rPr>
        <w:t>c)</w:t>
      </w:r>
      <w:r w:rsidRPr="0042238A">
        <w:rPr>
          <w:lang w:val="fr-FR"/>
        </w:rPr>
        <w:tab/>
        <w:t>Évaluation de la conformité de l’assemblage complet des récipients cryogéniques fermés, sous réserve que la conformité des récipients intérieurs ait été évaluée conformément aux prescriptions du 6.2.2.5. ».</w:t>
      </w:r>
    </w:p>
    <w:p w14:paraId="53CEE891" w14:textId="794A4A16" w:rsidR="00CC7A90" w:rsidRPr="0042238A" w:rsidRDefault="00CC7A90" w:rsidP="00CC7A90">
      <w:pPr>
        <w:pStyle w:val="SingleTxtG"/>
        <w:spacing w:before="120"/>
        <w:ind w:left="2268" w:hanging="1134"/>
        <w:rPr>
          <w:lang w:val="fr-FR"/>
        </w:rPr>
      </w:pPr>
      <w:r w:rsidRPr="0042238A">
        <w:rPr>
          <w:lang w:val="fr-FR"/>
        </w:rPr>
        <w:t>6.2.2.5.4.9</w:t>
      </w:r>
      <w:r w:rsidR="006C18DB" w:rsidRPr="0042238A">
        <w:rPr>
          <w:lang w:val="fr-FR"/>
        </w:rPr>
        <w:tab/>
        <w:t>Dans</w:t>
      </w:r>
      <w:r w:rsidRPr="0042238A">
        <w:rPr>
          <w:lang w:val="fr-FR"/>
        </w:rPr>
        <w:t> c)</w:t>
      </w:r>
      <w:r w:rsidR="006C18DB" w:rsidRPr="0042238A">
        <w:rPr>
          <w:lang w:val="fr-FR"/>
        </w:rPr>
        <w:t>, r</w:t>
      </w:r>
      <w:r w:rsidRPr="0042238A">
        <w:rPr>
          <w:lang w:val="fr-FR"/>
        </w:rPr>
        <w:t>emplacer le texte actuel par : « de soumettre les récipients concernés aux épreuves prescrites pour l’agrément du modèle type, comme prescrit par la norme ou le code technique applicable au récipient à pression, ou de superviser ces épreuves. ».</w:t>
      </w:r>
    </w:p>
    <w:p w14:paraId="433B9965" w14:textId="30BDF6D6" w:rsidR="00CC7A90" w:rsidRPr="0042238A" w:rsidRDefault="00CC7A90" w:rsidP="00CC7A90">
      <w:pPr>
        <w:pStyle w:val="SingleTxtG"/>
        <w:spacing w:before="120"/>
        <w:ind w:left="2268" w:hanging="1134"/>
        <w:rPr>
          <w:lang w:val="fr-FR"/>
        </w:rPr>
      </w:pPr>
      <w:r w:rsidRPr="0042238A">
        <w:rPr>
          <w:lang w:val="fr-FR"/>
        </w:rPr>
        <w:tab/>
        <w:t>Ajouter la nouvelle phrase suivante à la fin de l’avant-dernier paragraphe : « </w:t>
      </w:r>
      <w:r w:rsidRPr="00CB71F9">
        <w:rPr>
          <w:lang w:val="fr-FR"/>
        </w:rPr>
        <w:t>Si la compatibilité entre les matériaux dont est constitué le récipient à pression et le contenu de celui-ci n’a pas pu être examinée de manière exhaustive au moment de la délivrance du certificat, une déclaration indiquant que l’évaluation de la compatibilité n’a pas été menée à bien doit être consignée dans le certificat d’agrément du modèle type. ».</w:t>
      </w:r>
    </w:p>
    <w:p w14:paraId="0DE3CF87" w14:textId="77777777" w:rsidR="00CC7A90" w:rsidRPr="0042238A" w:rsidRDefault="00CC7A90" w:rsidP="00CC7A90">
      <w:pPr>
        <w:pStyle w:val="SingleTxtG"/>
        <w:spacing w:before="120"/>
        <w:ind w:left="2268" w:hanging="1134"/>
        <w:rPr>
          <w:lang w:val="fr-FR"/>
        </w:rPr>
      </w:pPr>
      <w:r w:rsidRPr="0042238A">
        <w:rPr>
          <w:lang w:val="fr-FR"/>
        </w:rPr>
        <w:lastRenderedPageBreak/>
        <w:t>6.2.2.7</w:t>
      </w:r>
      <w:r w:rsidRPr="0042238A">
        <w:rPr>
          <w:lang w:val="fr-FR"/>
        </w:rPr>
        <w:tab/>
      </w:r>
      <w:r w:rsidRPr="0042238A">
        <w:rPr>
          <w:lang w:val="fr-FR"/>
        </w:rPr>
        <w:tab/>
        <w:t>Modifier le Nota en remplaçant « au 6.2.2.9 et les prescriptions de marquage » par « au 6.2.2.9, les prescriptions de marquage », et ajouter, à la fin, « et les prescriptions de marquage pour les fermetures figurent au 6.2.2.11. ».</w:t>
      </w:r>
    </w:p>
    <w:p w14:paraId="637A6D35" w14:textId="77777777" w:rsidR="00CC7A90" w:rsidRPr="0042238A" w:rsidRDefault="00CC7A90" w:rsidP="00CC7A90">
      <w:pPr>
        <w:pStyle w:val="SingleTxtG"/>
        <w:spacing w:before="120"/>
        <w:ind w:left="2268" w:hanging="1134"/>
        <w:rPr>
          <w:lang w:val="fr-FR"/>
        </w:rPr>
      </w:pPr>
      <w:r w:rsidRPr="0042238A">
        <w:rPr>
          <w:lang w:val="fr-FR"/>
        </w:rPr>
        <w:t>6.2.2.7.1</w:t>
      </w:r>
      <w:r w:rsidRPr="0042238A">
        <w:rPr>
          <w:lang w:val="fr-FR"/>
        </w:rPr>
        <w:tab/>
        <w:t xml:space="preserve">Dans la première phrase, remplacer « récipients à pression » par « enveloppes de récipients à pression rechargeables </w:t>
      </w:r>
      <w:r w:rsidRPr="00CB71F9">
        <w:rPr>
          <w:bCs/>
          <w:lang w:val="fr-FR"/>
        </w:rPr>
        <w:t>“</w:t>
      </w:r>
      <w:r w:rsidRPr="0042238A">
        <w:rPr>
          <w:lang w:val="fr-FR"/>
        </w:rPr>
        <w:t>UN</w:t>
      </w:r>
      <w:r w:rsidRPr="00CB71F9">
        <w:rPr>
          <w:bCs/>
          <w:lang w:val="fr-FR"/>
        </w:rPr>
        <w:t>”</w:t>
      </w:r>
      <w:r w:rsidRPr="0042238A">
        <w:rPr>
          <w:lang w:val="fr-FR"/>
        </w:rPr>
        <w:t xml:space="preserve"> et les récipients cryogéniques fermés ». </w:t>
      </w:r>
    </w:p>
    <w:p w14:paraId="6ABC85F5" w14:textId="77777777" w:rsidR="00CC7A90" w:rsidRPr="0042238A" w:rsidRDefault="00CC7A90" w:rsidP="00CC7A90">
      <w:pPr>
        <w:pStyle w:val="SingleTxtG"/>
        <w:spacing w:before="120"/>
        <w:ind w:left="2268" w:hanging="1134"/>
        <w:rPr>
          <w:lang w:val="fr-FR"/>
        </w:rPr>
      </w:pPr>
      <w:r w:rsidRPr="0042238A">
        <w:rPr>
          <w:lang w:val="fr-FR"/>
        </w:rPr>
        <w:tab/>
        <w:t xml:space="preserve">À la fin de la deuxième phrase, supprimer « sur le récipient à pression ». </w:t>
      </w:r>
    </w:p>
    <w:p w14:paraId="5D6C03EF" w14:textId="77777777" w:rsidR="00CC7A90" w:rsidRPr="0042238A" w:rsidRDefault="00CC7A90" w:rsidP="00CC7A90">
      <w:pPr>
        <w:pStyle w:val="SingleTxtG"/>
        <w:spacing w:before="120"/>
        <w:ind w:left="2268" w:hanging="1134"/>
        <w:rPr>
          <w:lang w:val="fr-FR"/>
        </w:rPr>
      </w:pPr>
      <w:r w:rsidRPr="0042238A">
        <w:rPr>
          <w:lang w:val="fr-FR"/>
        </w:rPr>
        <w:tab/>
        <w:t>À la troisième phrase, après « le fond supérieur ou le col », insérer « de l’enveloppe ».</w:t>
      </w:r>
    </w:p>
    <w:p w14:paraId="0C938BB9" w14:textId="77777777" w:rsidR="00CC7A90" w:rsidRPr="00CB71F9" w:rsidRDefault="00CC7A90" w:rsidP="00CC7A90">
      <w:pPr>
        <w:pStyle w:val="SingleTxtG"/>
        <w:spacing w:before="120"/>
        <w:ind w:left="2268" w:hanging="1134"/>
        <w:rPr>
          <w:lang w:val="fr-FR"/>
        </w:rPr>
      </w:pPr>
      <w:r w:rsidRPr="0042238A">
        <w:rPr>
          <w:lang w:val="fr-FR"/>
        </w:rPr>
        <w:t>6.2.2.7.2 b)</w:t>
      </w:r>
      <w:r w:rsidRPr="0042238A">
        <w:rPr>
          <w:lang w:val="fr-FR"/>
        </w:rPr>
        <w:tab/>
        <w:t>À la fin, ajouter le nouveau Nota suivant :</w:t>
      </w:r>
    </w:p>
    <w:p w14:paraId="1363F115" w14:textId="77777777" w:rsidR="00CC7A90" w:rsidRPr="00CB71F9" w:rsidRDefault="00CC7A90" w:rsidP="00CC7A90">
      <w:pPr>
        <w:pStyle w:val="SingleTxtG"/>
        <w:rPr>
          <w:lang w:val="fr-FR"/>
        </w:rPr>
      </w:pPr>
      <w:bookmarkStart w:id="3" w:name="_Hlk531615118"/>
      <w:r w:rsidRPr="0042238A">
        <w:rPr>
          <w:lang w:val="fr-FR"/>
        </w:rPr>
        <w:t>« </w:t>
      </w:r>
      <w:r w:rsidRPr="0042238A">
        <w:rPr>
          <w:b/>
          <w:bCs/>
          <w:i/>
          <w:iCs/>
          <w:lang w:val="fr-FR"/>
        </w:rPr>
        <w:t>NOTA </w:t>
      </w:r>
      <w:r w:rsidRPr="0042238A">
        <w:rPr>
          <w:bCs/>
          <w:i/>
          <w:iCs/>
          <w:lang w:val="fr-FR"/>
        </w:rPr>
        <w:t>:</w:t>
      </w:r>
      <w:r w:rsidRPr="0042238A">
        <w:rPr>
          <w:i/>
          <w:iCs/>
          <w:lang w:val="fr-FR"/>
        </w:rPr>
        <w:t xml:space="preserve"> Pour les bouteilles d’acétylène, la marque de la norme ISO 3807 doit également être apposée.</w:t>
      </w:r>
      <w:r w:rsidRPr="0042238A">
        <w:rPr>
          <w:lang w:val="fr-FR"/>
        </w:rPr>
        <w:t xml:space="preserve"> ». </w:t>
      </w:r>
    </w:p>
    <w:bookmarkEnd w:id="3"/>
    <w:p w14:paraId="1AA79468" w14:textId="77777777" w:rsidR="00CC7A90" w:rsidRPr="00CB71F9" w:rsidRDefault="00CC7A90" w:rsidP="00CC7A90">
      <w:pPr>
        <w:pStyle w:val="SingleTxtG"/>
        <w:spacing w:before="120"/>
        <w:ind w:left="2268" w:hanging="1134"/>
        <w:rPr>
          <w:lang w:val="fr-FR"/>
        </w:rPr>
      </w:pPr>
      <w:r w:rsidRPr="0042238A">
        <w:rPr>
          <w:lang w:val="fr-FR"/>
        </w:rPr>
        <w:t>6.2.2.7.2, après e)</w:t>
      </w:r>
      <w:r w:rsidRPr="0042238A">
        <w:rPr>
          <w:lang w:val="fr-FR"/>
        </w:rPr>
        <w:tab/>
        <w:t xml:space="preserve">Ajouter le nouveau </w:t>
      </w:r>
      <w:r w:rsidRPr="0042238A">
        <w:rPr>
          <w:b/>
          <w:bCs/>
          <w:i/>
          <w:iCs/>
          <w:lang w:val="fr-FR"/>
        </w:rPr>
        <w:t xml:space="preserve">NOTA </w:t>
      </w:r>
      <w:r w:rsidRPr="0042238A">
        <w:rPr>
          <w:lang w:val="fr-FR"/>
        </w:rPr>
        <w:t>suivant :</w:t>
      </w:r>
    </w:p>
    <w:p w14:paraId="29F51CB2" w14:textId="77777777" w:rsidR="00CC7A90" w:rsidRPr="00CB71F9" w:rsidRDefault="00CC7A90" w:rsidP="00CC7A90">
      <w:pPr>
        <w:pStyle w:val="SingleTxtG"/>
        <w:rPr>
          <w:i/>
          <w:spacing w:val="-3"/>
          <w:lang w:val="fr-FR"/>
        </w:rPr>
      </w:pPr>
      <w:bookmarkStart w:id="4" w:name="_Hlk8281117"/>
      <w:r w:rsidRPr="0042238A">
        <w:rPr>
          <w:spacing w:val="-3"/>
          <w:lang w:val="fr-FR"/>
        </w:rPr>
        <w:t>« </w:t>
      </w:r>
      <w:r w:rsidRPr="0042238A">
        <w:rPr>
          <w:b/>
          <w:bCs/>
          <w:i/>
          <w:iCs/>
          <w:spacing w:val="-3"/>
          <w:lang w:val="fr-FR"/>
        </w:rPr>
        <w:t>NOTA </w:t>
      </w:r>
      <w:r w:rsidRPr="0042238A">
        <w:rPr>
          <w:bCs/>
          <w:i/>
          <w:iCs/>
          <w:spacing w:val="-3"/>
          <w:lang w:val="fr-FR"/>
        </w:rPr>
        <w:t>:</w:t>
      </w:r>
      <w:r w:rsidRPr="0042238A">
        <w:rPr>
          <w:i/>
          <w:iCs/>
          <w:spacing w:val="-3"/>
          <w:lang w:val="fr-FR"/>
        </w:rPr>
        <w:t xml:space="preserve"> Lorsque la conformité d’une bouteille d’acétylène est évaluée en application du 6.2.1.4.3 b) et lorsque l’enveloppe de la bouteille et la bouteille proprement dite ne sont pas évalués par les mêmes organismes de contrôle, leurs deux signes distinctifs respectifs (alinéa d)) doivent être apposés.</w:t>
      </w:r>
      <w:r w:rsidRPr="0042238A">
        <w:rPr>
          <w:spacing w:val="-3"/>
          <w:lang w:val="fr-FR"/>
        </w:rPr>
        <w:t xml:space="preserve"> </w:t>
      </w:r>
      <w:r w:rsidRPr="0042238A">
        <w:rPr>
          <w:i/>
          <w:iCs/>
          <w:spacing w:val="-3"/>
          <w:lang w:val="fr-FR"/>
        </w:rPr>
        <w:t>Ne doit être indiquée que la date du contrôle initial (alinéa e)) de la bouteille d’acétylène complète.</w:t>
      </w:r>
      <w:r w:rsidRPr="0042238A">
        <w:rPr>
          <w:spacing w:val="-3"/>
          <w:lang w:val="fr-FR"/>
        </w:rPr>
        <w:t xml:space="preserve"> </w:t>
      </w:r>
      <w:r w:rsidRPr="0042238A">
        <w:rPr>
          <w:i/>
          <w:iCs/>
          <w:spacing w:val="-3"/>
          <w:lang w:val="fr-FR"/>
        </w:rPr>
        <w:t>Si toutefois le pays d’agrément de l’organisme chargé des contrôles initiaux est différent du pays de l’organisme chargé des épreuves initiales, un deuxième signe distinctif (alinéa c)) doit être apposé.</w:t>
      </w:r>
      <w:r w:rsidRPr="0042238A">
        <w:rPr>
          <w:spacing w:val="-3"/>
          <w:lang w:val="fr-FR"/>
        </w:rPr>
        <w:t> ».</w:t>
      </w:r>
      <w:bookmarkEnd w:id="4"/>
    </w:p>
    <w:p w14:paraId="1CECE52C" w14:textId="77777777" w:rsidR="00CC7A90" w:rsidRPr="00CB71F9" w:rsidRDefault="00CC7A90" w:rsidP="00CC7A90">
      <w:pPr>
        <w:pStyle w:val="SingleTxtG"/>
        <w:spacing w:before="120"/>
        <w:ind w:left="2268" w:hanging="1134"/>
        <w:rPr>
          <w:lang w:val="fr-FR"/>
        </w:rPr>
      </w:pPr>
      <w:r w:rsidRPr="0042238A">
        <w:rPr>
          <w:lang w:val="fr-FR"/>
        </w:rPr>
        <w:t>6.2.2.7.3 g)</w:t>
      </w:r>
      <w:r w:rsidRPr="0042238A">
        <w:rPr>
          <w:lang w:val="fr-FR"/>
        </w:rPr>
        <w:tab/>
        <w:t>Dans la deuxième phrase, remplacer « masse des robinets, des chapeaux de protection des robinets » par « masse de la ou des fermetures, des chapeaux de protection des robinets ».</w:t>
      </w:r>
    </w:p>
    <w:p w14:paraId="4866FD98" w14:textId="77777777" w:rsidR="00CC7A90" w:rsidRPr="00CB71F9" w:rsidRDefault="00CC7A90" w:rsidP="00CC7A90">
      <w:pPr>
        <w:pStyle w:val="SingleTxtG"/>
        <w:spacing w:before="120"/>
        <w:ind w:left="2268" w:hanging="1134"/>
        <w:rPr>
          <w:i/>
          <w:lang w:val="fr-FR"/>
        </w:rPr>
      </w:pPr>
      <w:r w:rsidRPr="0042238A">
        <w:rPr>
          <w:lang w:val="fr-FR"/>
        </w:rPr>
        <w:t>6.2.2.7.3 i)</w:t>
      </w:r>
      <w:r w:rsidRPr="0042238A">
        <w:rPr>
          <w:lang w:val="fr-FR"/>
        </w:rPr>
        <w:tab/>
        <w:t xml:space="preserve">À la fin du paragraphe, ajouter le </w:t>
      </w:r>
      <w:r w:rsidRPr="0042238A">
        <w:rPr>
          <w:i/>
          <w:iCs/>
          <w:lang w:val="fr-FR"/>
        </w:rPr>
        <w:t xml:space="preserve">Nota </w:t>
      </w:r>
      <w:r w:rsidRPr="0042238A">
        <w:rPr>
          <w:lang w:val="fr-FR"/>
        </w:rPr>
        <w:t>suivant :</w:t>
      </w:r>
    </w:p>
    <w:p w14:paraId="321B89D6" w14:textId="77777777" w:rsidR="00CC7A90" w:rsidRPr="00CB71F9" w:rsidRDefault="00CC7A90" w:rsidP="00CC7A90">
      <w:pPr>
        <w:pStyle w:val="SingleTxtG"/>
        <w:rPr>
          <w:lang w:val="fr-FR"/>
        </w:rPr>
      </w:pPr>
      <w:r w:rsidRPr="0042238A">
        <w:rPr>
          <w:lang w:val="fr-FR"/>
        </w:rPr>
        <w:t>« </w:t>
      </w:r>
      <w:r w:rsidRPr="0042238A">
        <w:rPr>
          <w:b/>
          <w:bCs/>
          <w:i/>
          <w:iCs/>
          <w:lang w:val="fr-FR"/>
        </w:rPr>
        <w:t>NOTA </w:t>
      </w:r>
      <w:r w:rsidRPr="0042238A">
        <w:rPr>
          <w:bCs/>
          <w:i/>
          <w:iCs/>
          <w:lang w:val="fr-FR"/>
        </w:rPr>
        <w:t>:</w:t>
      </w:r>
      <w:r w:rsidRPr="0042238A">
        <w:rPr>
          <w:i/>
          <w:iCs/>
          <w:lang w:val="fr-FR"/>
        </w:rPr>
        <w:t xml:space="preserve"> Lorsqu’une enveloppe de bouteille est destinée à être utilisée en tant que bouteille d’acétylène (y compris la matière poreuse), il n’est pas obligatoire d’y apposer la marque relative à la pression de service jusqu’à ce que la bouteille soit complète.</w:t>
      </w:r>
      <w:r w:rsidRPr="0042238A">
        <w:rPr>
          <w:lang w:val="fr-FR"/>
        </w:rPr>
        <w:t> ».</w:t>
      </w:r>
    </w:p>
    <w:p w14:paraId="03BEC7FC" w14:textId="77777777" w:rsidR="00CC7A90" w:rsidRPr="00CB71F9" w:rsidRDefault="00CC7A90" w:rsidP="00CC7A90">
      <w:pPr>
        <w:pStyle w:val="SingleTxtG"/>
        <w:spacing w:before="120"/>
        <w:ind w:left="2268" w:hanging="1134"/>
        <w:rPr>
          <w:lang w:val="fr-FR"/>
        </w:rPr>
      </w:pPr>
      <w:r w:rsidRPr="0042238A">
        <w:rPr>
          <w:lang w:val="fr-FR"/>
        </w:rPr>
        <w:t>6.2.2.7.3 j)</w:t>
      </w:r>
      <w:r w:rsidRPr="0042238A">
        <w:rPr>
          <w:lang w:val="fr-FR"/>
        </w:rPr>
        <w:tab/>
        <w:t xml:space="preserve">Dans la première phrase, remplacer « des gaz liquéfiés et des gaz liquides réfrigérés » par « des gaz liquéfiés, des gaz liquides réfrigérés et des gaz dissous ». </w:t>
      </w:r>
    </w:p>
    <w:p w14:paraId="3AD987D6" w14:textId="77777777" w:rsidR="00CC7A90" w:rsidRPr="00CB71F9" w:rsidRDefault="00CC7A90" w:rsidP="00CC7A90">
      <w:pPr>
        <w:pStyle w:val="SingleTxtG"/>
        <w:spacing w:before="120"/>
        <w:ind w:left="2268" w:hanging="1134"/>
        <w:rPr>
          <w:lang w:val="fr-FR"/>
        </w:rPr>
      </w:pPr>
      <w:r w:rsidRPr="0042238A">
        <w:rPr>
          <w:spacing w:val="-4"/>
          <w:lang w:val="fr-FR"/>
        </w:rPr>
        <w:t>6.2.2.7.3 k) et l)</w:t>
      </w:r>
      <w:r w:rsidRPr="0042238A">
        <w:rPr>
          <w:lang w:val="fr-FR"/>
        </w:rPr>
        <w:tab/>
        <w:t>Remplacer les alinéas k) et l) par ce qui suit :</w:t>
      </w:r>
    </w:p>
    <w:p w14:paraId="463D002C" w14:textId="77777777" w:rsidR="00CC7A90" w:rsidRPr="00CB71F9" w:rsidRDefault="00CC7A90" w:rsidP="00CC7A90">
      <w:pPr>
        <w:pStyle w:val="SingleTxtG"/>
        <w:rPr>
          <w:lang w:val="fr-FR"/>
        </w:rPr>
      </w:pPr>
      <w:r w:rsidRPr="0042238A">
        <w:rPr>
          <w:lang w:val="fr-FR"/>
        </w:rPr>
        <w:t>« k)</w:t>
      </w:r>
      <w:r w:rsidRPr="0042238A">
        <w:rPr>
          <w:lang w:val="fr-FR"/>
        </w:rPr>
        <w:tab/>
        <w:t>Dans le cas des bouteilles pour le No ONU 1001, acétylène dissous :</w:t>
      </w:r>
    </w:p>
    <w:p w14:paraId="2D3C7340" w14:textId="77777777" w:rsidR="00CC7A90" w:rsidRPr="00CB71F9" w:rsidRDefault="00CC7A90" w:rsidP="00CC7A90">
      <w:pPr>
        <w:pStyle w:val="SingleTxtG"/>
        <w:ind w:left="1701"/>
        <w:rPr>
          <w:lang w:val="fr-FR"/>
        </w:rPr>
      </w:pPr>
      <w:r w:rsidRPr="0042238A">
        <w:rPr>
          <w:lang w:val="fr-FR"/>
        </w:rPr>
        <w:t>i)</w:t>
      </w:r>
      <w:r w:rsidRPr="0042238A">
        <w:rPr>
          <w:lang w:val="fr-FR"/>
        </w:rPr>
        <w:tab/>
        <w:t xml:space="preserve">La masse à vide (en kg) égale à la somme des masses de l’enveloppe vide, de l’équipement de service (y compris la matière poreuse) non enlevé pendant le remplissage, de tout revêtement, du solvant et du gaz de saturation, exprimée par un nombre à trois chiffres significatifs arrondi au dernier chiffre inférieur, suivi des lettres </w:t>
      </w:r>
      <w:r w:rsidRPr="00CB71F9">
        <w:rPr>
          <w:bCs/>
          <w:lang w:val="fr-FR"/>
        </w:rPr>
        <w:t>“</w:t>
      </w:r>
      <w:r w:rsidRPr="0042238A">
        <w:rPr>
          <w:lang w:val="fr-FR"/>
        </w:rPr>
        <w:t>KG</w:t>
      </w:r>
      <w:r w:rsidRPr="00CB71F9">
        <w:rPr>
          <w:bCs/>
          <w:lang w:val="fr-FR"/>
        </w:rPr>
        <w:t>”</w:t>
      </w:r>
      <w:r w:rsidRPr="0042238A">
        <w:rPr>
          <w:lang w:val="fr-FR"/>
        </w:rPr>
        <w:t>. Au moins une décimale doit être indiquée après la virgule. Pour les récipients à pression de moins de 1 kg, la masse doit être exprimée par un nombre à deux chiffres significatifs arrondi au dernier chiffre inférieur ;</w:t>
      </w:r>
    </w:p>
    <w:p w14:paraId="031E1ADF" w14:textId="77777777" w:rsidR="00CC7A90" w:rsidRPr="00CB71F9" w:rsidRDefault="00CC7A90" w:rsidP="00CC7A90">
      <w:pPr>
        <w:pStyle w:val="SingleTxtG"/>
        <w:ind w:left="1701"/>
        <w:rPr>
          <w:lang w:val="fr-FR"/>
        </w:rPr>
      </w:pPr>
      <w:r w:rsidRPr="0042238A">
        <w:rPr>
          <w:lang w:val="fr-FR"/>
        </w:rPr>
        <w:t>ii)</w:t>
      </w:r>
      <w:r w:rsidRPr="0042238A">
        <w:rPr>
          <w:lang w:val="fr-FR"/>
        </w:rPr>
        <w:tab/>
        <w:t>La désignation de la matière poreuse employée (</w:t>
      </w:r>
      <w:r w:rsidRPr="00CB71F9">
        <w:rPr>
          <w:lang w:val="fr-FR"/>
        </w:rPr>
        <w:t>par exemple, le nom ou la marque</w:t>
      </w:r>
      <w:r w:rsidRPr="0042238A">
        <w:rPr>
          <w:lang w:val="fr-FR"/>
        </w:rPr>
        <w:t xml:space="preserve">) ; </w:t>
      </w:r>
    </w:p>
    <w:p w14:paraId="34F98E77" w14:textId="77777777" w:rsidR="00CC7A90" w:rsidRPr="00CB71F9" w:rsidRDefault="00CC7A90" w:rsidP="00CC7A90">
      <w:pPr>
        <w:pStyle w:val="SingleTxtG"/>
        <w:ind w:left="1701"/>
        <w:rPr>
          <w:lang w:val="fr-FR"/>
        </w:rPr>
      </w:pPr>
      <w:r w:rsidRPr="0042238A">
        <w:rPr>
          <w:lang w:val="fr-FR"/>
        </w:rPr>
        <w:t>iii)</w:t>
      </w:r>
      <w:r w:rsidRPr="0042238A">
        <w:rPr>
          <w:lang w:val="fr-FR"/>
        </w:rPr>
        <w:tab/>
        <w:t xml:space="preserve">La masse totale (exprimée en kg) de la bouteille d’acétylène remplie, suivie des lettres </w:t>
      </w:r>
      <w:r w:rsidRPr="00CB71F9">
        <w:rPr>
          <w:bCs/>
          <w:lang w:val="fr-FR"/>
        </w:rPr>
        <w:t>“</w:t>
      </w:r>
      <w:r w:rsidRPr="0042238A">
        <w:rPr>
          <w:lang w:val="fr-FR"/>
        </w:rPr>
        <w:t>KG</w:t>
      </w:r>
      <w:r w:rsidRPr="00CB71F9">
        <w:rPr>
          <w:bCs/>
          <w:lang w:val="fr-FR"/>
        </w:rPr>
        <w:t>”</w:t>
      </w:r>
      <w:r w:rsidRPr="0042238A">
        <w:rPr>
          <w:lang w:val="fr-FR"/>
        </w:rPr>
        <w:t> ;</w:t>
      </w:r>
    </w:p>
    <w:p w14:paraId="64DB4093" w14:textId="77777777" w:rsidR="00CC7A90" w:rsidRPr="00CB71F9" w:rsidRDefault="00CC7A90" w:rsidP="00CC7A90">
      <w:pPr>
        <w:pStyle w:val="SingleTxtG"/>
        <w:rPr>
          <w:lang w:val="fr-FR"/>
        </w:rPr>
      </w:pPr>
      <w:r w:rsidRPr="0042238A">
        <w:rPr>
          <w:lang w:val="fr-FR"/>
        </w:rPr>
        <w:t>l)</w:t>
      </w:r>
      <w:r w:rsidRPr="0042238A">
        <w:rPr>
          <w:lang w:val="fr-FR"/>
        </w:rPr>
        <w:tab/>
        <w:t>Dans le cas des bouteilles pour le No ONU 3374, acétylène sans solvant :</w:t>
      </w:r>
    </w:p>
    <w:p w14:paraId="4A4933F9" w14:textId="77777777" w:rsidR="00CC7A90" w:rsidRPr="00CB71F9" w:rsidRDefault="00CC7A90" w:rsidP="00CC7A90">
      <w:pPr>
        <w:pStyle w:val="SingleTxtG"/>
        <w:ind w:left="1701"/>
        <w:rPr>
          <w:lang w:val="fr-FR"/>
        </w:rPr>
      </w:pPr>
      <w:r w:rsidRPr="0042238A">
        <w:rPr>
          <w:lang w:val="fr-FR"/>
        </w:rPr>
        <w:t>i)</w:t>
      </w:r>
      <w:r w:rsidRPr="0042238A">
        <w:rPr>
          <w:lang w:val="fr-FR"/>
        </w:rPr>
        <w:tab/>
        <w:t xml:space="preserve">La masse à vide (en kg) égale à la somme des masses de l’enveloppe vide, de l’équipement de service (y compris la matière poreuse) non enlevé pendant le remplissage et de tout revêtement, exprimée par un nombre à trois chiffres significatifs arrondi au dernier chiffre inférieur, suivi des lettres </w:t>
      </w:r>
      <w:r w:rsidRPr="00CB71F9">
        <w:rPr>
          <w:bCs/>
          <w:lang w:val="fr-FR"/>
        </w:rPr>
        <w:t>“</w:t>
      </w:r>
      <w:r w:rsidRPr="0042238A">
        <w:rPr>
          <w:lang w:val="fr-FR"/>
        </w:rPr>
        <w:t>KG</w:t>
      </w:r>
      <w:r w:rsidRPr="00CB71F9">
        <w:rPr>
          <w:bCs/>
          <w:lang w:val="fr-FR"/>
        </w:rPr>
        <w:t>”</w:t>
      </w:r>
      <w:r w:rsidRPr="0042238A">
        <w:rPr>
          <w:lang w:val="fr-FR"/>
        </w:rPr>
        <w:t xml:space="preserve">. Au moins une décimale doit être indiquée après la virgule. Pour les récipients à pression de moins de 1 kg, la </w:t>
      </w:r>
      <w:r w:rsidRPr="0042238A">
        <w:rPr>
          <w:lang w:val="fr-FR"/>
        </w:rPr>
        <w:lastRenderedPageBreak/>
        <w:t xml:space="preserve">masse doit être exprimée par un nombre à deux chiffres significatifs arrondi au dernier chiffre inférieur ; </w:t>
      </w:r>
    </w:p>
    <w:p w14:paraId="755BB8DC" w14:textId="77777777" w:rsidR="00CC7A90" w:rsidRPr="00CB71F9" w:rsidRDefault="00CC7A90" w:rsidP="00CC7A90">
      <w:pPr>
        <w:pStyle w:val="SingleTxtG"/>
        <w:ind w:left="1701"/>
        <w:rPr>
          <w:lang w:val="fr-FR"/>
        </w:rPr>
      </w:pPr>
      <w:r w:rsidRPr="0042238A">
        <w:rPr>
          <w:lang w:val="fr-FR"/>
        </w:rPr>
        <w:t>ii)</w:t>
      </w:r>
      <w:r w:rsidRPr="0042238A">
        <w:rPr>
          <w:lang w:val="fr-FR"/>
        </w:rPr>
        <w:tab/>
        <w:t>La matière poreuse employée ;</w:t>
      </w:r>
    </w:p>
    <w:p w14:paraId="5ACFD538" w14:textId="77777777" w:rsidR="00CC7A90" w:rsidRPr="0042238A" w:rsidRDefault="00CC7A90" w:rsidP="00CC7A90">
      <w:pPr>
        <w:pStyle w:val="SingleTxtG"/>
        <w:ind w:left="1701"/>
        <w:rPr>
          <w:lang w:val="fr-FR"/>
        </w:rPr>
      </w:pPr>
      <w:r w:rsidRPr="0042238A">
        <w:rPr>
          <w:lang w:val="fr-FR"/>
        </w:rPr>
        <w:t>iii)</w:t>
      </w:r>
      <w:r w:rsidRPr="0042238A">
        <w:rPr>
          <w:lang w:val="fr-FR"/>
        </w:rPr>
        <w:tab/>
        <w:t xml:space="preserve">La masse totale (exprimée en kg) de la bouteille d’acétylène remplie, suivie des lettres </w:t>
      </w:r>
      <w:r w:rsidRPr="00CB71F9">
        <w:rPr>
          <w:bCs/>
          <w:lang w:val="fr-FR"/>
        </w:rPr>
        <w:t>“</w:t>
      </w:r>
      <w:r w:rsidRPr="0042238A">
        <w:rPr>
          <w:lang w:val="fr-FR"/>
        </w:rPr>
        <w:t>KG</w:t>
      </w:r>
      <w:r w:rsidRPr="00CB71F9">
        <w:rPr>
          <w:bCs/>
          <w:lang w:val="fr-FR"/>
        </w:rPr>
        <w:t>”</w:t>
      </w:r>
      <w:r w:rsidRPr="0042238A">
        <w:rPr>
          <w:lang w:val="fr-FR"/>
        </w:rPr>
        <w:t> ; ».</w:t>
      </w:r>
    </w:p>
    <w:p w14:paraId="423D966F" w14:textId="77777777" w:rsidR="00CC7A90" w:rsidRPr="00CB71F9" w:rsidRDefault="00CC7A90" w:rsidP="00CC7A90">
      <w:pPr>
        <w:pStyle w:val="SingleTxtG"/>
        <w:spacing w:before="120"/>
        <w:ind w:left="2268" w:hanging="1134"/>
        <w:rPr>
          <w:b/>
          <w:i/>
          <w:lang w:val="fr-FR"/>
        </w:rPr>
      </w:pPr>
      <w:r w:rsidRPr="0042238A">
        <w:rPr>
          <w:lang w:val="fr-FR"/>
        </w:rPr>
        <w:t>6.2.2.7.4 n)</w:t>
      </w:r>
      <w:r w:rsidRPr="0042238A">
        <w:rPr>
          <w:lang w:val="fr-FR"/>
        </w:rPr>
        <w:tab/>
        <w:t xml:space="preserve">Après le texte actuel, insérer le nouveau </w:t>
      </w:r>
      <w:r w:rsidRPr="0042238A">
        <w:rPr>
          <w:b/>
          <w:bCs/>
          <w:lang w:val="fr-FR"/>
        </w:rPr>
        <w:t xml:space="preserve">NOTA </w:t>
      </w:r>
      <w:r w:rsidRPr="0042238A">
        <w:rPr>
          <w:lang w:val="fr-FR"/>
        </w:rPr>
        <w:t>suivant :</w:t>
      </w:r>
    </w:p>
    <w:p w14:paraId="1FC95A1F" w14:textId="4FF425D2" w:rsidR="00626A8D" w:rsidRPr="00CB71F9" w:rsidRDefault="00CC7A90" w:rsidP="00CC7A90">
      <w:pPr>
        <w:pStyle w:val="SingleTxtG"/>
        <w:rPr>
          <w:lang w:val="fr-FR"/>
        </w:rPr>
      </w:pPr>
      <w:r w:rsidRPr="0042238A">
        <w:rPr>
          <w:lang w:val="fr-FR"/>
        </w:rPr>
        <w:t>« </w:t>
      </w:r>
      <w:r w:rsidRPr="0042238A">
        <w:rPr>
          <w:b/>
          <w:bCs/>
          <w:i/>
          <w:iCs/>
          <w:lang w:val="fr-FR"/>
        </w:rPr>
        <w:t>NOTA </w:t>
      </w:r>
      <w:r w:rsidRPr="0042238A">
        <w:rPr>
          <w:bCs/>
          <w:i/>
          <w:iCs/>
          <w:lang w:val="fr-FR"/>
        </w:rPr>
        <w:t>:</w:t>
      </w:r>
      <w:r w:rsidRPr="0042238A">
        <w:rPr>
          <w:i/>
          <w:iCs/>
          <w:lang w:val="fr-FR"/>
        </w:rPr>
        <w:t xml:space="preserve"> </w:t>
      </w:r>
      <w:r w:rsidR="007F09E7" w:rsidRPr="0042238A">
        <w:rPr>
          <w:i/>
          <w:iCs/>
          <w:lang w:val="fr-FR"/>
        </w:rPr>
        <w:t xml:space="preserve">Pour les bouteilles d’acétylène, si </w:t>
      </w:r>
      <w:r w:rsidRPr="0042238A">
        <w:rPr>
          <w:i/>
          <w:iCs/>
          <w:lang w:val="fr-FR"/>
        </w:rPr>
        <w:t>la bouteille d’acétylène et l’enveloppe de la bouteille n’ont pas le même fabricant, seule doit être apposée la marque du fabricant de la bouteille d’acétylène complète.</w:t>
      </w:r>
      <w:r w:rsidRPr="0042238A">
        <w:rPr>
          <w:lang w:val="fr-FR"/>
        </w:rPr>
        <w:t> ».</w:t>
      </w:r>
    </w:p>
    <w:p w14:paraId="40AE936B" w14:textId="77777777" w:rsidR="00CC7A90" w:rsidRPr="00CB71F9" w:rsidRDefault="00CC7A90" w:rsidP="00CC7A90">
      <w:pPr>
        <w:pStyle w:val="SingleTxtG"/>
        <w:rPr>
          <w:lang w:val="fr-FR"/>
        </w:rPr>
      </w:pPr>
      <w:r w:rsidRPr="00CB71F9">
        <w:rPr>
          <w:lang w:val="fr-FR"/>
        </w:rPr>
        <w:t>6.2.2.7.8</w:t>
      </w:r>
      <w:r w:rsidRPr="00CB71F9">
        <w:rPr>
          <w:lang w:val="fr-FR"/>
        </w:rPr>
        <w:tab/>
        <w:t>Modifier pour lire comme suit :</w:t>
      </w:r>
    </w:p>
    <w:p w14:paraId="045A4931" w14:textId="77777777" w:rsidR="00CC7A90" w:rsidRPr="00CB71F9" w:rsidRDefault="00CC7A90" w:rsidP="00CC7A90">
      <w:pPr>
        <w:pStyle w:val="SingleTxtG"/>
        <w:ind w:left="2268" w:hanging="1134"/>
        <w:rPr>
          <w:lang w:val="fr-FR"/>
        </w:rPr>
      </w:pPr>
      <w:r w:rsidRPr="00CB71F9">
        <w:rPr>
          <w:lang w:val="fr-FR"/>
        </w:rPr>
        <w:t>« 6.2.2.7.8</w:t>
      </w:r>
      <w:r w:rsidRPr="00CB71F9">
        <w:rPr>
          <w:lang w:val="fr-FR"/>
        </w:rPr>
        <w:tab/>
        <w:t>Les marques conformément au 6.2.2.7.7 peuvent être gravées sur un anneau métallique fixé à la bouteille ou au fût à pression au moment de l’installation du robinet, de telle sorte qu’il ne puisse être enlevé que par démontage du robinet. »</w:t>
      </w:r>
    </w:p>
    <w:p w14:paraId="7200E589" w14:textId="77777777" w:rsidR="00CC7A90" w:rsidRPr="00CB71F9" w:rsidRDefault="00CC7A90" w:rsidP="00CC7A90">
      <w:pPr>
        <w:pStyle w:val="SingleTxtG"/>
        <w:spacing w:before="120"/>
        <w:ind w:left="2268" w:hanging="1134"/>
        <w:rPr>
          <w:lang w:val="fr-FR"/>
        </w:rPr>
      </w:pPr>
      <w:r w:rsidRPr="0042238A">
        <w:rPr>
          <w:lang w:val="fr-FR"/>
        </w:rPr>
        <w:t>6.2.2.8</w:t>
      </w:r>
      <w:r w:rsidRPr="0042238A">
        <w:rPr>
          <w:lang w:val="fr-FR"/>
        </w:rPr>
        <w:tab/>
      </w:r>
      <w:r w:rsidRPr="0042238A">
        <w:rPr>
          <w:lang w:val="fr-FR"/>
        </w:rPr>
        <w:tab/>
        <w:t>Dans le titre, remplacer « récipients à pression » par « bouteilles ».</w:t>
      </w:r>
    </w:p>
    <w:p w14:paraId="750CD2C6" w14:textId="308A13B2" w:rsidR="00CC7A90" w:rsidRPr="0042238A" w:rsidRDefault="00CC7A90" w:rsidP="00CC7A90">
      <w:pPr>
        <w:pStyle w:val="SingleTxtG"/>
        <w:spacing w:before="120"/>
        <w:ind w:left="2268" w:hanging="1134"/>
        <w:rPr>
          <w:lang w:val="fr-FR"/>
        </w:rPr>
      </w:pPr>
      <w:r w:rsidRPr="0042238A">
        <w:rPr>
          <w:lang w:val="fr-FR"/>
        </w:rPr>
        <w:t>6.2.2.8.1</w:t>
      </w:r>
      <w:r w:rsidRPr="0042238A">
        <w:rPr>
          <w:lang w:val="fr-FR"/>
        </w:rPr>
        <w:tab/>
        <w:t>Dans la première phrase, remplacer « récipients à pression » par « bouteilles »</w:t>
      </w:r>
      <w:r w:rsidR="00E868FF" w:rsidRPr="0042238A">
        <w:rPr>
          <w:lang w:val="fr-FR"/>
        </w:rPr>
        <w:t xml:space="preserve"> (deux fois)</w:t>
      </w:r>
      <w:r w:rsidRPr="0042238A">
        <w:rPr>
          <w:lang w:val="fr-FR"/>
        </w:rPr>
        <w:t xml:space="preserve">. </w:t>
      </w:r>
    </w:p>
    <w:p w14:paraId="07FEE607" w14:textId="77777777" w:rsidR="00CC7A90" w:rsidRPr="0042238A" w:rsidRDefault="00CC7A90" w:rsidP="00CC7A90">
      <w:pPr>
        <w:pStyle w:val="SingleTxtG"/>
        <w:spacing w:before="120"/>
        <w:ind w:left="2268" w:hanging="1134"/>
        <w:rPr>
          <w:lang w:val="fr-FR"/>
        </w:rPr>
      </w:pPr>
      <w:r w:rsidRPr="0042238A">
        <w:rPr>
          <w:lang w:val="fr-FR"/>
        </w:rPr>
        <w:tab/>
      </w:r>
      <w:r w:rsidRPr="0042238A">
        <w:rPr>
          <w:lang w:val="fr-FR"/>
        </w:rPr>
        <w:tab/>
        <w:t xml:space="preserve">Dans la deuxième phrase, remplacer « récipient à pression » par « bouteille ». </w:t>
      </w:r>
    </w:p>
    <w:p w14:paraId="58CB43D4" w14:textId="7CCF7741" w:rsidR="00CC7A90" w:rsidRPr="0042238A" w:rsidRDefault="00CC7A90" w:rsidP="00CC7A90">
      <w:pPr>
        <w:pStyle w:val="SingleTxtG"/>
        <w:spacing w:before="120"/>
        <w:ind w:left="2268" w:hanging="1134"/>
        <w:rPr>
          <w:lang w:val="fr-FR"/>
        </w:rPr>
      </w:pPr>
      <w:r w:rsidRPr="0042238A">
        <w:rPr>
          <w:lang w:val="fr-FR"/>
        </w:rPr>
        <w:tab/>
      </w:r>
      <w:r w:rsidRPr="0042238A">
        <w:rPr>
          <w:lang w:val="fr-FR"/>
        </w:rPr>
        <w:tab/>
        <w:t xml:space="preserve">Dans la troisième phrase, remplacer « du récipient à pression » par « de l’enveloppe de la bouteille » et « un de ses éléments indémontables (collerette soudée par exemple) » par « un des éléments indémontables (collerette soudée par exemple) de la bouteille ». </w:t>
      </w:r>
    </w:p>
    <w:p w14:paraId="3E1F02A2" w14:textId="74E575E5" w:rsidR="00812883" w:rsidRPr="0042238A" w:rsidRDefault="00812883" w:rsidP="00CC7A90">
      <w:pPr>
        <w:pStyle w:val="SingleTxtG"/>
        <w:spacing w:before="120"/>
        <w:ind w:left="2268" w:hanging="1134"/>
        <w:rPr>
          <w:lang w:val="fr-FR"/>
        </w:rPr>
      </w:pPr>
      <w:r w:rsidRPr="0042238A">
        <w:rPr>
          <w:lang w:val="fr-FR"/>
        </w:rPr>
        <w:tab/>
        <w:t xml:space="preserve">Dans la quatrième phrase, </w:t>
      </w:r>
      <w:r w:rsidR="008F0978" w:rsidRPr="0042238A">
        <w:rPr>
          <w:lang w:val="fr-FR"/>
        </w:rPr>
        <w:t>remplacer « récipients à pression » par « bouteilles » (deux fois).</w:t>
      </w:r>
    </w:p>
    <w:p w14:paraId="08F5F915" w14:textId="645BD3E9" w:rsidR="00CC7A90" w:rsidRPr="00CB71F9" w:rsidRDefault="00CC7A90" w:rsidP="00CC7A90">
      <w:pPr>
        <w:pStyle w:val="SingleTxtG"/>
        <w:spacing w:before="120"/>
        <w:ind w:left="2268" w:hanging="1134"/>
        <w:rPr>
          <w:lang w:val="fr-FR"/>
        </w:rPr>
      </w:pPr>
      <w:r w:rsidRPr="0042238A">
        <w:rPr>
          <w:lang w:val="fr-FR"/>
        </w:rPr>
        <w:tab/>
      </w:r>
      <w:r w:rsidRPr="0042238A">
        <w:rPr>
          <w:lang w:val="fr-FR"/>
        </w:rPr>
        <w:tab/>
        <w:t>Dans la cinquième (avant-dernière) phrase, remplacer « récipients à pression » par « bouteilles »</w:t>
      </w:r>
      <w:r w:rsidR="008F0978" w:rsidRPr="0042238A">
        <w:rPr>
          <w:lang w:val="fr-FR"/>
        </w:rPr>
        <w:t xml:space="preserve"> (deux fois)</w:t>
      </w:r>
      <w:r w:rsidRPr="0042238A">
        <w:rPr>
          <w:lang w:val="fr-FR"/>
        </w:rPr>
        <w:t>.</w:t>
      </w:r>
    </w:p>
    <w:p w14:paraId="30AE0E1F" w14:textId="77777777" w:rsidR="00CC7A90" w:rsidRPr="00CB71F9" w:rsidRDefault="00CC7A90" w:rsidP="00CC7A90">
      <w:pPr>
        <w:pStyle w:val="SingleTxtG"/>
        <w:spacing w:before="120"/>
        <w:ind w:left="2268" w:hanging="1134"/>
        <w:rPr>
          <w:lang w:val="fr-FR"/>
        </w:rPr>
      </w:pPr>
      <w:r w:rsidRPr="0042238A">
        <w:rPr>
          <w:lang w:val="fr-FR"/>
        </w:rPr>
        <w:t>6.2.2.8.3</w:t>
      </w:r>
      <w:r w:rsidRPr="0042238A">
        <w:rPr>
          <w:lang w:val="fr-FR"/>
        </w:rPr>
        <w:tab/>
        <w:t xml:space="preserve">Dans le </w:t>
      </w:r>
      <w:r w:rsidRPr="0042238A">
        <w:rPr>
          <w:b/>
          <w:bCs/>
          <w:i/>
          <w:iCs/>
          <w:lang w:val="fr-FR"/>
        </w:rPr>
        <w:t>NOTA</w:t>
      </w:r>
      <w:r w:rsidRPr="0042238A">
        <w:rPr>
          <w:lang w:val="fr-FR"/>
        </w:rPr>
        <w:t>, remplacer « récipients à pression » par « bouteilles ».</w:t>
      </w:r>
    </w:p>
    <w:p w14:paraId="34F1505C" w14:textId="77777777" w:rsidR="00CC7A90" w:rsidRPr="0042238A" w:rsidRDefault="00CC7A90" w:rsidP="00CC7A90">
      <w:pPr>
        <w:pStyle w:val="SingleTxtG"/>
        <w:spacing w:before="120"/>
        <w:ind w:left="2268" w:hanging="1134"/>
        <w:rPr>
          <w:lang w:val="fr-FR"/>
        </w:rPr>
      </w:pPr>
      <w:r w:rsidRPr="0042238A">
        <w:rPr>
          <w:lang w:val="fr-FR"/>
        </w:rPr>
        <w:t>6.2.2.10.1</w:t>
      </w:r>
      <w:r w:rsidRPr="0042238A">
        <w:rPr>
          <w:lang w:val="fr-FR"/>
        </w:rPr>
        <w:tab/>
        <w:t xml:space="preserve">Remplacer « bouteille » par « enveloppe de bouteille ». </w:t>
      </w:r>
    </w:p>
    <w:p w14:paraId="28A4A1BB" w14:textId="77777777" w:rsidR="00CC7A90" w:rsidRPr="00CB71F9" w:rsidRDefault="00CC7A90" w:rsidP="00CC7A90">
      <w:pPr>
        <w:pStyle w:val="SingleTxtG"/>
        <w:spacing w:before="120"/>
        <w:ind w:left="2268" w:hanging="1134"/>
        <w:rPr>
          <w:lang w:val="fr-FR"/>
        </w:rPr>
      </w:pPr>
      <w:r w:rsidRPr="0042238A">
        <w:rPr>
          <w:lang w:val="fr-FR"/>
        </w:rPr>
        <w:tab/>
        <w:t>Insérer la nouvelle deuxième phrase suivante : « Dans un cadre de bouteilles, toutes les fermetures doivent être marquées conformément au 6.2.2.11. ».</w:t>
      </w:r>
    </w:p>
    <w:p w14:paraId="191DF911" w14:textId="77777777" w:rsidR="00CC7A90" w:rsidRPr="0042238A" w:rsidRDefault="00CC7A90" w:rsidP="00CC7A90">
      <w:pPr>
        <w:pStyle w:val="SingleTxtG"/>
        <w:spacing w:before="120"/>
        <w:ind w:left="2268" w:hanging="1134"/>
        <w:rPr>
          <w:lang w:val="fr-FR"/>
        </w:rPr>
      </w:pPr>
      <w:r w:rsidRPr="0042238A">
        <w:rPr>
          <w:lang w:val="fr-FR"/>
        </w:rPr>
        <w:t>6.2.2.10.3 b)</w:t>
      </w:r>
      <w:r w:rsidRPr="0042238A">
        <w:rPr>
          <w:lang w:val="fr-FR"/>
        </w:rPr>
        <w:tab/>
        <w:t xml:space="preserve">Dans la première phrase, remplacer la mention entre parenthèses par : « enveloppes de bouteilles et équipement de service ». </w:t>
      </w:r>
    </w:p>
    <w:p w14:paraId="2DE8C476" w14:textId="77777777" w:rsidR="00CC7A90" w:rsidRPr="00CB71F9" w:rsidRDefault="00CC7A90" w:rsidP="00CC7A90">
      <w:pPr>
        <w:pStyle w:val="SingleTxtG"/>
        <w:spacing w:before="120"/>
        <w:ind w:left="2268" w:hanging="1134"/>
        <w:rPr>
          <w:lang w:val="fr-FR"/>
        </w:rPr>
      </w:pPr>
      <w:r w:rsidRPr="0042238A">
        <w:rPr>
          <w:lang w:val="fr-FR"/>
        </w:rPr>
        <w:tab/>
        <w:t xml:space="preserve">La modification à la deuxième phrase est sans objet en français. </w:t>
      </w:r>
    </w:p>
    <w:p w14:paraId="1E8BF5ED" w14:textId="77777777" w:rsidR="00CC7A90" w:rsidRPr="00CB71F9" w:rsidRDefault="00CC7A90" w:rsidP="00CC7A90">
      <w:pPr>
        <w:pStyle w:val="SingleTxtG"/>
        <w:spacing w:before="120"/>
        <w:ind w:left="2268" w:hanging="1134"/>
        <w:rPr>
          <w:lang w:val="fr-FR"/>
        </w:rPr>
      </w:pPr>
      <w:r w:rsidRPr="0042238A">
        <w:rPr>
          <w:lang w:val="fr-FR"/>
        </w:rPr>
        <w:t>6.2.2.11</w:t>
      </w:r>
      <w:r w:rsidRPr="0042238A">
        <w:rPr>
          <w:lang w:val="fr-FR"/>
        </w:rPr>
        <w:tab/>
        <w:t xml:space="preserve">Ajouter un nouveau paragraphe 6.2.2.11, libellé comme suit : </w:t>
      </w:r>
    </w:p>
    <w:p w14:paraId="7A6655A4" w14:textId="77777777" w:rsidR="00CC7A90" w:rsidRPr="00CB71F9" w:rsidRDefault="00CC7A90" w:rsidP="00CC7A90">
      <w:pPr>
        <w:pStyle w:val="SingleTxtG"/>
        <w:rPr>
          <w:b/>
          <w:lang w:val="fr-FR"/>
        </w:rPr>
      </w:pPr>
      <w:r w:rsidRPr="0042238A">
        <w:rPr>
          <w:lang w:val="fr-FR"/>
        </w:rPr>
        <w:t>« </w:t>
      </w:r>
      <w:r w:rsidRPr="0042238A">
        <w:rPr>
          <w:b/>
          <w:lang w:val="fr-FR"/>
        </w:rPr>
        <w:t>6.2.2.11</w:t>
      </w:r>
      <w:r w:rsidRPr="0042238A">
        <w:rPr>
          <w:lang w:val="fr-FR"/>
        </w:rPr>
        <w:tab/>
      </w:r>
      <w:r w:rsidRPr="0042238A">
        <w:rPr>
          <w:b/>
          <w:bCs/>
          <w:lang w:val="fr-FR"/>
        </w:rPr>
        <w:t xml:space="preserve">Marquage des fermetures des récipients à pression </w:t>
      </w:r>
      <w:bookmarkStart w:id="5" w:name="_Hlk8229758"/>
      <w:r w:rsidRPr="00CB71F9">
        <w:rPr>
          <w:b/>
          <w:bCs/>
          <w:lang w:val="fr-FR"/>
        </w:rPr>
        <w:t>“</w:t>
      </w:r>
      <w:r w:rsidRPr="0042238A">
        <w:rPr>
          <w:b/>
          <w:bCs/>
          <w:lang w:val="fr-FR"/>
        </w:rPr>
        <w:t>UN</w:t>
      </w:r>
      <w:r w:rsidRPr="00CB71F9">
        <w:rPr>
          <w:b/>
          <w:bCs/>
          <w:lang w:val="fr-FR"/>
        </w:rPr>
        <w:t>”</w:t>
      </w:r>
      <w:bookmarkEnd w:id="5"/>
      <w:r w:rsidRPr="0042238A">
        <w:rPr>
          <w:b/>
          <w:bCs/>
          <w:lang w:val="fr-FR"/>
        </w:rPr>
        <w:t xml:space="preserve"> rechargeables</w:t>
      </w:r>
    </w:p>
    <w:p w14:paraId="42F07EE5" w14:textId="77777777" w:rsidR="00CC7A90" w:rsidRPr="00CB71F9" w:rsidRDefault="00CC7A90" w:rsidP="00CC7A90">
      <w:pPr>
        <w:pStyle w:val="SingleTxtG"/>
        <w:rPr>
          <w:lang w:val="fr-FR"/>
        </w:rPr>
      </w:pPr>
      <w:r w:rsidRPr="0042238A">
        <w:rPr>
          <w:lang w:val="fr-FR"/>
        </w:rPr>
        <w:tab/>
      </w:r>
      <w:r w:rsidRPr="0042238A">
        <w:rPr>
          <w:lang w:val="fr-FR"/>
        </w:rPr>
        <w:tab/>
        <w:t>Pour les fermetures, les marques permanentes ci-après doivent être apposées de manière à être claires et lisibles (par exemple poinçonnées ou gravées) :</w:t>
      </w:r>
    </w:p>
    <w:p w14:paraId="1F40FD05" w14:textId="77777777" w:rsidR="00CC7A90" w:rsidRPr="00CB71F9" w:rsidRDefault="00CC7A90" w:rsidP="00CC7A90">
      <w:pPr>
        <w:pStyle w:val="SingleTxtG"/>
        <w:ind w:left="1701"/>
        <w:rPr>
          <w:lang w:val="fr-FR"/>
        </w:rPr>
      </w:pPr>
      <w:r w:rsidRPr="0042238A">
        <w:rPr>
          <w:lang w:val="fr-FR"/>
        </w:rPr>
        <w:t>a)</w:t>
      </w:r>
      <w:r w:rsidRPr="0042238A">
        <w:rPr>
          <w:lang w:val="fr-FR"/>
        </w:rPr>
        <w:tab/>
        <w:t>Marque d’identification du fabricant ;</w:t>
      </w:r>
    </w:p>
    <w:p w14:paraId="1B377CE3" w14:textId="77777777" w:rsidR="00CC7A90" w:rsidRPr="00CB71F9" w:rsidRDefault="00CC7A90" w:rsidP="00CC7A90">
      <w:pPr>
        <w:pStyle w:val="SingleTxtG"/>
        <w:ind w:left="1701"/>
        <w:rPr>
          <w:lang w:val="fr-FR"/>
        </w:rPr>
      </w:pPr>
      <w:r w:rsidRPr="0042238A">
        <w:rPr>
          <w:lang w:val="fr-FR"/>
        </w:rPr>
        <w:t>b)</w:t>
      </w:r>
      <w:r w:rsidRPr="0042238A">
        <w:rPr>
          <w:lang w:val="fr-FR"/>
        </w:rPr>
        <w:tab/>
        <w:t>Norme relative à la conception ou désignation de cette norme ;</w:t>
      </w:r>
    </w:p>
    <w:p w14:paraId="3ABEE2A9" w14:textId="77777777" w:rsidR="00CC7A90" w:rsidRPr="00CB71F9" w:rsidRDefault="00CC7A90" w:rsidP="00CC7A90">
      <w:pPr>
        <w:pStyle w:val="SingleTxtG"/>
        <w:ind w:left="1701"/>
        <w:rPr>
          <w:lang w:val="fr-FR"/>
        </w:rPr>
      </w:pPr>
      <w:r w:rsidRPr="0042238A">
        <w:rPr>
          <w:lang w:val="fr-FR"/>
        </w:rPr>
        <w:t>c)</w:t>
      </w:r>
      <w:r w:rsidRPr="0042238A">
        <w:rPr>
          <w:lang w:val="fr-FR"/>
        </w:rPr>
        <w:tab/>
        <w:t>Date de fabrication (année et mois ou année et semaine) ; et</w:t>
      </w:r>
    </w:p>
    <w:p w14:paraId="480A5133" w14:textId="77777777" w:rsidR="00CC7A90" w:rsidRPr="00CB71F9" w:rsidRDefault="00CC7A90" w:rsidP="00CC7A90">
      <w:pPr>
        <w:pStyle w:val="SingleTxtG"/>
        <w:ind w:left="1701"/>
        <w:rPr>
          <w:lang w:val="fr-FR"/>
        </w:rPr>
      </w:pPr>
      <w:r w:rsidRPr="0042238A">
        <w:rPr>
          <w:lang w:val="fr-FR"/>
        </w:rPr>
        <w:t>d)</w:t>
      </w:r>
      <w:r w:rsidRPr="0042238A">
        <w:rPr>
          <w:lang w:val="fr-FR"/>
        </w:rPr>
        <w:tab/>
        <w:t>Signe distinctif de l’organisme responsable des contrôles et épreuves initiaux, le cas échéant.</w:t>
      </w:r>
    </w:p>
    <w:p w14:paraId="4ED9E945" w14:textId="1D91027D" w:rsidR="00CC7A90" w:rsidRPr="0042238A" w:rsidRDefault="00CC7A90" w:rsidP="00CC7A90">
      <w:pPr>
        <w:pStyle w:val="SingleTxtG"/>
        <w:rPr>
          <w:lang w:val="fr-FR"/>
        </w:rPr>
      </w:pPr>
      <w:r w:rsidRPr="0042238A">
        <w:rPr>
          <w:lang w:val="fr-FR"/>
        </w:rPr>
        <w:tab/>
      </w:r>
      <w:r w:rsidRPr="0042238A">
        <w:rPr>
          <w:lang w:val="fr-FR"/>
        </w:rPr>
        <w:tab/>
        <w:t>La pression d’épreuve du robinet doit être marquée lorsque sa valeur est inférieure à la pression d’épreuve indiquée en raison de la pression nominale de l’orifice de remplissage du robinet. ».</w:t>
      </w:r>
    </w:p>
    <w:p w14:paraId="6797EC37" w14:textId="77777777" w:rsidR="00657E04" w:rsidRPr="0042238A" w:rsidRDefault="00657E04" w:rsidP="00657E04">
      <w:pPr>
        <w:pStyle w:val="SingleTxtG"/>
        <w:rPr>
          <w:rFonts w:eastAsiaTheme="minorHAnsi"/>
          <w:lang w:val="fr-FR" w:eastAsia="en-US"/>
        </w:rPr>
      </w:pPr>
      <w:r w:rsidRPr="0042238A">
        <w:rPr>
          <w:lang w:val="fr-FR" w:eastAsia="en-US"/>
        </w:rPr>
        <w:t>6.2.4</w:t>
      </w:r>
      <w:r w:rsidRPr="0042238A">
        <w:rPr>
          <w:lang w:val="fr-FR" w:eastAsia="en-US"/>
        </w:rPr>
        <w:tab/>
      </w:r>
      <w:r w:rsidRPr="0042238A">
        <w:rPr>
          <w:lang w:val="fr-FR" w:eastAsia="en-US"/>
        </w:rPr>
        <w:tab/>
      </w:r>
      <w:r w:rsidRPr="0042238A">
        <w:rPr>
          <w:rFonts w:eastAsiaTheme="minorHAnsi"/>
          <w:lang w:val="fr-FR" w:eastAsia="en-US"/>
        </w:rPr>
        <w:t>Ajouter un nouveau paragraphe sous le titre pour lire comme suit :</w:t>
      </w:r>
    </w:p>
    <w:p w14:paraId="4A4DE7E6" w14:textId="77777777" w:rsidR="00657E04" w:rsidRPr="0042238A" w:rsidRDefault="00657E04" w:rsidP="00657E04">
      <w:pPr>
        <w:pStyle w:val="SingleTxtG"/>
        <w:rPr>
          <w:rFonts w:eastAsiaTheme="minorHAnsi"/>
          <w:lang w:val="fr-FR" w:eastAsia="en-US"/>
        </w:rPr>
      </w:pPr>
      <w:r w:rsidRPr="0042238A">
        <w:rPr>
          <w:rFonts w:eastAsiaTheme="minorHAnsi"/>
          <w:lang w:val="fr-FR" w:eastAsia="en-US"/>
        </w:rPr>
        <w:lastRenderedPageBreak/>
        <w:t>« 6.2.4.1</w:t>
      </w:r>
      <w:r w:rsidRPr="0042238A">
        <w:rPr>
          <w:rFonts w:eastAsiaTheme="minorHAnsi"/>
          <w:lang w:val="fr-FR" w:eastAsia="en-US"/>
        </w:rPr>
        <w:tab/>
        <w:t>La pression intérieure des générateurs d’aérosols à 50 °C ne doit pas dépasser 1,2 MPa (12 bar) en cas d’utilisation de gaz liquéfié inflammable, 1,32 MPa (13,2 bar) en cas d’utilisation de gaz liquéfié non inflammable et 1,5 MPa (15 bar) en cas d’utilisation de gaz comprimé ou dissous non inflammable. Pour les mélanges de gaz, la limite la plus stricte s’applique. ».</w:t>
      </w:r>
    </w:p>
    <w:p w14:paraId="29C64E4E" w14:textId="77777777" w:rsidR="00657E04" w:rsidRPr="0042238A" w:rsidRDefault="00657E04" w:rsidP="00657E04">
      <w:pPr>
        <w:kinsoku/>
        <w:overflowPunct/>
        <w:autoSpaceDE/>
        <w:autoSpaceDN/>
        <w:adjustRightInd/>
        <w:snapToGrid/>
        <w:spacing w:after="120"/>
        <w:ind w:left="2268" w:right="1134" w:hanging="1134"/>
        <w:jc w:val="both"/>
        <w:rPr>
          <w:rFonts w:eastAsiaTheme="minorHAnsi"/>
          <w:lang w:val="fr-FR" w:eastAsia="en-US"/>
        </w:rPr>
      </w:pPr>
      <w:r w:rsidRPr="0042238A">
        <w:rPr>
          <w:rFonts w:eastAsiaTheme="minorHAnsi"/>
          <w:lang w:val="fr-FR" w:eastAsia="en-US"/>
        </w:rPr>
        <w:tab/>
        <w:t>Le paragraphe existant sous le titre devient 6.2.4.2.</w:t>
      </w:r>
    </w:p>
    <w:p w14:paraId="37B6C175" w14:textId="77777777" w:rsidR="00657E04" w:rsidRPr="0042238A" w:rsidRDefault="00657E04" w:rsidP="00657E04">
      <w:pPr>
        <w:kinsoku/>
        <w:overflowPunct/>
        <w:autoSpaceDE/>
        <w:autoSpaceDN/>
        <w:adjustRightInd/>
        <w:snapToGrid/>
        <w:spacing w:after="120"/>
        <w:ind w:left="2268" w:right="1134" w:hanging="1134"/>
        <w:jc w:val="both"/>
        <w:rPr>
          <w:lang w:val="fr-FR" w:eastAsia="en-US"/>
        </w:rPr>
      </w:pPr>
      <w:r w:rsidRPr="0042238A">
        <w:rPr>
          <w:rFonts w:eastAsiaTheme="minorHAnsi"/>
          <w:lang w:val="fr-FR" w:eastAsia="en-US"/>
        </w:rPr>
        <w:tab/>
        <w:t xml:space="preserve">Renuméroter 6.2.4.1 en 6.2.4.2.1, 6.2.4.1.1 en 6.2.4.2.1.1, 6.2.4.1.2 en 6.2.4.2.1.2, </w:t>
      </w:r>
      <w:r w:rsidRPr="0042238A">
        <w:rPr>
          <w:lang w:val="fr-FR"/>
        </w:rPr>
        <w:t xml:space="preserve">6.2.4.2 en 6.2.4.2.2, </w:t>
      </w:r>
      <w:r w:rsidRPr="0042238A">
        <w:rPr>
          <w:lang w:val="fr-FR" w:eastAsia="en-US"/>
        </w:rPr>
        <w:t>6.2.4.2.1 en 6.2.4.2.2.1, 6.2.4.2.2 en 6.2.4.2.2.2, 6.2.4.2.2.1 en 6.2.4.2.2.2.1, 6.2.4.2.2.2 en 6.2.4.2.2.2.2, 6.2.4.2.3 en 6.2.4.2.2.3, 6.2.4.2.3.1 en 6.2.4.2.2.3.1, 6.2.4.2.3.2 en 6.2.4.2.2.3.2 et 6.2.4.3 en 6.2.4.2.3.</w:t>
      </w:r>
    </w:p>
    <w:p w14:paraId="7928650A" w14:textId="77777777" w:rsidR="00657E04" w:rsidRPr="0042238A" w:rsidRDefault="00657E04" w:rsidP="00657E04">
      <w:pPr>
        <w:kinsoku/>
        <w:overflowPunct/>
        <w:autoSpaceDE/>
        <w:autoSpaceDN/>
        <w:adjustRightInd/>
        <w:snapToGrid/>
        <w:spacing w:after="120"/>
        <w:ind w:left="2268" w:right="1134" w:hanging="1134"/>
        <w:jc w:val="both"/>
        <w:rPr>
          <w:rFonts w:eastAsiaTheme="minorHAnsi"/>
          <w:lang w:val="fr-FR" w:eastAsia="en-US"/>
        </w:rPr>
      </w:pPr>
      <w:r w:rsidRPr="0042238A">
        <w:rPr>
          <w:lang w:val="fr-FR" w:eastAsia="en-US"/>
        </w:rPr>
        <w:tab/>
        <w:t xml:space="preserve">Dans le paragraphe renuméroté 6.2.4.2, </w:t>
      </w:r>
      <w:r w:rsidRPr="0042238A">
        <w:rPr>
          <w:rFonts w:eastAsiaTheme="minorHAnsi"/>
          <w:lang w:val="fr-FR" w:eastAsia="en-US"/>
        </w:rPr>
        <w:t>remplacer « 6.2.4.1 » par « 6.2.4.2.1 » et « 6.2.4.2 » par « 6.2.4.2.2 ».</w:t>
      </w:r>
    </w:p>
    <w:p w14:paraId="1DB93209" w14:textId="77777777" w:rsidR="00657E04" w:rsidRPr="0042238A" w:rsidRDefault="00657E04" w:rsidP="00657E04">
      <w:pPr>
        <w:kinsoku/>
        <w:overflowPunct/>
        <w:autoSpaceDE/>
        <w:autoSpaceDN/>
        <w:adjustRightInd/>
        <w:snapToGrid/>
        <w:spacing w:after="120"/>
        <w:ind w:left="2268" w:right="1134" w:hanging="1134"/>
        <w:jc w:val="both"/>
        <w:rPr>
          <w:lang w:val="fr-FR"/>
        </w:rPr>
      </w:pPr>
      <w:r w:rsidRPr="0042238A">
        <w:rPr>
          <w:lang w:val="fr-FR" w:eastAsia="en-US"/>
        </w:rPr>
        <w:tab/>
        <w:t xml:space="preserve">Dans le paragraphe renuméroté </w:t>
      </w:r>
      <w:r w:rsidRPr="0042238A">
        <w:rPr>
          <w:lang w:val="fr-FR"/>
        </w:rPr>
        <w:t>6.2.4.2.2, remplacer « 6.2.4.2.1 » par « 6.2.4.2.2.1 » et « 6.2.4.2.2 ou 6.2.4.2.3 » par « 6.2.4.2.2.2 ou 6.2.4.2.2.3 ».</w:t>
      </w:r>
    </w:p>
    <w:p w14:paraId="5F1945CF" w14:textId="6B76F285" w:rsidR="00657E04" w:rsidRPr="0042238A" w:rsidRDefault="00657E04" w:rsidP="00657E04">
      <w:pPr>
        <w:kinsoku/>
        <w:overflowPunct/>
        <w:autoSpaceDE/>
        <w:autoSpaceDN/>
        <w:adjustRightInd/>
        <w:snapToGrid/>
        <w:spacing w:after="120"/>
        <w:ind w:left="2268" w:right="1134" w:hanging="1134"/>
        <w:jc w:val="both"/>
        <w:rPr>
          <w:lang w:val="fr-FR" w:eastAsia="en-US"/>
        </w:rPr>
      </w:pPr>
      <w:r w:rsidRPr="0042238A">
        <w:rPr>
          <w:lang w:val="fr-FR" w:eastAsia="en-US"/>
        </w:rPr>
        <w:tab/>
        <w:t>Dans le paragraphe renuméroté 6.2.4.2.3, remplacer « 6.2.4.1 et 6.2.4.2 » par « 6.2.4.2.1 et 6.2.4.2.2 ».</w:t>
      </w:r>
    </w:p>
    <w:p w14:paraId="4816169A" w14:textId="77777777" w:rsidR="00E66496" w:rsidRPr="00CB71F9" w:rsidRDefault="00E66496" w:rsidP="00E66496">
      <w:pPr>
        <w:pStyle w:val="H1G"/>
        <w:rPr>
          <w:lang w:val="fr-FR" w:eastAsia="en-US"/>
        </w:rPr>
      </w:pPr>
      <w:r w:rsidRPr="0042238A">
        <w:rPr>
          <w:lang w:val="fr-FR" w:eastAsia="en-US"/>
        </w:rPr>
        <w:tab/>
      </w:r>
      <w:r w:rsidRPr="0042238A">
        <w:rPr>
          <w:lang w:val="fr-FR" w:eastAsia="en-US"/>
        </w:rPr>
        <w:tab/>
      </w:r>
      <w:r w:rsidRPr="00CB71F9">
        <w:rPr>
          <w:lang w:val="fr-FR" w:eastAsia="en-US"/>
        </w:rPr>
        <w:t>Chapitre 6.3</w:t>
      </w:r>
    </w:p>
    <w:p w14:paraId="126DF9E0" w14:textId="7461B09A" w:rsidR="00E66496" w:rsidRPr="0042238A" w:rsidRDefault="00E66496" w:rsidP="006A4F3F">
      <w:pPr>
        <w:tabs>
          <w:tab w:val="left" w:pos="2268"/>
        </w:tabs>
        <w:kinsoku/>
        <w:overflowPunct/>
        <w:autoSpaceDE/>
        <w:autoSpaceDN/>
        <w:adjustRightInd/>
        <w:snapToGrid/>
        <w:spacing w:after="120"/>
        <w:ind w:left="2268" w:right="1134" w:hanging="1134"/>
        <w:jc w:val="both"/>
        <w:rPr>
          <w:rFonts w:eastAsiaTheme="minorHAnsi"/>
          <w:lang w:val="fr-FR" w:eastAsia="en-US"/>
        </w:rPr>
      </w:pPr>
      <w:r w:rsidRPr="0042238A">
        <w:rPr>
          <w:lang w:val="fr-FR" w:eastAsia="en-US"/>
        </w:rPr>
        <w:t>6.3.2.1</w:t>
      </w:r>
      <w:r w:rsidRPr="0042238A">
        <w:rPr>
          <w:lang w:val="fr-FR" w:eastAsia="en-US"/>
        </w:rPr>
        <w:tab/>
      </w:r>
      <w:r w:rsidRPr="0042238A">
        <w:rPr>
          <w:lang w:val="fr-FR" w:eastAsia="en-US"/>
        </w:rPr>
        <w:tab/>
      </w:r>
      <w:r w:rsidRPr="0042238A">
        <w:rPr>
          <w:rFonts w:eastAsiaTheme="minorHAnsi"/>
          <w:lang w:val="fr-FR" w:eastAsia="en-US"/>
        </w:rPr>
        <w:t>Dans la deuxième phrase, remplacer « aux épreuves décrites » par « aux prescriptions décrites. ».</w:t>
      </w:r>
    </w:p>
    <w:p w14:paraId="62C0FDDA" w14:textId="796085E3" w:rsidR="006A4F3F" w:rsidRPr="00CB71F9" w:rsidRDefault="006A4F3F" w:rsidP="006A4F3F">
      <w:pPr>
        <w:tabs>
          <w:tab w:val="left" w:pos="2268"/>
        </w:tabs>
        <w:kinsoku/>
        <w:overflowPunct/>
        <w:autoSpaceDE/>
        <w:autoSpaceDN/>
        <w:adjustRightInd/>
        <w:snapToGrid/>
        <w:spacing w:after="120"/>
        <w:ind w:left="2268" w:right="1134" w:hanging="1134"/>
        <w:jc w:val="both"/>
        <w:rPr>
          <w:lang w:val="fr-FR" w:eastAsia="en-US"/>
        </w:rPr>
      </w:pPr>
      <w:r w:rsidRPr="00CB71F9">
        <w:rPr>
          <w:lang w:val="fr-FR" w:eastAsia="en-US"/>
        </w:rPr>
        <w:t>6.3.2.2</w:t>
      </w:r>
      <w:r w:rsidRPr="00CB71F9">
        <w:rPr>
          <w:lang w:val="fr-FR" w:eastAsia="en-US"/>
        </w:rPr>
        <w:tab/>
        <w:t>Dans le Nota, remplacer « ISO 16106:2006 » par « ISO 16106:2020 » et modifier le titre de la norme pour lire « Emballages de transport pour marchandises dangereuses – Emballages pour marchandises dangereuses, grands récipients pour vrac (GRV) et grands emballages – Lignes directrices pour l’application de la norme ISO. ».</w:t>
      </w:r>
    </w:p>
    <w:p w14:paraId="2D9895DA" w14:textId="77777777" w:rsidR="00E17E18" w:rsidRPr="0042238A" w:rsidRDefault="00E17E18" w:rsidP="00E17E18">
      <w:pPr>
        <w:pStyle w:val="H1G"/>
        <w:rPr>
          <w:lang w:val="fr-FR" w:eastAsia="en-US"/>
        </w:rPr>
      </w:pPr>
      <w:r w:rsidRPr="0042238A">
        <w:rPr>
          <w:lang w:val="fr-FR" w:eastAsia="en-US"/>
        </w:rPr>
        <w:tab/>
      </w:r>
      <w:r w:rsidRPr="0042238A">
        <w:rPr>
          <w:lang w:val="fr-FR" w:eastAsia="en-US"/>
        </w:rPr>
        <w:tab/>
        <w:t>Chapitre 6.4</w:t>
      </w:r>
    </w:p>
    <w:p w14:paraId="51B992B4" w14:textId="77777777" w:rsidR="00E17E18" w:rsidRPr="0042238A" w:rsidRDefault="00E17E18" w:rsidP="00E17E18">
      <w:pPr>
        <w:tabs>
          <w:tab w:val="left" w:pos="2268"/>
        </w:tabs>
        <w:spacing w:after="120"/>
        <w:ind w:left="2268" w:right="1134" w:hanging="1134"/>
        <w:jc w:val="both"/>
        <w:rPr>
          <w:rFonts w:eastAsiaTheme="minorHAnsi"/>
          <w:lang w:val="fr-FR" w:eastAsia="en-US"/>
        </w:rPr>
      </w:pPr>
      <w:r w:rsidRPr="0042238A">
        <w:rPr>
          <w:rFonts w:eastAsiaTheme="minorHAnsi"/>
          <w:lang w:val="fr-FR" w:eastAsia="en-US"/>
        </w:rPr>
        <w:t>6.4.12.1</w:t>
      </w:r>
      <w:r w:rsidRPr="0042238A">
        <w:rPr>
          <w:rFonts w:eastAsiaTheme="minorHAnsi"/>
          <w:lang w:val="fr-FR" w:eastAsia="en-US"/>
        </w:rPr>
        <w:tab/>
        <w:t>Dans le premier tableau, supprimer « 2.7.2.3.1.3, 2.7.2.3.1.4, » et, après « 2.7.2.3.4.2 », ajouter « , 2.7.2.3.4.3 ».</w:t>
      </w:r>
    </w:p>
    <w:p w14:paraId="7AECD725" w14:textId="77777777" w:rsidR="00E17E18" w:rsidRPr="0042238A" w:rsidRDefault="00E17E18" w:rsidP="00E17E18">
      <w:pPr>
        <w:tabs>
          <w:tab w:val="left" w:pos="2268"/>
        </w:tabs>
        <w:spacing w:after="120"/>
        <w:ind w:left="2268" w:right="1134" w:hanging="1134"/>
        <w:jc w:val="both"/>
        <w:rPr>
          <w:rFonts w:eastAsiaTheme="minorHAnsi"/>
          <w:lang w:val="fr-FR" w:eastAsia="en-US"/>
        </w:rPr>
      </w:pPr>
      <w:r w:rsidRPr="0042238A">
        <w:rPr>
          <w:rFonts w:eastAsiaTheme="minorHAnsi"/>
          <w:lang w:val="fr-FR" w:eastAsia="en-US"/>
        </w:rPr>
        <w:t>6.4.12.2</w:t>
      </w:r>
      <w:r w:rsidRPr="0042238A">
        <w:rPr>
          <w:rFonts w:eastAsiaTheme="minorHAnsi"/>
          <w:lang w:val="fr-FR" w:eastAsia="en-US"/>
        </w:rPr>
        <w:tab/>
        <w:t>Supprimer « 2.7.2.3.1.3, 2.7.2.3.1.4, » et, après « 2.7.2.3.4.2 », ajouter « , 2.7.2.3.4.3 ».</w:t>
      </w:r>
    </w:p>
    <w:p w14:paraId="7A396DFE" w14:textId="77777777" w:rsidR="00E17E18" w:rsidRPr="00CB71F9" w:rsidRDefault="00E17E18" w:rsidP="00E17E18">
      <w:pPr>
        <w:tabs>
          <w:tab w:val="left" w:pos="2268"/>
        </w:tabs>
        <w:spacing w:after="120"/>
        <w:ind w:left="2268" w:right="1134" w:hanging="1134"/>
        <w:jc w:val="both"/>
        <w:rPr>
          <w:rFonts w:eastAsiaTheme="minorHAnsi"/>
          <w:lang w:val="fr-FR" w:eastAsia="en-US"/>
        </w:rPr>
      </w:pPr>
      <w:r w:rsidRPr="0042238A">
        <w:rPr>
          <w:rFonts w:eastAsiaTheme="minorHAnsi"/>
          <w:lang w:val="fr-FR" w:eastAsia="en-US"/>
        </w:rPr>
        <w:t>6.4.24.1</w:t>
      </w:r>
      <w:r w:rsidRPr="0042238A">
        <w:rPr>
          <w:rFonts w:eastAsiaTheme="minorHAnsi"/>
          <w:lang w:val="fr-FR" w:eastAsia="en-US"/>
        </w:rPr>
        <w:tab/>
        <w:t>Modifier le titre placé au-dessus du paragraphe 6.4.24.1 comme suit : « Colis dont le modèle n’a pas à être agréé par l’autorité compétente en vertu des éditions de 1985, de 1985 (telle que modifiée en 1990), de 1996, de 1996 (révisée), de 1996 (telle que modifiée en 2003), de 2005, de 2009 et de 2012 du Règlement de transport des matières radioactives de l’AIEA ».</w:t>
      </w:r>
    </w:p>
    <w:p w14:paraId="3E2E9B00" w14:textId="77777777" w:rsidR="00E17E18" w:rsidRPr="00CB71F9" w:rsidRDefault="00E17E18" w:rsidP="00E17E18">
      <w:pPr>
        <w:tabs>
          <w:tab w:val="left" w:pos="2268"/>
        </w:tabs>
        <w:spacing w:after="120"/>
        <w:ind w:left="2268" w:right="1134" w:hanging="1134"/>
        <w:jc w:val="both"/>
        <w:rPr>
          <w:rFonts w:eastAsiaTheme="minorHAnsi"/>
          <w:lang w:val="fr-FR" w:eastAsia="en-US"/>
        </w:rPr>
      </w:pPr>
      <w:r w:rsidRPr="0042238A">
        <w:rPr>
          <w:rFonts w:eastAsiaTheme="minorHAnsi"/>
          <w:lang w:val="fr-FR" w:eastAsia="en-US"/>
        </w:rPr>
        <w:t>6.4.24.1 a)</w:t>
      </w:r>
      <w:r w:rsidRPr="0042238A">
        <w:rPr>
          <w:rFonts w:eastAsiaTheme="minorHAnsi"/>
          <w:lang w:val="fr-FR" w:eastAsia="en-US"/>
        </w:rPr>
        <w:tab/>
        <w:t>Modifier comme suit : « Les colis qui satisfont aux prescriptions des éditions de 1985 ou de 1985 (telle que modifiée en 1990) du Règlement de transport des matières radioactives de l’AIEA : ».</w:t>
      </w:r>
    </w:p>
    <w:p w14:paraId="39399914" w14:textId="77777777" w:rsidR="00E17E18" w:rsidRPr="00CB71F9" w:rsidRDefault="00E17E18" w:rsidP="00E17E18">
      <w:pPr>
        <w:tabs>
          <w:tab w:val="left" w:pos="2268"/>
        </w:tabs>
        <w:spacing w:after="120"/>
        <w:ind w:left="2268" w:right="1134" w:hanging="1134"/>
        <w:jc w:val="both"/>
        <w:rPr>
          <w:rFonts w:eastAsiaTheme="minorHAnsi"/>
          <w:lang w:val="fr-FR" w:eastAsia="en-US"/>
        </w:rPr>
      </w:pPr>
      <w:r w:rsidRPr="0042238A">
        <w:rPr>
          <w:rFonts w:eastAsiaTheme="minorHAnsi"/>
          <w:lang w:val="fr-FR" w:eastAsia="en-US"/>
        </w:rPr>
        <w:t>6.4.24.1 b)</w:t>
      </w:r>
      <w:r w:rsidRPr="0042238A">
        <w:rPr>
          <w:rFonts w:eastAsiaTheme="minorHAnsi"/>
          <w:lang w:val="fr-FR" w:eastAsia="en-US"/>
        </w:rPr>
        <w:tab/>
        <w:t>Modifier comme suit : « Les colis qui satisfont aux dispositions des éditions de 1996, de 1996 (révisée), de 1996 (telle que modifiée en 2003), de 2005, de 2009 ou de 2012 du Règlement de transport des matières radioactives de l’AIEA : ».</w:t>
      </w:r>
    </w:p>
    <w:p w14:paraId="622BD687" w14:textId="77777777" w:rsidR="00E17E18" w:rsidRPr="00CB71F9" w:rsidRDefault="00E17E18" w:rsidP="00E17E18">
      <w:pPr>
        <w:keepNext/>
        <w:keepLines/>
        <w:tabs>
          <w:tab w:val="left" w:pos="2268"/>
        </w:tabs>
        <w:spacing w:after="120"/>
        <w:ind w:left="2268" w:right="1134" w:hanging="1134"/>
        <w:jc w:val="both"/>
        <w:rPr>
          <w:rFonts w:eastAsiaTheme="minorHAnsi"/>
          <w:lang w:val="fr-FR" w:eastAsia="en-US"/>
        </w:rPr>
      </w:pPr>
      <w:r w:rsidRPr="0042238A">
        <w:rPr>
          <w:rFonts w:eastAsiaTheme="minorHAnsi"/>
          <w:lang w:val="fr-FR" w:eastAsia="en-US"/>
        </w:rPr>
        <w:lastRenderedPageBreak/>
        <w:t>6.4.24.2</w:t>
      </w:r>
      <w:r w:rsidRPr="0042238A">
        <w:rPr>
          <w:rFonts w:eastAsiaTheme="minorHAnsi"/>
          <w:lang w:val="fr-FR" w:eastAsia="en-US"/>
        </w:rPr>
        <w:tab/>
        <w:t>Modifier le titre placé au-dessus du paragraphe 6.4.24.2 comme suit : « Modèles de colis agréés par l’autorité compétente en vertu des éditions de 1985, de 1985 (telle que modifiée en 1990), de 1996, de 1996 (révisée), de 1996 (telle que modifiée en 2003), de 2005, de 2009 et de 2012 du Règlement de transport des matières radioactives de l’AIEA ».</w:t>
      </w:r>
    </w:p>
    <w:p w14:paraId="7B29730C" w14:textId="77777777" w:rsidR="00E17E18" w:rsidRPr="0042238A" w:rsidRDefault="00E17E18" w:rsidP="00E17E18">
      <w:pPr>
        <w:tabs>
          <w:tab w:val="left" w:pos="2268"/>
        </w:tabs>
        <w:spacing w:after="120"/>
        <w:ind w:left="2268" w:right="1134" w:hanging="1134"/>
        <w:jc w:val="both"/>
        <w:rPr>
          <w:rFonts w:eastAsiaTheme="minorHAnsi"/>
          <w:lang w:val="fr-FR" w:eastAsia="en-US"/>
        </w:rPr>
      </w:pPr>
      <w:r w:rsidRPr="0042238A">
        <w:rPr>
          <w:rFonts w:eastAsiaTheme="minorHAnsi"/>
          <w:lang w:val="fr-FR" w:eastAsia="en-US"/>
        </w:rPr>
        <w:t>6.4.24.2 a)</w:t>
      </w:r>
      <w:r w:rsidRPr="0042238A">
        <w:rPr>
          <w:rFonts w:eastAsiaTheme="minorHAnsi"/>
          <w:lang w:val="fr-FR" w:eastAsia="en-US"/>
        </w:rPr>
        <w:tab/>
        <w:t>Modifier comme suit : « Les emballages qui ont été fabriqués suivant un modèle de colis agréé par l’autorité compétente en vertu des dispositions de l’édition de 1985 ou de l’édition de 1985 (telle que modifiée en 1990) du Règlement de transport des matières radioactives de l’AIEA peuvent encore être utilisés à condition que toutes les conditions suivantes soient réunies : ».</w:t>
      </w:r>
    </w:p>
    <w:p w14:paraId="38CD34A2" w14:textId="77777777" w:rsidR="00E17E18" w:rsidRPr="0042238A" w:rsidRDefault="00E17E18" w:rsidP="00E17E18">
      <w:pPr>
        <w:tabs>
          <w:tab w:val="left" w:pos="2268"/>
        </w:tabs>
        <w:spacing w:after="120"/>
        <w:ind w:left="2268" w:right="1134" w:hanging="1134"/>
        <w:jc w:val="both"/>
        <w:rPr>
          <w:rFonts w:eastAsiaTheme="minorHAnsi"/>
          <w:lang w:val="fr-FR" w:eastAsia="en-US"/>
        </w:rPr>
      </w:pPr>
      <w:r w:rsidRPr="0042238A">
        <w:rPr>
          <w:rFonts w:eastAsiaTheme="minorHAnsi"/>
          <w:lang w:val="fr-FR" w:eastAsia="en-US"/>
        </w:rPr>
        <w:t>6.4.24.2 b)</w:t>
      </w:r>
      <w:r w:rsidRPr="0042238A">
        <w:rPr>
          <w:rFonts w:eastAsiaTheme="minorHAnsi"/>
          <w:lang w:val="fr-FR" w:eastAsia="en-US"/>
        </w:rPr>
        <w:tab/>
        <w:t>Modifier comme suit : « Les emballages qui ont été fabriqués suivant un modèle de colis agréé par l’autorité compétente en vertu des dispositions des éditions de 1996, de 1996 (révisée), de 1996 (telle que modifiée en 2003), de 2005, de 2009 et de 2012 du Règlement de transport des matières radioactives de l’AIEA, peuvent encore être utilisés à condition que toutes les conditions suivantes soient réunies : ».</w:t>
      </w:r>
    </w:p>
    <w:p w14:paraId="3EBD7FB8" w14:textId="77777777" w:rsidR="00E17E18" w:rsidRPr="0042238A" w:rsidRDefault="00E17E18" w:rsidP="00E17E18">
      <w:pPr>
        <w:tabs>
          <w:tab w:val="left" w:pos="2268"/>
        </w:tabs>
        <w:spacing w:after="120"/>
        <w:ind w:left="2268" w:right="1134" w:hanging="1134"/>
        <w:jc w:val="both"/>
        <w:rPr>
          <w:rFonts w:eastAsiaTheme="minorHAnsi"/>
          <w:lang w:val="fr-FR" w:eastAsia="en-US"/>
        </w:rPr>
      </w:pPr>
      <w:bookmarkStart w:id="6" w:name="_Hlk36655002"/>
      <w:r w:rsidRPr="0042238A">
        <w:rPr>
          <w:rFonts w:eastAsiaTheme="minorHAnsi"/>
          <w:lang w:val="fr-FR" w:eastAsia="en-US"/>
        </w:rPr>
        <w:t>6.4.24.3</w:t>
      </w:r>
      <w:r w:rsidRPr="0042238A">
        <w:rPr>
          <w:rFonts w:eastAsiaTheme="minorHAnsi"/>
          <w:lang w:val="fr-FR" w:eastAsia="en-US"/>
        </w:rPr>
        <w:tab/>
        <w:t>Supprimer « (Collection de Sécurité n° 6) ».</w:t>
      </w:r>
    </w:p>
    <w:bookmarkEnd w:id="6"/>
    <w:p w14:paraId="65022BE1" w14:textId="77777777" w:rsidR="00E17E18" w:rsidRPr="0042238A" w:rsidRDefault="00E17E18" w:rsidP="00E17E18">
      <w:pPr>
        <w:tabs>
          <w:tab w:val="left" w:pos="2268"/>
        </w:tabs>
        <w:spacing w:after="120"/>
        <w:ind w:left="2268" w:right="1134" w:hanging="1134"/>
        <w:jc w:val="both"/>
        <w:rPr>
          <w:rFonts w:eastAsiaTheme="minorHAnsi"/>
          <w:lang w:val="fr-FR" w:eastAsia="en-US"/>
        </w:rPr>
      </w:pPr>
      <w:r w:rsidRPr="0042238A">
        <w:rPr>
          <w:rFonts w:eastAsiaTheme="minorHAnsi"/>
          <w:lang w:val="fr-FR" w:eastAsia="en-US"/>
        </w:rPr>
        <w:t>6.4.24.4</w:t>
      </w:r>
      <w:r w:rsidRPr="0042238A">
        <w:rPr>
          <w:rFonts w:eastAsiaTheme="minorHAnsi"/>
          <w:lang w:val="fr-FR" w:eastAsia="en-US"/>
        </w:rPr>
        <w:tab/>
        <w:t>Modifier comme suit : « Il n’est pas permis de commencer après le 31 décembre 2028 une nouvelle fabrication d’emballages suivant un modèle de colis satisfaisant aux dispositions des éditions de 1996, de 1996 (révisée), de 1996 (telle que modifiée en 2003), de 2005, de 2009 et de 2012 du Règlement de transport des matières radioactives de l’AIEA. ».</w:t>
      </w:r>
    </w:p>
    <w:p w14:paraId="663F3ECF" w14:textId="372AB028" w:rsidR="00E17E18" w:rsidRPr="0042238A" w:rsidRDefault="00E17E18" w:rsidP="00E17E18">
      <w:pPr>
        <w:tabs>
          <w:tab w:val="left" w:pos="2268"/>
        </w:tabs>
        <w:spacing w:after="120"/>
        <w:ind w:left="2268" w:right="1134" w:hanging="1134"/>
        <w:jc w:val="both"/>
        <w:rPr>
          <w:rFonts w:eastAsiaTheme="minorHAnsi"/>
          <w:lang w:val="fr-FR" w:eastAsia="en-US"/>
        </w:rPr>
      </w:pPr>
      <w:r w:rsidRPr="0042238A">
        <w:rPr>
          <w:rFonts w:eastAsiaTheme="minorHAnsi"/>
          <w:lang w:val="fr-FR" w:eastAsia="en-US"/>
        </w:rPr>
        <w:t>6.4.24.5</w:t>
      </w:r>
      <w:r w:rsidRPr="0042238A">
        <w:rPr>
          <w:rFonts w:eastAsiaTheme="minorHAnsi"/>
          <w:lang w:val="fr-FR" w:eastAsia="en-US"/>
        </w:rPr>
        <w:tab/>
        <w:t>Dans le titre placé au-dessus du paragraphe 6.4.24.5, remplacer « (édition de 2009 du Règlement de transport des matières radioactives de l’AIEA (n</w:t>
      </w:r>
      <w:r w:rsidRPr="0042238A">
        <w:rPr>
          <w:rFonts w:eastAsiaTheme="minorHAnsi"/>
          <w:vertAlign w:val="superscript"/>
          <w:lang w:val="fr-FR" w:eastAsia="en-US"/>
        </w:rPr>
        <w:t>o</w:t>
      </w:r>
      <w:r w:rsidRPr="0042238A">
        <w:rPr>
          <w:rFonts w:eastAsiaTheme="minorHAnsi"/>
          <w:lang w:val="fr-FR" w:eastAsia="en-US"/>
        </w:rPr>
        <w:t> TS-R-1) » par « (édition de 2009 du Règlement de transport des matières radioactives de l’AIEA) ». La deuxième modification ne s’applique pas au texte français.</w:t>
      </w:r>
    </w:p>
    <w:p w14:paraId="3AF59ABB" w14:textId="77777777" w:rsidR="00E17E18" w:rsidRPr="0042238A" w:rsidRDefault="00E17E18" w:rsidP="00E17E18">
      <w:pPr>
        <w:tabs>
          <w:tab w:val="left" w:pos="2268"/>
        </w:tabs>
        <w:spacing w:after="120"/>
        <w:ind w:left="2268" w:right="1134" w:hanging="1134"/>
        <w:jc w:val="both"/>
        <w:rPr>
          <w:rFonts w:eastAsiaTheme="minorHAnsi"/>
          <w:lang w:val="fr-FR" w:eastAsia="en-US"/>
        </w:rPr>
      </w:pPr>
      <w:r w:rsidRPr="0042238A">
        <w:rPr>
          <w:rFonts w:eastAsiaTheme="minorHAnsi"/>
          <w:lang w:val="fr-FR" w:eastAsia="en-US"/>
        </w:rPr>
        <w:t>6.4.24.6</w:t>
      </w:r>
      <w:r w:rsidRPr="0042238A">
        <w:rPr>
          <w:rFonts w:eastAsiaTheme="minorHAnsi"/>
          <w:lang w:val="fr-FR" w:eastAsia="en-US"/>
        </w:rPr>
        <w:tab/>
        <w:t>Modifier le titre placé au-dessus du paragraphe 6.4.24.6 comme suit : « Matières radioactives sous forme spéciale agréées en vertu des éditions de 1985, de 1985 (telle que modifiée en 1990), de 1996, de 1996 (révisée), de 1996 (telle que modifiée en 2003), de 2005, de 2009 et de 2012 du Règlement de transport des matières radioactives de l’AIEA ».</w:t>
      </w:r>
    </w:p>
    <w:p w14:paraId="7B3DD644" w14:textId="77777777" w:rsidR="00E17E18" w:rsidRPr="0042238A" w:rsidRDefault="00E17E18" w:rsidP="00E17E18">
      <w:pPr>
        <w:tabs>
          <w:tab w:val="left" w:pos="2268"/>
        </w:tabs>
        <w:spacing w:after="120"/>
        <w:ind w:left="2268" w:right="1134" w:hanging="1134"/>
        <w:jc w:val="both"/>
        <w:rPr>
          <w:rFonts w:eastAsiaTheme="minorHAnsi"/>
          <w:lang w:val="fr-FR" w:eastAsia="en-US"/>
        </w:rPr>
      </w:pPr>
      <w:bookmarkStart w:id="7" w:name="_Hlk36655076"/>
      <w:r w:rsidRPr="0042238A">
        <w:rPr>
          <w:rFonts w:eastAsiaTheme="minorHAnsi"/>
          <w:lang w:val="fr-FR" w:eastAsia="en-US"/>
        </w:rPr>
        <w:tab/>
        <w:t xml:space="preserve">Modifier le paragraphe pour lire comme suit : </w:t>
      </w:r>
    </w:p>
    <w:p w14:paraId="0E51E2D8" w14:textId="77777777" w:rsidR="00E17E18" w:rsidRPr="00CB71F9" w:rsidRDefault="00E17E18" w:rsidP="00E17E18">
      <w:pPr>
        <w:spacing w:after="120"/>
        <w:ind w:left="1134" w:right="1134"/>
        <w:jc w:val="both"/>
        <w:rPr>
          <w:rFonts w:eastAsiaTheme="minorHAnsi"/>
          <w:lang w:val="fr-FR" w:eastAsia="en-US"/>
        </w:rPr>
      </w:pPr>
      <w:r w:rsidRPr="0042238A">
        <w:rPr>
          <w:rFonts w:eastAsiaTheme="minorHAnsi"/>
          <w:lang w:val="fr-FR" w:eastAsia="en-US"/>
        </w:rPr>
        <w:t>« Les matières radioactives sous forme spéciale fabriquées suivant un modèle qui a reçu l’agrément unilatéral de l’autorité compétente en vertu des éditions de 1985, de 1985 (telle que modifiée en 1990), de 1996, de 1996 (révisée), de 1996 (telle que modifiée en 2003), de 2005, de 2009 et de 2012 du Règlement de transport des matières radioactives de l’AIEA, peuvent continuer d’être utilisées si elles satisfont au système de management obligatoire conformément aux prescriptions applicables énoncées au paragraphe 1.5.3.1. Aucune matière radioactive sous forme spéciale fabriquée suivant un modèle qui a reçu l’agrément unilatéral de l’autorité compétente en vertu des éditions de 1985 ou de 1985 (telle que modifiée en 1990) du Règlement de transport des matières radioactives de l’AIEA ne doit être fabriquée. Il n’est pas permis de commencer après le 31 décembre 2025 une nouvelle fabrication de matières radioactives sous forme spéciale suivant un modèle ayant reçu un agrément unilatéral de l’autorité compétente en vertu des éditions de 1996, de 1996 (révisée), de 1996 (telle que modifiée en 2003), de 2005, de 2009 et de 2012 du Règlement de transport des matières radioactives de l’AIEA. ».</w:t>
      </w:r>
    </w:p>
    <w:bookmarkEnd w:id="7"/>
    <w:p w14:paraId="03212ABE" w14:textId="77777777" w:rsidR="00CC7A90" w:rsidRPr="0042238A" w:rsidRDefault="00CC7A90" w:rsidP="00CC7A90">
      <w:pPr>
        <w:pStyle w:val="H1G"/>
        <w:rPr>
          <w:lang w:val="fr-FR"/>
        </w:rPr>
      </w:pPr>
      <w:r w:rsidRPr="0042238A">
        <w:rPr>
          <w:lang w:val="fr-FR"/>
        </w:rPr>
        <w:tab/>
      </w:r>
      <w:r w:rsidRPr="0042238A">
        <w:rPr>
          <w:lang w:val="fr-FR"/>
        </w:rPr>
        <w:tab/>
        <w:t>Chapitre 6.5</w:t>
      </w:r>
    </w:p>
    <w:p w14:paraId="2A717EC3" w14:textId="77777777" w:rsidR="00CC7A90" w:rsidRPr="00CB71F9" w:rsidRDefault="00CC7A90" w:rsidP="00CC7A90">
      <w:pPr>
        <w:pStyle w:val="SingleTxtG"/>
        <w:spacing w:before="120"/>
        <w:ind w:left="2268" w:hanging="1134"/>
        <w:rPr>
          <w:lang w:val="fr-FR"/>
        </w:rPr>
      </w:pPr>
      <w:r w:rsidRPr="00CB71F9">
        <w:rPr>
          <w:lang w:val="fr-FR"/>
        </w:rPr>
        <w:t>6.5.1.1.2</w:t>
      </w:r>
      <w:r w:rsidRPr="00CB71F9">
        <w:rPr>
          <w:lang w:val="fr-FR"/>
        </w:rPr>
        <w:tab/>
        <w:t>Modifier pour lire comme suit :</w:t>
      </w:r>
    </w:p>
    <w:p w14:paraId="5F18BA1C" w14:textId="77777777" w:rsidR="00CC7A90" w:rsidRPr="00CB71F9" w:rsidRDefault="00CC7A90" w:rsidP="00CC7A90">
      <w:pPr>
        <w:pStyle w:val="SingleTxtG"/>
        <w:rPr>
          <w:lang w:val="fr-FR"/>
        </w:rPr>
      </w:pPr>
      <w:r w:rsidRPr="00CB71F9">
        <w:rPr>
          <w:lang w:val="fr-FR"/>
        </w:rPr>
        <w:t>« 6.5.1.1.2</w:t>
      </w:r>
      <w:r w:rsidRPr="00CB71F9">
        <w:rPr>
          <w:lang w:val="fr-FR"/>
        </w:rPr>
        <w:tab/>
        <w:t xml:space="preserve">Les prescriptions relatives aux grands récipients pour vrac énoncées au 6.5.3 sont basées sur les GRV qui sont utilisés actuellement. Pour tenir compte du progrès scientifique et technique, il est admis que l’on utilise des GRV dont les spécifications </w:t>
      </w:r>
      <w:r w:rsidRPr="00CB71F9">
        <w:rPr>
          <w:lang w:val="fr-FR"/>
        </w:rPr>
        <w:lastRenderedPageBreak/>
        <w:t>diffèrent de celles définies au 6.5.3 et au 6.5.5, à condition qu’ils aient une efficacité égale, qu’ils soient acceptables pour l’autorité compétente et qu’ils satisfassent aux prescriptions décrites aux 6.5.4 et 6.5.6. Des méthodes d’inspection et d’épreuve autres que celles décrites dans le présent Règlement sont admises pour autant qu’elles soient équivalentes. »</w:t>
      </w:r>
    </w:p>
    <w:p w14:paraId="6A988BD9" w14:textId="77777777" w:rsidR="00603307" w:rsidRPr="0042238A" w:rsidRDefault="00603307" w:rsidP="00603307">
      <w:pPr>
        <w:pStyle w:val="SingleTxtG"/>
        <w:rPr>
          <w:rFonts w:eastAsiaTheme="minorHAnsi"/>
          <w:lang w:val="fr-FR" w:eastAsia="en-US"/>
        </w:rPr>
      </w:pPr>
      <w:r w:rsidRPr="0042238A">
        <w:rPr>
          <w:lang w:val="fr-FR" w:eastAsia="en-US"/>
        </w:rPr>
        <w:t>6.5.2.1</w:t>
      </w:r>
      <w:r w:rsidRPr="0042238A">
        <w:rPr>
          <w:lang w:val="fr-FR" w:eastAsia="en-US"/>
        </w:rPr>
        <w:tab/>
        <w:t>.2</w:t>
      </w:r>
      <w:r w:rsidRPr="0042238A">
        <w:rPr>
          <w:lang w:val="fr-FR" w:eastAsia="en-US"/>
        </w:rPr>
        <w:tab/>
      </w:r>
      <w:r w:rsidRPr="0042238A">
        <w:rPr>
          <w:rFonts w:eastAsiaTheme="minorHAnsi"/>
          <w:lang w:val="fr-FR" w:eastAsia="en-US"/>
        </w:rPr>
        <w:t>Ajouter un nouveau 6.5.2.1.2 libellé comme suit :</w:t>
      </w:r>
    </w:p>
    <w:p w14:paraId="7939E95B" w14:textId="77777777" w:rsidR="00603307" w:rsidRPr="0042238A" w:rsidRDefault="00603307" w:rsidP="00603307">
      <w:pPr>
        <w:pStyle w:val="SingleTxtG"/>
        <w:rPr>
          <w:rFonts w:eastAsiaTheme="minorHAnsi"/>
          <w:lang w:val="fr-FR" w:eastAsia="en-US"/>
        </w:rPr>
      </w:pPr>
      <w:r w:rsidRPr="0042238A">
        <w:rPr>
          <w:rFonts w:eastAsiaTheme="minorHAnsi"/>
          <w:lang w:val="fr-FR" w:eastAsia="en-US"/>
        </w:rPr>
        <w:t>« 6.5.2.1.2</w:t>
      </w:r>
      <w:r w:rsidRPr="0042238A">
        <w:rPr>
          <w:rFonts w:eastAsiaTheme="minorHAnsi"/>
          <w:lang w:val="fr-FR" w:eastAsia="en-US"/>
        </w:rPr>
        <w:tab/>
        <w:t>Les GRV fabriqués avec des matières plastiques recyclée telles que définies au 1.2.1 doivent porter la marque "REC". Pour les GRV rigides, cette marque doit être placée à proximité des marques prescrites au 6.5.2.1.1. Pour le récipient intérieur des GRV composites, cette marque doit être placée à proximité des marques prescrites au 6.5.2.2.4. »</w:t>
      </w:r>
    </w:p>
    <w:p w14:paraId="3DBA4CFB" w14:textId="111F65E2" w:rsidR="00603307" w:rsidRPr="00CB71F9" w:rsidRDefault="00603307" w:rsidP="00603307">
      <w:pPr>
        <w:pStyle w:val="SingleTxtG"/>
        <w:ind w:left="2268"/>
        <w:rPr>
          <w:lang w:val="fr-FR"/>
        </w:rPr>
      </w:pPr>
      <w:r w:rsidRPr="00CB71F9">
        <w:rPr>
          <w:lang w:val="fr-FR"/>
        </w:rPr>
        <w:t>Renuméroter les 6.5.2.1.2 et 6.5.2.1.3 actuels en 6.5.2.1.3 et 6.5.2.1.4 respectivement.</w:t>
      </w:r>
    </w:p>
    <w:p w14:paraId="7C9456CE" w14:textId="7FB94654" w:rsidR="00CC6485" w:rsidRPr="00CB71F9" w:rsidRDefault="00CC6485" w:rsidP="00CC6485">
      <w:pPr>
        <w:tabs>
          <w:tab w:val="left" w:pos="2268"/>
        </w:tabs>
        <w:kinsoku/>
        <w:overflowPunct/>
        <w:autoSpaceDE/>
        <w:autoSpaceDN/>
        <w:adjustRightInd/>
        <w:snapToGrid/>
        <w:spacing w:after="120"/>
        <w:ind w:left="2268" w:right="1134" w:hanging="1134"/>
        <w:jc w:val="both"/>
        <w:rPr>
          <w:lang w:val="fr-FR" w:eastAsia="en-US"/>
        </w:rPr>
      </w:pPr>
      <w:r w:rsidRPr="00CB71F9">
        <w:rPr>
          <w:lang w:val="fr-FR" w:eastAsia="en-US"/>
        </w:rPr>
        <w:t>6.5.4.1</w:t>
      </w:r>
      <w:r w:rsidRPr="00CB71F9">
        <w:rPr>
          <w:lang w:val="fr-FR" w:eastAsia="en-US"/>
        </w:rPr>
        <w:tab/>
        <w:t>Dans le Nota, remplacer « ISO 16106:2006 » par « ISO 16106:2020 » et modifier le titre de la norme pour lire « Emballages de transport pour marchandises dangereuses – Emballages pour marchandises dangereuses, grands récipients pour vrac (GRV) et grands emballages – Lignes directrices pour l’application de la norme ISO. ».</w:t>
      </w:r>
    </w:p>
    <w:p w14:paraId="2B5AD866" w14:textId="77777777" w:rsidR="00CC7A90" w:rsidRPr="00CB71F9" w:rsidRDefault="00CC7A90" w:rsidP="00CC7A90">
      <w:pPr>
        <w:pStyle w:val="SingleTxtG"/>
        <w:spacing w:before="120"/>
        <w:ind w:left="2268" w:hanging="1134"/>
        <w:rPr>
          <w:lang w:val="fr-FR"/>
        </w:rPr>
      </w:pPr>
      <w:r w:rsidRPr="00CB71F9">
        <w:rPr>
          <w:lang w:val="fr-FR"/>
        </w:rPr>
        <w:t>6.5.5.3.2</w:t>
      </w:r>
      <w:r w:rsidRPr="00CB71F9">
        <w:rPr>
          <w:lang w:val="fr-FR"/>
        </w:rPr>
        <w:tab/>
        <w:t>Après la première phrase, ajouter la nouvelle phrase suivante : « Sauf pour les matières plastiques recyclées définies au 1.2.1, aucun matériau déjà utilisé, autre que les déchets, chutes ou matériaux rebroyés provenant du même procédé de fabrication, ne peut être employé. ».</w:t>
      </w:r>
    </w:p>
    <w:p w14:paraId="63B82673" w14:textId="77777777" w:rsidR="00CC7A90" w:rsidRPr="00CB71F9" w:rsidRDefault="00CC7A90" w:rsidP="00CC7A90">
      <w:pPr>
        <w:pStyle w:val="SingleTxtG"/>
        <w:spacing w:before="120"/>
        <w:ind w:left="2268" w:hanging="1134"/>
        <w:rPr>
          <w:lang w:val="fr-FR"/>
        </w:rPr>
      </w:pPr>
      <w:r w:rsidRPr="00CB71F9">
        <w:rPr>
          <w:lang w:val="fr-FR"/>
        </w:rPr>
        <w:t>6.5.5.3.5</w:t>
      </w:r>
      <w:r w:rsidRPr="00CB71F9">
        <w:rPr>
          <w:lang w:val="fr-FR"/>
        </w:rPr>
        <w:tab/>
        <w:t>Supprimer.</w:t>
      </w:r>
    </w:p>
    <w:p w14:paraId="09438E80" w14:textId="77777777" w:rsidR="00CC7A90" w:rsidRPr="0042238A" w:rsidRDefault="00CC7A90" w:rsidP="00CC7A90">
      <w:pPr>
        <w:pStyle w:val="SingleTxtG"/>
        <w:spacing w:before="120"/>
        <w:ind w:left="2268" w:hanging="1134"/>
        <w:rPr>
          <w:iCs/>
          <w:lang w:val="fr-FR"/>
        </w:rPr>
      </w:pPr>
      <w:r w:rsidRPr="00CB71F9">
        <w:rPr>
          <w:iCs/>
          <w:lang w:val="fr-FR"/>
        </w:rPr>
        <w:t>6.5.5.4.6</w:t>
      </w:r>
      <w:r w:rsidRPr="00CB71F9">
        <w:rPr>
          <w:iCs/>
          <w:lang w:val="fr-FR"/>
        </w:rPr>
        <w:tab/>
      </w:r>
      <w:r w:rsidRPr="00CB71F9">
        <w:rPr>
          <w:lang w:val="fr-FR"/>
        </w:rPr>
        <w:t>Après la première phrase, ajouter la nouvelle phrase suivante : « </w:t>
      </w:r>
      <w:r w:rsidRPr="0042238A">
        <w:rPr>
          <w:lang w:val="fr-FR"/>
        </w:rPr>
        <w:t>Sauf pour les matières plastiques recyclées définies au 1.2.1, aucun matériau déjà utilisé, autre que les déchets, chutes ou matériaux rebroyés provenant du même procédé de fabrication, ne peut être employé. ».</w:t>
      </w:r>
    </w:p>
    <w:p w14:paraId="49B9FBBB" w14:textId="6B531159" w:rsidR="00CC7A90" w:rsidRPr="0042238A" w:rsidRDefault="00CC7A90" w:rsidP="00CC7A90">
      <w:pPr>
        <w:pStyle w:val="SingleTxtG"/>
        <w:spacing w:before="120"/>
        <w:ind w:left="2268" w:hanging="1134"/>
        <w:rPr>
          <w:lang w:val="fr-FR"/>
        </w:rPr>
      </w:pPr>
      <w:r w:rsidRPr="0042238A">
        <w:rPr>
          <w:lang w:val="fr-FR"/>
        </w:rPr>
        <w:t>6.5.5.4.9</w:t>
      </w:r>
      <w:r w:rsidRPr="0042238A">
        <w:rPr>
          <w:lang w:val="fr-FR"/>
        </w:rPr>
        <w:tab/>
        <w:t>Supprimer.</w:t>
      </w:r>
    </w:p>
    <w:p w14:paraId="65501062" w14:textId="681C4619" w:rsidR="00613A82" w:rsidRPr="0042238A" w:rsidRDefault="00186701" w:rsidP="00CB71F9">
      <w:pPr>
        <w:pStyle w:val="SingleTxtG"/>
        <w:spacing w:before="120"/>
        <w:ind w:left="2268" w:hanging="1134"/>
        <w:rPr>
          <w:rFonts w:ascii="Segoe UI" w:hAnsi="Segoe UI" w:cs="Segoe UI"/>
          <w:sz w:val="21"/>
          <w:szCs w:val="21"/>
          <w:lang w:val="fr-FR"/>
        </w:rPr>
      </w:pPr>
      <w:r w:rsidRPr="0042238A">
        <w:rPr>
          <w:lang w:val="fr-FR"/>
        </w:rPr>
        <w:tab/>
      </w:r>
      <w:r w:rsidR="00613A82" w:rsidRPr="0042238A">
        <w:rPr>
          <w:lang w:val="fr-FR"/>
        </w:rPr>
        <w:t>Renuméroter le</w:t>
      </w:r>
      <w:r w:rsidR="00054843" w:rsidRPr="0042238A">
        <w:rPr>
          <w:lang w:val="fr-FR"/>
        </w:rPr>
        <w:t>s</w:t>
      </w:r>
      <w:r w:rsidR="00613A82" w:rsidRPr="0042238A">
        <w:rPr>
          <w:lang w:val="fr-FR"/>
        </w:rPr>
        <w:t xml:space="preserve"> 6.5.5.4.10 </w:t>
      </w:r>
      <w:r w:rsidR="00054843" w:rsidRPr="0042238A">
        <w:rPr>
          <w:lang w:val="fr-FR"/>
        </w:rPr>
        <w:t>à</w:t>
      </w:r>
      <w:r w:rsidR="00613A82" w:rsidRPr="0042238A">
        <w:rPr>
          <w:lang w:val="fr-FR"/>
        </w:rPr>
        <w:t xml:space="preserve"> 6.5.</w:t>
      </w:r>
      <w:r w:rsidR="00054843" w:rsidRPr="0042238A">
        <w:rPr>
          <w:lang w:val="fr-FR"/>
        </w:rPr>
        <w:t>5</w:t>
      </w:r>
      <w:r w:rsidR="00613A82" w:rsidRPr="0042238A">
        <w:rPr>
          <w:lang w:val="fr-FR"/>
        </w:rPr>
        <w:t xml:space="preserve">.4.26 </w:t>
      </w:r>
      <w:r w:rsidR="00054843" w:rsidRPr="0042238A">
        <w:rPr>
          <w:lang w:val="fr-FR"/>
        </w:rPr>
        <w:t xml:space="preserve">actuels en tant que </w:t>
      </w:r>
      <w:r w:rsidR="00613A82" w:rsidRPr="0042238A">
        <w:rPr>
          <w:lang w:val="fr-FR"/>
        </w:rPr>
        <w:t xml:space="preserve">6.5.5.4.9 </w:t>
      </w:r>
      <w:r w:rsidR="00054843" w:rsidRPr="0042238A">
        <w:rPr>
          <w:lang w:val="fr-FR"/>
        </w:rPr>
        <w:t>à</w:t>
      </w:r>
      <w:r w:rsidR="00613A82" w:rsidRPr="0042238A">
        <w:rPr>
          <w:lang w:val="fr-FR"/>
        </w:rPr>
        <w:t xml:space="preserve"> 6.5.</w:t>
      </w:r>
      <w:r w:rsidR="00054843" w:rsidRPr="0042238A">
        <w:rPr>
          <w:lang w:val="fr-FR"/>
        </w:rPr>
        <w:t>5</w:t>
      </w:r>
      <w:r w:rsidR="00613A82" w:rsidRPr="0042238A">
        <w:rPr>
          <w:lang w:val="fr-FR"/>
        </w:rPr>
        <w:t>.4.25.</w:t>
      </w:r>
    </w:p>
    <w:p w14:paraId="6CCD7E10" w14:textId="0F481212" w:rsidR="00613A82" w:rsidRPr="0042238A" w:rsidRDefault="00186701" w:rsidP="00186701">
      <w:pPr>
        <w:pStyle w:val="SingleTxtG"/>
        <w:spacing w:before="120"/>
        <w:ind w:left="2268" w:hanging="1134"/>
        <w:rPr>
          <w:lang w:val="fr-FR"/>
        </w:rPr>
      </w:pPr>
      <w:r w:rsidRPr="0042238A">
        <w:rPr>
          <w:lang w:val="fr-FR"/>
        </w:rPr>
        <w:tab/>
      </w:r>
      <w:r w:rsidR="00054843" w:rsidRPr="0042238A">
        <w:rPr>
          <w:lang w:val="fr-FR"/>
        </w:rPr>
        <w:t xml:space="preserve">Dans le </w:t>
      </w:r>
      <w:r w:rsidR="00385F7E" w:rsidRPr="0042238A">
        <w:rPr>
          <w:lang w:val="fr-FR"/>
        </w:rPr>
        <w:t xml:space="preserve">paragraphe renuméroté </w:t>
      </w:r>
      <w:r w:rsidR="00613A82" w:rsidRPr="0042238A">
        <w:rPr>
          <w:lang w:val="fr-FR"/>
        </w:rPr>
        <w:t xml:space="preserve">6.5.5.4.19, </w:t>
      </w:r>
      <w:r w:rsidR="00575B02" w:rsidRPr="0042238A">
        <w:rPr>
          <w:lang w:val="fr-FR"/>
        </w:rPr>
        <w:t>remplacer</w:t>
      </w:r>
      <w:r w:rsidR="00613A82" w:rsidRPr="0042238A">
        <w:rPr>
          <w:lang w:val="fr-FR"/>
        </w:rPr>
        <w:t xml:space="preserve"> </w:t>
      </w:r>
      <w:r w:rsidR="00575B02" w:rsidRPr="0042238A">
        <w:rPr>
          <w:lang w:val="fr-FR"/>
        </w:rPr>
        <w:t>« </w:t>
      </w:r>
      <w:r w:rsidR="00613A82" w:rsidRPr="0042238A">
        <w:rPr>
          <w:lang w:val="fr-FR"/>
        </w:rPr>
        <w:t>6.5.5.4.9</w:t>
      </w:r>
      <w:r w:rsidR="00575B02" w:rsidRPr="0042238A">
        <w:rPr>
          <w:lang w:val="fr-FR"/>
        </w:rPr>
        <w:t> » par « </w:t>
      </w:r>
      <w:r w:rsidR="00613A82" w:rsidRPr="0042238A">
        <w:rPr>
          <w:lang w:val="fr-FR"/>
        </w:rPr>
        <w:t>6.5.5.4.8</w:t>
      </w:r>
      <w:r w:rsidR="00575B02" w:rsidRPr="0042238A">
        <w:rPr>
          <w:lang w:val="fr-FR"/>
        </w:rPr>
        <w:t> »</w:t>
      </w:r>
      <w:r w:rsidR="00613A82" w:rsidRPr="0042238A">
        <w:rPr>
          <w:lang w:val="fr-FR"/>
        </w:rPr>
        <w:t>.</w:t>
      </w:r>
    </w:p>
    <w:p w14:paraId="510E15B2" w14:textId="77777777" w:rsidR="00A154F6" w:rsidRPr="00CB71F9" w:rsidRDefault="00A154F6" w:rsidP="00A154F6">
      <w:pPr>
        <w:pStyle w:val="H1G"/>
        <w:rPr>
          <w:lang w:val="fr-FR" w:eastAsia="en-US"/>
        </w:rPr>
      </w:pPr>
      <w:r w:rsidRPr="0042238A">
        <w:rPr>
          <w:lang w:val="fr-FR" w:eastAsia="en-US"/>
        </w:rPr>
        <w:tab/>
      </w:r>
      <w:r w:rsidRPr="0042238A">
        <w:rPr>
          <w:lang w:val="fr-FR" w:eastAsia="en-US"/>
        </w:rPr>
        <w:tab/>
      </w:r>
      <w:r w:rsidRPr="00CB71F9">
        <w:rPr>
          <w:lang w:val="fr-FR" w:eastAsia="en-US"/>
        </w:rPr>
        <w:t>Chapitre 6.6</w:t>
      </w:r>
    </w:p>
    <w:p w14:paraId="246321E3" w14:textId="77777777" w:rsidR="00A154F6" w:rsidRPr="00CB71F9" w:rsidRDefault="00A154F6" w:rsidP="00A154F6">
      <w:pPr>
        <w:tabs>
          <w:tab w:val="left" w:pos="2268"/>
        </w:tabs>
        <w:kinsoku/>
        <w:overflowPunct/>
        <w:autoSpaceDE/>
        <w:autoSpaceDN/>
        <w:adjustRightInd/>
        <w:snapToGrid/>
        <w:spacing w:after="120"/>
        <w:ind w:left="2268" w:right="1134" w:hanging="1134"/>
        <w:jc w:val="both"/>
        <w:rPr>
          <w:lang w:val="fr-FR" w:eastAsia="en-US"/>
        </w:rPr>
      </w:pPr>
      <w:r w:rsidRPr="00CB71F9">
        <w:rPr>
          <w:lang w:val="fr-FR" w:eastAsia="en-US"/>
        </w:rPr>
        <w:t>6.6.1.2</w:t>
      </w:r>
      <w:r w:rsidRPr="00CB71F9">
        <w:rPr>
          <w:lang w:val="fr-FR" w:eastAsia="en-US"/>
        </w:rPr>
        <w:tab/>
        <w:t>Dans le Nota, remplacer « ISO 16106:2006 » par « ISO 16106:2020 » et modifier le titre de la norme pour lire « Emballages de transport pour marchandises dangereuses – Emballages pour marchandises dangereuses, grands récipients pour vrac (GRV) et grands emballages – Lignes directrices pour l’application de la norme ISO. ».</w:t>
      </w:r>
    </w:p>
    <w:p w14:paraId="4B76C85C" w14:textId="77777777" w:rsidR="00A154F6" w:rsidRPr="0042238A" w:rsidRDefault="00A154F6" w:rsidP="00A154F6">
      <w:pPr>
        <w:pStyle w:val="SingleTxtG"/>
        <w:ind w:left="2268" w:hanging="1134"/>
        <w:rPr>
          <w:rFonts w:eastAsiaTheme="minorHAnsi"/>
          <w:lang w:val="fr-FR" w:eastAsia="en-US"/>
        </w:rPr>
      </w:pPr>
      <w:r w:rsidRPr="0042238A">
        <w:rPr>
          <w:lang w:val="fr-FR" w:eastAsia="en-US"/>
        </w:rPr>
        <w:t>6.6.1.3</w:t>
      </w:r>
      <w:r w:rsidRPr="0042238A">
        <w:rPr>
          <w:lang w:val="fr-FR" w:eastAsia="en-US"/>
        </w:rPr>
        <w:tab/>
      </w:r>
      <w:r w:rsidRPr="0042238A">
        <w:rPr>
          <w:lang w:val="fr-FR" w:eastAsia="en-US"/>
        </w:rPr>
        <w:tab/>
      </w:r>
      <w:r w:rsidRPr="0042238A">
        <w:rPr>
          <w:rFonts w:eastAsiaTheme="minorHAnsi"/>
          <w:lang w:val="fr-FR" w:eastAsia="en-US"/>
        </w:rPr>
        <w:t>Dans la deuxième phrase, remplacer « aux épreuves décrites » par « aux prescriptions décrites. ».</w:t>
      </w:r>
    </w:p>
    <w:p w14:paraId="11AD5D58" w14:textId="77777777" w:rsidR="00A154F6" w:rsidRPr="0042238A" w:rsidRDefault="00A154F6" w:rsidP="00A154F6">
      <w:pPr>
        <w:keepNext/>
        <w:keepLines/>
        <w:tabs>
          <w:tab w:val="right" w:pos="851"/>
        </w:tabs>
        <w:spacing w:before="360" w:after="240" w:line="270" w:lineRule="exact"/>
        <w:ind w:left="1134" w:right="1134" w:hanging="1134"/>
        <w:rPr>
          <w:b/>
          <w:sz w:val="24"/>
          <w:lang w:val="fr-FR"/>
        </w:rPr>
      </w:pPr>
      <w:r w:rsidRPr="0042238A">
        <w:rPr>
          <w:b/>
          <w:sz w:val="24"/>
          <w:lang w:val="fr-FR"/>
        </w:rPr>
        <w:tab/>
      </w:r>
      <w:r w:rsidRPr="0042238A">
        <w:rPr>
          <w:b/>
          <w:sz w:val="24"/>
          <w:lang w:val="fr-FR"/>
        </w:rPr>
        <w:tab/>
        <w:t>Chapitre 6.7</w:t>
      </w:r>
    </w:p>
    <w:p w14:paraId="3F597680" w14:textId="77777777" w:rsidR="005074BD" w:rsidRPr="0042238A" w:rsidRDefault="005074BD" w:rsidP="005074BD">
      <w:pPr>
        <w:pStyle w:val="SingleTxtG"/>
        <w:ind w:left="2268" w:hanging="1134"/>
        <w:rPr>
          <w:lang w:val="fr-FR"/>
        </w:rPr>
      </w:pPr>
      <w:r w:rsidRPr="0042238A">
        <w:rPr>
          <w:lang w:val="fr-FR"/>
        </w:rPr>
        <w:t>Ajouter un nouveau nota au début du chapitre 6.7, libellé comme suit :</w:t>
      </w:r>
    </w:p>
    <w:p w14:paraId="5278A23C" w14:textId="6153B789" w:rsidR="005074BD" w:rsidRPr="0042238A" w:rsidRDefault="005074BD" w:rsidP="00CB71F9">
      <w:pPr>
        <w:kinsoku/>
        <w:overflowPunct/>
        <w:autoSpaceDE/>
        <w:autoSpaceDN/>
        <w:adjustRightInd/>
        <w:snapToGrid/>
        <w:spacing w:after="120"/>
        <w:ind w:left="1134" w:right="1134"/>
        <w:jc w:val="both"/>
        <w:rPr>
          <w:lang w:val="fr-FR"/>
        </w:rPr>
      </w:pPr>
      <w:r w:rsidRPr="0042238A">
        <w:rPr>
          <w:lang w:val="fr-FR"/>
        </w:rPr>
        <w:t>« </w:t>
      </w:r>
      <w:r w:rsidRPr="00CB71F9">
        <w:rPr>
          <w:b/>
          <w:bCs/>
          <w:i/>
          <w:iCs/>
          <w:lang w:val="fr-FR"/>
        </w:rPr>
        <w:t>NOTA :</w:t>
      </w:r>
      <w:r w:rsidRPr="00CB71F9">
        <w:rPr>
          <w:i/>
          <w:iCs/>
          <w:lang w:val="fr-FR"/>
        </w:rPr>
        <w:t xml:space="preserve"> Les prescriptions du présent chapitre s’appliquent également aux citernes mobiles en matière plastique renforcée de fibres (PRF) dans les conditions indiquées au </w:t>
      </w:r>
      <w:r w:rsidRPr="0042238A">
        <w:rPr>
          <w:i/>
          <w:iCs/>
          <w:lang w:val="fr-FR"/>
        </w:rPr>
        <w:t>C</w:t>
      </w:r>
      <w:r w:rsidRPr="00CB71F9">
        <w:rPr>
          <w:i/>
          <w:iCs/>
          <w:lang w:val="fr-FR"/>
        </w:rPr>
        <w:t>hapitre 6.9.</w:t>
      </w:r>
      <w:r w:rsidRPr="0042238A">
        <w:rPr>
          <w:lang w:val="fr-FR"/>
        </w:rPr>
        <w:t> »</w:t>
      </w:r>
    </w:p>
    <w:p w14:paraId="42E2A973" w14:textId="07D005BC" w:rsidR="00A154F6" w:rsidRPr="0042238A" w:rsidRDefault="00A154F6" w:rsidP="005074BD">
      <w:pPr>
        <w:pStyle w:val="SingleTxtG"/>
        <w:ind w:left="2268" w:hanging="1134"/>
        <w:rPr>
          <w:lang w:val="fr-FR"/>
        </w:rPr>
      </w:pPr>
      <w:r w:rsidRPr="0042238A">
        <w:rPr>
          <w:lang w:val="fr-FR"/>
        </w:rPr>
        <w:t>6.7.3.8.1.1</w:t>
      </w:r>
      <w:r w:rsidRPr="0042238A">
        <w:rPr>
          <w:lang w:val="fr-FR"/>
        </w:rPr>
        <w:tab/>
        <w:t>Supprimer la note de bas de page 4 et renuméroter les notes de bas de page du chapitre 6.7 en conséquence. Ajouter un nouveau Nota à la fin de 6.7.3.8.1.1 avec le texte de cette note comme suit :</w:t>
      </w:r>
    </w:p>
    <w:p w14:paraId="0C8B6843" w14:textId="77777777" w:rsidR="00A154F6" w:rsidRPr="0042238A" w:rsidRDefault="00A154F6" w:rsidP="00A154F6">
      <w:pPr>
        <w:kinsoku/>
        <w:overflowPunct/>
        <w:autoSpaceDE/>
        <w:autoSpaceDN/>
        <w:adjustRightInd/>
        <w:snapToGrid/>
        <w:spacing w:after="120"/>
        <w:ind w:left="1134" w:right="1134"/>
        <w:jc w:val="both"/>
        <w:rPr>
          <w:lang w:val="fr-FR" w:eastAsia="en-US"/>
        </w:rPr>
      </w:pPr>
      <w:r w:rsidRPr="0042238A">
        <w:rPr>
          <w:lang w:val="fr-FR" w:eastAsia="en-US"/>
        </w:rPr>
        <w:lastRenderedPageBreak/>
        <w:t>« </w:t>
      </w:r>
      <w:r w:rsidRPr="0042238A">
        <w:rPr>
          <w:b/>
          <w:bCs/>
          <w:i/>
          <w:iCs/>
          <w:lang w:val="fr-FR" w:eastAsia="en-US"/>
        </w:rPr>
        <w:t>NOTA :</w:t>
      </w:r>
      <w:r w:rsidRPr="0042238A">
        <w:rPr>
          <w:i/>
          <w:iCs/>
          <w:lang w:val="fr-FR" w:eastAsia="en-US"/>
        </w:rPr>
        <w:t xml:space="preserve"> Cette formule ne s’applique qu’aux gaz liquéfiés non réfrigérés dont la température critique est bien supérieure à la température à la condition d’accumulation. Pour les gaz qui ont des températures critiques proches de la température à la condition d’accumulation ou inférieure à celle-ci, le calcul du débit combiné des dispositifs de décompression doit tenir compte des autres propriétés thermodynamiques du gaz (voir par exemple CGA S-1.2-2003 “Pressure Relief </w:t>
      </w:r>
      <w:proofErr w:type="spellStart"/>
      <w:r w:rsidRPr="0042238A">
        <w:rPr>
          <w:i/>
          <w:iCs/>
          <w:lang w:val="fr-FR" w:eastAsia="en-US"/>
        </w:rPr>
        <w:t>Device</w:t>
      </w:r>
      <w:proofErr w:type="spellEnd"/>
      <w:r w:rsidRPr="0042238A">
        <w:rPr>
          <w:i/>
          <w:iCs/>
          <w:lang w:val="fr-FR" w:eastAsia="en-US"/>
        </w:rPr>
        <w:t xml:space="preserve"> Standards − Part 2 − Cargo and Portable Tanks for Compressed </w:t>
      </w:r>
      <w:proofErr w:type="spellStart"/>
      <w:r w:rsidRPr="0042238A">
        <w:rPr>
          <w:i/>
          <w:iCs/>
          <w:lang w:val="fr-FR" w:eastAsia="en-US"/>
        </w:rPr>
        <w:t>Gases</w:t>
      </w:r>
      <w:proofErr w:type="spellEnd"/>
      <w:r w:rsidRPr="0042238A">
        <w:rPr>
          <w:i/>
          <w:iCs/>
          <w:lang w:val="fr-FR" w:eastAsia="en-US"/>
        </w:rPr>
        <w:t>”).</w:t>
      </w:r>
      <w:r w:rsidRPr="0042238A">
        <w:rPr>
          <w:lang w:val="fr-FR" w:eastAsia="en-US"/>
        </w:rPr>
        <w:t> ».</w:t>
      </w:r>
    </w:p>
    <w:p w14:paraId="12626C06" w14:textId="3523124F" w:rsidR="00262B77" w:rsidRPr="0042238A" w:rsidRDefault="00262B77" w:rsidP="00262B77">
      <w:pPr>
        <w:keepNext/>
        <w:keepLines/>
        <w:tabs>
          <w:tab w:val="right" w:pos="851"/>
        </w:tabs>
        <w:spacing w:before="360" w:after="240" w:line="270" w:lineRule="exact"/>
        <w:ind w:left="1134" w:right="1134" w:hanging="1134"/>
        <w:rPr>
          <w:b/>
          <w:sz w:val="24"/>
          <w:lang w:val="fr-FR"/>
        </w:rPr>
      </w:pPr>
      <w:r w:rsidRPr="0042238A">
        <w:rPr>
          <w:b/>
          <w:sz w:val="24"/>
          <w:lang w:val="fr-FR"/>
        </w:rPr>
        <w:tab/>
      </w:r>
      <w:r w:rsidRPr="0042238A">
        <w:rPr>
          <w:b/>
          <w:sz w:val="24"/>
          <w:lang w:val="fr-FR"/>
        </w:rPr>
        <w:tab/>
        <w:t>Chapitre 6.9</w:t>
      </w:r>
    </w:p>
    <w:p w14:paraId="28DE47E3" w14:textId="77777777" w:rsidR="0039366F" w:rsidRPr="0042238A" w:rsidRDefault="0039366F" w:rsidP="0039366F">
      <w:pPr>
        <w:tabs>
          <w:tab w:val="left" w:pos="1701"/>
          <w:tab w:val="left" w:pos="2268"/>
          <w:tab w:val="left" w:pos="2835"/>
        </w:tabs>
        <w:spacing w:after="120"/>
        <w:ind w:left="1134" w:right="1134"/>
        <w:jc w:val="both"/>
        <w:rPr>
          <w:rFonts w:eastAsiaTheme="minorHAnsi"/>
          <w:b/>
          <w:bCs/>
          <w:lang w:val="fr-FR" w:eastAsia="en-US"/>
        </w:rPr>
      </w:pPr>
      <w:r w:rsidRPr="0042238A">
        <w:rPr>
          <w:rFonts w:eastAsiaTheme="minorHAnsi"/>
          <w:lang w:val="fr-FR" w:eastAsia="en-US"/>
        </w:rPr>
        <w:t>À la suite de l’actuel chapitre 6.8, ajouter un nouveau chapitre 6.9, libellé comme suit :</w:t>
      </w:r>
    </w:p>
    <w:p w14:paraId="72788749" w14:textId="70ADFAAE" w:rsidR="0039366F" w:rsidRPr="00CB71F9" w:rsidRDefault="0039366F" w:rsidP="00AE30DB">
      <w:pPr>
        <w:pStyle w:val="SingleTxtG"/>
        <w:tabs>
          <w:tab w:val="center" w:pos="4820"/>
        </w:tabs>
        <w:rPr>
          <w:rFonts w:eastAsiaTheme="minorHAnsi"/>
          <w:b/>
          <w:bCs/>
          <w:lang w:val="fr-FR"/>
        </w:rPr>
      </w:pPr>
      <w:r w:rsidRPr="00CB71F9">
        <w:rPr>
          <w:rFonts w:eastAsiaTheme="minorHAnsi"/>
          <w:lang w:val="fr-FR"/>
        </w:rPr>
        <w:t>« </w:t>
      </w:r>
      <w:r w:rsidR="001D65D8" w:rsidRPr="00CB71F9">
        <w:rPr>
          <w:rFonts w:eastAsiaTheme="minorHAnsi"/>
          <w:lang w:val="fr-FR"/>
        </w:rPr>
        <w:tab/>
      </w:r>
      <w:r w:rsidRPr="00CB71F9">
        <w:rPr>
          <w:rFonts w:eastAsiaTheme="minorHAnsi"/>
          <w:b/>
          <w:bCs/>
          <w:lang w:val="fr-FR"/>
        </w:rPr>
        <w:t>Chapitre 6.9</w:t>
      </w:r>
    </w:p>
    <w:p w14:paraId="14EAE1BA" w14:textId="31ED8C0E" w:rsidR="0039366F" w:rsidRPr="00CB71F9" w:rsidRDefault="0039366F" w:rsidP="00AE30DB">
      <w:pPr>
        <w:pStyle w:val="SingleTxtG"/>
        <w:jc w:val="center"/>
        <w:rPr>
          <w:rFonts w:eastAsiaTheme="minorHAnsi"/>
          <w:b/>
          <w:bCs/>
          <w:lang w:val="fr-FR"/>
        </w:rPr>
      </w:pPr>
      <w:r w:rsidRPr="00CB71F9">
        <w:rPr>
          <w:rFonts w:eastAsiaTheme="minorHAnsi"/>
          <w:b/>
          <w:bCs/>
          <w:lang w:val="fr-FR"/>
        </w:rPr>
        <w:t>Prescriptions relatives à la conception et à la construction des citernes mobiles dont les réservoirs sont en matière plastique renforcée de fibres (PRF) et aux contrôles et épreuves qu’elles doivent subir</w:t>
      </w:r>
    </w:p>
    <w:p w14:paraId="11E246C2" w14:textId="77777777" w:rsidR="0039366F" w:rsidRPr="0042238A" w:rsidRDefault="0039366F" w:rsidP="0039366F">
      <w:pPr>
        <w:keepNext/>
        <w:keepLines/>
        <w:tabs>
          <w:tab w:val="right" w:pos="851"/>
        </w:tabs>
        <w:spacing w:before="240" w:after="120" w:line="240" w:lineRule="exact"/>
        <w:ind w:left="2268" w:right="1134" w:hanging="1134"/>
        <w:outlineLvl w:val="3"/>
        <w:rPr>
          <w:rFonts w:eastAsiaTheme="minorHAnsi"/>
          <w:b/>
          <w:lang w:val="fr-FR" w:eastAsia="en-US"/>
        </w:rPr>
      </w:pPr>
      <w:r w:rsidRPr="0042238A">
        <w:rPr>
          <w:rFonts w:eastAsiaTheme="minorHAnsi"/>
          <w:b/>
          <w:bCs/>
          <w:lang w:val="fr-FR" w:eastAsia="en-US"/>
        </w:rPr>
        <w:t>6.9.1</w:t>
      </w:r>
      <w:r w:rsidRPr="0042238A">
        <w:rPr>
          <w:rFonts w:eastAsiaTheme="minorHAnsi"/>
          <w:b/>
          <w:bCs/>
          <w:lang w:val="fr-FR" w:eastAsia="en-US"/>
        </w:rPr>
        <w:tab/>
      </w:r>
      <w:r w:rsidRPr="0042238A">
        <w:rPr>
          <w:rFonts w:eastAsiaTheme="minorHAnsi"/>
          <w:b/>
          <w:bCs/>
          <w:lang w:val="fr-FR" w:eastAsia="en-US"/>
        </w:rPr>
        <w:tab/>
        <w:t>Domaine d’a</w:t>
      </w:r>
      <w:r w:rsidRPr="0042238A">
        <w:rPr>
          <w:rFonts w:eastAsiaTheme="minorHAnsi"/>
          <w:b/>
          <w:lang w:val="fr-FR" w:eastAsia="en-US"/>
        </w:rPr>
        <w:t>pplication et prescriptions générales</w:t>
      </w:r>
    </w:p>
    <w:p w14:paraId="30C13E12" w14:textId="77777777" w:rsidR="0039366F" w:rsidRPr="00CB71F9" w:rsidRDefault="0039366F" w:rsidP="0039366F">
      <w:pPr>
        <w:tabs>
          <w:tab w:val="left" w:pos="1701"/>
          <w:tab w:val="left" w:pos="2268"/>
          <w:tab w:val="left" w:pos="2835"/>
        </w:tabs>
        <w:spacing w:after="120"/>
        <w:ind w:left="1134" w:right="1134"/>
        <w:jc w:val="both"/>
        <w:rPr>
          <w:rFonts w:eastAsiaTheme="minorHAnsi"/>
          <w:lang w:val="fr-FR" w:eastAsia="en-US"/>
        </w:rPr>
      </w:pPr>
      <w:r w:rsidRPr="00CB71F9">
        <w:rPr>
          <w:rFonts w:eastAsiaTheme="minorHAnsi"/>
          <w:lang w:val="fr-FR" w:eastAsia="en-US"/>
        </w:rPr>
        <w:t>6.9.1.1</w:t>
      </w:r>
      <w:r w:rsidRPr="00CB71F9">
        <w:rPr>
          <w:rFonts w:eastAsiaTheme="minorHAnsi"/>
          <w:lang w:val="fr-FR" w:eastAsia="en-US"/>
        </w:rPr>
        <w:tab/>
      </w:r>
      <w:r w:rsidRPr="00CB71F9">
        <w:rPr>
          <w:rFonts w:eastAsiaTheme="minorHAnsi"/>
          <w:lang w:val="fr-FR" w:eastAsia="en-US"/>
        </w:rPr>
        <w:tab/>
        <w:t>Les prescriptions de la section 6.9.2 s’appliquent aux citernes mobiles à réservoir en PRF destinées au transport des marchandises dangereuses des classes ou divisions 1, 3, 5.1, 6.1, 6.2, 8 et 9, par tous les modes de transport. Outre les prescriptions formulées dans le présent chapitre, et sauf indication contraire, les prescriptions applicables énoncées dans la Convention internationale sur la sécurité des conteneurs (CSC) de 1972, telle que modifiée, doivent être remplies par toute citerne mobile multimodale en PRF répondant à la définition du « conteneur » aux termes de cette Convention.</w:t>
      </w:r>
    </w:p>
    <w:p w14:paraId="0076F7DC" w14:textId="77777777" w:rsidR="0039366F" w:rsidRPr="00CB71F9" w:rsidRDefault="0039366F" w:rsidP="0039366F">
      <w:pPr>
        <w:tabs>
          <w:tab w:val="left" w:pos="1701"/>
          <w:tab w:val="left" w:pos="2268"/>
          <w:tab w:val="left" w:pos="2835"/>
        </w:tabs>
        <w:spacing w:after="120"/>
        <w:ind w:left="1134" w:right="1134"/>
        <w:jc w:val="both"/>
        <w:rPr>
          <w:rFonts w:eastAsiaTheme="minorHAnsi"/>
          <w:lang w:val="fr-FR" w:eastAsia="en-US"/>
        </w:rPr>
      </w:pPr>
      <w:r w:rsidRPr="00CB71F9">
        <w:rPr>
          <w:rFonts w:eastAsiaTheme="minorHAnsi"/>
          <w:lang w:val="fr-FR" w:eastAsia="en-US"/>
        </w:rPr>
        <w:t>6.9.1.2</w:t>
      </w:r>
      <w:r w:rsidRPr="00CB71F9">
        <w:rPr>
          <w:rFonts w:eastAsiaTheme="minorHAnsi"/>
          <w:lang w:val="fr-FR" w:eastAsia="en-US"/>
        </w:rPr>
        <w:tab/>
      </w:r>
      <w:r w:rsidRPr="00CB71F9">
        <w:rPr>
          <w:rFonts w:eastAsiaTheme="minorHAnsi"/>
          <w:lang w:val="fr-FR" w:eastAsia="en-US"/>
        </w:rPr>
        <w:tab/>
        <w:t>Les prescriptions du présent chapitre ne s’appliquent pas aux citernes mobiles offshore.</w:t>
      </w:r>
    </w:p>
    <w:p w14:paraId="6F0F52B0" w14:textId="77777777" w:rsidR="0039366F" w:rsidRPr="00CB71F9" w:rsidRDefault="0039366F" w:rsidP="0039366F">
      <w:pPr>
        <w:tabs>
          <w:tab w:val="left" w:pos="1701"/>
          <w:tab w:val="left" w:pos="2268"/>
          <w:tab w:val="left" w:pos="2835"/>
        </w:tabs>
        <w:spacing w:after="120"/>
        <w:ind w:left="1134" w:right="1134"/>
        <w:jc w:val="both"/>
        <w:rPr>
          <w:rFonts w:eastAsiaTheme="minorHAnsi"/>
          <w:lang w:val="fr-FR" w:eastAsia="en-US"/>
        </w:rPr>
      </w:pPr>
      <w:r w:rsidRPr="00CB71F9">
        <w:rPr>
          <w:rFonts w:eastAsiaTheme="minorHAnsi"/>
          <w:lang w:val="fr-FR" w:eastAsia="en-US"/>
        </w:rPr>
        <w:t>6.9.1.3</w:t>
      </w:r>
      <w:r w:rsidRPr="00CB71F9">
        <w:rPr>
          <w:rFonts w:eastAsiaTheme="minorHAnsi"/>
          <w:lang w:val="fr-FR" w:eastAsia="en-US"/>
        </w:rPr>
        <w:tab/>
      </w:r>
      <w:r w:rsidRPr="00CB71F9">
        <w:rPr>
          <w:rFonts w:eastAsiaTheme="minorHAnsi"/>
          <w:lang w:val="fr-FR" w:eastAsia="en-US"/>
        </w:rPr>
        <w:tab/>
        <w:t>Les prescriptions du chapitre 4.2 et de la section 6.7.2 s’appliquent aux réservoirs de citernes mobiles en PRF, à l’exception de celles qui sont relatives à l’utilisation de matériaux métalliques pour la construction du réservoir d’une citerne mobile et des prescriptions supplémentaires énoncées dans le présent chapitre.</w:t>
      </w:r>
    </w:p>
    <w:p w14:paraId="39E42ABE" w14:textId="77777777" w:rsidR="0039366F" w:rsidRPr="00CB71F9" w:rsidRDefault="0039366F" w:rsidP="0039366F">
      <w:pPr>
        <w:tabs>
          <w:tab w:val="left" w:pos="1701"/>
          <w:tab w:val="left" w:pos="2268"/>
          <w:tab w:val="left" w:pos="2835"/>
        </w:tabs>
        <w:spacing w:after="120"/>
        <w:ind w:left="1134" w:right="1134"/>
        <w:jc w:val="both"/>
        <w:rPr>
          <w:rFonts w:eastAsiaTheme="minorHAnsi"/>
          <w:lang w:val="fr-FR" w:eastAsia="en-US"/>
        </w:rPr>
      </w:pPr>
      <w:r w:rsidRPr="00CB71F9">
        <w:rPr>
          <w:rFonts w:eastAsiaTheme="minorHAnsi"/>
          <w:lang w:val="fr-FR" w:eastAsia="en-US"/>
        </w:rPr>
        <w:t>6.9.1.4</w:t>
      </w:r>
      <w:r w:rsidRPr="00CB71F9">
        <w:rPr>
          <w:rFonts w:eastAsiaTheme="minorHAnsi"/>
          <w:lang w:val="fr-FR" w:eastAsia="en-US"/>
        </w:rPr>
        <w:tab/>
      </w:r>
      <w:r w:rsidRPr="00CB71F9">
        <w:rPr>
          <w:rFonts w:eastAsiaTheme="minorHAnsi"/>
          <w:lang w:val="fr-FR" w:eastAsia="en-US"/>
        </w:rPr>
        <w:tab/>
        <w:t xml:space="preserve">Pour tenir compte du progrès scientifique et technique, les prescriptions techniques du présent chapitre pourront être remplacées par d’autres prescriptions (arrangements alternatifs) qui devront offrir un niveau de sécurité au moins égal à celui des prescriptions du présent chapitre quant à la compatibilité avec les matières transportées et la capacité de la citerne mobile </w:t>
      </w:r>
      <w:bookmarkStart w:id="8" w:name="_Hlk43470751"/>
      <w:r w:rsidRPr="00CB71F9">
        <w:rPr>
          <w:rFonts w:eastAsiaTheme="minorHAnsi"/>
          <w:lang w:val="fr-FR" w:eastAsia="en-US"/>
        </w:rPr>
        <w:t xml:space="preserve">en PRF </w:t>
      </w:r>
      <w:bookmarkEnd w:id="8"/>
      <w:r w:rsidRPr="00CB71F9">
        <w:rPr>
          <w:rFonts w:eastAsiaTheme="minorHAnsi"/>
          <w:lang w:val="fr-FR" w:eastAsia="en-US"/>
        </w:rPr>
        <w:t>à résister aux chocs, aux charges et au feu. En cas de transport international, les citernes mobiles en PRF construites selon ces arrangements alternatifs devront être agréées par les autorités compétentes.</w:t>
      </w:r>
    </w:p>
    <w:p w14:paraId="01488355" w14:textId="77777777" w:rsidR="0039366F" w:rsidRPr="00CB71F9" w:rsidRDefault="0039366F" w:rsidP="0039366F">
      <w:pPr>
        <w:keepNext/>
        <w:keepLines/>
        <w:tabs>
          <w:tab w:val="right" w:pos="851"/>
        </w:tabs>
        <w:spacing w:before="240" w:after="120" w:line="240" w:lineRule="exact"/>
        <w:ind w:left="1134" w:right="1134"/>
        <w:outlineLvl w:val="3"/>
        <w:rPr>
          <w:rFonts w:eastAsiaTheme="minorHAnsi"/>
          <w:b/>
          <w:lang w:val="fr-FR" w:eastAsia="en-US"/>
        </w:rPr>
      </w:pPr>
      <w:r w:rsidRPr="00CB71F9">
        <w:rPr>
          <w:rFonts w:eastAsiaTheme="minorHAnsi"/>
          <w:b/>
          <w:lang w:val="fr-FR" w:eastAsia="en-US"/>
        </w:rPr>
        <w:t>6.9.2</w:t>
      </w:r>
      <w:r w:rsidRPr="00CB71F9">
        <w:rPr>
          <w:rFonts w:eastAsiaTheme="minorHAnsi"/>
          <w:b/>
          <w:lang w:val="fr-FR" w:eastAsia="en-US"/>
        </w:rPr>
        <w:tab/>
      </w:r>
      <w:r w:rsidRPr="00CB71F9">
        <w:rPr>
          <w:rFonts w:eastAsiaTheme="minorHAnsi"/>
          <w:b/>
          <w:lang w:val="fr-FR" w:eastAsia="en-US"/>
        </w:rPr>
        <w:tab/>
        <w:t>Prescriptions relatives à la conception et à la construction des citernes mobiles en PRF et aux contrôles et épreuves qu’elles doivent subir</w:t>
      </w:r>
    </w:p>
    <w:p w14:paraId="55E31238" w14:textId="77777777" w:rsidR="0039366F" w:rsidRPr="00CB71F9" w:rsidRDefault="0039366F" w:rsidP="0039366F">
      <w:pPr>
        <w:keepNext/>
        <w:keepLines/>
        <w:tabs>
          <w:tab w:val="right" w:pos="851"/>
        </w:tabs>
        <w:spacing w:before="240" w:after="120" w:line="240" w:lineRule="exact"/>
        <w:ind w:left="2268" w:right="1134" w:hanging="1134"/>
        <w:outlineLvl w:val="3"/>
        <w:rPr>
          <w:rFonts w:eastAsiaTheme="minorHAnsi"/>
          <w:b/>
          <w:lang w:val="fr-FR" w:eastAsia="en-US"/>
        </w:rPr>
      </w:pPr>
      <w:r w:rsidRPr="00CB71F9">
        <w:rPr>
          <w:rFonts w:eastAsiaTheme="minorHAnsi"/>
          <w:b/>
          <w:lang w:val="fr-FR" w:eastAsia="en-US"/>
        </w:rPr>
        <w:t>6.9.2.1</w:t>
      </w:r>
      <w:r w:rsidRPr="00CB71F9">
        <w:rPr>
          <w:rFonts w:eastAsiaTheme="minorHAnsi"/>
          <w:b/>
          <w:lang w:val="fr-FR" w:eastAsia="en-US"/>
        </w:rPr>
        <w:tab/>
      </w:r>
      <w:r w:rsidRPr="00CB71F9">
        <w:rPr>
          <w:rFonts w:eastAsiaTheme="minorHAnsi"/>
          <w:b/>
          <w:lang w:val="fr-FR" w:eastAsia="en-US"/>
        </w:rPr>
        <w:tab/>
      </w:r>
      <w:r w:rsidRPr="00CB71F9">
        <w:rPr>
          <w:rFonts w:eastAsiaTheme="minorHAnsi"/>
          <w:b/>
          <w:i/>
          <w:iCs/>
          <w:lang w:val="fr-FR" w:eastAsia="en-US"/>
        </w:rPr>
        <w:t>Définitions</w:t>
      </w:r>
    </w:p>
    <w:p w14:paraId="033ECCFC" w14:textId="77777777" w:rsidR="0039366F" w:rsidRPr="00CB71F9" w:rsidRDefault="0039366F" w:rsidP="0039366F">
      <w:pPr>
        <w:tabs>
          <w:tab w:val="left" w:pos="1701"/>
          <w:tab w:val="left" w:pos="2268"/>
          <w:tab w:val="left" w:pos="2835"/>
        </w:tabs>
        <w:spacing w:after="120"/>
        <w:ind w:left="1134" w:right="1134"/>
        <w:jc w:val="both"/>
        <w:rPr>
          <w:rFonts w:eastAsiaTheme="minorHAnsi"/>
          <w:lang w:val="fr-FR" w:eastAsia="en-US"/>
        </w:rPr>
      </w:pPr>
      <w:r w:rsidRPr="00CB71F9">
        <w:rPr>
          <w:rFonts w:eastAsiaTheme="minorHAnsi"/>
          <w:lang w:val="fr-FR" w:eastAsia="en-US"/>
        </w:rPr>
        <w:t>Aux fins de la présente section, les définitions du 6.7.2.1 s’appliquent à la construction du réservoir d’une citerne mobile, sauf en ce qui concerne les définitions relatives aux matériaux métalliques (« acier à grain fin », « acier doux » et « acier de référence »).</w:t>
      </w:r>
    </w:p>
    <w:p w14:paraId="1B4A87F0" w14:textId="77777777" w:rsidR="0039366F" w:rsidRPr="00CB71F9" w:rsidRDefault="0039366F" w:rsidP="0039366F">
      <w:pPr>
        <w:tabs>
          <w:tab w:val="left" w:pos="1701"/>
          <w:tab w:val="left" w:pos="2268"/>
          <w:tab w:val="left" w:pos="2835"/>
        </w:tabs>
        <w:spacing w:after="120"/>
        <w:ind w:left="1134" w:right="1134"/>
        <w:jc w:val="both"/>
        <w:rPr>
          <w:rFonts w:eastAsiaTheme="minorHAnsi"/>
          <w:lang w:val="fr-FR" w:eastAsia="en-US"/>
        </w:rPr>
      </w:pPr>
      <w:r w:rsidRPr="00CB71F9">
        <w:rPr>
          <w:rFonts w:eastAsiaTheme="minorHAnsi"/>
          <w:lang w:val="fr-FR" w:eastAsia="en-US"/>
        </w:rPr>
        <w:t>En outre, les définitions suivantes s’appliquent aux citernes mobiles à réservoir en PRF. On entend par :</w:t>
      </w:r>
    </w:p>
    <w:p w14:paraId="154DB1FF"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i/>
          <w:lang w:val="fr-FR" w:eastAsia="en-US"/>
        </w:rPr>
        <w:t>C</w:t>
      </w:r>
      <w:r w:rsidRPr="0042238A">
        <w:rPr>
          <w:rFonts w:eastAsiaTheme="minorHAnsi"/>
          <w:i/>
          <w:iCs/>
          <w:lang w:val="fr-FR" w:eastAsia="en-US"/>
        </w:rPr>
        <w:t>ouche externe</w:t>
      </w:r>
      <w:r w:rsidRPr="0042238A">
        <w:rPr>
          <w:rFonts w:eastAsiaTheme="minorHAnsi"/>
          <w:lang w:val="fr-FR" w:eastAsia="en-US"/>
        </w:rPr>
        <w:t>, la partie du réservoir qui est directement exposée à l’atmosphère ;</w:t>
      </w:r>
    </w:p>
    <w:p w14:paraId="60B249C5"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i/>
          <w:iCs/>
          <w:lang w:val="fr-FR" w:eastAsia="en-US"/>
        </w:rPr>
        <w:t>Matière plastique renforcée de fibres (PRF)</w:t>
      </w:r>
      <w:bookmarkStart w:id="9" w:name="_Hlk52829571"/>
      <w:r w:rsidRPr="0042238A">
        <w:rPr>
          <w:rFonts w:eastAsiaTheme="minorHAnsi"/>
          <w:lang w:val="fr-FR" w:eastAsia="en-US"/>
        </w:rPr>
        <w:t xml:space="preserve">, </w:t>
      </w:r>
      <w:bookmarkEnd w:id="9"/>
      <w:r w:rsidRPr="0042238A">
        <w:rPr>
          <w:rFonts w:eastAsiaTheme="minorHAnsi"/>
          <w:lang w:val="fr-FR" w:eastAsia="en-US"/>
        </w:rPr>
        <w:t>un matériau constitué d’un renforcement fibreux ou particulaire contenu dans un matériau polymère thermodurcissable ou thermoplastique (matrice) ;</w:t>
      </w:r>
    </w:p>
    <w:p w14:paraId="32C4E502"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i/>
          <w:iCs/>
          <w:lang w:val="fr-FR" w:eastAsia="en-US"/>
        </w:rPr>
        <w:t>Enroulement filamentaire</w:t>
      </w:r>
      <w:r w:rsidRPr="0042238A">
        <w:rPr>
          <w:rFonts w:eastAsiaTheme="minorHAnsi"/>
          <w:lang w:val="fr-FR" w:eastAsia="en-US"/>
        </w:rPr>
        <w:t>,</w:t>
      </w:r>
      <w:r w:rsidRPr="0042238A">
        <w:rPr>
          <w:rFonts w:eastAsiaTheme="minorHAnsi"/>
          <w:i/>
          <w:iCs/>
          <w:lang w:val="fr-FR" w:eastAsia="en-US"/>
        </w:rPr>
        <w:t xml:space="preserve"> </w:t>
      </w:r>
      <w:r w:rsidRPr="0042238A">
        <w:rPr>
          <w:rFonts w:eastAsiaTheme="minorHAnsi"/>
          <w:lang w:val="fr-FR" w:eastAsia="en-US"/>
        </w:rPr>
        <w:t xml:space="preserve">un procédé de construction de structures en PRF dans lequel des éléments de renfort continus (filaments, bandes, ou autres), imprégnés d’une matrice, soit </w:t>
      </w:r>
      <w:r w:rsidRPr="0042238A">
        <w:rPr>
          <w:rFonts w:eastAsiaTheme="minorHAnsi"/>
          <w:lang w:val="fr-FR" w:eastAsia="en-US"/>
        </w:rPr>
        <w:lastRenderedPageBreak/>
        <w:t>avant soit pendant l’enroulement, sont placés sur un moule ou un mandrin rotatif. Le moule est généralement une surface de révolution qui peut avoir des fonds ;</w:t>
      </w:r>
    </w:p>
    <w:p w14:paraId="46923A6B"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i/>
          <w:iCs/>
          <w:lang w:val="fr-FR" w:eastAsia="en-US"/>
        </w:rPr>
        <w:t>Réservoir en PRF</w:t>
      </w:r>
      <w:r w:rsidRPr="0042238A">
        <w:rPr>
          <w:rFonts w:eastAsiaTheme="minorHAnsi"/>
          <w:lang w:val="fr-FR" w:eastAsia="en-US"/>
        </w:rPr>
        <w:t>, un élément étanche de forme cylindrique dont le volume intérieur est destiné au stockage et au transport de produits chimiques ;</w:t>
      </w:r>
    </w:p>
    <w:p w14:paraId="72D7F9A7"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i/>
          <w:iCs/>
          <w:lang w:val="fr-FR" w:eastAsia="en-US"/>
        </w:rPr>
        <w:t>Citerne en PRF</w:t>
      </w:r>
      <w:r w:rsidRPr="0042238A">
        <w:rPr>
          <w:rFonts w:eastAsiaTheme="minorHAnsi"/>
          <w:lang w:val="fr-FR" w:eastAsia="en-US"/>
        </w:rPr>
        <w:t>, une citerne construite avec un réservoir en PRF</w:t>
      </w:r>
      <w:r w:rsidRPr="0042238A">
        <w:rPr>
          <w:rFonts w:eastAsiaTheme="minorHAnsi"/>
          <w:i/>
          <w:iCs/>
          <w:lang w:val="fr-FR" w:eastAsia="en-US"/>
        </w:rPr>
        <w:t xml:space="preserve">, </w:t>
      </w:r>
      <w:r w:rsidRPr="0042238A">
        <w:rPr>
          <w:rFonts w:eastAsiaTheme="minorHAnsi"/>
          <w:lang w:val="fr-FR" w:eastAsia="en-US"/>
        </w:rPr>
        <w:t>comportant des fonds, des équipements de service, des dispositifs de décompression et d’autres équipements ;</w:t>
      </w:r>
    </w:p>
    <w:p w14:paraId="62917340" w14:textId="77777777" w:rsidR="0039366F" w:rsidRPr="0042238A" w:rsidRDefault="0039366F" w:rsidP="0039366F">
      <w:pPr>
        <w:tabs>
          <w:tab w:val="left" w:pos="1701"/>
          <w:tab w:val="left" w:pos="2268"/>
          <w:tab w:val="left" w:pos="2835"/>
        </w:tabs>
        <w:spacing w:after="120"/>
        <w:ind w:left="1134" w:right="1134"/>
        <w:jc w:val="both"/>
        <w:rPr>
          <w:rFonts w:eastAsiaTheme="minorHAnsi"/>
          <w:i/>
          <w:iCs/>
          <w:lang w:val="fr-FR" w:eastAsia="en-US"/>
        </w:rPr>
      </w:pPr>
      <w:r w:rsidRPr="0042238A">
        <w:rPr>
          <w:rFonts w:eastAsiaTheme="minorHAnsi"/>
          <w:i/>
          <w:iCs/>
          <w:lang w:val="fr-FR" w:eastAsia="en-US"/>
        </w:rPr>
        <w:t>Température de transition vitreuse (Tg)</w:t>
      </w:r>
      <w:r w:rsidRPr="0042238A">
        <w:rPr>
          <w:rFonts w:eastAsiaTheme="minorHAnsi"/>
          <w:lang w:val="fr-FR" w:eastAsia="en-US"/>
        </w:rPr>
        <w:t>,</w:t>
      </w:r>
      <w:r w:rsidRPr="0042238A">
        <w:rPr>
          <w:rFonts w:eastAsiaTheme="minorHAnsi"/>
          <w:i/>
          <w:iCs/>
          <w:lang w:val="fr-FR" w:eastAsia="en-US"/>
        </w:rPr>
        <w:t xml:space="preserve"> </w:t>
      </w:r>
      <w:r w:rsidRPr="0042238A">
        <w:rPr>
          <w:rFonts w:eastAsiaTheme="minorHAnsi"/>
          <w:lang w:val="fr-FR" w:eastAsia="en-US"/>
        </w:rPr>
        <w:t>une</w:t>
      </w:r>
      <w:r w:rsidRPr="0042238A">
        <w:rPr>
          <w:rFonts w:eastAsiaTheme="minorHAnsi"/>
          <w:i/>
          <w:iCs/>
          <w:lang w:val="fr-FR" w:eastAsia="en-US"/>
        </w:rPr>
        <w:t xml:space="preserve"> </w:t>
      </w:r>
      <w:r w:rsidRPr="0042238A">
        <w:rPr>
          <w:rFonts w:eastAsiaTheme="minorHAnsi"/>
          <w:lang w:val="fr-FR" w:eastAsia="en-US"/>
        </w:rPr>
        <w:t>valeur caractéristique de la plage de température dans laquelle la transition vitreuse se produit ;</w:t>
      </w:r>
    </w:p>
    <w:p w14:paraId="00FF5A8F"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i/>
          <w:iCs/>
          <w:lang w:val="fr-FR" w:eastAsia="en-US"/>
        </w:rPr>
        <w:t>Moulage au contact</w:t>
      </w:r>
      <w:r w:rsidRPr="0042238A">
        <w:rPr>
          <w:rFonts w:eastAsiaTheme="minorHAnsi"/>
          <w:lang w:val="fr-FR" w:eastAsia="en-US"/>
        </w:rPr>
        <w:t>,</w:t>
      </w:r>
      <w:r w:rsidRPr="0042238A">
        <w:rPr>
          <w:rFonts w:eastAsiaTheme="minorHAnsi"/>
          <w:i/>
          <w:iCs/>
          <w:lang w:val="fr-FR" w:eastAsia="en-US"/>
        </w:rPr>
        <w:t xml:space="preserve"> </w:t>
      </w:r>
      <w:r w:rsidRPr="0042238A">
        <w:rPr>
          <w:rFonts w:eastAsiaTheme="minorHAnsi"/>
          <w:lang w:val="fr-FR" w:eastAsia="en-US"/>
        </w:rPr>
        <w:t>un procédé de moulage des matières plastiques renforcées dans lequel le renfort et la résine sont placés manuellement sur un moule ;</w:t>
      </w:r>
    </w:p>
    <w:p w14:paraId="5F41E089" w14:textId="77777777" w:rsidR="0039366F" w:rsidRPr="0042238A" w:rsidRDefault="0039366F" w:rsidP="0039366F">
      <w:pPr>
        <w:tabs>
          <w:tab w:val="left" w:pos="1701"/>
          <w:tab w:val="left" w:pos="2268"/>
          <w:tab w:val="left" w:pos="2835"/>
        </w:tabs>
        <w:spacing w:after="120"/>
        <w:ind w:left="1134" w:right="1134"/>
        <w:jc w:val="both"/>
        <w:rPr>
          <w:rFonts w:eastAsiaTheme="minorHAnsi"/>
          <w:i/>
          <w:iCs/>
          <w:lang w:val="fr-FR" w:eastAsia="en-US"/>
        </w:rPr>
      </w:pPr>
      <w:r w:rsidRPr="0042238A">
        <w:rPr>
          <w:rFonts w:eastAsiaTheme="minorHAnsi"/>
          <w:i/>
          <w:iCs/>
          <w:lang w:val="fr-FR" w:eastAsia="en-US"/>
        </w:rPr>
        <w:t>Revêtement</w:t>
      </w:r>
      <w:r w:rsidRPr="0042238A">
        <w:rPr>
          <w:rFonts w:eastAsiaTheme="minorHAnsi"/>
          <w:lang w:val="fr-FR" w:eastAsia="en-US"/>
        </w:rPr>
        <w:t>,</w:t>
      </w:r>
      <w:r w:rsidRPr="0042238A">
        <w:rPr>
          <w:rFonts w:eastAsiaTheme="minorHAnsi"/>
          <w:i/>
          <w:iCs/>
          <w:lang w:val="fr-FR" w:eastAsia="en-US"/>
        </w:rPr>
        <w:t xml:space="preserve"> </w:t>
      </w:r>
      <w:r w:rsidRPr="0042238A">
        <w:rPr>
          <w:rFonts w:eastAsiaTheme="minorHAnsi"/>
          <w:lang w:val="fr-FR" w:eastAsia="en-US"/>
        </w:rPr>
        <w:t>une couche intérieure d’un réservoir en PRF de manière à éviter tout contact entre les marchandises dangereuses transportées et la couche structurale ;</w:t>
      </w:r>
    </w:p>
    <w:p w14:paraId="7D4FD7A3"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i/>
          <w:iCs/>
          <w:lang w:val="fr-FR" w:eastAsia="en-US"/>
        </w:rPr>
        <w:t>Mat</w:t>
      </w:r>
      <w:r w:rsidRPr="0042238A">
        <w:rPr>
          <w:rFonts w:eastAsiaTheme="minorHAnsi"/>
          <w:lang w:val="fr-FR" w:eastAsia="en-US"/>
        </w:rPr>
        <w:t>, un renfort constitué de fibres disposées de manière aléatoire, hachées ou torsadées, assemblées en feuilles de longueur et d’épaisseur variables ;</w:t>
      </w:r>
    </w:p>
    <w:p w14:paraId="7B1074C8"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i/>
          <w:iCs/>
          <w:lang w:val="fr-FR" w:eastAsia="en-US"/>
        </w:rPr>
        <w:t>Echantillon témoin de réservoir</w:t>
      </w:r>
      <w:r w:rsidRPr="0042238A">
        <w:rPr>
          <w:rFonts w:eastAsiaTheme="minorHAnsi"/>
          <w:lang w:val="fr-FR" w:eastAsia="en-US"/>
        </w:rPr>
        <w:t>, un spécimen en PRF qui doit être représentatif du réservoir, fabriqué parallèlement à la construction du réservoir lorsqu’il n’est pas possible de prélever des échantillons directement sur le réservoir. L’échantillon témoin de réservoir peut être plat ou incurvé ;</w:t>
      </w:r>
    </w:p>
    <w:p w14:paraId="415D2480"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i/>
          <w:iCs/>
          <w:lang w:val="fr-FR" w:eastAsia="en-US"/>
        </w:rPr>
        <w:t>Echantillon représentatif</w:t>
      </w:r>
      <w:r w:rsidRPr="0042238A">
        <w:rPr>
          <w:rFonts w:eastAsiaTheme="minorHAnsi"/>
          <w:lang w:val="fr-FR" w:eastAsia="en-US"/>
        </w:rPr>
        <w:t>,</w:t>
      </w:r>
      <w:r w:rsidRPr="0042238A">
        <w:rPr>
          <w:rFonts w:eastAsiaTheme="minorHAnsi"/>
          <w:i/>
          <w:iCs/>
          <w:lang w:val="fr-FR" w:eastAsia="en-US"/>
        </w:rPr>
        <w:t xml:space="preserve"> </w:t>
      </w:r>
      <w:r w:rsidRPr="0042238A">
        <w:rPr>
          <w:rFonts w:eastAsiaTheme="minorHAnsi"/>
          <w:lang w:val="fr-FR" w:eastAsia="en-US"/>
        </w:rPr>
        <w:t>un échantillon prélevé sur le réservoir ;</w:t>
      </w:r>
    </w:p>
    <w:p w14:paraId="2D4E287B" w14:textId="77777777" w:rsidR="0039366F" w:rsidRPr="0042238A" w:rsidRDefault="0039366F" w:rsidP="0039366F">
      <w:pPr>
        <w:tabs>
          <w:tab w:val="left" w:pos="1701"/>
          <w:tab w:val="left" w:pos="2268"/>
          <w:tab w:val="left" w:pos="2835"/>
        </w:tabs>
        <w:spacing w:after="120"/>
        <w:ind w:left="1134" w:right="1134"/>
        <w:jc w:val="both"/>
        <w:rPr>
          <w:rFonts w:eastAsiaTheme="minorHAnsi"/>
          <w:i/>
          <w:iCs/>
          <w:lang w:val="fr-FR" w:eastAsia="en-US"/>
        </w:rPr>
      </w:pPr>
      <w:r w:rsidRPr="0042238A">
        <w:rPr>
          <w:rFonts w:eastAsiaTheme="minorHAnsi"/>
          <w:i/>
          <w:iCs/>
          <w:lang w:val="fr-FR" w:eastAsia="en-US"/>
        </w:rPr>
        <w:t>Infusion de résine</w:t>
      </w:r>
      <w:r w:rsidRPr="0042238A">
        <w:rPr>
          <w:rFonts w:eastAsiaTheme="minorHAnsi"/>
          <w:lang w:val="fr-FR" w:eastAsia="en-US"/>
        </w:rPr>
        <w:t>, une méthode de construction de PRF dans laquelle un renfort sec est placé dans un moule en deux parties, dans un moule ouvert associé à une bâche à vide, ou selon un autre procédé, et la résine liquide est injectée dans la pièce par application d’une pression externe à l’entrée du moule ou par application d’un vide total ou partiel à l’évent ;</w:t>
      </w:r>
    </w:p>
    <w:p w14:paraId="2A73B254"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i/>
          <w:iCs/>
          <w:lang w:val="fr-FR" w:eastAsia="en-US"/>
        </w:rPr>
        <w:t>Couches structurales</w:t>
      </w:r>
      <w:r w:rsidRPr="0042238A">
        <w:rPr>
          <w:rFonts w:eastAsiaTheme="minorHAnsi"/>
          <w:lang w:val="fr-FR" w:eastAsia="en-US"/>
        </w:rPr>
        <w:t>, les</w:t>
      </w:r>
      <w:r w:rsidRPr="0042238A">
        <w:rPr>
          <w:rFonts w:eastAsiaTheme="minorHAnsi"/>
          <w:i/>
          <w:iCs/>
          <w:lang w:val="fr-FR" w:eastAsia="en-US"/>
        </w:rPr>
        <w:t xml:space="preserve"> </w:t>
      </w:r>
      <w:r w:rsidRPr="0042238A">
        <w:rPr>
          <w:rFonts w:eastAsiaTheme="minorHAnsi"/>
          <w:lang w:val="fr-FR" w:eastAsia="en-US"/>
        </w:rPr>
        <w:t>couches en PRF d’un réservoir de citerne requises pour supporter les charges de conception ;</w:t>
      </w:r>
    </w:p>
    <w:p w14:paraId="338D0A79"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i/>
          <w:iCs/>
          <w:lang w:val="fr-FR" w:eastAsia="en-US"/>
        </w:rPr>
        <w:t>Voile</w:t>
      </w:r>
      <w:r w:rsidRPr="0042238A">
        <w:rPr>
          <w:rFonts w:eastAsiaTheme="minorHAnsi"/>
          <w:lang w:val="fr-FR" w:eastAsia="en-US"/>
        </w:rPr>
        <w:t>,</w:t>
      </w:r>
      <w:r w:rsidRPr="0042238A">
        <w:rPr>
          <w:rFonts w:eastAsiaTheme="minorHAnsi"/>
          <w:i/>
          <w:iCs/>
          <w:lang w:val="fr-FR" w:eastAsia="en-US"/>
        </w:rPr>
        <w:t xml:space="preserve"> </w:t>
      </w:r>
      <w:r w:rsidRPr="0042238A">
        <w:rPr>
          <w:rFonts w:eastAsiaTheme="minorHAnsi"/>
          <w:lang w:val="fr-FR" w:eastAsia="en-US"/>
        </w:rPr>
        <w:t>un mat fin à haut pouvoir absorbant, utilisé dans les plis des produits en PRF nécessitant un excédent de matrice polymérique (uniformité de la surface, résistance aux produits chimiques, étanchéité, etc.).</w:t>
      </w:r>
    </w:p>
    <w:p w14:paraId="44D78226" w14:textId="77777777" w:rsidR="0039366F" w:rsidRPr="008F0111" w:rsidRDefault="0039366F" w:rsidP="0039366F">
      <w:pPr>
        <w:keepNext/>
        <w:keepLines/>
        <w:tabs>
          <w:tab w:val="right" w:pos="851"/>
        </w:tabs>
        <w:spacing w:before="240" w:after="120" w:line="240" w:lineRule="exact"/>
        <w:ind w:left="2268" w:right="1134" w:hanging="1134"/>
        <w:outlineLvl w:val="3"/>
        <w:rPr>
          <w:rFonts w:eastAsiaTheme="minorHAnsi"/>
          <w:b/>
          <w:i/>
          <w:iCs/>
          <w:lang w:val="fr-FR" w:eastAsia="ru-RU"/>
        </w:rPr>
      </w:pPr>
      <w:r w:rsidRPr="0042238A">
        <w:rPr>
          <w:rFonts w:eastAsiaTheme="minorHAnsi"/>
          <w:b/>
          <w:iCs/>
          <w:lang w:val="fr-FR" w:eastAsia="ru-RU"/>
        </w:rPr>
        <w:t>6.9.2.2</w:t>
      </w:r>
      <w:r w:rsidRPr="0042238A">
        <w:rPr>
          <w:rFonts w:eastAsiaTheme="minorHAnsi"/>
          <w:b/>
          <w:iCs/>
          <w:lang w:val="fr-FR" w:eastAsia="ru-RU"/>
        </w:rPr>
        <w:tab/>
      </w:r>
      <w:r w:rsidRPr="008F0111">
        <w:rPr>
          <w:rFonts w:eastAsiaTheme="minorHAnsi"/>
          <w:b/>
          <w:i/>
          <w:iCs/>
          <w:lang w:val="fr-FR" w:eastAsia="ru-RU"/>
        </w:rPr>
        <w:tab/>
        <w:t>Prescriptions générales concernant la conception et la construction</w:t>
      </w:r>
    </w:p>
    <w:p w14:paraId="1AA8BC81"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lang w:val="fr-FR" w:eastAsia="ru-RU"/>
        </w:rPr>
        <w:t>6.9.2.2.1</w:t>
      </w:r>
      <w:r w:rsidRPr="0042238A">
        <w:rPr>
          <w:rFonts w:eastAsiaTheme="minorHAnsi"/>
          <w:b/>
          <w:bCs/>
          <w:lang w:val="fr-FR" w:eastAsia="ru-RU"/>
        </w:rPr>
        <w:tab/>
      </w:r>
      <w:r w:rsidRPr="0042238A">
        <w:rPr>
          <w:rFonts w:eastAsiaTheme="minorHAnsi"/>
          <w:lang w:val="fr-FR" w:eastAsia="en-US"/>
        </w:rPr>
        <w:t>Les prescriptions des 6.7.1 et 6.7.2.2 s’appliquent aux citernes mobiles en PRF. Les prescriptions suivantes du chapitre 6.7 ne s’appliquent pas aux parties du réservoir qui sont fabriquées en PRF : 6.7.2.2.1, 6.7.2.2.9.1, 6.7.2.2.13 et 6.7.2.2.14. Les réservoirs doivent être conçus et construits conformément aux dispositions d’un code pour appareils à pression, applicable aux PRF, reconnu par l’autorité compétente.</w:t>
      </w:r>
    </w:p>
    <w:p w14:paraId="56546C64" w14:textId="77777777" w:rsidR="0039366F" w:rsidRPr="0042238A" w:rsidRDefault="0039366F" w:rsidP="0039366F">
      <w:pPr>
        <w:tabs>
          <w:tab w:val="left" w:pos="1701"/>
          <w:tab w:val="left" w:pos="2268"/>
          <w:tab w:val="left" w:pos="2835"/>
        </w:tabs>
        <w:spacing w:after="120"/>
        <w:ind w:left="1134" w:right="1134"/>
        <w:jc w:val="both"/>
        <w:rPr>
          <w:rFonts w:eastAsiaTheme="minorHAnsi"/>
          <w:bCs/>
          <w:lang w:val="fr-FR" w:eastAsia="en-US"/>
        </w:rPr>
      </w:pPr>
      <w:r w:rsidRPr="0042238A">
        <w:rPr>
          <w:rFonts w:eastAsiaTheme="minorHAnsi"/>
          <w:bCs/>
          <w:lang w:val="fr-FR" w:eastAsia="en-US"/>
        </w:rPr>
        <w:t>En outre, les prescriptions ci-après s’appliquent.</w:t>
      </w:r>
    </w:p>
    <w:p w14:paraId="7FCF15C3" w14:textId="77777777" w:rsidR="0039366F" w:rsidRPr="0042238A" w:rsidRDefault="0039366F" w:rsidP="0039366F">
      <w:pPr>
        <w:keepNext/>
        <w:keepLines/>
        <w:tabs>
          <w:tab w:val="right" w:pos="851"/>
        </w:tabs>
        <w:spacing w:before="240" w:after="120" w:line="240" w:lineRule="exact"/>
        <w:ind w:left="2268" w:right="1134" w:hanging="1134"/>
        <w:outlineLvl w:val="3"/>
        <w:rPr>
          <w:rFonts w:eastAsiaTheme="minorHAnsi"/>
          <w:i/>
          <w:iCs/>
          <w:lang w:val="fr-FR" w:eastAsia="ru-RU"/>
        </w:rPr>
      </w:pPr>
      <w:r w:rsidRPr="0042238A">
        <w:rPr>
          <w:rFonts w:eastAsiaTheme="minorHAnsi"/>
          <w:lang w:val="fr-FR" w:eastAsia="ru-RU"/>
        </w:rPr>
        <w:t>6.9.2.2.2</w:t>
      </w:r>
      <w:r w:rsidRPr="0042238A">
        <w:rPr>
          <w:rFonts w:eastAsiaTheme="minorHAnsi"/>
          <w:lang w:val="fr-FR" w:eastAsia="ru-RU"/>
        </w:rPr>
        <w:tab/>
      </w:r>
      <w:r w:rsidRPr="0042238A">
        <w:rPr>
          <w:rFonts w:eastAsiaTheme="minorHAnsi"/>
          <w:i/>
          <w:iCs/>
          <w:lang w:val="fr-FR" w:eastAsia="ru-RU"/>
        </w:rPr>
        <w:t>Système qualité du constructeur</w:t>
      </w:r>
    </w:p>
    <w:p w14:paraId="4682C716" w14:textId="77777777" w:rsidR="0039366F" w:rsidRPr="0042238A" w:rsidRDefault="0039366F" w:rsidP="0039366F">
      <w:pPr>
        <w:tabs>
          <w:tab w:val="left" w:pos="1701"/>
          <w:tab w:val="left" w:pos="2268"/>
          <w:tab w:val="left" w:pos="2835"/>
        </w:tabs>
        <w:spacing w:after="120"/>
        <w:ind w:left="1134" w:right="1134"/>
        <w:jc w:val="both"/>
        <w:rPr>
          <w:rFonts w:eastAsiaTheme="minorHAnsi"/>
          <w:bCs/>
          <w:color w:val="000000"/>
          <w:lang w:val="fr-FR" w:eastAsia="ru-RU"/>
        </w:rPr>
      </w:pPr>
      <w:r w:rsidRPr="0042238A">
        <w:rPr>
          <w:rFonts w:eastAsiaTheme="minorHAnsi"/>
          <w:bCs/>
          <w:color w:val="000000"/>
          <w:lang w:val="fr-FR" w:eastAsia="ru-RU"/>
        </w:rPr>
        <w:t>6.9.2.2.2.1</w:t>
      </w:r>
      <w:r w:rsidRPr="0042238A">
        <w:rPr>
          <w:rFonts w:eastAsiaTheme="minorHAnsi"/>
          <w:b/>
          <w:bCs/>
          <w:color w:val="000000"/>
          <w:lang w:val="fr-FR" w:eastAsia="ru-RU"/>
        </w:rPr>
        <w:tab/>
      </w:r>
      <w:r w:rsidRPr="0042238A">
        <w:rPr>
          <w:rFonts w:eastAsiaTheme="minorHAnsi"/>
          <w:bCs/>
          <w:color w:val="000000"/>
          <w:lang w:val="fr-FR" w:eastAsia="ru-RU"/>
        </w:rPr>
        <w:t>Le système qualité doit intégrer tous les éléments, les prescriptions et les dispositions adoptés par le constructeur. Il doit être documenté, de façon systématique et ordonnée, sous la forme de décisions, de procédures et d’instructions écrites.</w:t>
      </w:r>
    </w:p>
    <w:p w14:paraId="221C6A8A"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bCs/>
          <w:color w:val="000000"/>
          <w:lang w:val="fr-FR" w:eastAsia="ru-RU"/>
        </w:rPr>
        <w:t>6.9.2.2.2.2</w:t>
      </w:r>
      <w:r w:rsidRPr="0042238A">
        <w:rPr>
          <w:rFonts w:eastAsiaTheme="minorHAnsi"/>
          <w:lang w:val="fr-FR" w:eastAsia="ru-RU"/>
        </w:rPr>
        <w:tab/>
      </w:r>
      <w:r w:rsidRPr="0042238A">
        <w:rPr>
          <w:rFonts w:eastAsiaTheme="minorHAnsi"/>
          <w:bCs/>
          <w:color w:val="000000"/>
          <w:lang w:val="fr-FR" w:eastAsia="ru-RU"/>
        </w:rPr>
        <w:t>Le système qualité</w:t>
      </w:r>
      <w:r w:rsidRPr="0042238A">
        <w:rPr>
          <w:rFonts w:eastAsiaTheme="minorHAnsi"/>
          <w:lang w:val="fr-FR" w:eastAsia="ru-RU"/>
        </w:rPr>
        <w:t xml:space="preserve"> doit notamment comprendre des descriptions adéquates des éléments suivants :</w:t>
      </w:r>
    </w:p>
    <w:p w14:paraId="372FF7EA"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a)</w:t>
      </w:r>
      <w:r w:rsidRPr="0042238A">
        <w:rPr>
          <w:rFonts w:eastAsiaTheme="minorHAnsi"/>
          <w:lang w:val="fr-FR" w:eastAsia="ru-RU"/>
        </w:rPr>
        <w:tab/>
        <w:t>structure organisationnelle et responsabilités du personnel en ce qui concerne la conception et la qualité des produits ;</w:t>
      </w:r>
    </w:p>
    <w:p w14:paraId="4646A64C"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b)</w:t>
      </w:r>
      <w:r w:rsidRPr="0042238A">
        <w:rPr>
          <w:rFonts w:eastAsiaTheme="minorHAnsi"/>
          <w:lang w:val="fr-FR" w:eastAsia="ru-RU"/>
        </w:rPr>
        <w:tab/>
        <w:t>techniques et procédés de contrôle et de vérification de la conception et procédures à suivre dans la conception des citernes mobiles ;</w:t>
      </w:r>
    </w:p>
    <w:p w14:paraId="1F6686BB"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c)</w:t>
      </w:r>
      <w:r w:rsidRPr="0042238A">
        <w:rPr>
          <w:rFonts w:eastAsiaTheme="minorHAnsi"/>
          <w:lang w:val="fr-FR" w:eastAsia="ru-RU"/>
        </w:rPr>
        <w:tab/>
        <w:t>instructions qui seront utilisées pour la construction, le contrôle de qualité, l’assurance de qualité et le déroulement des opérations ;</w:t>
      </w:r>
    </w:p>
    <w:p w14:paraId="3B4B7499"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lastRenderedPageBreak/>
        <w:t>d)</w:t>
      </w:r>
      <w:r w:rsidRPr="0042238A">
        <w:rPr>
          <w:rFonts w:eastAsiaTheme="minorHAnsi"/>
          <w:lang w:val="fr-FR" w:eastAsia="ru-RU"/>
        </w:rPr>
        <w:tab/>
        <w:t>relevés d’évaluation de la qualité, tels que rapports de contrôle, données d’épreuve et données d’étalonnage ;</w:t>
      </w:r>
    </w:p>
    <w:p w14:paraId="58C4E20E"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e)</w:t>
      </w:r>
      <w:r w:rsidRPr="0042238A">
        <w:rPr>
          <w:rFonts w:eastAsiaTheme="minorHAnsi"/>
          <w:lang w:val="fr-FR" w:eastAsia="ru-RU"/>
        </w:rPr>
        <w:tab/>
        <w:t>vérification par la direction de l’efficacité du système qualité au moyen des vérifications définies au 6.9.2.2.2.4 ;</w:t>
      </w:r>
    </w:p>
    <w:p w14:paraId="14211013"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f)</w:t>
      </w:r>
      <w:r w:rsidRPr="0042238A">
        <w:rPr>
          <w:rFonts w:eastAsiaTheme="minorHAnsi"/>
          <w:lang w:val="fr-FR" w:eastAsia="ru-RU"/>
        </w:rPr>
        <w:tab/>
        <w:t>procédure décrivant la façon dont sont satisfaites les exigences des clients ;</w:t>
      </w:r>
    </w:p>
    <w:p w14:paraId="53726C56"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g)</w:t>
      </w:r>
      <w:r w:rsidRPr="0042238A">
        <w:rPr>
          <w:rFonts w:eastAsiaTheme="minorHAnsi"/>
          <w:lang w:val="fr-FR" w:eastAsia="ru-RU"/>
        </w:rPr>
        <w:tab/>
        <w:t>procédure de contrôle des documents et de leur révision ;</w:t>
      </w:r>
    </w:p>
    <w:p w14:paraId="67B30B5D"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h)</w:t>
      </w:r>
      <w:r w:rsidRPr="0042238A">
        <w:rPr>
          <w:rFonts w:eastAsiaTheme="minorHAnsi"/>
          <w:lang w:val="fr-FR" w:eastAsia="ru-RU"/>
        </w:rPr>
        <w:tab/>
        <w:t xml:space="preserve">moyens de contrôle des citernes mobiles non conformes, des éléments achetés, des matériaux en cours de production et des matériaux finals ; </w:t>
      </w:r>
    </w:p>
    <w:p w14:paraId="5AC7CCBE"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i)</w:t>
      </w:r>
      <w:r w:rsidRPr="0042238A">
        <w:rPr>
          <w:rFonts w:eastAsiaTheme="minorHAnsi"/>
          <w:lang w:val="fr-FR" w:eastAsia="ru-RU"/>
        </w:rPr>
        <w:tab/>
        <w:t>programmes de formation et procédures de qualification destinés au personnel.</w:t>
      </w:r>
    </w:p>
    <w:p w14:paraId="3E068CAF"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bCs/>
          <w:color w:val="000000"/>
          <w:lang w:val="fr-FR" w:eastAsia="ru-RU"/>
        </w:rPr>
        <w:t>6.9.2.2.2.3</w:t>
      </w:r>
      <w:r w:rsidRPr="0042238A">
        <w:rPr>
          <w:rFonts w:eastAsiaTheme="minorHAnsi"/>
          <w:lang w:val="fr-FR" w:eastAsia="ru-RU"/>
        </w:rPr>
        <w:tab/>
        <w:t>Dans le cadre du système de gestion de la qualité, les prescriptions minimales suivantes doivent être respectées pour chaque citerne mobile en PRF fabriquée :</w:t>
      </w:r>
    </w:p>
    <w:p w14:paraId="1C4FF27D"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a)</w:t>
      </w:r>
      <w:r w:rsidRPr="0042238A">
        <w:rPr>
          <w:rFonts w:eastAsiaTheme="minorHAnsi"/>
          <w:lang w:val="fr-FR" w:eastAsia="ru-RU"/>
        </w:rPr>
        <w:tab/>
        <w:t>application d’un plan de contrôle et d’épreuve ;</w:t>
      </w:r>
    </w:p>
    <w:p w14:paraId="421661E1"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b)</w:t>
      </w:r>
      <w:r w:rsidRPr="0042238A">
        <w:rPr>
          <w:rFonts w:eastAsiaTheme="minorHAnsi"/>
          <w:lang w:val="fr-FR" w:eastAsia="ru-RU"/>
        </w:rPr>
        <w:tab/>
        <w:t>contrôles visuels ;</w:t>
      </w:r>
    </w:p>
    <w:p w14:paraId="6FB5BE9D"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c)</w:t>
      </w:r>
      <w:r w:rsidRPr="0042238A">
        <w:rPr>
          <w:rFonts w:eastAsiaTheme="minorHAnsi"/>
          <w:lang w:val="fr-FR" w:eastAsia="ru-RU"/>
        </w:rPr>
        <w:tab/>
        <w:t>vérification de l’orientation des fibres et de la fraction massique au moyen d’un processus de contrôle documenté ;</w:t>
      </w:r>
    </w:p>
    <w:p w14:paraId="2A5E90FC"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d)</w:t>
      </w:r>
      <w:r w:rsidRPr="0042238A">
        <w:rPr>
          <w:rFonts w:eastAsiaTheme="minorHAnsi"/>
          <w:lang w:val="fr-FR" w:eastAsia="ru-RU"/>
        </w:rPr>
        <w:tab/>
        <w:t>vérification de la qualité et des caractéristiques des fibres et de la résine, attestées par des certificats ou autres documents ;</w:t>
      </w:r>
    </w:p>
    <w:p w14:paraId="08ECE872"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e)</w:t>
      </w:r>
      <w:r w:rsidRPr="0042238A">
        <w:rPr>
          <w:rFonts w:eastAsiaTheme="minorHAnsi"/>
          <w:lang w:val="fr-FR" w:eastAsia="ru-RU"/>
        </w:rPr>
        <w:tab/>
        <w:t>vérification de la qualité et des caractéristiques du revêtement, attestées par des certificats ou autres documents ;</w:t>
      </w:r>
    </w:p>
    <w:p w14:paraId="039E092D"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f)</w:t>
      </w:r>
      <w:r w:rsidRPr="0042238A">
        <w:rPr>
          <w:rFonts w:eastAsiaTheme="minorHAnsi"/>
          <w:lang w:val="fr-FR" w:eastAsia="ru-RU"/>
        </w:rPr>
        <w:tab/>
        <w:t xml:space="preserve">vérification, selon le cas, des caractéristiques de la résine thermoplastique formée ou du degré de durcissement de la résine thermodurcissable, par des moyens directs ou indirects (par exemple, test de </w:t>
      </w:r>
      <w:proofErr w:type="spellStart"/>
      <w:r w:rsidRPr="0042238A">
        <w:rPr>
          <w:rFonts w:eastAsiaTheme="minorHAnsi"/>
          <w:lang w:val="fr-FR" w:eastAsia="ru-RU"/>
        </w:rPr>
        <w:t>Barcol</w:t>
      </w:r>
      <w:proofErr w:type="spellEnd"/>
      <w:r w:rsidRPr="0042238A">
        <w:rPr>
          <w:rFonts w:eastAsiaTheme="minorHAnsi"/>
          <w:lang w:val="fr-FR" w:eastAsia="ru-RU"/>
        </w:rPr>
        <w:t xml:space="preserve"> ou analyse calorimétrique différentielle) à déterminer conformément au 6.9.2.7.1.2 h), ou par un essai de fluage d’un échantillon représentatif ou d’un réservoir échantillon représentatif conformément au point 6.9.2.7.1.2 e) pendant une période de 100 heures ;</w:t>
      </w:r>
    </w:p>
    <w:p w14:paraId="60D2B9D2"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g)</w:t>
      </w:r>
      <w:r w:rsidRPr="0042238A">
        <w:rPr>
          <w:rFonts w:eastAsiaTheme="minorHAnsi"/>
          <w:lang w:val="fr-FR" w:eastAsia="ru-RU"/>
        </w:rPr>
        <w:tab/>
        <w:t>Établissement de documents relatifs,</w:t>
      </w:r>
      <w:r w:rsidRPr="00AB4C5F">
        <w:rPr>
          <w:rFonts w:eastAsiaTheme="minorHAnsi"/>
          <w:lang w:val="fr-FR" w:eastAsia="en-US"/>
        </w:rPr>
        <w:t xml:space="preserve"> </w:t>
      </w:r>
      <w:r w:rsidRPr="0042238A">
        <w:rPr>
          <w:rFonts w:eastAsiaTheme="minorHAnsi"/>
          <w:lang w:val="fr-FR" w:eastAsia="ru-RU"/>
        </w:rPr>
        <w:t>selon le cas, aux procédés de formage de la résine thermoplastique ou de durcissement et de post-durcissement de la résine thermodurcissable ;</w:t>
      </w:r>
    </w:p>
    <w:p w14:paraId="0F2F8928"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h)</w:t>
      </w:r>
      <w:r w:rsidRPr="0042238A">
        <w:rPr>
          <w:rFonts w:eastAsiaTheme="minorHAnsi"/>
          <w:lang w:val="fr-FR" w:eastAsia="ru-RU"/>
        </w:rPr>
        <w:tab/>
        <w:t>Conservation et archivage, pendant une période de cinq ans, d’échantillons de réservoir (par exemple, par découpe d’un trou d’homme) pour de futures inspections et contrôles du réservoir.</w:t>
      </w:r>
    </w:p>
    <w:p w14:paraId="2DAD6B2B"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lang w:val="fr-FR" w:eastAsia="ru-RU"/>
        </w:rPr>
        <w:t>6.9.2.2.2.4</w:t>
      </w:r>
      <w:r w:rsidRPr="0042238A">
        <w:rPr>
          <w:rFonts w:eastAsiaTheme="minorHAnsi"/>
          <w:lang w:val="fr-FR" w:eastAsia="ru-RU"/>
        </w:rPr>
        <w:tab/>
        <w:t>Vérification du système qualité</w:t>
      </w:r>
    </w:p>
    <w:p w14:paraId="70F52DD4"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lang w:val="fr-FR" w:eastAsia="ru-RU"/>
        </w:rPr>
        <w:t>Le système qualité doit être évalué initialement pour s’assurer qu’il est conforme aux prescriptions des 6.9.2.2.2.1 à 6.9.2.2.2.3 à la satisfaction de l’autorité compétente.</w:t>
      </w:r>
    </w:p>
    <w:p w14:paraId="08EC1CB9"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lang w:val="fr-FR" w:eastAsia="ru-RU"/>
        </w:rPr>
        <w:t>Le constructeur doit être informé des résultats de la vérification. La notification doit contenir les conclusions de la vérification et toutes les actions correctives requises.</w:t>
      </w:r>
    </w:p>
    <w:p w14:paraId="65169EAD"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lang w:val="fr-FR" w:eastAsia="ru-RU"/>
        </w:rPr>
        <w:t>Des vérifications périodiques doivent être effectuées, à la satisfaction de l’autorité compétente, pour s’assurer que le constructeur entretient et applique le système qualité. Les rapports des vérifications périodiques doivent être communiqués au constructeur.</w:t>
      </w:r>
    </w:p>
    <w:p w14:paraId="2FD238E7"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lang w:val="fr-FR" w:eastAsia="ru-RU"/>
        </w:rPr>
        <w:t>6.9.2.2.2.5</w:t>
      </w:r>
      <w:r w:rsidRPr="0042238A">
        <w:rPr>
          <w:rFonts w:eastAsiaTheme="minorHAnsi"/>
          <w:lang w:val="fr-FR" w:eastAsia="ru-RU"/>
        </w:rPr>
        <w:tab/>
        <w:t>Entretien du système qualité</w:t>
      </w:r>
    </w:p>
    <w:p w14:paraId="2EDDB888"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lang w:val="fr-FR" w:eastAsia="ru-RU"/>
        </w:rPr>
        <w:t>Le constructeur doit entretenir le système qualité tel qu’agréé de façon à le maintenir dans un état satisfaisant et efficace.</w:t>
      </w:r>
    </w:p>
    <w:p w14:paraId="0AFCFF3E"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lang w:val="fr-FR" w:eastAsia="ru-RU"/>
        </w:rPr>
        <w:t xml:space="preserve">Le constructeur doit signaler à l’autorité compétente ayant agréé le système qualité tout projet de modification du système. Les projets de modification doivent être évalués pour savoir si </w:t>
      </w:r>
      <w:r w:rsidRPr="0042238A">
        <w:rPr>
          <w:rFonts w:eastAsiaTheme="minorHAnsi"/>
          <w:lang w:val="fr-FR" w:eastAsia="ru-RU"/>
        </w:rPr>
        <w:lastRenderedPageBreak/>
        <w:t>le système, une fois modifié, sera toujours conforme aux prescriptions des 6.9.2.2.2.1 à 6.9.2.2.2.3.</w:t>
      </w:r>
    </w:p>
    <w:p w14:paraId="26D8AC17" w14:textId="77777777" w:rsidR="0039366F" w:rsidRPr="0042238A" w:rsidRDefault="0039366F" w:rsidP="0039366F">
      <w:pPr>
        <w:keepNext/>
        <w:keepLines/>
        <w:tabs>
          <w:tab w:val="right" w:pos="851"/>
        </w:tabs>
        <w:spacing w:before="240" w:after="120" w:line="240" w:lineRule="exact"/>
        <w:ind w:left="2268" w:right="1134" w:hanging="1134"/>
        <w:outlineLvl w:val="3"/>
        <w:rPr>
          <w:rFonts w:eastAsiaTheme="minorHAnsi"/>
          <w:bCs/>
          <w:i/>
          <w:iCs/>
          <w:lang w:val="fr-FR" w:eastAsia="ru-RU"/>
        </w:rPr>
      </w:pPr>
      <w:r w:rsidRPr="0042238A">
        <w:rPr>
          <w:rFonts w:eastAsiaTheme="minorHAnsi"/>
          <w:bCs/>
          <w:lang w:val="fr-FR" w:eastAsia="ru-RU"/>
        </w:rPr>
        <w:t>6.9.2.2.3</w:t>
      </w:r>
      <w:r w:rsidRPr="0042238A">
        <w:rPr>
          <w:rFonts w:eastAsiaTheme="minorHAnsi"/>
          <w:bCs/>
          <w:lang w:val="fr-FR" w:eastAsia="ru-RU"/>
        </w:rPr>
        <w:tab/>
      </w:r>
      <w:r w:rsidRPr="0042238A">
        <w:rPr>
          <w:rFonts w:eastAsiaTheme="minorHAnsi"/>
          <w:bCs/>
          <w:i/>
          <w:iCs/>
          <w:lang w:val="fr-FR" w:eastAsia="ru-RU"/>
        </w:rPr>
        <w:t>Réservoirs en PRF</w:t>
      </w:r>
    </w:p>
    <w:p w14:paraId="614EBB88"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ru-RU"/>
        </w:rPr>
        <w:t>6.9.2.2.3.1</w:t>
      </w:r>
      <w:r w:rsidRPr="0042238A">
        <w:rPr>
          <w:rFonts w:eastAsiaTheme="minorHAnsi"/>
          <w:lang w:val="fr-FR" w:eastAsia="ru-RU"/>
        </w:rPr>
        <w:tab/>
        <w:t xml:space="preserve">Les réservoirs en PRF doivent être raccordés de manière solide aux éléments structurels du cadre de la citerne mobile. Les supports de réservoir en PRF et les moyens de fixations au cadre ne doivent pas provoquer de concentrations de contraintes locales dépassant les valeurs admissibles de conception </w:t>
      </w:r>
      <w:r w:rsidRPr="0042238A">
        <w:rPr>
          <w:rFonts w:eastAsiaTheme="minorHAnsi"/>
          <w:lang w:val="fr-FR" w:eastAsia="en-US"/>
        </w:rPr>
        <w:t>de la structure du réservoir, conformément aux dispositions énoncées dans le présent chapitre pour toutes les conditions de fonctionnement et d’épreuve.</w:t>
      </w:r>
    </w:p>
    <w:p w14:paraId="247D2DB2"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6.9.2.2.3.2</w:t>
      </w:r>
      <w:r w:rsidRPr="0042238A">
        <w:rPr>
          <w:rFonts w:eastAsiaTheme="minorHAnsi"/>
          <w:lang w:val="fr-FR" w:eastAsia="en-US"/>
        </w:rPr>
        <w:tab/>
        <w:t>Les réservoirs doivent être faits de matériaux appropriés, capables de résister à des températures de calcul comprises entre -40 °С et +50 °С, à moins que d’autres gammes de température ne soient prescrites par l’autorité compétente du pays où s’effectue le transport pour des conditions climatiques ou de fonctionnement plus extrêmes</w:t>
      </w:r>
      <w:r w:rsidRPr="0042238A" w:rsidDel="003E7C43">
        <w:rPr>
          <w:rFonts w:eastAsiaTheme="minorHAnsi"/>
          <w:lang w:val="fr-FR" w:eastAsia="en-US"/>
        </w:rPr>
        <w:t xml:space="preserve"> </w:t>
      </w:r>
      <w:r w:rsidRPr="0042238A">
        <w:rPr>
          <w:rFonts w:eastAsiaTheme="minorHAnsi"/>
          <w:lang w:val="fr-FR" w:eastAsia="en-US"/>
        </w:rPr>
        <w:t>(par exemple, présence d’éléments chauffants).</w:t>
      </w:r>
    </w:p>
    <w:p w14:paraId="714EBE9B" w14:textId="77777777" w:rsidR="0039366F" w:rsidRPr="0042238A" w:rsidRDefault="0039366F" w:rsidP="0039366F">
      <w:pPr>
        <w:tabs>
          <w:tab w:val="left" w:pos="1701"/>
          <w:tab w:val="left" w:pos="2268"/>
          <w:tab w:val="left" w:pos="2835"/>
        </w:tabs>
        <w:spacing w:after="120"/>
        <w:ind w:left="1134" w:right="1134"/>
        <w:jc w:val="both"/>
        <w:rPr>
          <w:rFonts w:eastAsiaTheme="minorHAnsi"/>
          <w:b/>
          <w:bCs/>
          <w:lang w:val="fr-FR" w:eastAsia="en-US"/>
        </w:rPr>
      </w:pPr>
      <w:r w:rsidRPr="0042238A">
        <w:rPr>
          <w:rFonts w:eastAsiaTheme="minorHAnsi"/>
          <w:bCs/>
          <w:lang w:val="fr-FR" w:eastAsia="en-US"/>
        </w:rPr>
        <w:t>6.9.2.2.3.3</w:t>
      </w:r>
      <w:r w:rsidRPr="0042238A">
        <w:rPr>
          <w:rFonts w:eastAsiaTheme="minorHAnsi"/>
          <w:b/>
          <w:bCs/>
          <w:lang w:val="fr-FR" w:eastAsia="en-US"/>
        </w:rPr>
        <w:tab/>
      </w:r>
      <w:r w:rsidRPr="0042238A">
        <w:rPr>
          <w:rFonts w:eastAsiaTheme="minorHAnsi"/>
          <w:lang w:val="fr-FR" w:eastAsia="en-US"/>
        </w:rPr>
        <w:t>Si un système de chauffage est installé, il doit être conforme aux 6.7.2.5.12 à 6.7.2.5.15 et répondre aux prescriptions suivantes :</w:t>
      </w:r>
      <w:r w:rsidRPr="0042238A">
        <w:rPr>
          <w:rFonts w:eastAsiaTheme="minorHAnsi"/>
          <w:b/>
          <w:bCs/>
          <w:lang w:val="fr-FR" w:eastAsia="en-US"/>
        </w:rPr>
        <w:t xml:space="preserve"> </w:t>
      </w:r>
    </w:p>
    <w:p w14:paraId="74F3424E" w14:textId="77777777" w:rsidR="0039366F" w:rsidRPr="00AB4C5F" w:rsidRDefault="0039366F" w:rsidP="0039366F">
      <w:pPr>
        <w:tabs>
          <w:tab w:val="left" w:pos="1701"/>
          <w:tab w:val="left" w:pos="2268"/>
        </w:tabs>
        <w:spacing w:after="120"/>
        <w:ind w:left="2835" w:right="1134" w:hanging="567"/>
        <w:jc w:val="both"/>
        <w:rPr>
          <w:rFonts w:eastAsiaTheme="minorHAnsi"/>
          <w:lang w:val="fr-FR" w:eastAsia="en-US"/>
        </w:rPr>
      </w:pPr>
      <w:r w:rsidRPr="0042238A">
        <w:rPr>
          <w:rFonts w:eastAsiaTheme="minorHAnsi"/>
          <w:lang w:val="fr-FR" w:eastAsia="en-US"/>
        </w:rPr>
        <w:t xml:space="preserve">a) </w:t>
      </w:r>
      <w:r w:rsidRPr="0042238A">
        <w:rPr>
          <w:rFonts w:eastAsiaTheme="minorHAnsi"/>
          <w:lang w:val="fr-FR" w:eastAsia="en-US"/>
        </w:rPr>
        <w:tab/>
        <w:t xml:space="preserve">La température maximale de fonctionnement des éléments de chauffage intégrés ou reliés au réservoir ne doit pas dépasser la température de calcul maximale de la citerne ; </w:t>
      </w:r>
    </w:p>
    <w:p w14:paraId="3343B03C" w14:textId="77777777" w:rsidR="0039366F" w:rsidRPr="00AB4C5F" w:rsidRDefault="0039366F" w:rsidP="0039366F">
      <w:pPr>
        <w:tabs>
          <w:tab w:val="left" w:pos="1701"/>
          <w:tab w:val="left" w:pos="2268"/>
        </w:tabs>
        <w:spacing w:after="120"/>
        <w:ind w:left="2835" w:right="1134" w:hanging="567"/>
        <w:jc w:val="both"/>
        <w:rPr>
          <w:rFonts w:eastAsiaTheme="minorHAnsi"/>
          <w:lang w:val="fr-FR" w:eastAsia="en-US"/>
        </w:rPr>
      </w:pPr>
      <w:r w:rsidRPr="0042238A">
        <w:rPr>
          <w:rFonts w:eastAsiaTheme="minorHAnsi"/>
          <w:lang w:val="fr-FR" w:eastAsia="en-US"/>
        </w:rPr>
        <w:t xml:space="preserve">b) </w:t>
      </w:r>
      <w:r w:rsidRPr="0042238A">
        <w:rPr>
          <w:rFonts w:eastAsiaTheme="minorHAnsi"/>
          <w:lang w:val="fr-FR" w:eastAsia="en-US"/>
        </w:rPr>
        <w:tab/>
        <w:t xml:space="preserve">Les éléments de chauffage doivent être conçus, contrôlés et utilisés de sorte que la température de la matière transportée ne puisse pas dépasser la température de calcul maximale de la citerne ou une valeur à laquelle la pression interne dépasse la PSMA ; </w:t>
      </w:r>
    </w:p>
    <w:p w14:paraId="46CCB80D" w14:textId="77777777" w:rsidR="0039366F" w:rsidRPr="0042238A" w:rsidRDefault="0039366F" w:rsidP="0039366F">
      <w:pPr>
        <w:tabs>
          <w:tab w:val="left" w:pos="1701"/>
          <w:tab w:val="left" w:pos="2268"/>
        </w:tabs>
        <w:spacing w:after="120"/>
        <w:ind w:left="2835" w:right="1134" w:hanging="567"/>
        <w:jc w:val="both"/>
        <w:rPr>
          <w:rFonts w:eastAsiaTheme="minorHAnsi"/>
          <w:b/>
          <w:bCs/>
          <w:lang w:val="fr-FR" w:eastAsia="en-US"/>
        </w:rPr>
      </w:pPr>
      <w:r w:rsidRPr="0042238A">
        <w:rPr>
          <w:rFonts w:eastAsiaTheme="minorHAnsi"/>
          <w:lang w:val="fr-FR" w:eastAsia="en-US"/>
        </w:rPr>
        <w:t xml:space="preserve">c) </w:t>
      </w:r>
      <w:r w:rsidRPr="0042238A">
        <w:rPr>
          <w:rFonts w:eastAsiaTheme="minorHAnsi"/>
          <w:lang w:val="fr-FR" w:eastAsia="en-US"/>
        </w:rPr>
        <w:tab/>
        <w:t>Les structures de la citerne et de ses éléments de chauffage doivent permettre de détecter, au cours d’une inspection, les effets éventuels d’une surchauffe.</w:t>
      </w:r>
    </w:p>
    <w:p w14:paraId="36BDA4CA" w14:textId="77777777" w:rsidR="0039366F" w:rsidRPr="0042238A" w:rsidRDefault="0039366F" w:rsidP="0039366F">
      <w:pPr>
        <w:tabs>
          <w:tab w:val="left" w:pos="1701"/>
          <w:tab w:val="left" w:pos="2268"/>
          <w:tab w:val="left" w:pos="2835"/>
        </w:tabs>
        <w:spacing w:after="120"/>
        <w:ind w:left="1134" w:right="1134"/>
        <w:jc w:val="both"/>
        <w:rPr>
          <w:rFonts w:eastAsiaTheme="minorHAnsi"/>
          <w:bCs/>
          <w:lang w:val="fr-FR" w:eastAsia="en-US"/>
        </w:rPr>
      </w:pPr>
      <w:r w:rsidRPr="0042238A">
        <w:rPr>
          <w:rFonts w:eastAsiaTheme="minorHAnsi"/>
          <w:bCs/>
          <w:lang w:val="fr-FR" w:eastAsia="en-US"/>
        </w:rPr>
        <w:t>6.9.2.2.3.4</w:t>
      </w:r>
      <w:r w:rsidRPr="0042238A">
        <w:rPr>
          <w:rFonts w:eastAsiaTheme="minorHAnsi"/>
          <w:b/>
          <w:bCs/>
          <w:lang w:val="fr-FR" w:eastAsia="ru-RU"/>
        </w:rPr>
        <w:tab/>
      </w:r>
      <w:r w:rsidRPr="0042238A">
        <w:rPr>
          <w:rFonts w:eastAsiaTheme="minorHAnsi"/>
          <w:lang w:val="fr-FR" w:eastAsia="en-US"/>
        </w:rPr>
        <w:t>Les parois des réservoirs doivent comprendre les éléments suivants :</w:t>
      </w:r>
    </w:p>
    <w:p w14:paraId="24679999" w14:textId="77777777" w:rsidR="0039366F" w:rsidRPr="0042238A" w:rsidRDefault="0039366F" w:rsidP="0039366F">
      <w:pPr>
        <w:tabs>
          <w:tab w:val="left" w:pos="2552"/>
        </w:tabs>
        <w:spacing w:after="120"/>
        <w:ind w:left="2268" w:right="1134"/>
        <w:jc w:val="both"/>
        <w:rPr>
          <w:rFonts w:eastAsiaTheme="minorHAnsi"/>
          <w:bCs/>
          <w:lang w:val="fr-FR" w:eastAsia="en-US"/>
        </w:rPr>
      </w:pPr>
      <w:r w:rsidRPr="0042238A">
        <w:rPr>
          <w:rFonts w:eastAsiaTheme="minorHAnsi"/>
          <w:lang w:val="fr-FR" w:eastAsia="en-US"/>
        </w:rPr>
        <w:t>-</w:t>
      </w:r>
      <w:r w:rsidRPr="0042238A">
        <w:rPr>
          <w:rFonts w:eastAsiaTheme="minorHAnsi"/>
          <w:lang w:val="fr-FR" w:eastAsia="en-US"/>
        </w:rPr>
        <w:tab/>
        <w:t>Revêtement ;</w:t>
      </w:r>
    </w:p>
    <w:p w14:paraId="357C4F9C" w14:textId="77777777" w:rsidR="0039366F" w:rsidRPr="0042238A" w:rsidRDefault="0039366F" w:rsidP="0039366F">
      <w:pPr>
        <w:tabs>
          <w:tab w:val="left" w:pos="2552"/>
        </w:tabs>
        <w:spacing w:after="120"/>
        <w:ind w:left="2268" w:right="1134"/>
        <w:jc w:val="both"/>
        <w:rPr>
          <w:rFonts w:eastAsiaTheme="minorHAnsi"/>
          <w:bCs/>
          <w:lang w:val="fr-FR" w:eastAsia="en-US"/>
        </w:rPr>
      </w:pPr>
      <w:r w:rsidRPr="0042238A">
        <w:rPr>
          <w:rFonts w:eastAsiaTheme="minorHAnsi"/>
          <w:lang w:val="fr-FR" w:eastAsia="en-US"/>
        </w:rPr>
        <w:t>-</w:t>
      </w:r>
      <w:r w:rsidRPr="0042238A">
        <w:rPr>
          <w:rFonts w:eastAsiaTheme="minorHAnsi"/>
          <w:lang w:val="fr-FR" w:eastAsia="en-US"/>
        </w:rPr>
        <w:tab/>
        <w:t>Couche structurale ;</w:t>
      </w:r>
    </w:p>
    <w:p w14:paraId="7D06E304" w14:textId="77777777" w:rsidR="0039366F" w:rsidRPr="0042238A" w:rsidRDefault="0039366F" w:rsidP="0039366F">
      <w:pPr>
        <w:tabs>
          <w:tab w:val="left" w:pos="2552"/>
        </w:tabs>
        <w:spacing w:after="120"/>
        <w:ind w:left="2268" w:right="1134"/>
        <w:jc w:val="both"/>
        <w:rPr>
          <w:rFonts w:eastAsiaTheme="minorHAnsi"/>
          <w:lang w:val="fr-FR" w:eastAsia="en-US"/>
        </w:rPr>
      </w:pPr>
      <w:r w:rsidRPr="0042238A">
        <w:rPr>
          <w:rFonts w:eastAsiaTheme="minorHAnsi"/>
          <w:lang w:val="fr-FR" w:eastAsia="en-US"/>
        </w:rPr>
        <w:t>-</w:t>
      </w:r>
      <w:r w:rsidRPr="0042238A">
        <w:rPr>
          <w:rFonts w:eastAsiaTheme="minorHAnsi"/>
          <w:lang w:val="fr-FR" w:eastAsia="en-US"/>
        </w:rPr>
        <w:tab/>
        <w:t>Couche externe.</w:t>
      </w:r>
    </w:p>
    <w:p w14:paraId="0C401E5F" w14:textId="77777777" w:rsidR="0039366F" w:rsidRPr="0042238A" w:rsidRDefault="0039366F" w:rsidP="0039366F">
      <w:pPr>
        <w:tabs>
          <w:tab w:val="left" w:pos="1701"/>
          <w:tab w:val="left" w:pos="2268"/>
          <w:tab w:val="left" w:pos="2835"/>
        </w:tabs>
        <w:spacing w:after="120"/>
        <w:ind w:left="1134" w:right="1134"/>
        <w:jc w:val="both"/>
        <w:rPr>
          <w:rFonts w:eastAsiaTheme="minorHAnsi"/>
          <w:bCs/>
          <w:lang w:val="fr-FR" w:eastAsia="en-US"/>
        </w:rPr>
      </w:pPr>
      <w:r w:rsidRPr="0042238A">
        <w:rPr>
          <w:rFonts w:eastAsiaTheme="minorHAnsi"/>
          <w:b/>
          <w:bCs/>
          <w:i/>
          <w:iCs/>
          <w:lang w:val="fr-FR" w:eastAsia="en-US"/>
        </w:rPr>
        <w:t>NOTA :</w:t>
      </w:r>
      <w:r w:rsidRPr="0042238A">
        <w:rPr>
          <w:rFonts w:eastAsiaTheme="minorHAnsi"/>
          <w:i/>
          <w:iCs/>
          <w:lang w:val="fr-FR" w:eastAsia="en-US"/>
        </w:rPr>
        <w:t xml:space="preserve"> Les couches peuvent être combinées lorsque tous les critères fonctionnels applicables sont réunis.</w:t>
      </w:r>
    </w:p>
    <w:p w14:paraId="12D9D730" w14:textId="77777777" w:rsidR="0039366F" w:rsidRPr="0042238A" w:rsidRDefault="0039366F" w:rsidP="0039366F">
      <w:pPr>
        <w:tabs>
          <w:tab w:val="left" w:pos="1701"/>
          <w:tab w:val="left" w:pos="2268"/>
          <w:tab w:val="left" w:pos="2835"/>
        </w:tabs>
        <w:spacing w:after="120"/>
        <w:ind w:left="1134" w:right="1134"/>
        <w:jc w:val="both"/>
        <w:rPr>
          <w:rFonts w:eastAsiaTheme="minorHAnsi"/>
          <w:bCs/>
          <w:lang w:val="fr-FR" w:eastAsia="en-US"/>
        </w:rPr>
      </w:pPr>
      <w:r w:rsidRPr="0042238A">
        <w:rPr>
          <w:rFonts w:eastAsiaTheme="minorHAnsi"/>
          <w:bCs/>
          <w:color w:val="000000"/>
          <w:lang w:val="fr-FR" w:eastAsia="en-US"/>
        </w:rPr>
        <w:t>6.9.2.2.3.5</w:t>
      </w:r>
      <w:r w:rsidRPr="0042238A">
        <w:rPr>
          <w:rFonts w:eastAsiaTheme="minorHAnsi"/>
          <w:bCs/>
          <w:color w:val="000000"/>
          <w:lang w:val="fr-FR" w:eastAsia="en-US"/>
        </w:rPr>
        <w:tab/>
      </w:r>
      <w:r w:rsidRPr="0042238A">
        <w:rPr>
          <w:rFonts w:eastAsiaTheme="minorHAnsi"/>
          <w:lang w:val="fr-FR" w:eastAsia="en-US"/>
        </w:rPr>
        <w:t xml:space="preserve">Le revêtement interne est l’élément interne du réservoir constituant la première barrière destinée à opposer une résistance chimique de longue durée aux matières transportées et à empêcher toute réaction dangereuse avec le contenu de la citerne, la formation de composés dangereux et tout affaiblissement important de la couche structurale dû à la diffusion des matières à travers le revêtement interne. La compatibilité chimique doit être vérifiée conformément au </w:t>
      </w:r>
      <w:r w:rsidRPr="0042238A">
        <w:rPr>
          <w:rFonts w:eastAsiaTheme="minorHAnsi"/>
          <w:iCs/>
          <w:lang w:val="fr-FR" w:eastAsia="en-US"/>
        </w:rPr>
        <w:t>6.9.2.7.1</w:t>
      </w:r>
      <w:r w:rsidRPr="0042238A">
        <w:rPr>
          <w:rFonts w:eastAsiaTheme="minorHAnsi"/>
          <w:lang w:val="fr-FR" w:eastAsia="en-US"/>
        </w:rPr>
        <w:t>.3.</w:t>
      </w:r>
    </w:p>
    <w:p w14:paraId="4A211A83" w14:textId="77777777" w:rsidR="0039366F" w:rsidRPr="0042238A" w:rsidRDefault="0039366F" w:rsidP="0039366F">
      <w:pPr>
        <w:tabs>
          <w:tab w:val="left" w:pos="1701"/>
          <w:tab w:val="left" w:pos="2268"/>
          <w:tab w:val="left" w:pos="2835"/>
        </w:tabs>
        <w:spacing w:after="120"/>
        <w:ind w:left="1134" w:right="1134"/>
        <w:jc w:val="both"/>
        <w:rPr>
          <w:rFonts w:eastAsiaTheme="minorHAnsi"/>
          <w:bCs/>
          <w:lang w:val="fr-FR" w:eastAsia="en-US"/>
        </w:rPr>
      </w:pPr>
      <w:r w:rsidRPr="0042238A">
        <w:rPr>
          <w:rFonts w:eastAsiaTheme="minorHAnsi"/>
          <w:bCs/>
          <w:color w:val="000000"/>
          <w:lang w:val="fr-FR" w:eastAsia="en-US"/>
        </w:rPr>
        <w:t>Le revêtement interne peut être un revêtement en PRF ou un revêtement thermoplastique.</w:t>
      </w:r>
    </w:p>
    <w:p w14:paraId="7302F7C4" w14:textId="77777777" w:rsidR="0039366F" w:rsidRPr="0042238A" w:rsidRDefault="0039366F" w:rsidP="0039366F">
      <w:pPr>
        <w:tabs>
          <w:tab w:val="left" w:pos="1701"/>
          <w:tab w:val="left" w:pos="2268"/>
          <w:tab w:val="left" w:pos="2835"/>
        </w:tabs>
        <w:spacing w:after="120"/>
        <w:ind w:left="1134" w:right="1134"/>
        <w:jc w:val="both"/>
        <w:rPr>
          <w:rFonts w:eastAsiaTheme="minorHAnsi"/>
          <w:bCs/>
          <w:lang w:val="fr-FR" w:eastAsia="en-US"/>
        </w:rPr>
      </w:pPr>
      <w:r w:rsidRPr="0042238A">
        <w:rPr>
          <w:rFonts w:eastAsiaTheme="minorHAnsi"/>
          <w:lang w:val="fr-FR" w:eastAsia="en-US"/>
        </w:rPr>
        <w:t>6.9.2.2.3.6</w:t>
      </w:r>
      <w:r w:rsidRPr="0042238A">
        <w:rPr>
          <w:rFonts w:eastAsiaTheme="minorHAnsi"/>
          <w:b/>
          <w:lang w:val="fr-FR" w:eastAsia="en-US"/>
        </w:rPr>
        <w:tab/>
      </w:r>
      <w:r w:rsidRPr="0042238A">
        <w:rPr>
          <w:rFonts w:eastAsiaTheme="minorHAnsi"/>
          <w:lang w:val="fr-FR" w:eastAsia="en-US"/>
        </w:rPr>
        <w:t>Les revêtements en PRF doivent comprendre les deux composants suivants :</w:t>
      </w:r>
    </w:p>
    <w:p w14:paraId="53E814C9"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en-US"/>
        </w:rPr>
      </w:pPr>
      <w:r w:rsidRPr="0042238A">
        <w:rPr>
          <w:rFonts w:eastAsiaTheme="minorHAnsi"/>
          <w:lang w:val="fr-FR" w:eastAsia="en-US"/>
        </w:rPr>
        <w:t>a)</w:t>
      </w:r>
      <w:r w:rsidRPr="0042238A">
        <w:rPr>
          <w:rFonts w:eastAsiaTheme="minorHAnsi"/>
          <w:lang w:val="fr-FR" w:eastAsia="en-US"/>
        </w:rPr>
        <w:tab/>
        <w:t>Une couche superficielle (« gel-</w:t>
      </w:r>
      <w:proofErr w:type="spellStart"/>
      <w:r w:rsidRPr="0042238A">
        <w:rPr>
          <w:rFonts w:eastAsiaTheme="minorHAnsi"/>
          <w:lang w:val="fr-FR" w:eastAsia="en-US"/>
        </w:rPr>
        <w:t>coat</w:t>
      </w:r>
      <w:proofErr w:type="spellEnd"/>
      <w:r w:rsidRPr="0042238A">
        <w:rPr>
          <w:rFonts w:eastAsiaTheme="minorHAnsi"/>
          <w:lang w:val="fr-FR" w:eastAsia="en-US"/>
        </w:rPr>
        <w:t> ») : une couche superficielle à forte teneur en résine, renforcée par un voile compatible avec la résine et le contenu utilisés. Cette couche doit avoir une teneur en fibres maximale de 30 % en masse et son épaisseur doit être au minimum de 0,25 mm et au maximum de 0,60 mm ;</w:t>
      </w:r>
    </w:p>
    <w:p w14:paraId="09724328"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en-US"/>
        </w:rPr>
      </w:pPr>
      <w:r w:rsidRPr="0042238A">
        <w:rPr>
          <w:rFonts w:eastAsiaTheme="minorHAnsi"/>
          <w:lang w:val="fr-FR" w:eastAsia="en-US"/>
        </w:rPr>
        <w:t>b)</w:t>
      </w:r>
      <w:r w:rsidRPr="0042238A">
        <w:rPr>
          <w:rFonts w:eastAsiaTheme="minorHAnsi"/>
          <w:lang w:val="fr-FR" w:eastAsia="en-US"/>
        </w:rPr>
        <w:tab/>
        <w:t>Une ou plusieurs couches de renforcement : une ou plusieurs couches d’une épaisseur minimale de 2 mm, contenant un mat de verre ou à fils coupés d’au moins 900 g/m</w:t>
      </w:r>
      <w:r w:rsidRPr="0042238A">
        <w:rPr>
          <w:rFonts w:eastAsiaTheme="minorHAnsi"/>
          <w:vertAlign w:val="superscript"/>
          <w:lang w:val="fr-FR" w:eastAsia="en-US"/>
        </w:rPr>
        <w:t>2</w:t>
      </w:r>
      <w:r w:rsidRPr="0042238A">
        <w:rPr>
          <w:rFonts w:eastAsiaTheme="minorHAnsi"/>
          <w:lang w:val="fr-FR" w:eastAsia="en-US"/>
        </w:rPr>
        <w:t>, et d’une teneur en verre d’au moins 30 % en masse, à moins qu’il soit prouvé qu’une teneur en verre inférieure offre le même degré de sécurité.</w:t>
      </w:r>
    </w:p>
    <w:p w14:paraId="7F870ABA"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lastRenderedPageBreak/>
        <w:t>6.9.2.2.3.7</w:t>
      </w:r>
      <w:r w:rsidRPr="0042238A">
        <w:rPr>
          <w:rFonts w:eastAsiaTheme="minorHAnsi"/>
          <w:lang w:val="fr-FR" w:eastAsia="en-US"/>
        </w:rPr>
        <w:tab/>
        <w:t>Lorsque le revêtement est constitué de feuilles thermoplastiques, celles</w:t>
      </w:r>
      <w:r w:rsidRPr="0042238A">
        <w:rPr>
          <w:rFonts w:eastAsiaTheme="minorHAnsi"/>
          <w:lang w:val="fr-FR" w:eastAsia="en-US"/>
        </w:rPr>
        <w:noBreakHyphen/>
        <w:t>ci doivent être soudées les unes aux autres dans la forme requise, au moyen d’un procédé de soudage homologué mis en œuvre par du personnel qualifié. En outre, le revêtement soudé doit avoir une couche de matériau électriquement conducteur placée contre la surface de la soudure qui n’est pas en contact avec les liquides, pour faciliter l’épreuve à l’étincelle. Une liaison durable entre les revêtements et la couche structurale doit être obtenue au moyen d’une méthode appropriée.</w:t>
      </w:r>
    </w:p>
    <w:p w14:paraId="7AB3806C"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color w:val="000000"/>
          <w:lang w:val="fr-FR" w:eastAsia="en-US"/>
        </w:rPr>
        <w:t>6.9.2.2.3.8</w:t>
      </w:r>
      <w:r w:rsidRPr="0042238A">
        <w:rPr>
          <w:rFonts w:eastAsiaTheme="minorHAnsi"/>
          <w:bCs/>
          <w:color w:val="000000"/>
          <w:lang w:val="fr-FR" w:eastAsia="ru-RU"/>
        </w:rPr>
        <w:tab/>
        <w:t xml:space="preserve">La couche structurale doit être conçue de manière à supporter les charges prévues aux </w:t>
      </w:r>
      <w:r w:rsidRPr="0042238A">
        <w:rPr>
          <w:rFonts w:eastAsiaTheme="minorHAnsi"/>
          <w:lang w:val="fr-FR" w:eastAsia="en-US"/>
        </w:rPr>
        <w:t xml:space="preserve">6.7.2.2.12, </w:t>
      </w:r>
      <w:r w:rsidRPr="0042238A">
        <w:rPr>
          <w:rFonts w:eastAsiaTheme="minorHAnsi"/>
          <w:bCs/>
          <w:lang w:val="fr-FR" w:eastAsia="en-US"/>
        </w:rPr>
        <w:t>6.9.2.2.3.1,</w:t>
      </w:r>
      <w:r w:rsidRPr="0042238A">
        <w:rPr>
          <w:rFonts w:eastAsiaTheme="minorHAnsi"/>
          <w:lang w:val="fr-FR" w:eastAsia="en-US"/>
        </w:rPr>
        <w:t xml:space="preserve"> 6.9.2.3.2, 6.9.2.3.4 et 6.9.2.3.6.</w:t>
      </w:r>
    </w:p>
    <w:p w14:paraId="53529D01" w14:textId="77777777" w:rsidR="0039366F" w:rsidRPr="0042238A" w:rsidRDefault="0039366F" w:rsidP="0039366F">
      <w:pPr>
        <w:tabs>
          <w:tab w:val="left" w:pos="1701"/>
          <w:tab w:val="left" w:pos="2268"/>
          <w:tab w:val="left" w:pos="2835"/>
        </w:tabs>
        <w:spacing w:after="120"/>
        <w:ind w:left="1134" w:right="1134"/>
        <w:jc w:val="both"/>
        <w:rPr>
          <w:rFonts w:eastAsiaTheme="minorHAnsi"/>
          <w:strike/>
          <w:lang w:val="fr-FR" w:eastAsia="en-US"/>
        </w:rPr>
      </w:pPr>
      <w:r w:rsidRPr="0042238A">
        <w:rPr>
          <w:rFonts w:eastAsiaTheme="minorHAnsi"/>
          <w:bCs/>
          <w:color w:val="000000"/>
          <w:lang w:val="fr-FR" w:eastAsia="en-US"/>
        </w:rPr>
        <w:t>6.9.2.2.3.9</w:t>
      </w:r>
      <w:r w:rsidRPr="0042238A">
        <w:rPr>
          <w:rFonts w:eastAsiaTheme="minorHAnsi"/>
          <w:color w:val="000000"/>
          <w:lang w:val="fr-FR" w:eastAsia="en-US"/>
        </w:rPr>
        <w:tab/>
        <w:t>La couche externe de résine ou de peinture doit fournir une protection adéquate des couches structurales du réservoir contre les risques posés par l’environnement et par les conditions d’utilisation, notamment les rayons UV et le brouillard salin, et contre les éclaboussures occasionnelles de matières transportées</w:t>
      </w:r>
      <w:r w:rsidRPr="0042238A">
        <w:rPr>
          <w:rFonts w:eastAsiaTheme="minorHAnsi"/>
          <w:lang w:val="fr-FR" w:eastAsia="en-US"/>
        </w:rPr>
        <w:t>.</w:t>
      </w:r>
    </w:p>
    <w:p w14:paraId="235E0D40"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color w:val="000000"/>
          <w:lang w:val="fr-FR" w:eastAsia="en-US"/>
        </w:rPr>
        <w:t>6.9.2.2.3.10</w:t>
      </w:r>
      <w:r w:rsidRPr="0042238A">
        <w:rPr>
          <w:rFonts w:eastAsiaTheme="minorHAnsi"/>
          <w:b/>
          <w:color w:val="000000"/>
          <w:lang w:val="fr-FR" w:eastAsia="en-US"/>
        </w:rPr>
        <w:tab/>
      </w:r>
      <w:r w:rsidRPr="0042238A">
        <w:rPr>
          <w:rFonts w:eastAsiaTheme="minorHAnsi"/>
          <w:lang w:val="fr-FR" w:eastAsia="en-US"/>
        </w:rPr>
        <w:t xml:space="preserve">Résines </w:t>
      </w:r>
    </w:p>
    <w:p w14:paraId="6A2F1A94" w14:textId="77777777" w:rsidR="0039366F" w:rsidRPr="0042238A" w:rsidRDefault="0039366F" w:rsidP="0039366F">
      <w:pPr>
        <w:tabs>
          <w:tab w:val="left" w:pos="1701"/>
          <w:tab w:val="left" w:pos="2268"/>
          <w:tab w:val="left" w:pos="2835"/>
        </w:tabs>
        <w:spacing w:after="120"/>
        <w:ind w:left="1134" w:right="1134"/>
        <w:jc w:val="both"/>
        <w:rPr>
          <w:rFonts w:eastAsiaTheme="minorHAnsi"/>
          <w:bCs/>
          <w:lang w:val="fr-FR" w:eastAsia="en-US"/>
        </w:rPr>
      </w:pPr>
      <w:r w:rsidRPr="0042238A">
        <w:rPr>
          <w:rFonts w:eastAsiaTheme="minorHAnsi"/>
          <w:lang w:val="fr-FR" w:eastAsia="en-US"/>
        </w:rPr>
        <w:t>Le traitement du mélange de résine doit être effectué selon les recommandations du fournisseur. Ces résines peuvent être :</w:t>
      </w:r>
    </w:p>
    <w:p w14:paraId="2C1B80CD" w14:textId="77777777" w:rsidR="0039366F" w:rsidRPr="0042238A" w:rsidRDefault="0039366F" w:rsidP="0039366F">
      <w:pPr>
        <w:tabs>
          <w:tab w:val="left" w:pos="1985"/>
        </w:tabs>
        <w:spacing w:after="120"/>
        <w:ind w:left="1985" w:right="1134"/>
        <w:jc w:val="both"/>
        <w:rPr>
          <w:rFonts w:eastAsiaTheme="minorHAnsi"/>
          <w:bCs/>
          <w:lang w:val="fr-FR" w:eastAsia="en-US"/>
        </w:rPr>
      </w:pPr>
      <w:r w:rsidRPr="0042238A">
        <w:rPr>
          <w:rFonts w:eastAsiaTheme="minorHAnsi"/>
          <w:lang w:val="fr-FR" w:eastAsia="en-US"/>
        </w:rPr>
        <w:t>-</w:t>
      </w:r>
      <w:r w:rsidRPr="0042238A">
        <w:rPr>
          <w:rFonts w:eastAsiaTheme="minorHAnsi"/>
          <w:lang w:val="fr-FR" w:eastAsia="en-US"/>
        </w:rPr>
        <w:tab/>
        <w:t>Des résines polyester non saturées ;</w:t>
      </w:r>
    </w:p>
    <w:p w14:paraId="3628F491" w14:textId="77777777" w:rsidR="0039366F" w:rsidRPr="0042238A" w:rsidRDefault="0039366F" w:rsidP="0039366F">
      <w:pPr>
        <w:tabs>
          <w:tab w:val="left" w:pos="1985"/>
        </w:tabs>
        <w:spacing w:after="120"/>
        <w:ind w:left="1985" w:right="1134"/>
        <w:jc w:val="both"/>
        <w:rPr>
          <w:rFonts w:eastAsiaTheme="minorHAnsi"/>
          <w:lang w:val="fr-FR" w:eastAsia="en-US"/>
        </w:rPr>
      </w:pPr>
      <w:r w:rsidRPr="0042238A">
        <w:rPr>
          <w:rFonts w:eastAsiaTheme="minorHAnsi"/>
          <w:lang w:val="fr-FR" w:eastAsia="en-US"/>
        </w:rPr>
        <w:t>-</w:t>
      </w:r>
      <w:r w:rsidRPr="0042238A">
        <w:rPr>
          <w:rFonts w:eastAsiaTheme="minorHAnsi"/>
          <w:lang w:val="fr-FR" w:eastAsia="en-US"/>
        </w:rPr>
        <w:tab/>
        <w:t xml:space="preserve">Des résines </w:t>
      </w:r>
      <w:proofErr w:type="spellStart"/>
      <w:r w:rsidRPr="0042238A">
        <w:rPr>
          <w:rFonts w:eastAsiaTheme="minorHAnsi"/>
          <w:lang w:val="fr-FR" w:eastAsia="en-US"/>
        </w:rPr>
        <w:t>vinylester</w:t>
      </w:r>
      <w:proofErr w:type="spellEnd"/>
      <w:r w:rsidRPr="0042238A">
        <w:rPr>
          <w:rFonts w:eastAsiaTheme="minorHAnsi"/>
          <w:lang w:val="fr-FR" w:eastAsia="en-US"/>
        </w:rPr>
        <w:t> ;</w:t>
      </w:r>
    </w:p>
    <w:p w14:paraId="5C3B2C13" w14:textId="77777777" w:rsidR="0039366F" w:rsidRPr="0042238A" w:rsidRDefault="0039366F" w:rsidP="0039366F">
      <w:pPr>
        <w:tabs>
          <w:tab w:val="left" w:pos="1985"/>
        </w:tabs>
        <w:spacing w:after="120"/>
        <w:ind w:left="1985" w:right="1134"/>
        <w:jc w:val="both"/>
        <w:rPr>
          <w:rFonts w:eastAsiaTheme="minorHAnsi"/>
          <w:lang w:val="fr-FR" w:eastAsia="en-US"/>
        </w:rPr>
      </w:pPr>
      <w:r w:rsidRPr="0042238A">
        <w:rPr>
          <w:rFonts w:eastAsiaTheme="minorHAnsi"/>
          <w:lang w:val="fr-FR" w:eastAsia="en-US"/>
        </w:rPr>
        <w:t>-</w:t>
      </w:r>
      <w:r w:rsidRPr="0042238A">
        <w:rPr>
          <w:rFonts w:eastAsiaTheme="minorHAnsi"/>
          <w:lang w:val="fr-FR" w:eastAsia="en-US"/>
        </w:rPr>
        <w:tab/>
        <w:t>Des résines époxydes ;</w:t>
      </w:r>
    </w:p>
    <w:p w14:paraId="6516C717" w14:textId="77777777" w:rsidR="0039366F" w:rsidRPr="0042238A" w:rsidRDefault="0039366F" w:rsidP="0039366F">
      <w:pPr>
        <w:tabs>
          <w:tab w:val="left" w:pos="1985"/>
        </w:tabs>
        <w:spacing w:after="120"/>
        <w:ind w:left="1985" w:right="1134"/>
        <w:jc w:val="both"/>
        <w:rPr>
          <w:rFonts w:eastAsiaTheme="minorHAnsi"/>
          <w:bCs/>
          <w:lang w:val="fr-FR" w:eastAsia="en-US"/>
        </w:rPr>
      </w:pPr>
      <w:r w:rsidRPr="0042238A">
        <w:rPr>
          <w:rFonts w:eastAsiaTheme="minorHAnsi"/>
          <w:lang w:val="fr-FR" w:eastAsia="en-US"/>
        </w:rPr>
        <w:t>-</w:t>
      </w:r>
      <w:r w:rsidRPr="0042238A">
        <w:rPr>
          <w:rFonts w:eastAsiaTheme="minorHAnsi"/>
          <w:lang w:val="fr-FR" w:eastAsia="en-US"/>
        </w:rPr>
        <w:tab/>
        <w:t>Des résines phénoliques ;</w:t>
      </w:r>
    </w:p>
    <w:p w14:paraId="35E0B6AA" w14:textId="77777777" w:rsidR="0039366F" w:rsidRPr="0042238A" w:rsidRDefault="0039366F" w:rsidP="0039366F">
      <w:pPr>
        <w:tabs>
          <w:tab w:val="left" w:pos="1985"/>
        </w:tabs>
        <w:spacing w:after="120"/>
        <w:ind w:left="1985" w:right="1134"/>
        <w:jc w:val="both"/>
        <w:rPr>
          <w:rFonts w:eastAsiaTheme="minorHAnsi"/>
          <w:bCs/>
          <w:lang w:val="fr-FR" w:eastAsia="en-US"/>
        </w:rPr>
      </w:pPr>
      <w:r w:rsidRPr="0042238A">
        <w:rPr>
          <w:rFonts w:eastAsiaTheme="minorHAnsi"/>
          <w:lang w:val="fr-FR" w:eastAsia="en-US"/>
        </w:rPr>
        <w:t>-</w:t>
      </w:r>
      <w:r w:rsidRPr="0042238A">
        <w:rPr>
          <w:rFonts w:eastAsiaTheme="minorHAnsi"/>
          <w:lang w:val="fr-FR" w:eastAsia="en-US"/>
        </w:rPr>
        <w:tab/>
        <w:t>Des résines thermoplastiques.</w:t>
      </w:r>
    </w:p>
    <w:p w14:paraId="08CC7486" w14:textId="77777777" w:rsidR="0039366F" w:rsidRPr="0042238A" w:rsidRDefault="0039366F" w:rsidP="0039366F">
      <w:pPr>
        <w:tabs>
          <w:tab w:val="left" w:pos="1701"/>
          <w:tab w:val="left" w:pos="2268"/>
          <w:tab w:val="left" w:pos="2835"/>
        </w:tabs>
        <w:spacing w:after="120"/>
        <w:ind w:left="1134" w:right="1134"/>
        <w:jc w:val="both"/>
        <w:rPr>
          <w:rFonts w:eastAsiaTheme="minorHAnsi"/>
          <w:bCs/>
          <w:lang w:val="fr-FR" w:eastAsia="en-US"/>
        </w:rPr>
      </w:pPr>
      <w:r w:rsidRPr="0042238A">
        <w:rPr>
          <w:rFonts w:eastAsiaTheme="minorHAnsi"/>
          <w:lang w:val="fr-FR" w:eastAsia="en-US"/>
        </w:rPr>
        <w:t xml:space="preserve">La température de distorsion thermique (HDT) de la résine, déterminée conformément au </w:t>
      </w:r>
      <w:r w:rsidRPr="0042238A">
        <w:rPr>
          <w:rFonts w:eastAsiaTheme="minorHAnsi"/>
          <w:bCs/>
          <w:lang w:val="fr-FR" w:eastAsia="en-US"/>
        </w:rPr>
        <w:t xml:space="preserve">6.9.2.7.1.1, </w:t>
      </w:r>
      <w:r w:rsidRPr="0042238A">
        <w:rPr>
          <w:rFonts w:eastAsiaTheme="minorHAnsi"/>
          <w:lang w:val="fr-FR" w:eastAsia="en-US"/>
        </w:rPr>
        <w:t>doit être supérieure d’au moins 20 °C à la température de calcul maximale du réservoir telle que définie au </w:t>
      </w:r>
      <w:r w:rsidRPr="0042238A">
        <w:rPr>
          <w:rFonts w:eastAsia="SimSun"/>
          <w:lang w:val="fr-FR" w:eastAsia="en-US"/>
        </w:rPr>
        <w:t>6.9.2.2.3.2</w:t>
      </w:r>
      <w:r w:rsidRPr="0042238A">
        <w:rPr>
          <w:rFonts w:eastAsiaTheme="minorHAnsi"/>
          <w:lang w:val="fr-FR" w:eastAsia="en-US"/>
        </w:rPr>
        <w:t>, mais ne doit en aucun cas être inférieure à 70 °C.</w:t>
      </w:r>
    </w:p>
    <w:p w14:paraId="269EE736" w14:textId="77777777" w:rsidR="0039366F" w:rsidRPr="0042238A" w:rsidRDefault="0039366F" w:rsidP="0039366F">
      <w:pPr>
        <w:tabs>
          <w:tab w:val="left" w:pos="1701"/>
          <w:tab w:val="left" w:pos="2268"/>
          <w:tab w:val="left" w:pos="2835"/>
        </w:tabs>
        <w:spacing w:after="120"/>
        <w:ind w:left="1134" w:right="1134"/>
        <w:jc w:val="both"/>
        <w:rPr>
          <w:rFonts w:eastAsiaTheme="minorHAnsi"/>
          <w:bCs/>
          <w:color w:val="000000"/>
          <w:lang w:val="fr-FR" w:eastAsia="en-US"/>
        </w:rPr>
      </w:pPr>
      <w:r w:rsidRPr="0042238A">
        <w:rPr>
          <w:rFonts w:eastAsiaTheme="minorHAnsi"/>
          <w:bCs/>
          <w:color w:val="000000"/>
          <w:lang w:val="fr-FR" w:eastAsia="en-US"/>
        </w:rPr>
        <w:t>6.9.2.2.3.11</w:t>
      </w:r>
      <w:r w:rsidRPr="0042238A">
        <w:rPr>
          <w:rFonts w:eastAsiaTheme="minorHAnsi"/>
          <w:lang w:val="fr-FR" w:eastAsia="en-US"/>
        </w:rPr>
        <w:t xml:space="preserve"> Matériau sélectionné pour renforcer les couches structurales</w:t>
      </w:r>
    </w:p>
    <w:p w14:paraId="3918D4BD" w14:textId="77777777" w:rsidR="0039366F" w:rsidRPr="0042238A" w:rsidRDefault="0039366F" w:rsidP="0039366F">
      <w:pPr>
        <w:tabs>
          <w:tab w:val="left" w:pos="1701"/>
          <w:tab w:val="left" w:pos="2268"/>
          <w:tab w:val="left" w:pos="2835"/>
        </w:tabs>
        <w:spacing w:after="120"/>
        <w:ind w:left="1134" w:right="1134"/>
        <w:jc w:val="both"/>
        <w:rPr>
          <w:rFonts w:eastAsiaTheme="minorHAnsi"/>
          <w:bCs/>
          <w:lang w:val="fr-FR" w:eastAsia="en-US"/>
        </w:rPr>
      </w:pPr>
      <w:r w:rsidRPr="0042238A">
        <w:rPr>
          <w:rFonts w:eastAsiaTheme="minorHAnsi"/>
          <w:lang w:val="fr-FR" w:eastAsia="en-US"/>
        </w:rPr>
        <w:t>Le matériau sélectionné pour renforcer les couches structurales doit répondre aux prescriptions applicables à la couche structurale.</w:t>
      </w:r>
    </w:p>
    <w:p w14:paraId="08A63380"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 xml:space="preserve">Pour le revêtement de la surface interne, des fibres de verre, au minimum du type C ou ECR selon la norme ISO 2078:1993 + </w:t>
      </w:r>
      <w:proofErr w:type="spellStart"/>
      <w:r w:rsidRPr="0042238A">
        <w:rPr>
          <w:rFonts w:eastAsiaTheme="minorHAnsi"/>
          <w:lang w:val="fr-FR" w:eastAsia="en-US"/>
        </w:rPr>
        <w:t>Amd</w:t>
      </w:r>
      <w:proofErr w:type="spellEnd"/>
      <w:r w:rsidRPr="0042238A">
        <w:rPr>
          <w:rFonts w:eastAsiaTheme="minorHAnsi"/>
          <w:lang w:val="fr-FR" w:eastAsia="en-US"/>
        </w:rPr>
        <w:t> 1:2015, doivent être utilisées. Les voiles thermoplastiques ne peuvent être utilisés pour le revêtement interne que si leur compatibilité avec le contenu prévu a été prouvée.</w:t>
      </w:r>
    </w:p>
    <w:p w14:paraId="6B126AFF"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color w:val="000000"/>
          <w:lang w:val="fr-FR" w:eastAsia="en-US"/>
        </w:rPr>
        <w:t>6.9.2.2.3.12</w:t>
      </w:r>
      <w:r w:rsidRPr="0042238A">
        <w:rPr>
          <w:rFonts w:eastAsiaTheme="minorHAnsi"/>
          <w:b/>
          <w:color w:val="000000"/>
          <w:lang w:val="fr-FR" w:eastAsia="en-US"/>
        </w:rPr>
        <w:tab/>
      </w:r>
      <w:r w:rsidRPr="0042238A">
        <w:rPr>
          <w:rFonts w:eastAsiaTheme="minorHAnsi"/>
          <w:lang w:val="fr-FR" w:eastAsia="en-US"/>
        </w:rPr>
        <w:t>Adjuvants</w:t>
      </w:r>
    </w:p>
    <w:p w14:paraId="3C9FAD00"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Les adjuvants nécessaires pour le traitement de la résine, tels que catalyseurs, accélérateurs, durcisseurs et matières thixotropiques, de même que les matériaux utilisés pour améliorer les caractéristiques de la citerne, tels que charges, colorants, pigments, etc., ne doivent pas affaiblir le matériau, compte tenu de la durée de vie et de la température de fonctionnement prévue selon le type.</w:t>
      </w:r>
    </w:p>
    <w:p w14:paraId="54BCB649"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color w:val="000000"/>
          <w:lang w:val="fr-FR" w:eastAsia="en-US"/>
        </w:rPr>
        <w:t>6.9.2.2.3.13</w:t>
      </w:r>
      <w:r w:rsidRPr="0042238A">
        <w:rPr>
          <w:rFonts w:eastAsiaTheme="minorHAnsi"/>
          <w:b/>
          <w:color w:val="000000"/>
          <w:lang w:val="fr-FR" w:eastAsia="en-US"/>
        </w:rPr>
        <w:tab/>
      </w:r>
      <w:r w:rsidRPr="0042238A">
        <w:rPr>
          <w:rFonts w:eastAsiaTheme="minorHAnsi"/>
          <w:lang w:val="fr-FR" w:eastAsia="en-US"/>
        </w:rPr>
        <w:t xml:space="preserve">Les réservoirs en PRF, leurs éléments de fixation et leur équipement de service et de structure doivent être conçus de façon à résister aux charges indiquées aux 6.7.2.2.12, </w:t>
      </w:r>
      <w:r w:rsidRPr="0042238A">
        <w:rPr>
          <w:rFonts w:eastAsiaTheme="minorHAnsi"/>
          <w:bCs/>
          <w:lang w:val="fr-FR" w:eastAsia="en-US"/>
        </w:rPr>
        <w:t>6.9.2.2.3,</w:t>
      </w:r>
      <w:r w:rsidRPr="0042238A">
        <w:rPr>
          <w:rFonts w:eastAsiaTheme="minorHAnsi"/>
          <w:lang w:val="fr-FR" w:eastAsia="en-US"/>
        </w:rPr>
        <w:t xml:space="preserve"> 6.9.2.3.2, 6.9.2.3.4 et 6.9.2.3.6 sans aucune fuite (sauf pour les quantités de gaz s’échappant par les dispositifs de dégazage) pendant la durée de vie prévue selon le type.</w:t>
      </w:r>
    </w:p>
    <w:p w14:paraId="66A9EDD4" w14:textId="77777777" w:rsidR="0039366F" w:rsidRPr="0042238A" w:rsidRDefault="0039366F" w:rsidP="0039366F">
      <w:pPr>
        <w:tabs>
          <w:tab w:val="left" w:pos="1701"/>
          <w:tab w:val="left" w:pos="2268"/>
          <w:tab w:val="left" w:pos="2835"/>
        </w:tabs>
        <w:spacing w:after="120"/>
        <w:ind w:left="1134" w:right="1134"/>
        <w:jc w:val="both"/>
        <w:rPr>
          <w:rFonts w:eastAsiaTheme="minorHAnsi"/>
          <w:b/>
          <w:lang w:val="fr-FR" w:eastAsia="en-US"/>
        </w:rPr>
      </w:pPr>
      <w:r w:rsidRPr="0042238A">
        <w:rPr>
          <w:rFonts w:eastAsiaTheme="minorHAnsi"/>
          <w:bCs/>
          <w:color w:val="000000"/>
          <w:lang w:val="fr-FR" w:eastAsia="en-US"/>
        </w:rPr>
        <w:t>6.9.2.2.3.14</w:t>
      </w:r>
      <w:r w:rsidRPr="0042238A">
        <w:rPr>
          <w:rFonts w:eastAsiaTheme="minorHAnsi"/>
          <w:b/>
          <w:color w:val="000000"/>
          <w:lang w:val="fr-FR" w:eastAsia="en-US"/>
        </w:rPr>
        <w:tab/>
      </w:r>
      <w:r w:rsidRPr="0042238A">
        <w:rPr>
          <w:rFonts w:eastAsiaTheme="minorHAnsi"/>
          <w:lang w:val="fr-FR" w:eastAsia="en-US"/>
        </w:rPr>
        <w:t>Prescriptions particulières pour le transport de matières ayant un point d’éclair ne dépassant pas 60 °C</w:t>
      </w:r>
    </w:p>
    <w:p w14:paraId="2015B9A8"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AB4C5F">
        <w:rPr>
          <w:rFonts w:eastAsiaTheme="minorHAnsi"/>
          <w:bCs/>
          <w:color w:val="000000"/>
          <w:lang w:val="fr-FR" w:eastAsia="en-US"/>
        </w:rPr>
        <w:t>6.9.2.2.3.14.1</w:t>
      </w:r>
      <w:r w:rsidRPr="00AB4C5F">
        <w:rPr>
          <w:rFonts w:eastAsiaTheme="minorHAnsi"/>
          <w:bCs/>
          <w:color w:val="000000"/>
          <w:lang w:val="fr-FR" w:eastAsia="en-US"/>
        </w:rPr>
        <w:tab/>
      </w:r>
      <w:r w:rsidRPr="0042238A">
        <w:rPr>
          <w:rFonts w:eastAsiaTheme="minorHAnsi"/>
          <w:lang w:val="fr-FR" w:eastAsia="en-US"/>
        </w:rPr>
        <w:t xml:space="preserve">Les citernes en PRF utilisées pour le transport de liquides inflammables de la classe 3 dont le point d’éclair ne dépasse pas 60 °C doivent être construites de façon à garantir que leurs éléments se déchargent de toute électricité statique dont l’accumulation pourrait être dangereuse. </w:t>
      </w:r>
    </w:p>
    <w:p w14:paraId="7C801B20"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AB4C5F">
        <w:rPr>
          <w:rFonts w:eastAsiaTheme="minorHAnsi"/>
          <w:bCs/>
          <w:color w:val="000000"/>
          <w:lang w:val="fr-FR" w:eastAsia="en-US"/>
        </w:rPr>
        <w:t>6.9.2.2.3.14.2</w:t>
      </w:r>
      <w:r w:rsidRPr="0042238A">
        <w:rPr>
          <w:rFonts w:eastAsiaTheme="minorHAnsi"/>
          <w:b/>
          <w:bCs/>
          <w:color w:val="000000"/>
          <w:lang w:val="fr-FR" w:eastAsia="en-US"/>
        </w:rPr>
        <w:tab/>
      </w:r>
      <w:r w:rsidRPr="0042238A">
        <w:rPr>
          <w:rFonts w:eastAsiaTheme="minorHAnsi"/>
          <w:lang w:val="fr-FR" w:eastAsia="en-US"/>
        </w:rPr>
        <w:t>La résistance électrique en surface de l’intérieur et de l’extérieur du réservoir, établie par des mesures, ne doit pas dépasser 10</w:t>
      </w:r>
      <w:bookmarkStart w:id="10" w:name="_Hlk63093389"/>
      <w:r w:rsidRPr="0042238A">
        <w:rPr>
          <w:rFonts w:eastAsiaTheme="minorHAnsi"/>
          <w:lang w:val="fr-FR" w:eastAsia="en-US"/>
        </w:rPr>
        <w:t>⁹</w:t>
      </w:r>
      <w:bookmarkEnd w:id="10"/>
      <w:r w:rsidRPr="0042238A">
        <w:rPr>
          <w:rFonts w:eastAsiaTheme="minorHAnsi"/>
          <w:lang w:val="fr-FR" w:eastAsia="en-US"/>
        </w:rPr>
        <w:t> </w:t>
      </w:r>
      <w:r w:rsidRPr="0042238A">
        <w:rPr>
          <w:rFonts w:eastAsia="SimSun"/>
          <w:lang w:val="fr-FR" w:eastAsia="en-US"/>
        </w:rPr>
        <w:t>Ω</w:t>
      </w:r>
      <w:r w:rsidRPr="0042238A">
        <w:rPr>
          <w:rFonts w:eastAsiaTheme="minorHAnsi"/>
          <w:lang w:val="fr-FR" w:eastAsia="en-US"/>
        </w:rPr>
        <w:t xml:space="preserve">. Ce résultat peut être obtenu par </w:t>
      </w:r>
      <w:r w:rsidRPr="0042238A">
        <w:rPr>
          <w:rFonts w:eastAsiaTheme="minorHAnsi"/>
          <w:lang w:val="fr-FR" w:eastAsia="en-US"/>
        </w:rPr>
        <w:lastRenderedPageBreak/>
        <w:t>l’utilisation d’adjuvants dans la résine ou par des couches conductrices intercalées, par exemple en réseaux métalliques ou en carbone.</w:t>
      </w:r>
    </w:p>
    <w:p w14:paraId="599D8433"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AB4C5F">
        <w:rPr>
          <w:rFonts w:eastAsiaTheme="minorHAnsi"/>
          <w:bCs/>
          <w:color w:val="000000"/>
          <w:lang w:val="fr-FR" w:eastAsia="en-US"/>
        </w:rPr>
        <w:t>6.9.2.2.3.14.3</w:t>
      </w:r>
      <w:r w:rsidRPr="0042238A">
        <w:rPr>
          <w:rFonts w:eastAsiaTheme="minorHAnsi"/>
          <w:b/>
          <w:bCs/>
          <w:color w:val="000000"/>
          <w:lang w:val="fr-FR" w:eastAsia="en-US"/>
        </w:rPr>
        <w:tab/>
      </w:r>
      <w:r w:rsidRPr="0042238A">
        <w:rPr>
          <w:rFonts w:eastAsiaTheme="minorHAnsi"/>
          <w:lang w:val="fr-FR" w:eastAsia="en-US"/>
        </w:rPr>
        <w:t>La résistance de déchargement à la terre établie par des mesures ne doit pas dépasser 10⁷ </w:t>
      </w:r>
      <w:r w:rsidRPr="0042238A">
        <w:rPr>
          <w:rFonts w:eastAsia="SimSun"/>
          <w:lang w:val="fr-FR" w:eastAsia="en-US"/>
        </w:rPr>
        <w:t>Ω</w:t>
      </w:r>
      <w:r w:rsidRPr="0042238A">
        <w:rPr>
          <w:rFonts w:eastAsiaTheme="minorHAnsi"/>
          <w:lang w:val="fr-FR" w:eastAsia="en-US"/>
        </w:rPr>
        <w:t>.</w:t>
      </w:r>
    </w:p>
    <w:p w14:paraId="0AE56FD3"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AB4C5F">
        <w:rPr>
          <w:rFonts w:eastAsiaTheme="minorHAnsi"/>
          <w:bCs/>
          <w:color w:val="000000"/>
          <w:lang w:val="fr-FR" w:eastAsia="en-US"/>
        </w:rPr>
        <w:t>6.9.2.2.3.14.4</w:t>
      </w:r>
      <w:r w:rsidRPr="0042238A">
        <w:rPr>
          <w:rFonts w:eastAsiaTheme="minorHAnsi"/>
          <w:b/>
          <w:bCs/>
          <w:color w:val="000000"/>
          <w:lang w:val="fr-FR" w:eastAsia="en-US"/>
        </w:rPr>
        <w:tab/>
      </w:r>
      <w:r w:rsidRPr="0042238A">
        <w:rPr>
          <w:rFonts w:eastAsiaTheme="minorHAnsi"/>
          <w:lang w:val="fr-FR" w:eastAsia="en-US"/>
        </w:rPr>
        <w:t>Tous les éléments du réservoir doivent être raccordés électriquement les uns aux autres, aux parties métalliques de l’équipement de service et de structure de la citerne, ainsi qu’au véhicule. La résistance électrique entre les composants et équipements en contact ne doit pas dépasser 10 </w:t>
      </w:r>
      <w:r w:rsidRPr="0042238A">
        <w:rPr>
          <w:rFonts w:eastAsia="SimSun"/>
          <w:lang w:val="fr-FR" w:eastAsia="en-US"/>
        </w:rPr>
        <w:t>Ω</w:t>
      </w:r>
      <w:r w:rsidRPr="0042238A">
        <w:rPr>
          <w:rFonts w:eastAsiaTheme="minorHAnsi"/>
          <w:lang w:val="fr-FR" w:eastAsia="en-US"/>
        </w:rPr>
        <w:t>.</w:t>
      </w:r>
    </w:p>
    <w:p w14:paraId="1EFF9638" w14:textId="77777777" w:rsidR="0039366F" w:rsidRPr="0042238A" w:rsidRDefault="0039366F" w:rsidP="0039366F">
      <w:pPr>
        <w:tabs>
          <w:tab w:val="left" w:pos="1701"/>
          <w:tab w:val="left" w:pos="2268"/>
          <w:tab w:val="left" w:pos="2835"/>
        </w:tabs>
        <w:spacing w:after="120"/>
        <w:ind w:left="1134" w:right="1134"/>
        <w:jc w:val="both"/>
        <w:rPr>
          <w:rFonts w:eastAsiaTheme="minorHAnsi"/>
          <w:bCs/>
          <w:lang w:val="fr-FR" w:eastAsia="en-US"/>
        </w:rPr>
      </w:pPr>
      <w:r w:rsidRPr="0042238A">
        <w:rPr>
          <w:rFonts w:eastAsiaTheme="minorHAnsi"/>
          <w:bCs/>
          <w:lang w:val="fr-FR" w:eastAsia="en-US"/>
        </w:rPr>
        <w:t>6.9.2.2.3.14.5</w:t>
      </w:r>
      <w:r w:rsidRPr="0042238A">
        <w:rPr>
          <w:rFonts w:eastAsiaTheme="minorHAnsi"/>
          <w:b/>
          <w:bCs/>
          <w:lang w:val="fr-FR" w:eastAsia="en-US"/>
        </w:rPr>
        <w:tab/>
      </w:r>
      <w:r w:rsidRPr="0042238A">
        <w:rPr>
          <w:rFonts w:eastAsiaTheme="minorHAnsi"/>
          <w:bCs/>
          <w:lang w:val="fr-FR" w:eastAsia="en-US"/>
        </w:rPr>
        <w:t>La résistance électrique en surface et la résistance de déchargement doivent être mesurées une première fois sur toute citerne fabriquée ou sur un échantillon du réservoir selon la procédure reconnue par l’autorité compétente. En cas d’avarie de la paroi du réservoir nécessitant des réparations, la résistance électrique doit être remesurée.</w:t>
      </w:r>
    </w:p>
    <w:p w14:paraId="4E32AE65"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color w:val="000000"/>
          <w:lang w:val="fr-FR" w:eastAsia="en-US"/>
        </w:rPr>
        <w:t>6.9.2.2.3.15</w:t>
      </w:r>
      <w:r w:rsidRPr="0042238A">
        <w:rPr>
          <w:rFonts w:eastAsiaTheme="minorHAnsi"/>
          <w:b/>
          <w:bCs/>
          <w:color w:val="000000"/>
          <w:lang w:val="fr-FR" w:eastAsia="ru-RU"/>
        </w:rPr>
        <w:tab/>
      </w:r>
      <w:r w:rsidRPr="0042238A">
        <w:rPr>
          <w:rFonts w:eastAsiaTheme="minorHAnsi"/>
          <w:lang w:val="fr-FR" w:eastAsia="en-US"/>
        </w:rPr>
        <w:t>La citerne doit être conçue pour résister, sans fuite conséquente, aux effets d’une immersion totale dans les flammes pendant 30 minutes, comme précisé dans les dispositions relatives aux épreuves du 6.9.2.7.1.5. Il n’est pas nécessaire de procéder aux épreuves, avec l’accord de l’autorité compétente, lorsqu’une preuve suffisante peut être apportée par des épreuves avec des modèles de citernes comparables.</w:t>
      </w:r>
    </w:p>
    <w:p w14:paraId="0959408C"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color w:val="000000"/>
          <w:lang w:val="fr-FR" w:eastAsia="en-US"/>
        </w:rPr>
        <w:t>6.9.2.2.3.16</w:t>
      </w:r>
      <w:r w:rsidRPr="0042238A">
        <w:rPr>
          <w:rFonts w:eastAsiaTheme="minorHAnsi"/>
          <w:b/>
          <w:bCs/>
          <w:color w:val="000000"/>
          <w:lang w:val="fr-FR" w:eastAsia="ru-RU"/>
        </w:rPr>
        <w:tab/>
      </w:r>
      <w:r w:rsidRPr="0042238A">
        <w:rPr>
          <w:rFonts w:eastAsiaTheme="minorHAnsi"/>
          <w:lang w:val="fr-FR" w:eastAsia="en-US"/>
        </w:rPr>
        <w:t>Processus de construction des réservoirs en PRF</w:t>
      </w:r>
    </w:p>
    <w:p w14:paraId="400DE4E5"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color w:val="000000"/>
          <w:lang w:val="fr-FR" w:eastAsia="en-US"/>
        </w:rPr>
        <w:t>6.9.2.2.3.16</w:t>
      </w:r>
      <w:r w:rsidRPr="0042238A">
        <w:rPr>
          <w:rFonts w:eastAsiaTheme="minorHAnsi"/>
          <w:bCs/>
          <w:color w:val="000000"/>
          <w:lang w:val="fr-FR" w:eastAsia="ru-RU"/>
        </w:rPr>
        <w:t>.1</w:t>
      </w:r>
      <w:r w:rsidRPr="0042238A">
        <w:rPr>
          <w:rFonts w:eastAsiaTheme="minorHAnsi"/>
          <w:b/>
          <w:color w:val="000000"/>
          <w:lang w:val="fr-FR" w:eastAsia="en-US"/>
        </w:rPr>
        <w:tab/>
      </w:r>
      <w:r w:rsidRPr="0042238A">
        <w:rPr>
          <w:rFonts w:eastAsiaTheme="minorHAnsi"/>
          <w:bCs/>
          <w:color w:val="000000"/>
          <w:lang w:val="fr-FR" w:eastAsia="en-US"/>
        </w:rPr>
        <w:t xml:space="preserve">L’enroulement </w:t>
      </w:r>
      <w:r w:rsidRPr="0042238A">
        <w:rPr>
          <w:rFonts w:eastAsiaTheme="minorHAnsi"/>
          <w:lang w:val="fr-FR" w:eastAsia="en-US"/>
        </w:rPr>
        <w:t>filamentaire, le moulage au contact, l’infusion de résine ou tout autre procédé pertinent de production de produits composites doivent être utilisés pour la construction des réservoirs en PRF.</w:t>
      </w:r>
    </w:p>
    <w:p w14:paraId="7012FB35"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color w:val="000000"/>
          <w:lang w:val="fr-FR" w:eastAsia="en-US"/>
        </w:rPr>
        <w:t>6.9.2.2.3.16</w:t>
      </w:r>
      <w:r w:rsidRPr="0042238A">
        <w:rPr>
          <w:rFonts w:eastAsiaTheme="minorHAnsi"/>
          <w:bCs/>
          <w:color w:val="000000"/>
          <w:lang w:val="fr-FR" w:eastAsia="ru-RU"/>
        </w:rPr>
        <w:t>.2</w:t>
      </w:r>
      <w:r w:rsidRPr="0042238A">
        <w:rPr>
          <w:rFonts w:eastAsiaTheme="minorHAnsi"/>
          <w:b/>
          <w:color w:val="000000"/>
          <w:lang w:val="fr-FR" w:eastAsia="en-US"/>
        </w:rPr>
        <w:tab/>
      </w:r>
      <w:r w:rsidRPr="0042238A">
        <w:rPr>
          <w:rFonts w:eastAsiaTheme="minorHAnsi"/>
          <w:lang w:val="fr-FR" w:eastAsia="en-US"/>
        </w:rPr>
        <w:t>Le poids du renfort de fibre doit être conforme à celui indiqué dans les spécifications de la procédure, avec une tolérance de +10 % et −0 %. Pour le renforcement des réservoirs, on utilise un ou plusieurs des types de fibres prescrits au 6.9.2.2.3.11 et dans les spécifications de la procédure.</w:t>
      </w:r>
    </w:p>
    <w:p w14:paraId="233C0E2D"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color w:val="000000"/>
          <w:lang w:val="fr-FR" w:eastAsia="en-US"/>
        </w:rPr>
        <w:t>6.9.2.2.3.16</w:t>
      </w:r>
      <w:r w:rsidRPr="0042238A">
        <w:rPr>
          <w:rFonts w:eastAsiaTheme="minorHAnsi"/>
          <w:bCs/>
          <w:color w:val="000000"/>
          <w:lang w:val="fr-FR" w:eastAsia="ru-RU"/>
        </w:rPr>
        <w:t>.3</w:t>
      </w:r>
      <w:r w:rsidRPr="0042238A">
        <w:rPr>
          <w:rFonts w:eastAsiaTheme="minorHAnsi"/>
          <w:b/>
          <w:color w:val="000000"/>
          <w:lang w:val="fr-FR" w:eastAsia="en-US"/>
        </w:rPr>
        <w:tab/>
      </w:r>
      <w:r w:rsidRPr="0042238A">
        <w:rPr>
          <w:rFonts w:eastAsiaTheme="minorHAnsi"/>
          <w:lang w:val="fr-FR" w:eastAsia="en-US"/>
        </w:rPr>
        <w:t>Le système de résine doit être l’un des systèmes prescrits au 6.9.2.2.3.10. Aucune charge ni aucun pigment ou colorant pouvant altérer la couleur naturelle de la résine ne doit être utilisé, sauf si les spécifications de la procédure l’autorisent.</w:t>
      </w:r>
    </w:p>
    <w:p w14:paraId="51F899CE" w14:textId="77777777" w:rsidR="0039366F" w:rsidRPr="0042238A" w:rsidRDefault="0039366F" w:rsidP="0039366F">
      <w:pPr>
        <w:keepNext/>
        <w:keepLines/>
        <w:tabs>
          <w:tab w:val="right" w:pos="851"/>
        </w:tabs>
        <w:spacing w:before="200" w:after="120" w:line="240" w:lineRule="exact"/>
        <w:ind w:left="2268" w:right="1134" w:hanging="1134"/>
        <w:outlineLvl w:val="3"/>
        <w:rPr>
          <w:rFonts w:eastAsiaTheme="minorHAnsi"/>
          <w:b/>
          <w:lang w:val="fr-FR" w:eastAsia="ru-RU"/>
        </w:rPr>
      </w:pPr>
      <w:r w:rsidRPr="0042238A">
        <w:rPr>
          <w:rFonts w:eastAsiaTheme="minorHAnsi"/>
          <w:b/>
          <w:lang w:val="fr-FR" w:eastAsia="ru-RU"/>
        </w:rPr>
        <w:t>6.9.2.3</w:t>
      </w:r>
      <w:r w:rsidRPr="0042238A">
        <w:rPr>
          <w:rFonts w:eastAsiaTheme="minorHAnsi"/>
          <w:b/>
          <w:lang w:val="fr-FR" w:eastAsia="ru-RU"/>
        </w:rPr>
        <w:tab/>
      </w:r>
      <w:r w:rsidRPr="0042238A">
        <w:rPr>
          <w:rFonts w:eastAsiaTheme="minorHAnsi"/>
          <w:b/>
          <w:lang w:val="fr-FR" w:eastAsia="ru-RU"/>
        </w:rPr>
        <w:tab/>
      </w:r>
      <w:r w:rsidRPr="0042238A">
        <w:rPr>
          <w:rFonts w:eastAsiaTheme="minorHAnsi"/>
          <w:b/>
          <w:i/>
          <w:iCs/>
          <w:lang w:val="fr-FR" w:eastAsia="ru-RU"/>
        </w:rPr>
        <w:t>Critères de conception</w:t>
      </w:r>
    </w:p>
    <w:p w14:paraId="49315C49" w14:textId="77777777" w:rsidR="0039366F" w:rsidRPr="0042238A" w:rsidRDefault="0039366F" w:rsidP="0039366F">
      <w:pPr>
        <w:tabs>
          <w:tab w:val="left" w:pos="1701"/>
          <w:tab w:val="left" w:pos="2268"/>
          <w:tab w:val="left" w:pos="2835"/>
        </w:tabs>
        <w:spacing w:after="120" w:line="236" w:lineRule="exact"/>
        <w:ind w:left="1134" w:right="1134"/>
        <w:jc w:val="both"/>
        <w:rPr>
          <w:rFonts w:eastAsiaTheme="minorHAnsi"/>
          <w:lang w:val="fr-FR" w:eastAsia="en-US"/>
        </w:rPr>
      </w:pPr>
      <w:r w:rsidRPr="0042238A">
        <w:rPr>
          <w:rFonts w:eastAsiaTheme="minorHAnsi"/>
          <w:lang w:val="fr-FR" w:eastAsia="en-US"/>
        </w:rPr>
        <w:t>6.9.2.3.1</w:t>
      </w:r>
      <w:r w:rsidRPr="0042238A">
        <w:rPr>
          <w:rFonts w:eastAsiaTheme="minorHAnsi"/>
          <w:lang w:val="fr-FR" w:eastAsia="en-US"/>
        </w:rPr>
        <w:tab/>
        <w:t xml:space="preserve">Les </w:t>
      </w:r>
      <w:bookmarkStart w:id="11" w:name="_Hlk43812473"/>
      <w:r w:rsidRPr="0042238A">
        <w:rPr>
          <w:rFonts w:eastAsiaTheme="minorHAnsi"/>
          <w:lang w:val="fr-FR" w:eastAsia="en-US"/>
        </w:rPr>
        <w:t xml:space="preserve">réservoirs en PRF </w:t>
      </w:r>
      <w:bookmarkEnd w:id="11"/>
      <w:r w:rsidRPr="0042238A">
        <w:rPr>
          <w:rFonts w:eastAsiaTheme="minorHAnsi"/>
          <w:lang w:val="fr-FR" w:eastAsia="en-US"/>
        </w:rPr>
        <w:t>doivent être conçus de façon à pouvoir analyser les contraintes mathématiquement ou expérimentalement avec des jauges de contrainte à fil résistant ou par d’autres méthodes agréées par l’autorité compétente.</w:t>
      </w:r>
    </w:p>
    <w:p w14:paraId="05AE3E4E" w14:textId="77777777" w:rsidR="0039366F" w:rsidRPr="0042238A" w:rsidRDefault="0039366F" w:rsidP="0039366F">
      <w:pPr>
        <w:tabs>
          <w:tab w:val="left" w:pos="1701"/>
          <w:tab w:val="left" w:pos="2268"/>
          <w:tab w:val="left" w:pos="2835"/>
        </w:tabs>
        <w:spacing w:after="120" w:line="236" w:lineRule="exact"/>
        <w:ind w:left="1134" w:right="1134"/>
        <w:jc w:val="both"/>
        <w:rPr>
          <w:rFonts w:eastAsiaTheme="minorHAnsi"/>
          <w:lang w:val="fr-FR" w:eastAsia="en-US"/>
        </w:rPr>
      </w:pPr>
      <w:r w:rsidRPr="0042238A">
        <w:rPr>
          <w:rFonts w:eastAsiaTheme="minorHAnsi"/>
          <w:lang w:val="fr-FR" w:eastAsia="en-US"/>
        </w:rPr>
        <w:t>6.9.2.3.2</w:t>
      </w:r>
      <w:r w:rsidRPr="0042238A">
        <w:rPr>
          <w:rFonts w:eastAsiaTheme="minorHAnsi"/>
          <w:lang w:val="fr-FR" w:eastAsia="en-US"/>
        </w:rPr>
        <w:tab/>
        <w:t xml:space="preserve">Les </w:t>
      </w:r>
      <w:bookmarkStart w:id="12" w:name="_Hlk43813215"/>
      <w:r w:rsidRPr="0042238A">
        <w:rPr>
          <w:rFonts w:eastAsiaTheme="minorHAnsi"/>
          <w:lang w:val="fr-FR" w:eastAsia="en-US"/>
        </w:rPr>
        <w:t xml:space="preserve">réservoirs en PRF </w:t>
      </w:r>
      <w:bookmarkEnd w:id="12"/>
      <w:r w:rsidRPr="0042238A">
        <w:rPr>
          <w:rFonts w:eastAsiaTheme="minorHAnsi"/>
          <w:lang w:val="fr-FR" w:eastAsia="en-US"/>
        </w:rPr>
        <w:t>doivent être conçus et construits de manière à résister à la pression d’épreuve. Des dispositions spécifiques sont prévues pour certaines matières dans l’instruction de transport en citernes mobiles applicable indiquée dans la colonne 10 de la Liste des marchandises dangereuses et décrite au 4.2.5, ou dans une disposition spéciale de transport en citernes mobiles indiquée dans la colonne 11 de la Liste des marchandises dangereuses et décrite au 4.2.5.3. L’épaisseur minimale des parois des réservoirs en PRF ne doit pas être inférieure à celle prescrite au 6.9.2.4.</w:t>
      </w:r>
    </w:p>
    <w:p w14:paraId="0898EB64" w14:textId="77777777" w:rsidR="0039366F" w:rsidRPr="0042238A" w:rsidRDefault="0039366F" w:rsidP="0039366F">
      <w:pPr>
        <w:tabs>
          <w:tab w:val="left" w:pos="1701"/>
          <w:tab w:val="left" w:pos="2268"/>
          <w:tab w:val="left" w:pos="2835"/>
        </w:tabs>
        <w:spacing w:after="120" w:line="236" w:lineRule="exact"/>
        <w:ind w:left="1134" w:right="1134"/>
        <w:jc w:val="both"/>
        <w:rPr>
          <w:rFonts w:eastAsiaTheme="minorHAnsi"/>
          <w:lang w:val="fr-FR" w:eastAsia="en-US"/>
        </w:rPr>
      </w:pPr>
      <w:r w:rsidRPr="0042238A">
        <w:rPr>
          <w:rFonts w:eastAsiaTheme="minorHAnsi"/>
          <w:lang w:val="fr-FR" w:eastAsia="en-US"/>
        </w:rPr>
        <w:t>6.9.2.3.3</w:t>
      </w:r>
      <w:r w:rsidRPr="0042238A">
        <w:rPr>
          <w:rFonts w:eastAsiaTheme="minorHAnsi"/>
          <w:lang w:val="fr-FR" w:eastAsia="en-US"/>
        </w:rPr>
        <w:tab/>
        <w:t>À la pression d’épreuve prescrite, la déformation maximale relative due à la traction mesurée dans le réservoir, en mm/mm, ne doit pas entraîner la formation de microfissures, et ne doit donc pas dépasser le premier point de rupture ou d’endommagement de la résine à l’allongement, mesuré lors des essais de traction prescrits au 6.9.2.7.1.2 c).</w:t>
      </w:r>
    </w:p>
    <w:p w14:paraId="6D8AFF84" w14:textId="77777777" w:rsidR="0039366F" w:rsidRPr="0042238A" w:rsidRDefault="0039366F" w:rsidP="0039366F">
      <w:pPr>
        <w:tabs>
          <w:tab w:val="left" w:pos="1701"/>
          <w:tab w:val="left" w:pos="2268"/>
          <w:tab w:val="left" w:pos="2835"/>
        </w:tabs>
        <w:spacing w:after="120" w:line="236" w:lineRule="exact"/>
        <w:ind w:left="1134" w:right="1134"/>
        <w:jc w:val="both"/>
        <w:rPr>
          <w:rFonts w:eastAsiaTheme="minorHAnsi"/>
          <w:lang w:val="fr-FR" w:eastAsia="en-US"/>
        </w:rPr>
      </w:pPr>
      <w:r w:rsidRPr="0042238A">
        <w:rPr>
          <w:rFonts w:eastAsiaTheme="minorHAnsi"/>
          <w:bCs/>
          <w:iCs/>
          <w:color w:val="000000"/>
          <w:lang w:val="fr-FR" w:eastAsia="en-US"/>
        </w:rPr>
        <w:t>6.9.2.3.4</w:t>
      </w:r>
      <w:r w:rsidRPr="0042238A">
        <w:rPr>
          <w:rFonts w:eastAsiaTheme="minorHAnsi"/>
          <w:b/>
          <w:bCs/>
          <w:iCs/>
          <w:color w:val="000000"/>
          <w:lang w:val="fr-FR" w:eastAsia="en-US"/>
        </w:rPr>
        <w:tab/>
      </w:r>
      <w:r w:rsidRPr="0042238A">
        <w:rPr>
          <w:rFonts w:eastAsiaTheme="minorHAnsi"/>
          <w:lang w:val="fr-FR" w:eastAsia="en-US"/>
        </w:rPr>
        <w:t>Pour la pression d’épreuve interne, la pression extérieure de calcul spécifiée au 6.7.2.2.10, les contraintes statiques spécifiées au 6.7.2.2.12 et les charges de gravité statique causées par le contenu à la densité maximum prévue et au degré de remplissage maximal, les critères de défaillance dans la direction longitudinale, dans la direction circonférentielle et dans toute autre direction dans le plan des différentes couches du matériau composite ne doivent pas dépasser la valeur suivante :</w:t>
      </w:r>
    </w:p>
    <w:p w14:paraId="087960E5"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m:oMathPara>
        <m:oMath>
          <m:r>
            <w:rPr>
              <w:rFonts w:ascii="Cambria Math" w:eastAsiaTheme="minorHAnsi" w:hAnsi="Cambria Math"/>
              <w:lang w:val="fr-FR" w:eastAsia="en-US"/>
            </w:rPr>
            <m:t>FC</m:t>
          </m:r>
          <m:r>
            <m:rPr>
              <m:sty m:val="p"/>
            </m:rPr>
            <w:rPr>
              <w:rFonts w:ascii="Cambria Math" w:eastAsiaTheme="minorHAnsi" w:hAnsi="Cambria Math"/>
              <w:lang w:val="fr-FR" w:eastAsia="en-US"/>
            </w:rPr>
            <m:t>≤</m:t>
          </m:r>
          <m:f>
            <m:fPr>
              <m:ctrlPr>
                <w:rPr>
                  <w:rFonts w:ascii="Cambria Math" w:eastAsiaTheme="minorHAnsi" w:hAnsi="Cambria Math"/>
                  <w:lang w:val="fr-FR" w:eastAsia="en-US"/>
                </w:rPr>
              </m:ctrlPr>
            </m:fPr>
            <m:num>
              <m:r>
                <m:rPr>
                  <m:sty m:val="p"/>
                </m:rPr>
                <w:rPr>
                  <w:rFonts w:ascii="Cambria Math" w:eastAsiaTheme="minorHAnsi" w:hAnsi="Cambria Math"/>
                  <w:lang w:val="fr-FR" w:eastAsia="en-US"/>
                </w:rPr>
                <m:t>1</m:t>
              </m:r>
            </m:num>
            <m:den>
              <m:r>
                <w:rPr>
                  <w:rFonts w:ascii="Cambria Math" w:eastAsiaTheme="minorHAnsi" w:hAnsi="Cambria Math"/>
                  <w:lang w:val="fr-FR" w:eastAsia="en-US"/>
                </w:rPr>
                <m:t>K</m:t>
              </m:r>
            </m:den>
          </m:f>
          <m:r>
            <m:rPr>
              <m:sty m:val="p"/>
            </m:rPr>
            <w:rPr>
              <w:rFonts w:ascii="Cambria Math" w:eastAsiaTheme="minorHAnsi" w:hAnsi="Cambria Math"/>
              <w:lang w:val="fr-FR" w:eastAsia="en-US"/>
            </w:rPr>
            <m:t xml:space="preserve"> </m:t>
          </m:r>
        </m:oMath>
      </m:oMathPara>
    </w:p>
    <w:p w14:paraId="3386E112" w14:textId="77777777" w:rsidR="0039366F" w:rsidRPr="0042238A" w:rsidRDefault="0039366F" w:rsidP="0039366F">
      <w:pPr>
        <w:tabs>
          <w:tab w:val="left" w:pos="1701"/>
          <w:tab w:val="left" w:pos="2268"/>
        </w:tabs>
        <w:spacing w:after="120"/>
        <w:ind w:left="1134" w:right="1134"/>
        <w:jc w:val="both"/>
        <w:rPr>
          <w:rFonts w:eastAsiaTheme="minorHAnsi"/>
          <w:lang w:val="fr-FR" w:eastAsia="en-US"/>
        </w:rPr>
      </w:pPr>
      <w:r w:rsidRPr="0042238A">
        <w:rPr>
          <w:rFonts w:eastAsiaTheme="minorHAnsi"/>
          <w:lang w:val="fr-FR" w:eastAsia="en-US"/>
        </w:rPr>
        <w:t>où :</w:t>
      </w:r>
    </w:p>
    <w:p w14:paraId="58754C00" w14:textId="77777777" w:rsidR="0039366F" w:rsidRPr="0042238A" w:rsidRDefault="0039366F" w:rsidP="0039366F">
      <w:pPr>
        <w:tabs>
          <w:tab w:val="left" w:pos="1701"/>
          <w:tab w:val="left" w:pos="2268"/>
          <w:tab w:val="left" w:pos="2835"/>
        </w:tabs>
        <w:spacing w:after="120"/>
        <w:ind w:left="1134" w:right="1134"/>
        <w:jc w:val="both"/>
        <w:rPr>
          <w:rFonts w:eastAsiaTheme="minorHAnsi"/>
          <w:strike/>
          <w:lang w:val="fr-FR" w:eastAsia="en-US"/>
        </w:rPr>
      </w:pPr>
      <m:oMathPara>
        <m:oMathParaPr>
          <m:jc m:val="center"/>
        </m:oMathParaPr>
        <m:oMath>
          <m:r>
            <w:rPr>
              <w:rFonts w:ascii="Cambria Math" w:eastAsiaTheme="minorHAnsi" w:hAnsi="Cambria Math"/>
              <w:color w:val="000000"/>
              <w:lang w:val="fr-FR" w:eastAsia="en-US"/>
            </w:rPr>
            <w:lastRenderedPageBreak/>
            <m:t>K=</m:t>
          </m:r>
          <m:sSub>
            <m:sSubPr>
              <m:ctrlPr>
                <w:rPr>
                  <w:rFonts w:ascii="Cambria Math" w:eastAsiaTheme="minorHAnsi" w:hAnsi="Cambria Math"/>
                  <w:i/>
                  <w:color w:val="000000"/>
                  <w:lang w:val="fr-FR" w:eastAsia="en-US"/>
                </w:rPr>
              </m:ctrlPr>
            </m:sSubPr>
            <m:e>
              <m:r>
                <w:rPr>
                  <w:rFonts w:ascii="Cambria Math" w:eastAsiaTheme="minorHAnsi" w:hAnsi="Cambria Math"/>
                  <w:color w:val="000000"/>
                  <w:lang w:val="fr-FR" w:eastAsia="en-US"/>
                </w:rPr>
                <m:t>K</m:t>
              </m:r>
            </m:e>
            <m:sub>
              <m:r>
                <w:rPr>
                  <w:rFonts w:ascii="Cambria Math" w:eastAsiaTheme="minorHAnsi" w:hAnsi="Cambria Math"/>
                  <w:color w:val="000000"/>
                  <w:lang w:val="fr-FR" w:eastAsia="en-US"/>
                </w:rPr>
                <m:t>0</m:t>
              </m:r>
            </m:sub>
          </m:sSub>
          <m:r>
            <w:rPr>
              <w:rFonts w:ascii="Cambria Math" w:eastAsiaTheme="minorHAnsi" w:hAnsi="Cambria Math"/>
              <w:color w:val="000000"/>
              <w:lang w:val="fr-FR" w:eastAsia="en-US"/>
            </w:rPr>
            <m:t>×</m:t>
          </m:r>
          <m:sSub>
            <m:sSubPr>
              <m:ctrlPr>
                <w:rPr>
                  <w:rFonts w:ascii="Cambria Math" w:eastAsiaTheme="minorHAnsi" w:hAnsi="Cambria Math"/>
                  <w:i/>
                  <w:color w:val="000000"/>
                  <w:lang w:val="fr-FR" w:eastAsia="en-US"/>
                </w:rPr>
              </m:ctrlPr>
            </m:sSubPr>
            <m:e>
              <m:r>
                <w:rPr>
                  <w:rFonts w:ascii="Cambria Math" w:eastAsiaTheme="minorHAnsi" w:hAnsi="Cambria Math"/>
                  <w:color w:val="000000"/>
                  <w:lang w:val="fr-FR" w:eastAsia="en-US"/>
                </w:rPr>
                <m:t>K</m:t>
              </m:r>
            </m:e>
            <m:sub>
              <m:r>
                <w:rPr>
                  <w:rFonts w:ascii="Cambria Math" w:eastAsiaTheme="minorHAnsi" w:hAnsi="Cambria Math"/>
                  <w:color w:val="000000"/>
                  <w:lang w:val="fr-FR" w:eastAsia="en-US"/>
                </w:rPr>
                <m:t>1</m:t>
              </m:r>
            </m:sub>
          </m:sSub>
          <m:r>
            <w:rPr>
              <w:rFonts w:ascii="Cambria Math" w:eastAsiaTheme="minorHAnsi" w:hAnsi="Cambria Math"/>
              <w:color w:val="000000"/>
              <w:lang w:val="fr-FR" w:eastAsia="en-US"/>
            </w:rPr>
            <m:t>×</m:t>
          </m:r>
          <m:sSub>
            <m:sSubPr>
              <m:ctrlPr>
                <w:rPr>
                  <w:rFonts w:ascii="Cambria Math" w:eastAsiaTheme="minorHAnsi" w:hAnsi="Cambria Math"/>
                  <w:i/>
                  <w:color w:val="000000"/>
                  <w:lang w:val="fr-FR" w:eastAsia="en-US"/>
                </w:rPr>
              </m:ctrlPr>
            </m:sSubPr>
            <m:e>
              <m:r>
                <w:rPr>
                  <w:rFonts w:ascii="Cambria Math" w:eastAsiaTheme="minorHAnsi" w:hAnsi="Cambria Math"/>
                  <w:color w:val="000000"/>
                  <w:lang w:val="fr-FR" w:eastAsia="en-US"/>
                </w:rPr>
                <m:t>K</m:t>
              </m:r>
            </m:e>
            <m:sub>
              <m:r>
                <w:rPr>
                  <w:rFonts w:ascii="Cambria Math" w:eastAsiaTheme="minorHAnsi" w:hAnsi="Cambria Math"/>
                  <w:color w:val="000000"/>
                  <w:lang w:val="fr-FR" w:eastAsia="en-US"/>
                </w:rPr>
                <m:t>2</m:t>
              </m:r>
            </m:sub>
          </m:sSub>
          <m:r>
            <w:rPr>
              <w:rFonts w:ascii="Cambria Math" w:eastAsiaTheme="minorHAnsi" w:hAnsi="Cambria Math"/>
              <w:color w:val="000000"/>
              <w:lang w:val="fr-FR" w:eastAsia="en-US"/>
            </w:rPr>
            <m:t>×</m:t>
          </m:r>
          <m:sSub>
            <m:sSubPr>
              <m:ctrlPr>
                <w:rPr>
                  <w:rFonts w:ascii="Cambria Math" w:eastAsiaTheme="minorHAnsi" w:hAnsi="Cambria Math"/>
                  <w:i/>
                  <w:color w:val="000000"/>
                  <w:lang w:val="fr-FR" w:eastAsia="en-US"/>
                </w:rPr>
              </m:ctrlPr>
            </m:sSubPr>
            <m:e>
              <m:r>
                <w:rPr>
                  <w:rFonts w:ascii="Cambria Math" w:eastAsiaTheme="minorHAnsi" w:hAnsi="Cambria Math"/>
                  <w:color w:val="000000"/>
                  <w:lang w:val="fr-FR" w:eastAsia="en-US"/>
                </w:rPr>
                <m:t>K</m:t>
              </m:r>
            </m:e>
            <m:sub>
              <m:r>
                <w:rPr>
                  <w:rFonts w:ascii="Cambria Math" w:eastAsiaTheme="minorHAnsi" w:hAnsi="Cambria Math"/>
                  <w:color w:val="000000"/>
                  <w:lang w:val="fr-FR" w:eastAsia="en-US"/>
                </w:rPr>
                <m:t>3</m:t>
              </m:r>
            </m:sub>
          </m:sSub>
          <m:r>
            <w:rPr>
              <w:rFonts w:ascii="Cambria Math" w:eastAsiaTheme="minorHAnsi" w:hAnsi="Cambria Math"/>
              <w:color w:val="000000"/>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4</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5</m:t>
              </m:r>
            </m:sub>
          </m:sSub>
        </m:oMath>
      </m:oMathPara>
    </w:p>
    <w:p w14:paraId="26F17B63" w14:textId="77777777" w:rsidR="0039366F" w:rsidRPr="0042238A" w:rsidRDefault="0039366F" w:rsidP="0039366F">
      <w:pPr>
        <w:tabs>
          <w:tab w:val="left" w:pos="1701"/>
          <w:tab w:val="left" w:pos="2268"/>
        </w:tabs>
        <w:spacing w:after="120"/>
        <w:ind w:left="1134" w:right="1134"/>
        <w:jc w:val="both"/>
        <w:rPr>
          <w:rFonts w:eastAsiaTheme="minorHAnsi"/>
          <w:color w:val="000000"/>
          <w:lang w:val="fr-FR" w:eastAsia="en-US"/>
        </w:rPr>
      </w:pPr>
      <w:r w:rsidRPr="0042238A">
        <w:rPr>
          <w:rFonts w:eastAsiaTheme="minorHAnsi"/>
          <w:color w:val="000000"/>
          <w:lang w:val="fr-FR" w:eastAsia="en-US"/>
        </w:rPr>
        <w:t>où :</w:t>
      </w:r>
    </w:p>
    <w:p w14:paraId="19174136" w14:textId="77777777" w:rsidR="0039366F" w:rsidRPr="0042238A" w:rsidRDefault="0039366F" w:rsidP="0039366F">
      <w:pPr>
        <w:spacing w:after="120"/>
        <w:ind w:left="1701" w:right="1134" w:hanging="567"/>
        <w:jc w:val="both"/>
        <w:rPr>
          <w:rFonts w:eastAsiaTheme="minorHAnsi"/>
          <w:color w:val="000000"/>
          <w:lang w:val="fr-FR" w:eastAsia="en-US"/>
        </w:rPr>
      </w:pPr>
      <w:r w:rsidRPr="0042238A">
        <w:rPr>
          <w:rFonts w:eastAsiaTheme="minorHAnsi"/>
          <w:b/>
          <w:lang w:val="fr-FR" w:eastAsia="en-US"/>
        </w:rPr>
        <w:t>K</w:t>
      </w:r>
      <w:r w:rsidRPr="0042238A">
        <w:rPr>
          <w:rFonts w:eastAsiaTheme="minorHAnsi"/>
          <w:color w:val="000000"/>
          <w:lang w:val="fr-FR" w:eastAsia="en-US"/>
        </w:rPr>
        <w:tab/>
        <w:t>doit avoir une valeur minimale de 4.</w:t>
      </w:r>
    </w:p>
    <w:p w14:paraId="2C2D6998" w14:textId="77777777" w:rsidR="0039366F" w:rsidRPr="0042238A" w:rsidRDefault="0039366F" w:rsidP="0039366F">
      <w:pPr>
        <w:tabs>
          <w:tab w:val="left" w:pos="1701"/>
          <w:tab w:val="left" w:pos="2268"/>
          <w:tab w:val="left" w:pos="2835"/>
        </w:tabs>
        <w:spacing w:after="120"/>
        <w:ind w:left="1701" w:right="1134" w:hanging="567"/>
        <w:jc w:val="both"/>
        <w:rPr>
          <w:rFonts w:eastAsiaTheme="minorHAnsi"/>
          <w:spacing w:val="-1"/>
          <w:lang w:val="fr-FR" w:eastAsia="en-US"/>
        </w:rPr>
      </w:pPr>
      <w:r w:rsidRPr="0042238A">
        <w:rPr>
          <w:rFonts w:ascii="Cambria Math" w:eastAsiaTheme="minorHAnsi" w:hAnsi="Cambria Math" w:cs="Cambria Math"/>
          <w:spacing w:val="-1"/>
          <w:lang w:val="fr-FR" w:eastAsia="en-US"/>
        </w:rPr>
        <w:t>𝑲</w:t>
      </w:r>
      <w:r w:rsidRPr="0042238A">
        <w:rPr>
          <w:rFonts w:ascii="Cambria Math" w:eastAsiaTheme="minorHAnsi" w:hAnsi="Cambria Math" w:cs="Cambria Math"/>
          <w:spacing w:val="-1"/>
          <w:vertAlign w:val="subscript"/>
          <w:lang w:val="fr-FR" w:eastAsia="en-US"/>
        </w:rPr>
        <w:t>𝟎</w:t>
      </w:r>
      <w:r w:rsidRPr="0042238A">
        <w:rPr>
          <w:rFonts w:eastAsiaTheme="minorHAnsi"/>
          <w:spacing w:val="-1"/>
          <w:lang w:val="fr-FR" w:eastAsia="en-US"/>
        </w:rPr>
        <w:tab/>
      </w:r>
      <w:r w:rsidRPr="0042238A">
        <w:rPr>
          <w:rFonts w:eastAsiaTheme="minorHAnsi"/>
          <w:color w:val="000000"/>
          <w:spacing w:val="-1"/>
          <w:lang w:val="fr-FR" w:eastAsia="en-US"/>
        </w:rPr>
        <w:t>est</w:t>
      </w:r>
      <w:r w:rsidRPr="0042238A">
        <w:rPr>
          <w:rFonts w:eastAsiaTheme="minorHAnsi"/>
          <w:spacing w:val="-1"/>
          <w:lang w:val="fr-FR" w:eastAsia="en-US"/>
        </w:rPr>
        <w:t xml:space="preserve"> un facteur de résistance. Pour la conception générale, la valeur de </w:t>
      </w:r>
      <w:r w:rsidRPr="0042238A">
        <w:rPr>
          <w:rFonts w:ascii="Cambria Math" w:eastAsiaTheme="minorHAnsi" w:hAnsi="Cambria Math" w:cs="Cambria Math"/>
          <w:spacing w:val="-1"/>
          <w:lang w:val="fr-FR" w:eastAsia="en-US"/>
        </w:rPr>
        <w:t>𝑲</w:t>
      </w:r>
      <w:r w:rsidRPr="0042238A">
        <w:rPr>
          <w:rFonts w:ascii="Cambria Math" w:eastAsiaTheme="minorHAnsi" w:hAnsi="Cambria Math" w:cs="Cambria Math"/>
          <w:spacing w:val="-1"/>
          <w:vertAlign w:val="subscript"/>
          <w:lang w:val="fr-FR" w:eastAsia="en-US"/>
        </w:rPr>
        <w:t>𝟎</w:t>
      </w:r>
      <w:r w:rsidRPr="0042238A">
        <w:rPr>
          <w:rFonts w:eastAsiaTheme="minorHAnsi"/>
          <w:spacing w:val="-1"/>
          <w:lang w:val="fr-FR" w:eastAsia="en-US"/>
        </w:rPr>
        <w:t xml:space="preserve"> doit être supérieure ou égale à 1,5. On appliquera la valeur de </w:t>
      </w:r>
      <w:r w:rsidRPr="0042238A">
        <w:rPr>
          <w:rFonts w:ascii="Cambria Math" w:eastAsiaTheme="minorHAnsi" w:hAnsi="Cambria Math" w:cs="Cambria Math"/>
          <w:spacing w:val="-1"/>
          <w:lang w:val="fr-FR" w:eastAsia="en-US"/>
        </w:rPr>
        <w:t>𝑲</w:t>
      </w:r>
      <w:r w:rsidRPr="0042238A">
        <w:rPr>
          <w:rFonts w:ascii="Cambria Math" w:eastAsiaTheme="minorHAnsi" w:hAnsi="Cambria Math" w:cs="Cambria Math"/>
          <w:spacing w:val="-1"/>
          <w:vertAlign w:val="subscript"/>
          <w:lang w:val="fr-FR" w:eastAsia="en-US"/>
        </w:rPr>
        <w:t>𝟎</w:t>
      </w:r>
      <w:r w:rsidRPr="0042238A">
        <w:rPr>
          <w:rFonts w:eastAsiaTheme="minorHAnsi"/>
          <w:spacing w:val="-1"/>
          <w:lang w:val="fr-FR" w:eastAsia="en-US"/>
        </w:rPr>
        <w:t xml:space="preserve"> multipliée par un coefficient deux, à moins que le réservoir ne dispose d’une protection sous la forme d’une armature métallique complète, y compris des membrures structurales longitudinales et transversales ;</w:t>
      </w:r>
    </w:p>
    <w:p w14:paraId="6538AFCD" w14:textId="77777777" w:rsidR="0039366F" w:rsidRPr="0042238A" w:rsidRDefault="00FF1081" w:rsidP="0039366F">
      <w:pPr>
        <w:tabs>
          <w:tab w:val="left" w:pos="1701"/>
          <w:tab w:val="left" w:pos="2268"/>
          <w:tab w:val="left" w:pos="2835"/>
        </w:tabs>
        <w:spacing w:after="120"/>
        <w:ind w:left="1701" w:right="1134" w:hanging="567"/>
        <w:jc w:val="both"/>
        <w:rPr>
          <w:rFonts w:eastAsiaTheme="minorHAnsi"/>
          <w:lang w:val="fr-FR" w:eastAsia="en-US"/>
        </w:rPr>
      </w:pPr>
      <m:oMath>
        <m:sSub>
          <m:sSubPr>
            <m:ctrlPr>
              <w:rPr>
                <w:rFonts w:ascii="Cambria Math" w:eastAsiaTheme="minorHAnsi" w:hAnsi="Cambria Math"/>
                <w:color w:val="000000"/>
                <w:lang w:val="fr-FR" w:eastAsia="en-US"/>
              </w:rPr>
            </m:ctrlPr>
          </m:sSubPr>
          <m:e>
            <m:r>
              <m:rPr>
                <m:sty m:val="bi"/>
              </m:rPr>
              <w:rPr>
                <w:rFonts w:ascii="Cambria Math" w:eastAsiaTheme="minorHAnsi" w:hAnsi="Cambria Math" w:cs="Cambria Math"/>
                <w:color w:val="000000"/>
                <w:lang w:val="fr-FR" w:eastAsia="en-US"/>
              </w:rPr>
              <m:t>K</m:t>
            </m:r>
          </m:e>
          <m:sub>
            <m:r>
              <m:rPr>
                <m:sty m:val="b"/>
              </m:rPr>
              <w:rPr>
                <w:rFonts w:ascii="Cambria Math" w:eastAsiaTheme="minorHAnsi" w:hAnsi="Cambria Math"/>
                <w:color w:val="000000"/>
                <w:lang w:val="fr-FR" w:eastAsia="en-US"/>
              </w:rPr>
              <m:t>1</m:t>
            </m:r>
          </m:sub>
        </m:sSub>
      </m:oMath>
      <w:r w:rsidR="0039366F" w:rsidRPr="0042238A">
        <w:rPr>
          <w:rFonts w:eastAsiaTheme="minorHAnsi"/>
          <w:color w:val="000000"/>
          <w:lang w:val="fr-FR" w:eastAsia="en-US"/>
        </w:rPr>
        <w:tab/>
        <w:t xml:space="preserve">est </w:t>
      </w:r>
      <w:r w:rsidR="0039366F" w:rsidRPr="0042238A">
        <w:rPr>
          <w:rFonts w:eastAsiaTheme="minorHAnsi"/>
          <w:lang w:val="fr-FR" w:eastAsia="en-US"/>
        </w:rPr>
        <w:t>un facteur lié à la détérioration des propriétés du matériau dû au fluage et au vieillissement. Il est déterminé par la formule :</w:t>
      </w:r>
    </w:p>
    <w:p w14:paraId="4ABD4588" w14:textId="77777777" w:rsidR="0039366F" w:rsidRPr="0042238A" w:rsidRDefault="00FF1081" w:rsidP="0039366F">
      <w:pPr>
        <w:tabs>
          <w:tab w:val="left" w:pos="1701"/>
          <w:tab w:val="left" w:pos="2268"/>
          <w:tab w:val="left" w:pos="2835"/>
        </w:tabs>
        <w:spacing w:after="120"/>
        <w:ind w:left="1134" w:right="1134"/>
        <w:jc w:val="both"/>
        <w:rPr>
          <w:rFonts w:eastAsiaTheme="minorHAnsi"/>
          <w:color w:val="000000"/>
          <w:lang w:val="fr-FR" w:eastAsia="en-US"/>
        </w:rPr>
      </w:pPr>
      <m:oMathPara>
        <m:oMath>
          <m:sSub>
            <m:sSubPr>
              <m:ctrlPr>
                <w:rPr>
                  <w:rFonts w:ascii="Cambria Math" w:eastAsiaTheme="minorHAnsi" w:hAnsi="Cambria Math"/>
                  <w:i/>
                  <w:color w:val="000000"/>
                  <w:lang w:val="fr-FR" w:eastAsia="en-US"/>
                </w:rPr>
              </m:ctrlPr>
            </m:sSubPr>
            <m:e>
              <m:r>
                <w:rPr>
                  <w:rFonts w:ascii="Cambria Math" w:eastAsiaTheme="minorHAnsi" w:hAnsi="Cambria Math"/>
                  <w:color w:val="000000"/>
                  <w:lang w:val="fr-FR" w:eastAsia="en-US"/>
                </w:rPr>
                <m:t>K</m:t>
              </m:r>
            </m:e>
            <m:sub>
              <m:r>
                <w:rPr>
                  <w:rFonts w:ascii="Cambria Math" w:eastAsiaTheme="minorHAnsi" w:hAnsi="Cambria Math"/>
                  <w:color w:val="000000"/>
                  <w:lang w:val="fr-FR" w:eastAsia="en-US"/>
                </w:rPr>
                <m:t>1</m:t>
              </m:r>
            </m:sub>
          </m:sSub>
          <m:r>
            <w:rPr>
              <w:rFonts w:ascii="Cambria Math" w:eastAsiaTheme="minorHAnsi" w:hAnsi="Cambria Math"/>
              <w:color w:val="000000"/>
              <w:lang w:val="fr-FR" w:eastAsia="en-US"/>
            </w:rPr>
            <m:t>=</m:t>
          </m:r>
          <m:f>
            <m:fPr>
              <m:ctrlPr>
                <w:rPr>
                  <w:rFonts w:ascii="Cambria Math" w:eastAsiaTheme="minorHAnsi" w:hAnsi="Cambria Math"/>
                  <w:i/>
                  <w:color w:val="000000"/>
                  <w:lang w:val="fr-FR" w:eastAsia="en-US"/>
                </w:rPr>
              </m:ctrlPr>
            </m:fPr>
            <m:num>
              <m:r>
                <w:rPr>
                  <w:rFonts w:ascii="Cambria Math" w:eastAsiaTheme="minorHAnsi" w:hAnsi="Cambria Math"/>
                  <w:color w:val="000000"/>
                  <w:lang w:val="fr-FR" w:eastAsia="en-US"/>
                </w:rPr>
                <m:t>1</m:t>
              </m:r>
            </m:num>
            <m:den>
              <m:r>
                <w:rPr>
                  <w:rFonts w:ascii="Cambria Math" w:eastAsiaTheme="minorHAnsi" w:hAnsi="Cambria Math"/>
                  <w:color w:val="000000"/>
                  <w:lang w:val="fr-FR" w:eastAsia="en-US"/>
                </w:rPr>
                <m:t>αβ</m:t>
              </m:r>
            </m:den>
          </m:f>
        </m:oMath>
      </m:oMathPara>
    </w:p>
    <w:p w14:paraId="5A21481F" w14:textId="77777777" w:rsidR="0039366F" w:rsidRPr="0042238A" w:rsidRDefault="0039366F" w:rsidP="0039366F">
      <w:pPr>
        <w:spacing w:after="120"/>
        <w:ind w:left="1701" w:right="1134"/>
        <w:jc w:val="both"/>
        <w:rPr>
          <w:rFonts w:eastAsiaTheme="minorHAnsi"/>
          <w:lang w:val="fr-FR" w:eastAsia="en-US"/>
        </w:rPr>
      </w:pPr>
      <w:r w:rsidRPr="0042238A">
        <w:rPr>
          <w:rFonts w:eastAsiaTheme="minorHAnsi"/>
          <w:lang w:val="fr-FR" w:eastAsia="en-US"/>
        </w:rPr>
        <w:t>où “αˮ est le facteur de fluage et “βˮ le facteur de vieillissement, conformément aux dispositions respectives des 6.9.2.7.1.2 e) et f). Lorsqu’ils sont utilisés dans le calcul, les facteurs α et β doivent être compris entre 0 et 1.</w:t>
      </w:r>
    </w:p>
    <w:p w14:paraId="49D8C5AC" w14:textId="77777777" w:rsidR="0039366F" w:rsidRPr="0042238A" w:rsidRDefault="0039366F" w:rsidP="0039366F">
      <w:pPr>
        <w:spacing w:after="120"/>
        <w:ind w:left="1701" w:right="1134"/>
        <w:jc w:val="both"/>
        <w:rPr>
          <w:rFonts w:eastAsiaTheme="minorHAnsi"/>
          <w:lang w:val="fr-FR" w:eastAsia="en-US"/>
        </w:rPr>
      </w:pPr>
      <w:r w:rsidRPr="0042238A">
        <w:rPr>
          <w:rFonts w:eastAsiaTheme="minorHAnsi"/>
          <w:lang w:val="fr-FR" w:eastAsia="en-US"/>
        </w:rPr>
        <w:t xml:space="preserve">On peut aussi, par précaution, décider que </w:t>
      </w:r>
      <m:oMath>
        <m:sSub>
          <m:sSubPr>
            <m:ctrlPr>
              <w:rPr>
                <w:rFonts w:ascii="Cambria Math" w:eastAsiaTheme="minorHAnsi" w:hAnsi="Cambria Math"/>
                <w:lang w:val="fr-FR" w:eastAsia="en-US"/>
              </w:rPr>
            </m:ctrlPr>
          </m:sSubPr>
          <m:e>
            <m:r>
              <m:rPr>
                <m:sty m:val="bi"/>
              </m:rPr>
              <w:rPr>
                <w:rFonts w:ascii="Cambria Math" w:eastAsiaTheme="minorHAnsi" w:hAnsi="Cambria Math"/>
                <w:lang w:val="fr-FR" w:eastAsia="en-US"/>
              </w:rPr>
              <m:t>K</m:t>
            </m:r>
          </m:e>
          <m:sub>
            <m:r>
              <m:rPr>
                <m:sty m:val="b"/>
              </m:rPr>
              <w:rPr>
                <w:rFonts w:ascii="Cambria Math" w:eastAsiaTheme="minorHAnsi" w:hAnsi="Cambria Math"/>
                <w:lang w:val="fr-FR" w:eastAsia="en-US"/>
              </w:rPr>
              <m:t>1</m:t>
            </m:r>
          </m:sub>
        </m:sSub>
      </m:oMath>
      <w:r w:rsidRPr="0042238A">
        <w:rPr>
          <w:rFonts w:eastAsiaTheme="minorHAnsi"/>
          <w:lang w:val="fr-FR" w:eastAsia="en-US"/>
        </w:rPr>
        <w:t xml:space="preserve"> = 2 aux fins de l’exercice de validation numérique du 6.9.2.3.4 (ce qui ne supprime pas la nécessité d’effectuer des épreuves pour déterminer α et β) ;</w:t>
      </w:r>
    </w:p>
    <w:p w14:paraId="1C242D5B" w14:textId="77777777" w:rsidR="0039366F" w:rsidRPr="0042238A" w:rsidRDefault="00FF1081" w:rsidP="0039366F">
      <w:pPr>
        <w:spacing w:after="120"/>
        <w:ind w:left="1701" w:right="1134" w:hanging="567"/>
        <w:jc w:val="both"/>
        <w:rPr>
          <w:rFonts w:eastAsiaTheme="minorHAnsi"/>
          <w:spacing w:val="-2"/>
          <w:lang w:val="fr-FR" w:eastAsia="en-US"/>
        </w:rPr>
      </w:pPr>
      <m:oMath>
        <m:sSub>
          <m:sSubPr>
            <m:ctrlPr>
              <w:rPr>
                <w:rFonts w:ascii="Cambria Math" w:eastAsiaTheme="minorHAnsi" w:hAnsi="Cambria Math"/>
                <w:spacing w:val="-2"/>
                <w:lang w:val="fr-FR" w:eastAsia="en-US"/>
              </w:rPr>
            </m:ctrlPr>
          </m:sSubPr>
          <m:e>
            <m:r>
              <m:rPr>
                <m:sty m:val="bi"/>
              </m:rPr>
              <w:rPr>
                <w:rFonts w:ascii="Cambria Math" w:eastAsiaTheme="minorHAnsi" w:hAnsi="Cambria Math"/>
                <w:spacing w:val="-2"/>
                <w:lang w:val="fr-FR" w:eastAsia="en-US"/>
              </w:rPr>
              <m:t>K</m:t>
            </m:r>
          </m:e>
          <m:sub>
            <m:r>
              <m:rPr>
                <m:sty m:val="b"/>
              </m:rPr>
              <w:rPr>
                <w:rFonts w:ascii="Cambria Math" w:eastAsiaTheme="minorHAnsi" w:hAnsi="Cambria Math"/>
                <w:spacing w:val="-2"/>
                <w:lang w:val="fr-FR" w:eastAsia="en-US"/>
              </w:rPr>
              <m:t>2</m:t>
            </m:r>
          </m:sub>
        </m:sSub>
      </m:oMath>
      <w:r w:rsidR="0039366F" w:rsidRPr="0042238A">
        <w:rPr>
          <w:rFonts w:eastAsiaTheme="minorHAnsi"/>
          <w:spacing w:val="-2"/>
          <w:lang w:val="fr-FR" w:eastAsia="en-US"/>
        </w:rPr>
        <w:tab/>
        <w:t xml:space="preserve">est un facteur lié à la température de service et aux propriétés thermiques de la résine ; il est déterminé par l’équation suivante avec une valeur minimum de 1: </w:t>
      </w:r>
      <m:oMath>
        <m:sSub>
          <m:sSubPr>
            <m:ctrlPr>
              <w:rPr>
                <w:rFonts w:ascii="Cambria Math" w:eastAsiaTheme="minorHAnsi" w:hAnsi="Cambria Math"/>
                <w:spacing w:val="-2"/>
                <w:lang w:val="fr-FR" w:eastAsia="en-US"/>
              </w:rPr>
            </m:ctrlPr>
          </m:sSubPr>
          <m:e>
            <m:r>
              <m:rPr>
                <m:sty m:val="bi"/>
              </m:rPr>
              <w:rPr>
                <w:rFonts w:ascii="Cambria Math" w:eastAsiaTheme="minorHAnsi" w:hAnsi="Cambria Math"/>
                <w:spacing w:val="-2"/>
                <w:lang w:val="fr-FR" w:eastAsia="en-US"/>
              </w:rPr>
              <m:t>K</m:t>
            </m:r>
          </m:e>
          <m:sub>
            <m:r>
              <m:rPr>
                <m:sty m:val="b"/>
              </m:rPr>
              <w:rPr>
                <w:rFonts w:ascii="Cambria Math" w:eastAsiaTheme="minorHAnsi" w:hAnsi="Cambria Math"/>
                <w:spacing w:val="-2"/>
                <w:lang w:val="fr-FR" w:eastAsia="en-US"/>
              </w:rPr>
              <m:t>2</m:t>
            </m:r>
          </m:sub>
        </m:sSub>
      </m:oMath>
      <w:r w:rsidR="0039366F" w:rsidRPr="0042238A">
        <w:rPr>
          <w:rFonts w:eastAsiaTheme="minorHAnsi"/>
          <w:spacing w:val="-2"/>
          <w:lang w:val="fr-FR" w:eastAsia="en-US"/>
        </w:rPr>
        <w:t xml:space="preserve"> = 1,25 - 0,0125 (HDT - 70) où HDT est la température de déformation thermique de la résine, en ºC ;</w:t>
      </w:r>
    </w:p>
    <w:p w14:paraId="32ECB5AE" w14:textId="77777777" w:rsidR="0039366F" w:rsidRPr="0042238A" w:rsidRDefault="00FF1081" w:rsidP="0039366F">
      <w:pPr>
        <w:spacing w:after="120"/>
        <w:ind w:left="1701" w:right="1134" w:hanging="567"/>
        <w:jc w:val="both"/>
        <w:rPr>
          <w:rFonts w:eastAsiaTheme="minorHAnsi"/>
          <w:lang w:val="fr-FR" w:eastAsia="en-US"/>
        </w:rPr>
      </w:pPr>
      <m:oMath>
        <m:sSub>
          <m:sSubPr>
            <m:ctrlPr>
              <w:rPr>
                <w:rFonts w:ascii="Cambria Math" w:eastAsiaTheme="minorHAnsi" w:hAnsi="Cambria Math"/>
                <w:lang w:val="fr-FR" w:eastAsia="en-US"/>
              </w:rPr>
            </m:ctrlPr>
          </m:sSubPr>
          <m:e>
            <m:r>
              <m:rPr>
                <m:sty m:val="bi"/>
              </m:rPr>
              <w:rPr>
                <w:rFonts w:ascii="Cambria Math" w:eastAsiaTheme="minorHAnsi" w:hAnsi="Cambria Math"/>
                <w:lang w:val="fr-FR" w:eastAsia="en-US"/>
              </w:rPr>
              <m:t>K</m:t>
            </m:r>
          </m:e>
          <m:sub>
            <m:r>
              <m:rPr>
                <m:sty m:val="b"/>
              </m:rPr>
              <w:rPr>
                <w:rFonts w:ascii="Cambria Math" w:eastAsiaTheme="minorHAnsi" w:hAnsi="Cambria Math"/>
                <w:lang w:val="fr-FR" w:eastAsia="en-US"/>
              </w:rPr>
              <m:t>3</m:t>
            </m:r>
          </m:sub>
        </m:sSub>
      </m:oMath>
      <w:r w:rsidR="0039366F" w:rsidRPr="0042238A">
        <w:rPr>
          <w:rFonts w:eastAsiaTheme="minorHAnsi"/>
          <w:lang w:val="fr-FR" w:eastAsia="en-US"/>
        </w:rPr>
        <w:tab/>
        <w:t xml:space="preserve">est un facteur lié à la fatigue du matériau, la valeur de </w:t>
      </w:r>
      <m:oMath>
        <m:sSub>
          <m:sSubPr>
            <m:ctrlPr>
              <w:rPr>
                <w:rFonts w:ascii="Cambria Math" w:eastAsiaTheme="minorHAnsi" w:hAnsi="Cambria Math"/>
                <w:lang w:val="fr-FR" w:eastAsia="en-US"/>
              </w:rPr>
            </m:ctrlPr>
          </m:sSubPr>
          <m:e>
            <m:r>
              <m:rPr>
                <m:sty m:val="bi"/>
              </m:rPr>
              <w:rPr>
                <w:rFonts w:ascii="Cambria Math" w:eastAsiaTheme="minorHAnsi" w:hAnsi="Cambria Math"/>
                <w:lang w:val="fr-FR" w:eastAsia="en-US"/>
              </w:rPr>
              <m:t>K</m:t>
            </m:r>
          </m:e>
          <m:sub>
            <m:r>
              <m:rPr>
                <m:sty m:val="b"/>
              </m:rPr>
              <w:rPr>
                <w:rFonts w:ascii="Cambria Math" w:eastAsiaTheme="minorHAnsi" w:hAnsi="Cambria Math"/>
                <w:lang w:val="fr-FR" w:eastAsia="en-US"/>
              </w:rPr>
              <m:t>3</m:t>
            </m:r>
          </m:sub>
        </m:sSub>
      </m:oMath>
      <w:r w:rsidR="0039366F" w:rsidRPr="0042238A">
        <w:rPr>
          <w:rFonts w:eastAsiaTheme="minorHAnsi"/>
          <w:lang w:val="fr-FR" w:eastAsia="en-US"/>
        </w:rPr>
        <w:t xml:space="preserve"> étant égale à 1,75 sauf accord contraire avec l’autorité compétente. Pour la conception dynamique prévue au 6.7.2.2.12, </w:t>
      </w:r>
      <m:oMath>
        <m:sSub>
          <m:sSubPr>
            <m:ctrlPr>
              <w:rPr>
                <w:rFonts w:ascii="Cambria Math" w:eastAsiaTheme="minorHAnsi" w:hAnsi="Cambria Math"/>
                <w:lang w:val="fr-FR" w:eastAsia="en-US"/>
              </w:rPr>
            </m:ctrlPr>
          </m:sSubPr>
          <m:e>
            <m:r>
              <m:rPr>
                <m:sty m:val="bi"/>
              </m:rPr>
              <w:rPr>
                <w:rFonts w:ascii="Cambria Math" w:eastAsiaTheme="minorHAnsi" w:hAnsi="Cambria Math"/>
                <w:lang w:val="fr-FR" w:eastAsia="en-US"/>
              </w:rPr>
              <m:t>K</m:t>
            </m:r>
          </m:e>
          <m:sub>
            <m:r>
              <m:rPr>
                <m:sty m:val="b"/>
              </m:rPr>
              <w:rPr>
                <w:rFonts w:ascii="Cambria Math" w:eastAsiaTheme="minorHAnsi" w:hAnsi="Cambria Math"/>
                <w:lang w:val="fr-FR" w:eastAsia="en-US"/>
              </w:rPr>
              <m:t>3</m:t>
            </m:r>
          </m:sub>
        </m:sSub>
      </m:oMath>
      <w:r w:rsidR="0039366F" w:rsidRPr="0042238A">
        <w:rPr>
          <w:rFonts w:eastAsiaTheme="minorHAnsi"/>
          <w:lang w:val="fr-FR" w:eastAsia="en-US"/>
        </w:rPr>
        <w:t xml:space="preserve"> doit être égal à 1,1 ;</w:t>
      </w:r>
    </w:p>
    <w:p w14:paraId="3E02A1D6" w14:textId="77777777" w:rsidR="0039366F" w:rsidRPr="0042238A" w:rsidRDefault="00FF1081" w:rsidP="0039366F">
      <w:pPr>
        <w:spacing w:after="120"/>
        <w:ind w:left="1701" w:right="1134" w:hanging="567"/>
        <w:jc w:val="both"/>
        <w:rPr>
          <w:rFonts w:eastAsiaTheme="minorHAnsi"/>
          <w:spacing w:val="-3"/>
          <w:lang w:val="fr-FR" w:eastAsia="en-US"/>
        </w:rPr>
      </w:pPr>
      <m:oMath>
        <m:sSub>
          <m:sSubPr>
            <m:ctrlPr>
              <w:rPr>
                <w:rFonts w:ascii="Cambria Math" w:eastAsiaTheme="minorHAnsi" w:hAnsi="Cambria Math"/>
                <w:spacing w:val="-3"/>
                <w:lang w:val="fr-FR" w:eastAsia="en-US"/>
              </w:rPr>
            </m:ctrlPr>
          </m:sSubPr>
          <m:e>
            <m:r>
              <m:rPr>
                <m:sty m:val="b"/>
              </m:rPr>
              <w:rPr>
                <w:rFonts w:ascii="Cambria Math" w:eastAsiaTheme="minorHAnsi" w:hAnsi="Cambria Math"/>
                <w:spacing w:val="-3"/>
                <w:lang w:val="fr-FR" w:eastAsia="en-US"/>
              </w:rPr>
              <m:t>K</m:t>
            </m:r>
          </m:e>
          <m:sub>
            <m:r>
              <m:rPr>
                <m:sty m:val="b"/>
              </m:rPr>
              <w:rPr>
                <w:rFonts w:ascii="Cambria Math" w:eastAsiaTheme="minorHAnsi" w:hAnsi="Cambria Math"/>
                <w:spacing w:val="-3"/>
                <w:lang w:val="fr-FR" w:eastAsia="en-US"/>
              </w:rPr>
              <m:t>4</m:t>
            </m:r>
          </m:sub>
        </m:sSub>
      </m:oMath>
      <w:r w:rsidR="0039366F" w:rsidRPr="0042238A">
        <w:rPr>
          <w:rFonts w:eastAsiaTheme="minorHAnsi"/>
          <w:spacing w:val="-3"/>
          <w:lang w:val="fr-FR" w:eastAsia="en-US"/>
        </w:rPr>
        <w:tab/>
        <w:t xml:space="preserve">est </w:t>
      </w:r>
      <w:r w:rsidR="0039366F" w:rsidRPr="0042238A">
        <w:rPr>
          <w:rFonts w:eastAsiaTheme="minorHAnsi"/>
          <w:color w:val="000000"/>
          <w:spacing w:val="-3"/>
          <w:lang w:val="fr-FR" w:eastAsia="en-US"/>
        </w:rPr>
        <w:t>un</w:t>
      </w:r>
      <w:r w:rsidR="0039366F" w:rsidRPr="0042238A">
        <w:rPr>
          <w:rFonts w:eastAsiaTheme="minorHAnsi"/>
          <w:spacing w:val="-3"/>
          <w:lang w:val="fr-FR" w:eastAsia="en-US"/>
        </w:rPr>
        <w:t xml:space="preserve"> facteur lié à la réticulation de la résine avec les valeurs suivantes :</w:t>
      </w:r>
    </w:p>
    <w:p w14:paraId="06076F7A" w14:textId="654DCEE5" w:rsidR="0039366F" w:rsidRPr="0042238A" w:rsidRDefault="0039366F" w:rsidP="00E31CB5">
      <w:pPr>
        <w:tabs>
          <w:tab w:val="left" w:pos="2268"/>
        </w:tabs>
        <w:spacing w:after="120"/>
        <w:ind w:left="2268" w:right="1134" w:hanging="567"/>
        <w:jc w:val="both"/>
        <w:rPr>
          <w:rFonts w:eastAsiaTheme="minorHAnsi"/>
          <w:spacing w:val="-1"/>
          <w:lang w:val="fr-FR" w:eastAsia="en-US"/>
        </w:rPr>
      </w:pPr>
      <w:r w:rsidRPr="0042238A">
        <w:rPr>
          <w:rFonts w:eastAsiaTheme="minorHAnsi"/>
          <w:spacing w:val="-1"/>
          <w:lang w:val="fr-FR" w:eastAsia="en-US"/>
        </w:rPr>
        <w:t>1,0</w:t>
      </w:r>
      <w:r w:rsidR="001F60F3" w:rsidRPr="0042238A">
        <w:rPr>
          <w:rFonts w:eastAsiaTheme="minorHAnsi"/>
          <w:spacing w:val="-1"/>
          <w:lang w:val="fr-FR" w:eastAsia="en-US"/>
        </w:rPr>
        <w:tab/>
      </w:r>
      <w:r w:rsidRPr="0042238A">
        <w:rPr>
          <w:rFonts w:eastAsiaTheme="minorHAnsi"/>
          <w:spacing w:val="-1"/>
          <w:lang w:val="fr-FR" w:eastAsia="en-US"/>
        </w:rPr>
        <w:t xml:space="preserve">quand la réticulation est obtenue conformément à un procédé agréé et documenté, et que le système de gestion de la qualité décrit au 6.9.2.2.2 comprend le contrôle du degré de réticulation de chaque citerne mobile en PRF en utilisant une méthode de mesure directe, comme indiqué au </w:t>
      </w:r>
      <w:r w:rsidRPr="0042238A">
        <w:rPr>
          <w:rFonts w:eastAsiaTheme="minorHAnsi"/>
          <w:bCs/>
          <w:spacing w:val="-1"/>
          <w:lang w:val="fr-FR" w:eastAsia="en-US"/>
        </w:rPr>
        <w:t>6.9.2.7.1.2 i), telle que</w:t>
      </w:r>
      <w:r w:rsidRPr="0042238A">
        <w:rPr>
          <w:rFonts w:eastAsiaTheme="minorHAnsi"/>
          <w:spacing w:val="-1"/>
          <w:lang w:val="fr-FR" w:eastAsia="en-US"/>
        </w:rPr>
        <w:t xml:space="preserve"> l’analyse calorimétrique différentielle (ACD) selon la norme ISO 11357-2:2016</w:t>
      </w:r>
      <w:r w:rsidRPr="0042238A">
        <w:rPr>
          <w:rFonts w:eastAsiaTheme="minorHAnsi"/>
          <w:bCs/>
          <w:spacing w:val="-1"/>
          <w:lang w:val="fr-FR" w:eastAsia="en-US"/>
        </w:rPr>
        <w:t> </w:t>
      </w:r>
      <w:r w:rsidRPr="0042238A">
        <w:rPr>
          <w:rFonts w:eastAsiaTheme="minorHAnsi"/>
          <w:spacing w:val="-1"/>
          <w:lang w:val="fr-FR" w:eastAsia="en-US"/>
        </w:rPr>
        <w:t>;</w:t>
      </w:r>
    </w:p>
    <w:p w14:paraId="664C61E7" w14:textId="712B148D" w:rsidR="0039366F" w:rsidRPr="0042238A" w:rsidRDefault="0039366F" w:rsidP="00E31CB5">
      <w:pPr>
        <w:tabs>
          <w:tab w:val="left" w:pos="2268"/>
        </w:tabs>
        <w:spacing w:after="120"/>
        <w:ind w:left="2268" w:right="1134" w:hanging="567"/>
        <w:jc w:val="both"/>
        <w:rPr>
          <w:rFonts w:eastAsiaTheme="minorHAnsi"/>
          <w:lang w:val="fr-FR" w:eastAsia="en-US"/>
        </w:rPr>
      </w:pPr>
      <w:r w:rsidRPr="0042238A">
        <w:rPr>
          <w:rFonts w:eastAsiaTheme="minorHAnsi"/>
          <w:lang w:val="fr-FR" w:eastAsia="en-US"/>
        </w:rPr>
        <w:t>1,1</w:t>
      </w:r>
      <w:r w:rsidR="001F60F3" w:rsidRPr="0042238A">
        <w:rPr>
          <w:rFonts w:eastAsiaTheme="minorHAnsi"/>
          <w:lang w:val="fr-FR" w:eastAsia="en-US"/>
        </w:rPr>
        <w:tab/>
      </w:r>
      <w:r w:rsidRPr="0042238A">
        <w:rPr>
          <w:rFonts w:eastAsiaTheme="minorHAnsi"/>
          <w:lang w:val="fr-FR" w:eastAsia="en-US"/>
        </w:rPr>
        <w:t>quand le formage de la résine thermoplastique ou la réticulation de la</w:t>
      </w:r>
      <w:r w:rsidRPr="0042238A">
        <w:rPr>
          <w:rFonts w:eastAsiaTheme="minorHAnsi"/>
          <w:lang w:val="fr-FR" w:eastAsia="ru-RU"/>
        </w:rPr>
        <w:t xml:space="preserve"> résine thermodurcissable</w:t>
      </w:r>
      <w:r w:rsidRPr="0042238A">
        <w:rPr>
          <w:rFonts w:eastAsiaTheme="minorHAnsi"/>
          <w:lang w:val="fr-FR" w:eastAsia="en-US"/>
        </w:rPr>
        <w:t xml:space="preserve"> est obtenu conformément à un procédé agréé et documenté, et que le système de gestion de la qualité décrit au 6.9.2.2.2 comprend</w:t>
      </w:r>
      <w:r w:rsidRPr="00AB4C5F">
        <w:rPr>
          <w:rFonts w:eastAsiaTheme="minorHAnsi"/>
          <w:lang w:val="fr-FR" w:eastAsia="en-US"/>
        </w:rPr>
        <w:t xml:space="preserve"> </w:t>
      </w:r>
      <w:r w:rsidRPr="0042238A">
        <w:rPr>
          <w:rFonts w:eastAsiaTheme="minorHAnsi"/>
          <w:lang w:val="fr-FR" w:eastAsia="en-US"/>
        </w:rPr>
        <w:t xml:space="preserve">le contrôle, </w:t>
      </w:r>
      <w:r w:rsidRPr="0042238A">
        <w:rPr>
          <w:rFonts w:eastAsiaTheme="minorHAnsi"/>
          <w:lang w:val="fr-FR" w:eastAsia="ru-RU"/>
        </w:rPr>
        <w:t>selon le cas, des caractéristiques de la résine thermoplastique formée ou du degré de réticulation de la résine thermodurcissable,</w:t>
      </w:r>
      <w:r w:rsidRPr="0042238A">
        <w:rPr>
          <w:rFonts w:eastAsiaTheme="minorHAnsi"/>
          <w:lang w:val="fr-FR" w:eastAsia="en-US"/>
        </w:rPr>
        <w:t xml:space="preserve"> pour chaque citerne mobile en PRF, en utilisant une méthode de mesure indirecte comme indiqué au </w:t>
      </w:r>
      <w:r w:rsidRPr="0042238A">
        <w:rPr>
          <w:rFonts w:eastAsiaTheme="minorHAnsi"/>
          <w:bCs/>
          <w:lang w:val="fr-FR" w:eastAsia="en-US"/>
        </w:rPr>
        <w:t>6.9.2.7.1.2 h)</w:t>
      </w:r>
      <w:r w:rsidRPr="0042238A">
        <w:rPr>
          <w:rFonts w:eastAsiaTheme="minorHAnsi"/>
          <w:lang w:val="fr-FR" w:eastAsia="en-US"/>
        </w:rPr>
        <w:t xml:space="preserve">, telle que le test de </w:t>
      </w:r>
      <w:proofErr w:type="spellStart"/>
      <w:r w:rsidRPr="0042238A">
        <w:rPr>
          <w:rFonts w:eastAsiaTheme="minorHAnsi"/>
          <w:lang w:val="fr-FR" w:eastAsia="en-US"/>
        </w:rPr>
        <w:t>Barcol</w:t>
      </w:r>
      <w:proofErr w:type="spellEnd"/>
      <w:r w:rsidRPr="0042238A">
        <w:rPr>
          <w:rFonts w:eastAsiaTheme="minorHAnsi"/>
          <w:lang w:val="fr-FR" w:eastAsia="en-US"/>
        </w:rPr>
        <w:t xml:space="preserve"> selon la norme ASTM D2583:2013-03 ou EN 59:2016, la HDT selon la norme ISО 75</w:t>
      </w:r>
      <w:r w:rsidRPr="0042238A">
        <w:rPr>
          <w:rFonts w:eastAsiaTheme="minorHAnsi"/>
          <w:lang w:val="fr-FR" w:eastAsia="en-US"/>
        </w:rPr>
        <w:noBreakHyphen/>
        <w:t>1:2013, l’analyse thermomécanique selon la norme ISO 11359</w:t>
      </w:r>
      <w:r w:rsidRPr="0042238A">
        <w:rPr>
          <w:rFonts w:eastAsiaTheme="minorHAnsi"/>
          <w:lang w:val="fr-FR" w:eastAsia="en-US"/>
        </w:rPr>
        <w:noBreakHyphen/>
        <w:t>1:2014, ou l’analyse thermomécanique dynamique selon la norme ISO 6721-11:2019 ;</w:t>
      </w:r>
    </w:p>
    <w:p w14:paraId="1B54B8CE" w14:textId="46E272EC" w:rsidR="0039366F" w:rsidRPr="0042238A" w:rsidRDefault="0039366F" w:rsidP="00E31CB5">
      <w:pPr>
        <w:tabs>
          <w:tab w:val="left" w:pos="2268"/>
        </w:tabs>
        <w:spacing w:after="120"/>
        <w:ind w:left="2268" w:right="1134" w:hanging="567"/>
        <w:jc w:val="both"/>
        <w:rPr>
          <w:rFonts w:eastAsiaTheme="minorHAnsi"/>
          <w:lang w:val="fr-FR" w:eastAsia="en-US"/>
        </w:rPr>
      </w:pPr>
      <w:r w:rsidRPr="0042238A">
        <w:rPr>
          <w:rFonts w:eastAsiaTheme="minorHAnsi"/>
          <w:lang w:val="fr-FR" w:eastAsia="en-US"/>
        </w:rPr>
        <w:t>1,5</w:t>
      </w:r>
      <w:r w:rsidR="001F60F3" w:rsidRPr="0042238A">
        <w:rPr>
          <w:rFonts w:eastAsiaTheme="minorHAnsi"/>
          <w:lang w:val="fr-FR" w:eastAsia="en-US"/>
        </w:rPr>
        <w:tab/>
      </w:r>
      <w:r w:rsidRPr="0042238A">
        <w:rPr>
          <w:rFonts w:eastAsiaTheme="minorHAnsi"/>
          <w:lang w:val="fr-FR" w:eastAsia="en-US"/>
        </w:rPr>
        <w:t>dans les autres cas.</w:t>
      </w:r>
    </w:p>
    <w:p w14:paraId="1C42812B" w14:textId="77777777" w:rsidR="0039366F" w:rsidRPr="0042238A" w:rsidRDefault="00FF1081" w:rsidP="0039366F">
      <w:pPr>
        <w:spacing w:after="120"/>
        <w:ind w:left="1701" w:right="1134" w:hanging="567"/>
        <w:jc w:val="both"/>
        <w:rPr>
          <w:rFonts w:eastAsiaTheme="minorHAnsi"/>
          <w:lang w:val="fr-FR" w:eastAsia="en-US"/>
        </w:rPr>
      </w:pPr>
      <m:oMath>
        <m:sSub>
          <m:sSubPr>
            <m:ctrlPr>
              <w:rPr>
                <w:rFonts w:ascii="Cambria Math" w:eastAsiaTheme="minorHAnsi" w:hAnsi="Cambria Math"/>
                <w:lang w:val="fr-FR" w:eastAsia="en-US"/>
              </w:rPr>
            </m:ctrlPr>
          </m:sSubPr>
          <m:e>
            <m:r>
              <m:rPr>
                <m:sty m:val="b"/>
              </m:rPr>
              <w:rPr>
                <w:rFonts w:ascii="Cambria Math" w:eastAsiaTheme="minorHAnsi" w:hAnsi="Cambria Math"/>
                <w:lang w:val="fr-FR" w:eastAsia="en-US"/>
              </w:rPr>
              <m:t>K</m:t>
            </m:r>
          </m:e>
          <m:sub>
            <m:r>
              <m:rPr>
                <m:sty m:val="b"/>
              </m:rPr>
              <w:rPr>
                <w:rFonts w:ascii="Cambria Math" w:eastAsiaTheme="minorHAnsi" w:hAnsi="Cambria Math"/>
                <w:lang w:val="fr-FR" w:eastAsia="en-US"/>
              </w:rPr>
              <m:t>5</m:t>
            </m:r>
          </m:sub>
        </m:sSub>
      </m:oMath>
      <w:r w:rsidR="0039366F" w:rsidRPr="0042238A">
        <w:rPr>
          <w:rFonts w:eastAsiaTheme="minorHAnsi"/>
          <w:lang w:val="fr-FR" w:eastAsia="en-US"/>
        </w:rPr>
        <w:tab/>
        <w:t xml:space="preserve">est un </w:t>
      </w:r>
      <w:r w:rsidR="0039366F" w:rsidRPr="0042238A">
        <w:rPr>
          <w:rFonts w:eastAsiaTheme="minorHAnsi"/>
          <w:spacing w:val="-3"/>
          <w:lang w:val="fr-FR" w:eastAsia="en-US"/>
        </w:rPr>
        <w:t>facteur</w:t>
      </w:r>
      <w:r w:rsidR="0039366F" w:rsidRPr="0042238A">
        <w:rPr>
          <w:rFonts w:eastAsiaTheme="minorHAnsi"/>
          <w:lang w:val="fr-FR" w:eastAsia="en-US"/>
        </w:rPr>
        <w:t xml:space="preserve"> lié aux instructions de transport en citernes mobiles du</w:t>
      </w:r>
      <w:bookmarkStart w:id="13" w:name="_Hlk43820633"/>
      <w:r w:rsidR="0039366F" w:rsidRPr="0042238A">
        <w:rPr>
          <w:rFonts w:eastAsiaTheme="minorHAnsi"/>
          <w:lang w:val="fr-FR" w:eastAsia="en-US"/>
        </w:rPr>
        <w:t> 4.2.5.2.6</w:t>
      </w:r>
      <w:bookmarkEnd w:id="13"/>
      <w:r w:rsidR="0039366F" w:rsidRPr="0042238A">
        <w:rPr>
          <w:rFonts w:eastAsiaTheme="minorHAnsi"/>
          <w:lang w:val="fr-FR" w:eastAsia="en-US"/>
        </w:rPr>
        <w:t> :</w:t>
      </w:r>
    </w:p>
    <w:p w14:paraId="3E62094A" w14:textId="62CD9747" w:rsidR="0039366F" w:rsidRPr="0042238A" w:rsidRDefault="0039366F" w:rsidP="00E31CB5">
      <w:pPr>
        <w:tabs>
          <w:tab w:val="left" w:pos="2268"/>
        </w:tabs>
        <w:spacing w:after="120"/>
        <w:ind w:left="2268" w:right="1134" w:hanging="567"/>
        <w:jc w:val="both"/>
        <w:rPr>
          <w:rFonts w:eastAsiaTheme="minorHAnsi"/>
          <w:lang w:val="fr-FR" w:eastAsia="en-US"/>
        </w:rPr>
      </w:pPr>
      <w:r w:rsidRPr="0042238A">
        <w:rPr>
          <w:rFonts w:eastAsiaTheme="minorHAnsi"/>
          <w:lang w:val="fr-FR" w:eastAsia="en-US"/>
        </w:rPr>
        <w:t>1,0</w:t>
      </w:r>
      <w:r w:rsidR="00AB4C5F" w:rsidRPr="0042238A">
        <w:rPr>
          <w:rFonts w:eastAsiaTheme="minorHAnsi"/>
          <w:lang w:val="fr-FR" w:eastAsia="en-US"/>
        </w:rPr>
        <w:tab/>
      </w:r>
      <w:bookmarkStart w:id="14" w:name="_Hlk43820741"/>
      <w:r w:rsidRPr="0042238A">
        <w:rPr>
          <w:rFonts w:eastAsiaTheme="minorHAnsi"/>
          <w:lang w:val="fr-FR" w:eastAsia="en-US"/>
        </w:rPr>
        <w:t xml:space="preserve">pour les instructions </w:t>
      </w:r>
      <w:bookmarkEnd w:id="14"/>
      <w:r w:rsidRPr="0042238A">
        <w:rPr>
          <w:rFonts w:eastAsiaTheme="minorHAnsi"/>
          <w:lang w:val="fr-FR" w:eastAsia="en-US"/>
        </w:rPr>
        <w:t>T1 à T19 ;</w:t>
      </w:r>
    </w:p>
    <w:p w14:paraId="520B3E56" w14:textId="50079E6E" w:rsidR="0039366F" w:rsidRPr="0042238A" w:rsidRDefault="0039366F" w:rsidP="00E31CB5">
      <w:pPr>
        <w:tabs>
          <w:tab w:val="left" w:pos="2268"/>
        </w:tabs>
        <w:spacing w:after="120"/>
        <w:ind w:left="2268" w:right="1134" w:hanging="567"/>
        <w:jc w:val="both"/>
        <w:rPr>
          <w:rFonts w:eastAsiaTheme="minorHAnsi"/>
          <w:lang w:val="fr-FR" w:eastAsia="en-US"/>
        </w:rPr>
      </w:pPr>
      <w:r w:rsidRPr="0042238A">
        <w:rPr>
          <w:rFonts w:eastAsiaTheme="minorHAnsi"/>
          <w:lang w:val="fr-FR" w:eastAsia="en-US"/>
        </w:rPr>
        <w:t>1,33</w:t>
      </w:r>
      <w:r w:rsidR="00AB4C5F" w:rsidRPr="0042238A">
        <w:rPr>
          <w:rFonts w:eastAsiaTheme="minorHAnsi"/>
          <w:lang w:val="fr-FR" w:eastAsia="en-US"/>
        </w:rPr>
        <w:tab/>
      </w:r>
      <w:r w:rsidRPr="0042238A">
        <w:rPr>
          <w:rFonts w:eastAsiaTheme="minorHAnsi"/>
          <w:lang w:val="fr-FR" w:eastAsia="en-US"/>
        </w:rPr>
        <w:t>pour l’instruction T20 ;</w:t>
      </w:r>
    </w:p>
    <w:p w14:paraId="14635D02" w14:textId="13F147E0" w:rsidR="0039366F" w:rsidRPr="0042238A" w:rsidRDefault="0039366F" w:rsidP="00E31CB5">
      <w:pPr>
        <w:tabs>
          <w:tab w:val="left" w:pos="2268"/>
        </w:tabs>
        <w:spacing w:after="120"/>
        <w:ind w:left="2268" w:right="1134" w:hanging="567"/>
        <w:jc w:val="both"/>
        <w:rPr>
          <w:rFonts w:eastAsiaTheme="minorHAnsi"/>
          <w:lang w:val="fr-FR" w:eastAsia="en-US"/>
        </w:rPr>
      </w:pPr>
      <w:r w:rsidRPr="0042238A">
        <w:rPr>
          <w:rFonts w:eastAsiaTheme="minorHAnsi"/>
          <w:lang w:val="fr-FR" w:eastAsia="en-US"/>
        </w:rPr>
        <w:t>1,67</w:t>
      </w:r>
      <w:r w:rsidR="00AB4C5F" w:rsidRPr="0042238A">
        <w:rPr>
          <w:rFonts w:eastAsiaTheme="minorHAnsi"/>
          <w:lang w:val="fr-FR" w:eastAsia="en-US"/>
        </w:rPr>
        <w:tab/>
      </w:r>
      <w:r w:rsidRPr="0042238A">
        <w:rPr>
          <w:rFonts w:eastAsiaTheme="minorHAnsi"/>
          <w:lang w:val="fr-FR" w:eastAsia="en-US"/>
        </w:rPr>
        <w:t>pour les instructions T21 à T22.</w:t>
      </w:r>
    </w:p>
    <w:p w14:paraId="42F3E18E" w14:textId="77777777" w:rsidR="0039366F" w:rsidRPr="0042238A" w:rsidRDefault="0039366F" w:rsidP="0039366F">
      <w:pPr>
        <w:keepNext/>
        <w:keepLines/>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lastRenderedPageBreak/>
        <w:t xml:space="preserve">Un exercice de validation de la conception s’appuyant sur une analyse numérique et sur des critères pertinents de défaillance des composites doit être entrepris pour vérifier que les contraintes dans les plis du réservoir sont inférieures aux valeurs admissibles. Les critères pertinents de défaillance des composites comprennent, entre autres, les critères </w:t>
      </w:r>
      <w:proofErr w:type="spellStart"/>
      <w:r w:rsidRPr="0042238A">
        <w:rPr>
          <w:rFonts w:eastAsiaTheme="minorHAnsi"/>
          <w:lang w:val="fr-FR" w:eastAsia="en-US"/>
        </w:rPr>
        <w:t>Tsai</w:t>
      </w:r>
      <w:proofErr w:type="spellEnd"/>
      <w:r w:rsidRPr="0042238A">
        <w:rPr>
          <w:rFonts w:eastAsiaTheme="minorHAnsi"/>
          <w:lang w:val="fr-FR" w:eastAsia="en-US"/>
        </w:rPr>
        <w:t xml:space="preserve">-Wu, </w:t>
      </w:r>
      <w:proofErr w:type="spellStart"/>
      <w:r w:rsidRPr="0042238A">
        <w:rPr>
          <w:rFonts w:eastAsiaTheme="minorHAnsi"/>
          <w:lang w:val="fr-FR" w:eastAsia="en-US"/>
        </w:rPr>
        <w:t>Tsai</w:t>
      </w:r>
      <w:proofErr w:type="spellEnd"/>
      <w:r w:rsidRPr="0042238A">
        <w:rPr>
          <w:rFonts w:eastAsiaTheme="minorHAnsi"/>
          <w:lang w:val="fr-FR" w:eastAsia="en-US"/>
        </w:rPr>
        <w:t xml:space="preserve">-Hill, </w:t>
      </w:r>
      <w:proofErr w:type="spellStart"/>
      <w:r w:rsidRPr="0042238A">
        <w:rPr>
          <w:rFonts w:eastAsiaTheme="minorHAnsi"/>
          <w:lang w:val="fr-FR" w:eastAsia="en-US"/>
        </w:rPr>
        <w:t>Hashin</w:t>
      </w:r>
      <w:proofErr w:type="spellEnd"/>
      <w:r w:rsidRPr="0042238A">
        <w:rPr>
          <w:rFonts w:eastAsiaTheme="minorHAnsi"/>
          <w:lang w:val="fr-FR" w:eastAsia="en-US"/>
        </w:rPr>
        <w:t>, et Yamada-Sun, la méthode SIFT (</w:t>
      </w:r>
      <w:proofErr w:type="spellStart"/>
      <w:r w:rsidRPr="0042238A">
        <w:rPr>
          <w:rFonts w:eastAsiaTheme="minorHAnsi"/>
          <w:lang w:val="fr-FR" w:eastAsia="en-US"/>
        </w:rPr>
        <w:t>Strain</w:t>
      </w:r>
      <w:proofErr w:type="spellEnd"/>
      <w:r w:rsidRPr="0042238A">
        <w:rPr>
          <w:rFonts w:eastAsiaTheme="minorHAnsi"/>
          <w:lang w:val="fr-FR" w:eastAsia="en-US"/>
        </w:rPr>
        <w:t xml:space="preserve"> Invariant Failure Theory), le critère de déformation maximale ou le critère de contrainte maximale. D’autres critères de résistance sont autorisés, après accord avec l’autorité compétente. La méthode de cet exercice de validation de la conception et ses résultats doivent être communiqués à l’autorité compétente.</w:t>
      </w:r>
    </w:p>
    <w:p w14:paraId="2120D789"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Les valeurs admissibles doivent être déterminées sur la base d’expériences visant à établir les paramètres requis en fonction des critères de défaillance choisis, associés au facteur de sécurité K, aux valeurs de résistance mesurées conformément au </w:t>
      </w:r>
      <w:r w:rsidRPr="0042238A">
        <w:rPr>
          <w:rFonts w:eastAsiaTheme="minorHAnsi"/>
          <w:bCs/>
          <w:iCs/>
          <w:lang w:val="fr-FR" w:eastAsia="en-US"/>
        </w:rPr>
        <w:t>6.9.2.7.1</w:t>
      </w:r>
      <w:r w:rsidRPr="0042238A">
        <w:rPr>
          <w:rFonts w:eastAsiaTheme="minorHAnsi"/>
          <w:bCs/>
          <w:lang w:val="fr-FR" w:eastAsia="en-US"/>
        </w:rPr>
        <w:t>.2 c)</w:t>
      </w:r>
      <w:r w:rsidRPr="0042238A">
        <w:rPr>
          <w:rFonts w:eastAsiaTheme="minorHAnsi"/>
          <w:lang w:val="fr-FR" w:eastAsia="en-US"/>
        </w:rPr>
        <w:t xml:space="preserve">, et aux critères de déformation maximale prescrits au 6.9.2.3.5. L’analyse des joints doit être effectuée en fonction des valeurs admissibles déterminées conformément au 6.9.2.3.7 et des valeurs de résistance mesurées conformément au </w:t>
      </w:r>
      <w:r w:rsidRPr="0042238A">
        <w:rPr>
          <w:rFonts w:eastAsiaTheme="minorHAnsi"/>
          <w:bCs/>
          <w:iCs/>
          <w:lang w:val="fr-FR" w:eastAsia="en-US"/>
        </w:rPr>
        <w:t>6.9.2.7.1</w:t>
      </w:r>
      <w:r w:rsidRPr="0042238A">
        <w:rPr>
          <w:rFonts w:eastAsiaTheme="minorHAnsi"/>
          <w:bCs/>
          <w:lang w:val="fr-FR" w:eastAsia="en-US"/>
        </w:rPr>
        <w:t>.2 g)</w:t>
      </w:r>
      <w:r w:rsidRPr="0042238A">
        <w:rPr>
          <w:rFonts w:eastAsiaTheme="minorHAnsi"/>
          <w:lang w:val="fr-FR" w:eastAsia="en-US"/>
        </w:rPr>
        <w:t>. Le flambage doit être examiné conformément au 6.9.2.3.6. La conception des ouvertures et des inclusions métalliques doit être examinée conformément au 6.9.2.3.8.</w:t>
      </w:r>
    </w:p>
    <w:p w14:paraId="03F9592C"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iCs/>
          <w:color w:val="000000"/>
          <w:lang w:val="fr-FR" w:eastAsia="en-US"/>
        </w:rPr>
        <w:t>6.9.2.3.5</w:t>
      </w:r>
      <w:r w:rsidRPr="0042238A">
        <w:rPr>
          <w:rFonts w:eastAsiaTheme="minorHAnsi"/>
          <w:b/>
          <w:bCs/>
          <w:iCs/>
          <w:color w:val="000000"/>
          <w:lang w:val="fr-FR" w:eastAsia="en-US"/>
        </w:rPr>
        <w:tab/>
      </w:r>
      <w:r w:rsidRPr="0042238A">
        <w:rPr>
          <w:rFonts w:eastAsiaTheme="minorHAnsi"/>
          <w:lang w:val="fr-FR" w:eastAsia="en-US"/>
        </w:rPr>
        <w:t>Pour l’une quelconque des contraintes définies aux 6.7.2.2.12 et 6.9.2.3.4, l’allongement qui en résulte dans une direction quelconque ne doit pas dépasser la plus faible des deux valeurs suivantes : la valeur indiquée dans le tableau ci-après ou un dixième de l’allongement à la rupture de la résine déterminé selon la norme ISO 527-2:2012.</w:t>
      </w:r>
    </w:p>
    <w:p w14:paraId="0FDE9B85"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Des exemples de limites connues sont donnés dans le tableau ci-dessous.</w:t>
      </w:r>
    </w:p>
    <w:tbl>
      <w:tblPr>
        <w:tblW w:w="69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3685"/>
      </w:tblGrid>
      <w:tr w:rsidR="0039366F" w:rsidRPr="0042238A" w14:paraId="0277E087" w14:textId="77777777" w:rsidTr="00FC798A">
        <w:trPr>
          <w:tblHeader/>
        </w:trPr>
        <w:tc>
          <w:tcPr>
            <w:tcW w:w="3256" w:type="dxa"/>
            <w:shd w:val="clear" w:color="auto" w:fill="auto"/>
            <w:vAlign w:val="bottom"/>
          </w:tcPr>
          <w:p w14:paraId="6A00E913" w14:textId="77777777" w:rsidR="0039366F" w:rsidRPr="0042238A" w:rsidRDefault="0039366F" w:rsidP="0039366F">
            <w:pPr>
              <w:suppressAutoHyphens w:val="0"/>
              <w:spacing w:before="60" w:after="60" w:line="220" w:lineRule="exact"/>
              <w:ind w:left="57" w:right="567"/>
              <w:rPr>
                <w:rFonts w:eastAsiaTheme="minorHAnsi"/>
                <w:b/>
                <w:bCs/>
                <w:iCs/>
                <w:sz w:val="18"/>
                <w:szCs w:val="18"/>
                <w:lang w:val="fr-FR" w:eastAsia="en-US"/>
              </w:rPr>
            </w:pPr>
            <w:r w:rsidRPr="0042238A">
              <w:rPr>
                <w:rFonts w:eastAsiaTheme="minorHAnsi"/>
                <w:b/>
                <w:bCs/>
                <w:iCs/>
                <w:sz w:val="18"/>
                <w:szCs w:val="18"/>
                <w:lang w:val="fr-FR" w:eastAsia="en-US"/>
              </w:rPr>
              <w:t>Type de résine</w:t>
            </w:r>
          </w:p>
        </w:tc>
        <w:tc>
          <w:tcPr>
            <w:tcW w:w="3685" w:type="dxa"/>
            <w:shd w:val="clear" w:color="auto" w:fill="auto"/>
            <w:vAlign w:val="bottom"/>
            <w:hideMark/>
          </w:tcPr>
          <w:p w14:paraId="3FFA5ABD" w14:textId="77777777" w:rsidR="0039366F" w:rsidRPr="0042238A" w:rsidRDefault="0039366F" w:rsidP="0039366F">
            <w:pPr>
              <w:suppressAutoHyphens w:val="0"/>
              <w:spacing w:before="60" w:after="60" w:line="220" w:lineRule="exact"/>
              <w:ind w:left="57" w:right="567"/>
              <w:rPr>
                <w:rFonts w:eastAsiaTheme="minorHAnsi"/>
                <w:b/>
                <w:bCs/>
                <w:iCs/>
                <w:sz w:val="18"/>
                <w:szCs w:val="18"/>
                <w:lang w:val="fr-FR" w:eastAsia="en-US"/>
              </w:rPr>
            </w:pPr>
            <w:r w:rsidRPr="0042238A">
              <w:rPr>
                <w:rFonts w:eastAsiaTheme="minorHAnsi"/>
                <w:b/>
                <w:bCs/>
                <w:iCs/>
                <w:sz w:val="18"/>
                <w:szCs w:val="18"/>
                <w:lang w:val="fr-FR" w:eastAsia="en-US"/>
              </w:rPr>
              <w:t>Déformation maximale en tension (%)</w:t>
            </w:r>
          </w:p>
        </w:tc>
      </w:tr>
      <w:tr w:rsidR="0039366F" w:rsidRPr="0042238A" w14:paraId="44E52094" w14:textId="77777777" w:rsidTr="00FC798A">
        <w:tc>
          <w:tcPr>
            <w:tcW w:w="3256" w:type="dxa"/>
            <w:shd w:val="clear" w:color="auto" w:fill="auto"/>
          </w:tcPr>
          <w:p w14:paraId="4BED42AE" w14:textId="77777777" w:rsidR="0039366F" w:rsidRPr="0042238A" w:rsidRDefault="0039366F" w:rsidP="0039366F">
            <w:pPr>
              <w:suppressAutoHyphens w:val="0"/>
              <w:spacing w:before="60" w:after="60" w:line="220" w:lineRule="exact"/>
              <w:ind w:left="57" w:right="567"/>
              <w:rPr>
                <w:rFonts w:eastAsiaTheme="minorHAnsi"/>
                <w:sz w:val="18"/>
                <w:szCs w:val="18"/>
                <w:lang w:val="fr-FR" w:eastAsia="en-US"/>
              </w:rPr>
            </w:pPr>
            <w:r w:rsidRPr="0042238A">
              <w:rPr>
                <w:rFonts w:eastAsiaTheme="minorHAnsi"/>
                <w:sz w:val="18"/>
                <w:szCs w:val="18"/>
                <w:lang w:val="fr-FR" w:eastAsia="en-US"/>
              </w:rPr>
              <w:t>Polyester non saturée ou phénolique</w:t>
            </w:r>
          </w:p>
        </w:tc>
        <w:tc>
          <w:tcPr>
            <w:tcW w:w="3685" w:type="dxa"/>
            <w:shd w:val="clear" w:color="auto" w:fill="auto"/>
            <w:noWrap/>
            <w:vAlign w:val="bottom"/>
            <w:hideMark/>
          </w:tcPr>
          <w:p w14:paraId="6823EA6C" w14:textId="77777777" w:rsidR="0039366F" w:rsidRPr="0042238A" w:rsidRDefault="0039366F" w:rsidP="0039366F">
            <w:pPr>
              <w:suppressAutoHyphens w:val="0"/>
              <w:spacing w:before="60" w:after="60" w:line="220" w:lineRule="exact"/>
              <w:ind w:left="57" w:right="567"/>
              <w:rPr>
                <w:rFonts w:eastAsiaTheme="minorHAnsi"/>
                <w:sz w:val="18"/>
                <w:szCs w:val="18"/>
                <w:lang w:val="fr-FR" w:eastAsia="en-US"/>
              </w:rPr>
            </w:pPr>
            <w:r w:rsidRPr="0042238A">
              <w:rPr>
                <w:rFonts w:eastAsiaTheme="minorHAnsi"/>
                <w:sz w:val="18"/>
                <w:szCs w:val="18"/>
                <w:lang w:val="fr-FR" w:eastAsia="en-US"/>
              </w:rPr>
              <w:t>0,2</w:t>
            </w:r>
          </w:p>
        </w:tc>
      </w:tr>
      <w:tr w:rsidR="0039366F" w:rsidRPr="0042238A" w14:paraId="5684352A" w14:textId="77777777" w:rsidTr="00FC798A">
        <w:tc>
          <w:tcPr>
            <w:tcW w:w="3256" w:type="dxa"/>
            <w:shd w:val="clear" w:color="auto" w:fill="auto"/>
          </w:tcPr>
          <w:p w14:paraId="251FA476" w14:textId="77777777" w:rsidR="0039366F" w:rsidRPr="0042238A" w:rsidRDefault="0039366F" w:rsidP="0039366F">
            <w:pPr>
              <w:suppressAutoHyphens w:val="0"/>
              <w:spacing w:before="60" w:after="60" w:line="220" w:lineRule="exact"/>
              <w:ind w:left="57" w:right="567"/>
              <w:rPr>
                <w:rFonts w:eastAsiaTheme="minorHAnsi"/>
                <w:sz w:val="18"/>
                <w:szCs w:val="18"/>
                <w:lang w:val="fr-FR" w:eastAsia="en-US"/>
              </w:rPr>
            </w:pPr>
            <w:proofErr w:type="spellStart"/>
            <w:r w:rsidRPr="0042238A">
              <w:rPr>
                <w:rFonts w:eastAsiaTheme="minorHAnsi"/>
                <w:sz w:val="18"/>
                <w:szCs w:val="18"/>
                <w:lang w:val="fr-FR" w:eastAsia="en-US"/>
              </w:rPr>
              <w:t>Vinylester</w:t>
            </w:r>
            <w:proofErr w:type="spellEnd"/>
          </w:p>
        </w:tc>
        <w:tc>
          <w:tcPr>
            <w:tcW w:w="3685" w:type="dxa"/>
            <w:shd w:val="clear" w:color="auto" w:fill="auto"/>
            <w:noWrap/>
            <w:vAlign w:val="bottom"/>
            <w:hideMark/>
          </w:tcPr>
          <w:p w14:paraId="49F4FC69" w14:textId="77777777" w:rsidR="0039366F" w:rsidRPr="0042238A" w:rsidRDefault="0039366F" w:rsidP="0039366F">
            <w:pPr>
              <w:suppressAutoHyphens w:val="0"/>
              <w:spacing w:before="60" w:after="60" w:line="220" w:lineRule="exact"/>
              <w:ind w:left="57" w:right="567"/>
              <w:rPr>
                <w:rFonts w:eastAsiaTheme="minorHAnsi"/>
                <w:sz w:val="18"/>
                <w:szCs w:val="18"/>
                <w:lang w:val="fr-FR" w:eastAsia="en-US"/>
              </w:rPr>
            </w:pPr>
            <w:r w:rsidRPr="0042238A">
              <w:rPr>
                <w:rFonts w:eastAsiaTheme="minorHAnsi"/>
                <w:sz w:val="18"/>
                <w:szCs w:val="18"/>
                <w:lang w:val="fr-FR" w:eastAsia="en-US"/>
              </w:rPr>
              <w:t>0,25</w:t>
            </w:r>
          </w:p>
        </w:tc>
      </w:tr>
      <w:tr w:rsidR="0039366F" w:rsidRPr="0042238A" w14:paraId="6052F96E" w14:textId="77777777" w:rsidTr="00FC798A">
        <w:tc>
          <w:tcPr>
            <w:tcW w:w="3256" w:type="dxa"/>
            <w:shd w:val="clear" w:color="auto" w:fill="auto"/>
          </w:tcPr>
          <w:p w14:paraId="28F8711D" w14:textId="77777777" w:rsidR="0039366F" w:rsidRPr="0042238A" w:rsidRDefault="0039366F" w:rsidP="0039366F">
            <w:pPr>
              <w:suppressAutoHyphens w:val="0"/>
              <w:spacing w:before="60" w:after="60" w:line="220" w:lineRule="exact"/>
              <w:ind w:left="57" w:right="567"/>
              <w:rPr>
                <w:rFonts w:eastAsiaTheme="minorHAnsi"/>
                <w:sz w:val="18"/>
                <w:szCs w:val="18"/>
                <w:lang w:val="fr-FR" w:eastAsia="en-US"/>
              </w:rPr>
            </w:pPr>
            <w:r w:rsidRPr="0042238A">
              <w:rPr>
                <w:rFonts w:eastAsiaTheme="minorHAnsi"/>
                <w:sz w:val="18"/>
                <w:szCs w:val="18"/>
                <w:lang w:val="fr-FR" w:eastAsia="en-US"/>
              </w:rPr>
              <w:t>Époxy</w:t>
            </w:r>
          </w:p>
        </w:tc>
        <w:tc>
          <w:tcPr>
            <w:tcW w:w="3685" w:type="dxa"/>
            <w:shd w:val="clear" w:color="auto" w:fill="auto"/>
            <w:noWrap/>
            <w:vAlign w:val="bottom"/>
            <w:hideMark/>
          </w:tcPr>
          <w:p w14:paraId="5E182BBE" w14:textId="77777777" w:rsidR="0039366F" w:rsidRPr="0042238A" w:rsidRDefault="0039366F" w:rsidP="0039366F">
            <w:pPr>
              <w:suppressAutoHyphens w:val="0"/>
              <w:spacing w:before="60" w:after="60" w:line="220" w:lineRule="exact"/>
              <w:ind w:left="57" w:right="567"/>
              <w:rPr>
                <w:rFonts w:eastAsiaTheme="minorHAnsi"/>
                <w:sz w:val="18"/>
                <w:szCs w:val="18"/>
                <w:lang w:val="fr-FR" w:eastAsia="en-US"/>
              </w:rPr>
            </w:pPr>
            <w:r w:rsidRPr="0042238A">
              <w:rPr>
                <w:rFonts w:eastAsiaTheme="minorHAnsi"/>
                <w:sz w:val="18"/>
                <w:szCs w:val="18"/>
                <w:lang w:val="fr-FR" w:eastAsia="en-US"/>
              </w:rPr>
              <w:t>0,3</w:t>
            </w:r>
          </w:p>
        </w:tc>
      </w:tr>
      <w:tr w:rsidR="0039366F" w:rsidRPr="0042238A" w14:paraId="07034166" w14:textId="77777777" w:rsidTr="00FC798A">
        <w:tc>
          <w:tcPr>
            <w:tcW w:w="3256" w:type="dxa"/>
            <w:shd w:val="clear" w:color="auto" w:fill="auto"/>
          </w:tcPr>
          <w:p w14:paraId="6A37CFE5" w14:textId="77777777" w:rsidR="0039366F" w:rsidRPr="0042238A" w:rsidRDefault="0039366F" w:rsidP="0039366F">
            <w:pPr>
              <w:suppressAutoHyphens w:val="0"/>
              <w:spacing w:before="60" w:after="60" w:line="220" w:lineRule="exact"/>
              <w:ind w:left="57" w:right="567"/>
              <w:rPr>
                <w:rFonts w:eastAsiaTheme="minorHAnsi"/>
                <w:sz w:val="18"/>
                <w:szCs w:val="18"/>
                <w:lang w:val="fr-FR" w:eastAsia="en-US"/>
              </w:rPr>
            </w:pPr>
            <w:r w:rsidRPr="0042238A">
              <w:rPr>
                <w:rFonts w:eastAsiaTheme="minorHAnsi"/>
                <w:sz w:val="18"/>
                <w:szCs w:val="18"/>
                <w:lang w:val="fr-FR" w:eastAsia="en-US"/>
              </w:rPr>
              <w:t>Thermoplastique</w:t>
            </w:r>
          </w:p>
        </w:tc>
        <w:tc>
          <w:tcPr>
            <w:tcW w:w="3685" w:type="dxa"/>
            <w:shd w:val="clear" w:color="auto" w:fill="auto"/>
            <w:noWrap/>
            <w:vAlign w:val="bottom"/>
          </w:tcPr>
          <w:p w14:paraId="7A2F6359" w14:textId="77777777" w:rsidR="0039366F" w:rsidRPr="0042238A" w:rsidRDefault="0039366F" w:rsidP="0039366F">
            <w:pPr>
              <w:suppressAutoHyphens w:val="0"/>
              <w:spacing w:before="60" w:after="60" w:line="220" w:lineRule="exact"/>
              <w:ind w:left="57" w:right="567"/>
              <w:rPr>
                <w:rFonts w:eastAsiaTheme="minorHAnsi"/>
                <w:sz w:val="18"/>
                <w:szCs w:val="18"/>
                <w:lang w:val="fr-FR" w:eastAsia="en-US"/>
              </w:rPr>
            </w:pPr>
            <w:r w:rsidRPr="0042238A">
              <w:rPr>
                <w:rFonts w:eastAsiaTheme="minorHAnsi"/>
                <w:sz w:val="18"/>
                <w:szCs w:val="18"/>
                <w:lang w:val="fr-FR" w:eastAsia="en-US"/>
              </w:rPr>
              <w:t>Voir 6.9.2.3.3</w:t>
            </w:r>
          </w:p>
        </w:tc>
      </w:tr>
    </w:tbl>
    <w:p w14:paraId="22F0A778" w14:textId="77777777" w:rsidR="0039366F" w:rsidRPr="0042238A" w:rsidRDefault="0039366F" w:rsidP="0039366F">
      <w:pPr>
        <w:tabs>
          <w:tab w:val="left" w:pos="1701"/>
          <w:tab w:val="left" w:pos="2268"/>
          <w:tab w:val="left" w:pos="2835"/>
        </w:tabs>
        <w:spacing w:before="120" w:after="120"/>
        <w:ind w:left="1134" w:right="1134"/>
        <w:jc w:val="both"/>
        <w:rPr>
          <w:rFonts w:eastAsiaTheme="minorHAnsi"/>
          <w:lang w:val="fr-FR" w:eastAsia="en-US"/>
        </w:rPr>
      </w:pPr>
      <w:r w:rsidRPr="0042238A">
        <w:rPr>
          <w:rFonts w:eastAsiaTheme="minorHAnsi"/>
          <w:bCs/>
          <w:iCs/>
          <w:color w:val="000000"/>
          <w:lang w:val="fr-FR" w:eastAsia="en-US"/>
        </w:rPr>
        <w:t>6.9.2.3.6</w:t>
      </w:r>
      <w:r w:rsidRPr="0042238A">
        <w:rPr>
          <w:rFonts w:eastAsiaTheme="minorHAnsi"/>
          <w:b/>
          <w:bCs/>
          <w:iCs/>
          <w:color w:val="000000"/>
          <w:lang w:val="fr-FR" w:eastAsia="en-US"/>
        </w:rPr>
        <w:tab/>
      </w:r>
      <w:r w:rsidRPr="0042238A">
        <w:rPr>
          <w:rFonts w:eastAsiaTheme="minorHAnsi"/>
          <w:iCs/>
          <w:color w:val="000000"/>
          <w:lang w:val="fr-FR" w:eastAsia="en-US"/>
        </w:rPr>
        <w:t>Pour la</w:t>
      </w:r>
      <w:r w:rsidRPr="0042238A">
        <w:rPr>
          <w:rFonts w:eastAsiaTheme="minorHAnsi"/>
          <w:lang w:val="fr-FR" w:eastAsia="en-US"/>
        </w:rPr>
        <w:t xml:space="preserve"> pression extérieure de calcul, le facteur de sécurité minimal pour l’analyse du flambage linéaire du réservoir doit être tel que défini dans le code pour appareils à pression applicable mais ne doit pas être inférieur à trois.</w:t>
      </w:r>
    </w:p>
    <w:p w14:paraId="05557007"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iCs/>
          <w:color w:val="000000"/>
          <w:lang w:val="fr-FR" w:eastAsia="en-US"/>
        </w:rPr>
        <w:t>6.9.2.3.7</w:t>
      </w:r>
      <w:r w:rsidRPr="0042238A">
        <w:rPr>
          <w:rFonts w:eastAsiaTheme="minorHAnsi"/>
          <w:b/>
          <w:bCs/>
          <w:iCs/>
          <w:color w:val="000000"/>
          <w:lang w:val="fr-FR" w:eastAsia="en-US"/>
        </w:rPr>
        <w:tab/>
      </w:r>
      <w:r w:rsidRPr="0042238A">
        <w:rPr>
          <w:rFonts w:eastAsiaTheme="minorHAnsi"/>
          <w:lang w:val="fr-FR" w:eastAsia="en-US"/>
        </w:rPr>
        <w:t xml:space="preserve">Les liaisons adhésives ou les éléments superposés dans les joints d’assemblage, y compris ceux des fonds, les raccords entre l’équipement et le réservoir, les joints entre le réservoir et les brise-flots et les cloisons doivent pouvoir résister aux contraintes énoncées aux 6.7.2.2.12, </w:t>
      </w:r>
      <w:r w:rsidRPr="0042238A">
        <w:rPr>
          <w:rFonts w:eastAsiaTheme="minorHAnsi"/>
          <w:bCs/>
          <w:lang w:val="fr-FR" w:eastAsia="en-US"/>
        </w:rPr>
        <w:t>6.9.2.2.3.1,</w:t>
      </w:r>
      <w:r w:rsidRPr="0042238A">
        <w:rPr>
          <w:rFonts w:eastAsiaTheme="minorHAnsi"/>
          <w:lang w:val="fr-FR" w:eastAsia="en-US"/>
        </w:rPr>
        <w:t xml:space="preserve"> 6.9.2.3.2, 6.9.2.3.4 et 6.9.2.3.6. Pour éviter une concentration de contraintes dans les éléments superposés, les pièces raccordées doivent être chanfreinées dans un rapport d’au plus 1/6. La résistance au cisaillement entre les éléments superposés et les composants de la citerne auxquels ils sont fixés ne doit pas être inférieure à :</w:t>
      </w:r>
    </w:p>
    <w:p w14:paraId="39B77052" w14:textId="77777777" w:rsidR="0039366F" w:rsidRPr="0042238A" w:rsidRDefault="0039366F" w:rsidP="0039366F">
      <w:pPr>
        <w:tabs>
          <w:tab w:val="left" w:pos="1701"/>
          <w:tab w:val="left" w:pos="2268"/>
          <w:tab w:val="left" w:pos="2835"/>
        </w:tabs>
        <w:spacing w:after="120"/>
        <w:ind w:left="1134" w:right="1134"/>
        <w:jc w:val="both"/>
        <w:rPr>
          <w:rFonts w:eastAsiaTheme="minorHAnsi"/>
          <w:color w:val="000000"/>
          <w:lang w:val="fr-FR" w:eastAsia="en-US"/>
        </w:rPr>
      </w:pPr>
      <m:oMathPara>
        <m:oMath>
          <m:r>
            <w:rPr>
              <w:rFonts w:ascii="Cambria Math" w:eastAsiaTheme="minorHAnsi" w:hAnsi="Cambria Math"/>
              <w:color w:val="000000"/>
              <w:lang w:val="fr-FR" w:eastAsia="en-US"/>
            </w:rPr>
            <m:t>τ</m:t>
          </m:r>
          <m:r>
            <m:rPr>
              <m:sty m:val="p"/>
            </m:rPr>
            <w:rPr>
              <w:rFonts w:ascii="Cambria Math" w:eastAsiaTheme="minorHAnsi" w:hAnsi="Cambria Math"/>
              <w:color w:val="000000"/>
              <w:lang w:val="fr-FR" w:eastAsia="en-US"/>
            </w:rPr>
            <m:t>=</m:t>
          </m:r>
          <m:r>
            <m:rPr>
              <m:sty m:val="p"/>
            </m:rPr>
            <w:rPr>
              <w:rFonts w:ascii="Cambria Math" w:eastAsiaTheme="minorHAnsi" w:hAnsi="Cambria Math"/>
              <w:lang w:val="fr-FR" w:eastAsia="en-US"/>
            </w:rPr>
            <m:t>γ</m:t>
          </m:r>
          <m:f>
            <m:fPr>
              <m:ctrlPr>
                <w:rPr>
                  <w:rFonts w:ascii="Cambria Math" w:eastAsiaTheme="minorHAnsi" w:hAnsi="Cambria Math"/>
                  <w:color w:val="000000"/>
                  <w:lang w:val="fr-FR" w:eastAsia="en-US"/>
                </w:rPr>
              </m:ctrlPr>
            </m:fPr>
            <m:num>
              <m:r>
                <w:rPr>
                  <w:rFonts w:ascii="Cambria Math" w:eastAsiaTheme="minorHAnsi" w:hAnsi="Cambria Math"/>
                  <w:color w:val="000000"/>
                  <w:lang w:val="fr-FR" w:eastAsia="en-US"/>
                </w:rPr>
                <m:t>Q</m:t>
              </m:r>
            </m:num>
            <m:den>
              <m:r>
                <w:rPr>
                  <w:rFonts w:ascii="Cambria Math" w:eastAsiaTheme="minorHAnsi" w:hAnsi="Cambria Math"/>
                  <w:color w:val="000000"/>
                  <w:lang w:val="fr-FR" w:eastAsia="en-US"/>
                </w:rPr>
                <m:t>l</m:t>
              </m:r>
            </m:den>
          </m:f>
          <m:r>
            <m:rPr>
              <m:sty m:val="p"/>
            </m:rPr>
            <w:rPr>
              <w:rFonts w:ascii="Cambria Math" w:eastAsiaTheme="minorHAnsi" w:hAnsi="Cambria Math"/>
              <w:color w:val="000000"/>
              <w:lang w:val="fr-FR" w:eastAsia="en-US"/>
            </w:rPr>
            <m:t>≤</m:t>
          </m:r>
          <m:f>
            <m:fPr>
              <m:ctrlPr>
                <w:rPr>
                  <w:rFonts w:ascii="Cambria Math" w:eastAsiaTheme="minorHAnsi" w:hAnsi="Cambria Math"/>
                  <w:color w:val="000000"/>
                  <w:lang w:val="fr-FR" w:eastAsia="en-US"/>
                </w:rPr>
              </m:ctrlPr>
            </m:fPr>
            <m:num>
              <m:sSub>
                <m:sSubPr>
                  <m:ctrlPr>
                    <w:rPr>
                      <w:rFonts w:ascii="Cambria Math" w:eastAsiaTheme="minorHAnsi" w:hAnsi="Cambria Math"/>
                      <w:color w:val="000000"/>
                      <w:lang w:val="fr-FR" w:eastAsia="en-US"/>
                    </w:rPr>
                  </m:ctrlPr>
                </m:sSubPr>
                <m:e>
                  <m:r>
                    <w:rPr>
                      <w:rFonts w:ascii="Cambria Math" w:eastAsiaTheme="minorHAnsi" w:hAnsi="Cambria Math"/>
                      <w:color w:val="000000"/>
                      <w:lang w:val="fr-FR" w:eastAsia="en-US"/>
                    </w:rPr>
                    <m:t>τ</m:t>
                  </m:r>
                </m:e>
                <m:sub>
                  <m:r>
                    <w:rPr>
                      <w:rFonts w:ascii="Cambria Math" w:eastAsiaTheme="minorHAnsi" w:hAnsi="Cambria Math"/>
                      <w:color w:val="000000"/>
                      <w:lang w:val="fr-FR" w:eastAsia="en-US"/>
                    </w:rPr>
                    <m:t>R</m:t>
                  </m:r>
                </m:sub>
              </m:sSub>
            </m:num>
            <m:den>
              <m:r>
                <w:rPr>
                  <w:rFonts w:ascii="Cambria Math" w:eastAsiaTheme="minorHAnsi" w:hAnsi="Cambria Math"/>
                  <w:color w:val="000000"/>
                  <w:lang w:val="fr-FR" w:eastAsia="en-US"/>
                </w:rPr>
                <m:t>K</m:t>
              </m:r>
            </m:den>
          </m:f>
        </m:oMath>
      </m:oMathPara>
    </w:p>
    <w:p w14:paraId="4D5CC0F8" w14:textId="77777777" w:rsidR="0039366F" w:rsidRPr="0042238A" w:rsidRDefault="0039366F" w:rsidP="0039366F">
      <w:pPr>
        <w:spacing w:after="120"/>
        <w:ind w:left="1701" w:right="1134" w:hanging="567"/>
        <w:jc w:val="both"/>
        <w:rPr>
          <w:rFonts w:eastAsiaTheme="minorHAnsi"/>
          <w:lang w:val="fr-FR" w:eastAsia="en-US"/>
        </w:rPr>
      </w:pPr>
      <w:r w:rsidRPr="0042238A">
        <w:rPr>
          <w:rFonts w:eastAsiaTheme="minorHAnsi"/>
          <w:lang w:val="fr-FR" w:eastAsia="en-US"/>
        </w:rPr>
        <w:t>où :</w:t>
      </w:r>
    </w:p>
    <w:p w14:paraId="7A63D95C" w14:textId="77777777" w:rsidR="0039366F" w:rsidRPr="0042238A" w:rsidRDefault="00FF1081" w:rsidP="0039366F">
      <w:pPr>
        <w:spacing w:after="120"/>
        <w:ind w:left="1701" w:right="1134" w:hanging="567"/>
        <w:jc w:val="both"/>
        <w:rPr>
          <w:rFonts w:eastAsiaTheme="minorHAnsi"/>
          <w:lang w:val="fr-FR" w:eastAsia="en-US"/>
        </w:rPr>
      </w:pPr>
      <m:oMath>
        <m:sSub>
          <m:sSubPr>
            <m:ctrlPr>
              <w:rPr>
                <w:rFonts w:ascii="Cambria Math" w:eastAsiaTheme="minorHAnsi" w:hAnsi="Cambria Math"/>
                <w:lang w:val="fr-FR" w:eastAsia="en-US"/>
              </w:rPr>
            </m:ctrlPr>
          </m:sSubPr>
          <m:e>
            <m:r>
              <w:rPr>
                <w:rFonts w:ascii="Cambria Math" w:eastAsiaTheme="minorHAnsi" w:hAnsi="Cambria Math"/>
                <w:lang w:val="fr-FR" w:eastAsia="en-US"/>
              </w:rPr>
              <m:t>τ</m:t>
            </m:r>
          </m:e>
          <m:sub>
            <m:r>
              <w:rPr>
                <w:rFonts w:ascii="Cambria Math" w:eastAsiaTheme="minorHAnsi" w:hAnsi="Cambria Math"/>
                <w:lang w:val="fr-FR" w:eastAsia="en-US"/>
              </w:rPr>
              <m:t>R</m:t>
            </m:r>
          </m:sub>
        </m:sSub>
      </m:oMath>
      <w:r w:rsidR="0039366F" w:rsidRPr="0042238A">
        <w:rPr>
          <w:rFonts w:eastAsiaTheme="minorHAnsi"/>
          <w:lang w:val="fr-FR" w:eastAsia="en-US"/>
        </w:rPr>
        <w:tab/>
        <w:t>est la résistance interlaminaire au cisaillement conformément à la norme ISO 14130:1997 et Cor 1:2003 ;</w:t>
      </w:r>
    </w:p>
    <w:p w14:paraId="63969482" w14:textId="77777777" w:rsidR="0039366F" w:rsidRPr="0042238A" w:rsidRDefault="0039366F" w:rsidP="0039366F">
      <w:pPr>
        <w:spacing w:after="120"/>
        <w:ind w:left="1701" w:right="1134" w:hanging="567"/>
        <w:jc w:val="both"/>
        <w:rPr>
          <w:rFonts w:eastAsiaTheme="minorHAnsi"/>
          <w:lang w:val="fr-FR" w:eastAsia="en-US"/>
        </w:rPr>
      </w:pPr>
      <w:r w:rsidRPr="0042238A">
        <w:rPr>
          <w:rFonts w:eastAsiaTheme="minorHAnsi"/>
          <w:lang w:val="fr-FR" w:eastAsia="en-US"/>
        </w:rPr>
        <w:t>Q</w:t>
      </w:r>
      <w:r w:rsidRPr="0042238A">
        <w:rPr>
          <w:rFonts w:eastAsiaTheme="minorHAnsi"/>
          <w:lang w:val="fr-FR" w:eastAsia="en-US"/>
        </w:rPr>
        <w:tab/>
        <w:t>est la charge par unité de largeur de l’interconnexion ;</w:t>
      </w:r>
    </w:p>
    <w:p w14:paraId="22CC2342" w14:textId="77777777" w:rsidR="0039366F" w:rsidRPr="0042238A" w:rsidRDefault="0039366F" w:rsidP="0039366F">
      <w:pPr>
        <w:spacing w:after="120"/>
        <w:ind w:left="1701" w:right="1134" w:hanging="567"/>
        <w:jc w:val="both"/>
        <w:rPr>
          <w:rFonts w:eastAsiaTheme="minorHAnsi"/>
          <w:lang w:val="fr-FR" w:eastAsia="en-US"/>
        </w:rPr>
      </w:pPr>
      <m:oMath>
        <m:r>
          <w:rPr>
            <w:rFonts w:ascii="Cambria Math" w:eastAsiaTheme="minorHAnsi" w:hAnsi="Cambria Math"/>
            <w:lang w:val="fr-FR" w:eastAsia="en-US"/>
          </w:rPr>
          <m:t>K</m:t>
        </m:r>
      </m:oMath>
      <w:r w:rsidRPr="0042238A">
        <w:rPr>
          <w:rFonts w:eastAsiaTheme="minorHAnsi"/>
          <w:lang w:val="fr-FR" w:eastAsia="en-US"/>
        </w:rPr>
        <w:tab/>
        <w:t>est le facteur de sécurité déterminé selon le 6.9.2.3.4 ;</w:t>
      </w:r>
    </w:p>
    <w:p w14:paraId="0C716143" w14:textId="77777777" w:rsidR="0039366F" w:rsidRPr="0042238A" w:rsidRDefault="0039366F" w:rsidP="0039366F">
      <w:pPr>
        <w:spacing w:after="120"/>
        <w:ind w:left="1701" w:right="1134" w:hanging="567"/>
        <w:jc w:val="both"/>
        <w:rPr>
          <w:rFonts w:eastAsiaTheme="minorHAnsi"/>
          <w:lang w:val="fr-FR" w:eastAsia="en-US"/>
        </w:rPr>
      </w:pPr>
      <w:r w:rsidRPr="0042238A">
        <w:rPr>
          <w:rFonts w:eastAsiaTheme="minorHAnsi"/>
          <w:lang w:val="fr-FR" w:eastAsia="en-US"/>
        </w:rPr>
        <w:t>l</w:t>
      </w:r>
      <w:r w:rsidRPr="0042238A">
        <w:rPr>
          <w:rFonts w:eastAsiaTheme="minorHAnsi"/>
          <w:lang w:val="fr-FR" w:eastAsia="en-US"/>
        </w:rPr>
        <w:tab/>
        <w:t>est la longueur des éléments superposés ;</w:t>
      </w:r>
    </w:p>
    <w:p w14:paraId="74AD0959" w14:textId="77777777" w:rsidR="0039366F" w:rsidRPr="0042238A" w:rsidRDefault="0039366F" w:rsidP="0039366F">
      <w:pPr>
        <w:spacing w:after="120"/>
        <w:ind w:left="1701" w:right="1134" w:hanging="567"/>
        <w:jc w:val="both"/>
        <w:rPr>
          <w:rFonts w:eastAsiaTheme="minorHAnsi"/>
          <w:lang w:val="fr-FR" w:eastAsia="en-US"/>
        </w:rPr>
      </w:pPr>
      <w:r w:rsidRPr="0042238A">
        <w:rPr>
          <w:rFonts w:eastAsiaTheme="minorHAnsi"/>
          <w:lang w:val="fr-FR" w:eastAsia="en-US"/>
        </w:rPr>
        <w:t>γ</w:t>
      </w:r>
      <w:r w:rsidRPr="0042238A">
        <w:rPr>
          <w:rFonts w:eastAsiaTheme="minorHAnsi"/>
          <w:lang w:val="fr-FR" w:eastAsia="en-US"/>
        </w:rPr>
        <w:tab/>
        <w:t>est le facteur d’entaille rapportant la contrainte moyenne s’exerçant sur le joint à la contrainte maximale sur le joint au point d’initiation de la rupture.</w:t>
      </w:r>
    </w:p>
    <w:p w14:paraId="2D4C9C83" w14:textId="77777777" w:rsidR="0039366F" w:rsidRPr="0042238A" w:rsidRDefault="0039366F" w:rsidP="0039366F">
      <w:pPr>
        <w:spacing w:after="120"/>
        <w:ind w:left="1134" w:right="1134"/>
        <w:jc w:val="both"/>
        <w:rPr>
          <w:rFonts w:eastAsiaTheme="minorHAnsi"/>
          <w:lang w:val="fr-FR" w:eastAsia="en-US"/>
        </w:rPr>
      </w:pPr>
      <w:r w:rsidRPr="0042238A">
        <w:rPr>
          <w:rFonts w:eastAsiaTheme="minorHAnsi"/>
          <w:lang w:val="fr-FR" w:eastAsia="en-US"/>
        </w:rPr>
        <w:t>D’autres méthodes de calcul pour les joints sont autorisées après approbation par l’autorité compétente.</w:t>
      </w:r>
    </w:p>
    <w:p w14:paraId="6F1D06C2"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iCs/>
          <w:color w:val="000000"/>
          <w:lang w:val="fr-FR" w:eastAsia="en-US"/>
        </w:rPr>
        <w:lastRenderedPageBreak/>
        <w:t>6.9.2.3.8</w:t>
      </w:r>
      <w:r w:rsidRPr="0042238A">
        <w:rPr>
          <w:rFonts w:eastAsiaTheme="minorHAnsi"/>
          <w:bCs/>
          <w:iCs/>
          <w:color w:val="000000"/>
          <w:lang w:val="fr-FR" w:eastAsia="en-US"/>
        </w:rPr>
        <w:tab/>
        <w:t xml:space="preserve">L’utilisation de brides métalliques et de leurs fermetures est autorisée pour les réservoirs en PRF, conformément aux prescriptions relatives à la conception énoncées au </w:t>
      </w:r>
      <w:r w:rsidRPr="0042238A">
        <w:rPr>
          <w:rFonts w:eastAsiaTheme="minorHAnsi"/>
          <w:bCs/>
          <w:iCs/>
          <w:lang w:val="fr-FR" w:eastAsia="en-US"/>
        </w:rPr>
        <w:t>6.7.2.</w:t>
      </w:r>
      <w:r w:rsidRPr="0042238A">
        <w:rPr>
          <w:rFonts w:eastAsiaTheme="minorHAnsi"/>
          <w:iCs/>
          <w:lang w:val="fr-FR" w:eastAsia="en-US"/>
        </w:rPr>
        <w:t xml:space="preserve"> Les </w:t>
      </w:r>
      <w:r w:rsidRPr="0042238A">
        <w:rPr>
          <w:rFonts w:eastAsiaTheme="minorHAnsi"/>
          <w:lang w:val="fr-FR" w:eastAsia="en-US"/>
        </w:rPr>
        <w:t>ouvertures dans le réservoir en PRF doivent être renforcées de façon à assurer les mêmes facteurs de sécurité contre les contraintes statiques et dynamiques prescrites aux 6.7.2.2.12, 6.9.2.3.2, 6.9.2.3.4 et 6.9.2.3.6 pour le réservoir lui-même. Il doit y avoir aussi peu d’ouvertures que possible. Le rapport des axes des ouvertures ovales ne doit pas être supérieur à 2.</w:t>
      </w:r>
    </w:p>
    <w:p w14:paraId="47993105"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 xml:space="preserve">Lorsque </w:t>
      </w:r>
      <w:bookmarkStart w:id="15" w:name="_Hlk43885258"/>
      <w:r w:rsidRPr="0042238A">
        <w:rPr>
          <w:rFonts w:eastAsiaTheme="minorHAnsi"/>
          <w:lang w:val="fr-FR" w:eastAsia="en-US"/>
        </w:rPr>
        <w:t xml:space="preserve">les brides ou les composants métalliques </w:t>
      </w:r>
      <w:bookmarkEnd w:id="15"/>
      <w:r w:rsidRPr="0042238A">
        <w:rPr>
          <w:rFonts w:eastAsiaTheme="minorHAnsi"/>
          <w:lang w:val="fr-FR" w:eastAsia="en-US"/>
        </w:rPr>
        <w:t>sont intégrés au réservoir en PRF par collage, la méthode de caractérisation énoncée au 6.9.2.3.7 doit alors s’appliquer au joint placé entre le métal et la matière PRF. Lorsque les brides ou les composants métalliques sont fixés d’une autre manière, par exemple au moyen d’éléments de fixation filetés, les dispositions pertinentes de la norme relative aux récipients à pression doivent alors s’appliquer.</w:t>
      </w:r>
    </w:p>
    <w:p w14:paraId="5AFA600F"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iCs/>
          <w:lang w:val="fr-FR" w:eastAsia="en-US"/>
        </w:rPr>
        <w:t>6.9.2.3.9</w:t>
      </w:r>
      <w:r w:rsidRPr="0042238A">
        <w:rPr>
          <w:rFonts w:eastAsiaTheme="minorHAnsi"/>
          <w:b/>
          <w:bCs/>
          <w:iCs/>
          <w:lang w:val="fr-FR" w:eastAsia="en-US"/>
        </w:rPr>
        <w:tab/>
      </w:r>
      <w:r w:rsidRPr="0042238A">
        <w:rPr>
          <w:rFonts w:eastAsiaTheme="minorHAnsi"/>
          <w:lang w:val="fr-FR" w:eastAsia="en-US"/>
        </w:rPr>
        <w:t>La résistance du réservoir doit être calculée au moyen de la méthode des éléments finis en simulant les différentes couches du réservoir, les joints entre le réservoir en PRF et le cadre du conteneur, et les ouvertures. Les singularités doivent être traitées en suivant une méthode adéquate conformément au code de conception appliqué.</w:t>
      </w:r>
    </w:p>
    <w:p w14:paraId="52441815" w14:textId="77777777" w:rsidR="0039366F" w:rsidRPr="00AB4C5F" w:rsidRDefault="0039366F" w:rsidP="0039366F">
      <w:pPr>
        <w:keepNext/>
        <w:keepLines/>
        <w:tabs>
          <w:tab w:val="right" w:pos="851"/>
        </w:tabs>
        <w:spacing w:before="240" w:after="120" w:line="240" w:lineRule="exact"/>
        <w:ind w:left="2268" w:right="1134" w:hanging="1134"/>
        <w:outlineLvl w:val="3"/>
        <w:rPr>
          <w:rFonts w:eastAsiaTheme="minorHAnsi"/>
          <w:b/>
          <w:i/>
          <w:iCs/>
          <w:lang w:val="fr-FR" w:eastAsia="en-US"/>
        </w:rPr>
      </w:pPr>
      <w:r w:rsidRPr="0042238A">
        <w:rPr>
          <w:rFonts w:eastAsiaTheme="minorHAnsi"/>
          <w:b/>
          <w:lang w:val="fr-FR" w:eastAsia="en-US"/>
        </w:rPr>
        <w:t>6.9.2.4</w:t>
      </w:r>
      <w:r w:rsidRPr="0042238A">
        <w:rPr>
          <w:rFonts w:eastAsiaTheme="minorHAnsi"/>
          <w:b/>
          <w:lang w:val="fr-FR" w:eastAsia="en-US"/>
        </w:rPr>
        <w:tab/>
      </w:r>
      <w:r w:rsidRPr="00AB4C5F">
        <w:rPr>
          <w:rFonts w:eastAsiaTheme="minorHAnsi"/>
          <w:b/>
          <w:i/>
          <w:iCs/>
          <w:lang w:val="fr-FR" w:eastAsia="en-US"/>
        </w:rPr>
        <w:tab/>
        <w:t>Épaisseur minimale des parois des réservoirs</w:t>
      </w:r>
    </w:p>
    <w:p w14:paraId="195CC868"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6.9.2.4.1</w:t>
      </w:r>
      <w:r w:rsidRPr="0042238A">
        <w:rPr>
          <w:rFonts w:eastAsiaTheme="minorHAnsi"/>
          <w:b/>
          <w:lang w:val="fr-FR" w:eastAsia="en-US"/>
        </w:rPr>
        <w:tab/>
      </w:r>
      <w:r w:rsidRPr="0042238A">
        <w:rPr>
          <w:rFonts w:eastAsiaTheme="minorHAnsi"/>
          <w:lang w:val="fr-FR" w:eastAsia="en-US"/>
        </w:rPr>
        <w:t>L’épaisseur minimale des parois des réservoirs en PRF doit être confirmée par des calculs de la résistance du réservoir en respectant les prescriptions du 6.9.2.3.4.</w:t>
      </w:r>
    </w:p>
    <w:p w14:paraId="1780EB0A"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6.9.2.4.2</w:t>
      </w:r>
      <w:r w:rsidRPr="0042238A">
        <w:rPr>
          <w:rFonts w:eastAsiaTheme="minorHAnsi"/>
          <w:b/>
          <w:lang w:val="fr-FR" w:eastAsia="en-US"/>
        </w:rPr>
        <w:tab/>
      </w:r>
      <w:r w:rsidRPr="0042238A">
        <w:rPr>
          <w:rFonts w:eastAsiaTheme="minorHAnsi"/>
          <w:lang w:val="fr-FR" w:eastAsia="en-US"/>
        </w:rPr>
        <w:t>L’épaisseur minimale des couches structurales des réservoirs en PRF doit être calculée selon le 6.9.2.3.4, mais doit être dans tous les cas de 3 mm au minimum.</w:t>
      </w:r>
    </w:p>
    <w:p w14:paraId="47C5AD62" w14:textId="77777777" w:rsidR="0039366F" w:rsidRPr="00AB4C5F" w:rsidRDefault="0039366F" w:rsidP="0039366F">
      <w:pPr>
        <w:keepNext/>
        <w:keepLines/>
        <w:tabs>
          <w:tab w:val="right" w:pos="851"/>
        </w:tabs>
        <w:spacing w:before="240" w:after="120" w:line="240" w:lineRule="exact"/>
        <w:ind w:left="2268" w:right="1134" w:hanging="1134"/>
        <w:outlineLvl w:val="3"/>
        <w:rPr>
          <w:rFonts w:eastAsiaTheme="minorHAnsi"/>
          <w:b/>
          <w:i/>
          <w:iCs/>
          <w:lang w:val="fr-FR" w:eastAsia="en-US"/>
        </w:rPr>
      </w:pPr>
      <w:r w:rsidRPr="0042238A">
        <w:rPr>
          <w:rFonts w:eastAsiaTheme="minorHAnsi"/>
          <w:b/>
          <w:lang w:val="fr-FR" w:eastAsia="en-US"/>
        </w:rPr>
        <w:t>6.9.2.5</w:t>
      </w:r>
      <w:r w:rsidRPr="0042238A">
        <w:rPr>
          <w:rFonts w:eastAsiaTheme="minorHAnsi"/>
          <w:b/>
          <w:lang w:val="fr-FR" w:eastAsia="en-US"/>
        </w:rPr>
        <w:tab/>
      </w:r>
      <w:r w:rsidRPr="00AB4C5F">
        <w:rPr>
          <w:rFonts w:eastAsiaTheme="minorHAnsi"/>
          <w:b/>
          <w:i/>
          <w:iCs/>
          <w:lang w:val="fr-FR" w:eastAsia="en-US"/>
        </w:rPr>
        <w:tab/>
        <w:t>Éléments des citernes mobiles équipées d’un réservoir en PRF</w:t>
      </w:r>
    </w:p>
    <w:p w14:paraId="05995EC6"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Les équipements de service, les ouvertures en partie basse, les dispositifs de décompression, les jauges, les supports, les cadres, et les attaches de levage et d’arrimage des citernes mobiles doivent être conformes aux prescriptions des 6.7.2.5 à 6.7.2.17. Les dispositions du 6.9.2.3.8 s’appliquent à tout autre élément métallique devant être intégré au réservoir en PRF.</w:t>
      </w:r>
    </w:p>
    <w:p w14:paraId="67D5810F" w14:textId="77777777" w:rsidR="0039366F" w:rsidRPr="00AB4C5F" w:rsidRDefault="0039366F" w:rsidP="0039366F">
      <w:pPr>
        <w:keepNext/>
        <w:keepLines/>
        <w:tabs>
          <w:tab w:val="right" w:pos="851"/>
        </w:tabs>
        <w:spacing w:before="240" w:after="120" w:line="240" w:lineRule="exact"/>
        <w:ind w:left="2268" w:right="1134" w:hanging="1134"/>
        <w:outlineLvl w:val="3"/>
        <w:rPr>
          <w:rFonts w:eastAsiaTheme="minorHAnsi"/>
          <w:b/>
          <w:i/>
          <w:iCs/>
          <w:lang w:val="fr-FR" w:eastAsia="ru-RU"/>
        </w:rPr>
      </w:pPr>
      <w:r w:rsidRPr="0042238A">
        <w:rPr>
          <w:rFonts w:eastAsiaTheme="minorHAnsi"/>
          <w:b/>
          <w:lang w:val="fr-FR" w:eastAsia="ru-RU"/>
        </w:rPr>
        <w:t>6.9.2.6</w:t>
      </w:r>
      <w:r w:rsidRPr="0042238A">
        <w:rPr>
          <w:rFonts w:eastAsiaTheme="minorHAnsi"/>
          <w:b/>
          <w:lang w:val="fr-FR" w:eastAsia="ru-RU"/>
        </w:rPr>
        <w:tab/>
      </w:r>
      <w:r w:rsidRPr="00AB4C5F">
        <w:rPr>
          <w:rFonts w:eastAsiaTheme="minorHAnsi"/>
          <w:b/>
          <w:i/>
          <w:iCs/>
          <w:lang w:val="fr-FR" w:eastAsia="ru-RU"/>
        </w:rPr>
        <w:tab/>
        <w:t>Agrément de type</w:t>
      </w:r>
    </w:p>
    <w:p w14:paraId="04C4FFF5"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lang w:val="fr-FR" w:eastAsia="ru-RU"/>
        </w:rPr>
        <w:t>6.9.2.6.1</w:t>
      </w:r>
      <w:r w:rsidRPr="0042238A">
        <w:rPr>
          <w:rFonts w:eastAsiaTheme="minorHAnsi"/>
          <w:lang w:val="fr-FR" w:eastAsia="ru-RU"/>
        </w:rPr>
        <w:tab/>
        <w:t>L’agrément de type des citernes mobiles en PRF doit être conforme aux prescriptions du 6.7.2.18. Les prescriptions</w:t>
      </w:r>
      <w:r w:rsidRPr="0042238A" w:rsidDel="0083578D">
        <w:rPr>
          <w:rFonts w:eastAsiaTheme="minorHAnsi"/>
          <w:lang w:val="fr-FR" w:eastAsia="ru-RU"/>
        </w:rPr>
        <w:t xml:space="preserve"> </w:t>
      </w:r>
      <w:r w:rsidRPr="0042238A">
        <w:rPr>
          <w:rFonts w:eastAsiaTheme="minorHAnsi"/>
          <w:lang w:val="fr-FR" w:eastAsia="ru-RU"/>
        </w:rPr>
        <w:t>complémentaires suivantes s’appliquent aux citernes mobiles en PRF.</w:t>
      </w:r>
    </w:p>
    <w:p w14:paraId="149C15E0"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lang w:val="fr-FR" w:eastAsia="ru-RU"/>
        </w:rPr>
        <w:t>6.9.2.6.2</w:t>
      </w:r>
      <w:r w:rsidRPr="0042238A">
        <w:rPr>
          <w:rFonts w:eastAsiaTheme="minorHAnsi"/>
          <w:b/>
          <w:lang w:val="fr-FR" w:eastAsia="ru-RU"/>
        </w:rPr>
        <w:tab/>
      </w:r>
      <w:r w:rsidRPr="0042238A">
        <w:rPr>
          <w:rFonts w:eastAsiaTheme="minorHAnsi"/>
          <w:lang w:val="fr-FR" w:eastAsia="ru-RU"/>
        </w:rPr>
        <w:t>Le rapport d’essai du prototype aux fins de l’agrément de type doit en outre contenir les éléments suivants :</w:t>
      </w:r>
    </w:p>
    <w:p w14:paraId="42FFEADF"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en-US"/>
        </w:rPr>
      </w:pPr>
      <w:r w:rsidRPr="0042238A">
        <w:rPr>
          <w:rFonts w:eastAsiaTheme="minorHAnsi"/>
          <w:lang w:val="fr-FR" w:eastAsia="ru-RU"/>
        </w:rPr>
        <w:t>a)</w:t>
      </w:r>
      <w:r w:rsidRPr="0042238A">
        <w:rPr>
          <w:rFonts w:eastAsiaTheme="minorHAnsi"/>
          <w:lang w:val="fr-FR" w:eastAsia="ru-RU"/>
        </w:rPr>
        <w:tab/>
        <w:t>Les résultats des essais réalisés sur le matériau utilisé pour la construction des réservoirs en PRF conformément aux prescriptions du 6.9.2.7.1 ;</w:t>
      </w:r>
    </w:p>
    <w:p w14:paraId="6EE24533"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en-US"/>
        </w:rPr>
      </w:pPr>
      <w:r w:rsidRPr="0042238A">
        <w:rPr>
          <w:rFonts w:eastAsiaTheme="minorHAnsi"/>
          <w:lang w:val="fr-FR" w:eastAsia="en-US"/>
        </w:rPr>
        <w:t>b)</w:t>
      </w:r>
      <w:r w:rsidRPr="0042238A">
        <w:rPr>
          <w:rFonts w:eastAsiaTheme="minorHAnsi"/>
          <w:lang w:val="fr-FR" w:eastAsia="en-US"/>
        </w:rPr>
        <w:tab/>
        <w:t>Les résultats de l’essai de chute conformément aux prescriptions</w:t>
      </w:r>
      <w:r w:rsidRPr="0042238A" w:rsidDel="00032217">
        <w:rPr>
          <w:rFonts w:eastAsiaTheme="minorHAnsi"/>
          <w:lang w:val="fr-FR" w:eastAsia="en-US"/>
        </w:rPr>
        <w:t xml:space="preserve"> </w:t>
      </w:r>
      <w:r w:rsidRPr="0042238A">
        <w:rPr>
          <w:rFonts w:eastAsiaTheme="minorHAnsi"/>
          <w:lang w:val="fr-FR" w:eastAsia="en-US"/>
        </w:rPr>
        <w:t>du 6.9.2.7.1.4 ;</w:t>
      </w:r>
    </w:p>
    <w:p w14:paraId="7985ADB6"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en-US"/>
        </w:rPr>
      </w:pPr>
      <w:r w:rsidRPr="0042238A">
        <w:rPr>
          <w:rFonts w:eastAsiaTheme="minorHAnsi"/>
          <w:lang w:val="fr-FR" w:eastAsia="en-US"/>
        </w:rPr>
        <w:t>c)</w:t>
      </w:r>
      <w:r w:rsidRPr="0042238A">
        <w:rPr>
          <w:rFonts w:eastAsiaTheme="minorHAnsi"/>
          <w:lang w:val="fr-FR" w:eastAsia="en-US"/>
        </w:rPr>
        <w:tab/>
        <w:t>Les résultats de l’essai de résistance au feu conformément aux dispositions du 6.9.2.7.1.5.</w:t>
      </w:r>
    </w:p>
    <w:p w14:paraId="18660672"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lang w:val="fr-FR" w:eastAsia="ru-RU"/>
        </w:rPr>
        <w:t>6.9.2.6.3</w:t>
      </w:r>
      <w:r w:rsidRPr="0042238A">
        <w:rPr>
          <w:rFonts w:eastAsiaTheme="minorHAnsi"/>
          <w:lang w:val="fr-FR" w:eastAsia="ru-RU"/>
        </w:rPr>
        <w:tab/>
        <w:t xml:space="preserve">Un programme d’inspection de la durée de service doit être mis en place et prévu dans le manuel d’exploitation, afin de surveiller l’état du réservoir lors des contrôles périodiques. Le programme d’inspection doit mettre l’accent sur les principaux points de contrainte recensés dans l’analyse de la conception effectuée conformément au 6.9.2.3.4. La méthode d’inspection doit tenir compte du mode de détérioration auquel sont potentiellement exposés les principaux points de contrainte (par exemple, contrainte de traction ou contrainte </w:t>
      </w:r>
      <w:proofErr w:type="spellStart"/>
      <w:r w:rsidRPr="0042238A">
        <w:rPr>
          <w:rFonts w:eastAsiaTheme="minorHAnsi"/>
          <w:lang w:val="fr-FR" w:eastAsia="ru-RU"/>
        </w:rPr>
        <w:t>interlaminaire</w:t>
      </w:r>
      <w:proofErr w:type="spellEnd"/>
      <w:r w:rsidRPr="0042238A">
        <w:rPr>
          <w:rFonts w:eastAsiaTheme="minorHAnsi"/>
          <w:lang w:val="fr-FR" w:eastAsia="ru-RU"/>
        </w:rPr>
        <w:t>). L’inspection doit s’effectuer sous forme d’une combinaison de tests visuels et non-destructifs (par exemple, émissions acoustiques, évaluations par ultrasons, analyses thermographiques). Lorsque des éléments chauffants sont utilisés,</w:t>
      </w:r>
      <w:r w:rsidRPr="0042238A">
        <w:rPr>
          <w:rFonts w:eastAsiaTheme="minorHAnsi"/>
          <w:sz w:val="16"/>
          <w:szCs w:val="16"/>
          <w:lang w:val="fr-FR" w:eastAsia="en-US"/>
        </w:rPr>
        <w:t xml:space="preserve"> </w:t>
      </w:r>
      <w:r w:rsidRPr="0042238A">
        <w:rPr>
          <w:rFonts w:eastAsiaTheme="minorHAnsi"/>
          <w:lang w:val="fr-FR" w:eastAsia="ru-RU"/>
        </w:rPr>
        <w:t xml:space="preserve">le </w:t>
      </w:r>
      <w:bookmarkStart w:id="16" w:name="_Hlk43973845"/>
      <w:r w:rsidRPr="0042238A">
        <w:rPr>
          <w:rFonts w:eastAsiaTheme="minorHAnsi"/>
          <w:lang w:val="fr-FR" w:eastAsia="ru-RU"/>
        </w:rPr>
        <w:t xml:space="preserve">programme d’inspection de la durée de vie </w:t>
      </w:r>
      <w:bookmarkEnd w:id="16"/>
      <w:r w:rsidRPr="0042238A">
        <w:rPr>
          <w:rFonts w:eastAsiaTheme="minorHAnsi"/>
          <w:lang w:val="fr-FR" w:eastAsia="ru-RU"/>
        </w:rPr>
        <w:t>doit permettre un examen du réservoir ou des points représentatifs pour tenir compte des effets de la surchauffe.</w:t>
      </w:r>
    </w:p>
    <w:p w14:paraId="1D120979" w14:textId="77777777" w:rsidR="0039366F" w:rsidRPr="0042238A" w:rsidRDefault="0039366F" w:rsidP="0039366F">
      <w:pPr>
        <w:tabs>
          <w:tab w:val="left" w:pos="1701"/>
          <w:tab w:val="left" w:pos="2268"/>
          <w:tab w:val="left" w:pos="2835"/>
        </w:tabs>
        <w:spacing w:after="120"/>
        <w:ind w:left="1134" w:right="1134"/>
        <w:jc w:val="both"/>
        <w:rPr>
          <w:rFonts w:eastAsiaTheme="minorHAnsi"/>
          <w:b/>
          <w:lang w:val="fr-FR" w:eastAsia="ru-RU"/>
        </w:rPr>
      </w:pPr>
      <w:r w:rsidRPr="0042238A">
        <w:rPr>
          <w:rFonts w:eastAsiaTheme="minorHAnsi"/>
          <w:lang w:val="fr-FR" w:eastAsia="ru-RU"/>
        </w:rPr>
        <w:lastRenderedPageBreak/>
        <w:t>6.9.2.6.4</w:t>
      </w:r>
      <w:r w:rsidRPr="0042238A">
        <w:rPr>
          <w:rFonts w:eastAsiaTheme="minorHAnsi"/>
          <w:b/>
          <w:lang w:val="fr-FR" w:eastAsia="ru-RU"/>
        </w:rPr>
        <w:tab/>
      </w:r>
      <w:r w:rsidRPr="0042238A">
        <w:rPr>
          <w:rFonts w:eastAsiaTheme="minorHAnsi"/>
          <w:lang w:val="fr-FR" w:eastAsia="ru-RU"/>
        </w:rPr>
        <w:t>Un prototype représentatif de la citerne doit être soumis aux épreuves prescrites ci-après. À cette fin, l’équipement de service peut être remplacé par d’autres éléments si nécessaire.</w:t>
      </w:r>
    </w:p>
    <w:p w14:paraId="58023A6D"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lang w:val="fr-FR" w:eastAsia="ru-RU"/>
        </w:rPr>
        <w:t>6.9.2.6.4.1</w:t>
      </w:r>
      <w:r w:rsidRPr="0042238A">
        <w:rPr>
          <w:rFonts w:eastAsiaTheme="minorHAnsi"/>
          <w:lang w:val="fr-FR" w:eastAsia="ru-RU"/>
        </w:rPr>
        <w:tab/>
        <w:t>Le prototype doit être inspecté pour en déterminer la conformité avec les spécifications du modèle. Cette inspection doit comprendre une inspection visuelle interne et externe et la mesure des principales dimensions.</w:t>
      </w:r>
    </w:p>
    <w:p w14:paraId="68884EC6"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lang w:val="fr-FR" w:eastAsia="ru-RU"/>
        </w:rPr>
        <w:t>6.9.2.6.4.2</w:t>
      </w:r>
      <w:r w:rsidRPr="0042238A">
        <w:rPr>
          <w:rFonts w:eastAsiaTheme="minorHAnsi"/>
          <w:lang w:val="fr-FR" w:eastAsia="ru-RU"/>
        </w:rPr>
        <w:tab/>
        <w:t>Le prototype, muni de jauges de contrainte à tous les endroits où la contrainte est forte, recensés dans le cadre de l’exercice de validation de la conception mené conformément au 6.9.2.3.4, doit être soumis aux charges suivantes et les contraintes qui en résultent doivent être enregistrées :</w:t>
      </w:r>
    </w:p>
    <w:p w14:paraId="5042E057"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a)</w:t>
      </w:r>
      <w:r w:rsidRPr="0042238A">
        <w:rPr>
          <w:rFonts w:eastAsiaTheme="minorHAnsi"/>
          <w:lang w:val="fr-FR" w:eastAsia="ru-RU"/>
        </w:rPr>
        <w:tab/>
        <w:t>La citerne doit être remplie d’eau au taux maximal de remplissage. Les résultats des mesures serviront à étalonner les valeurs théoriques conformément au 6.9.2.3.4 ;</w:t>
      </w:r>
    </w:p>
    <w:p w14:paraId="30A53E5A"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b)</w:t>
      </w:r>
      <w:r w:rsidRPr="0042238A">
        <w:rPr>
          <w:rFonts w:eastAsiaTheme="minorHAnsi"/>
          <w:lang w:val="fr-FR" w:eastAsia="ru-RU"/>
        </w:rPr>
        <w:tab/>
        <w:t>La citerne doit être remplie d’eau au taux maximal de remplissage et soumise à des charges statiques dans les trois directions, fixées au socle par les ferrures de coin, sans application d’une masse supplémentaire externe au réservoir. Pour comparer les résultats effectifs aux valeurs théoriques de calcul selon le 6.9.2.3.4, on extrapole les contraintes enregistrées en fonction du coefficient des accélérations exigées au 6.7.2.2.12 et mesurées ;</w:t>
      </w:r>
    </w:p>
    <w:p w14:paraId="4E55C6E1"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ru-RU"/>
        </w:rPr>
      </w:pPr>
      <w:r w:rsidRPr="0042238A">
        <w:rPr>
          <w:rFonts w:eastAsiaTheme="minorHAnsi"/>
          <w:lang w:val="fr-FR" w:eastAsia="ru-RU"/>
        </w:rPr>
        <w:t>c)</w:t>
      </w:r>
      <w:r w:rsidRPr="0042238A">
        <w:rPr>
          <w:rFonts w:eastAsiaTheme="minorHAnsi"/>
          <w:lang w:val="fr-FR" w:eastAsia="ru-RU"/>
        </w:rPr>
        <w:tab/>
        <w:t>La citerne doit être remplie d’eau et soumise à la pression d’épreuve prescrite. Sous cette charge, la citerne ne doit présenter aucun dommage visible ni aucune fuite.</w:t>
      </w:r>
    </w:p>
    <w:p w14:paraId="4BBB8AD1" w14:textId="77777777" w:rsidR="0039366F" w:rsidRPr="0042238A" w:rsidRDefault="0039366F" w:rsidP="0039366F">
      <w:pPr>
        <w:tabs>
          <w:tab w:val="left" w:pos="1701"/>
          <w:tab w:val="left" w:pos="2835"/>
        </w:tabs>
        <w:spacing w:after="120"/>
        <w:ind w:left="1134" w:right="1134"/>
        <w:jc w:val="both"/>
        <w:rPr>
          <w:rFonts w:eastAsiaTheme="minorHAnsi"/>
          <w:lang w:val="fr-FR" w:eastAsia="ru-RU"/>
        </w:rPr>
      </w:pPr>
      <w:r w:rsidRPr="0042238A">
        <w:rPr>
          <w:rFonts w:eastAsiaTheme="minorHAnsi"/>
          <w:lang w:val="fr-FR" w:eastAsia="ru-RU"/>
        </w:rPr>
        <w:t>Dans aucune de ces conditions de charge la contrainte correspondant au niveau de déformation mesuré ne doit dépasser le facteur minimal de sécurité calculé au 6.9.2.3.4.</w:t>
      </w:r>
    </w:p>
    <w:p w14:paraId="74C94F09" w14:textId="77777777" w:rsidR="0039366F" w:rsidRPr="0042238A" w:rsidRDefault="0039366F" w:rsidP="0039366F">
      <w:pPr>
        <w:keepNext/>
        <w:keepLines/>
        <w:tabs>
          <w:tab w:val="right" w:pos="851"/>
        </w:tabs>
        <w:spacing w:before="240" w:after="120" w:line="240" w:lineRule="exact"/>
        <w:ind w:left="2268" w:right="1134" w:hanging="1134"/>
        <w:outlineLvl w:val="3"/>
        <w:rPr>
          <w:rFonts w:eastAsiaTheme="minorHAnsi"/>
          <w:b/>
          <w:lang w:val="fr-FR" w:eastAsia="ru-RU"/>
        </w:rPr>
      </w:pPr>
      <w:r w:rsidRPr="0042238A">
        <w:rPr>
          <w:rFonts w:eastAsiaTheme="minorHAnsi"/>
          <w:b/>
          <w:lang w:val="fr-FR" w:eastAsia="ru-RU"/>
        </w:rPr>
        <w:t>6.9.2.7</w:t>
      </w:r>
      <w:r w:rsidRPr="0042238A">
        <w:rPr>
          <w:rFonts w:eastAsiaTheme="minorHAnsi"/>
          <w:b/>
          <w:lang w:val="fr-FR" w:eastAsia="ru-RU"/>
        </w:rPr>
        <w:tab/>
        <w:t>Dispositions complémentaires applicables aux citernes mobiles en PRF</w:t>
      </w:r>
    </w:p>
    <w:p w14:paraId="69EA07AD"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ru-RU"/>
        </w:rPr>
      </w:pPr>
      <w:r w:rsidRPr="0042238A">
        <w:rPr>
          <w:rFonts w:eastAsiaTheme="minorHAnsi"/>
          <w:lang w:val="fr-FR" w:eastAsia="ru-RU"/>
        </w:rPr>
        <w:t>6.9.2.7.1</w:t>
      </w:r>
      <w:r w:rsidRPr="0042238A">
        <w:rPr>
          <w:rFonts w:eastAsiaTheme="minorHAnsi"/>
          <w:b/>
          <w:lang w:val="fr-FR" w:eastAsia="ru-RU"/>
        </w:rPr>
        <w:tab/>
      </w:r>
      <w:r w:rsidRPr="0042238A">
        <w:rPr>
          <w:rFonts w:eastAsiaTheme="minorHAnsi"/>
          <w:i/>
          <w:iCs/>
          <w:lang w:val="fr-FR" w:eastAsia="ru-RU"/>
        </w:rPr>
        <w:t>Essais des matériaux</w:t>
      </w:r>
    </w:p>
    <w:p w14:paraId="523557FB"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iCs/>
          <w:spacing w:val="-3"/>
          <w:lang w:val="fr-FR" w:eastAsia="en-US"/>
        </w:rPr>
        <w:t>6.9.2.7.1</w:t>
      </w:r>
      <w:r w:rsidRPr="0042238A">
        <w:rPr>
          <w:rFonts w:eastAsiaTheme="minorHAnsi"/>
          <w:spacing w:val="-3"/>
          <w:lang w:val="fr-FR" w:eastAsia="en-US"/>
        </w:rPr>
        <w:t>.1</w:t>
      </w:r>
      <w:r w:rsidRPr="0042238A">
        <w:rPr>
          <w:rFonts w:eastAsiaTheme="minorHAnsi"/>
          <w:b/>
          <w:lang w:val="fr-FR" w:eastAsia="en-US"/>
        </w:rPr>
        <w:tab/>
      </w:r>
      <w:r w:rsidRPr="0042238A">
        <w:rPr>
          <w:rFonts w:eastAsiaTheme="minorHAnsi"/>
          <w:lang w:val="fr-FR" w:eastAsia="en-US"/>
        </w:rPr>
        <w:t>Résines</w:t>
      </w:r>
    </w:p>
    <w:p w14:paraId="637D13BE"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 xml:space="preserve">L’allongement à la rupture de la résine est déterminé selon la norme ISО 527-2:2012. La température de distorsion thermique (HDT) de la résine doit être déterminée conformément aux prescriptions de la norme </w:t>
      </w:r>
      <w:r w:rsidRPr="00AB4C5F">
        <w:rPr>
          <w:lang w:val="fr-FR" w:eastAsia="en-US"/>
        </w:rPr>
        <w:t>ISO 75</w:t>
      </w:r>
      <w:r w:rsidRPr="00AB4C5F">
        <w:rPr>
          <w:lang w:val="fr-FR" w:eastAsia="en-US"/>
        </w:rPr>
        <w:noBreakHyphen/>
        <w:t>1:2013.</w:t>
      </w:r>
      <w:r w:rsidRPr="0042238A">
        <w:rPr>
          <w:rFonts w:eastAsiaTheme="minorHAnsi"/>
          <w:strike/>
          <w:lang w:val="fr-FR" w:eastAsia="en-US"/>
        </w:rPr>
        <w:t xml:space="preserve"> </w:t>
      </w:r>
    </w:p>
    <w:p w14:paraId="506B5EE0"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iCs/>
          <w:spacing w:val="-3"/>
          <w:lang w:val="fr-FR" w:eastAsia="en-US"/>
        </w:rPr>
        <w:t>6.9.2.7.1</w:t>
      </w:r>
      <w:r w:rsidRPr="0042238A">
        <w:rPr>
          <w:rFonts w:eastAsiaTheme="minorHAnsi"/>
          <w:spacing w:val="-3"/>
          <w:lang w:val="fr-FR" w:eastAsia="en-US"/>
        </w:rPr>
        <w:t>.2</w:t>
      </w:r>
      <w:r w:rsidRPr="0042238A">
        <w:rPr>
          <w:rFonts w:eastAsiaTheme="minorHAnsi"/>
          <w:lang w:val="fr-FR" w:eastAsia="en-US"/>
        </w:rPr>
        <w:tab/>
        <w:t>Echantillons du réservoir</w:t>
      </w:r>
    </w:p>
    <w:p w14:paraId="4223A512"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Avant les essais, les échantillons doivent être débarrassés de tout revêtement. S’il n’est pas possible de prélever des échantillons sur le réservoir, des échantillons témoins de réservoir peuvent être utilisés. Les essais doivent porter sur les points suivants :</w:t>
      </w:r>
    </w:p>
    <w:p w14:paraId="6C807A61"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en-US"/>
        </w:rPr>
      </w:pPr>
      <w:r w:rsidRPr="0042238A">
        <w:rPr>
          <w:rFonts w:eastAsiaTheme="minorHAnsi"/>
          <w:lang w:val="fr-FR" w:eastAsia="en-US"/>
        </w:rPr>
        <w:t>a)</w:t>
      </w:r>
      <w:r w:rsidRPr="0042238A">
        <w:rPr>
          <w:rFonts w:eastAsiaTheme="minorHAnsi"/>
          <w:lang w:val="fr-FR" w:eastAsia="en-US"/>
        </w:rPr>
        <w:tab/>
      </w:r>
      <w:r w:rsidRPr="0042238A">
        <w:rPr>
          <w:rFonts w:eastAsiaTheme="minorHAnsi"/>
          <w:lang w:val="fr-FR" w:eastAsia="ru-RU"/>
        </w:rPr>
        <w:t>Épaisseur</w:t>
      </w:r>
      <w:r w:rsidRPr="0042238A">
        <w:rPr>
          <w:rFonts w:eastAsiaTheme="minorHAnsi"/>
          <w:lang w:val="fr-FR" w:eastAsia="en-US"/>
        </w:rPr>
        <w:t xml:space="preserve"> des laminés de la virole et des fonds ;</w:t>
      </w:r>
    </w:p>
    <w:p w14:paraId="17E3C916"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en-US"/>
        </w:rPr>
      </w:pPr>
      <w:r w:rsidRPr="0042238A">
        <w:rPr>
          <w:rFonts w:eastAsiaTheme="minorHAnsi"/>
          <w:lang w:val="fr-FR" w:eastAsia="en-US"/>
        </w:rPr>
        <w:t>b)</w:t>
      </w:r>
      <w:r w:rsidRPr="0042238A">
        <w:rPr>
          <w:rFonts w:eastAsiaTheme="minorHAnsi"/>
          <w:lang w:val="fr-FR" w:eastAsia="en-US"/>
        </w:rPr>
        <w:tab/>
        <w:t>Teneur en masse et composition du renfort composite selon la norme ISO 1172:1996 ou ISO 14127:2008, ainsi qu’orientation et disposition des couches de renfort ;</w:t>
      </w:r>
    </w:p>
    <w:p w14:paraId="18A60F8F"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en-US"/>
        </w:rPr>
      </w:pPr>
      <w:r w:rsidRPr="0042238A">
        <w:rPr>
          <w:rFonts w:eastAsiaTheme="minorHAnsi"/>
          <w:lang w:val="fr-FR" w:eastAsia="en-US"/>
        </w:rPr>
        <w:t>c)</w:t>
      </w:r>
      <w:r w:rsidRPr="0042238A">
        <w:rPr>
          <w:rFonts w:eastAsiaTheme="minorHAnsi"/>
          <w:lang w:val="fr-FR" w:eastAsia="en-US"/>
        </w:rPr>
        <w:tab/>
        <w:t>Résistance à la traction, allongement à la rupture et module d’élasticité selon la norme ISO 527-4:1997 ou ISO 527-5:2009 pour les orientations longitudinale et circonférentielle du réservoir. Pour les parties du réservoir en PRF, les essais doivent être effectués sur des laminés représentatifs, conformément aux normes ISO 527</w:t>
      </w:r>
      <w:r w:rsidRPr="0042238A">
        <w:rPr>
          <w:rFonts w:eastAsiaTheme="minorHAnsi"/>
          <w:lang w:val="fr-FR" w:eastAsia="en-US"/>
        </w:rPr>
        <w:noBreakHyphen/>
        <w:t>4:1997 ou ISO 527-5:2009, afin de pouvoir évaluer la pertinence du facteur de sécurité (K). Au moins six éprouvettes doivent être utilisées par mesure de la résistance à la traction, la résistance à la traction à retenir étant la moyenne moins deux écarts types ;</w:t>
      </w:r>
    </w:p>
    <w:p w14:paraId="35AFAE20" w14:textId="77777777" w:rsidR="0039366F" w:rsidRPr="0042238A" w:rsidRDefault="0039366F" w:rsidP="0039366F">
      <w:pPr>
        <w:tabs>
          <w:tab w:val="left" w:pos="1701"/>
          <w:tab w:val="left" w:pos="2268"/>
        </w:tabs>
        <w:spacing w:after="120"/>
        <w:ind w:left="2835" w:right="1134" w:hanging="567"/>
        <w:jc w:val="both"/>
        <w:rPr>
          <w:rFonts w:eastAsiaTheme="minorHAnsi"/>
          <w:color w:val="000000"/>
          <w:lang w:val="fr-FR" w:eastAsia="en-US"/>
        </w:rPr>
      </w:pPr>
      <w:r w:rsidRPr="0042238A">
        <w:rPr>
          <w:rFonts w:eastAsiaTheme="minorHAnsi"/>
          <w:lang w:val="fr-FR" w:eastAsia="en-US"/>
        </w:rPr>
        <w:t>d)</w:t>
      </w:r>
      <w:r w:rsidRPr="0042238A">
        <w:rPr>
          <w:rFonts w:eastAsiaTheme="minorHAnsi"/>
          <w:lang w:val="fr-FR" w:eastAsia="en-US"/>
        </w:rPr>
        <w:tab/>
        <w:t xml:space="preserve">Résistance et déformation en flexion, établies par l’essai de flexion en trois points ou en quatre points conformément aux normes </w:t>
      </w:r>
      <w:r w:rsidRPr="0042238A">
        <w:rPr>
          <w:rFonts w:eastAsiaTheme="minorHAnsi"/>
          <w:color w:val="000000"/>
          <w:lang w:val="fr-FR" w:eastAsia="en-US"/>
        </w:rPr>
        <w:t>ISO 14125:1998 et ISO 14125:1998/</w:t>
      </w:r>
      <w:proofErr w:type="spellStart"/>
      <w:r w:rsidRPr="0042238A">
        <w:rPr>
          <w:rFonts w:eastAsiaTheme="minorHAnsi"/>
          <w:color w:val="000000"/>
          <w:lang w:val="fr-FR" w:eastAsia="en-US"/>
        </w:rPr>
        <w:t>Amd</w:t>
      </w:r>
      <w:proofErr w:type="spellEnd"/>
      <w:r w:rsidRPr="0042238A">
        <w:rPr>
          <w:rFonts w:eastAsiaTheme="minorHAnsi"/>
          <w:color w:val="000000"/>
          <w:lang w:val="fr-FR" w:eastAsia="en-US"/>
        </w:rPr>
        <w:t xml:space="preserve"> 1:2011 effectuée sur un </w:t>
      </w:r>
      <w:r w:rsidRPr="0042238A">
        <w:rPr>
          <w:rFonts w:eastAsiaTheme="minorHAnsi"/>
          <w:color w:val="000000"/>
          <w:lang w:val="fr-FR" w:eastAsia="en-US"/>
        </w:rPr>
        <w:lastRenderedPageBreak/>
        <w:t>échantillon d’une largeur minimale de 50 mm placé à une distance de son support égale à au moins 20 fois l’épaisseur des parois. Au moins cinq éprouvettes doivent être utilisées ;</w:t>
      </w:r>
    </w:p>
    <w:p w14:paraId="2FB7DEE9" w14:textId="77777777" w:rsidR="0039366F" w:rsidRPr="0042238A" w:rsidRDefault="0039366F" w:rsidP="0039366F">
      <w:pPr>
        <w:tabs>
          <w:tab w:val="left" w:pos="1701"/>
          <w:tab w:val="left" w:pos="2268"/>
        </w:tabs>
        <w:spacing w:after="120"/>
        <w:ind w:left="2835" w:right="1134" w:hanging="567"/>
        <w:jc w:val="both"/>
        <w:rPr>
          <w:rFonts w:eastAsiaTheme="minorHAnsi"/>
          <w:color w:val="000000"/>
          <w:lang w:val="fr-FR" w:eastAsia="en-US"/>
        </w:rPr>
      </w:pPr>
      <w:r w:rsidRPr="0042238A">
        <w:rPr>
          <w:rFonts w:eastAsiaTheme="minorHAnsi"/>
          <w:color w:val="000000"/>
          <w:lang w:val="fr-FR" w:eastAsia="en-US"/>
        </w:rPr>
        <w:t>e)</w:t>
      </w:r>
      <w:r w:rsidRPr="0042238A">
        <w:rPr>
          <w:rFonts w:eastAsiaTheme="minorHAnsi"/>
          <w:color w:val="000000"/>
          <w:lang w:val="fr-FR" w:eastAsia="en-US"/>
        </w:rPr>
        <w:tab/>
        <w:t xml:space="preserve">Facteur de fluage α, déterminé en prenant le résultat moyen d’au moins deux éprouvettes de la configuration décrite en d), soumis au fluage dans un dispositif de flexion </w:t>
      </w:r>
      <w:r w:rsidRPr="0042238A">
        <w:rPr>
          <w:rFonts w:eastAsiaTheme="minorHAnsi"/>
          <w:lang w:val="fr-FR" w:eastAsia="en-US"/>
        </w:rPr>
        <w:t>en trois points ou en quatre points</w:t>
      </w:r>
      <w:r w:rsidRPr="0042238A">
        <w:rPr>
          <w:rFonts w:eastAsiaTheme="minorHAnsi"/>
          <w:color w:val="000000"/>
          <w:lang w:val="fr-FR" w:eastAsia="en-US"/>
        </w:rPr>
        <w:t xml:space="preserve"> à la température maximale de conception prescrite au 6.9.2.2.4, </w:t>
      </w:r>
      <w:r w:rsidRPr="0042238A">
        <w:rPr>
          <w:rFonts w:eastAsiaTheme="minorHAnsi"/>
          <w:lang w:val="fr-FR" w:eastAsia="ru-RU"/>
        </w:rPr>
        <w:t>pendant</w:t>
      </w:r>
      <w:r w:rsidRPr="0042238A">
        <w:rPr>
          <w:rFonts w:eastAsiaTheme="minorHAnsi"/>
          <w:color w:val="000000"/>
          <w:lang w:val="fr-FR" w:eastAsia="en-US"/>
        </w:rPr>
        <w:t xml:space="preserve"> 1 000 heures. Chaque éprouvette doit être soumise à l’essai suivant :</w:t>
      </w:r>
    </w:p>
    <w:p w14:paraId="3BEF6FF4" w14:textId="77777777" w:rsidR="0039366F" w:rsidRPr="0042238A" w:rsidRDefault="0039366F" w:rsidP="0039366F">
      <w:pPr>
        <w:tabs>
          <w:tab w:val="left" w:pos="1701"/>
          <w:tab w:val="left" w:pos="2268"/>
        </w:tabs>
        <w:spacing w:after="120"/>
        <w:ind w:left="3402" w:right="1134" w:hanging="567"/>
        <w:jc w:val="both"/>
        <w:rPr>
          <w:rFonts w:eastAsiaTheme="minorHAnsi"/>
          <w:lang w:val="fr-FR" w:eastAsia="en-US"/>
        </w:rPr>
      </w:pPr>
      <w:r w:rsidRPr="0042238A">
        <w:rPr>
          <w:rFonts w:eastAsiaTheme="minorHAnsi"/>
          <w:lang w:val="fr-FR" w:eastAsia="en-US"/>
        </w:rPr>
        <w:t>i)</w:t>
      </w:r>
      <w:r w:rsidRPr="0042238A">
        <w:rPr>
          <w:rFonts w:eastAsiaTheme="minorHAnsi"/>
          <w:lang w:val="fr-FR" w:eastAsia="en-US"/>
        </w:rPr>
        <w:tab/>
        <w:t xml:space="preserve">Placer l’éprouvette dans le dispositif de flexion, sans charge, dans un four réglé à la température </w:t>
      </w:r>
      <w:r w:rsidRPr="0042238A">
        <w:rPr>
          <w:rFonts w:eastAsiaTheme="minorHAnsi"/>
          <w:lang w:val="fr-FR" w:eastAsia="ru-RU"/>
        </w:rPr>
        <w:t>maximale</w:t>
      </w:r>
      <w:r w:rsidRPr="0042238A">
        <w:rPr>
          <w:rFonts w:eastAsiaTheme="minorHAnsi"/>
          <w:lang w:val="fr-FR" w:eastAsia="en-US"/>
        </w:rPr>
        <w:t xml:space="preserve"> de conception et la laisser s’acclimater pendant au moins 60 minutes ;</w:t>
      </w:r>
    </w:p>
    <w:p w14:paraId="6BA6BF47" w14:textId="77777777" w:rsidR="0039366F" w:rsidRPr="0042238A" w:rsidRDefault="0039366F" w:rsidP="0039366F">
      <w:pPr>
        <w:tabs>
          <w:tab w:val="left" w:pos="1701"/>
          <w:tab w:val="left" w:pos="2268"/>
        </w:tabs>
        <w:spacing w:after="120"/>
        <w:ind w:left="3402" w:right="1134" w:hanging="567"/>
        <w:jc w:val="both"/>
        <w:rPr>
          <w:rFonts w:eastAsiaTheme="minorHAnsi"/>
          <w:lang w:val="fr-FR" w:eastAsia="en-US"/>
        </w:rPr>
      </w:pPr>
      <w:r w:rsidRPr="0042238A">
        <w:rPr>
          <w:rFonts w:eastAsiaTheme="minorHAnsi"/>
          <w:lang w:val="fr-FR" w:eastAsia="en-US"/>
        </w:rPr>
        <w:t>ii)</w:t>
      </w:r>
      <w:r w:rsidRPr="0042238A">
        <w:rPr>
          <w:rFonts w:eastAsiaTheme="minorHAnsi"/>
          <w:lang w:val="fr-FR" w:eastAsia="en-US"/>
        </w:rPr>
        <w:tab/>
        <w:t xml:space="preserve">Ajouter une charge à l’éprouvette soumise à l’essai conformément aux normes ISO 14125:1998 et </w:t>
      </w:r>
      <w:r w:rsidRPr="0042238A">
        <w:rPr>
          <w:rFonts w:eastAsiaTheme="minorHAnsi"/>
          <w:lang w:val="fr-FR" w:eastAsia="ru-RU"/>
        </w:rPr>
        <w:t>ISO</w:t>
      </w:r>
      <w:r w:rsidRPr="0042238A">
        <w:rPr>
          <w:rFonts w:eastAsiaTheme="minorHAnsi"/>
          <w:lang w:val="fr-FR" w:eastAsia="en-US"/>
        </w:rPr>
        <w:t xml:space="preserve"> 14125:1998 + </w:t>
      </w:r>
      <w:proofErr w:type="spellStart"/>
      <w:r w:rsidRPr="0042238A">
        <w:rPr>
          <w:rFonts w:eastAsiaTheme="minorHAnsi"/>
          <w:lang w:val="fr-FR" w:eastAsia="en-US"/>
        </w:rPr>
        <w:t>Amd</w:t>
      </w:r>
      <w:proofErr w:type="spellEnd"/>
      <w:r w:rsidRPr="0042238A">
        <w:rPr>
          <w:rFonts w:eastAsiaTheme="minorHAnsi"/>
          <w:lang w:val="fr-FR" w:eastAsia="en-US"/>
        </w:rPr>
        <w:t xml:space="preserve"> 1:2011, à une contrainte de flexion égale à la contrainte à la rupture déterminée en d) divisée par quatre. Maintenir la charge mécanique à la température </w:t>
      </w:r>
      <w:bookmarkStart w:id="17" w:name="_Hlk43908051"/>
      <w:r w:rsidRPr="0042238A">
        <w:rPr>
          <w:rFonts w:eastAsiaTheme="minorHAnsi"/>
          <w:lang w:val="fr-FR" w:eastAsia="en-US"/>
        </w:rPr>
        <w:t xml:space="preserve">maximale de conception </w:t>
      </w:r>
      <w:bookmarkEnd w:id="17"/>
      <w:r w:rsidRPr="0042238A">
        <w:rPr>
          <w:rFonts w:eastAsiaTheme="minorHAnsi"/>
          <w:lang w:val="fr-FR" w:eastAsia="en-US"/>
        </w:rPr>
        <w:t>pendant au moins 1 000 heures sans interruption ;</w:t>
      </w:r>
    </w:p>
    <w:p w14:paraId="7704E640" w14:textId="77777777" w:rsidR="0039366F" w:rsidRPr="0042238A" w:rsidRDefault="0039366F" w:rsidP="0039366F">
      <w:pPr>
        <w:tabs>
          <w:tab w:val="left" w:pos="1701"/>
          <w:tab w:val="left" w:pos="2268"/>
        </w:tabs>
        <w:spacing w:after="120"/>
        <w:ind w:left="3402" w:right="1134" w:hanging="567"/>
        <w:jc w:val="both"/>
        <w:rPr>
          <w:rFonts w:eastAsiaTheme="minorHAnsi"/>
          <w:lang w:val="fr-FR" w:eastAsia="en-US"/>
        </w:rPr>
      </w:pPr>
      <w:r w:rsidRPr="0042238A">
        <w:rPr>
          <w:rFonts w:eastAsiaTheme="minorHAnsi"/>
          <w:lang w:val="fr-FR" w:eastAsia="en-US"/>
        </w:rPr>
        <w:t>iii)</w:t>
      </w:r>
      <w:r w:rsidRPr="0042238A">
        <w:rPr>
          <w:rFonts w:eastAsiaTheme="minorHAnsi"/>
          <w:lang w:val="fr-FR" w:eastAsia="en-US"/>
        </w:rPr>
        <w:tab/>
        <w:t>Mesurer la déformation initiale six minutes après l’application de la pleine charge prescrite en e) ii). L’éprouvette doit rester sous charge dans l’appareillage d’essai ;</w:t>
      </w:r>
    </w:p>
    <w:p w14:paraId="12020EFA" w14:textId="77777777" w:rsidR="0039366F" w:rsidRPr="0042238A" w:rsidRDefault="0039366F" w:rsidP="0039366F">
      <w:pPr>
        <w:tabs>
          <w:tab w:val="left" w:pos="1701"/>
          <w:tab w:val="left" w:pos="2268"/>
        </w:tabs>
        <w:spacing w:after="120"/>
        <w:ind w:left="3402" w:right="1134" w:hanging="567"/>
        <w:jc w:val="both"/>
        <w:rPr>
          <w:rFonts w:eastAsiaTheme="minorHAnsi"/>
          <w:lang w:val="fr-FR" w:eastAsia="en-US"/>
        </w:rPr>
      </w:pPr>
      <w:r w:rsidRPr="0042238A">
        <w:rPr>
          <w:rFonts w:eastAsiaTheme="minorHAnsi"/>
          <w:lang w:val="fr-FR" w:eastAsia="en-US"/>
        </w:rPr>
        <w:t>iv)</w:t>
      </w:r>
      <w:r w:rsidRPr="0042238A">
        <w:rPr>
          <w:rFonts w:eastAsiaTheme="minorHAnsi"/>
          <w:lang w:val="fr-FR" w:eastAsia="en-US"/>
        </w:rPr>
        <w:tab/>
      </w:r>
      <w:r w:rsidRPr="0042238A">
        <w:rPr>
          <w:rFonts w:eastAsiaTheme="minorHAnsi"/>
          <w:lang w:val="fr-FR" w:eastAsia="ru-RU"/>
        </w:rPr>
        <w:t>Mesurer</w:t>
      </w:r>
      <w:r w:rsidRPr="0042238A">
        <w:rPr>
          <w:rFonts w:eastAsiaTheme="minorHAnsi"/>
          <w:lang w:val="fr-FR" w:eastAsia="en-US"/>
        </w:rPr>
        <w:t xml:space="preserve"> la déformation finale 1 000 heures après </w:t>
      </w:r>
      <w:bookmarkStart w:id="18" w:name="_Hlk43908789"/>
      <w:r w:rsidRPr="0042238A">
        <w:rPr>
          <w:rFonts w:eastAsiaTheme="minorHAnsi"/>
          <w:lang w:val="fr-FR" w:eastAsia="en-US"/>
        </w:rPr>
        <w:t xml:space="preserve">l’application de la pleine charge </w:t>
      </w:r>
      <w:bookmarkEnd w:id="18"/>
      <w:r w:rsidRPr="0042238A">
        <w:rPr>
          <w:rFonts w:eastAsiaTheme="minorHAnsi"/>
          <w:lang w:val="fr-FR" w:eastAsia="en-US"/>
        </w:rPr>
        <w:t>prescrite en e) ii) ; et</w:t>
      </w:r>
    </w:p>
    <w:p w14:paraId="74054BAF" w14:textId="77777777" w:rsidR="0039366F" w:rsidRPr="0042238A" w:rsidRDefault="0039366F" w:rsidP="0039366F">
      <w:pPr>
        <w:tabs>
          <w:tab w:val="left" w:pos="1701"/>
          <w:tab w:val="left" w:pos="2268"/>
        </w:tabs>
        <w:spacing w:after="120"/>
        <w:ind w:left="3402" w:right="1134" w:hanging="567"/>
        <w:jc w:val="both"/>
        <w:rPr>
          <w:rFonts w:eastAsiaTheme="minorHAnsi"/>
          <w:lang w:val="fr-FR" w:eastAsia="en-US"/>
        </w:rPr>
      </w:pPr>
      <w:r w:rsidRPr="0042238A">
        <w:rPr>
          <w:rFonts w:eastAsiaTheme="minorHAnsi"/>
          <w:lang w:val="fr-FR" w:eastAsia="en-US"/>
        </w:rPr>
        <w:t>v)</w:t>
      </w:r>
      <w:r w:rsidRPr="0042238A">
        <w:rPr>
          <w:rFonts w:eastAsiaTheme="minorHAnsi"/>
          <w:lang w:val="fr-FR" w:eastAsia="en-US"/>
        </w:rPr>
        <w:tab/>
      </w:r>
      <w:r w:rsidRPr="0042238A">
        <w:rPr>
          <w:rFonts w:eastAsiaTheme="minorHAnsi"/>
          <w:lang w:val="fr-FR" w:eastAsia="ru-RU"/>
        </w:rPr>
        <w:t>Calculer</w:t>
      </w:r>
      <w:r w:rsidRPr="0042238A">
        <w:rPr>
          <w:rFonts w:eastAsiaTheme="minorHAnsi"/>
          <w:lang w:val="fr-FR" w:eastAsia="en-US"/>
        </w:rPr>
        <w:t xml:space="preserve"> le facteur de fluage α en divisant la déformation initiale décrite en e) iii) par la déformation finale décrite en e) iv).</w:t>
      </w:r>
    </w:p>
    <w:p w14:paraId="0A3561A1"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en-US"/>
        </w:rPr>
      </w:pPr>
      <w:r w:rsidRPr="0042238A">
        <w:rPr>
          <w:rFonts w:eastAsiaTheme="minorHAnsi"/>
          <w:lang w:val="fr-FR" w:eastAsia="en-US"/>
        </w:rPr>
        <w:t>f)</w:t>
      </w:r>
      <w:r w:rsidRPr="0042238A">
        <w:rPr>
          <w:rFonts w:eastAsiaTheme="minorHAnsi"/>
          <w:lang w:val="fr-FR" w:eastAsia="en-US"/>
        </w:rPr>
        <w:tab/>
        <w:t xml:space="preserve">Facteur de vieillissement β, déterminé en prenant le résultat moyen d’au moins deux éprouvettes de la configuration décrite en d), soumises à une charge statique dans un dispositif de flexion en trois points ou en quatre points consécutivement à une immersion dans l’eau </w:t>
      </w:r>
      <w:bookmarkStart w:id="19" w:name="_Hlk43908902"/>
      <w:r w:rsidRPr="0042238A">
        <w:rPr>
          <w:rFonts w:eastAsiaTheme="minorHAnsi"/>
          <w:lang w:val="fr-FR" w:eastAsia="en-US"/>
        </w:rPr>
        <w:t xml:space="preserve">à la température maximale de conception </w:t>
      </w:r>
      <w:bookmarkEnd w:id="19"/>
      <w:r w:rsidRPr="0042238A">
        <w:rPr>
          <w:rFonts w:eastAsiaTheme="minorHAnsi"/>
          <w:lang w:val="fr-FR" w:eastAsia="en-US"/>
        </w:rPr>
        <w:t>prescrite au 6.9.2.2.4 pendant 1 000 heures. Chaque éprouvette doit être soumise à l’essai suivant :</w:t>
      </w:r>
    </w:p>
    <w:p w14:paraId="3CEF0414" w14:textId="77777777" w:rsidR="0039366F" w:rsidRPr="0042238A" w:rsidRDefault="0039366F" w:rsidP="0039366F">
      <w:pPr>
        <w:tabs>
          <w:tab w:val="left" w:pos="1701"/>
          <w:tab w:val="left" w:pos="2268"/>
        </w:tabs>
        <w:spacing w:after="120"/>
        <w:ind w:left="3402" w:right="1134" w:hanging="567"/>
        <w:jc w:val="both"/>
        <w:rPr>
          <w:rFonts w:eastAsiaTheme="minorHAnsi"/>
          <w:lang w:val="fr-FR" w:eastAsia="en-US"/>
        </w:rPr>
      </w:pPr>
      <w:r w:rsidRPr="0042238A">
        <w:rPr>
          <w:rFonts w:eastAsiaTheme="minorHAnsi"/>
          <w:lang w:val="fr-FR" w:eastAsia="en-US"/>
        </w:rPr>
        <w:t>i)</w:t>
      </w:r>
      <w:r w:rsidRPr="0042238A">
        <w:rPr>
          <w:rFonts w:eastAsiaTheme="minorHAnsi"/>
          <w:lang w:val="fr-FR" w:eastAsia="en-US"/>
        </w:rPr>
        <w:tab/>
        <w:t>Avant l’essai ou le conditionnement, les éprouvettes doivent être séchées dans un four à 80 °C pendant 24 heures ;</w:t>
      </w:r>
    </w:p>
    <w:p w14:paraId="387C3BA6" w14:textId="77777777" w:rsidR="0039366F" w:rsidRPr="0042238A" w:rsidRDefault="0039366F" w:rsidP="0039366F">
      <w:pPr>
        <w:tabs>
          <w:tab w:val="left" w:pos="1701"/>
          <w:tab w:val="left" w:pos="2268"/>
        </w:tabs>
        <w:spacing w:after="120"/>
        <w:ind w:left="3402" w:right="1134" w:hanging="567"/>
        <w:jc w:val="both"/>
        <w:rPr>
          <w:rFonts w:eastAsiaTheme="minorHAnsi"/>
          <w:lang w:val="fr-FR" w:eastAsia="en-US"/>
        </w:rPr>
      </w:pPr>
      <w:r w:rsidRPr="0042238A">
        <w:rPr>
          <w:rFonts w:eastAsiaTheme="minorHAnsi"/>
          <w:lang w:val="fr-FR" w:eastAsia="ru-RU"/>
        </w:rPr>
        <w:t>ii</w:t>
      </w:r>
      <w:r w:rsidRPr="0042238A">
        <w:rPr>
          <w:rFonts w:eastAsiaTheme="minorHAnsi"/>
          <w:lang w:val="fr-FR" w:eastAsia="en-US"/>
        </w:rPr>
        <w:t>)</w:t>
      </w:r>
      <w:r w:rsidRPr="0042238A">
        <w:rPr>
          <w:rFonts w:eastAsiaTheme="minorHAnsi"/>
          <w:lang w:val="fr-FR" w:eastAsia="en-US"/>
        </w:rPr>
        <w:tab/>
        <w:t xml:space="preserve">L’éprouvette doit être soumise à une charge dans un dispositif de flexion en trois points ou en quatre points à température ambiante, conformément aux normes ISO 14125:1998 + </w:t>
      </w:r>
      <w:proofErr w:type="spellStart"/>
      <w:r w:rsidRPr="0042238A">
        <w:rPr>
          <w:rFonts w:eastAsiaTheme="minorHAnsi"/>
          <w:lang w:val="fr-FR" w:eastAsia="en-US"/>
        </w:rPr>
        <w:t>Amd</w:t>
      </w:r>
      <w:proofErr w:type="spellEnd"/>
      <w:r w:rsidRPr="0042238A">
        <w:rPr>
          <w:rFonts w:eastAsiaTheme="minorHAnsi"/>
          <w:lang w:val="fr-FR" w:eastAsia="en-US"/>
        </w:rPr>
        <w:t xml:space="preserve"> 1:2011, à une contrainte de flexion égale à la contrainte maximale déterminée en d) divisée par quatre. Mesurer la déformation initiale six minutes après </w:t>
      </w:r>
      <w:bookmarkStart w:id="20" w:name="_Hlk43909783"/>
      <w:r w:rsidRPr="0042238A">
        <w:rPr>
          <w:rFonts w:eastAsiaTheme="minorHAnsi"/>
          <w:lang w:val="fr-FR" w:eastAsia="en-US"/>
        </w:rPr>
        <w:t>l’application de la pleine charge</w:t>
      </w:r>
      <w:bookmarkEnd w:id="20"/>
      <w:r w:rsidRPr="0042238A">
        <w:rPr>
          <w:rFonts w:eastAsiaTheme="minorHAnsi"/>
          <w:lang w:val="fr-FR" w:eastAsia="en-US"/>
        </w:rPr>
        <w:t>. Retirer l’éprouvette de l’appareillage d’essai ;</w:t>
      </w:r>
    </w:p>
    <w:p w14:paraId="1109149E" w14:textId="77777777" w:rsidR="0039366F" w:rsidRPr="0042238A" w:rsidRDefault="0039366F" w:rsidP="0039366F">
      <w:pPr>
        <w:tabs>
          <w:tab w:val="left" w:pos="1701"/>
          <w:tab w:val="left" w:pos="2268"/>
        </w:tabs>
        <w:spacing w:after="120"/>
        <w:ind w:left="3402" w:right="1134" w:hanging="567"/>
        <w:jc w:val="both"/>
        <w:rPr>
          <w:rFonts w:eastAsiaTheme="minorHAnsi"/>
          <w:lang w:val="fr-FR" w:eastAsia="en-US"/>
        </w:rPr>
      </w:pPr>
      <w:r w:rsidRPr="0042238A">
        <w:rPr>
          <w:rFonts w:eastAsiaTheme="minorHAnsi"/>
          <w:lang w:val="fr-FR" w:eastAsia="en-US"/>
        </w:rPr>
        <w:t>iii)</w:t>
      </w:r>
      <w:r w:rsidRPr="0042238A">
        <w:rPr>
          <w:rFonts w:eastAsiaTheme="minorHAnsi"/>
          <w:lang w:val="fr-FR" w:eastAsia="en-US"/>
        </w:rPr>
        <w:tab/>
        <w:t>Immerger l’éprouvette sans charge dans l’eau à la température maximale de conception pendant au moins 1 000 heures sans interruption. À l’issue de cette période de conditionnement, retirer les éprouvettes, les maintenir humides à température ambiante et achever la procédure décrite en f) iv) dans les trois jours ;</w:t>
      </w:r>
    </w:p>
    <w:p w14:paraId="2468A58D" w14:textId="77777777" w:rsidR="0039366F" w:rsidRPr="0042238A" w:rsidRDefault="0039366F" w:rsidP="0039366F">
      <w:pPr>
        <w:tabs>
          <w:tab w:val="left" w:pos="1701"/>
          <w:tab w:val="left" w:pos="2268"/>
        </w:tabs>
        <w:spacing w:after="120"/>
        <w:ind w:left="3402" w:right="1134" w:hanging="567"/>
        <w:jc w:val="both"/>
        <w:rPr>
          <w:rFonts w:eastAsiaTheme="minorHAnsi"/>
          <w:spacing w:val="-1"/>
          <w:lang w:val="fr-FR" w:eastAsia="en-US"/>
        </w:rPr>
      </w:pPr>
      <w:r w:rsidRPr="0042238A">
        <w:rPr>
          <w:rFonts w:eastAsiaTheme="minorHAnsi"/>
          <w:spacing w:val="-1"/>
          <w:lang w:val="fr-FR" w:eastAsia="en-US"/>
        </w:rPr>
        <w:t>iv)</w:t>
      </w:r>
      <w:r w:rsidRPr="0042238A">
        <w:rPr>
          <w:rFonts w:eastAsiaTheme="minorHAnsi"/>
          <w:spacing w:val="-1"/>
          <w:lang w:val="fr-FR" w:eastAsia="en-US"/>
        </w:rPr>
        <w:tab/>
      </w:r>
      <w:r w:rsidRPr="0042238A">
        <w:rPr>
          <w:rFonts w:eastAsiaTheme="minorHAnsi"/>
          <w:spacing w:val="-1"/>
          <w:lang w:val="fr-FR" w:eastAsia="ru-RU"/>
        </w:rPr>
        <w:t>L’éprouvette</w:t>
      </w:r>
      <w:r w:rsidRPr="0042238A">
        <w:rPr>
          <w:rFonts w:eastAsiaTheme="minorHAnsi"/>
          <w:spacing w:val="-1"/>
          <w:lang w:val="fr-FR" w:eastAsia="en-US"/>
        </w:rPr>
        <w:t xml:space="preserve"> doit être soumise à une deuxième série de charges statiques, dans les mêmes </w:t>
      </w:r>
      <w:r w:rsidRPr="0042238A">
        <w:rPr>
          <w:rFonts w:eastAsiaTheme="minorHAnsi"/>
          <w:spacing w:val="-1"/>
          <w:lang w:val="fr-FR" w:eastAsia="ru-RU"/>
        </w:rPr>
        <w:t>conditions</w:t>
      </w:r>
      <w:r w:rsidRPr="0042238A">
        <w:rPr>
          <w:rFonts w:eastAsiaTheme="minorHAnsi"/>
          <w:spacing w:val="-1"/>
          <w:lang w:val="fr-FR" w:eastAsia="en-US"/>
        </w:rPr>
        <w:t xml:space="preserve"> qu’en f) ii). Mesurer la déformation finale six minutes après l’application de la pleine charge. Retirer l’éprouvette de l’appareillage d’essai ;</w:t>
      </w:r>
    </w:p>
    <w:p w14:paraId="5DA3D5E2" w14:textId="77777777" w:rsidR="0039366F" w:rsidRPr="0042238A" w:rsidRDefault="0039366F" w:rsidP="0039366F">
      <w:pPr>
        <w:tabs>
          <w:tab w:val="left" w:pos="1701"/>
          <w:tab w:val="left" w:pos="2268"/>
        </w:tabs>
        <w:spacing w:after="120"/>
        <w:ind w:left="3402" w:right="1134" w:hanging="567"/>
        <w:jc w:val="both"/>
        <w:rPr>
          <w:rFonts w:eastAsiaTheme="minorHAnsi"/>
          <w:strike/>
          <w:lang w:val="fr-FR" w:eastAsia="en-US"/>
        </w:rPr>
      </w:pPr>
      <w:r w:rsidRPr="0042238A">
        <w:rPr>
          <w:rFonts w:eastAsiaTheme="minorHAnsi"/>
          <w:lang w:val="fr-FR" w:eastAsia="en-US"/>
        </w:rPr>
        <w:t>v)</w:t>
      </w:r>
      <w:r w:rsidRPr="0042238A">
        <w:rPr>
          <w:rFonts w:eastAsiaTheme="minorHAnsi"/>
          <w:lang w:val="fr-FR" w:eastAsia="en-US"/>
        </w:rPr>
        <w:tab/>
      </w:r>
      <w:r w:rsidRPr="0042238A">
        <w:rPr>
          <w:rFonts w:eastAsiaTheme="minorHAnsi"/>
          <w:lang w:val="fr-FR" w:eastAsia="ru-RU"/>
        </w:rPr>
        <w:t>Calculer</w:t>
      </w:r>
      <w:r w:rsidRPr="0042238A">
        <w:rPr>
          <w:rFonts w:eastAsiaTheme="minorHAnsi"/>
          <w:lang w:val="fr-FR" w:eastAsia="en-US"/>
        </w:rPr>
        <w:t xml:space="preserve"> le facteur de vieillissement β en divisant la déformation initiale décrite en f) ii) par la déformation finale décrite en f) iv). </w:t>
      </w:r>
    </w:p>
    <w:p w14:paraId="715119C3"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en-US"/>
        </w:rPr>
      </w:pPr>
      <w:r w:rsidRPr="0042238A">
        <w:rPr>
          <w:rFonts w:eastAsiaTheme="minorHAnsi"/>
          <w:lang w:val="fr-FR" w:eastAsia="en-US"/>
        </w:rPr>
        <w:lastRenderedPageBreak/>
        <w:t>g)</w:t>
      </w:r>
      <w:r w:rsidRPr="0042238A">
        <w:rPr>
          <w:rFonts w:eastAsiaTheme="minorHAnsi"/>
          <w:lang w:val="fr-FR" w:eastAsia="en-US"/>
        </w:rPr>
        <w:tab/>
        <w:t xml:space="preserve">La résistance </w:t>
      </w:r>
      <w:proofErr w:type="spellStart"/>
      <w:r w:rsidRPr="0042238A">
        <w:rPr>
          <w:rFonts w:eastAsiaTheme="minorHAnsi"/>
          <w:lang w:val="fr-FR" w:eastAsia="en-US"/>
        </w:rPr>
        <w:t>interlaminaire</w:t>
      </w:r>
      <w:proofErr w:type="spellEnd"/>
      <w:r w:rsidRPr="0042238A">
        <w:rPr>
          <w:rFonts w:eastAsiaTheme="minorHAnsi"/>
          <w:lang w:val="fr-FR" w:eastAsia="en-US"/>
        </w:rPr>
        <w:t xml:space="preserve"> au cisaillement des joints doit être mesurée sur des </w:t>
      </w:r>
      <w:r w:rsidRPr="0042238A">
        <w:rPr>
          <w:rFonts w:eastAsiaTheme="minorHAnsi"/>
          <w:lang w:val="fr-FR" w:eastAsia="ru-RU"/>
        </w:rPr>
        <w:t>échantillons</w:t>
      </w:r>
      <w:r w:rsidRPr="0042238A">
        <w:rPr>
          <w:rFonts w:eastAsiaTheme="minorHAnsi"/>
          <w:lang w:val="fr-FR" w:eastAsia="en-US"/>
        </w:rPr>
        <w:t xml:space="preserve"> représentatifs soumis à épreuve selon la norme ISO 14130:1997 ;</w:t>
      </w:r>
    </w:p>
    <w:p w14:paraId="4F5645CD"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en-US"/>
        </w:rPr>
      </w:pPr>
      <w:r w:rsidRPr="0042238A">
        <w:rPr>
          <w:rFonts w:eastAsiaTheme="minorHAnsi"/>
          <w:lang w:val="fr-FR" w:eastAsia="en-US"/>
        </w:rPr>
        <w:t>h)</w:t>
      </w:r>
      <w:r w:rsidRPr="0042238A">
        <w:rPr>
          <w:rFonts w:eastAsiaTheme="minorHAnsi"/>
          <w:lang w:val="fr-FR" w:eastAsia="en-US"/>
        </w:rPr>
        <w:tab/>
      </w:r>
      <w:r w:rsidRPr="0042238A">
        <w:rPr>
          <w:rFonts w:eastAsiaTheme="minorHAnsi"/>
          <w:lang w:val="fr-FR" w:eastAsia="ru-RU"/>
        </w:rPr>
        <w:t>L’efficacité,</w:t>
      </w:r>
      <w:r w:rsidRPr="00AB4C5F">
        <w:rPr>
          <w:rFonts w:eastAsiaTheme="minorHAnsi"/>
          <w:lang w:val="fr-FR" w:eastAsia="en-US"/>
        </w:rPr>
        <w:t xml:space="preserve"> </w:t>
      </w:r>
      <w:r w:rsidRPr="0042238A">
        <w:rPr>
          <w:rFonts w:eastAsiaTheme="minorHAnsi"/>
          <w:lang w:val="fr-FR" w:eastAsia="ru-RU"/>
        </w:rPr>
        <w:t xml:space="preserve">selon le cas, </w:t>
      </w:r>
      <w:r w:rsidRPr="0042238A">
        <w:rPr>
          <w:rFonts w:eastAsiaTheme="minorHAnsi"/>
          <w:lang w:val="fr-FR" w:eastAsia="en-US"/>
        </w:rPr>
        <w:t xml:space="preserve">des procédés </w:t>
      </w:r>
      <w:r w:rsidRPr="0042238A">
        <w:rPr>
          <w:rFonts w:eastAsiaTheme="minorHAnsi"/>
          <w:lang w:val="fr-FR" w:eastAsia="ru-RU"/>
        </w:rPr>
        <w:t xml:space="preserve">de formage de la résine thermoplastique ou </w:t>
      </w:r>
      <w:r w:rsidRPr="0042238A">
        <w:rPr>
          <w:rFonts w:eastAsiaTheme="minorHAnsi"/>
          <w:lang w:val="fr-FR" w:eastAsia="en-US"/>
        </w:rPr>
        <w:t xml:space="preserve">de réticulation et de post-cuisson </w:t>
      </w:r>
      <w:r w:rsidRPr="0042238A">
        <w:rPr>
          <w:rFonts w:eastAsiaTheme="minorHAnsi"/>
          <w:lang w:val="fr-FR" w:eastAsia="ru-RU"/>
        </w:rPr>
        <w:t>de la résine thermodurcissable</w:t>
      </w:r>
      <w:r w:rsidRPr="0042238A">
        <w:rPr>
          <w:rFonts w:eastAsiaTheme="minorHAnsi"/>
          <w:lang w:val="fr-FR" w:eastAsia="en-US"/>
        </w:rPr>
        <w:t xml:space="preserve"> des laminés est déterminée au moyen d’une ou plusieurs des méthodes suivantes :</w:t>
      </w:r>
    </w:p>
    <w:p w14:paraId="3BC09BF8" w14:textId="77777777" w:rsidR="0039366F" w:rsidRPr="0042238A" w:rsidRDefault="0039366F" w:rsidP="0039366F">
      <w:pPr>
        <w:tabs>
          <w:tab w:val="left" w:pos="1701"/>
          <w:tab w:val="left" w:pos="2268"/>
        </w:tabs>
        <w:spacing w:after="120"/>
        <w:ind w:left="3402" w:right="1134" w:hanging="567"/>
        <w:jc w:val="both"/>
        <w:rPr>
          <w:rFonts w:eastAsiaTheme="minorHAnsi"/>
          <w:lang w:val="fr-FR" w:eastAsia="en-US"/>
        </w:rPr>
      </w:pPr>
      <w:r w:rsidRPr="0042238A">
        <w:rPr>
          <w:rFonts w:eastAsiaTheme="minorHAnsi"/>
          <w:lang w:val="fr-FR" w:eastAsia="en-US"/>
        </w:rPr>
        <w:t>i)</w:t>
      </w:r>
      <w:r w:rsidRPr="0042238A">
        <w:rPr>
          <w:rFonts w:eastAsiaTheme="minorHAnsi"/>
          <w:lang w:val="fr-FR" w:eastAsia="en-US"/>
        </w:rPr>
        <w:tab/>
        <w:t xml:space="preserve">Mesure directe, </w:t>
      </w:r>
      <w:r w:rsidRPr="0042238A">
        <w:rPr>
          <w:rFonts w:eastAsiaTheme="minorHAnsi"/>
          <w:lang w:val="fr-FR" w:eastAsia="ru-RU"/>
        </w:rPr>
        <w:t xml:space="preserve">selon le cas, des caractéristiques de la résine thermoplastique formée ou </w:t>
      </w:r>
      <w:r w:rsidRPr="0042238A">
        <w:rPr>
          <w:rFonts w:eastAsiaTheme="minorHAnsi"/>
          <w:lang w:val="fr-FR" w:eastAsia="en-US"/>
        </w:rPr>
        <w:t>du degré de réticulation</w:t>
      </w:r>
      <w:r w:rsidRPr="0042238A">
        <w:rPr>
          <w:rFonts w:eastAsiaTheme="minorHAnsi"/>
          <w:lang w:val="fr-FR" w:eastAsia="ru-RU"/>
        </w:rPr>
        <w:t xml:space="preserve"> de la résine thermodurcissable</w:t>
      </w:r>
      <w:r w:rsidRPr="0042238A">
        <w:rPr>
          <w:rFonts w:eastAsiaTheme="minorHAnsi"/>
          <w:lang w:val="fr-FR" w:eastAsia="en-US"/>
        </w:rPr>
        <w:t xml:space="preserve"> : température de transition </w:t>
      </w:r>
      <w:r w:rsidRPr="0042238A">
        <w:rPr>
          <w:rFonts w:eastAsiaTheme="minorHAnsi"/>
          <w:lang w:val="fr-FR" w:eastAsia="ru-RU"/>
        </w:rPr>
        <w:t>vitreuse</w:t>
      </w:r>
      <w:r w:rsidRPr="0042238A">
        <w:rPr>
          <w:rFonts w:eastAsiaTheme="minorHAnsi"/>
          <w:lang w:val="fr-FR" w:eastAsia="en-US"/>
        </w:rPr>
        <w:t xml:space="preserve"> (Tg) ou température de fusion </w:t>
      </w:r>
      <w:r w:rsidRPr="00AB4C5F">
        <w:rPr>
          <w:rFonts w:eastAsiaTheme="minorHAnsi"/>
          <w:lang w:val="fr-FR" w:eastAsia="en-US"/>
        </w:rPr>
        <w:t>(T</w:t>
      </w:r>
      <w:r w:rsidRPr="00AB4C5F">
        <w:rPr>
          <w:rFonts w:eastAsiaTheme="minorHAnsi"/>
          <w:vertAlign w:val="subscript"/>
          <w:lang w:val="fr-FR" w:eastAsia="en-US"/>
        </w:rPr>
        <w:t>m</w:t>
      </w:r>
      <w:r w:rsidRPr="00AB4C5F">
        <w:rPr>
          <w:rFonts w:eastAsiaTheme="minorHAnsi"/>
          <w:lang w:val="fr-FR" w:eastAsia="en-US"/>
        </w:rPr>
        <w:t>)</w:t>
      </w:r>
      <w:r w:rsidRPr="0042238A">
        <w:rPr>
          <w:rFonts w:eastAsiaTheme="minorHAnsi"/>
          <w:lang w:val="fr-FR" w:eastAsia="en-US"/>
        </w:rPr>
        <w:t xml:space="preserve"> </w:t>
      </w:r>
      <w:r w:rsidRPr="0042238A">
        <w:rPr>
          <w:rFonts w:eastAsiaTheme="minorHAnsi"/>
          <w:lang w:val="fr-FR" w:eastAsia="ru-RU"/>
        </w:rPr>
        <w:t>déterminée</w:t>
      </w:r>
      <w:r w:rsidRPr="0042238A">
        <w:rPr>
          <w:rFonts w:eastAsiaTheme="minorHAnsi"/>
          <w:lang w:val="fr-FR" w:eastAsia="en-US"/>
        </w:rPr>
        <w:t xml:space="preserve"> au moyen de l’analyse calorimétrique différentielle (ACD) selon la norme ISO 11357</w:t>
      </w:r>
      <w:r w:rsidRPr="0042238A">
        <w:rPr>
          <w:rFonts w:eastAsiaTheme="minorHAnsi"/>
          <w:lang w:val="fr-FR" w:eastAsia="en-US"/>
        </w:rPr>
        <w:noBreakHyphen/>
        <w:t>2:2016 ;</w:t>
      </w:r>
    </w:p>
    <w:p w14:paraId="672C5268" w14:textId="77777777" w:rsidR="0039366F" w:rsidRPr="0042238A" w:rsidRDefault="0039366F" w:rsidP="0039366F">
      <w:pPr>
        <w:tabs>
          <w:tab w:val="left" w:pos="1701"/>
          <w:tab w:val="left" w:pos="2268"/>
        </w:tabs>
        <w:spacing w:after="120"/>
        <w:ind w:left="3402" w:right="1134" w:hanging="567"/>
        <w:jc w:val="both"/>
        <w:rPr>
          <w:rFonts w:eastAsiaTheme="minorHAnsi"/>
          <w:lang w:val="fr-FR" w:eastAsia="en-US"/>
        </w:rPr>
      </w:pPr>
      <w:r w:rsidRPr="0042238A">
        <w:rPr>
          <w:rFonts w:eastAsiaTheme="minorHAnsi"/>
          <w:lang w:val="fr-FR" w:eastAsia="en-US"/>
        </w:rPr>
        <w:t>ii)</w:t>
      </w:r>
      <w:r w:rsidRPr="0042238A">
        <w:rPr>
          <w:rFonts w:eastAsiaTheme="minorHAnsi"/>
          <w:lang w:val="fr-FR" w:eastAsia="en-US"/>
        </w:rPr>
        <w:tab/>
      </w:r>
      <w:r w:rsidRPr="0042238A">
        <w:rPr>
          <w:rFonts w:eastAsiaTheme="minorHAnsi"/>
          <w:lang w:val="fr-FR" w:eastAsia="ru-RU"/>
        </w:rPr>
        <w:t>Mesure</w:t>
      </w:r>
      <w:r w:rsidRPr="0042238A">
        <w:rPr>
          <w:rFonts w:eastAsiaTheme="minorHAnsi"/>
          <w:lang w:val="fr-FR" w:eastAsia="en-US"/>
        </w:rPr>
        <w:t xml:space="preserve"> indirecte </w:t>
      </w:r>
      <w:r w:rsidRPr="0042238A">
        <w:rPr>
          <w:rFonts w:eastAsiaTheme="minorHAnsi"/>
          <w:lang w:val="fr-FR" w:eastAsia="ru-RU"/>
        </w:rPr>
        <w:t>de la résine thermoplastique formée ou</w:t>
      </w:r>
      <w:r w:rsidRPr="0042238A">
        <w:rPr>
          <w:rFonts w:eastAsiaTheme="minorHAnsi"/>
          <w:lang w:val="fr-FR" w:eastAsia="en-US"/>
        </w:rPr>
        <w:t xml:space="preserve"> </w:t>
      </w:r>
      <w:r w:rsidRPr="0042238A">
        <w:rPr>
          <w:rFonts w:eastAsiaTheme="minorHAnsi"/>
          <w:lang w:val="fr-FR" w:eastAsia="ru-RU"/>
        </w:rPr>
        <w:t>du degré de réticulation de la résine thermodurcissable</w:t>
      </w:r>
      <w:r w:rsidRPr="0042238A">
        <w:rPr>
          <w:rFonts w:eastAsiaTheme="minorHAnsi"/>
          <w:lang w:val="fr-FR" w:eastAsia="en-US"/>
        </w:rPr>
        <w:t> :</w:t>
      </w:r>
    </w:p>
    <w:p w14:paraId="2A624D67" w14:textId="77777777" w:rsidR="0039366F" w:rsidRPr="0042238A" w:rsidRDefault="0039366F" w:rsidP="0039366F">
      <w:pPr>
        <w:tabs>
          <w:tab w:val="left" w:pos="1701"/>
          <w:tab w:val="left" w:pos="2268"/>
        </w:tabs>
        <w:spacing w:after="120"/>
        <w:ind w:left="3969" w:right="1134" w:hanging="567"/>
        <w:jc w:val="both"/>
        <w:rPr>
          <w:rFonts w:eastAsiaTheme="minorHAnsi"/>
          <w:bCs/>
          <w:color w:val="000000"/>
          <w:lang w:val="fr-FR" w:eastAsia="en-US"/>
        </w:rPr>
      </w:pPr>
      <w:r w:rsidRPr="0042238A">
        <w:rPr>
          <w:rFonts w:eastAsiaTheme="minorHAnsi"/>
          <w:bCs/>
          <w:color w:val="000000"/>
          <w:lang w:val="fr-FR" w:eastAsia="en-US"/>
        </w:rPr>
        <w:t>-</w:t>
      </w:r>
      <w:r w:rsidRPr="0042238A">
        <w:rPr>
          <w:rFonts w:eastAsiaTheme="minorHAnsi"/>
          <w:bCs/>
          <w:color w:val="000000"/>
          <w:lang w:val="fr-FR" w:eastAsia="en-US"/>
        </w:rPr>
        <w:tab/>
        <w:t>HDT déterminée selon la norme ISО 75-1:2013 ;</w:t>
      </w:r>
    </w:p>
    <w:p w14:paraId="1840384B" w14:textId="77777777" w:rsidR="0039366F" w:rsidRPr="0042238A" w:rsidRDefault="0039366F" w:rsidP="0039366F">
      <w:pPr>
        <w:tabs>
          <w:tab w:val="left" w:pos="1701"/>
          <w:tab w:val="left" w:pos="2268"/>
        </w:tabs>
        <w:spacing w:after="120"/>
        <w:ind w:left="3969" w:right="1134" w:hanging="567"/>
        <w:jc w:val="both"/>
        <w:rPr>
          <w:rFonts w:eastAsiaTheme="minorHAnsi"/>
          <w:bCs/>
          <w:color w:val="000000"/>
          <w:lang w:val="fr-FR" w:eastAsia="en-US"/>
        </w:rPr>
      </w:pPr>
      <w:r w:rsidRPr="0042238A">
        <w:rPr>
          <w:rFonts w:eastAsiaTheme="minorHAnsi"/>
          <w:bCs/>
          <w:color w:val="000000"/>
          <w:lang w:val="fr-FR" w:eastAsia="en-US"/>
        </w:rPr>
        <w:t>-</w:t>
      </w:r>
      <w:r w:rsidRPr="0042238A">
        <w:rPr>
          <w:rFonts w:eastAsiaTheme="minorHAnsi"/>
          <w:bCs/>
          <w:color w:val="000000"/>
          <w:lang w:val="fr-FR" w:eastAsia="en-US"/>
        </w:rPr>
        <w:tab/>
        <w:t xml:space="preserve">Tg ou </w:t>
      </w:r>
      <w:r w:rsidRPr="00AB4C5F">
        <w:rPr>
          <w:rFonts w:eastAsiaTheme="minorHAnsi"/>
          <w:lang w:val="fr-FR" w:eastAsia="en-US"/>
        </w:rPr>
        <w:t>T</w:t>
      </w:r>
      <w:r w:rsidRPr="00AB4C5F">
        <w:rPr>
          <w:rFonts w:eastAsiaTheme="minorHAnsi"/>
          <w:vertAlign w:val="subscript"/>
          <w:lang w:val="fr-FR" w:eastAsia="en-US"/>
        </w:rPr>
        <w:t>m</w:t>
      </w:r>
      <w:r w:rsidRPr="0042238A">
        <w:rPr>
          <w:rFonts w:eastAsiaTheme="minorHAnsi"/>
          <w:bCs/>
          <w:color w:val="000000"/>
          <w:lang w:val="fr-FR" w:eastAsia="en-US"/>
        </w:rPr>
        <w:t xml:space="preserve"> déterminée en utilisant l’analyse </w:t>
      </w:r>
      <w:bookmarkStart w:id="21" w:name="_Hlk43910499"/>
      <w:r w:rsidRPr="0042238A">
        <w:rPr>
          <w:rFonts w:eastAsiaTheme="minorHAnsi"/>
          <w:bCs/>
          <w:color w:val="000000"/>
          <w:lang w:val="fr-FR" w:eastAsia="en-US"/>
        </w:rPr>
        <w:t xml:space="preserve">thermomécanique </w:t>
      </w:r>
      <w:bookmarkEnd w:id="21"/>
      <w:r w:rsidRPr="0042238A">
        <w:rPr>
          <w:rFonts w:eastAsiaTheme="minorHAnsi"/>
          <w:bCs/>
          <w:color w:val="000000"/>
          <w:lang w:val="fr-FR" w:eastAsia="en-US"/>
        </w:rPr>
        <w:t>selon la norme ISO 11359-1:2014 ;</w:t>
      </w:r>
    </w:p>
    <w:p w14:paraId="72BC60D9" w14:textId="77777777" w:rsidR="0039366F" w:rsidRPr="0042238A" w:rsidRDefault="0039366F" w:rsidP="0039366F">
      <w:pPr>
        <w:tabs>
          <w:tab w:val="left" w:pos="1701"/>
          <w:tab w:val="left" w:pos="2268"/>
        </w:tabs>
        <w:spacing w:after="120"/>
        <w:ind w:left="3969" w:right="1134" w:hanging="567"/>
        <w:jc w:val="both"/>
        <w:rPr>
          <w:rFonts w:eastAsiaTheme="minorHAnsi"/>
          <w:bCs/>
          <w:color w:val="000000"/>
          <w:lang w:val="fr-FR" w:eastAsia="en-US"/>
        </w:rPr>
      </w:pPr>
      <w:r w:rsidRPr="0042238A">
        <w:rPr>
          <w:rFonts w:eastAsiaTheme="minorHAnsi"/>
          <w:bCs/>
          <w:color w:val="000000"/>
          <w:lang w:val="fr-FR" w:eastAsia="en-US"/>
        </w:rPr>
        <w:t>-</w:t>
      </w:r>
      <w:r w:rsidRPr="0042238A">
        <w:rPr>
          <w:rFonts w:eastAsiaTheme="minorHAnsi"/>
          <w:bCs/>
          <w:color w:val="000000"/>
          <w:lang w:val="fr-FR" w:eastAsia="en-US"/>
        </w:rPr>
        <w:tab/>
        <w:t>Analyse thermomécanique dynamique selon la norme ISO 6721-11:2019 ;</w:t>
      </w:r>
    </w:p>
    <w:p w14:paraId="3FDC493C" w14:textId="77777777" w:rsidR="0039366F" w:rsidRPr="0042238A" w:rsidRDefault="0039366F" w:rsidP="0039366F">
      <w:pPr>
        <w:tabs>
          <w:tab w:val="left" w:pos="1701"/>
          <w:tab w:val="left" w:pos="2268"/>
        </w:tabs>
        <w:spacing w:after="120"/>
        <w:ind w:left="3969" w:right="1134" w:hanging="567"/>
        <w:jc w:val="both"/>
        <w:rPr>
          <w:rFonts w:eastAsiaTheme="minorHAnsi"/>
          <w:bCs/>
          <w:color w:val="000000"/>
          <w:lang w:val="fr-FR" w:eastAsia="en-US"/>
        </w:rPr>
      </w:pPr>
      <w:r w:rsidRPr="0042238A">
        <w:rPr>
          <w:rFonts w:eastAsiaTheme="minorHAnsi"/>
          <w:bCs/>
          <w:color w:val="000000"/>
          <w:lang w:val="fr-FR" w:eastAsia="en-US"/>
        </w:rPr>
        <w:t>-</w:t>
      </w:r>
      <w:r w:rsidRPr="0042238A">
        <w:rPr>
          <w:rFonts w:eastAsiaTheme="minorHAnsi"/>
          <w:bCs/>
          <w:color w:val="000000"/>
          <w:lang w:val="fr-FR" w:eastAsia="en-US"/>
        </w:rPr>
        <w:tab/>
        <w:t xml:space="preserve">Test de </w:t>
      </w:r>
      <w:proofErr w:type="spellStart"/>
      <w:r w:rsidRPr="0042238A">
        <w:rPr>
          <w:rFonts w:eastAsiaTheme="minorHAnsi"/>
          <w:bCs/>
          <w:color w:val="000000"/>
          <w:lang w:val="fr-FR" w:eastAsia="en-US"/>
        </w:rPr>
        <w:t>Barcol</w:t>
      </w:r>
      <w:proofErr w:type="spellEnd"/>
      <w:r w:rsidRPr="0042238A">
        <w:rPr>
          <w:rFonts w:eastAsiaTheme="minorHAnsi"/>
          <w:bCs/>
          <w:color w:val="000000"/>
          <w:lang w:val="fr-FR" w:eastAsia="en-US"/>
        </w:rPr>
        <w:t xml:space="preserve"> selon la norme ASTM D2583:2013-03 ou EN 59:2016.</w:t>
      </w:r>
    </w:p>
    <w:p w14:paraId="00F26BED" w14:textId="77777777" w:rsidR="0039366F" w:rsidRPr="0042238A" w:rsidRDefault="0039366F" w:rsidP="0039366F">
      <w:pPr>
        <w:tabs>
          <w:tab w:val="left" w:pos="1701"/>
          <w:tab w:val="left" w:pos="2268"/>
          <w:tab w:val="left" w:pos="2835"/>
        </w:tabs>
        <w:spacing w:after="120"/>
        <w:ind w:left="1134" w:right="1134"/>
        <w:jc w:val="both"/>
        <w:rPr>
          <w:rFonts w:eastAsiaTheme="minorHAnsi"/>
          <w:bCs/>
          <w:lang w:val="fr-FR" w:eastAsia="en-US"/>
        </w:rPr>
      </w:pPr>
      <w:r w:rsidRPr="0042238A">
        <w:rPr>
          <w:rFonts w:eastAsiaTheme="minorHAnsi"/>
          <w:bCs/>
          <w:iCs/>
          <w:color w:val="000000"/>
          <w:spacing w:val="-3"/>
          <w:lang w:val="fr-FR" w:eastAsia="en-US"/>
        </w:rPr>
        <w:t>6.9.2.7.1</w:t>
      </w:r>
      <w:r w:rsidRPr="0042238A">
        <w:rPr>
          <w:rFonts w:eastAsiaTheme="minorHAnsi"/>
          <w:bCs/>
          <w:color w:val="000000"/>
          <w:spacing w:val="-3"/>
          <w:lang w:val="fr-FR" w:eastAsia="en-US"/>
        </w:rPr>
        <w:t>.3</w:t>
      </w:r>
      <w:r w:rsidRPr="0042238A">
        <w:rPr>
          <w:rFonts w:eastAsiaTheme="minorHAnsi"/>
          <w:b/>
          <w:bCs/>
          <w:color w:val="000000"/>
          <w:spacing w:val="-3"/>
          <w:lang w:val="fr-FR" w:eastAsia="en-US"/>
        </w:rPr>
        <w:tab/>
      </w:r>
      <w:r w:rsidRPr="0042238A">
        <w:rPr>
          <w:rFonts w:eastAsiaTheme="minorHAnsi"/>
          <w:lang w:val="fr-FR" w:eastAsia="en-US"/>
        </w:rPr>
        <w:t>La compatibilité chimique du revêtement et des surfaces de contact chimique de l’équipement de service avec les matières à transporter doit être démontrée par l’une des méthodes suivantes. La démonstration doit tenir compte de tous les aspects de la compatibilité des matériaux du réservoir et de ses équipements avec les matières à transporter, y compris la détérioration chimique du réservoir, le déclenchement de réactions critiques du contenu et les réactions dangereuses entre les deux.</w:t>
      </w:r>
    </w:p>
    <w:p w14:paraId="6F231080" w14:textId="77777777" w:rsidR="0039366F" w:rsidRPr="0042238A" w:rsidRDefault="0039366F" w:rsidP="0039366F">
      <w:pPr>
        <w:tabs>
          <w:tab w:val="left" w:pos="1701"/>
          <w:tab w:val="left" w:pos="2268"/>
        </w:tabs>
        <w:spacing w:after="120"/>
        <w:ind w:left="2835" w:right="1134" w:hanging="567"/>
        <w:jc w:val="both"/>
        <w:rPr>
          <w:rFonts w:eastAsiaTheme="minorHAnsi"/>
          <w:lang w:val="fr-FR" w:eastAsia="en-US"/>
        </w:rPr>
      </w:pPr>
      <w:r w:rsidRPr="0042238A">
        <w:rPr>
          <w:rFonts w:eastAsiaTheme="minorHAnsi"/>
          <w:lang w:val="fr-FR" w:eastAsia="en-US"/>
        </w:rPr>
        <w:t>a)</w:t>
      </w:r>
      <w:r w:rsidRPr="0042238A">
        <w:rPr>
          <w:rFonts w:eastAsiaTheme="minorHAnsi"/>
          <w:lang w:val="fr-FR" w:eastAsia="en-US"/>
        </w:rPr>
        <w:tab/>
        <w:t>Pour déterminer toute détérioration du réservoir, des échantillons représentatifs doivent être prélevés sur le réservoir, avec tout revêtement interne comportant des joints soudés, et soumis à l’épreuve de compatibilité chimique selon la norme EN 977:1997 pendant 1 000 heures à 50 °C ou à la température maximale à laquelle le transport d’une matière particulière est autorisé. Comparée à un échantillon non éprouvé, la perte de résistance et le module d’élasticité mesurés par les épreuves de résistance à la flexion selon la norme EN 978:1997 ne doivent pas dépasser 25 %. Les fissures, les bulles, les piqûres, la séparation des couches et des revêtements, ainsi que la rugosité, ne sont pas admissibles ;</w:t>
      </w:r>
    </w:p>
    <w:p w14:paraId="2F3D018D" w14:textId="77777777" w:rsidR="0039366F" w:rsidRPr="0042238A" w:rsidRDefault="0039366F" w:rsidP="0039366F">
      <w:pPr>
        <w:tabs>
          <w:tab w:val="left" w:pos="1701"/>
          <w:tab w:val="left" w:pos="2268"/>
        </w:tabs>
        <w:spacing w:after="120"/>
        <w:ind w:left="2835" w:right="1134" w:hanging="567"/>
        <w:jc w:val="both"/>
        <w:rPr>
          <w:rFonts w:eastAsiaTheme="minorHAnsi"/>
          <w:spacing w:val="-1"/>
          <w:lang w:val="fr-FR" w:eastAsia="en-US"/>
        </w:rPr>
      </w:pPr>
      <w:r w:rsidRPr="0042238A">
        <w:rPr>
          <w:rFonts w:eastAsiaTheme="minorHAnsi"/>
          <w:spacing w:val="-1"/>
          <w:lang w:val="fr-FR" w:eastAsia="en-US"/>
        </w:rPr>
        <w:t>b)</w:t>
      </w:r>
      <w:r w:rsidRPr="0042238A">
        <w:rPr>
          <w:rFonts w:eastAsiaTheme="minorHAnsi"/>
          <w:spacing w:val="-1"/>
          <w:lang w:val="fr-FR" w:eastAsia="en-US"/>
        </w:rPr>
        <w:tab/>
        <w:t>La compatibilité peut aussi être établie d’après les données certifiées et documentées résultant d’expériences positives de compatibilité entre les matières de remplissage et les matériaux du réservoir avec lesquels celles-ci entrent en contact à certaines températures et pendant un certain temps, ainsi que dans d’autres conditions de service ;</w:t>
      </w:r>
    </w:p>
    <w:p w14:paraId="527157C3" w14:textId="77777777" w:rsidR="0039366F" w:rsidRPr="0042238A" w:rsidRDefault="0039366F" w:rsidP="0039366F">
      <w:pPr>
        <w:tabs>
          <w:tab w:val="left" w:pos="1701"/>
          <w:tab w:val="left" w:pos="2268"/>
        </w:tabs>
        <w:spacing w:after="120"/>
        <w:ind w:left="2835" w:right="1134" w:hanging="567"/>
        <w:jc w:val="both"/>
        <w:rPr>
          <w:rFonts w:eastAsiaTheme="minorHAnsi"/>
          <w:bCs/>
          <w:lang w:val="fr-FR" w:eastAsia="en-US"/>
        </w:rPr>
      </w:pPr>
      <w:r w:rsidRPr="0042238A">
        <w:rPr>
          <w:rFonts w:eastAsiaTheme="minorHAnsi"/>
          <w:lang w:val="fr-FR" w:eastAsia="en-US"/>
        </w:rPr>
        <w:t>c)</w:t>
      </w:r>
      <w:r w:rsidRPr="0042238A">
        <w:rPr>
          <w:rFonts w:eastAsiaTheme="minorHAnsi"/>
          <w:lang w:val="fr-FR" w:eastAsia="en-US"/>
        </w:rPr>
        <w:tab/>
        <w:t>Peuvent aussi être utilisées les données publiées dans la documentation spécialisée, les normes ou autres sources, acceptables par l’autorité compétente ;</w:t>
      </w:r>
    </w:p>
    <w:p w14:paraId="6140B000" w14:textId="77777777" w:rsidR="0039366F" w:rsidRPr="0042238A" w:rsidRDefault="0039366F" w:rsidP="0039366F">
      <w:pPr>
        <w:tabs>
          <w:tab w:val="left" w:pos="1701"/>
          <w:tab w:val="left" w:pos="2268"/>
        </w:tabs>
        <w:spacing w:after="120"/>
        <w:ind w:left="2835" w:right="1134" w:hanging="567"/>
        <w:jc w:val="both"/>
        <w:rPr>
          <w:rFonts w:eastAsiaTheme="minorHAnsi"/>
          <w:color w:val="000000"/>
          <w:lang w:val="fr-FR" w:eastAsia="en-US"/>
        </w:rPr>
      </w:pPr>
      <w:r w:rsidRPr="0042238A">
        <w:rPr>
          <w:rFonts w:eastAsiaTheme="minorHAnsi"/>
          <w:lang w:val="fr-FR" w:eastAsia="en-US"/>
        </w:rPr>
        <w:t>d)</w:t>
      </w:r>
      <w:r w:rsidRPr="0042238A">
        <w:rPr>
          <w:rFonts w:eastAsiaTheme="minorHAnsi"/>
          <w:lang w:val="fr-FR" w:eastAsia="en-US"/>
        </w:rPr>
        <w:tab/>
        <w:t>D’autres méthodes d’évaluation de la compatibilité chimique peuvent être utilisées avec l’accord de l’autorité compétente.</w:t>
      </w:r>
    </w:p>
    <w:p w14:paraId="09ACD9E1" w14:textId="77777777" w:rsidR="0039366F" w:rsidRPr="0042238A" w:rsidRDefault="0039366F" w:rsidP="0039366F">
      <w:pPr>
        <w:tabs>
          <w:tab w:val="left" w:pos="1701"/>
          <w:tab w:val="left" w:pos="2268"/>
          <w:tab w:val="left" w:pos="2835"/>
        </w:tabs>
        <w:spacing w:after="120"/>
        <w:ind w:left="1134" w:right="1134"/>
        <w:jc w:val="both"/>
        <w:rPr>
          <w:rFonts w:eastAsiaTheme="minorHAnsi"/>
          <w:bCs/>
          <w:strike/>
          <w:lang w:val="fr-FR" w:eastAsia="ru-RU"/>
        </w:rPr>
      </w:pPr>
      <w:r w:rsidRPr="0042238A">
        <w:rPr>
          <w:rFonts w:eastAsiaTheme="minorHAnsi"/>
          <w:bCs/>
          <w:iCs/>
          <w:spacing w:val="-3"/>
          <w:lang w:val="fr-FR" w:eastAsia="ru-RU"/>
        </w:rPr>
        <w:t>6.9.2.7.1.4</w:t>
      </w:r>
      <w:r w:rsidRPr="0042238A">
        <w:rPr>
          <w:rFonts w:eastAsiaTheme="minorHAnsi"/>
          <w:b/>
          <w:bCs/>
          <w:iCs/>
          <w:spacing w:val="-3"/>
          <w:lang w:val="fr-FR" w:eastAsia="ru-RU"/>
        </w:rPr>
        <w:tab/>
      </w:r>
      <w:r w:rsidRPr="0042238A">
        <w:rPr>
          <w:rFonts w:eastAsiaTheme="minorHAnsi"/>
          <w:iCs/>
          <w:lang w:val="fr-FR" w:eastAsia="ru-RU"/>
        </w:rPr>
        <w:t xml:space="preserve">Épreuve de chute de bille selon la norme </w:t>
      </w:r>
      <w:r w:rsidRPr="0042238A">
        <w:rPr>
          <w:rFonts w:eastAsiaTheme="minorHAnsi"/>
          <w:lang w:val="fr-FR" w:eastAsia="en-US"/>
        </w:rPr>
        <w:t>EN 976-1:1997.</w:t>
      </w:r>
    </w:p>
    <w:p w14:paraId="472F331A" w14:textId="77777777" w:rsidR="0039366F" w:rsidRPr="0042238A" w:rsidRDefault="0039366F" w:rsidP="0039366F">
      <w:pPr>
        <w:tabs>
          <w:tab w:val="left" w:pos="1701"/>
          <w:tab w:val="left" w:pos="2268"/>
          <w:tab w:val="left" w:pos="2835"/>
        </w:tabs>
        <w:spacing w:after="120"/>
        <w:ind w:left="1134" w:right="1134"/>
        <w:jc w:val="both"/>
        <w:rPr>
          <w:rFonts w:eastAsiaTheme="minorHAnsi"/>
          <w:bCs/>
          <w:color w:val="000000"/>
          <w:lang w:val="fr-FR" w:eastAsia="en-US"/>
        </w:rPr>
      </w:pPr>
      <w:r w:rsidRPr="0042238A">
        <w:rPr>
          <w:rFonts w:eastAsiaTheme="minorHAnsi"/>
          <w:lang w:val="fr-FR" w:eastAsia="en-US"/>
        </w:rPr>
        <w:t>Le prototype doit être soumis à l’épreuve de chute de bille selon la norme EN 976</w:t>
      </w:r>
      <w:r w:rsidRPr="0042238A">
        <w:rPr>
          <w:rFonts w:eastAsiaTheme="minorHAnsi"/>
          <w:lang w:val="fr-FR" w:eastAsia="en-US"/>
        </w:rPr>
        <w:noBreakHyphen/>
        <w:t xml:space="preserve">1:1997, </w:t>
      </w:r>
      <w:r w:rsidRPr="00AB4C5F">
        <w:rPr>
          <w:rFonts w:eastAsiaTheme="minorHAnsi"/>
          <w:lang w:val="fr-FR" w:eastAsia="en-US"/>
        </w:rPr>
        <w:t>n</w:t>
      </w:r>
      <w:r w:rsidRPr="00AB4C5F">
        <w:rPr>
          <w:rFonts w:eastAsiaTheme="minorHAnsi"/>
          <w:vertAlign w:val="superscript"/>
          <w:lang w:val="fr-FR" w:eastAsia="en-US"/>
        </w:rPr>
        <w:t>o</w:t>
      </w:r>
      <w:r w:rsidRPr="00AB4C5F">
        <w:rPr>
          <w:rFonts w:eastAsiaTheme="minorHAnsi"/>
          <w:lang w:val="fr-FR" w:eastAsia="en-US"/>
        </w:rPr>
        <w:t> 6</w:t>
      </w:r>
      <w:r w:rsidRPr="0042238A">
        <w:rPr>
          <w:rFonts w:eastAsiaTheme="minorHAnsi"/>
          <w:lang w:val="fr-FR" w:eastAsia="en-US"/>
        </w:rPr>
        <w:t>.6. Aucun</w:t>
      </w:r>
      <w:r w:rsidRPr="0042238A">
        <w:rPr>
          <w:rFonts w:eastAsiaTheme="minorHAnsi"/>
          <w:bCs/>
          <w:color w:val="000000"/>
          <w:lang w:val="fr-FR" w:eastAsia="en-US"/>
        </w:rPr>
        <w:t xml:space="preserve"> dégât ne doit être visible ni à l’intérieur ni à l’extérieur de la citerne.</w:t>
      </w:r>
    </w:p>
    <w:p w14:paraId="78C84648" w14:textId="77777777" w:rsidR="0039366F" w:rsidRPr="0042238A" w:rsidRDefault="0039366F" w:rsidP="0039366F">
      <w:pPr>
        <w:tabs>
          <w:tab w:val="left" w:pos="1701"/>
          <w:tab w:val="left" w:pos="2268"/>
          <w:tab w:val="left" w:pos="2835"/>
        </w:tabs>
        <w:spacing w:after="120"/>
        <w:ind w:left="1134" w:right="1134"/>
        <w:jc w:val="both"/>
        <w:rPr>
          <w:rFonts w:eastAsiaTheme="minorHAnsi"/>
          <w:b/>
          <w:lang w:val="fr-FR" w:eastAsia="ru-RU"/>
        </w:rPr>
      </w:pPr>
      <w:r w:rsidRPr="0042238A">
        <w:rPr>
          <w:rFonts w:eastAsiaTheme="minorHAnsi"/>
          <w:iCs/>
          <w:spacing w:val="-3"/>
          <w:lang w:val="fr-FR" w:eastAsia="ru-RU"/>
        </w:rPr>
        <w:lastRenderedPageBreak/>
        <w:t>6.9.2.7.1.5</w:t>
      </w:r>
      <w:r w:rsidRPr="0042238A">
        <w:rPr>
          <w:rFonts w:eastAsiaTheme="minorHAnsi"/>
          <w:b/>
          <w:iCs/>
          <w:spacing w:val="-3"/>
          <w:lang w:val="fr-FR" w:eastAsia="ru-RU"/>
        </w:rPr>
        <w:tab/>
      </w:r>
      <w:r w:rsidRPr="0042238A">
        <w:rPr>
          <w:rFonts w:eastAsiaTheme="minorHAnsi"/>
          <w:lang w:val="fr-FR" w:eastAsia="en-US"/>
        </w:rPr>
        <w:t>Épreuve de résistance au feu.</w:t>
      </w:r>
    </w:p>
    <w:p w14:paraId="363D3031"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iCs/>
          <w:color w:val="000000"/>
          <w:spacing w:val="-6"/>
          <w:lang w:val="fr-FR" w:eastAsia="en-US"/>
        </w:rPr>
        <w:t>6.9.2.7.1.5.1</w:t>
      </w:r>
      <w:r w:rsidRPr="0042238A">
        <w:rPr>
          <w:rFonts w:eastAsiaTheme="minorHAnsi"/>
          <w:b/>
          <w:bCs/>
          <w:iCs/>
          <w:color w:val="000000"/>
          <w:spacing w:val="-4"/>
          <w:lang w:val="fr-FR" w:eastAsia="en-US"/>
        </w:rPr>
        <w:tab/>
      </w:r>
      <w:r w:rsidRPr="0042238A">
        <w:rPr>
          <w:rFonts w:eastAsiaTheme="minorHAnsi"/>
          <w:lang w:val="fr-FR" w:eastAsia="en-US"/>
        </w:rPr>
        <w:t xml:space="preserve">Un prototype de citerne représentatif, muni de ses équipements de service et de structure, et rempli d’eau à 80 % de sa contenance maximum, doit être exposé pendant 30 minutes à une immersion totale dans les flammes, provenant d’un feu ouvert dans un bac rempli de fioul domestique ou de tout autre type de feu ayant le même effet. Le feu doit être équivalent à un feu théorique avec une température de flamme de </w:t>
      </w:r>
      <w:r w:rsidRPr="0042238A">
        <w:rPr>
          <w:rFonts w:eastAsiaTheme="minorHAnsi"/>
          <w:bCs/>
          <w:lang w:val="fr-FR" w:eastAsia="en-US"/>
        </w:rPr>
        <w:t>800 °C, une émissivité de 0,9 et, pour la citerne, un coefficient de transmission thermique de 10 W/(m²K) et un pouvoir d’absorption de la surface de 0,8. Un flux thermique minimal net de 75 kW/m² doit être étalonné conformément à la norme ISO 21843:2018.</w:t>
      </w:r>
      <w:r w:rsidRPr="0042238A">
        <w:rPr>
          <w:rFonts w:eastAsiaTheme="minorHAnsi"/>
          <w:lang w:val="fr-FR" w:eastAsia="en-US"/>
        </w:rPr>
        <w:t xml:space="preserve"> Les dimensions du bac doivent dépasser celles de la citerne d’au moins 50 cm de chaque côté et la distance entre le niveau du combustible et la citerne doit être comprise entre 50 cm et 80 cm. Le reste de la citerne se trouvant sous le niveau du liquide, notamment les ouvertures et les fermetures, doit rester étanche à l’exception de quelques gouttes.</w:t>
      </w:r>
    </w:p>
    <w:p w14:paraId="646EA157" w14:textId="77777777" w:rsidR="0039366F" w:rsidRPr="0042238A" w:rsidRDefault="0039366F" w:rsidP="0039366F">
      <w:pPr>
        <w:keepNext/>
        <w:keepLines/>
        <w:tabs>
          <w:tab w:val="right" w:pos="851"/>
        </w:tabs>
        <w:spacing w:before="240" w:after="120" w:line="240" w:lineRule="exact"/>
        <w:ind w:left="2268" w:right="1134" w:hanging="1134"/>
        <w:outlineLvl w:val="3"/>
        <w:rPr>
          <w:rFonts w:eastAsiaTheme="minorHAnsi"/>
          <w:b/>
          <w:i/>
          <w:iCs/>
          <w:lang w:val="fr-FR" w:eastAsia="en-US"/>
        </w:rPr>
      </w:pPr>
      <w:r w:rsidRPr="0042238A">
        <w:rPr>
          <w:rFonts w:eastAsiaTheme="minorHAnsi"/>
          <w:b/>
          <w:lang w:val="fr-FR" w:eastAsia="en-US"/>
        </w:rPr>
        <w:t>6.9.2.8</w:t>
      </w:r>
      <w:r w:rsidRPr="0042238A">
        <w:rPr>
          <w:rFonts w:eastAsiaTheme="minorHAnsi"/>
          <w:b/>
          <w:lang w:val="fr-FR" w:eastAsia="en-US"/>
        </w:rPr>
        <w:tab/>
      </w:r>
      <w:r w:rsidRPr="0042238A">
        <w:rPr>
          <w:rFonts w:eastAsiaTheme="minorHAnsi"/>
          <w:b/>
          <w:i/>
          <w:iCs/>
          <w:lang w:val="fr-FR" w:eastAsia="en-US"/>
        </w:rPr>
        <w:tab/>
        <w:t>Contrôles et épreuves</w:t>
      </w:r>
    </w:p>
    <w:p w14:paraId="033062C5"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6.9.2.8.1</w:t>
      </w:r>
      <w:r w:rsidRPr="0042238A">
        <w:rPr>
          <w:rFonts w:eastAsiaTheme="minorHAnsi"/>
          <w:b/>
          <w:lang w:val="fr-FR" w:eastAsia="en-US"/>
        </w:rPr>
        <w:tab/>
      </w:r>
      <w:r w:rsidRPr="0042238A">
        <w:rPr>
          <w:rFonts w:eastAsiaTheme="minorHAnsi"/>
          <w:bCs/>
          <w:lang w:val="fr-FR" w:eastAsia="en-US"/>
        </w:rPr>
        <w:t>Les</w:t>
      </w:r>
      <w:r w:rsidRPr="0042238A">
        <w:rPr>
          <w:rFonts w:eastAsiaTheme="minorHAnsi"/>
          <w:lang w:val="fr-FR" w:eastAsia="en-US"/>
        </w:rPr>
        <w:t xml:space="preserve"> contrôles et épreuves des citernes en PRF doivent être effectués conformément aux dispositions du 6.7.2.19. En outre, les revêtements thermoplastiques avec des joints soudés doivent être soumis à l’épreuve à l’étincelle selon une norme pertinente, après des épreuves de pression effectuées conformément aux contrôles périodiques prescrits au 6.7.2.19.4.</w:t>
      </w:r>
    </w:p>
    <w:p w14:paraId="7249E313"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6.9.2.8.2</w:t>
      </w:r>
      <w:r w:rsidRPr="0042238A">
        <w:rPr>
          <w:rFonts w:eastAsiaTheme="minorHAnsi"/>
          <w:lang w:val="fr-FR" w:eastAsia="en-US"/>
        </w:rPr>
        <w:tab/>
        <w:t>En outre, les contrôles initiaux et périodiques doivent être effectués en application du programme d’inspection de la durée de service et de toute méthode d’inspection associée selon le 6.9.2.6.3.</w:t>
      </w:r>
    </w:p>
    <w:p w14:paraId="179942FF"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6.9.2.8.3</w:t>
      </w:r>
      <w:r w:rsidRPr="0042238A">
        <w:rPr>
          <w:rFonts w:eastAsiaTheme="minorHAnsi"/>
          <w:lang w:val="fr-FR" w:eastAsia="en-US"/>
        </w:rPr>
        <w:tab/>
        <w:t>Le contrôle et l’épreuve initiaux visent à vérifier que la construction de la citerne est conforme au système de gestion de la qualité prescrit au 6.9.2.2.2.</w:t>
      </w:r>
    </w:p>
    <w:p w14:paraId="6DABFB30"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6.9.2.8.4</w:t>
      </w:r>
      <w:r w:rsidRPr="0042238A">
        <w:rPr>
          <w:rFonts w:eastAsiaTheme="minorHAnsi"/>
          <w:lang w:val="fr-FR" w:eastAsia="en-US"/>
        </w:rPr>
        <w:tab/>
        <w:t>De plus, pendant le contrôle du réservoir, la position des zones chauffées par les éléments chauffants doit être indiquée ou marquée, apparaître sur les dessins de conception ou être rendue visible au moyen d’une technique appropriée (par exemple, l’infrarouge). L’examen du réservoir doit prendre en compte les effets de la surchauffe, de la corrosion, de l’érosion, de la surpression et de la surcharge mécanique.</w:t>
      </w:r>
    </w:p>
    <w:p w14:paraId="79D0565F" w14:textId="77777777" w:rsidR="0039366F" w:rsidRPr="0042238A" w:rsidRDefault="0039366F" w:rsidP="0039366F">
      <w:pPr>
        <w:keepNext/>
        <w:keepLines/>
        <w:tabs>
          <w:tab w:val="right" w:pos="851"/>
        </w:tabs>
        <w:spacing w:before="240" w:after="120" w:line="240" w:lineRule="exact"/>
        <w:ind w:left="2268" w:right="1134" w:hanging="1134"/>
        <w:outlineLvl w:val="3"/>
        <w:rPr>
          <w:rFonts w:eastAsiaTheme="minorHAnsi"/>
          <w:b/>
          <w:i/>
          <w:iCs/>
          <w:lang w:val="fr-FR" w:eastAsia="en-US"/>
        </w:rPr>
      </w:pPr>
      <w:r w:rsidRPr="0042238A">
        <w:rPr>
          <w:rFonts w:eastAsiaTheme="minorHAnsi"/>
          <w:b/>
          <w:lang w:val="fr-FR" w:eastAsia="en-US"/>
        </w:rPr>
        <w:t>6.9.2.9</w:t>
      </w:r>
      <w:r w:rsidRPr="0042238A">
        <w:rPr>
          <w:rFonts w:eastAsiaTheme="minorHAnsi"/>
          <w:b/>
          <w:lang w:val="fr-FR" w:eastAsia="en-US"/>
        </w:rPr>
        <w:tab/>
      </w:r>
      <w:r w:rsidRPr="0042238A">
        <w:rPr>
          <w:rFonts w:eastAsiaTheme="minorHAnsi"/>
          <w:b/>
          <w:i/>
          <w:iCs/>
          <w:lang w:val="fr-FR" w:eastAsia="en-US"/>
        </w:rPr>
        <w:t xml:space="preserve">Conservation des échantillons </w:t>
      </w:r>
    </w:p>
    <w:p w14:paraId="488E771E"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lang w:val="fr-FR" w:eastAsia="en-US"/>
        </w:rPr>
        <w:t>Des échantillons de réservoir (par exemple, par découpe d’un trou d’homme) de chaque citerne construite doivent être conservés pour de futurs contrôles, pendant une période de cinq ans à partir de la date du contrôle et de l’épreuve initiaux et jusqu’à l’achèvement satisfaisant du contrôle périodique quinquennale requis.</w:t>
      </w:r>
    </w:p>
    <w:p w14:paraId="1C7C9670" w14:textId="77777777" w:rsidR="0039366F" w:rsidRPr="0042238A" w:rsidRDefault="0039366F" w:rsidP="0039366F">
      <w:pPr>
        <w:keepNext/>
        <w:keepLines/>
        <w:tabs>
          <w:tab w:val="right" w:pos="851"/>
        </w:tabs>
        <w:spacing w:before="240" w:after="120" w:line="240" w:lineRule="exact"/>
        <w:ind w:left="2268" w:right="1134" w:hanging="1134"/>
        <w:outlineLvl w:val="3"/>
        <w:rPr>
          <w:rFonts w:eastAsiaTheme="minorHAnsi"/>
          <w:b/>
          <w:lang w:val="fr-FR" w:eastAsia="ru-RU"/>
        </w:rPr>
      </w:pPr>
      <w:r w:rsidRPr="0042238A">
        <w:rPr>
          <w:rFonts w:eastAsiaTheme="minorHAnsi"/>
          <w:b/>
          <w:lang w:val="fr-FR" w:eastAsia="ru-RU"/>
        </w:rPr>
        <w:t>6.9.2.9.10</w:t>
      </w:r>
      <w:r w:rsidRPr="0042238A">
        <w:rPr>
          <w:rFonts w:eastAsiaTheme="minorHAnsi"/>
          <w:b/>
          <w:lang w:val="fr-FR" w:eastAsia="ru-RU"/>
        </w:rPr>
        <w:tab/>
      </w:r>
      <w:r w:rsidRPr="0042238A">
        <w:rPr>
          <w:rFonts w:eastAsiaTheme="minorHAnsi"/>
          <w:b/>
          <w:i/>
          <w:iCs/>
          <w:lang w:val="fr-FR" w:eastAsia="ru-RU"/>
        </w:rPr>
        <w:t>Marquage</w:t>
      </w:r>
    </w:p>
    <w:p w14:paraId="72A406AC" w14:textId="77777777" w:rsidR="0039366F" w:rsidRPr="0042238A" w:rsidRDefault="0039366F" w:rsidP="0039366F">
      <w:pPr>
        <w:tabs>
          <w:tab w:val="left" w:pos="1701"/>
          <w:tab w:val="left" w:pos="2268"/>
          <w:tab w:val="left" w:pos="2835"/>
        </w:tabs>
        <w:spacing w:after="120"/>
        <w:ind w:left="1134" w:right="1134"/>
        <w:jc w:val="both"/>
        <w:rPr>
          <w:rFonts w:eastAsiaTheme="minorHAnsi"/>
          <w:color w:val="000000"/>
          <w:lang w:val="fr-FR" w:eastAsia="en-US"/>
        </w:rPr>
      </w:pPr>
      <w:r w:rsidRPr="0042238A">
        <w:rPr>
          <w:rFonts w:eastAsiaTheme="minorHAnsi"/>
          <w:bCs/>
          <w:iCs/>
          <w:color w:val="000000"/>
          <w:lang w:val="fr-FR" w:eastAsia="en-US"/>
        </w:rPr>
        <w:t>6.9.2.10.1</w:t>
      </w:r>
      <w:r w:rsidRPr="0042238A">
        <w:rPr>
          <w:rFonts w:eastAsiaTheme="minorHAnsi"/>
          <w:b/>
          <w:bCs/>
          <w:iCs/>
          <w:color w:val="000000"/>
          <w:lang w:val="fr-FR" w:eastAsia="en-US"/>
        </w:rPr>
        <w:tab/>
      </w:r>
      <w:r w:rsidRPr="0042238A">
        <w:rPr>
          <w:rFonts w:eastAsiaTheme="minorHAnsi"/>
          <w:lang w:val="fr-FR" w:eastAsia="en-US"/>
        </w:rPr>
        <w:t>Les prescriptions du 6.7.2.20.1 s’appliquent aux citernes mobiles avec un réservoir en PRF, à l’exception de l’alinéa f) ii).</w:t>
      </w:r>
    </w:p>
    <w:p w14:paraId="19A0F956" w14:textId="77777777" w:rsidR="0039366F" w:rsidRPr="0042238A" w:rsidRDefault="0039366F" w:rsidP="0039366F">
      <w:pPr>
        <w:tabs>
          <w:tab w:val="left" w:pos="1701"/>
          <w:tab w:val="left" w:pos="2268"/>
          <w:tab w:val="left" w:pos="2835"/>
        </w:tabs>
        <w:spacing w:after="120"/>
        <w:ind w:left="1134" w:right="1134"/>
        <w:jc w:val="both"/>
        <w:rPr>
          <w:rFonts w:eastAsiaTheme="minorHAnsi"/>
          <w:strike/>
          <w:lang w:val="fr-FR" w:eastAsia="en-US"/>
        </w:rPr>
      </w:pPr>
      <w:r w:rsidRPr="0042238A">
        <w:rPr>
          <w:rFonts w:eastAsiaTheme="minorHAnsi"/>
          <w:bCs/>
          <w:iCs/>
          <w:color w:val="000000"/>
          <w:lang w:val="fr-FR" w:eastAsia="en-US"/>
        </w:rPr>
        <w:t>6.9.2.10.2</w:t>
      </w:r>
      <w:r w:rsidRPr="0042238A">
        <w:rPr>
          <w:rFonts w:eastAsiaTheme="minorHAnsi"/>
          <w:b/>
          <w:bCs/>
          <w:iCs/>
          <w:color w:val="000000"/>
          <w:lang w:val="fr-FR" w:eastAsia="en-US"/>
        </w:rPr>
        <w:tab/>
      </w:r>
      <w:r w:rsidRPr="0042238A">
        <w:rPr>
          <w:rFonts w:eastAsiaTheme="minorHAnsi"/>
          <w:lang w:val="fr-FR" w:eastAsia="en-US"/>
        </w:rPr>
        <w:t xml:space="preserve">Les informations à fournir conformément au 6.7.2.20.1 f) i) sont les suivantes : “Matière de la structure du réservoir : matière plastique renforcée de </w:t>
      </w:r>
      <w:proofErr w:type="spellStart"/>
      <w:r w:rsidRPr="0042238A">
        <w:rPr>
          <w:rFonts w:eastAsiaTheme="minorHAnsi"/>
          <w:lang w:val="fr-FR" w:eastAsia="en-US"/>
        </w:rPr>
        <w:t>fibresˮ</w:t>
      </w:r>
      <w:proofErr w:type="spellEnd"/>
      <w:r w:rsidRPr="0042238A">
        <w:rPr>
          <w:rFonts w:eastAsiaTheme="minorHAnsi"/>
          <w:lang w:val="fr-FR" w:eastAsia="en-US"/>
        </w:rPr>
        <w:t>, le type de fibre de renforcement (par exemple, “Renforcement : verre </w:t>
      </w:r>
      <w:proofErr w:type="spellStart"/>
      <w:r w:rsidRPr="0042238A">
        <w:rPr>
          <w:rFonts w:eastAsiaTheme="minorHAnsi"/>
          <w:lang w:val="fr-FR" w:eastAsia="en-US"/>
        </w:rPr>
        <w:t>Eˮ</w:t>
      </w:r>
      <w:proofErr w:type="spellEnd"/>
      <w:r w:rsidRPr="0042238A">
        <w:rPr>
          <w:rFonts w:eastAsiaTheme="minorHAnsi"/>
          <w:lang w:val="fr-FR" w:eastAsia="en-US"/>
        </w:rPr>
        <w:t xml:space="preserve">), et le type de résine (par exemple, “Résine </w:t>
      </w:r>
      <w:proofErr w:type="spellStart"/>
      <w:r w:rsidRPr="0042238A">
        <w:rPr>
          <w:rFonts w:eastAsiaTheme="minorHAnsi"/>
          <w:lang w:val="fr-FR" w:eastAsia="en-US"/>
        </w:rPr>
        <w:t>vinylesterˮ</w:t>
      </w:r>
      <w:proofErr w:type="spellEnd"/>
      <w:r w:rsidRPr="0042238A">
        <w:rPr>
          <w:rFonts w:eastAsiaTheme="minorHAnsi"/>
          <w:lang w:val="fr-FR" w:eastAsia="en-US"/>
        </w:rPr>
        <w:t>).</w:t>
      </w:r>
    </w:p>
    <w:p w14:paraId="4F8A0DAA" w14:textId="77777777" w:rsidR="0039366F" w:rsidRPr="0042238A" w:rsidRDefault="0039366F" w:rsidP="0039366F">
      <w:pPr>
        <w:tabs>
          <w:tab w:val="left" w:pos="1701"/>
          <w:tab w:val="left" w:pos="2268"/>
          <w:tab w:val="left" w:pos="2835"/>
        </w:tabs>
        <w:spacing w:after="120"/>
        <w:ind w:left="1134" w:right="1134"/>
        <w:jc w:val="both"/>
        <w:rPr>
          <w:rFonts w:eastAsiaTheme="minorHAnsi"/>
          <w:lang w:val="fr-FR" w:eastAsia="en-US"/>
        </w:rPr>
      </w:pPr>
      <w:r w:rsidRPr="0042238A">
        <w:rPr>
          <w:rFonts w:eastAsiaTheme="minorHAnsi"/>
          <w:bCs/>
          <w:iCs/>
          <w:lang w:val="fr-FR" w:eastAsia="ru-RU"/>
        </w:rPr>
        <w:t>6.9.2.10</w:t>
      </w:r>
      <w:r w:rsidRPr="0042238A">
        <w:rPr>
          <w:rFonts w:eastAsiaTheme="minorHAnsi"/>
          <w:lang w:val="fr-FR" w:eastAsia="ru-RU"/>
        </w:rPr>
        <w:t>.3</w:t>
      </w:r>
      <w:r w:rsidRPr="0042238A">
        <w:rPr>
          <w:rFonts w:eastAsiaTheme="minorHAnsi"/>
          <w:b/>
          <w:lang w:val="fr-FR" w:eastAsia="ru-RU"/>
        </w:rPr>
        <w:tab/>
      </w:r>
      <w:r w:rsidRPr="0042238A">
        <w:rPr>
          <w:rFonts w:eastAsiaTheme="minorHAnsi"/>
          <w:lang w:val="fr-FR" w:eastAsia="en-US"/>
        </w:rPr>
        <w:t>Les prescriptions du 6.7.2.20.2 s’appliquent aux citernes mobiles avec un réservoir en PRF. ».</w:t>
      </w:r>
    </w:p>
    <w:p w14:paraId="03976F65" w14:textId="77777777" w:rsidR="00CC7A90" w:rsidRPr="0042238A" w:rsidRDefault="00CC7A90" w:rsidP="00CC7A90">
      <w:pPr>
        <w:pStyle w:val="H1G"/>
        <w:rPr>
          <w:lang w:val="fr-FR"/>
        </w:rPr>
      </w:pPr>
      <w:r w:rsidRPr="0042238A">
        <w:rPr>
          <w:lang w:val="fr-FR"/>
        </w:rPr>
        <w:tab/>
      </w:r>
      <w:r w:rsidRPr="0042238A">
        <w:rPr>
          <w:lang w:val="fr-FR"/>
        </w:rPr>
        <w:tab/>
        <w:t>Chapitre 7.1</w:t>
      </w:r>
    </w:p>
    <w:p w14:paraId="639925DE" w14:textId="77777777" w:rsidR="00CC7A90" w:rsidRPr="0042238A" w:rsidRDefault="00CC7A90" w:rsidP="00CC7A90">
      <w:pPr>
        <w:pStyle w:val="SingleTxtG"/>
        <w:spacing w:before="120"/>
        <w:ind w:left="2268" w:hanging="1134"/>
        <w:rPr>
          <w:lang w:val="fr-FR"/>
        </w:rPr>
      </w:pPr>
      <w:r w:rsidRPr="0042238A">
        <w:rPr>
          <w:lang w:val="fr-FR"/>
        </w:rPr>
        <w:t>7.1.1.6</w:t>
      </w:r>
      <w:r w:rsidRPr="0042238A">
        <w:rPr>
          <w:lang w:val="fr-FR"/>
        </w:rPr>
        <w:tab/>
      </w:r>
      <w:r w:rsidRPr="0042238A">
        <w:rPr>
          <w:lang w:val="fr-FR"/>
        </w:rPr>
        <w:tab/>
        <w:t>La première modification ne s’applique pas au texte français. Après le paragraphe existant, ajouter le nouveau texte suivant :</w:t>
      </w:r>
    </w:p>
    <w:p w14:paraId="054EADFD" w14:textId="77777777" w:rsidR="00CC7A90" w:rsidRPr="0042238A" w:rsidRDefault="00CC7A90" w:rsidP="00CC7A90">
      <w:pPr>
        <w:pStyle w:val="SingleTxtG"/>
        <w:rPr>
          <w:lang w:val="fr-FR"/>
        </w:rPr>
      </w:pPr>
      <w:r w:rsidRPr="0042238A">
        <w:rPr>
          <w:lang w:val="fr-FR"/>
        </w:rPr>
        <w:t xml:space="preserve">« L’engin de transport doit être examiné afin de s’assurer qu’il est structurellement propre à l’emploi, qu’il est exempt de résidus incompatibles avec le chargement, que le plancher, les </w:t>
      </w:r>
      <w:r w:rsidRPr="0042238A">
        <w:rPr>
          <w:lang w:val="fr-FR"/>
        </w:rPr>
        <w:lastRenderedPageBreak/>
        <w:t>parois intérieures et le plafond, le cas échéant, ne présentent pas de saillies susceptibles d’affecter le chargement qui se trouve à l’intérieur et que les conteneurs sont exempts de dommages susceptibles d’affecter l’étanchéité aux intempéries du conteneur, lorsque cela est exigé.</w:t>
      </w:r>
    </w:p>
    <w:p w14:paraId="36756B73" w14:textId="11E65587" w:rsidR="00CC7A90" w:rsidRDefault="00CC7A90" w:rsidP="00CC7A90">
      <w:pPr>
        <w:pStyle w:val="SingleTxtG"/>
        <w:rPr>
          <w:lang w:val="fr-FR"/>
        </w:rPr>
      </w:pPr>
      <w:r w:rsidRPr="0042238A">
        <w:rPr>
          <w:lang w:val="fr-FR"/>
        </w:rPr>
        <w:t>L’expression « structurellement propre à l’emploi » s’entend d’un engin de transport qui ne présente pas de défauts importants affectant ses éléments structuraux. Pour les engins de transport multimodaux, les éléments structuraux sont notamment les longerons supérieurs et inférieurs, les traverses supérieures et inférieures, les montants d’angles et les pièces de coin et, pour les conteneurs, les seuils et linteaux de portes et les traverses de plancher. On entend par « défauts importants » :</w:t>
      </w:r>
    </w:p>
    <w:p w14:paraId="51A7D884" w14:textId="6F5D75E6" w:rsidR="00CC7A90" w:rsidRDefault="00CC7A90" w:rsidP="00CC7A90">
      <w:pPr>
        <w:pStyle w:val="SingleTxtG"/>
        <w:rPr>
          <w:lang w:val="fr-FR"/>
        </w:rPr>
      </w:pPr>
      <w:r w:rsidRPr="0042238A">
        <w:rPr>
          <w:lang w:val="fr-FR"/>
        </w:rPr>
        <w:t>a)</w:t>
      </w:r>
      <w:r w:rsidRPr="0042238A">
        <w:rPr>
          <w:lang w:val="fr-FR"/>
        </w:rPr>
        <w:tab/>
        <w:t>Les pliures, fissures ou ruptures dans un élément structural ou de soutien</w:t>
      </w:r>
      <w:r w:rsidR="00B9002B">
        <w:rPr>
          <w:lang w:val="fr-FR"/>
        </w:rPr>
        <w:t>, ou</w:t>
      </w:r>
      <w:r w:rsidRPr="0042238A">
        <w:rPr>
          <w:lang w:val="fr-FR"/>
        </w:rPr>
        <w:t xml:space="preserve"> tout </w:t>
      </w:r>
      <w:r w:rsidR="009F215D">
        <w:rPr>
          <w:lang w:val="fr-FR"/>
        </w:rPr>
        <w:t>ou</w:t>
      </w:r>
      <w:r w:rsidR="009F215D" w:rsidRPr="0042238A">
        <w:rPr>
          <w:lang w:val="fr-FR"/>
        </w:rPr>
        <w:t xml:space="preserve"> tout dommage causé à l’équipement de service ou au matériel d’exploitation</w:t>
      </w:r>
      <w:r w:rsidR="00A22BF7">
        <w:rPr>
          <w:lang w:val="fr-FR"/>
        </w:rPr>
        <w:t>,</w:t>
      </w:r>
      <w:r w:rsidR="009F215D" w:rsidRPr="0042238A">
        <w:rPr>
          <w:lang w:val="fr-FR"/>
        </w:rPr>
        <w:t xml:space="preserve"> qui affecte</w:t>
      </w:r>
      <w:r w:rsidR="009F215D">
        <w:rPr>
          <w:lang w:val="fr-FR"/>
        </w:rPr>
        <w:t>nt</w:t>
      </w:r>
      <w:r w:rsidR="009F215D" w:rsidRPr="0042238A">
        <w:rPr>
          <w:lang w:val="fr-FR"/>
        </w:rPr>
        <w:t xml:space="preserve"> l’intégrité du </w:t>
      </w:r>
      <w:r w:rsidR="009F215D" w:rsidRPr="009F215D">
        <w:rPr>
          <w:lang w:val="fr-FR"/>
        </w:rPr>
        <w:t>conteneur</w:t>
      </w:r>
      <w:r w:rsidRPr="0042238A">
        <w:rPr>
          <w:lang w:val="fr-FR"/>
        </w:rPr>
        <w:t xml:space="preserve"> ;</w:t>
      </w:r>
    </w:p>
    <w:p w14:paraId="2F2A3392" w14:textId="77777777" w:rsidR="00CC7A90" w:rsidRPr="0042238A" w:rsidRDefault="00CC7A90" w:rsidP="00CC7A90">
      <w:pPr>
        <w:pStyle w:val="SingleTxtG"/>
        <w:rPr>
          <w:lang w:val="fr-FR"/>
        </w:rPr>
      </w:pPr>
      <w:r w:rsidRPr="0042238A">
        <w:rPr>
          <w:lang w:val="fr-FR"/>
        </w:rPr>
        <w:t>b)</w:t>
      </w:r>
      <w:r w:rsidRPr="0042238A">
        <w:rPr>
          <w:lang w:val="fr-FR"/>
        </w:rPr>
        <w:tab/>
        <w:t>Tout désalignement d’ensemble ou tout dommage causé aux attaches de levage ou à l’interface de l’équipement de manutention suffisant pour empêcher le positionnement correct du matériel de manutention, le montage et l’arrimage sur les châssis, véhicules routiers ou wagons, ou l’insertion dans les cellules du navire, et le cas échéant ;</w:t>
      </w:r>
    </w:p>
    <w:p w14:paraId="010925EF" w14:textId="77777777" w:rsidR="00CC7A90" w:rsidRPr="0042238A" w:rsidRDefault="00CC7A90" w:rsidP="00CC7A90">
      <w:pPr>
        <w:pStyle w:val="SingleTxtG"/>
        <w:rPr>
          <w:lang w:val="fr-FR"/>
        </w:rPr>
      </w:pPr>
      <w:r w:rsidRPr="0042238A">
        <w:rPr>
          <w:lang w:val="fr-FR"/>
        </w:rPr>
        <w:t>c)</w:t>
      </w:r>
      <w:r w:rsidRPr="0042238A">
        <w:rPr>
          <w:lang w:val="fr-FR"/>
        </w:rPr>
        <w:tab/>
        <w:t>Les charnières de porte, joints de porte et ferrures grippés, tordus, cassés, hors d’usage ou manquants.</w:t>
      </w:r>
    </w:p>
    <w:p w14:paraId="5700F6A6" w14:textId="77777777" w:rsidR="00CC7A90" w:rsidRPr="0042238A" w:rsidRDefault="00CC7A90" w:rsidP="00CC7A90">
      <w:pPr>
        <w:pStyle w:val="SingleTxtG"/>
        <w:rPr>
          <w:i/>
          <w:iCs/>
          <w:lang w:val="fr-FR"/>
        </w:rPr>
      </w:pPr>
      <w:r w:rsidRPr="0042238A">
        <w:rPr>
          <w:b/>
          <w:bCs/>
          <w:i/>
          <w:iCs/>
          <w:lang w:val="fr-FR"/>
        </w:rPr>
        <w:t>NOTA :</w:t>
      </w:r>
      <w:r w:rsidRPr="0042238A">
        <w:rPr>
          <w:i/>
          <w:iCs/>
          <w:lang w:val="fr-FR"/>
        </w:rPr>
        <w:tab/>
        <w:t>Pour le remplissage des citernes mobiles et des CGEM, voir le chapitre 4.2. Pour le remplissage des conteneurs pour vrac, voir le chapitre 4.3. »</w:t>
      </w:r>
    </w:p>
    <w:p w14:paraId="21157CD4" w14:textId="33B9C35E" w:rsidR="00CC7A90" w:rsidRPr="00AB4C5F" w:rsidRDefault="004F5AE9" w:rsidP="00CC7A90">
      <w:pPr>
        <w:pStyle w:val="SingleTxtG"/>
        <w:spacing w:before="120"/>
        <w:ind w:left="2268" w:hanging="1134"/>
        <w:rPr>
          <w:color w:val="333333"/>
          <w:shd w:val="clear" w:color="auto" w:fill="FFFFFF"/>
          <w:lang w:val="fr-FR"/>
        </w:rPr>
      </w:pPr>
      <w:r w:rsidRPr="00AB4C5F">
        <w:rPr>
          <w:color w:val="333333"/>
          <w:shd w:val="clear" w:color="auto" w:fill="FFFFFF"/>
          <w:lang w:val="fr-FR"/>
        </w:rPr>
        <w:t>7.1.3.3.1</w:t>
      </w:r>
      <w:r w:rsidRPr="00AB4C5F">
        <w:rPr>
          <w:color w:val="333333"/>
          <w:shd w:val="clear" w:color="auto" w:fill="FFFFFF"/>
          <w:lang w:val="fr-FR"/>
        </w:rPr>
        <w:tab/>
      </w:r>
      <w:r w:rsidR="00CC7A90" w:rsidRPr="00AB4C5F">
        <w:rPr>
          <w:color w:val="333333"/>
          <w:shd w:val="clear" w:color="auto" w:fill="FFFFFF"/>
          <w:lang w:val="fr-FR"/>
        </w:rPr>
        <w:t>Supprimer le 7.1.3.3.1 et renuméroter le 7.1.3.3.2 en conséquence.</w:t>
      </w:r>
    </w:p>
    <w:p w14:paraId="75FA6358" w14:textId="77777777" w:rsidR="00E827E7" w:rsidRPr="00AB4C5F" w:rsidRDefault="00E827E7" w:rsidP="00E827E7">
      <w:pPr>
        <w:tabs>
          <w:tab w:val="left" w:pos="2268"/>
        </w:tabs>
        <w:kinsoku/>
        <w:overflowPunct/>
        <w:autoSpaceDE/>
        <w:autoSpaceDN/>
        <w:adjustRightInd/>
        <w:snapToGrid/>
        <w:spacing w:after="120"/>
        <w:ind w:left="2268" w:right="1134" w:hanging="1134"/>
        <w:jc w:val="both"/>
        <w:rPr>
          <w:lang w:val="fr-FR" w:eastAsia="en-US"/>
        </w:rPr>
      </w:pPr>
      <w:r w:rsidRPr="00AB4C5F">
        <w:rPr>
          <w:lang w:val="fr-FR" w:eastAsia="en-US"/>
        </w:rPr>
        <w:t>7.1.5.3.2 a)</w:t>
      </w:r>
      <w:r w:rsidRPr="00AB4C5F">
        <w:rPr>
          <w:lang w:val="fr-FR" w:eastAsia="en-US"/>
        </w:rPr>
        <w:tab/>
        <w:t>Remplacer « contient la mention "STABILISÉ" » par « contient la mention "AVEC RÉGULATION DE TEMPÉRATURE" ».</w:t>
      </w:r>
    </w:p>
    <w:p w14:paraId="2F23A338" w14:textId="77777777" w:rsidR="00E827E7" w:rsidRPr="0042238A" w:rsidRDefault="00E827E7" w:rsidP="00E827E7">
      <w:pPr>
        <w:pStyle w:val="SingleTxtG"/>
        <w:ind w:left="2268" w:hanging="1134"/>
        <w:rPr>
          <w:lang w:val="fr-FR"/>
        </w:rPr>
      </w:pPr>
      <w:r w:rsidRPr="0042238A">
        <w:rPr>
          <w:lang w:val="fr-FR"/>
        </w:rPr>
        <w:t>7.1.5.3.2 b)</w:t>
      </w:r>
      <w:r w:rsidRPr="0042238A">
        <w:rPr>
          <w:lang w:val="fr-FR"/>
        </w:rPr>
        <w:tab/>
        <w:t xml:space="preserve">Supprimer la note de bas de page 1. </w:t>
      </w:r>
    </w:p>
    <w:p w14:paraId="2E685FA5" w14:textId="77777777" w:rsidR="00587E0E" w:rsidRPr="0042238A" w:rsidRDefault="00587E0E" w:rsidP="00587E0E">
      <w:pPr>
        <w:pStyle w:val="H1G"/>
        <w:tabs>
          <w:tab w:val="left" w:pos="2268"/>
        </w:tabs>
        <w:rPr>
          <w:rFonts w:eastAsiaTheme="minorHAnsi"/>
          <w:lang w:val="fr-FR" w:eastAsia="en-US"/>
        </w:rPr>
      </w:pPr>
      <w:r w:rsidRPr="0042238A">
        <w:rPr>
          <w:rFonts w:eastAsiaTheme="minorHAnsi"/>
          <w:lang w:val="fr-FR" w:eastAsia="en-US"/>
        </w:rPr>
        <w:tab/>
      </w:r>
      <w:r w:rsidRPr="0042238A">
        <w:rPr>
          <w:rFonts w:eastAsiaTheme="minorHAnsi"/>
          <w:lang w:val="fr-FR" w:eastAsia="en-US"/>
        </w:rPr>
        <w:tab/>
        <w:t>Tableau de correspondance entre le Règlement de transport des matières radioactives de l’AIEA et le Règlement type</w:t>
      </w:r>
    </w:p>
    <w:p w14:paraId="2CCE009D" w14:textId="33E1CCBC" w:rsidR="00E827E7" w:rsidRPr="0042238A" w:rsidRDefault="00587E0E" w:rsidP="00587E0E">
      <w:pPr>
        <w:spacing w:after="120"/>
        <w:ind w:left="1134" w:right="1134"/>
        <w:jc w:val="both"/>
        <w:rPr>
          <w:rFonts w:eastAsiaTheme="minorHAnsi"/>
          <w:lang w:val="fr-FR" w:eastAsia="en-US"/>
        </w:rPr>
      </w:pPr>
      <w:r w:rsidRPr="0042238A">
        <w:rPr>
          <w:rFonts w:eastAsiaTheme="minorHAnsi"/>
          <w:lang w:val="fr-FR" w:eastAsia="en-US"/>
        </w:rPr>
        <w:t>Dans le « Tableau de correspondance entre les numéros de paragraphe dans le Règlement de transport des matières radioactives de l’AIEA... », supprimer « SSR-6 (Rev.1) » et dans la ligne de titre du tableau, remplacer « SSR-6 » par « Règlement de l’AIEA (édition de 2018) ». Dans le titre du « Tableau de correspondance entre les numéros de paragraphe dans le Règlement de transport des matières radioactives de l’AIEA... », remplacer « LES NUMEROS DE PARAGRAPHE » par « LES NUMEROS DE PARAGRAPHE, TABLEAUX ET FIGURES » et remplacer « LE RÈGLEMENT DE TRANSPORT DES MATIÈRES RADIOACTIVES DE L'AIEA (ÉDITION de 2018 SSR-6 (</w:t>
      </w:r>
      <w:proofErr w:type="spellStart"/>
      <w:r w:rsidRPr="0042238A">
        <w:rPr>
          <w:rFonts w:eastAsiaTheme="minorHAnsi"/>
          <w:lang w:val="fr-FR" w:eastAsia="en-US"/>
        </w:rPr>
        <w:t>Rev</w:t>
      </w:r>
      <w:proofErr w:type="spellEnd"/>
      <w:r w:rsidRPr="0042238A">
        <w:rPr>
          <w:rFonts w:eastAsiaTheme="minorHAnsi"/>
          <w:lang w:val="fr-FR" w:eastAsia="en-US"/>
        </w:rPr>
        <w:t>. 1)) » par « L'ÉDITION DE 2018 DU REGLEMENT DE TRANSPORT DES MATIERES RADIOACTIVES DE L’AIEA ». Ajouter un titre au-dessus du premier tableau pour lire « correspondance entre les numéros de paragraphe ». Dans la ligne de titre du premier tableau, remplacer « SSR-6 » par « AIEA » et « ONU » par « Règlement type ». Remplacer le titre commun aux deuxième et troisième tableaux par un titre au-dessus du deuxième tableau libellé « Correspondance entre les numéros de tableau » et un titre au-dessus du troisième tableau libellé « Correspondance entre les numéros de figure ». Dans la ligne de titre du deuxième tableau, remplacer « Tableau SSR-6 » par « AIEA » et « Règlement type ONU » par « Règlement type ». Dans la ligne de titre du troisième tableau, remplacer « Tableau SSR-6 » par « AIEA » et « Règlement type ONU » par « Règlement type ».</w:t>
      </w:r>
    </w:p>
    <w:p w14:paraId="13E38D5E" w14:textId="48FD91E6" w:rsidR="008D1004" w:rsidRPr="00AB4C5F" w:rsidRDefault="009D10B6" w:rsidP="009D10B6">
      <w:pPr>
        <w:spacing w:before="240"/>
        <w:jc w:val="center"/>
        <w:rPr>
          <w:u w:val="single"/>
          <w:lang w:val="fr-FR"/>
        </w:rPr>
      </w:pPr>
      <w:r w:rsidRPr="0042238A">
        <w:rPr>
          <w:u w:val="single"/>
          <w:lang w:val="fr-FR"/>
        </w:rPr>
        <w:tab/>
      </w:r>
      <w:r w:rsidRPr="0042238A">
        <w:rPr>
          <w:u w:val="single"/>
          <w:lang w:val="fr-FR"/>
        </w:rPr>
        <w:tab/>
      </w:r>
      <w:r w:rsidRPr="0042238A">
        <w:rPr>
          <w:u w:val="single"/>
          <w:lang w:val="fr-FR"/>
        </w:rPr>
        <w:tab/>
      </w:r>
    </w:p>
    <w:sectPr w:rsidR="008D1004" w:rsidRPr="00AB4C5F" w:rsidSect="00EB43DF">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E6349" w14:textId="77777777" w:rsidR="00FF1081" w:rsidRDefault="00FF1081" w:rsidP="00F95C08">
      <w:pPr>
        <w:spacing w:line="240" w:lineRule="auto"/>
      </w:pPr>
    </w:p>
  </w:endnote>
  <w:endnote w:type="continuationSeparator" w:id="0">
    <w:p w14:paraId="57DF482F" w14:textId="77777777" w:rsidR="00FF1081" w:rsidRPr="00AC3823" w:rsidRDefault="00FF1081" w:rsidP="00AC3823">
      <w:pPr>
        <w:pStyle w:val="Footer"/>
      </w:pPr>
    </w:p>
  </w:endnote>
  <w:endnote w:type="continuationNotice" w:id="1">
    <w:p w14:paraId="782E6B56" w14:textId="77777777" w:rsidR="00FF1081" w:rsidRDefault="00FF10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FCB8" w14:textId="77777777" w:rsidR="00EB43DF" w:rsidRPr="00EB43DF" w:rsidRDefault="00EB43DF" w:rsidP="00EB43DF">
    <w:pPr>
      <w:pStyle w:val="Footer"/>
      <w:tabs>
        <w:tab w:val="right" w:pos="9638"/>
      </w:tabs>
      <w:rPr>
        <w:sz w:val="18"/>
      </w:rPr>
    </w:pPr>
    <w:r w:rsidRPr="00EB43DF">
      <w:rPr>
        <w:b/>
        <w:sz w:val="18"/>
      </w:rPr>
      <w:fldChar w:fldCharType="begin"/>
    </w:r>
    <w:r w:rsidRPr="00EB43DF">
      <w:rPr>
        <w:b/>
        <w:sz w:val="18"/>
      </w:rPr>
      <w:instrText xml:space="preserve"> PAGE  \* MERGEFORMAT </w:instrText>
    </w:r>
    <w:r w:rsidRPr="00EB43DF">
      <w:rPr>
        <w:b/>
        <w:sz w:val="18"/>
      </w:rPr>
      <w:fldChar w:fldCharType="separate"/>
    </w:r>
    <w:r w:rsidRPr="00EB43DF">
      <w:rPr>
        <w:b/>
        <w:noProof/>
        <w:sz w:val="18"/>
      </w:rPr>
      <w:t>2</w:t>
    </w:r>
    <w:r w:rsidRPr="00EB43D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1C38" w14:textId="77777777" w:rsidR="00EB43DF" w:rsidRPr="00EB43DF" w:rsidRDefault="00EB43DF" w:rsidP="00EB43DF">
    <w:pPr>
      <w:pStyle w:val="Footer"/>
      <w:tabs>
        <w:tab w:val="right" w:pos="9638"/>
      </w:tabs>
      <w:rPr>
        <w:b/>
        <w:sz w:val="18"/>
      </w:rPr>
    </w:pPr>
    <w:r>
      <w:tab/>
    </w:r>
    <w:r w:rsidRPr="00EB43DF">
      <w:rPr>
        <w:b/>
        <w:sz w:val="18"/>
      </w:rPr>
      <w:fldChar w:fldCharType="begin"/>
    </w:r>
    <w:r w:rsidRPr="00EB43DF">
      <w:rPr>
        <w:b/>
        <w:sz w:val="18"/>
      </w:rPr>
      <w:instrText xml:space="preserve"> PAGE  \* MERGEFORMAT </w:instrText>
    </w:r>
    <w:r w:rsidRPr="00EB43DF">
      <w:rPr>
        <w:b/>
        <w:sz w:val="18"/>
      </w:rPr>
      <w:fldChar w:fldCharType="separate"/>
    </w:r>
    <w:r w:rsidRPr="00EB43DF">
      <w:rPr>
        <w:b/>
        <w:noProof/>
        <w:sz w:val="18"/>
      </w:rPr>
      <w:t>3</w:t>
    </w:r>
    <w:r w:rsidRPr="00EB43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0177" w14:textId="77777777" w:rsidR="0068456F" w:rsidRPr="00EB43DF" w:rsidRDefault="0068456F">
    <w:pPr>
      <w:pStyle w:val="Footer"/>
      <w:rPr>
        <w:sz w:val="20"/>
      </w:rPr>
    </w:pPr>
    <w:r>
      <w:rPr>
        <w:noProof/>
        <w:lang w:eastAsia="fr-CH"/>
      </w:rPr>
      <w:drawing>
        <wp:anchor distT="0" distB="0" distL="114300" distR="114300" simplePos="0" relativeHeight="251658240" behindDoc="0" locked="0" layoutInCell="1" allowOverlap="0" wp14:anchorId="71726333" wp14:editId="4C548E3E">
          <wp:simplePos x="0" y="0"/>
          <wp:positionH relativeFrom="margin">
            <wp:posOffset>5003800</wp:posOffset>
          </wp:positionH>
          <wp:positionV relativeFrom="margin">
            <wp:posOffset>9323705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775C" w14:textId="77777777" w:rsidR="00FF1081" w:rsidRPr="00AC3823" w:rsidRDefault="00FF1081" w:rsidP="00AC3823">
      <w:pPr>
        <w:pStyle w:val="Footer"/>
        <w:tabs>
          <w:tab w:val="right" w:pos="2155"/>
        </w:tabs>
        <w:spacing w:after="80" w:line="240" w:lineRule="atLeast"/>
        <w:ind w:left="680"/>
        <w:rPr>
          <w:u w:val="single"/>
        </w:rPr>
      </w:pPr>
      <w:r>
        <w:rPr>
          <w:u w:val="single"/>
        </w:rPr>
        <w:tab/>
      </w:r>
    </w:p>
  </w:footnote>
  <w:footnote w:type="continuationSeparator" w:id="0">
    <w:p w14:paraId="71B5749E" w14:textId="77777777" w:rsidR="00FF1081" w:rsidRPr="00AC3823" w:rsidRDefault="00FF1081" w:rsidP="00AC3823">
      <w:pPr>
        <w:pStyle w:val="Footer"/>
        <w:tabs>
          <w:tab w:val="right" w:pos="2155"/>
        </w:tabs>
        <w:spacing w:after="80" w:line="240" w:lineRule="atLeast"/>
        <w:ind w:left="680"/>
        <w:rPr>
          <w:u w:val="single"/>
        </w:rPr>
      </w:pPr>
      <w:r>
        <w:rPr>
          <w:u w:val="single"/>
        </w:rPr>
        <w:tab/>
      </w:r>
    </w:p>
  </w:footnote>
  <w:footnote w:type="continuationNotice" w:id="1">
    <w:p w14:paraId="2F24C207" w14:textId="77777777" w:rsidR="00FF1081" w:rsidRPr="00AC3823" w:rsidRDefault="00FF108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9F4C" w14:textId="77777777" w:rsidR="00EB43DF" w:rsidRPr="00EB43DF" w:rsidRDefault="006F20DB">
    <w:pPr>
      <w:pStyle w:val="Header"/>
    </w:pPr>
    <w:fldSimple w:instr=" TITLE  \* MERGEFORMAT ">
      <w:r w:rsidR="00EB43DF">
        <w:t>ST/SG/AC.10/48/Add.1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B344" w14:textId="77777777" w:rsidR="00EB43DF" w:rsidRPr="00EB43DF" w:rsidRDefault="006F20DB" w:rsidP="00EB43DF">
    <w:pPr>
      <w:pStyle w:val="Header"/>
      <w:jc w:val="right"/>
    </w:pPr>
    <w:fldSimple w:instr=" TITLE  \* MERGEFORMAT ">
      <w:r w:rsidR="00EB43DF">
        <w:t>ST/SG/AC.10/48/Add.1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C049A"/>
    <w:multiLevelType w:val="hybridMultilevel"/>
    <w:tmpl w:val="ECFAF7B0"/>
    <w:lvl w:ilvl="0" w:tplc="D4DEEB06">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15:restartNumberingAfterBreak="0">
    <w:nsid w:val="09593A6F"/>
    <w:multiLevelType w:val="hybridMultilevel"/>
    <w:tmpl w:val="0BB0B608"/>
    <w:lvl w:ilvl="0" w:tplc="4D10B044">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4"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C641D1"/>
    <w:multiLevelType w:val="hybridMultilevel"/>
    <w:tmpl w:val="EE7CA7C6"/>
    <w:lvl w:ilvl="0" w:tplc="6E5C53A8">
      <w:start w:val="1"/>
      <w:numFmt w:val="lowerLetter"/>
      <w:lvlText w:val="%1)"/>
      <w:lvlJc w:val="left"/>
      <w:pPr>
        <w:ind w:left="3405" w:hanging="57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6" w15:restartNumberingAfterBreak="0">
    <w:nsid w:val="11082251"/>
    <w:multiLevelType w:val="hybridMultilevel"/>
    <w:tmpl w:val="48BE0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A75EA4"/>
    <w:multiLevelType w:val="hybridMultilevel"/>
    <w:tmpl w:val="6DD03ED6"/>
    <w:lvl w:ilvl="0" w:tplc="1F2088C4">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0" w15:restartNumberingAfterBreak="0">
    <w:nsid w:val="25747ABE"/>
    <w:multiLevelType w:val="hybridMultilevel"/>
    <w:tmpl w:val="0EAE6572"/>
    <w:lvl w:ilvl="0" w:tplc="5D6C56BA">
      <w:start w:val="1"/>
      <w:numFmt w:val="lowerLetter"/>
      <w:lvlText w:val="(%1)"/>
      <w:lvlJc w:val="left"/>
      <w:pPr>
        <w:ind w:left="2030" w:hanging="360"/>
      </w:pPr>
      <w:rPr>
        <w:rFonts w:ascii="Times New Roman" w:hAnsi="Times New Roman" w:cs="Times New Roman" w:hint="default"/>
        <w:sz w:val="20"/>
        <w:szCs w:val="20"/>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21" w15:restartNumberingAfterBreak="0">
    <w:nsid w:val="30795C96"/>
    <w:multiLevelType w:val="hybridMultilevel"/>
    <w:tmpl w:val="7B9EC4A0"/>
    <w:lvl w:ilvl="0" w:tplc="4D10B044">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04D09E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E921CA"/>
    <w:multiLevelType w:val="hybridMultilevel"/>
    <w:tmpl w:val="4852F794"/>
    <w:lvl w:ilvl="0" w:tplc="732031D6">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6" w15:restartNumberingAfterBreak="0">
    <w:nsid w:val="43A37928"/>
    <w:multiLevelType w:val="hybridMultilevel"/>
    <w:tmpl w:val="7C904540"/>
    <w:lvl w:ilvl="0" w:tplc="4D10B044">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7" w15:restartNumberingAfterBreak="0">
    <w:nsid w:val="5087054B"/>
    <w:multiLevelType w:val="hybridMultilevel"/>
    <w:tmpl w:val="005AE0A6"/>
    <w:lvl w:ilvl="0" w:tplc="EB163380">
      <w:start w:val="1"/>
      <w:numFmt w:val="lowerLetter"/>
      <w:lvlText w:val="%1)"/>
      <w:lvlJc w:val="left"/>
      <w:pPr>
        <w:ind w:left="3405" w:hanging="57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8" w15:restartNumberingAfterBreak="0">
    <w:nsid w:val="5D386E91"/>
    <w:multiLevelType w:val="hybridMultilevel"/>
    <w:tmpl w:val="15247480"/>
    <w:lvl w:ilvl="0" w:tplc="4D10B044">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1D0016"/>
    <w:multiLevelType w:val="hybridMultilevel"/>
    <w:tmpl w:val="DC1E00F6"/>
    <w:lvl w:ilvl="0" w:tplc="4D10B044">
      <w:start w:val="1"/>
      <w:numFmt w:val="bullet"/>
      <w:lvlText w:val=""/>
      <w:lvlJc w:val="left"/>
      <w:pPr>
        <w:ind w:left="29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230AD"/>
    <w:multiLevelType w:val="hybridMultilevel"/>
    <w:tmpl w:val="346A24D4"/>
    <w:lvl w:ilvl="0" w:tplc="09BCB4A2">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6C0A7CDA"/>
    <w:multiLevelType w:val="hybridMultilevel"/>
    <w:tmpl w:val="15BC0C42"/>
    <w:lvl w:ilvl="0" w:tplc="4D10B044">
      <w:start w:val="1"/>
      <w:numFmt w:val="bullet"/>
      <w:lvlText w:val=""/>
      <w:lvlJc w:val="left"/>
      <w:pPr>
        <w:ind w:left="29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169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67A6A47"/>
    <w:multiLevelType w:val="hybridMultilevel"/>
    <w:tmpl w:val="D81670BC"/>
    <w:lvl w:ilvl="0" w:tplc="C87E3162">
      <w:start w:val="5"/>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4370E"/>
    <w:multiLevelType w:val="hybridMultilevel"/>
    <w:tmpl w:val="DABA9206"/>
    <w:lvl w:ilvl="0" w:tplc="51E6740E">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num w:numId="1">
    <w:abstractNumId w:val="33"/>
  </w:num>
  <w:num w:numId="2">
    <w:abstractNumId w:val="23"/>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3"/>
  </w:num>
  <w:num w:numId="15">
    <w:abstractNumId w:val="23"/>
  </w:num>
  <w:num w:numId="16">
    <w:abstractNumId w:val="14"/>
  </w:num>
  <w:num w:numId="17">
    <w:abstractNumId w:val="22"/>
  </w:num>
  <w:num w:numId="18">
    <w:abstractNumId w:val="18"/>
  </w:num>
  <w:num w:numId="19">
    <w:abstractNumId w:val="10"/>
  </w:num>
  <w:num w:numId="20">
    <w:abstractNumId w:val="29"/>
  </w:num>
  <w:num w:numId="21">
    <w:abstractNumId w:val="36"/>
  </w:num>
  <w:num w:numId="22">
    <w:abstractNumId w:val="24"/>
  </w:num>
  <w:num w:numId="23">
    <w:abstractNumId w:val="17"/>
  </w:num>
  <w:num w:numId="24">
    <w:abstractNumId w:val="11"/>
  </w:num>
  <w:num w:numId="25">
    <w:abstractNumId w:val="32"/>
  </w:num>
  <w:num w:numId="26">
    <w:abstractNumId w:val="34"/>
  </w:num>
  <w:num w:numId="27">
    <w:abstractNumId w:val="37"/>
  </w:num>
  <w:num w:numId="28">
    <w:abstractNumId w:val="16"/>
  </w:num>
  <w:num w:numId="29">
    <w:abstractNumId w:val="20"/>
  </w:num>
  <w:num w:numId="30">
    <w:abstractNumId w:val="38"/>
  </w:num>
  <w:num w:numId="31">
    <w:abstractNumId w:val="35"/>
  </w:num>
  <w:num w:numId="32">
    <w:abstractNumId w:val="31"/>
  </w:num>
  <w:num w:numId="33">
    <w:abstractNumId w:val="30"/>
  </w:num>
  <w:num w:numId="34">
    <w:abstractNumId w:val="19"/>
  </w:num>
  <w:num w:numId="35">
    <w:abstractNumId w:val="28"/>
  </w:num>
  <w:num w:numId="36">
    <w:abstractNumId w:val="25"/>
  </w:num>
  <w:num w:numId="37">
    <w:abstractNumId w:val="21"/>
  </w:num>
  <w:num w:numId="38">
    <w:abstractNumId w:val="15"/>
  </w:num>
  <w:num w:numId="39">
    <w:abstractNumId w:val="13"/>
  </w:num>
  <w:num w:numId="40">
    <w:abstractNumId w:val="27"/>
  </w:num>
  <w:num w:numId="41">
    <w:abstractNumId w:val="2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NotTrackFormatting/>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DF"/>
    <w:rsid w:val="0000013B"/>
    <w:rsid w:val="00017F94"/>
    <w:rsid w:val="00022183"/>
    <w:rsid w:val="00023842"/>
    <w:rsid w:val="0002621E"/>
    <w:rsid w:val="000305D3"/>
    <w:rsid w:val="000334F9"/>
    <w:rsid w:val="00054843"/>
    <w:rsid w:val="0007796D"/>
    <w:rsid w:val="000860F9"/>
    <w:rsid w:val="000A1297"/>
    <w:rsid w:val="000B56F2"/>
    <w:rsid w:val="000B7790"/>
    <w:rsid w:val="000C067D"/>
    <w:rsid w:val="000C353D"/>
    <w:rsid w:val="000F34EC"/>
    <w:rsid w:val="000F368F"/>
    <w:rsid w:val="00100CD2"/>
    <w:rsid w:val="00111F2F"/>
    <w:rsid w:val="00115E9A"/>
    <w:rsid w:val="00117EB5"/>
    <w:rsid w:val="001265E5"/>
    <w:rsid w:val="00132EA9"/>
    <w:rsid w:val="0014365E"/>
    <w:rsid w:val="00166F54"/>
    <w:rsid w:val="00167865"/>
    <w:rsid w:val="00176178"/>
    <w:rsid w:val="001764C1"/>
    <w:rsid w:val="00186701"/>
    <w:rsid w:val="001C3288"/>
    <w:rsid w:val="001D65D8"/>
    <w:rsid w:val="001D74A1"/>
    <w:rsid w:val="001E73CB"/>
    <w:rsid w:val="001F525A"/>
    <w:rsid w:val="001F5F56"/>
    <w:rsid w:val="001F60F3"/>
    <w:rsid w:val="001F6BA8"/>
    <w:rsid w:val="00223272"/>
    <w:rsid w:val="002376A7"/>
    <w:rsid w:val="00241C37"/>
    <w:rsid w:val="00244084"/>
    <w:rsid w:val="002471EC"/>
    <w:rsid w:val="0024779E"/>
    <w:rsid w:val="00262B77"/>
    <w:rsid w:val="00264628"/>
    <w:rsid w:val="00266673"/>
    <w:rsid w:val="00283190"/>
    <w:rsid w:val="002832AC"/>
    <w:rsid w:val="00290277"/>
    <w:rsid w:val="002B16D6"/>
    <w:rsid w:val="002B38D7"/>
    <w:rsid w:val="002D43B1"/>
    <w:rsid w:val="002D7C93"/>
    <w:rsid w:val="0030054E"/>
    <w:rsid w:val="003015CF"/>
    <w:rsid w:val="0031764F"/>
    <w:rsid w:val="003334FF"/>
    <w:rsid w:val="003373E8"/>
    <w:rsid w:val="00341584"/>
    <w:rsid w:val="00343208"/>
    <w:rsid w:val="003451AC"/>
    <w:rsid w:val="0038248A"/>
    <w:rsid w:val="00385F7E"/>
    <w:rsid w:val="0039366F"/>
    <w:rsid w:val="003B107D"/>
    <w:rsid w:val="003B745C"/>
    <w:rsid w:val="003C03D0"/>
    <w:rsid w:val="003C1E9F"/>
    <w:rsid w:val="003D7FB8"/>
    <w:rsid w:val="003E0314"/>
    <w:rsid w:val="004049E1"/>
    <w:rsid w:val="0042238A"/>
    <w:rsid w:val="00435769"/>
    <w:rsid w:val="00441C3B"/>
    <w:rsid w:val="00446FE5"/>
    <w:rsid w:val="00452396"/>
    <w:rsid w:val="00454681"/>
    <w:rsid w:val="004959B5"/>
    <w:rsid w:val="004A7EBF"/>
    <w:rsid w:val="004D2B89"/>
    <w:rsid w:val="004E468C"/>
    <w:rsid w:val="004F2779"/>
    <w:rsid w:val="004F5AE9"/>
    <w:rsid w:val="00503921"/>
    <w:rsid w:val="005074BD"/>
    <w:rsid w:val="00524D32"/>
    <w:rsid w:val="005505B7"/>
    <w:rsid w:val="00555B27"/>
    <w:rsid w:val="00573BE5"/>
    <w:rsid w:val="00575B02"/>
    <w:rsid w:val="00576A51"/>
    <w:rsid w:val="00584DC4"/>
    <w:rsid w:val="00586ED3"/>
    <w:rsid w:val="00587E0E"/>
    <w:rsid w:val="0059245A"/>
    <w:rsid w:val="00596AA9"/>
    <w:rsid w:val="005A0C4A"/>
    <w:rsid w:val="005A52CF"/>
    <w:rsid w:val="005E0013"/>
    <w:rsid w:val="005E69F3"/>
    <w:rsid w:val="00603307"/>
    <w:rsid w:val="006055CB"/>
    <w:rsid w:val="00613A82"/>
    <w:rsid w:val="00626167"/>
    <w:rsid w:val="00626A8D"/>
    <w:rsid w:val="006424BB"/>
    <w:rsid w:val="0065074D"/>
    <w:rsid w:val="00657E04"/>
    <w:rsid w:val="0067517B"/>
    <w:rsid w:val="0068456F"/>
    <w:rsid w:val="00687575"/>
    <w:rsid w:val="006931F9"/>
    <w:rsid w:val="00693873"/>
    <w:rsid w:val="006A4F3F"/>
    <w:rsid w:val="006A58F4"/>
    <w:rsid w:val="006B287B"/>
    <w:rsid w:val="006B717D"/>
    <w:rsid w:val="006C18DB"/>
    <w:rsid w:val="006E6557"/>
    <w:rsid w:val="006F20DB"/>
    <w:rsid w:val="006F77BF"/>
    <w:rsid w:val="00702367"/>
    <w:rsid w:val="00704D78"/>
    <w:rsid w:val="00715CA8"/>
    <w:rsid w:val="0071601D"/>
    <w:rsid w:val="00724A45"/>
    <w:rsid w:val="00724CF2"/>
    <w:rsid w:val="007272A3"/>
    <w:rsid w:val="0074239B"/>
    <w:rsid w:val="00743531"/>
    <w:rsid w:val="00746C90"/>
    <w:rsid w:val="007513FE"/>
    <w:rsid w:val="00755D57"/>
    <w:rsid w:val="007650CF"/>
    <w:rsid w:val="007A62E6"/>
    <w:rsid w:val="007B6855"/>
    <w:rsid w:val="007E3C12"/>
    <w:rsid w:val="007E5E60"/>
    <w:rsid w:val="007F09E7"/>
    <w:rsid w:val="007F44F4"/>
    <w:rsid w:val="0080684C"/>
    <w:rsid w:val="00812883"/>
    <w:rsid w:val="008207B0"/>
    <w:rsid w:val="00837C6D"/>
    <w:rsid w:val="00847A57"/>
    <w:rsid w:val="00861CA9"/>
    <w:rsid w:val="00864527"/>
    <w:rsid w:val="00871C75"/>
    <w:rsid w:val="00874E97"/>
    <w:rsid w:val="008776DC"/>
    <w:rsid w:val="00885859"/>
    <w:rsid w:val="00887CDD"/>
    <w:rsid w:val="00891F4D"/>
    <w:rsid w:val="008940AF"/>
    <w:rsid w:val="00897E15"/>
    <w:rsid w:val="008A0215"/>
    <w:rsid w:val="008B40CD"/>
    <w:rsid w:val="008B6ECE"/>
    <w:rsid w:val="008D1004"/>
    <w:rsid w:val="008D2F65"/>
    <w:rsid w:val="008D65EE"/>
    <w:rsid w:val="008F0111"/>
    <w:rsid w:val="008F0978"/>
    <w:rsid w:val="008F75CD"/>
    <w:rsid w:val="00926434"/>
    <w:rsid w:val="00927231"/>
    <w:rsid w:val="00933754"/>
    <w:rsid w:val="00937CDF"/>
    <w:rsid w:val="00965B3B"/>
    <w:rsid w:val="009705C8"/>
    <w:rsid w:val="009744DF"/>
    <w:rsid w:val="0099141C"/>
    <w:rsid w:val="009C1CF4"/>
    <w:rsid w:val="009D10B6"/>
    <w:rsid w:val="009D304A"/>
    <w:rsid w:val="009E31E2"/>
    <w:rsid w:val="009E6B5E"/>
    <w:rsid w:val="009F215D"/>
    <w:rsid w:val="009F78E3"/>
    <w:rsid w:val="00A05DB4"/>
    <w:rsid w:val="00A11D83"/>
    <w:rsid w:val="00A154F6"/>
    <w:rsid w:val="00A22BF7"/>
    <w:rsid w:val="00A30345"/>
    <w:rsid w:val="00A30353"/>
    <w:rsid w:val="00A446F0"/>
    <w:rsid w:val="00A54B3C"/>
    <w:rsid w:val="00A6660D"/>
    <w:rsid w:val="00A90EA6"/>
    <w:rsid w:val="00A94D20"/>
    <w:rsid w:val="00AB4C5F"/>
    <w:rsid w:val="00AC140F"/>
    <w:rsid w:val="00AC1D97"/>
    <w:rsid w:val="00AC3823"/>
    <w:rsid w:val="00AD6221"/>
    <w:rsid w:val="00AE30DB"/>
    <w:rsid w:val="00AE323C"/>
    <w:rsid w:val="00AF0DC5"/>
    <w:rsid w:val="00B00181"/>
    <w:rsid w:val="00B00B0D"/>
    <w:rsid w:val="00B0484A"/>
    <w:rsid w:val="00B11C66"/>
    <w:rsid w:val="00B222D7"/>
    <w:rsid w:val="00B26045"/>
    <w:rsid w:val="00B4214C"/>
    <w:rsid w:val="00B43181"/>
    <w:rsid w:val="00B5420E"/>
    <w:rsid w:val="00B57173"/>
    <w:rsid w:val="00B62D7A"/>
    <w:rsid w:val="00B62F4B"/>
    <w:rsid w:val="00B657CC"/>
    <w:rsid w:val="00B67CCA"/>
    <w:rsid w:val="00B71A56"/>
    <w:rsid w:val="00B74483"/>
    <w:rsid w:val="00B765F7"/>
    <w:rsid w:val="00B82CAF"/>
    <w:rsid w:val="00B9002B"/>
    <w:rsid w:val="00B96174"/>
    <w:rsid w:val="00BA0CA9"/>
    <w:rsid w:val="00C02897"/>
    <w:rsid w:val="00C0438D"/>
    <w:rsid w:val="00C11669"/>
    <w:rsid w:val="00C5757E"/>
    <w:rsid w:val="00C66D04"/>
    <w:rsid w:val="00C96CEE"/>
    <w:rsid w:val="00CA2B58"/>
    <w:rsid w:val="00CB71F9"/>
    <w:rsid w:val="00CC6485"/>
    <w:rsid w:val="00CC7A90"/>
    <w:rsid w:val="00CE03C0"/>
    <w:rsid w:val="00CF0A00"/>
    <w:rsid w:val="00CF7DB8"/>
    <w:rsid w:val="00D268A7"/>
    <w:rsid w:val="00D3439C"/>
    <w:rsid w:val="00DA1321"/>
    <w:rsid w:val="00DB1831"/>
    <w:rsid w:val="00DB77A3"/>
    <w:rsid w:val="00DC2C8E"/>
    <w:rsid w:val="00DC5326"/>
    <w:rsid w:val="00DC5BCC"/>
    <w:rsid w:val="00DD0CB7"/>
    <w:rsid w:val="00DD3BFD"/>
    <w:rsid w:val="00DE5BCD"/>
    <w:rsid w:val="00DE7F47"/>
    <w:rsid w:val="00DF6678"/>
    <w:rsid w:val="00E0647E"/>
    <w:rsid w:val="00E17E18"/>
    <w:rsid w:val="00E278A9"/>
    <w:rsid w:val="00E31CB5"/>
    <w:rsid w:val="00E31F4E"/>
    <w:rsid w:val="00E41EC3"/>
    <w:rsid w:val="00E44533"/>
    <w:rsid w:val="00E45158"/>
    <w:rsid w:val="00E464FF"/>
    <w:rsid w:val="00E66496"/>
    <w:rsid w:val="00E70F3E"/>
    <w:rsid w:val="00E827E7"/>
    <w:rsid w:val="00E868FF"/>
    <w:rsid w:val="00E9363C"/>
    <w:rsid w:val="00E96599"/>
    <w:rsid w:val="00EB2C24"/>
    <w:rsid w:val="00EB43DF"/>
    <w:rsid w:val="00EB4AAD"/>
    <w:rsid w:val="00EC27A5"/>
    <w:rsid w:val="00EC5894"/>
    <w:rsid w:val="00EF2E22"/>
    <w:rsid w:val="00EF5E10"/>
    <w:rsid w:val="00EF64FE"/>
    <w:rsid w:val="00F01738"/>
    <w:rsid w:val="00F15E6A"/>
    <w:rsid w:val="00F20A02"/>
    <w:rsid w:val="00F456C0"/>
    <w:rsid w:val="00F649A2"/>
    <w:rsid w:val="00F660DF"/>
    <w:rsid w:val="00F730C8"/>
    <w:rsid w:val="00F8739C"/>
    <w:rsid w:val="00F92565"/>
    <w:rsid w:val="00F95C08"/>
    <w:rsid w:val="00F97655"/>
    <w:rsid w:val="00FC229F"/>
    <w:rsid w:val="00FC4CFA"/>
    <w:rsid w:val="00FC798A"/>
    <w:rsid w:val="00FC7E80"/>
    <w:rsid w:val="00FE033C"/>
    <w:rsid w:val="00FE268C"/>
    <w:rsid w:val="00FF10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1BDF5"/>
  <w15:docId w15:val="{D0C03922-820B-4DF2-8378-AB8F7712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ZchnZchn"/>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555B27"/>
    <w:rPr>
      <w:b/>
      <w:sz w:val="28"/>
    </w:rPr>
  </w:style>
  <w:style w:type="character" w:customStyle="1" w:styleId="H1GCar">
    <w:name w:val="_ H_1_G Car"/>
    <w:link w:val="H1G"/>
    <w:locked/>
    <w:rsid w:val="00555B27"/>
    <w:rPr>
      <w:b/>
      <w:sz w:val="24"/>
    </w:rPr>
  </w:style>
  <w:style w:type="character" w:customStyle="1" w:styleId="H23GChar">
    <w:name w:val="_ H_2/3_G Char"/>
    <w:link w:val="H23G"/>
    <w:locked/>
    <w:rsid w:val="00555B27"/>
    <w:rPr>
      <w:b/>
    </w:rPr>
  </w:style>
  <w:style w:type="character" w:customStyle="1" w:styleId="SingleTxtGZchnZchn">
    <w:name w:val="_ Single Txt_G Zchn Zchn"/>
    <w:link w:val="SingleTxtG"/>
    <w:rsid w:val="00CC7A90"/>
  </w:style>
  <w:style w:type="character" w:styleId="CommentReference">
    <w:name w:val="annotation reference"/>
    <w:basedOn w:val="DefaultParagraphFont"/>
    <w:uiPriority w:val="99"/>
    <w:semiHidden/>
    <w:unhideWhenUsed/>
    <w:rsid w:val="003B745C"/>
    <w:rPr>
      <w:sz w:val="16"/>
      <w:szCs w:val="16"/>
    </w:rPr>
  </w:style>
  <w:style w:type="paragraph" w:styleId="CommentText">
    <w:name w:val="annotation text"/>
    <w:basedOn w:val="Normal"/>
    <w:link w:val="CommentTextChar"/>
    <w:uiPriority w:val="99"/>
    <w:semiHidden/>
    <w:unhideWhenUsed/>
    <w:rsid w:val="003B745C"/>
    <w:pPr>
      <w:spacing w:line="240" w:lineRule="auto"/>
    </w:pPr>
  </w:style>
  <w:style w:type="character" w:customStyle="1" w:styleId="CommentTextChar">
    <w:name w:val="Comment Text Char"/>
    <w:basedOn w:val="DefaultParagraphFont"/>
    <w:link w:val="CommentText"/>
    <w:uiPriority w:val="99"/>
    <w:semiHidden/>
    <w:rsid w:val="003B745C"/>
  </w:style>
  <w:style w:type="paragraph" w:styleId="CommentSubject">
    <w:name w:val="annotation subject"/>
    <w:basedOn w:val="CommentText"/>
    <w:next w:val="CommentText"/>
    <w:link w:val="CommentSubjectChar"/>
    <w:uiPriority w:val="99"/>
    <w:semiHidden/>
    <w:unhideWhenUsed/>
    <w:rsid w:val="003B745C"/>
    <w:rPr>
      <w:b/>
      <w:bCs/>
    </w:rPr>
  </w:style>
  <w:style w:type="character" w:customStyle="1" w:styleId="CommentSubjectChar">
    <w:name w:val="Comment Subject Char"/>
    <w:basedOn w:val="CommentTextChar"/>
    <w:link w:val="CommentSubject"/>
    <w:uiPriority w:val="99"/>
    <w:semiHidden/>
    <w:rsid w:val="003B745C"/>
    <w:rPr>
      <w:b/>
      <w:bCs/>
    </w:rPr>
  </w:style>
  <w:style w:type="character" w:customStyle="1" w:styleId="SingleTxtGChar">
    <w:name w:val="_ Single Txt_G Char"/>
    <w:qFormat/>
    <w:rsid w:val="00B5420E"/>
  </w:style>
  <w:style w:type="numbering" w:customStyle="1" w:styleId="NoList1">
    <w:name w:val="No List1"/>
    <w:next w:val="NoList"/>
    <w:uiPriority w:val="99"/>
    <w:semiHidden/>
    <w:unhideWhenUsed/>
    <w:rsid w:val="0039366F"/>
  </w:style>
  <w:style w:type="table" w:customStyle="1" w:styleId="TableGrid1">
    <w:name w:val="Table Grid1"/>
    <w:basedOn w:val="TableNormal"/>
    <w:next w:val="TableGrid"/>
    <w:rsid w:val="0039366F"/>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ntStyle59">
    <w:name w:val="Font Style59"/>
    <w:basedOn w:val="DefaultParagraphFont"/>
    <w:uiPriority w:val="99"/>
    <w:rsid w:val="0039366F"/>
    <w:rPr>
      <w:rFonts w:ascii="Arial" w:hAnsi="Arial" w:cs="Arial"/>
      <w:sz w:val="14"/>
      <w:szCs w:val="14"/>
    </w:rPr>
  </w:style>
  <w:style w:type="paragraph" w:styleId="HTMLPreformatted">
    <w:name w:val="HTML Preformatted"/>
    <w:basedOn w:val="Normal"/>
    <w:link w:val="HTMLPreformattedChar"/>
    <w:uiPriority w:val="99"/>
    <w:semiHidden/>
    <w:unhideWhenUsed/>
    <w:rsid w:val="0039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hAnsi="Courier New" w:cs="Courier New"/>
      <w:lang w:val="en-GB"/>
    </w:rPr>
  </w:style>
  <w:style w:type="character" w:customStyle="1" w:styleId="HTMLPreformattedChar">
    <w:name w:val="HTML Preformatted Char"/>
    <w:basedOn w:val="DefaultParagraphFont"/>
    <w:link w:val="HTMLPreformatted"/>
    <w:uiPriority w:val="99"/>
    <w:semiHidden/>
    <w:rsid w:val="0039366F"/>
    <w:rPr>
      <w:rFonts w:ascii="Courier New" w:hAnsi="Courier New" w:cs="Courier New"/>
      <w:lang w:val="en-GB"/>
    </w:rPr>
  </w:style>
  <w:style w:type="paragraph" w:customStyle="1" w:styleId="OB1subpara">
    <w:name w:val="OB_1subpara"/>
    <w:basedOn w:val="BodyTextIndent"/>
    <w:qFormat/>
    <w:rsid w:val="00FE268C"/>
    <w:pPr>
      <w:tabs>
        <w:tab w:val="left" w:pos="-1440"/>
        <w:tab w:val="left" w:pos="-142"/>
        <w:tab w:val="left" w:pos="1985"/>
        <w:tab w:val="left" w:pos="11518"/>
      </w:tabs>
      <w:suppressAutoHyphens w:val="0"/>
      <w:kinsoku/>
      <w:overflowPunct/>
      <w:autoSpaceDE/>
      <w:autoSpaceDN/>
      <w:adjustRightInd/>
      <w:snapToGrid/>
      <w:spacing w:after="240" w:line="240" w:lineRule="auto"/>
      <w:ind w:left="1985" w:hanging="567"/>
      <w:jc w:val="both"/>
    </w:pPr>
    <w:rPr>
      <w:sz w:val="22"/>
      <w:lang w:val="fr-FR" w:eastAsia="en-US"/>
    </w:rPr>
  </w:style>
  <w:style w:type="paragraph" w:styleId="BodyTextIndent">
    <w:name w:val="Body Text Indent"/>
    <w:basedOn w:val="Normal"/>
    <w:link w:val="BodyTextIndentChar"/>
    <w:uiPriority w:val="99"/>
    <w:semiHidden/>
    <w:unhideWhenUsed/>
    <w:rsid w:val="00FE268C"/>
    <w:pPr>
      <w:spacing w:after="120"/>
      <w:ind w:left="283"/>
    </w:pPr>
  </w:style>
  <w:style w:type="character" w:customStyle="1" w:styleId="BodyTextIndentChar">
    <w:name w:val="Body Text Indent Char"/>
    <w:basedOn w:val="DefaultParagraphFont"/>
    <w:link w:val="BodyTextIndent"/>
    <w:uiPriority w:val="99"/>
    <w:semiHidden/>
    <w:rsid w:val="00FE268C"/>
  </w:style>
  <w:style w:type="paragraph" w:styleId="NormalWeb">
    <w:name w:val="Normal (Web)"/>
    <w:basedOn w:val="Normal"/>
    <w:uiPriority w:val="99"/>
    <w:unhideWhenUsed/>
    <w:rsid w:val="00613A82"/>
    <w:pPr>
      <w:suppressAutoHyphens w:val="0"/>
      <w:kinsoku/>
      <w:overflowPunct/>
      <w:autoSpaceDE/>
      <w:autoSpaceDN/>
      <w:adjustRightInd/>
      <w:snapToGrid/>
      <w:spacing w:before="100" w:beforeAutospacing="1" w:after="100" w:afterAutospacing="1" w:line="240" w:lineRule="auto"/>
    </w:pPr>
    <w:rPr>
      <w:sz w:val="24"/>
      <w:szCs w:val="24"/>
      <w:lang w:val="en-GB"/>
    </w:rPr>
  </w:style>
  <w:style w:type="paragraph" w:styleId="Revision">
    <w:name w:val="Revision"/>
    <w:hidden/>
    <w:uiPriority w:val="99"/>
    <w:semiHidden/>
    <w:rsid w:val="00605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01684">
      <w:bodyDiv w:val="1"/>
      <w:marLeft w:val="0"/>
      <w:marRight w:val="0"/>
      <w:marTop w:val="0"/>
      <w:marBottom w:val="0"/>
      <w:divBdr>
        <w:top w:val="none" w:sz="0" w:space="0" w:color="auto"/>
        <w:left w:val="none" w:sz="0" w:space="0" w:color="auto"/>
        <w:bottom w:val="none" w:sz="0" w:space="0" w:color="auto"/>
        <w:right w:val="none" w:sz="0" w:space="0" w:color="auto"/>
      </w:divBdr>
      <w:divsChild>
        <w:div w:id="1185628842">
          <w:marLeft w:val="0"/>
          <w:marRight w:val="0"/>
          <w:marTop w:val="0"/>
          <w:marBottom w:val="0"/>
          <w:divBdr>
            <w:top w:val="none" w:sz="0" w:space="0" w:color="auto"/>
            <w:left w:val="none" w:sz="0" w:space="0" w:color="auto"/>
            <w:bottom w:val="none" w:sz="0" w:space="0" w:color="auto"/>
            <w:right w:val="none" w:sz="0" w:space="0" w:color="auto"/>
          </w:divBdr>
        </w:div>
      </w:divsChild>
    </w:div>
    <w:div w:id="1032269747">
      <w:bodyDiv w:val="1"/>
      <w:marLeft w:val="0"/>
      <w:marRight w:val="0"/>
      <w:marTop w:val="0"/>
      <w:marBottom w:val="0"/>
      <w:divBdr>
        <w:top w:val="none" w:sz="0" w:space="0" w:color="auto"/>
        <w:left w:val="none" w:sz="0" w:space="0" w:color="auto"/>
        <w:bottom w:val="none" w:sz="0" w:space="0" w:color="auto"/>
        <w:right w:val="none" w:sz="0" w:space="0" w:color="auto"/>
      </w:divBdr>
    </w:div>
    <w:div w:id="17866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text.reverso.net/translation/french-english/alcool+tert-butyliqu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941E-2961-4CF9-9374-197DB6984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EE22A-4A0C-4FAF-80CB-6A6271D285FD}">
  <ds:schemaRefs>
    <ds:schemaRef ds:uri="http://schemas.microsoft.com/sharepoint/v3/contenttype/forms"/>
  </ds:schemaRefs>
</ds:datastoreItem>
</file>

<file path=customXml/itemProps3.xml><?xml version="1.0" encoding="utf-8"?>
<ds:datastoreItem xmlns:ds="http://schemas.openxmlformats.org/officeDocument/2006/customXml" ds:itemID="{6576906D-FC8D-49D3-9206-7661BF734F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0D4117-DD64-45A6-A532-82EA652B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SGAC10_F.dotm</Template>
  <TotalTime>312</TotalTime>
  <Pages>40</Pages>
  <Words>19733</Words>
  <Characters>103217</Characters>
  <Application>Microsoft Office Word</Application>
  <DocSecurity>0</DocSecurity>
  <Lines>2040</Lines>
  <Paragraphs>852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122452</CharactersWithSpaces>
  <SharedDoc>false</SharedDoc>
  <HLinks>
    <vt:vector size="6" baseType="variant">
      <vt:variant>
        <vt:i4>4259864</vt:i4>
      </vt:variant>
      <vt:variant>
        <vt:i4>0</vt:i4>
      </vt:variant>
      <vt:variant>
        <vt:i4>0</vt:i4>
      </vt:variant>
      <vt:variant>
        <vt:i4>5</vt:i4>
      </vt:variant>
      <vt:variant>
        <vt:lpwstr>https://context.reverso.net/translation/french-english/alcool+tert-butylique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ST/SG/AC.10/48/Add.1</dc:title>
  <dc:subject/>
  <dc:creator>Corrections to printed version</dc:creator>
  <cp:keywords/>
  <cp:lastModifiedBy>Laurence Berthet</cp:lastModifiedBy>
  <cp:revision>217</cp:revision>
  <cp:lastPrinted>2014-05-14T19:59:00Z</cp:lastPrinted>
  <dcterms:created xsi:type="dcterms:W3CDTF">2021-01-12T18:20:00Z</dcterms:created>
  <dcterms:modified xsi:type="dcterms:W3CDTF">2021-03-03T15:09:00Z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