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B57C7FF" w14:textId="77777777" w:rsidTr="00B20551">
        <w:trPr>
          <w:cantSplit/>
          <w:trHeight w:hRule="exact" w:val="851"/>
        </w:trPr>
        <w:tc>
          <w:tcPr>
            <w:tcW w:w="1276" w:type="dxa"/>
            <w:tcBorders>
              <w:bottom w:val="single" w:sz="4" w:space="0" w:color="auto"/>
            </w:tcBorders>
            <w:vAlign w:val="bottom"/>
          </w:tcPr>
          <w:p w14:paraId="4B558F9E" w14:textId="77777777" w:rsidR="009E6CB7" w:rsidRDefault="009E6CB7" w:rsidP="00B20551">
            <w:pPr>
              <w:spacing w:after="80"/>
            </w:pPr>
          </w:p>
        </w:tc>
        <w:tc>
          <w:tcPr>
            <w:tcW w:w="2268" w:type="dxa"/>
            <w:tcBorders>
              <w:bottom w:val="single" w:sz="4" w:space="0" w:color="auto"/>
            </w:tcBorders>
            <w:vAlign w:val="bottom"/>
          </w:tcPr>
          <w:p w14:paraId="2C738ED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83BDB45" w14:textId="214FBDA5" w:rsidR="009E6CB7" w:rsidRPr="00D47EEA" w:rsidRDefault="00040253" w:rsidP="00040253">
            <w:pPr>
              <w:jc w:val="right"/>
            </w:pPr>
            <w:r w:rsidRPr="00040253">
              <w:rPr>
                <w:sz w:val="40"/>
              </w:rPr>
              <w:t>ECE</w:t>
            </w:r>
            <w:r>
              <w:t>/</w:t>
            </w:r>
            <w:proofErr w:type="gramStart"/>
            <w:r>
              <w:t>MP.PP</w:t>
            </w:r>
            <w:proofErr w:type="gramEnd"/>
            <w:r>
              <w:t>/WG.1/2021/9</w:t>
            </w:r>
          </w:p>
        </w:tc>
      </w:tr>
      <w:tr w:rsidR="009E6CB7" w14:paraId="7E092EF4" w14:textId="77777777" w:rsidTr="00B20551">
        <w:trPr>
          <w:cantSplit/>
          <w:trHeight w:hRule="exact" w:val="2835"/>
        </w:trPr>
        <w:tc>
          <w:tcPr>
            <w:tcW w:w="1276" w:type="dxa"/>
            <w:tcBorders>
              <w:top w:val="single" w:sz="4" w:space="0" w:color="auto"/>
              <w:bottom w:val="single" w:sz="12" w:space="0" w:color="auto"/>
            </w:tcBorders>
          </w:tcPr>
          <w:p w14:paraId="51A06AFC" w14:textId="77777777" w:rsidR="009E6CB7" w:rsidRDefault="00686A48" w:rsidP="00B20551">
            <w:pPr>
              <w:spacing w:before="120"/>
            </w:pPr>
            <w:r>
              <w:rPr>
                <w:noProof/>
                <w:lang w:val="fr-CH" w:eastAsia="fr-CH"/>
              </w:rPr>
              <w:drawing>
                <wp:inline distT="0" distB="0" distL="0" distR="0" wp14:anchorId="639A56BB" wp14:editId="32FE36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352E3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BCBC151" w14:textId="77777777" w:rsidR="009E6CB7" w:rsidRDefault="00040253" w:rsidP="00040253">
            <w:pPr>
              <w:spacing w:before="240" w:line="240" w:lineRule="exact"/>
            </w:pPr>
            <w:r>
              <w:t>Distr.: General</w:t>
            </w:r>
          </w:p>
          <w:p w14:paraId="5C130B85" w14:textId="5928FF94" w:rsidR="00040253" w:rsidRDefault="00040253" w:rsidP="00040253">
            <w:pPr>
              <w:spacing w:line="240" w:lineRule="exact"/>
            </w:pPr>
            <w:r>
              <w:t>1</w:t>
            </w:r>
            <w:r w:rsidR="001E400B">
              <w:t xml:space="preserve">7 </w:t>
            </w:r>
            <w:r>
              <w:t>March 2021</w:t>
            </w:r>
          </w:p>
          <w:p w14:paraId="672D881E" w14:textId="77777777" w:rsidR="00040253" w:rsidRDefault="00040253" w:rsidP="00040253">
            <w:pPr>
              <w:spacing w:line="240" w:lineRule="exact"/>
            </w:pPr>
          </w:p>
          <w:p w14:paraId="1D3B1108" w14:textId="58CBD617" w:rsidR="00040253" w:rsidRDefault="00040253" w:rsidP="00040253">
            <w:pPr>
              <w:spacing w:line="240" w:lineRule="exact"/>
            </w:pPr>
            <w:r>
              <w:t>Original: English</w:t>
            </w:r>
          </w:p>
        </w:tc>
      </w:tr>
    </w:tbl>
    <w:p w14:paraId="27D7D234" w14:textId="77777777" w:rsidR="00040253" w:rsidRPr="004F5C50" w:rsidRDefault="00040253" w:rsidP="0066654F">
      <w:pPr>
        <w:spacing w:before="120"/>
        <w:rPr>
          <w:b/>
          <w:bCs/>
          <w:sz w:val="28"/>
          <w:szCs w:val="28"/>
        </w:rPr>
      </w:pPr>
      <w:r w:rsidRPr="004F5C50">
        <w:rPr>
          <w:b/>
          <w:bCs/>
          <w:sz w:val="28"/>
          <w:szCs w:val="28"/>
        </w:rPr>
        <w:t>Economic Commission for Europe</w:t>
      </w:r>
    </w:p>
    <w:p w14:paraId="1DA7EBE3" w14:textId="77777777" w:rsidR="00040253" w:rsidRPr="004F5C50" w:rsidRDefault="00040253"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4E111285" w14:textId="77777777" w:rsidR="00040253" w:rsidRPr="004F5C50" w:rsidRDefault="00040253" w:rsidP="0066654F">
      <w:pPr>
        <w:spacing w:before="120"/>
        <w:rPr>
          <w:b/>
          <w:sz w:val="24"/>
          <w:szCs w:val="24"/>
        </w:rPr>
      </w:pPr>
      <w:r w:rsidRPr="004F5C50">
        <w:rPr>
          <w:b/>
          <w:sz w:val="24"/>
          <w:szCs w:val="24"/>
        </w:rPr>
        <w:t>Working Group of the Parties</w:t>
      </w:r>
    </w:p>
    <w:p w14:paraId="75D30521" w14:textId="77777777" w:rsidR="00040253" w:rsidRPr="00A92930" w:rsidRDefault="00040253" w:rsidP="00040253">
      <w:pPr>
        <w:spacing w:before="120"/>
        <w:rPr>
          <w:b/>
        </w:rPr>
      </w:pPr>
      <w:r w:rsidRPr="00A92930">
        <w:rPr>
          <w:b/>
        </w:rPr>
        <w:t>Twenty-f</w:t>
      </w:r>
      <w:r>
        <w:rPr>
          <w:b/>
        </w:rPr>
        <w:t>ifth</w:t>
      </w:r>
      <w:r w:rsidRPr="00A92930">
        <w:rPr>
          <w:b/>
        </w:rPr>
        <w:t xml:space="preserve"> meeting</w:t>
      </w:r>
    </w:p>
    <w:p w14:paraId="3B78B46E" w14:textId="77777777" w:rsidR="00040253" w:rsidRPr="00C235A8" w:rsidRDefault="00040253" w:rsidP="00040253">
      <w:r w:rsidRPr="00C235A8">
        <w:t xml:space="preserve">Geneva, </w:t>
      </w:r>
      <w:r>
        <w:t>3 May and 7 and 8 June</w:t>
      </w:r>
      <w:r w:rsidRPr="00C235A8">
        <w:t xml:space="preserve"> 20</w:t>
      </w:r>
      <w:r>
        <w:t>21</w:t>
      </w:r>
    </w:p>
    <w:p w14:paraId="20AEBA1A" w14:textId="77777777" w:rsidR="00040253" w:rsidRPr="00C235A8" w:rsidRDefault="00040253" w:rsidP="00040253">
      <w:r w:rsidRPr="00C235A8">
        <w:t xml:space="preserve">Item </w:t>
      </w:r>
      <w:r>
        <w:t>7 (j)</w:t>
      </w:r>
      <w:r w:rsidRPr="00C235A8">
        <w:t xml:space="preserve"> of the provisional agenda</w:t>
      </w:r>
    </w:p>
    <w:p w14:paraId="6A263EA0" w14:textId="77777777" w:rsidR="00040253" w:rsidRPr="009429A9" w:rsidRDefault="00040253" w:rsidP="00040253">
      <w:pPr>
        <w:rPr>
          <w:b/>
          <w:bCs/>
        </w:rPr>
      </w:pPr>
      <w:r w:rsidRPr="0005217C">
        <w:rPr>
          <w:b/>
          <w:bCs/>
        </w:rPr>
        <w:t>Preparations for the seventh session of the Meeting of the Parties:</w:t>
      </w:r>
      <w:r>
        <w:rPr>
          <w:b/>
          <w:bCs/>
        </w:rPr>
        <w:br/>
      </w:r>
      <w:r w:rsidRPr="0005217C">
        <w:rPr>
          <w:b/>
          <w:bCs/>
        </w:rPr>
        <w:t>financial arrangements</w:t>
      </w:r>
    </w:p>
    <w:p w14:paraId="583D6F64" w14:textId="101FDB5C" w:rsidR="00040253" w:rsidRPr="00D52B13" w:rsidRDefault="00040253" w:rsidP="00040253">
      <w:pPr>
        <w:pStyle w:val="HChG"/>
      </w:pPr>
      <w:r>
        <w:tab/>
      </w:r>
      <w:r>
        <w:tab/>
      </w:r>
      <w:r w:rsidRPr="00D52B13">
        <w:t xml:space="preserve">Draft </w:t>
      </w:r>
      <w:r>
        <w:t xml:space="preserve">decision on </w:t>
      </w:r>
      <w:r w:rsidRPr="00D52B13">
        <w:t>financial arrangements under the Convention</w:t>
      </w:r>
      <w:r w:rsidR="0043363A" w:rsidRPr="0043363A">
        <w:rPr>
          <w:rStyle w:val="FootnoteReference"/>
          <w:sz w:val="20"/>
          <w:vertAlign w:val="baseline"/>
        </w:rPr>
        <w:footnoteReference w:customMarkFollows="1" w:id="2"/>
        <w:t>*</w:t>
      </w:r>
      <w:bookmarkStart w:id="0" w:name="_GoBack"/>
      <w:bookmarkEnd w:id="0"/>
    </w:p>
    <w:p w14:paraId="47E7456A" w14:textId="77777777" w:rsidR="00040253" w:rsidRDefault="00040253" w:rsidP="00040253">
      <w:pPr>
        <w:pStyle w:val="H1G"/>
      </w:pPr>
      <w:r w:rsidRPr="009D6381">
        <w:rPr>
          <w:i/>
          <w:iCs/>
          <w:sz w:val="20"/>
        </w:rPr>
        <w:tab/>
      </w:r>
      <w:r>
        <w:rPr>
          <w:i/>
          <w:iCs/>
          <w:sz w:val="20"/>
        </w:rPr>
        <w:tab/>
      </w:r>
      <w:r w:rsidRPr="00D52B13">
        <w:t>Prepared by the</w:t>
      </w:r>
      <w:r>
        <w:t xml:space="preserve"> Bureau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40253" w14:paraId="677F8F6A" w14:textId="77777777" w:rsidTr="00B67EBC">
        <w:trPr>
          <w:jc w:val="center"/>
        </w:trPr>
        <w:tc>
          <w:tcPr>
            <w:tcW w:w="9637" w:type="dxa"/>
            <w:tcBorders>
              <w:top w:val="single" w:sz="4" w:space="0" w:color="auto"/>
              <w:bottom w:val="nil"/>
            </w:tcBorders>
            <w:shd w:val="clear" w:color="auto" w:fill="auto"/>
          </w:tcPr>
          <w:p w14:paraId="0E5ED78A" w14:textId="77777777" w:rsidR="00040253" w:rsidRPr="00C6263E" w:rsidRDefault="00040253" w:rsidP="0050726A">
            <w:pPr>
              <w:spacing w:before="240" w:after="120"/>
              <w:ind w:left="255"/>
              <w:rPr>
                <w:i/>
                <w:sz w:val="24"/>
              </w:rPr>
            </w:pPr>
            <w:r w:rsidRPr="00C6263E">
              <w:rPr>
                <w:i/>
                <w:sz w:val="24"/>
              </w:rPr>
              <w:t>Summary</w:t>
            </w:r>
          </w:p>
        </w:tc>
      </w:tr>
      <w:tr w:rsidR="00040253" w14:paraId="6BBEF7AC" w14:textId="77777777" w:rsidTr="00B67EBC">
        <w:trPr>
          <w:jc w:val="center"/>
        </w:trPr>
        <w:tc>
          <w:tcPr>
            <w:tcW w:w="9637" w:type="dxa"/>
            <w:tcBorders>
              <w:top w:val="nil"/>
              <w:bottom w:val="nil"/>
            </w:tcBorders>
            <w:shd w:val="clear" w:color="auto" w:fill="auto"/>
          </w:tcPr>
          <w:p w14:paraId="23ADBDE3" w14:textId="77777777" w:rsidR="00040253" w:rsidRPr="00E83AD8" w:rsidRDefault="00040253" w:rsidP="0050726A">
            <w:pPr>
              <w:pStyle w:val="SingleTxtG"/>
              <w:spacing w:line="240" w:lineRule="auto"/>
              <w:rPr>
                <w:lang w:eastAsia="en-GB"/>
              </w:rPr>
            </w:pPr>
            <w:r>
              <w:tab/>
            </w:r>
            <w:r>
              <w:tab/>
            </w:r>
            <w:r w:rsidRPr="005008F0">
              <w:t>A</w:t>
            </w:r>
            <w:r>
              <w:t>t its sixth session (</w:t>
            </w:r>
            <w:bookmarkStart w:id="1" w:name="_Hlk35442302"/>
            <w:proofErr w:type="spellStart"/>
            <w:r>
              <w:t>Budva</w:t>
            </w:r>
            <w:proofErr w:type="spellEnd"/>
            <w:r>
              <w:t>, Montenegro, 11</w:t>
            </w:r>
            <w:r>
              <w:rPr>
                <w:spacing w:val="42"/>
                <w:szCs w:val="18"/>
              </w:rPr>
              <w:t>–</w:t>
            </w:r>
            <w:r>
              <w:t>14 September 2017</w:t>
            </w:r>
            <w:bookmarkEnd w:id="1"/>
            <w:r>
              <w:t xml:space="preserve">), </w:t>
            </w:r>
            <w:r w:rsidRPr="00A46135">
              <w:t xml:space="preserve">the Meeting of the Parties to </w:t>
            </w:r>
            <w:r>
              <w:t>the Convention on Access to Information, Public Participation in Decision-making and Access to Justice in Environmental Matters (Aarhus Convention) m</w:t>
            </w:r>
            <w:r w:rsidRPr="00CF6E05">
              <w:t>andate</w:t>
            </w:r>
            <w:r>
              <w:t>d</w:t>
            </w:r>
            <w:r w:rsidRPr="00CF6E05">
              <w:t xml:space="preserve"> the Bureau and the Working Group of the Parties to explore options for more predictable, stable and equitably shared funding, and request</w:t>
            </w:r>
            <w:r>
              <w:t>ed</w:t>
            </w:r>
            <w:r w:rsidRPr="00CF6E05">
              <w:t xml:space="preserve"> them to make the appropriate proposals for the consideration of the Meeting of the Parties at its </w:t>
            </w:r>
            <w:r>
              <w:t>seventh</w:t>
            </w:r>
            <w:r w:rsidRPr="00CF6E05">
              <w:t xml:space="preserve"> session</w:t>
            </w:r>
            <w:r>
              <w:t xml:space="preserve"> </w:t>
            </w:r>
            <w:r w:rsidRPr="00A46135">
              <w:t>(ECE/MP.P</w:t>
            </w:r>
            <w:r>
              <w:t>P</w:t>
            </w:r>
            <w:r w:rsidRPr="00A46135">
              <w:t>/201</w:t>
            </w:r>
            <w:r>
              <w:t>7</w:t>
            </w:r>
            <w:r w:rsidRPr="00A46135">
              <w:t>/</w:t>
            </w:r>
            <w:r>
              <w:t>2</w:t>
            </w:r>
            <w:r w:rsidRPr="00A46135">
              <w:t>/Add.1</w:t>
            </w:r>
            <w:r>
              <w:t>, decision VI/6, operative para. 14</w:t>
            </w:r>
            <w:r w:rsidRPr="00A46135">
              <w:t>)</w:t>
            </w:r>
            <w:r>
              <w:t>.</w:t>
            </w:r>
          </w:p>
          <w:p w14:paraId="5B5A61EA" w14:textId="77777777" w:rsidR="00040253" w:rsidRPr="00A46135" w:rsidRDefault="00040253" w:rsidP="0050726A">
            <w:pPr>
              <w:pStyle w:val="SingleTxtG"/>
              <w:rPr>
                <w:lang w:eastAsia="en-GB"/>
              </w:rPr>
            </w:pPr>
            <w:r>
              <w:tab/>
            </w:r>
            <w:r>
              <w:tab/>
            </w:r>
            <w:r w:rsidRPr="00A46135">
              <w:t xml:space="preserve">The </w:t>
            </w:r>
            <w:r>
              <w:t xml:space="preserve">present document </w:t>
            </w:r>
            <w:r w:rsidRPr="00A46135">
              <w:t xml:space="preserve">was prepared </w:t>
            </w:r>
            <w:r>
              <w:t xml:space="preserve">pursuant </w:t>
            </w:r>
            <w:r w:rsidRPr="00A46135">
              <w:t>to decision</w:t>
            </w:r>
            <w:r>
              <w:t> V</w:t>
            </w:r>
            <w:r w:rsidRPr="00A46135">
              <w:t>I/</w:t>
            </w:r>
            <w:r>
              <w:t xml:space="preserve">6. </w:t>
            </w:r>
            <w:r w:rsidRPr="00003128">
              <w:t xml:space="preserve">The </w:t>
            </w:r>
            <w:r>
              <w:t>document</w:t>
            </w:r>
            <w:r w:rsidRPr="00003128">
              <w:t xml:space="preserve"> includes information on the approach to drafting the future </w:t>
            </w:r>
            <w:r w:rsidRPr="00F71E04">
              <w:t>decision on financial arrangements and an indicative timeline for its preparation. A suggested draft decision on future financial arrangement</w:t>
            </w:r>
            <w:r>
              <w:t>s</w:t>
            </w:r>
            <w:r w:rsidRPr="00F71E04">
              <w:t xml:space="preserve"> is contained in annex</w:t>
            </w:r>
            <w:r>
              <w:t xml:space="preserve"> I</w:t>
            </w:r>
            <w:r w:rsidRPr="00F71E04">
              <w:t xml:space="preserve"> to the present document.</w:t>
            </w:r>
            <w:r w:rsidRPr="00003128">
              <w:t xml:space="preserve"> </w:t>
            </w:r>
            <w:r w:rsidRPr="00EC1379">
              <w:rPr>
                <w:rFonts w:asciiTheme="majorBidi" w:hAnsiTheme="majorBidi" w:cstheme="majorBidi"/>
                <w:lang w:eastAsia="en-GB"/>
              </w:rPr>
              <w:t xml:space="preserve">The major issues for consideration by </w:t>
            </w:r>
            <w:r>
              <w:rPr>
                <w:rFonts w:asciiTheme="majorBidi" w:hAnsiTheme="majorBidi" w:cstheme="majorBidi"/>
                <w:lang w:eastAsia="en-GB"/>
              </w:rPr>
              <w:t xml:space="preserve">the </w:t>
            </w:r>
            <w:r w:rsidRPr="00EC1379">
              <w:rPr>
                <w:rFonts w:asciiTheme="majorBidi" w:hAnsiTheme="majorBidi" w:cstheme="majorBidi"/>
                <w:lang w:eastAsia="en-GB"/>
              </w:rPr>
              <w:t xml:space="preserve">Working Group </w:t>
            </w:r>
            <w:r>
              <w:rPr>
                <w:rFonts w:asciiTheme="majorBidi" w:hAnsiTheme="majorBidi" w:cstheme="majorBidi"/>
                <w:lang w:eastAsia="en-GB"/>
              </w:rPr>
              <w:t xml:space="preserve">will </w:t>
            </w:r>
            <w:r w:rsidRPr="00EC1379">
              <w:rPr>
                <w:rFonts w:asciiTheme="majorBidi" w:hAnsiTheme="majorBidi" w:cstheme="majorBidi"/>
                <w:lang w:eastAsia="en-GB"/>
              </w:rPr>
              <w:t>include: (a) whether the scheme of financial arrangements should be mandatory</w:t>
            </w:r>
            <w:r>
              <w:rPr>
                <w:rFonts w:asciiTheme="majorBidi" w:hAnsiTheme="majorBidi" w:cstheme="majorBidi"/>
                <w:lang w:eastAsia="en-GB"/>
              </w:rPr>
              <w:t>, recommendatory</w:t>
            </w:r>
            <w:r w:rsidRPr="00EC1379">
              <w:rPr>
                <w:rFonts w:asciiTheme="majorBidi" w:hAnsiTheme="majorBidi" w:cstheme="majorBidi"/>
                <w:lang w:eastAsia="en-GB"/>
              </w:rPr>
              <w:t xml:space="preserve"> or voluntary; and (b) whether </w:t>
            </w:r>
            <w:r>
              <w:rPr>
                <w:rFonts w:asciiTheme="majorBidi" w:hAnsiTheme="majorBidi" w:cstheme="majorBidi"/>
                <w:lang w:eastAsia="en-GB"/>
              </w:rPr>
              <w:t xml:space="preserve">the </w:t>
            </w:r>
            <w:r w:rsidRPr="00EC1379">
              <w:rPr>
                <w:rFonts w:asciiTheme="majorBidi" w:hAnsiTheme="majorBidi" w:cstheme="majorBidi"/>
                <w:lang w:eastAsia="en-GB"/>
              </w:rPr>
              <w:t>United Nations scale of assessments should apply to contributions.</w:t>
            </w:r>
          </w:p>
          <w:p w14:paraId="356B2D8B" w14:textId="70FEF3BE" w:rsidR="00040253" w:rsidRDefault="00040253" w:rsidP="0050726A">
            <w:pPr>
              <w:pStyle w:val="SingleTxtG"/>
            </w:pPr>
            <w:r>
              <w:tab/>
            </w:r>
            <w:r>
              <w:tab/>
            </w:r>
            <w:r w:rsidRPr="00A46135">
              <w:t xml:space="preserve">The Working Group </w:t>
            </w:r>
            <w:r>
              <w:t>considered the document at its twenty-fourth</w:t>
            </w:r>
            <w:r w:rsidRPr="000625D6">
              <w:t xml:space="preserve"> meeting </w:t>
            </w:r>
            <w:r>
              <w:t>(Geneva, 1</w:t>
            </w:r>
            <w:r>
              <w:rPr>
                <w:spacing w:val="42"/>
                <w:szCs w:val="18"/>
              </w:rPr>
              <w:t>–</w:t>
            </w:r>
            <w:r>
              <w:t xml:space="preserve">3 July </w:t>
            </w:r>
            <w:r w:rsidRPr="000625D6">
              <w:t>20</w:t>
            </w:r>
            <w:r>
              <w:t>20 (online) and 28</w:t>
            </w:r>
            <w:r>
              <w:rPr>
                <w:spacing w:val="42"/>
                <w:szCs w:val="18"/>
              </w:rPr>
              <w:t>–</w:t>
            </w:r>
            <w:r>
              <w:t>29 October 2020 (hybrid)</w:t>
            </w:r>
            <w:r w:rsidRPr="000625D6">
              <w:t xml:space="preserve">) and </w:t>
            </w:r>
            <w:r>
              <w:t>requested</w:t>
            </w:r>
            <w:r w:rsidRPr="000625D6">
              <w:t xml:space="preserve"> the Bureau to </w:t>
            </w:r>
            <w:r>
              <w:t xml:space="preserve">prepare a draft decision on financial arrangements in the light of the comments by the Working Group for its submission to the twenty-fifth meeting of the Working Group for </w:t>
            </w:r>
            <w:r>
              <w:lastRenderedPageBreak/>
              <w:t>consideration and approval and subsequent submission to the Meeting of the Parties for consideration. The draft decision was circulated to Parties and stakeholders for comments prior to its finalization for the twenty-fifth meeting of the Working Group</w:t>
            </w:r>
            <w:r w:rsidRPr="00A46135">
              <w:t>.</w:t>
            </w:r>
            <w:r>
              <w:t xml:space="preserve"> No comments were received on the draft. The present document is therefore submitted to the twenty-fifth meeting with editorial revisions</w:t>
            </w:r>
            <w:r w:rsidR="005570F8">
              <w:t xml:space="preserve"> only</w:t>
            </w:r>
            <w:r>
              <w:t>.</w:t>
            </w:r>
          </w:p>
        </w:tc>
      </w:tr>
      <w:tr w:rsidR="00040253" w14:paraId="16E95A54" w14:textId="77777777" w:rsidTr="00B67EBC">
        <w:trPr>
          <w:jc w:val="center"/>
        </w:trPr>
        <w:tc>
          <w:tcPr>
            <w:tcW w:w="9637" w:type="dxa"/>
            <w:tcBorders>
              <w:top w:val="nil"/>
            </w:tcBorders>
            <w:shd w:val="clear" w:color="auto" w:fill="auto"/>
          </w:tcPr>
          <w:p w14:paraId="18307AF2" w14:textId="77777777" w:rsidR="00040253" w:rsidRDefault="00040253" w:rsidP="0050726A"/>
        </w:tc>
      </w:tr>
    </w:tbl>
    <w:p w14:paraId="61A824A8" w14:textId="77777777" w:rsidR="009C7617" w:rsidRDefault="009C7617">
      <w:pPr>
        <w:suppressAutoHyphens w:val="0"/>
        <w:spacing w:line="240" w:lineRule="auto"/>
        <w:rPr>
          <w:b/>
          <w:sz w:val="28"/>
        </w:rPr>
      </w:pPr>
      <w:r>
        <w:br w:type="page"/>
      </w:r>
    </w:p>
    <w:p w14:paraId="113AF5C7" w14:textId="5DD30E16" w:rsidR="00040253" w:rsidRPr="00C34819" w:rsidRDefault="00040253" w:rsidP="00040253">
      <w:pPr>
        <w:pStyle w:val="HChG"/>
      </w:pPr>
      <w:r>
        <w:lastRenderedPageBreak/>
        <w:tab/>
      </w:r>
      <w:r w:rsidRPr="00C34819">
        <w:tab/>
      </w:r>
      <w:r w:rsidRPr="009429A9">
        <w:t>Introduction</w:t>
      </w:r>
    </w:p>
    <w:p w14:paraId="1DF37BAF" w14:textId="77777777" w:rsidR="00040253" w:rsidRPr="00092B3B" w:rsidRDefault="00040253" w:rsidP="00040253">
      <w:pPr>
        <w:pStyle w:val="SingleTxtG"/>
      </w:pPr>
      <w:r w:rsidRPr="00003128">
        <w:t>1.</w:t>
      </w:r>
      <w:r w:rsidRPr="00003128">
        <w:tab/>
        <w:t xml:space="preserve">The present note has been prepared </w:t>
      </w:r>
      <w:r w:rsidRPr="00EC1379">
        <w:rPr>
          <w:rFonts w:asciiTheme="majorBidi" w:hAnsiTheme="majorBidi" w:cstheme="majorBidi"/>
        </w:rPr>
        <w:t xml:space="preserve">pursuant to decision </w:t>
      </w:r>
      <w:r>
        <w:rPr>
          <w:rFonts w:asciiTheme="majorBidi" w:hAnsiTheme="majorBidi" w:cstheme="majorBidi"/>
        </w:rPr>
        <w:t>V</w:t>
      </w:r>
      <w:r w:rsidRPr="00EC1379">
        <w:rPr>
          <w:rFonts w:asciiTheme="majorBidi" w:hAnsiTheme="majorBidi" w:cstheme="majorBidi"/>
        </w:rPr>
        <w:t>I/</w:t>
      </w:r>
      <w:r>
        <w:rPr>
          <w:rFonts w:asciiTheme="majorBidi" w:hAnsiTheme="majorBidi" w:cstheme="majorBidi"/>
        </w:rPr>
        <w:t>6</w:t>
      </w:r>
      <w:r w:rsidRPr="00EC1379">
        <w:rPr>
          <w:rFonts w:asciiTheme="majorBidi" w:hAnsiTheme="majorBidi" w:cstheme="majorBidi"/>
        </w:rPr>
        <w:t xml:space="preserve"> of the Meeting of the Parties</w:t>
      </w:r>
      <w:r w:rsidRPr="00044E33">
        <w:t xml:space="preserve"> </w:t>
      </w:r>
      <w:r>
        <w:t>(</w:t>
      </w:r>
      <w:r w:rsidRPr="00044E33">
        <w:rPr>
          <w:rFonts w:asciiTheme="majorBidi" w:hAnsiTheme="majorBidi" w:cstheme="majorBidi"/>
        </w:rPr>
        <w:t>ECE/</w:t>
      </w:r>
      <w:proofErr w:type="gramStart"/>
      <w:r w:rsidRPr="00044E33">
        <w:rPr>
          <w:rFonts w:asciiTheme="majorBidi" w:hAnsiTheme="majorBidi" w:cstheme="majorBidi"/>
        </w:rPr>
        <w:t>MP.PP</w:t>
      </w:r>
      <w:proofErr w:type="gramEnd"/>
      <w:r w:rsidRPr="00044E33">
        <w:rPr>
          <w:rFonts w:asciiTheme="majorBidi" w:hAnsiTheme="majorBidi" w:cstheme="majorBidi"/>
        </w:rPr>
        <w:t>/2017/2/Add.1</w:t>
      </w:r>
      <w:r>
        <w:rPr>
          <w:rFonts w:asciiTheme="majorBidi" w:hAnsiTheme="majorBidi" w:cstheme="majorBidi"/>
        </w:rPr>
        <w:t>),</w:t>
      </w:r>
      <w:r w:rsidRPr="00EC1379">
        <w:rPr>
          <w:rFonts w:asciiTheme="majorBidi" w:hAnsiTheme="majorBidi" w:cstheme="majorBidi"/>
        </w:rPr>
        <w:t xml:space="preserve"> </w:t>
      </w:r>
      <w:r w:rsidRPr="009429A9">
        <w:t>adopted</w:t>
      </w:r>
      <w:r w:rsidRPr="00EC1379">
        <w:rPr>
          <w:rFonts w:asciiTheme="majorBidi" w:hAnsiTheme="majorBidi" w:cstheme="majorBidi"/>
        </w:rPr>
        <w:t xml:space="preserve"> at its </w:t>
      </w:r>
      <w:r>
        <w:rPr>
          <w:rFonts w:asciiTheme="majorBidi" w:hAnsiTheme="majorBidi" w:cstheme="majorBidi"/>
        </w:rPr>
        <w:t>sixth</w:t>
      </w:r>
      <w:r w:rsidRPr="00EC1379">
        <w:rPr>
          <w:rFonts w:asciiTheme="majorBidi" w:hAnsiTheme="majorBidi" w:cstheme="majorBidi"/>
        </w:rPr>
        <w:t xml:space="preserve"> session (</w:t>
      </w:r>
      <w:proofErr w:type="spellStart"/>
      <w:r w:rsidRPr="00044E33">
        <w:rPr>
          <w:rFonts w:asciiTheme="majorBidi" w:hAnsiTheme="majorBidi" w:cstheme="majorBidi"/>
        </w:rPr>
        <w:t>Budva</w:t>
      </w:r>
      <w:proofErr w:type="spellEnd"/>
      <w:r w:rsidRPr="00044E33">
        <w:rPr>
          <w:rFonts w:asciiTheme="majorBidi" w:hAnsiTheme="majorBidi" w:cstheme="majorBidi"/>
        </w:rPr>
        <w:t>, Montenegro, 11–1</w:t>
      </w:r>
      <w:r>
        <w:rPr>
          <w:rFonts w:asciiTheme="majorBidi" w:hAnsiTheme="majorBidi" w:cstheme="majorBidi"/>
        </w:rPr>
        <w:t>4</w:t>
      </w:r>
      <w:r w:rsidRPr="00044E33">
        <w:rPr>
          <w:rFonts w:asciiTheme="majorBidi" w:hAnsiTheme="majorBidi" w:cstheme="majorBidi"/>
        </w:rPr>
        <w:t xml:space="preserve"> September 2017</w:t>
      </w:r>
      <w:r w:rsidRPr="00EC1379">
        <w:rPr>
          <w:rFonts w:asciiTheme="majorBidi" w:hAnsiTheme="majorBidi" w:cstheme="majorBidi"/>
        </w:rPr>
        <w:t xml:space="preserve">). </w:t>
      </w:r>
      <w:r w:rsidRPr="00003128">
        <w:t xml:space="preserve">The note includes information on the approach to drafting the future </w:t>
      </w:r>
      <w:r w:rsidRPr="00F71E04">
        <w:t xml:space="preserve">decision on financial arrangements and an indicative timeline for its preparation. A suggested draft decision on future financial arrangement is </w:t>
      </w:r>
      <w:r w:rsidRPr="00092B3B">
        <w:t>contained in annex</w:t>
      </w:r>
      <w:r>
        <w:t xml:space="preserve"> I</w:t>
      </w:r>
      <w:r w:rsidRPr="00092B3B">
        <w:t xml:space="preserve"> to the present document. </w:t>
      </w:r>
    </w:p>
    <w:p w14:paraId="20DC9861" w14:textId="77777777" w:rsidR="00040253" w:rsidRDefault="00040253" w:rsidP="00040253">
      <w:pPr>
        <w:pStyle w:val="SingleTxtG"/>
      </w:pPr>
      <w:r w:rsidRPr="00092B3B">
        <w:t>2.</w:t>
      </w:r>
      <w:r w:rsidRPr="00092B3B">
        <w:tab/>
        <w:t>The Bureau notes that the current financial scheme, based on voluntary contributions, provides no guidance regarding their amount. The level of contributions fluctuates and makes the funding of extrabudgetary activities and posts unpredictable and far from secure. This has an impact on the secretariat’s ability to carry out long-term planning. A mandatory contribution scheme, aligned with the United Nations scale of assessment</w:t>
      </w:r>
      <w:r>
        <w:t>s</w:t>
      </w:r>
      <w:r w:rsidRPr="00092B3B">
        <w:t xml:space="preserve">, would enhance the financial </w:t>
      </w:r>
      <w:r w:rsidRPr="009429A9">
        <w:t>predictability</w:t>
      </w:r>
      <w:r w:rsidRPr="00092B3B">
        <w:t>, and thus the sustainability, of the work of the secretariat. Moreover, contributions in accordance with the United Nations scale of assessment</w:t>
      </w:r>
      <w:r>
        <w:t>s</w:t>
      </w:r>
      <w:r w:rsidRPr="00092B3B">
        <w:t xml:space="preserve"> would lead to a fairer distribution of the financial burden among the Parties.</w:t>
      </w:r>
      <w:r>
        <w:t xml:space="preserve"> </w:t>
      </w:r>
    </w:p>
    <w:p w14:paraId="49CE96BB" w14:textId="04D04EB8" w:rsidR="00040253" w:rsidRPr="00C34819" w:rsidRDefault="00040253" w:rsidP="00040253">
      <w:pPr>
        <w:pStyle w:val="HChG"/>
      </w:pPr>
      <w:r>
        <w:tab/>
      </w:r>
      <w:r w:rsidRPr="00C34819">
        <w:t>I.</w:t>
      </w:r>
      <w:r w:rsidRPr="00C34819">
        <w:tab/>
        <w:t xml:space="preserve">Approach to the drafting of the </w:t>
      </w:r>
      <w:r>
        <w:t>decision on future financial arrangements</w:t>
      </w:r>
      <w:r w:rsidRPr="00C34819">
        <w:t xml:space="preserve"> </w:t>
      </w:r>
    </w:p>
    <w:p w14:paraId="15796771" w14:textId="77777777" w:rsidR="00040253" w:rsidRDefault="00040253" w:rsidP="00040253">
      <w:pPr>
        <w:pStyle w:val="SingleTxtG"/>
        <w:rPr>
          <w:lang w:eastAsia="en-GB"/>
        </w:rPr>
      </w:pPr>
      <w:r>
        <w:t>3</w:t>
      </w:r>
      <w:r w:rsidRPr="00003128">
        <w:t>.</w:t>
      </w:r>
      <w:r w:rsidRPr="00003128">
        <w:tab/>
      </w:r>
      <w:r>
        <w:t xml:space="preserve">Considering </w:t>
      </w:r>
      <w:r w:rsidRPr="00C6375F">
        <w:t xml:space="preserve">that there </w:t>
      </w:r>
      <w:r>
        <w:t xml:space="preserve">has, to date, been </w:t>
      </w:r>
      <w:r w:rsidRPr="00C6375F">
        <w:t xml:space="preserve">no </w:t>
      </w:r>
      <w:r>
        <w:t xml:space="preserve">consensus regarding the </w:t>
      </w:r>
      <w:r w:rsidRPr="00F14C78">
        <w:t>scheme of contributions (</w:t>
      </w:r>
      <w:r>
        <w:t>for example,</w:t>
      </w:r>
      <w:r w:rsidRPr="00F14C78">
        <w:t xml:space="preserve"> mandatory or voluntary)</w:t>
      </w:r>
      <w:r>
        <w:t xml:space="preserve"> and the introduction of a scheme of assessment of contributions, </w:t>
      </w:r>
      <w:r w:rsidRPr="00003128">
        <w:t xml:space="preserve">it is proposed that the </w:t>
      </w:r>
      <w:r>
        <w:t>draft decision on</w:t>
      </w:r>
      <w:r w:rsidRPr="00003128">
        <w:t xml:space="preserve"> </w:t>
      </w:r>
      <w:r>
        <w:t xml:space="preserve">financial arrangements reflect the different options under consideration </w:t>
      </w:r>
      <w:r w:rsidRPr="00F71E04">
        <w:t xml:space="preserve">and </w:t>
      </w:r>
      <w:r>
        <w:t>the</w:t>
      </w:r>
      <w:r w:rsidRPr="00F71E04">
        <w:t xml:space="preserve"> </w:t>
      </w:r>
      <w:r w:rsidRPr="00EC1379">
        <w:rPr>
          <w:rFonts w:asciiTheme="majorBidi" w:hAnsiTheme="majorBidi" w:cstheme="majorBidi"/>
        </w:rPr>
        <w:t xml:space="preserve">contents of the draft decision be updated, as appropriate. </w:t>
      </w:r>
      <w:bookmarkStart w:id="2" w:name="_Hlk32488641"/>
      <w:r w:rsidRPr="00EC1379">
        <w:rPr>
          <w:rFonts w:asciiTheme="majorBidi" w:hAnsiTheme="majorBidi" w:cstheme="majorBidi"/>
        </w:rPr>
        <w:t xml:space="preserve">Thus, </w:t>
      </w:r>
      <w:r>
        <w:rPr>
          <w:rFonts w:asciiTheme="majorBidi" w:hAnsiTheme="majorBidi" w:cstheme="majorBidi"/>
        </w:rPr>
        <w:t xml:space="preserve">the </w:t>
      </w:r>
      <w:r w:rsidRPr="00EC1379">
        <w:rPr>
          <w:rFonts w:asciiTheme="majorBidi" w:hAnsiTheme="majorBidi" w:cstheme="majorBidi"/>
        </w:rPr>
        <w:t>draft decision cont</w:t>
      </w:r>
      <w:r w:rsidRPr="002851CB">
        <w:rPr>
          <w:rFonts w:asciiTheme="majorBidi" w:hAnsiTheme="majorBidi" w:cstheme="majorBidi"/>
        </w:rPr>
        <w:t>ained in annex</w:t>
      </w:r>
      <w:r>
        <w:rPr>
          <w:rFonts w:asciiTheme="majorBidi" w:hAnsiTheme="majorBidi" w:cstheme="majorBidi"/>
        </w:rPr>
        <w:t xml:space="preserve"> I below</w:t>
      </w:r>
      <w:r w:rsidRPr="002851CB">
        <w:rPr>
          <w:rFonts w:asciiTheme="majorBidi" w:hAnsiTheme="majorBidi" w:cstheme="majorBidi"/>
        </w:rPr>
        <w:t xml:space="preserve"> is based on the current adopted decision VI/6 on financial arrangements</w:t>
      </w:r>
      <w:r>
        <w:rPr>
          <w:rFonts w:asciiTheme="majorBidi" w:hAnsiTheme="majorBidi" w:cstheme="majorBidi"/>
        </w:rPr>
        <w:t xml:space="preserve"> under the Convention</w:t>
      </w:r>
      <w:r w:rsidRPr="002851CB">
        <w:rPr>
          <w:rFonts w:asciiTheme="majorBidi" w:hAnsiTheme="majorBidi" w:cstheme="majorBidi"/>
        </w:rPr>
        <w:t xml:space="preserve">, with new elements related to a mandatory </w:t>
      </w:r>
      <w:r w:rsidRPr="002851CB">
        <w:rPr>
          <w:rFonts w:asciiTheme="majorBidi" w:hAnsiTheme="majorBidi" w:cstheme="majorBidi"/>
          <w:lang w:eastAsia="en-GB"/>
        </w:rPr>
        <w:t>scheme of contributions and to the United Nations scale of assessments derived from</w:t>
      </w:r>
      <w:r w:rsidRPr="002851CB">
        <w:t xml:space="preserve"> draft decision VI/6 on the financial arrangements submitted to the sixth session of the Meeting of the Parties to the Convention (ECE/MP.PP/2017/13</w:t>
      </w:r>
      <w:r>
        <w:t>).</w:t>
      </w:r>
      <w:r w:rsidRPr="002851CB">
        <w:t xml:space="preserve"> </w:t>
      </w:r>
      <w:r>
        <w:t xml:space="preserve">A new option involving a recommendatory scheme was also added as a possible approach to strengthening the current voluntary scheme. </w:t>
      </w:r>
      <w:r>
        <w:rPr>
          <w:rFonts w:asciiTheme="majorBidi" w:hAnsiTheme="majorBidi" w:cstheme="majorBidi"/>
        </w:rPr>
        <w:t>Furthermore, t</w:t>
      </w:r>
      <w:r>
        <w:t xml:space="preserve">he required editorial changes were </w:t>
      </w:r>
      <w:proofErr w:type="gramStart"/>
      <w:r>
        <w:t>made</w:t>
      </w:r>
      <w:proofErr w:type="gramEnd"/>
      <w:r>
        <w:t xml:space="preserve"> and one new paragraph added. </w:t>
      </w:r>
      <w:r>
        <w:rPr>
          <w:rFonts w:asciiTheme="majorBidi" w:hAnsiTheme="majorBidi" w:cstheme="majorBidi"/>
        </w:rPr>
        <w:t xml:space="preserve">To facilitate deliberations by the Working Group, </w:t>
      </w:r>
      <w:r w:rsidRPr="00EC1379">
        <w:rPr>
          <w:rFonts w:asciiTheme="majorBidi" w:hAnsiTheme="majorBidi" w:cstheme="majorBidi"/>
        </w:rPr>
        <w:t xml:space="preserve">revisions to the current </w:t>
      </w:r>
      <w:r>
        <w:rPr>
          <w:rFonts w:asciiTheme="majorBidi" w:hAnsiTheme="majorBidi" w:cstheme="majorBidi"/>
        </w:rPr>
        <w:t xml:space="preserve">adopted </w:t>
      </w:r>
      <w:r w:rsidRPr="00EC1379">
        <w:rPr>
          <w:rFonts w:asciiTheme="majorBidi" w:hAnsiTheme="majorBidi" w:cstheme="majorBidi"/>
        </w:rPr>
        <w:t xml:space="preserve">decision </w:t>
      </w:r>
      <w:r>
        <w:rPr>
          <w:rFonts w:asciiTheme="majorBidi" w:hAnsiTheme="majorBidi" w:cstheme="majorBidi"/>
        </w:rPr>
        <w:t xml:space="preserve">VI/6 </w:t>
      </w:r>
      <w:r w:rsidRPr="00EC1379">
        <w:rPr>
          <w:rFonts w:asciiTheme="majorBidi" w:hAnsiTheme="majorBidi" w:cstheme="majorBidi"/>
        </w:rPr>
        <w:t xml:space="preserve">are shown in track changes in an </w:t>
      </w:r>
      <w:r>
        <w:rPr>
          <w:rFonts w:asciiTheme="majorBidi" w:hAnsiTheme="majorBidi" w:cstheme="majorBidi"/>
        </w:rPr>
        <w:t xml:space="preserve">accompanying </w:t>
      </w:r>
      <w:r w:rsidRPr="009A4BCE">
        <w:rPr>
          <w:rFonts w:asciiTheme="majorBidi" w:hAnsiTheme="majorBidi" w:cstheme="majorBidi"/>
        </w:rPr>
        <w:t>document (</w:t>
      </w:r>
      <w:r w:rsidRPr="00747308">
        <w:t>AC/WGP-24/Inf.10</w:t>
      </w:r>
      <w:r w:rsidRPr="009A4BCE">
        <w:rPr>
          <w:rFonts w:asciiTheme="majorBidi" w:hAnsiTheme="majorBidi" w:cstheme="majorBidi"/>
        </w:rPr>
        <w:t>)</w:t>
      </w:r>
      <w:r>
        <w:rPr>
          <w:rFonts w:asciiTheme="majorBidi" w:hAnsiTheme="majorBidi" w:cstheme="majorBidi"/>
        </w:rPr>
        <w:t>.</w:t>
      </w:r>
      <w:bookmarkEnd w:id="2"/>
      <w:r>
        <w:rPr>
          <w:rFonts w:asciiTheme="majorBidi" w:hAnsiTheme="majorBidi" w:cstheme="majorBidi"/>
        </w:rPr>
        <w:t xml:space="preserve"> </w:t>
      </w:r>
      <w:r w:rsidRPr="002851CB">
        <w:t xml:space="preserve">The draft decision therefore contains </w:t>
      </w:r>
      <w:r>
        <w:t>three</w:t>
      </w:r>
      <w:r w:rsidRPr="002851CB">
        <w:t xml:space="preserve"> options: the current financia</w:t>
      </w:r>
      <w:r>
        <w:t xml:space="preserve">l scheme based on voluntary contributions; a recommendatory scheme; and a </w:t>
      </w:r>
      <w:r w:rsidRPr="006021E4">
        <w:t xml:space="preserve">mandatory scheme </w:t>
      </w:r>
      <w:r>
        <w:t>of contributions</w:t>
      </w:r>
      <w:r w:rsidRPr="006021E4">
        <w:t xml:space="preserve"> </w:t>
      </w:r>
      <w:r>
        <w:t xml:space="preserve">aligned with the United Nations scale of assessments. </w:t>
      </w:r>
      <w:r w:rsidRPr="003A75F0">
        <w:t xml:space="preserve">For greater clarity regarding the different options under </w:t>
      </w:r>
      <w:r w:rsidRPr="00A84F21">
        <w:t xml:space="preserve">consideration for a financial </w:t>
      </w:r>
      <w:r w:rsidRPr="00D06AAF">
        <w:t>scheme, text in bold in the draft decision indicates which option or options are applicable for the suggested text. Option A relates to a financial scheme with voluntary contribution</w:t>
      </w:r>
      <w:r>
        <w:t>s.</w:t>
      </w:r>
      <w:r w:rsidRPr="00D06AAF">
        <w:t xml:space="preserve"> Option B is for</w:t>
      </w:r>
      <w:r>
        <w:t xml:space="preserve"> a financial scheme with recommendatory contributions. Option C is for</w:t>
      </w:r>
      <w:r w:rsidRPr="00D06AAF">
        <w:t xml:space="preserve"> a financial scheme with </w:t>
      </w:r>
      <w:r w:rsidRPr="00DB2CF1">
        <w:t xml:space="preserve">mandatory </w:t>
      </w:r>
      <w:r w:rsidRPr="00D06AAF">
        <w:rPr>
          <w:rFonts w:asciiTheme="majorBidi" w:hAnsiTheme="majorBidi" w:cstheme="majorBidi"/>
        </w:rPr>
        <w:t>contributions.</w:t>
      </w:r>
      <w:r w:rsidRPr="00EC1379">
        <w:rPr>
          <w:rFonts w:asciiTheme="majorBidi" w:hAnsiTheme="majorBidi" w:cstheme="majorBidi"/>
        </w:rPr>
        <w:t xml:space="preserve"> </w:t>
      </w:r>
      <w:r w:rsidRPr="00EC1379">
        <w:rPr>
          <w:rFonts w:asciiTheme="majorBidi" w:hAnsiTheme="majorBidi" w:cstheme="majorBidi"/>
          <w:lang w:eastAsia="en-GB"/>
        </w:rPr>
        <w:t xml:space="preserve">The major issues for consideration by </w:t>
      </w:r>
      <w:r>
        <w:rPr>
          <w:rFonts w:asciiTheme="majorBidi" w:hAnsiTheme="majorBidi" w:cstheme="majorBidi"/>
          <w:lang w:eastAsia="en-GB"/>
        </w:rPr>
        <w:t xml:space="preserve">the </w:t>
      </w:r>
      <w:r w:rsidRPr="00EC1379">
        <w:rPr>
          <w:rFonts w:asciiTheme="majorBidi" w:hAnsiTheme="majorBidi" w:cstheme="majorBidi"/>
          <w:lang w:eastAsia="en-GB"/>
        </w:rPr>
        <w:t xml:space="preserve">Working Group </w:t>
      </w:r>
      <w:r>
        <w:rPr>
          <w:rFonts w:asciiTheme="majorBidi" w:hAnsiTheme="majorBidi" w:cstheme="majorBidi"/>
          <w:lang w:eastAsia="en-GB"/>
        </w:rPr>
        <w:t xml:space="preserve">will </w:t>
      </w:r>
      <w:r w:rsidRPr="00EC1379">
        <w:rPr>
          <w:rFonts w:asciiTheme="majorBidi" w:hAnsiTheme="majorBidi" w:cstheme="majorBidi"/>
          <w:lang w:eastAsia="en-GB"/>
        </w:rPr>
        <w:t>include: (a) whether the scheme of financial arrangements should be mandatory</w:t>
      </w:r>
      <w:r>
        <w:rPr>
          <w:rFonts w:asciiTheme="majorBidi" w:hAnsiTheme="majorBidi" w:cstheme="majorBidi"/>
          <w:lang w:eastAsia="en-GB"/>
        </w:rPr>
        <w:t>, recommendatory</w:t>
      </w:r>
      <w:r w:rsidRPr="00EC1379">
        <w:rPr>
          <w:rFonts w:asciiTheme="majorBidi" w:hAnsiTheme="majorBidi" w:cstheme="majorBidi"/>
          <w:lang w:eastAsia="en-GB"/>
        </w:rPr>
        <w:t xml:space="preserve"> or voluntary; and (b) whether </w:t>
      </w:r>
      <w:r>
        <w:rPr>
          <w:rFonts w:asciiTheme="majorBidi" w:hAnsiTheme="majorBidi" w:cstheme="majorBidi"/>
          <w:lang w:eastAsia="en-GB"/>
        </w:rPr>
        <w:t xml:space="preserve">the </w:t>
      </w:r>
      <w:r w:rsidRPr="00EC1379">
        <w:rPr>
          <w:rFonts w:asciiTheme="majorBidi" w:hAnsiTheme="majorBidi" w:cstheme="majorBidi"/>
          <w:lang w:eastAsia="en-GB"/>
        </w:rPr>
        <w:t>United Nations scale of assessments should apply to contributions.</w:t>
      </w:r>
    </w:p>
    <w:p w14:paraId="6D8215EB" w14:textId="46688B76" w:rsidR="00040253" w:rsidRPr="00C34819" w:rsidRDefault="00040253" w:rsidP="00040253">
      <w:pPr>
        <w:pStyle w:val="HChG"/>
      </w:pPr>
      <w:r>
        <w:tab/>
      </w:r>
      <w:r w:rsidRPr="00C34819">
        <w:t>II.</w:t>
      </w:r>
      <w:r w:rsidRPr="00C34819">
        <w:tab/>
        <w:t xml:space="preserve">Indicative </w:t>
      </w:r>
      <w:r w:rsidRPr="009429A9">
        <w:t>timeline</w:t>
      </w:r>
      <w:r w:rsidRPr="00C34819">
        <w:t xml:space="preserve"> </w:t>
      </w:r>
    </w:p>
    <w:p w14:paraId="328FB73B" w14:textId="77777777" w:rsidR="00040253" w:rsidRPr="00565E24" w:rsidRDefault="00040253" w:rsidP="00040253">
      <w:pPr>
        <w:pStyle w:val="SingleTxtG"/>
      </w:pPr>
      <w:r>
        <w:t>4</w:t>
      </w:r>
      <w:r w:rsidRPr="00565E24">
        <w:t>.</w:t>
      </w:r>
      <w:r w:rsidRPr="00565E24">
        <w:tab/>
        <w:t xml:space="preserve">The below indicative timeline for preparing the </w:t>
      </w:r>
      <w:r>
        <w:t>future decision on financial arrangements</w:t>
      </w:r>
      <w:r w:rsidRPr="00565E24">
        <w:t xml:space="preserve"> takes into consideration the need to: (a) provide Governments, non-governmental organizations (NGOs), the general public and other interested stakeholders with an appropriate time frame for consultations within their respective constituencies, organizations and networks; and (b) ensure that an advance draft of the document is ready for approval by the Working Group of the Parties at its </w:t>
      </w:r>
      <w:r>
        <w:t>twenty-fifth</w:t>
      </w:r>
      <w:r w:rsidRPr="00565E24">
        <w:t xml:space="preserve"> meeting in 202</w:t>
      </w:r>
      <w:r>
        <w:t>1</w:t>
      </w:r>
      <w:r w:rsidRPr="00565E24">
        <w:t xml:space="preserve">, prior to the </w:t>
      </w:r>
      <w:r>
        <w:t>seventh</w:t>
      </w:r>
      <w:r w:rsidRPr="00565E24">
        <w:t xml:space="preserve"> session of the Meeting of the Parties</w:t>
      </w:r>
      <w:r>
        <w:t xml:space="preserve"> (scheduled for October 2021)</w:t>
      </w:r>
      <w:r w:rsidRPr="00565E24">
        <w:t>. This approach is based on previous experience and was welcomed by both Governments and stakeholders, including NGOs, which had the possibility to provide inputs and negotiate text well in advance of its formal adoption.</w:t>
      </w:r>
    </w:p>
    <w:p w14:paraId="4E752AC6" w14:textId="77777777" w:rsidR="00040253" w:rsidRPr="00565E24" w:rsidRDefault="00040253" w:rsidP="00040253">
      <w:pPr>
        <w:pStyle w:val="SingleTxtG"/>
      </w:pPr>
      <w:r>
        <w:lastRenderedPageBreak/>
        <w:t>5</w:t>
      </w:r>
      <w:r w:rsidRPr="00565E24">
        <w:t>.</w:t>
      </w:r>
      <w:r w:rsidRPr="00565E24">
        <w:tab/>
        <w:t>The indicative timeline is as follows:</w:t>
      </w:r>
    </w:p>
    <w:p w14:paraId="7FF6CDAF" w14:textId="77777777" w:rsidR="00040253" w:rsidRPr="00565E24" w:rsidRDefault="00040253" w:rsidP="00040253">
      <w:pPr>
        <w:pStyle w:val="SingleTxtG"/>
        <w:ind w:firstLine="567"/>
      </w:pPr>
      <w:r w:rsidRPr="00565E24">
        <w:t>(a)</w:t>
      </w:r>
      <w:r w:rsidRPr="00565E24">
        <w:tab/>
        <w:t xml:space="preserve">A proposal regarding the preparation of the </w:t>
      </w:r>
      <w:r>
        <w:t>draft decision on financial arrangements</w:t>
      </w:r>
      <w:r w:rsidRPr="00565E24">
        <w:t xml:space="preserve"> </w:t>
      </w:r>
      <w:r>
        <w:t>was</w:t>
      </w:r>
      <w:r w:rsidRPr="00565E24">
        <w:t xml:space="preserve"> submitted to the </w:t>
      </w:r>
      <w:r>
        <w:t xml:space="preserve">twenty-fourth meeting of the </w:t>
      </w:r>
      <w:r w:rsidRPr="00565E24">
        <w:t>Working Group of the Parties (</w:t>
      </w:r>
      <w:r>
        <w:t>Geneva</w:t>
      </w:r>
      <w:r w:rsidRPr="00565E24">
        <w:t xml:space="preserve">, </w:t>
      </w:r>
      <w:r>
        <w:t>1</w:t>
      </w:r>
      <w:r>
        <w:rPr>
          <w:spacing w:val="42"/>
          <w:szCs w:val="18"/>
        </w:rPr>
        <w:t>–</w:t>
      </w:r>
      <w:r>
        <w:t>3 July 2020 (online) and 28</w:t>
      </w:r>
      <w:r>
        <w:rPr>
          <w:spacing w:val="42"/>
          <w:szCs w:val="18"/>
        </w:rPr>
        <w:t>–</w:t>
      </w:r>
      <w:r>
        <w:t>29 October 2020 (hybrid)</w:t>
      </w:r>
      <w:r w:rsidRPr="00565E24">
        <w:t>)</w:t>
      </w:r>
      <w:r>
        <w:t xml:space="preserve"> for consideration</w:t>
      </w:r>
      <w:r w:rsidRPr="00565E24">
        <w:t>;</w:t>
      </w:r>
    </w:p>
    <w:p w14:paraId="3A3DB806" w14:textId="77777777" w:rsidR="00040253" w:rsidRPr="00F71E04" w:rsidRDefault="00040253" w:rsidP="00040253">
      <w:pPr>
        <w:pStyle w:val="SingleTxtG"/>
        <w:ind w:firstLine="567"/>
        <w:rPr>
          <w:rFonts w:asciiTheme="majorBidi" w:hAnsiTheme="majorBidi" w:cstheme="majorBidi"/>
        </w:rPr>
      </w:pPr>
      <w:r w:rsidRPr="00565E24">
        <w:t>(b)</w:t>
      </w:r>
      <w:r w:rsidRPr="00565E24">
        <w:tab/>
        <w:t xml:space="preserve">The revised draft </w:t>
      </w:r>
      <w:r>
        <w:t>decision on financial arrangements</w:t>
      </w:r>
      <w:r w:rsidRPr="00565E24">
        <w:t xml:space="preserve"> </w:t>
      </w:r>
      <w:r>
        <w:t xml:space="preserve">would be </w:t>
      </w:r>
      <w:r w:rsidRPr="00565E24">
        <w:t xml:space="preserve">prepared, </w:t>
      </w:r>
      <w:proofErr w:type="gramStart"/>
      <w:r w:rsidRPr="00565E24">
        <w:t>taking into account</w:t>
      </w:r>
      <w:proofErr w:type="gramEnd"/>
      <w:r w:rsidRPr="00565E24">
        <w:t xml:space="preserve"> the comments received at the </w:t>
      </w:r>
      <w:r>
        <w:t xml:space="preserve">twenty-fourth </w:t>
      </w:r>
      <w:r w:rsidRPr="00565E24">
        <w:t>meeting of the Working Group of the Parties, and made available online to Parties, NGOs, the general public and other interested stakeholders for comments</w:t>
      </w:r>
      <w:r w:rsidRPr="00F71E04">
        <w:rPr>
          <w:rFonts w:asciiTheme="majorBidi" w:hAnsiTheme="majorBidi" w:cstheme="majorBidi"/>
        </w:rPr>
        <w:t>;</w:t>
      </w:r>
    </w:p>
    <w:p w14:paraId="6CC984FC" w14:textId="77777777" w:rsidR="00040253" w:rsidRDefault="00040253" w:rsidP="00040253">
      <w:pPr>
        <w:pStyle w:val="SingleTxtG"/>
        <w:ind w:firstLine="567"/>
        <w:rPr>
          <w:b/>
          <w:sz w:val="28"/>
        </w:rPr>
      </w:pPr>
      <w:r w:rsidRPr="00F71E04">
        <w:rPr>
          <w:rFonts w:asciiTheme="majorBidi" w:hAnsiTheme="majorBidi" w:cstheme="majorBidi"/>
        </w:rPr>
        <w:t>(c)</w:t>
      </w:r>
      <w:r w:rsidRPr="00F71E04">
        <w:rPr>
          <w:rFonts w:asciiTheme="majorBidi" w:hAnsiTheme="majorBidi" w:cstheme="majorBidi"/>
        </w:rPr>
        <w:tab/>
        <w:t xml:space="preserve">Taking into account the comments received, the revised draft decision on financial arrangements </w:t>
      </w:r>
      <w:r>
        <w:rPr>
          <w:rFonts w:asciiTheme="majorBidi" w:hAnsiTheme="majorBidi" w:cstheme="majorBidi"/>
        </w:rPr>
        <w:t>would</w:t>
      </w:r>
      <w:r w:rsidRPr="00F71E04">
        <w:rPr>
          <w:rFonts w:asciiTheme="majorBidi" w:hAnsiTheme="majorBidi" w:cstheme="majorBidi"/>
        </w:rPr>
        <w:t xml:space="preserve"> be prepared by the Bureau, made available online for comments and submitted to the </w:t>
      </w:r>
      <w:r>
        <w:rPr>
          <w:rFonts w:asciiTheme="majorBidi" w:hAnsiTheme="majorBidi" w:cstheme="majorBidi"/>
        </w:rPr>
        <w:t xml:space="preserve">twenty-fifth meeting of the </w:t>
      </w:r>
      <w:r w:rsidRPr="00F71E04">
        <w:rPr>
          <w:rFonts w:asciiTheme="majorBidi" w:hAnsiTheme="majorBidi" w:cstheme="majorBidi"/>
        </w:rPr>
        <w:t>Working Group of the Parties for further discussion and approval</w:t>
      </w:r>
      <w:r>
        <w:rPr>
          <w:rFonts w:asciiTheme="majorBidi" w:hAnsiTheme="majorBidi" w:cstheme="majorBidi"/>
        </w:rPr>
        <w:t>,</w:t>
      </w:r>
      <w:r w:rsidRPr="00F71E04">
        <w:rPr>
          <w:rFonts w:asciiTheme="majorBidi" w:hAnsiTheme="majorBidi" w:cstheme="majorBidi"/>
        </w:rPr>
        <w:t xml:space="preserve"> with a view to submitting it for adoption by the Meeting of the Parties at its </w:t>
      </w:r>
      <w:r>
        <w:rPr>
          <w:rFonts w:asciiTheme="majorBidi" w:hAnsiTheme="majorBidi" w:cstheme="majorBidi"/>
        </w:rPr>
        <w:t xml:space="preserve">seventh </w:t>
      </w:r>
      <w:r w:rsidRPr="00F71E04">
        <w:rPr>
          <w:rFonts w:asciiTheme="majorBidi" w:hAnsiTheme="majorBidi" w:cstheme="majorBidi"/>
        </w:rPr>
        <w:t>session</w:t>
      </w:r>
      <w:r>
        <w:rPr>
          <w:rFonts w:asciiTheme="majorBidi" w:hAnsiTheme="majorBidi" w:cstheme="majorBidi"/>
        </w:rPr>
        <w:t>.</w:t>
      </w:r>
    </w:p>
    <w:p w14:paraId="09FFAA57" w14:textId="77777777" w:rsidR="00040253" w:rsidRDefault="00040253" w:rsidP="00040253">
      <w:pPr>
        <w:suppressAutoHyphens w:val="0"/>
        <w:spacing w:line="240" w:lineRule="auto"/>
        <w:rPr>
          <w:b/>
          <w:sz w:val="28"/>
        </w:rPr>
      </w:pPr>
      <w:r>
        <w:rPr>
          <w:b/>
          <w:sz w:val="28"/>
        </w:rPr>
        <w:br w:type="page"/>
      </w:r>
    </w:p>
    <w:p w14:paraId="30368993" w14:textId="77777777" w:rsidR="00040253" w:rsidRPr="00A477CF" w:rsidRDefault="00040253" w:rsidP="00040253">
      <w:pPr>
        <w:pStyle w:val="HChG"/>
      </w:pPr>
      <w:r w:rsidRPr="007E7D69">
        <w:lastRenderedPageBreak/>
        <w:t>Annex</w:t>
      </w:r>
      <w:r w:rsidRPr="00A477CF">
        <w:t xml:space="preserve"> I</w:t>
      </w:r>
    </w:p>
    <w:p w14:paraId="37488832" w14:textId="77777777" w:rsidR="00040253" w:rsidRPr="0055219F" w:rsidRDefault="00040253" w:rsidP="00040253">
      <w:pPr>
        <w:pStyle w:val="SingleTxtG"/>
        <w:rPr>
          <w:i/>
          <w:iCs/>
        </w:rPr>
      </w:pPr>
      <w:r>
        <w:rPr>
          <w:b/>
          <w:sz w:val="28"/>
        </w:rPr>
        <w:tab/>
      </w:r>
      <w:r>
        <w:tab/>
      </w:r>
      <w:r w:rsidRPr="0055219F">
        <w:rPr>
          <w:i/>
          <w:iCs/>
        </w:rPr>
        <w:t>The Meeting of the Parties,</w:t>
      </w:r>
    </w:p>
    <w:p w14:paraId="749DBE0D" w14:textId="77777777" w:rsidR="00040253" w:rsidRPr="003C1C89" w:rsidRDefault="00040253" w:rsidP="00040253">
      <w:pPr>
        <w:pStyle w:val="SingleTxtG"/>
      </w:pPr>
      <w:r w:rsidRPr="003C1C89">
        <w:tab/>
      </w:r>
      <w:r>
        <w:tab/>
      </w:r>
      <w:r w:rsidRPr="003C1C89">
        <w:rPr>
          <w:i/>
        </w:rPr>
        <w:t>Recalling</w:t>
      </w:r>
      <w:r w:rsidRPr="003C1C89">
        <w:t xml:space="preserve"> article 10, paragraph 3, of the Convention on Access to Information, Public Participation in Decision-making and Access to Justice in Environmental Matters (Aarhus Convention), which states that the Meeting of the Parties to the Convention may, as necessary, consider establishing financial arrangements on a consensus basis,</w:t>
      </w:r>
    </w:p>
    <w:p w14:paraId="6290FB65" w14:textId="77777777" w:rsidR="00040253" w:rsidRPr="003C1C89" w:rsidRDefault="00040253" w:rsidP="00040253">
      <w:pPr>
        <w:pStyle w:val="SingleTxtG"/>
      </w:pPr>
      <w:r w:rsidRPr="003C1C89">
        <w:tab/>
      </w:r>
      <w:r>
        <w:tab/>
      </w:r>
      <w:r>
        <w:rPr>
          <w:i/>
        </w:rPr>
        <w:t>R</w:t>
      </w:r>
      <w:r w:rsidRPr="003C1C89">
        <w:rPr>
          <w:i/>
        </w:rPr>
        <w:t>ecalling</w:t>
      </w:r>
      <w:r>
        <w:rPr>
          <w:i/>
        </w:rPr>
        <w:t xml:space="preserve"> also</w:t>
      </w:r>
      <w:r w:rsidRPr="003C1C89">
        <w:t xml:space="preserve"> its decisions I/13,</w:t>
      </w:r>
      <w:r>
        <w:rPr>
          <w:rStyle w:val="FootnoteReference"/>
        </w:rPr>
        <w:footnoteReference w:id="3"/>
      </w:r>
      <w:r w:rsidRPr="003C1C89">
        <w:t xml:space="preserve"> II/6,</w:t>
      </w:r>
      <w:r>
        <w:rPr>
          <w:rStyle w:val="FootnoteReference"/>
        </w:rPr>
        <w:footnoteReference w:id="4"/>
      </w:r>
      <w:r w:rsidRPr="003C1C89">
        <w:t xml:space="preserve"> III/7,</w:t>
      </w:r>
      <w:r>
        <w:rPr>
          <w:rStyle w:val="FootnoteReference"/>
        </w:rPr>
        <w:footnoteReference w:id="5"/>
      </w:r>
      <w:r w:rsidRPr="003C1C89">
        <w:t xml:space="preserve"> IV/7</w:t>
      </w:r>
      <w:r>
        <w:t>,</w:t>
      </w:r>
      <w:r w:rsidRPr="00F047DA">
        <w:rPr>
          <w:rStyle w:val="FootnoteReference"/>
        </w:rPr>
        <w:t xml:space="preserve"> </w:t>
      </w:r>
      <w:r>
        <w:rPr>
          <w:rStyle w:val="FootnoteReference"/>
        </w:rPr>
        <w:footnoteReference w:id="6"/>
      </w:r>
      <w:r w:rsidRPr="003C1C89">
        <w:t xml:space="preserve"> </w:t>
      </w:r>
      <w:r>
        <w:t>V/7</w:t>
      </w:r>
      <w:r>
        <w:rPr>
          <w:rStyle w:val="FootnoteReference"/>
        </w:rPr>
        <w:footnoteReference w:id="7"/>
      </w:r>
      <w:r>
        <w:t xml:space="preserve"> and VI/6</w:t>
      </w:r>
      <w:r w:rsidRPr="003C1C89">
        <w:t>,</w:t>
      </w:r>
      <w:r>
        <w:rPr>
          <w:rStyle w:val="FootnoteReference"/>
        </w:rPr>
        <w:footnoteReference w:id="8"/>
      </w:r>
      <w:r w:rsidRPr="003C1C89">
        <w:t xml:space="preserve"> through which an interim voluntary scheme of contributions, open to contributions from Parties, </w:t>
      </w:r>
      <w:r>
        <w:t>S</w:t>
      </w:r>
      <w:r w:rsidRPr="003C1C89">
        <w:t xml:space="preserve">ignatories and other States having opted to participate </w:t>
      </w:r>
      <w:r>
        <w:t>there</w:t>
      </w:r>
      <w:r w:rsidRPr="003C1C89">
        <w:t>in, has been established and maintained,</w:t>
      </w:r>
    </w:p>
    <w:p w14:paraId="6F094980" w14:textId="77777777" w:rsidR="00040253" w:rsidRPr="003C1C89" w:rsidRDefault="00040253" w:rsidP="00040253">
      <w:pPr>
        <w:pStyle w:val="SingleTxtG"/>
      </w:pPr>
      <w:r w:rsidRPr="003C1C89">
        <w:rPr>
          <w:i/>
        </w:rPr>
        <w:tab/>
      </w:r>
      <w:r>
        <w:rPr>
          <w:i/>
        </w:rPr>
        <w:tab/>
      </w:r>
      <w:r w:rsidRPr="003C1C89">
        <w:rPr>
          <w:i/>
        </w:rPr>
        <w:t>Having considered</w:t>
      </w:r>
      <w:r w:rsidRPr="003C1C89">
        <w:t xml:space="preserve"> the outcomes of the assessment of the current interim scheme of contributions (ECE/MP.PP/WG.1/2013/9)</w:t>
      </w:r>
      <w:r>
        <w:t>,</w:t>
      </w:r>
      <w:r w:rsidRPr="003C1C89">
        <w:t xml:space="preserve"> and recalling discussions </w:t>
      </w:r>
      <w:r>
        <w:t xml:space="preserve">and decisions </w:t>
      </w:r>
      <w:r w:rsidRPr="003C1C89">
        <w:t xml:space="preserve">at each </w:t>
      </w:r>
      <w:r>
        <w:t xml:space="preserve">of the </w:t>
      </w:r>
      <w:r w:rsidRPr="003C1C89">
        <w:t>previous session</w:t>
      </w:r>
      <w:r>
        <w:t>s</w:t>
      </w:r>
      <w:r w:rsidRPr="003C1C89">
        <w:t xml:space="preserve"> of the Meeting of the Parties on financial arrangements under the Convention</w:t>
      </w:r>
      <w:r>
        <w:t xml:space="preserve"> [</w:t>
      </w:r>
      <w:r w:rsidRPr="00040F96">
        <w:t>about the need to establish financial arrangements based on the goals of stability, predictability and an equitable sharing of the burden]</w:t>
      </w:r>
      <w:r w:rsidRPr="003C1C89">
        <w:t>,</w:t>
      </w:r>
    </w:p>
    <w:p w14:paraId="52559E59" w14:textId="77777777" w:rsidR="00040253" w:rsidRPr="003C1C89" w:rsidRDefault="00040253" w:rsidP="00040253">
      <w:pPr>
        <w:pStyle w:val="SingleTxtG"/>
      </w:pPr>
      <w:r w:rsidRPr="003C1C89">
        <w:tab/>
      </w:r>
      <w:r>
        <w:tab/>
      </w:r>
      <w:r w:rsidRPr="003C1C89">
        <w:rPr>
          <w:i/>
        </w:rPr>
        <w:t>Recognizing</w:t>
      </w:r>
      <w:r w:rsidRPr="003C1C89">
        <w:t xml:space="preserve"> the need to:</w:t>
      </w:r>
    </w:p>
    <w:p w14:paraId="39A89712" w14:textId="77777777" w:rsidR="00040253" w:rsidRPr="003C1C89" w:rsidRDefault="00040253" w:rsidP="00040253">
      <w:pPr>
        <w:spacing w:after="120"/>
        <w:ind w:left="1134" w:right="1134" w:firstLine="567"/>
        <w:jc w:val="both"/>
      </w:pPr>
      <w:r w:rsidRPr="003C1C89">
        <w:t>(a)</w:t>
      </w:r>
      <w:r w:rsidRPr="003C1C89">
        <w:tab/>
        <w:t xml:space="preserve">Ensure that </w:t>
      </w:r>
      <w:proofErr w:type="gramStart"/>
      <w:r w:rsidRPr="003C1C89">
        <w:t>sufficient</w:t>
      </w:r>
      <w:proofErr w:type="gramEnd"/>
      <w:r w:rsidRPr="003C1C89">
        <w:t xml:space="preserve"> resources are available to implement the Convention’s work programme for 20</w:t>
      </w:r>
      <w:r>
        <w:t>22</w:t>
      </w:r>
      <w:r w:rsidRPr="003C1C89">
        <w:t>–202</w:t>
      </w:r>
      <w:r>
        <w:t>5</w:t>
      </w:r>
      <w:r w:rsidRPr="003C1C89">
        <w:t>, adopted through decision V</w:t>
      </w:r>
      <w:r>
        <w:t>I</w:t>
      </w:r>
      <w:r w:rsidRPr="003C1C89">
        <w:t>I/…</w:t>
      </w:r>
      <w:r>
        <w:t>,</w:t>
      </w:r>
    </w:p>
    <w:p w14:paraId="13B8661B" w14:textId="77777777" w:rsidR="00040253" w:rsidRPr="003C1C89" w:rsidRDefault="00040253" w:rsidP="00040253">
      <w:pPr>
        <w:spacing w:after="120"/>
        <w:ind w:left="1134" w:right="1134" w:firstLine="567"/>
        <w:jc w:val="both"/>
      </w:pPr>
      <w:r w:rsidRPr="003C1C89">
        <w:t>(b)</w:t>
      </w:r>
      <w:r w:rsidRPr="003C1C89">
        <w:tab/>
        <w:t xml:space="preserve">Ensure a scheme of financial contributions that is transparent and accessible to all Parties, </w:t>
      </w:r>
      <w:r>
        <w:t>S</w:t>
      </w:r>
      <w:r w:rsidRPr="003C1C89">
        <w:t>ignatories and other States and organizations wishing to contribute</w:t>
      </w:r>
      <w:r>
        <w:t>,</w:t>
      </w:r>
    </w:p>
    <w:p w14:paraId="2431E81C" w14:textId="77777777" w:rsidR="00040253" w:rsidRPr="003C1C89" w:rsidRDefault="00040253" w:rsidP="00040253">
      <w:pPr>
        <w:spacing w:after="120"/>
        <w:ind w:left="1134" w:right="1134" w:firstLine="567"/>
        <w:jc w:val="both"/>
      </w:pPr>
      <w:r w:rsidRPr="003C1C89">
        <w:t>(c)</w:t>
      </w:r>
      <w:r w:rsidRPr="003C1C89">
        <w:tab/>
        <w:t xml:space="preserve">Establish financial arrangements under the Convention based on the principles of an equitable sharing of the burden, stable and predictable sources of funding, accountability and sound financial management, </w:t>
      </w:r>
    </w:p>
    <w:p w14:paraId="29A24CE5" w14:textId="77777777" w:rsidR="00040253" w:rsidRPr="003C1C89" w:rsidRDefault="00040253" w:rsidP="00040253">
      <w:pPr>
        <w:pStyle w:val="SingleTxtG"/>
      </w:pPr>
      <w:r w:rsidRPr="003C1C89">
        <w:tab/>
      </w:r>
      <w:r>
        <w:tab/>
        <w:t>[</w:t>
      </w:r>
      <w:r w:rsidRPr="003C1C89">
        <w:rPr>
          <w:i/>
        </w:rPr>
        <w:t>Expressing its serious concern</w:t>
      </w:r>
      <w:r w:rsidRPr="003C1C89">
        <w:t xml:space="preserve"> that the financial burden has not been evenly distributed during the current intersessional period, with several Parties and </w:t>
      </w:r>
      <w:r>
        <w:t>S</w:t>
      </w:r>
      <w:r w:rsidRPr="003C1C89">
        <w:t>ignatories not contributing at all,</w:t>
      </w:r>
      <w:r>
        <w:t>]</w:t>
      </w:r>
      <w:r>
        <w:rPr>
          <w:rStyle w:val="FootnoteReference"/>
        </w:rPr>
        <w:footnoteReference w:id="9"/>
      </w:r>
    </w:p>
    <w:p w14:paraId="526CB50C" w14:textId="77777777" w:rsidR="00040253" w:rsidRDefault="00040253" w:rsidP="00040253">
      <w:pPr>
        <w:pStyle w:val="SingleTxtG"/>
      </w:pPr>
      <w:r>
        <w:tab/>
      </w:r>
      <w:r w:rsidRPr="003C1C89">
        <w:tab/>
      </w:r>
      <w:r w:rsidRPr="003C1C89">
        <w:rPr>
          <w:i/>
        </w:rPr>
        <w:t xml:space="preserve">Believing </w:t>
      </w:r>
      <w:r w:rsidRPr="003C1C89">
        <w:t xml:space="preserve">that alternative options to the financial arrangements in place under the Convention </w:t>
      </w:r>
      <w:r>
        <w:t>should</w:t>
      </w:r>
      <w:r w:rsidRPr="003C1C89">
        <w:t xml:space="preserve"> be considered by the Meeting of the Parties at its next session to ensure that the arrangements meet the goals of stability, predictability and an equitable sharing of the burden,</w:t>
      </w:r>
    </w:p>
    <w:p w14:paraId="2F6A6E9E" w14:textId="77777777" w:rsidR="00040253" w:rsidRPr="00DB2CF1" w:rsidRDefault="00040253" w:rsidP="00040253">
      <w:pPr>
        <w:pStyle w:val="SingleTxtG"/>
      </w:pPr>
      <w:r>
        <w:tab/>
      </w:r>
      <w:r w:rsidRPr="003C1C89">
        <w:tab/>
        <w:t>1.</w:t>
      </w:r>
      <w:r w:rsidRPr="003C1C89">
        <w:tab/>
      </w:r>
      <w:r w:rsidRPr="00D06AAF">
        <w:rPr>
          <w:b/>
          <w:bCs/>
        </w:rPr>
        <w:t>Option A for voluntary contributions:</w:t>
      </w:r>
      <w:r w:rsidRPr="00D06AAF">
        <w:t xml:space="preserve"> [</w:t>
      </w:r>
      <w:r w:rsidRPr="00D06AAF">
        <w:rPr>
          <w:i/>
        </w:rPr>
        <w:t>Agrees</w:t>
      </w:r>
      <w:r w:rsidRPr="00D06AAF">
        <w:t xml:space="preserve"> to continue to use the existing interim scheme of contributions as reflected in decision VI/6 of the Meeting of the Pa</w:t>
      </w:r>
      <w:r w:rsidRPr="00DB2CF1">
        <w:t>rties to the Convention</w:t>
      </w:r>
      <w:r w:rsidRPr="00DD4017">
        <w:t xml:space="preserve"> </w:t>
      </w:r>
      <w:r>
        <w:t>(</w:t>
      </w:r>
      <w:r w:rsidRPr="00DD4017">
        <w:t>ECE/MP.PP/2017/2/Add.1</w:t>
      </w:r>
      <w:r>
        <w:t>)</w:t>
      </w:r>
      <w:r w:rsidRPr="00D06AAF">
        <w:t xml:space="preserve">] </w:t>
      </w:r>
      <w:r w:rsidRPr="00D06AAF">
        <w:rPr>
          <w:b/>
          <w:bCs/>
        </w:rPr>
        <w:t xml:space="preserve">Option B </w:t>
      </w:r>
      <w:r>
        <w:rPr>
          <w:b/>
          <w:bCs/>
        </w:rPr>
        <w:t xml:space="preserve">for recommendatory contributions: </w:t>
      </w:r>
      <w:r w:rsidRPr="00D06AAF">
        <w:rPr>
          <w:sz w:val="18"/>
          <w:szCs w:val="18"/>
        </w:rPr>
        <w:t>[</w:t>
      </w:r>
      <w:r w:rsidRPr="00D06AAF">
        <w:rPr>
          <w:i/>
          <w:iCs/>
        </w:rPr>
        <w:t>Establishes</w:t>
      </w:r>
      <w:r w:rsidRPr="00D06AAF">
        <w:t xml:space="preserve"> a </w:t>
      </w:r>
      <w:r>
        <w:t>recommendatory</w:t>
      </w:r>
      <w:r w:rsidRPr="00D06AAF">
        <w:t xml:space="preserve"> scheme of contributions</w:t>
      </w:r>
      <w:r w:rsidRPr="00D06AAF">
        <w:rPr>
          <w:sz w:val="18"/>
          <w:szCs w:val="18"/>
        </w:rPr>
        <w:t xml:space="preserve">] </w:t>
      </w:r>
      <w:r w:rsidRPr="00D06AAF">
        <w:rPr>
          <w:b/>
          <w:bCs/>
        </w:rPr>
        <w:t xml:space="preserve">Option </w:t>
      </w:r>
      <w:r>
        <w:rPr>
          <w:b/>
          <w:bCs/>
        </w:rPr>
        <w:t>C</w:t>
      </w:r>
      <w:r w:rsidRPr="00D06AAF">
        <w:rPr>
          <w:b/>
          <w:bCs/>
        </w:rPr>
        <w:t xml:space="preserve"> for mandatory contributions:</w:t>
      </w:r>
      <w:r w:rsidRPr="00D06AAF">
        <w:rPr>
          <w:sz w:val="18"/>
          <w:szCs w:val="18"/>
        </w:rPr>
        <w:t xml:space="preserve"> [</w:t>
      </w:r>
      <w:r w:rsidRPr="00D06AAF">
        <w:rPr>
          <w:i/>
          <w:iCs/>
        </w:rPr>
        <w:t>Establishes</w:t>
      </w:r>
      <w:r w:rsidRPr="00D06AAF">
        <w:t xml:space="preserve"> a mandatory scheme of contributions</w:t>
      </w:r>
      <w:r w:rsidRPr="00D06AAF">
        <w:rPr>
          <w:sz w:val="18"/>
          <w:szCs w:val="18"/>
        </w:rPr>
        <w:t xml:space="preserve">] </w:t>
      </w:r>
      <w:r w:rsidRPr="00D06AAF">
        <w:t>aimed at covering the costs of activities under the work programme that are not covered by the United Nations re</w:t>
      </w:r>
      <w:r w:rsidRPr="00DB2CF1">
        <w:t>gular budget, based on the following principles:</w:t>
      </w:r>
    </w:p>
    <w:p w14:paraId="21227466" w14:textId="77777777" w:rsidR="00040253" w:rsidRPr="0064610D" w:rsidRDefault="00040253" w:rsidP="00040253">
      <w:pPr>
        <w:spacing w:after="120"/>
        <w:ind w:left="1134" w:right="1134" w:firstLine="567"/>
        <w:jc w:val="both"/>
      </w:pPr>
      <w:r w:rsidRPr="0064610D">
        <w:t>(a)</w:t>
      </w:r>
      <w:r w:rsidRPr="0064610D">
        <w:tab/>
        <w:t>The Parties should collectively ensure that the costs of the activities of the work programme that are not covered by the United Nations regular budget are covered through the financial scheme</w:t>
      </w:r>
      <w:r>
        <w:t>;</w:t>
      </w:r>
    </w:p>
    <w:p w14:paraId="41D82E18" w14:textId="77777777" w:rsidR="00040253" w:rsidRPr="003C1C89" w:rsidRDefault="00040253" w:rsidP="00040253">
      <w:pPr>
        <w:pStyle w:val="SingleTxtG"/>
        <w:ind w:firstLine="567"/>
      </w:pPr>
      <w:r w:rsidRPr="0064610D">
        <w:rPr>
          <w:rFonts w:asciiTheme="majorBidi" w:hAnsiTheme="majorBidi" w:cstheme="majorBidi"/>
          <w:b/>
        </w:rPr>
        <w:t xml:space="preserve">Relevant for Option </w:t>
      </w:r>
      <w:r>
        <w:rPr>
          <w:rFonts w:asciiTheme="majorBidi" w:hAnsiTheme="majorBidi" w:cstheme="majorBidi"/>
          <w:b/>
        </w:rPr>
        <w:t>C</w:t>
      </w:r>
      <w:r w:rsidRPr="00D06AAF">
        <w:rPr>
          <w:rFonts w:asciiTheme="majorBidi" w:hAnsiTheme="majorBidi" w:cstheme="majorBidi"/>
          <w:b/>
        </w:rPr>
        <w:t xml:space="preserve"> only:</w:t>
      </w:r>
      <w:r w:rsidRPr="006021E4">
        <w:rPr>
          <w:rFonts w:asciiTheme="majorBidi" w:hAnsiTheme="majorBidi" w:cstheme="majorBidi"/>
          <w:spacing w:val="-1"/>
        </w:rPr>
        <w:t xml:space="preserve"> </w:t>
      </w:r>
      <w:r w:rsidRPr="003C1C89">
        <w:rPr>
          <w:spacing w:val="-1"/>
        </w:rPr>
        <w:t>[(b</w:t>
      </w:r>
      <w:r w:rsidRPr="003C1C89">
        <w:t>)</w:t>
      </w:r>
      <w:r w:rsidRPr="003C1C89">
        <w:rPr>
          <w:spacing w:val="38"/>
        </w:rPr>
        <w:tab/>
      </w:r>
      <w:r w:rsidRPr="003C1C89">
        <w:t>The</w:t>
      </w:r>
      <w:r w:rsidRPr="003C1C89">
        <w:rPr>
          <w:spacing w:val="8"/>
        </w:rPr>
        <w:t xml:space="preserve"> </w:t>
      </w:r>
      <w:r w:rsidRPr="003C1C89">
        <w:t>bu</w:t>
      </w:r>
      <w:r w:rsidRPr="003C1C89">
        <w:rPr>
          <w:spacing w:val="-1"/>
        </w:rPr>
        <w:t>r</w:t>
      </w:r>
      <w:r w:rsidRPr="003C1C89">
        <w:t>d</w:t>
      </w:r>
      <w:r w:rsidRPr="003C1C89">
        <w:rPr>
          <w:spacing w:val="1"/>
        </w:rPr>
        <w:t>e</w:t>
      </w:r>
      <w:r w:rsidRPr="003C1C89">
        <w:t>n</w:t>
      </w:r>
      <w:r w:rsidRPr="003C1C89">
        <w:rPr>
          <w:spacing w:val="15"/>
        </w:rPr>
        <w:t xml:space="preserve"> </w:t>
      </w:r>
      <w:r w:rsidRPr="003C1C89">
        <w:rPr>
          <w:spacing w:val="-2"/>
        </w:rPr>
        <w:t>o</w:t>
      </w:r>
      <w:r w:rsidRPr="003C1C89">
        <w:t>f</w:t>
      </w:r>
      <w:r w:rsidRPr="003C1C89">
        <w:rPr>
          <w:spacing w:val="6"/>
        </w:rPr>
        <w:t xml:space="preserve"> </w:t>
      </w:r>
      <w:r w:rsidRPr="003C1C89">
        <w:rPr>
          <w:spacing w:val="3"/>
        </w:rPr>
        <w:t>c</w:t>
      </w:r>
      <w:r w:rsidRPr="003C1C89">
        <w:t>o</w:t>
      </w:r>
      <w:r w:rsidRPr="003C1C89">
        <w:rPr>
          <w:spacing w:val="-2"/>
        </w:rPr>
        <w:t>v</w:t>
      </w:r>
      <w:r w:rsidRPr="003C1C89">
        <w:rPr>
          <w:spacing w:val="1"/>
        </w:rPr>
        <w:t>e</w:t>
      </w:r>
      <w:r w:rsidRPr="003C1C89">
        <w:rPr>
          <w:spacing w:val="-1"/>
        </w:rPr>
        <w:t>r</w:t>
      </w:r>
      <w:r w:rsidRPr="003C1C89">
        <w:t>ing</w:t>
      </w:r>
      <w:r w:rsidRPr="003C1C89">
        <w:rPr>
          <w:spacing w:val="18"/>
        </w:rPr>
        <w:t xml:space="preserve"> </w:t>
      </w:r>
      <w:r w:rsidRPr="003C1C89">
        <w:t>t</w:t>
      </w:r>
      <w:r w:rsidRPr="003C1C89">
        <w:rPr>
          <w:spacing w:val="-2"/>
        </w:rPr>
        <w:t>h</w:t>
      </w:r>
      <w:r w:rsidRPr="003C1C89">
        <w:t>e</w:t>
      </w:r>
      <w:r w:rsidRPr="003C1C89">
        <w:rPr>
          <w:spacing w:val="8"/>
        </w:rPr>
        <w:t xml:space="preserve"> </w:t>
      </w:r>
      <w:r w:rsidRPr="003C1C89">
        <w:rPr>
          <w:spacing w:val="1"/>
        </w:rPr>
        <w:t>c</w:t>
      </w:r>
      <w:r w:rsidRPr="003C1C89">
        <w:t>o</w:t>
      </w:r>
      <w:r w:rsidRPr="003C1C89">
        <w:rPr>
          <w:spacing w:val="-1"/>
        </w:rPr>
        <w:t>s</w:t>
      </w:r>
      <w:r w:rsidRPr="003C1C89">
        <w:t>ts</w:t>
      </w:r>
      <w:r w:rsidRPr="003C1C89">
        <w:rPr>
          <w:spacing w:val="10"/>
        </w:rPr>
        <w:t xml:space="preserve"> </w:t>
      </w:r>
      <w:r w:rsidRPr="003C1C89">
        <w:t>of</w:t>
      </w:r>
      <w:r w:rsidRPr="003C1C89">
        <w:rPr>
          <w:spacing w:val="8"/>
        </w:rPr>
        <w:t xml:space="preserve"> </w:t>
      </w:r>
      <w:r w:rsidRPr="003C1C89">
        <w:t>t</w:t>
      </w:r>
      <w:r w:rsidRPr="003C1C89">
        <w:rPr>
          <w:spacing w:val="-2"/>
        </w:rPr>
        <w:t>h</w:t>
      </w:r>
      <w:r w:rsidRPr="003C1C89">
        <w:t>e</w:t>
      </w:r>
      <w:r w:rsidRPr="003C1C89">
        <w:rPr>
          <w:spacing w:val="6"/>
        </w:rPr>
        <w:t xml:space="preserve"> </w:t>
      </w:r>
      <w:r w:rsidRPr="003C1C89">
        <w:rPr>
          <w:spacing w:val="1"/>
        </w:rPr>
        <w:t>ac</w:t>
      </w:r>
      <w:r w:rsidRPr="003C1C89">
        <w:t>ti</w:t>
      </w:r>
      <w:r w:rsidRPr="003C1C89">
        <w:rPr>
          <w:spacing w:val="-2"/>
        </w:rPr>
        <w:t>v</w:t>
      </w:r>
      <w:r w:rsidRPr="003C1C89">
        <w:rPr>
          <w:spacing w:val="2"/>
        </w:rPr>
        <w:t>i</w:t>
      </w:r>
      <w:r w:rsidRPr="003C1C89">
        <w:t>ti</w:t>
      </w:r>
      <w:r w:rsidRPr="003C1C89">
        <w:rPr>
          <w:spacing w:val="3"/>
        </w:rPr>
        <w:t>e</w:t>
      </w:r>
      <w:r w:rsidRPr="003C1C89">
        <w:t>s</w:t>
      </w:r>
      <w:r w:rsidRPr="003C1C89">
        <w:rPr>
          <w:spacing w:val="17"/>
        </w:rPr>
        <w:t xml:space="preserve"> </w:t>
      </w:r>
      <w:r w:rsidRPr="003C1C89">
        <w:rPr>
          <w:spacing w:val="-1"/>
        </w:rPr>
        <w:t>s</w:t>
      </w:r>
      <w:r w:rsidRPr="003C1C89">
        <w:t>h</w:t>
      </w:r>
      <w:r w:rsidRPr="003C1C89">
        <w:rPr>
          <w:spacing w:val="1"/>
        </w:rPr>
        <w:t>a</w:t>
      </w:r>
      <w:r w:rsidRPr="003C1C89">
        <w:t>ll</w:t>
      </w:r>
      <w:r w:rsidRPr="003C1C89">
        <w:rPr>
          <w:spacing w:val="10"/>
        </w:rPr>
        <w:t xml:space="preserve"> </w:t>
      </w:r>
      <w:r w:rsidRPr="003C1C89">
        <w:rPr>
          <w:spacing w:val="-2"/>
        </w:rPr>
        <w:t>b</w:t>
      </w:r>
      <w:r w:rsidRPr="003C1C89">
        <w:t>e</w:t>
      </w:r>
      <w:r w:rsidRPr="003C1C89">
        <w:rPr>
          <w:spacing w:val="7"/>
        </w:rPr>
        <w:t xml:space="preserve"> </w:t>
      </w:r>
      <w:r w:rsidRPr="003C1C89">
        <w:t>di</w:t>
      </w:r>
      <w:r w:rsidRPr="003C1C89">
        <w:rPr>
          <w:spacing w:val="1"/>
        </w:rPr>
        <w:t>s</w:t>
      </w:r>
      <w:r w:rsidRPr="003C1C89">
        <w:t>t</w:t>
      </w:r>
      <w:r w:rsidRPr="003C1C89">
        <w:rPr>
          <w:spacing w:val="-1"/>
        </w:rPr>
        <w:t>r</w:t>
      </w:r>
      <w:r w:rsidRPr="003C1C89">
        <w:rPr>
          <w:spacing w:val="2"/>
        </w:rPr>
        <w:t>i</w:t>
      </w:r>
      <w:r w:rsidRPr="003C1C89">
        <w:t>bu</w:t>
      </w:r>
      <w:r w:rsidRPr="003C1C89">
        <w:rPr>
          <w:spacing w:val="-3"/>
        </w:rPr>
        <w:t>t</w:t>
      </w:r>
      <w:r w:rsidRPr="003C1C89">
        <w:rPr>
          <w:spacing w:val="1"/>
        </w:rPr>
        <w:t>e</w:t>
      </w:r>
      <w:r w:rsidRPr="003C1C89">
        <w:t>d</w:t>
      </w:r>
      <w:r w:rsidRPr="003C1C89">
        <w:rPr>
          <w:spacing w:val="22"/>
        </w:rPr>
        <w:t xml:space="preserve"> </w:t>
      </w:r>
      <w:r w:rsidRPr="003C1C89">
        <w:rPr>
          <w:spacing w:val="-2"/>
        </w:rPr>
        <w:t>a</w:t>
      </w:r>
      <w:r w:rsidRPr="003C1C89">
        <w:t>mong</w:t>
      </w:r>
      <w:r w:rsidRPr="003C1C89">
        <w:rPr>
          <w:spacing w:val="15"/>
        </w:rPr>
        <w:t xml:space="preserve"> </w:t>
      </w:r>
      <w:r w:rsidRPr="003C1C89">
        <w:t>t</w:t>
      </w:r>
      <w:r w:rsidRPr="003C1C89">
        <w:rPr>
          <w:spacing w:val="-2"/>
        </w:rPr>
        <w:t>h</w:t>
      </w:r>
      <w:r w:rsidRPr="003C1C89">
        <w:t>e</w:t>
      </w:r>
      <w:r w:rsidRPr="003C1C89">
        <w:rPr>
          <w:spacing w:val="8"/>
        </w:rPr>
        <w:t xml:space="preserve"> </w:t>
      </w:r>
      <w:r w:rsidRPr="003C1C89">
        <w:rPr>
          <w:w w:val="102"/>
        </w:rPr>
        <w:t>P</w:t>
      </w:r>
      <w:r w:rsidRPr="003C1C89">
        <w:rPr>
          <w:spacing w:val="1"/>
          <w:w w:val="102"/>
        </w:rPr>
        <w:t>a</w:t>
      </w:r>
      <w:r w:rsidRPr="003C1C89">
        <w:rPr>
          <w:spacing w:val="-1"/>
          <w:w w:val="102"/>
        </w:rPr>
        <w:t>r</w:t>
      </w:r>
      <w:r w:rsidRPr="003C1C89">
        <w:rPr>
          <w:w w:val="102"/>
        </w:rPr>
        <w:t>ti</w:t>
      </w:r>
      <w:r w:rsidRPr="003C1C89">
        <w:rPr>
          <w:spacing w:val="1"/>
          <w:w w:val="102"/>
        </w:rPr>
        <w:t>e</w:t>
      </w:r>
      <w:r w:rsidRPr="003C1C89">
        <w:rPr>
          <w:w w:val="102"/>
        </w:rPr>
        <w:t xml:space="preserve">s </w:t>
      </w:r>
      <w:r w:rsidRPr="003C1C89">
        <w:rPr>
          <w:spacing w:val="1"/>
        </w:rPr>
        <w:t>a</w:t>
      </w:r>
      <w:r w:rsidRPr="003C1C89">
        <w:t>nd</w:t>
      </w:r>
      <w:r w:rsidRPr="003C1C89">
        <w:rPr>
          <w:spacing w:val="9"/>
        </w:rPr>
        <w:t xml:space="preserve"> </w:t>
      </w:r>
      <w:r w:rsidRPr="003C1C89">
        <w:rPr>
          <w:spacing w:val="-3"/>
        </w:rPr>
        <w:t>S</w:t>
      </w:r>
      <w:r w:rsidRPr="003C1C89">
        <w:rPr>
          <w:spacing w:val="2"/>
        </w:rPr>
        <w:t>i</w:t>
      </w:r>
      <w:r w:rsidRPr="003C1C89">
        <w:rPr>
          <w:spacing w:val="-2"/>
        </w:rPr>
        <w:t>g</w:t>
      </w:r>
      <w:r w:rsidRPr="003C1C89">
        <w:t>n</w:t>
      </w:r>
      <w:r w:rsidRPr="003C1C89">
        <w:rPr>
          <w:spacing w:val="1"/>
        </w:rPr>
        <w:t>a</w:t>
      </w:r>
      <w:r w:rsidRPr="003C1C89">
        <w:t>to</w:t>
      </w:r>
      <w:r w:rsidRPr="003C1C89">
        <w:rPr>
          <w:spacing w:val="-1"/>
        </w:rPr>
        <w:t>r</w:t>
      </w:r>
      <w:r w:rsidRPr="003C1C89">
        <w:rPr>
          <w:spacing w:val="2"/>
        </w:rPr>
        <w:t>i</w:t>
      </w:r>
      <w:r w:rsidRPr="003C1C89">
        <w:rPr>
          <w:spacing w:val="1"/>
        </w:rPr>
        <w:t>e</w:t>
      </w:r>
      <w:r w:rsidRPr="003C1C89">
        <w:t>s</w:t>
      </w:r>
      <w:r w:rsidRPr="003C1C89">
        <w:rPr>
          <w:spacing w:val="21"/>
        </w:rPr>
        <w:t xml:space="preserve"> </w:t>
      </w:r>
      <w:r w:rsidRPr="003C1C89">
        <w:t>to</w:t>
      </w:r>
      <w:r w:rsidRPr="003C1C89">
        <w:rPr>
          <w:spacing w:val="6"/>
        </w:rPr>
        <w:t xml:space="preserve"> </w:t>
      </w:r>
      <w:r w:rsidRPr="003C1C89">
        <w:t>t</w:t>
      </w:r>
      <w:r w:rsidRPr="003C1C89">
        <w:rPr>
          <w:spacing w:val="-2"/>
        </w:rPr>
        <w:t>h</w:t>
      </w:r>
      <w:r w:rsidRPr="003C1C89">
        <w:t>e</w:t>
      </w:r>
      <w:r w:rsidRPr="003C1C89">
        <w:rPr>
          <w:spacing w:val="8"/>
        </w:rPr>
        <w:t xml:space="preserve"> </w:t>
      </w:r>
      <w:r w:rsidRPr="003C1C89">
        <w:t xml:space="preserve">Convention </w:t>
      </w:r>
      <w:r w:rsidRPr="003C1C89">
        <w:rPr>
          <w:spacing w:val="2"/>
        </w:rPr>
        <w:t>i</w:t>
      </w:r>
      <w:r w:rsidRPr="003C1C89">
        <w:t>n</w:t>
      </w:r>
      <w:r w:rsidRPr="003C1C89">
        <w:rPr>
          <w:spacing w:val="3"/>
        </w:rPr>
        <w:t xml:space="preserve"> </w:t>
      </w:r>
      <w:r w:rsidRPr="003C1C89">
        <w:t>p</w:t>
      </w:r>
      <w:r w:rsidRPr="003C1C89">
        <w:rPr>
          <w:spacing w:val="-1"/>
        </w:rPr>
        <w:t>r</w:t>
      </w:r>
      <w:r w:rsidRPr="003C1C89">
        <w:t>opo</w:t>
      </w:r>
      <w:r w:rsidRPr="003C1C89">
        <w:rPr>
          <w:spacing w:val="-1"/>
        </w:rPr>
        <w:t>r</w:t>
      </w:r>
      <w:r w:rsidRPr="003C1C89">
        <w:t>t</w:t>
      </w:r>
      <w:r w:rsidRPr="003C1C89">
        <w:rPr>
          <w:spacing w:val="2"/>
        </w:rPr>
        <w:t>i</w:t>
      </w:r>
      <w:r w:rsidRPr="003C1C89">
        <w:t>on</w:t>
      </w:r>
      <w:r w:rsidRPr="003C1C89">
        <w:rPr>
          <w:spacing w:val="19"/>
        </w:rPr>
        <w:t xml:space="preserve"> </w:t>
      </w:r>
      <w:r w:rsidRPr="003C1C89">
        <w:rPr>
          <w:spacing w:val="2"/>
        </w:rPr>
        <w:t>t</w:t>
      </w:r>
      <w:r w:rsidRPr="003C1C89">
        <w:t>o</w:t>
      </w:r>
      <w:r w:rsidRPr="003C1C89">
        <w:rPr>
          <w:spacing w:val="3"/>
        </w:rPr>
        <w:t xml:space="preserve"> </w:t>
      </w:r>
      <w:r w:rsidRPr="003C1C89">
        <w:lastRenderedPageBreak/>
        <w:t>t</w:t>
      </w:r>
      <w:r w:rsidRPr="003C1C89">
        <w:rPr>
          <w:spacing w:val="-2"/>
        </w:rPr>
        <w:t>h</w:t>
      </w:r>
      <w:r w:rsidRPr="003C1C89">
        <w:t>e</w:t>
      </w:r>
      <w:r w:rsidRPr="003C1C89">
        <w:rPr>
          <w:spacing w:val="8"/>
        </w:rPr>
        <w:t xml:space="preserve"> </w:t>
      </w:r>
      <w:r w:rsidRPr="003C1C89">
        <w:rPr>
          <w:spacing w:val="1"/>
        </w:rPr>
        <w:t>U</w:t>
      </w:r>
      <w:r w:rsidRPr="003C1C89">
        <w:t>ni</w:t>
      </w:r>
      <w:r w:rsidRPr="003C1C89">
        <w:rPr>
          <w:spacing w:val="2"/>
        </w:rPr>
        <w:t>t</w:t>
      </w:r>
      <w:r w:rsidRPr="003C1C89">
        <w:rPr>
          <w:spacing w:val="1"/>
        </w:rPr>
        <w:t>e</w:t>
      </w:r>
      <w:r w:rsidRPr="003C1C89">
        <w:t>d</w:t>
      </w:r>
      <w:r w:rsidRPr="003C1C89">
        <w:rPr>
          <w:spacing w:val="12"/>
        </w:rPr>
        <w:t xml:space="preserve"> </w:t>
      </w:r>
      <w:r w:rsidRPr="003C1C89">
        <w:rPr>
          <w:spacing w:val="-2"/>
        </w:rPr>
        <w:t>N</w:t>
      </w:r>
      <w:r w:rsidRPr="003C1C89">
        <w:rPr>
          <w:spacing w:val="1"/>
        </w:rPr>
        <w:t>a</w:t>
      </w:r>
      <w:r w:rsidRPr="003C1C89">
        <w:rPr>
          <w:spacing w:val="2"/>
        </w:rPr>
        <w:t>t</w:t>
      </w:r>
      <w:r w:rsidRPr="003C1C89">
        <w:t>ions</w:t>
      </w:r>
      <w:r w:rsidRPr="003C1C89">
        <w:rPr>
          <w:spacing w:val="15"/>
        </w:rPr>
        <w:t xml:space="preserve"> </w:t>
      </w:r>
      <w:r w:rsidRPr="003C1C89">
        <w:rPr>
          <w:spacing w:val="-1"/>
        </w:rPr>
        <w:t>s</w:t>
      </w:r>
      <w:r w:rsidRPr="003C1C89">
        <w:rPr>
          <w:spacing w:val="-2"/>
        </w:rPr>
        <w:t>c</w:t>
      </w:r>
      <w:r w:rsidRPr="003C1C89">
        <w:rPr>
          <w:spacing w:val="3"/>
        </w:rPr>
        <w:t>a</w:t>
      </w:r>
      <w:r w:rsidRPr="003C1C89">
        <w:t>le</w:t>
      </w:r>
      <w:r w:rsidRPr="003C1C89">
        <w:rPr>
          <w:spacing w:val="12"/>
        </w:rPr>
        <w:t xml:space="preserve"> </w:t>
      </w:r>
      <w:r w:rsidRPr="003C1C89">
        <w:rPr>
          <w:spacing w:val="-2"/>
        </w:rPr>
        <w:t>o</w:t>
      </w:r>
      <w:r w:rsidRPr="003C1C89">
        <w:t>f</w:t>
      </w:r>
      <w:r w:rsidRPr="003C1C89">
        <w:rPr>
          <w:spacing w:val="4"/>
        </w:rPr>
        <w:t xml:space="preserve"> </w:t>
      </w:r>
      <w:r w:rsidRPr="003C1C89">
        <w:rPr>
          <w:spacing w:val="3"/>
        </w:rPr>
        <w:t>a</w:t>
      </w:r>
      <w:r w:rsidRPr="003C1C89">
        <w:rPr>
          <w:spacing w:val="-1"/>
        </w:rPr>
        <w:t>s</w:t>
      </w:r>
      <w:r w:rsidRPr="003C1C89">
        <w:rPr>
          <w:spacing w:val="1"/>
        </w:rPr>
        <w:t>se</w:t>
      </w:r>
      <w:r w:rsidRPr="003C1C89">
        <w:rPr>
          <w:spacing w:val="-1"/>
        </w:rPr>
        <w:t>s</w:t>
      </w:r>
      <w:r w:rsidRPr="003C1C89">
        <w:rPr>
          <w:spacing w:val="1"/>
        </w:rPr>
        <w:t>s</w:t>
      </w:r>
      <w:r w:rsidRPr="003C1C89">
        <w:t>m</w:t>
      </w:r>
      <w:r w:rsidRPr="003C1C89">
        <w:rPr>
          <w:spacing w:val="1"/>
        </w:rPr>
        <w:t>e</w:t>
      </w:r>
      <w:r w:rsidRPr="003C1C89">
        <w:rPr>
          <w:spacing w:val="-2"/>
        </w:rPr>
        <w:t>n</w:t>
      </w:r>
      <w:r w:rsidRPr="003C1C89">
        <w:rPr>
          <w:spacing w:val="2"/>
        </w:rPr>
        <w:t>t</w:t>
      </w:r>
      <w:r w:rsidRPr="003C1C89">
        <w:t>s,</w:t>
      </w:r>
      <w:r w:rsidRPr="003C1C89">
        <w:rPr>
          <w:rStyle w:val="FootnoteReference"/>
        </w:rPr>
        <w:footnoteReference w:id="10"/>
      </w:r>
      <w:r w:rsidRPr="003C1C89">
        <w:t xml:space="preserve"> with the indicative contribution of each Party for 20</w:t>
      </w:r>
      <w:r>
        <w:t>2</w:t>
      </w:r>
      <w:r w:rsidRPr="003C1C89">
        <w:t>1 being as shown in the annex hereto</w:t>
      </w:r>
      <w:r>
        <w:rPr>
          <w:w w:val="102"/>
        </w:rPr>
        <w:t>;</w:t>
      </w:r>
    </w:p>
    <w:p w14:paraId="1D6D1BAC" w14:textId="77777777" w:rsidR="00040253" w:rsidRPr="003C1C89" w:rsidRDefault="00040253" w:rsidP="00040253">
      <w:pPr>
        <w:pStyle w:val="SingleTxtG"/>
        <w:ind w:firstLine="567"/>
      </w:pPr>
      <w:r w:rsidRPr="003C1C89">
        <w:rPr>
          <w:spacing w:val="-1"/>
        </w:rPr>
        <w:t>(</w:t>
      </w:r>
      <w:r w:rsidRPr="003C1C89">
        <w:t>c)</w:t>
      </w:r>
      <w:r w:rsidRPr="003C1C89">
        <w:rPr>
          <w:spacing w:val="26"/>
        </w:rPr>
        <w:tab/>
      </w:r>
      <w:r w:rsidRPr="003C1C89">
        <w:rPr>
          <w:spacing w:val="-1"/>
        </w:rPr>
        <w:t>T</w:t>
      </w:r>
      <w:r w:rsidRPr="003C1C89">
        <w:t>he</w:t>
      </w:r>
      <w:r w:rsidRPr="003C1C89">
        <w:rPr>
          <w:spacing w:val="10"/>
        </w:rPr>
        <w:t xml:space="preserve"> </w:t>
      </w:r>
      <w:r w:rsidRPr="003C1C89">
        <w:rPr>
          <w:spacing w:val="1"/>
        </w:rPr>
        <w:t>s</w:t>
      </w:r>
      <w:r w:rsidRPr="003C1C89">
        <w:rPr>
          <w:spacing w:val="-2"/>
        </w:rPr>
        <w:t>c</w:t>
      </w:r>
      <w:r w:rsidRPr="003C1C89">
        <w:rPr>
          <w:spacing w:val="1"/>
        </w:rPr>
        <w:t>a</w:t>
      </w:r>
      <w:r w:rsidRPr="003C1C89">
        <w:t>le</w:t>
      </w:r>
      <w:r w:rsidRPr="003C1C89">
        <w:rPr>
          <w:spacing w:val="10"/>
        </w:rPr>
        <w:t xml:space="preserve"> </w:t>
      </w:r>
      <w:r w:rsidRPr="003C1C89">
        <w:t>of</w:t>
      </w:r>
      <w:r w:rsidRPr="003C1C89">
        <w:rPr>
          <w:spacing w:val="6"/>
        </w:rPr>
        <w:t xml:space="preserve"> </w:t>
      </w:r>
      <w:r w:rsidRPr="003C1C89">
        <w:rPr>
          <w:spacing w:val="1"/>
        </w:rPr>
        <w:t>as</w:t>
      </w:r>
      <w:r w:rsidRPr="003C1C89">
        <w:rPr>
          <w:spacing w:val="-1"/>
        </w:rPr>
        <w:t>s</w:t>
      </w:r>
      <w:r w:rsidRPr="003C1C89">
        <w:rPr>
          <w:spacing w:val="1"/>
        </w:rPr>
        <w:t>es</w:t>
      </w:r>
      <w:r w:rsidRPr="003C1C89">
        <w:rPr>
          <w:spacing w:val="-1"/>
        </w:rPr>
        <w:t>s</w:t>
      </w:r>
      <w:r w:rsidRPr="003C1C89">
        <w:t>m</w:t>
      </w:r>
      <w:r w:rsidRPr="003C1C89">
        <w:rPr>
          <w:spacing w:val="1"/>
        </w:rPr>
        <w:t>e</w:t>
      </w:r>
      <w:r w:rsidRPr="003C1C89">
        <w:t>nts</w:t>
      </w:r>
      <w:r w:rsidRPr="003C1C89">
        <w:rPr>
          <w:spacing w:val="20"/>
        </w:rPr>
        <w:t xml:space="preserve"> </w:t>
      </w:r>
      <w:r w:rsidRPr="003C1C89">
        <w:rPr>
          <w:spacing w:val="1"/>
        </w:rPr>
        <w:t>s</w:t>
      </w:r>
      <w:r w:rsidRPr="003C1C89">
        <w:t>h</w:t>
      </w:r>
      <w:r w:rsidRPr="003C1C89">
        <w:rPr>
          <w:spacing w:val="1"/>
        </w:rPr>
        <w:t>a</w:t>
      </w:r>
      <w:r w:rsidRPr="003C1C89">
        <w:rPr>
          <w:spacing w:val="2"/>
        </w:rPr>
        <w:t>l</w:t>
      </w:r>
      <w:r w:rsidRPr="003C1C89">
        <w:t>l</w:t>
      </w:r>
      <w:r w:rsidRPr="003C1C89">
        <w:rPr>
          <w:spacing w:val="10"/>
        </w:rPr>
        <w:t xml:space="preserve"> </w:t>
      </w:r>
      <w:r w:rsidRPr="003C1C89">
        <w:rPr>
          <w:spacing w:val="-2"/>
        </w:rPr>
        <w:t>b</w:t>
      </w:r>
      <w:r w:rsidRPr="003C1C89">
        <w:t>e</w:t>
      </w:r>
      <w:r w:rsidRPr="003C1C89">
        <w:rPr>
          <w:spacing w:val="5"/>
        </w:rPr>
        <w:t xml:space="preserve"> </w:t>
      </w:r>
      <w:r w:rsidRPr="003C1C89">
        <w:rPr>
          <w:spacing w:val="3"/>
        </w:rPr>
        <w:t>a</w:t>
      </w:r>
      <w:r w:rsidRPr="003C1C89">
        <w:rPr>
          <w:spacing w:val="-2"/>
        </w:rPr>
        <w:t>d</w:t>
      </w:r>
      <w:r w:rsidRPr="003C1C89">
        <w:t>ju</w:t>
      </w:r>
      <w:r w:rsidRPr="003C1C89">
        <w:rPr>
          <w:spacing w:val="1"/>
        </w:rPr>
        <w:t>s</w:t>
      </w:r>
      <w:r w:rsidRPr="003C1C89">
        <w:t>t</w:t>
      </w:r>
      <w:r w:rsidRPr="003C1C89">
        <w:rPr>
          <w:spacing w:val="1"/>
        </w:rPr>
        <w:t>e</w:t>
      </w:r>
      <w:r w:rsidRPr="003C1C89">
        <w:t>d</w:t>
      </w:r>
      <w:r w:rsidRPr="003C1C89">
        <w:rPr>
          <w:spacing w:val="15"/>
        </w:rPr>
        <w:t xml:space="preserve"> </w:t>
      </w:r>
      <w:r w:rsidRPr="003C1C89">
        <w:rPr>
          <w:spacing w:val="1"/>
        </w:rPr>
        <w:t>s</w:t>
      </w:r>
      <w:r w:rsidRPr="003C1C89">
        <w:t>o</w:t>
      </w:r>
      <w:r w:rsidRPr="003C1C89">
        <w:rPr>
          <w:spacing w:val="4"/>
        </w:rPr>
        <w:t xml:space="preserve"> </w:t>
      </w:r>
      <w:r w:rsidRPr="003C1C89">
        <w:t>th</w:t>
      </w:r>
      <w:r w:rsidRPr="003C1C89">
        <w:rPr>
          <w:spacing w:val="1"/>
        </w:rPr>
        <w:t>a</w:t>
      </w:r>
      <w:r w:rsidRPr="003C1C89">
        <w:t>t</w:t>
      </w:r>
      <w:r w:rsidRPr="003C1C89">
        <w:rPr>
          <w:spacing w:val="7"/>
        </w:rPr>
        <w:t xml:space="preserve"> </w:t>
      </w:r>
      <w:r w:rsidRPr="003C1C89">
        <w:t>no</w:t>
      </w:r>
      <w:r w:rsidRPr="003C1C89">
        <w:rPr>
          <w:spacing w:val="7"/>
        </w:rPr>
        <w:t xml:space="preserve"> </w:t>
      </w:r>
      <w:r w:rsidRPr="003C1C89">
        <w:t>P</w:t>
      </w:r>
      <w:r w:rsidRPr="003C1C89">
        <w:rPr>
          <w:spacing w:val="1"/>
        </w:rPr>
        <w:t>a</w:t>
      </w:r>
      <w:r w:rsidRPr="003C1C89">
        <w:rPr>
          <w:spacing w:val="-1"/>
        </w:rPr>
        <w:t>r</w:t>
      </w:r>
      <w:r w:rsidRPr="003C1C89">
        <w:t>ty</w:t>
      </w:r>
      <w:r w:rsidRPr="003C1C89">
        <w:rPr>
          <w:spacing w:val="12"/>
        </w:rPr>
        <w:t xml:space="preserve"> </w:t>
      </w:r>
      <w:r w:rsidRPr="003C1C89">
        <w:rPr>
          <w:spacing w:val="1"/>
        </w:rPr>
        <w:t xml:space="preserve">or </w:t>
      </w:r>
      <w:r>
        <w:rPr>
          <w:spacing w:val="-3"/>
        </w:rPr>
        <w:t>S</w:t>
      </w:r>
      <w:r w:rsidRPr="003C1C89">
        <w:rPr>
          <w:spacing w:val="2"/>
        </w:rPr>
        <w:t>i</w:t>
      </w:r>
      <w:r w:rsidRPr="003C1C89">
        <w:rPr>
          <w:spacing w:val="-2"/>
        </w:rPr>
        <w:t>g</w:t>
      </w:r>
      <w:r w:rsidRPr="003C1C89">
        <w:t>n</w:t>
      </w:r>
      <w:r w:rsidRPr="003C1C89">
        <w:rPr>
          <w:spacing w:val="1"/>
        </w:rPr>
        <w:t>a</w:t>
      </w:r>
      <w:r w:rsidRPr="003C1C89">
        <w:t>to</w:t>
      </w:r>
      <w:r w:rsidRPr="003C1C89">
        <w:rPr>
          <w:spacing w:val="-1"/>
        </w:rPr>
        <w:t>r</w:t>
      </w:r>
      <w:r w:rsidRPr="003C1C89">
        <w:t>y</w:t>
      </w:r>
      <w:r w:rsidRPr="003C1C89">
        <w:rPr>
          <w:spacing w:val="20"/>
        </w:rPr>
        <w:t xml:space="preserve"> </w:t>
      </w:r>
      <w:r w:rsidRPr="003C1C89">
        <w:rPr>
          <w:spacing w:val="1"/>
        </w:rPr>
        <w:t xml:space="preserve">is </w:t>
      </w:r>
      <w:r w:rsidRPr="003C1C89">
        <w:rPr>
          <w:spacing w:val="-1"/>
        </w:rPr>
        <w:t>r</w:t>
      </w:r>
      <w:r w:rsidRPr="003C1C89">
        <w:rPr>
          <w:spacing w:val="1"/>
        </w:rPr>
        <w:t>e</w:t>
      </w:r>
      <w:r w:rsidRPr="003C1C89">
        <w:t>qu</w:t>
      </w:r>
      <w:r w:rsidRPr="003C1C89">
        <w:rPr>
          <w:spacing w:val="2"/>
        </w:rPr>
        <w:t>i</w:t>
      </w:r>
      <w:r w:rsidRPr="003C1C89">
        <w:rPr>
          <w:spacing w:val="-1"/>
        </w:rPr>
        <w:t>r</w:t>
      </w:r>
      <w:r w:rsidRPr="003C1C89">
        <w:rPr>
          <w:spacing w:val="1"/>
        </w:rPr>
        <w:t>e</w:t>
      </w:r>
      <w:r w:rsidRPr="003C1C89">
        <w:t>d</w:t>
      </w:r>
      <w:r w:rsidRPr="003C1C89">
        <w:rPr>
          <w:spacing w:val="15"/>
        </w:rPr>
        <w:t xml:space="preserve"> </w:t>
      </w:r>
      <w:r w:rsidRPr="003C1C89">
        <w:rPr>
          <w:w w:val="102"/>
        </w:rPr>
        <w:t xml:space="preserve">to </w:t>
      </w:r>
      <w:r w:rsidRPr="003C1C89">
        <w:rPr>
          <w:spacing w:val="1"/>
        </w:rPr>
        <w:t>c</w:t>
      </w:r>
      <w:r w:rsidRPr="003C1C89">
        <w:t>ont</w:t>
      </w:r>
      <w:r w:rsidRPr="003C1C89">
        <w:rPr>
          <w:spacing w:val="-1"/>
        </w:rPr>
        <w:t>r</w:t>
      </w:r>
      <w:r w:rsidRPr="003C1C89">
        <w:rPr>
          <w:spacing w:val="2"/>
        </w:rPr>
        <w:t>i</w:t>
      </w:r>
      <w:r w:rsidRPr="003C1C89">
        <w:t>bu</w:t>
      </w:r>
      <w:r w:rsidRPr="003C1C89">
        <w:rPr>
          <w:spacing w:val="-3"/>
        </w:rPr>
        <w:t>t</w:t>
      </w:r>
      <w:r w:rsidRPr="003C1C89">
        <w:t>e</w:t>
      </w:r>
      <w:r w:rsidRPr="003C1C89">
        <w:rPr>
          <w:spacing w:val="21"/>
        </w:rPr>
        <w:t xml:space="preserve"> </w:t>
      </w:r>
      <w:r w:rsidRPr="003C1C89">
        <w:t>mo</w:t>
      </w:r>
      <w:r w:rsidRPr="003C1C89">
        <w:rPr>
          <w:spacing w:val="-1"/>
        </w:rPr>
        <w:t>r</w:t>
      </w:r>
      <w:r w:rsidRPr="003C1C89">
        <w:t>e</w:t>
      </w:r>
      <w:r w:rsidRPr="003C1C89">
        <w:rPr>
          <w:spacing w:val="12"/>
        </w:rPr>
        <w:t xml:space="preserve"> </w:t>
      </w:r>
      <w:r w:rsidRPr="003C1C89">
        <w:t>t</w:t>
      </w:r>
      <w:r w:rsidRPr="003C1C89">
        <w:rPr>
          <w:spacing w:val="-2"/>
        </w:rPr>
        <w:t>h</w:t>
      </w:r>
      <w:r w:rsidRPr="003C1C89">
        <w:rPr>
          <w:spacing w:val="3"/>
        </w:rPr>
        <w:t>a</w:t>
      </w:r>
      <w:r w:rsidRPr="003C1C89">
        <w:t>n</w:t>
      </w:r>
      <w:r w:rsidRPr="003C1C89">
        <w:rPr>
          <w:spacing w:val="8"/>
        </w:rPr>
        <w:t xml:space="preserve"> </w:t>
      </w:r>
      <w:r w:rsidRPr="003C1C89">
        <w:t>22 p</w:t>
      </w:r>
      <w:r w:rsidRPr="003C1C89">
        <w:rPr>
          <w:spacing w:val="1"/>
        </w:rPr>
        <w:t>e</w:t>
      </w:r>
      <w:r w:rsidRPr="003C1C89">
        <w:t>r</w:t>
      </w:r>
      <w:r w:rsidRPr="003C1C89">
        <w:rPr>
          <w:spacing w:val="8"/>
        </w:rPr>
        <w:t xml:space="preserve"> </w:t>
      </w:r>
      <w:r w:rsidRPr="003C1C89">
        <w:rPr>
          <w:spacing w:val="-2"/>
        </w:rPr>
        <w:t>c</w:t>
      </w:r>
      <w:r w:rsidRPr="003C1C89">
        <w:rPr>
          <w:spacing w:val="1"/>
        </w:rPr>
        <w:t>e</w:t>
      </w:r>
      <w:r w:rsidRPr="003C1C89">
        <w:t>nt</w:t>
      </w:r>
      <w:r w:rsidRPr="003C1C89">
        <w:rPr>
          <w:rStyle w:val="FootnoteReference"/>
        </w:rPr>
        <w:footnoteReference w:id="11"/>
      </w:r>
      <w:r w:rsidRPr="003C1C89">
        <w:rPr>
          <w:spacing w:val="9"/>
        </w:rPr>
        <w:t xml:space="preserve"> </w:t>
      </w:r>
      <w:r w:rsidRPr="003C1C89">
        <w:t>of</w:t>
      </w:r>
      <w:r w:rsidRPr="003C1C89">
        <w:rPr>
          <w:spacing w:val="6"/>
        </w:rPr>
        <w:t xml:space="preserve"> </w:t>
      </w:r>
      <w:r w:rsidRPr="003C1C89">
        <w:t>the</w:t>
      </w:r>
      <w:r w:rsidRPr="003C1C89">
        <w:rPr>
          <w:spacing w:val="6"/>
        </w:rPr>
        <w:t xml:space="preserve"> </w:t>
      </w:r>
      <w:r w:rsidRPr="003C1C89">
        <w:rPr>
          <w:spacing w:val="1"/>
        </w:rPr>
        <w:t>es</w:t>
      </w:r>
      <w:r w:rsidRPr="003C1C89">
        <w:t>tim</w:t>
      </w:r>
      <w:r w:rsidRPr="003C1C89">
        <w:rPr>
          <w:spacing w:val="1"/>
        </w:rPr>
        <w:t>a</w:t>
      </w:r>
      <w:r w:rsidRPr="003C1C89">
        <w:t>t</w:t>
      </w:r>
      <w:r w:rsidRPr="003C1C89">
        <w:rPr>
          <w:spacing w:val="1"/>
        </w:rPr>
        <w:t>e</w:t>
      </w:r>
      <w:r w:rsidRPr="003C1C89">
        <w:t>d</w:t>
      </w:r>
      <w:r w:rsidRPr="003C1C89">
        <w:rPr>
          <w:spacing w:val="15"/>
        </w:rPr>
        <w:t xml:space="preserve"> </w:t>
      </w:r>
      <w:r w:rsidRPr="003C1C89">
        <w:rPr>
          <w:spacing w:val="3"/>
        </w:rPr>
        <w:t>c</w:t>
      </w:r>
      <w:r w:rsidRPr="003C1C89">
        <w:t>o</w:t>
      </w:r>
      <w:r w:rsidRPr="003C1C89">
        <w:rPr>
          <w:spacing w:val="-1"/>
        </w:rPr>
        <w:t>s</w:t>
      </w:r>
      <w:r w:rsidRPr="003C1C89">
        <w:rPr>
          <w:spacing w:val="2"/>
        </w:rPr>
        <w:t>t</w:t>
      </w:r>
      <w:r w:rsidRPr="003C1C89">
        <w:t>s</w:t>
      </w:r>
      <w:r w:rsidRPr="003C1C89">
        <w:rPr>
          <w:spacing w:val="10"/>
        </w:rPr>
        <w:t xml:space="preserve"> </w:t>
      </w:r>
      <w:r w:rsidRPr="003C1C89">
        <w:t>to</w:t>
      </w:r>
      <w:r w:rsidRPr="003C1C89">
        <w:rPr>
          <w:spacing w:val="6"/>
        </w:rPr>
        <w:t xml:space="preserve"> </w:t>
      </w:r>
      <w:r w:rsidRPr="003C1C89">
        <w:rPr>
          <w:spacing w:val="-2"/>
        </w:rPr>
        <w:t>b</w:t>
      </w:r>
      <w:r w:rsidRPr="003C1C89">
        <w:t>e</w:t>
      </w:r>
      <w:r w:rsidRPr="003C1C89">
        <w:rPr>
          <w:spacing w:val="5"/>
        </w:rPr>
        <w:t xml:space="preserve"> </w:t>
      </w:r>
      <w:r w:rsidRPr="003C1C89">
        <w:rPr>
          <w:spacing w:val="3"/>
        </w:rPr>
        <w:t>c</w:t>
      </w:r>
      <w:r w:rsidRPr="003C1C89">
        <w:t>o</w:t>
      </w:r>
      <w:r w:rsidRPr="003C1C89">
        <w:rPr>
          <w:spacing w:val="-2"/>
        </w:rPr>
        <w:t>v</w:t>
      </w:r>
      <w:r w:rsidRPr="003C1C89">
        <w:rPr>
          <w:spacing w:val="1"/>
        </w:rPr>
        <w:t>e</w:t>
      </w:r>
      <w:r w:rsidRPr="003C1C89">
        <w:rPr>
          <w:spacing w:val="-1"/>
        </w:rPr>
        <w:t>r</w:t>
      </w:r>
      <w:r w:rsidRPr="003C1C89">
        <w:rPr>
          <w:spacing w:val="1"/>
        </w:rPr>
        <w:t>e</w:t>
      </w:r>
      <w:r w:rsidRPr="003C1C89">
        <w:t>d</w:t>
      </w:r>
      <w:r w:rsidRPr="003C1C89">
        <w:rPr>
          <w:spacing w:val="17"/>
        </w:rPr>
        <w:t xml:space="preserve"> </w:t>
      </w:r>
      <w:r w:rsidRPr="003C1C89">
        <w:t>by</w:t>
      </w:r>
      <w:r w:rsidRPr="003C1C89">
        <w:rPr>
          <w:spacing w:val="4"/>
        </w:rPr>
        <w:t xml:space="preserve"> </w:t>
      </w:r>
      <w:r w:rsidRPr="003C1C89">
        <w:t>t</w:t>
      </w:r>
      <w:r w:rsidRPr="003C1C89">
        <w:rPr>
          <w:spacing w:val="-2"/>
        </w:rPr>
        <w:t>h</w:t>
      </w:r>
      <w:r w:rsidRPr="003C1C89">
        <w:t>e</w:t>
      </w:r>
      <w:r w:rsidRPr="003C1C89">
        <w:rPr>
          <w:spacing w:val="8"/>
        </w:rPr>
        <w:t xml:space="preserve"> </w:t>
      </w:r>
      <w:r w:rsidRPr="003C1C89">
        <w:rPr>
          <w:spacing w:val="-1"/>
          <w:w w:val="102"/>
        </w:rPr>
        <w:t>s</w:t>
      </w:r>
      <w:r w:rsidRPr="003C1C89">
        <w:rPr>
          <w:spacing w:val="3"/>
          <w:w w:val="102"/>
        </w:rPr>
        <w:t>c</w:t>
      </w:r>
      <w:r w:rsidRPr="003C1C89">
        <w:rPr>
          <w:spacing w:val="-2"/>
          <w:w w:val="102"/>
        </w:rPr>
        <w:t>h</w:t>
      </w:r>
      <w:r w:rsidRPr="003C1C89">
        <w:rPr>
          <w:spacing w:val="1"/>
          <w:w w:val="102"/>
        </w:rPr>
        <w:t>e</w:t>
      </w:r>
      <w:r w:rsidRPr="003C1C89">
        <w:rPr>
          <w:spacing w:val="-2"/>
          <w:w w:val="102"/>
        </w:rPr>
        <w:t>m</w:t>
      </w:r>
      <w:r w:rsidRPr="003C1C89">
        <w:rPr>
          <w:spacing w:val="3"/>
          <w:w w:val="102"/>
        </w:rPr>
        <w:t>e</w:t>
      </w:r>
      <w:r>
        <w:rPr>
          <w:w w:val="102"/>
        </w:rPr>
        <w:t>;</w:t>
      </w:r>
    </w:p>
    <w:p w14:paraId="7DCB5DDD" w14:textId="77777777" w:rsidR="00040253" w:rsidRDefault="00040253" w:rsidP="00040253">
      <w:pPr>
        <w:pStyle w:val="SingleTxtG"/>
        <w:ind w:firstLine="567"/>
        <w:rPr>
          <w:w w:val="102"/>
        </w:rPr>
      </w:pPr>
      <w:r w:rsidRPr="003C1C89">
        <w:rPr>
          <w:spacing w:val="-1"/>
        </w:rPr>
        <w:t>(</w:t>
      </w:r>
      <w:r w:rsidRPr="003C1C89">
        <w:rPr>
          <w:spacing w:val="1"/>
        </w:rPr>
        <w:t>d</w:t>
      </w:r>
      <w:r w:rsidRPr="003C1C89">
        <w:t>)</w:t>
      </w:r>
      <w:r w:rsidRPr="003C1C89">
        <w:rPr>
          <w:spacing w:val="38"/>
        </w:rPr>
        <w:tab/>
      </w:r>
      <w:r w:rsidRPr="003C1C89">
        <w:rPr>
          <w:spacing w:val="-1"/>
        </w:rPr>
        <w:t>E</w:t>
      </w:r>
      <w:r w:rsidRPr="003C1C89">
        <w:rPr>
          <w:spacing w:val="1"/>
        </w:rPr>
        <w:t>a</w:t>
      </w:r>
      <w:r w:rsidRPr="003C1C89">
        <w:rPr>
          <w:spacing w:val="3"/>
        </w:rPr>
        <w:t>c</w:t>
      </w:r>
      <w:r w:rsidRPr="003C1C89">
        <w:t>h</w:t>
      </w:r>
      <w:r w:rsidRPr="003C1C89">
        <w:rPr>
          <w:spacing w:val="9"/>
        </w:rPr>
        <w:t xml:space="preserve"> </w:t>
      </w:r>
      <w:r w:rsidRPr="003C1C89">
        <w:t>P</w:t>
      </w:r>
      <w:r w:rsidRPr="003C1C89">
        <w:rPr>
          <w:spacing w:val="1"/>
        </w:rPr>
        <w:t>a</w:t>
      </w:r>
      <w:r w:rsidRPr="003C1C89">
        <w:rPr>
          <w:spacing w:val="-1"/>
        </w:rPr>
        <w:t>r</w:t>
      </w:r>
      <w:r w:rsidRPr="003C1C89">
        <w:rPr>
          <w:spacing w:val="2"/>
        </w:rPr>
        <w:t>t</w:t>
      </w:r>
      <w:r w:rsidRPr="003C1C89">
        <w:t>y</w:t>
      </w:r>
      <w:r w:rsidRPr="003C1C89">
        <w:rPr>
          <w:spacing w:val="7"/>
        </w:rPr>
        <w:t xml:space="preserve"> </w:t>
      </w:r>
      <w:r w:rsidRPr="003C1C89">
        <w:rPr>
          <w:spacing w:val="1"/>
        </w:rPr>
        <w:t xml:space="preserve">or </w:t>
      </w:r>
      <w:r>
        <w:t>S</w:t>
      </w:r>
      <w:r w:rsidRPr="003C1C89">
        <w:t>i</w:t>
      </w:r>
      <w:r w:rsidRPr="003C1C89">
        <w:rPr>
          <w:spacing w:val="-2"/>
        </w:rPr>
        <w:t>g</w:t>
      </w:r>
      <w:r w:rsidRPr="003C1C89">
        <w:t>n</w:t>
      </w:r>
      <w:r w:rsidRPr="003C1C89">
        <w:rPr>
          <w:spacing w:val="1"/>
        </w:rPr>
        <w:t>a</w:t>
      </w:r>
      <w:r w:rsidRPr="003C1C89">
        <w:rPr>
          <w:spacing w:val="2"/>
        </w:rPr>
        <w:t>t</w:t>
      </w:r>
      <w:r w:rsidRPr="003C1C89">
        <w:t>o</w:t>
      </w:r>
      <w:r w:rsidRPr="003C1C89">
        <w:rPr>
          <w:spacing w:val="-1"/>
        </w:rPr>
        <w:t>r</w:t>
      </w:r>
      <w:r w:rsidRPr="003C1C89">
        <w:t>y</w:t>
      </w:r>
      <w:r w:rsidRPr="003C1C89">
        <w:rPr>
          <w:spacing w:val="20"/>
        </w:rPr>
        <w:t xml:space="preserve"> </w:t>
      </w:r>
      <w:r w:rsidRPr="003C1C89">
        <w:rPr>
          <w:spacing w:val="1"/>
        </w:rPr>
        <w:t>s</w:t>
      </w:r>
      <w:r w:rsidRPr="003C1C89">
        <w:rPr>
          <w:spacing w:val="-2"/>
        </w:rPr>
        <w:t>h</w:t>
      </w:r>
      <w:r w:rsidRPr="003C1C89">
        <w:rPr>
          <w:spacing w:val="1"/>
        </w:rPr>
        <w:t>a</w:t>
      </w:r>
      <w:r w:rsidRPr="003C1C89">
        <w:t>ll</w:t>
      </w:r>
      <w:r w:rsidRPr="003C1C89">
        <w:rPr>
          <w:spacing w:val="8"/>
        </w:rPr>
        <w:t xml:space="preserve"> </w:t>
      </w:r>
      <w:r w:rsidRPr="003C1C89">
        <w:rPr>
          <w:spacing w:val="3"/>
        </w:rPr>
        <w:t>c</w:t>
      </w:r>
      <w:r w:rsidRPr="003C1C89">
        <w:t>ont</w:t>
      </w:r>
      <w:r w:rsidRPr="003C1C89">
        <w:rPr>
          <w:spacing w:val="-1"/>
        </w:rPr>
        <w:t>r</w:t>
      </w:r>
      <w:r w:rsidRPr="003C1C89">
        <w:t>ibute</w:t>
      </w:r>
      <w:r w:rsidRPr="003C1C89">
        <w:rPr>
          <w:spacing w:val="19"/>
        </w:rPr>
        <w:t xml:space="preserve"> </w:t>
      </w:r>
      <w:r w:rsidRPr="003C1C89">
        <w:rPr>
          <w:spacing w:val="1"/>
        </w:rPr>
        <w:t>eac</w:t>
      </w:r>
      <w:r w:rsidRPr="003C1C89">
        <w:t>h</w:t>
      </w:r>
      <w:r w:rsidRPr="003C1C89">
        <w:rPr>
          <w:spacing w:val="11"/>
        </w:rPr>
        <w:t xml:space="preserve"> </w:t>
      </w:r>
      <w:r w:rsidRPr="003C1C89">
        <w:rPr>
          <w:spacing w:val="-2"/>
        </w:rPr>
        <w:t>ye</w:t>
      </w:r>
      <w:r w:rsidRPr="003C1C89">
        <w:rPr>
          <w:spacing w:val="1"/>
        </w:rPr>
        <w:t>a</w:t>
      </w:r>
      <w:r w:rsidRPr="003C1C89">
        <w:rPr>
          <w:spacing w:val="-1"/>
        </w:rPr>
        <w:t>r</w:t>
      </w:r>
      <w:r w:rsidRPr="003C1C89">
        <w:t>,</w:t>
      </w:r>
      <w:r w:rsidRPr="003C1C89">
        <w:rPr>
          <w:spacing w:val="13"/>
        </w:rPr>
        <w:t xml:space="preserve"> </w:t>
      </w:r>
      <w:r w:rsidRPr="003C1C89">
        <w:rPr>
          <w:spacing w:val="1"/>
        </w:rPr>
        <w:t>a</w:t>
      </w:r>
      <w:r w:rsidRPr="003C1C89">
        <w:t>s</w:t>
      </w:r>
      <w:r w:rsidRPr="003C1C89">
        <w:rPr>
          <w:spacing w:val="3"/>
        </w:rPr>
        <w:t xml:space="preserve"> </w:t>
      </w:r>
      <w:r w:rsidRPr="003C1C89">
        <w:t>a</w:t>
      </w:r>
      <w:r w:rsidRPr="003C1C89">
        <w:rPr>
          <w:spacing w:val="5"/>
        </w:rPr>
        <w:t xml:space="preserve"> </w:t>
      </w:r>
      <w:r w:rsidRPr="003C1C89">
        <w:t>m</w:t>
      </w:r>
      <w:r w:rsidRPr="003C1C89">
        <w:rPr>
          <w:spacing w:val="2"/>
        </w:rPr>
        <w:t>i</w:t>
      </w:r>
      <w:r w:rsidRPr="003C1C89">
        <w:rPr>
          <w:spacing w:val="-2"/>
        </w:rPr>
        <w:t>n</w:t>
      </w:r>
      <w:r w:rsidRPr="003C1C89">
        <w:t>imum,</w:t>
      </w:r>
      <w:r w:rsidRPr="003C1C89">
        <w:rPr>
          <w:spacing w:val="22"/>
        </w:rPr>
        <w:t xml:space="preserve"> </w:t>
      </w:r>
      <w:r w:rsidRPr="003C1C89">
        <w:t>t</w:t>
      </w:r>
      <w:r w:rsidRPr="003C1C89">
        <w:rPr>
          <w:spacing w:val="-2"/>
        </w:rPr>
        <w:t>h</w:t>
      </w:r>
      <w:r w:rsidRPr="003C1C89">
        <w:t>e</w:t>
      </w:r>
      <w:r w:rsidRPr="003C1C89">
        <w:rPr>
          <w:spacing w:val="8"/>
        </w:rPr>
        <w:t xml:space="preserve"> </w:t>
      </w:r>
      <w:r w:rsidRPr="003C1C89">
        <w:rPr>
          <w:spacing w:val="-2"/>
        </w:rPr>
        <w:t>a</w:t>
      </w:r>
      <w:r w:rsidRPr="003C1C89">
        <w:rPr>
          <w:spacing w:val="2"/>
        </w:rPr>
        <w:t>m</w:t>
      </w:r>
      <w:r w:rsidRPr="003C1C89">
        <w:rPr>
          <w:spacing w:val="-2"/>
        </w:rPr>
        <w:t>o</w:t>
      </w:r>
      <w:r w:rsidRPr="003C1C89">
        <w:t>unt</w:t>
      </w:r>
      <w:r w:rsidRPr="003C1C89">
        <w:rPr>
          <w:spacing w:val="15"/>
        </w:rPr>
        <w:t xml:space="preserve"> </w:t>
      </w:r>
      <w:r w:rsidRPr="003C1C89">
        <w:rPr>
          <w:spacing w:val="-2"/>
          <w:w w:val="102"/>
        </w:rPr>
        <w:t>d</w:t>
      </w:r>
      <w:r w:rsidRPr="003C1C89">
        <w:rPr>
          <w:spacing w:val="3"/>
          <w:w w:val="102"/>
        </w:rPr>
        <w:t>e</w:t>
      </w:r>
      <w:r w:rsidRPr="003C1C89">
        <w:rPr>
          <w:spacing w:val="-1"/>
          <w:w w:val="102"/>
        </w:rPr>
        <w:t>r</w:t>
      </w:r>
      <w:r w:rsidRPr="003C1C89">
        <w:rPr>
          <w:w w:val="102"/>
        </w:rPr>
        <w:t>i</w:t>
      </w:r>
      <w:r w:rsidRPr="003C1C89">
        <w:rPr>
          <w:spacing w:val="-2"/>
          <w:w w:val="102"/>
        </w:rPr>
        <w:t>v</w:t>
      </w:r>
      <w:r w:rsidRPr="003C1C89">
        <w:rPr>
          <w:spacing w:val="1"/>
          <w:w w:val="102"/>
        </w:rPr>
        <w:t>e</w:t>
      </w:r>
      <w:r w:rsidRPr="003C1C89">
        <w:rPr>
          <w:w w:val="102"/>
        </w:rPr>
        <w:t xml:space="preserve">d </w:t>
      </w:r>
      <w:r w:rsidRPr="003C1C89">
        <w:rPr>
          <w:spacing w:val="2"/>
        </w:rPr>
        <w:t>f</w:t>
      </w:r>
      <w:r w:rsidRPr="003C1C89">
        <w:rPr>
          <w:spacing w:val="-1"/>
        </w:rPr>
        <w:t>r</w:t>
      </w:r>
      <w:r w:rsidRPr="003C1C89">
        <w:t>om</w:t>
      </w:r>
      <w:r w:rsidRPr="003C1C89">
        <w:rPr>
          <w:spacing w:val="12"/>
        </w:rPr>
        <w:t xml:space="preserve"> </w:t>
      </w:r>
      <w:r w:rsidRPr="003C1C89">
        <w:rPr>
          <w:spacing w:val="1"/>
        </w:rPr>
        <w:t>a</w:t>
      </w:r>
      <w:r w:rsidRPr="003C1C89">
        <w:t>ppl</w:t>
      </w:r>
      <w:r w:rsidRPr="003C1C89">
        <w:rPr>
          <w:spacing w:val="-2"/>
        </w:rPr>
        <w:t>y</w:t>
      </w:r>
      <w:r w:rsidRPr="003C1C89">
        <w:rPr>
          <w:spacing w:val="2"/>
        </w:rPr>
        <w:t>i</w:t>
      </w:r>
      <w:r w:rsidRPr="003C1C89">
        <w:t>ng</w:t>
      </w:r>
      <w:r w:rsidRPr="003C1C89">
        <w:rPr>
          <w:spacing w:val="15"/>
        </w:rPr>
        <w:t xml:space="preserve"> </w:t>
      </w:r>
      <w:r w:rsidRPr="003C1C89">
        <w:t>the</w:t>
      </w:r>
      <w:r w:rsidRPr="003C1C89">
        <w:rPr>
          <w:spacing w:val="6"/>
        </w:rPr>
        <w:t xml:space="preserve"> </w:t>
      </w:r>
      <w:r w:rsidRPr="003C1C89">
        <w:rPr>
          <w:spacing w:val="3"/>
        </w:rPr>
        <w:t>a</w:t>
      </w:r>
      <w:r w:rsidRPr="003C1C89">
        <w:rPr>
          <w:spacing w:val="-2"/>
        </w:rPr>
        <w:t>d</w:t>
      </w:r>
      <w:r w:rsidRPr="003C1C89">
        <w:rPr>
          <w:spacing w:val="2"/>
        </w:rPr>
        <w:t>j</w:t>
      </w:r>
      <w:r w:rsidRPr="003C1C89">
        <w:t>u</w:t>
      </w:r>
      <w:r w:rsidRPr="003C1C89">
        <w:rPr>
          <w:spacing w:val="-1"/>
        </w:rPr>
        <w:t>s</w:t>
      </w:r>
      <w:r w:rsidRPr="003C1C89">
        <w:rPr>
          <w:spacing w:val="-3"/>
        </w:rPr>
        <w:t>t</w:t>
      </w:r>
      <w:r w:rsidRPr="003C1C89">
        <w:rPr>
          <w:spacing w:val="1"/>
        </w:rPr>
        <w:t>e</w:t>
      </w:r>
      <w:r w:rsidRPr="003C1C89">
        <w:t>d</w:t>
      </w:r>
      <w:r w:rsidRPr="003C1C89">
        <w:rPr>
          <w:spacing w:val="18"/>
        </w:rPr>
        <w:t xml:space="preserve"> </w:t>
      </w:r>
      <w:r w:rsidRPr="003C1C89">
        <w:rPr>
          <w:spacing w:val="-1"/>
        </w:rPr>
        <w:t>s</w:t>
      </w:r>
      <w:r w:rsidRPr="003C1C89">
        <w:rPr>
          <w:spacing w:val="1"/>
        </w:rPr>
        <w:t>ca</w:t>
      </w:r>
      <w:r w:rsidRPr="003C1C89">
        <w:rPr>
          <w:spacing w:val="-3"/>
        </w:rPr>
        <w:t>l</w:t>
      </w:r>
      <w:r w:rsidRPr="003C1C89">
        <w:t>e</w:t>
      </w:r>
      <w:r w:rsidRPr="003C1C89">
        <w:rPr>
          <w:spacing w:val="12"/>
        </w:rPr>
        <w:t xml:space="preserve"> </w:t>
      </w:r>
      <w:r w:rsidRPr="003C1C89">
        <w:t>of</w:t>
      </w:r>
      <w:r w:rsidRPr="003C1C89">
        <w:rPr>
          <w:spacing w:val="6"/>
        </w:rPr>
        <w:t xml:space="preserve"> </w:t>
      </w:r>
      <w:r w:rsidRPr="003C1C89">
        <w:rPr>
          <w:spacing w:val="1"/>
        </w:rPr>
        <w:t>as</w:t>
      </w:r>
      <w:r w:rsidRPr="003C1C89">
        <w:rPr>
          <w:spacing w:val="-4"/>
        </w:rPr>
        <w:t>s</w:t>
      </w:r>
      <w:r w:rsidRPr="003C1C89">
        <w:rPr>
          <w:spacing w:val="3"/>
        </w:rPr>
        <w:t>e</w:t>
      </w:r>
      <w:r w:rsidRPr="003C1C89">
        <w:rPr>
          <w:spacing w:val="-1"/>
        </w:rPr>
        <w:t>s</w:t>
      </w:r>
      <w:r w:rsidRPr="003C1C89">
        <w:rPr>
          <w:spacing w:val="1"/>
        </w:rPr>
        <w:t>s</w:t>
      </w:r>
      <w:r w:rsidRPr="003C1C89">
        <w:rPr>
          <w:spacing w:val="-2"/>
        </w:rPr>
        <w:t>m</w:t>
      </w:r>
      <w:r w:rsidRPr="003C1C89">
        <w:rPr>
          <w:spacing w:val="3"/>
        </w:rPr>
        <w:t>e</w:t>
      </w:r>
      <w:r w:rsidRPr="003C1C89">
        <w:t>nts</w:t>
      </w:r>
      <w:r w:rsidRPr="003C1C89">
        <w:rPr>
          <w:spacing w:val="22"/>
        </w:rPr>
        <w:t xml:space="preserve"> </w:t>
      </w:r>
      <w:r w:rsidRPr="003C1C89">
        <w:rPr>
          <w:spacing w:val="-3"/>
        </w:rPr>
        <w:t>r</w:t>
      </w:r>
      <w:r w:rsidRPr="003C1C89">
        <w:rPr>
          <w:spacing w:val="3"/>
        </w:rPr>
        <w:t>e</w:t>
      </w:r>
      <w:r w:rsidRPr="003C1C89">
        <w:rPr>
          <w:spacing w:val="-1"/>
        </w:rPr>
        <w:t>f</w:t>
      </w:r>
      <w:r w:rsidRPr="003C1C89">
        <w:rPr>
          <w:spacing w:val="1"/>
        </w:rPr>
        <w:t>e</w:t>
      </w:r>
      <w:r w:rsidRPr="003C1C89">
        <w:rPr>
          <w:spacing w:val="-1"/>
        </w:rPr>
        <w:t>rr</w:t>
      </w:r>
      <w:r w:rsidRPr="003C1C89">
        <w:rPr>
          <w:spacing w:val="1"/>
        </w:rPr>
        <w:t>e</w:t>
      </w:r>
      <w:r w:rsidRPr="003C1C89">
        <w:t>d</w:t>
      </w:r>
      <w:r w:rsidRPr="003C1C89">
        <w:rPr>
          <w:spacing w:val="17"/>
        </w:rPr>
        <w:t xml:space="preserve"> </w:t>
      </w:r>
      <w:r w:rsidRPr="003C1C89">
        <w:t>to</w:t>
      </w:r>
      <w:r w:rsidRPr="003C1C89">
        <w:rPr>
          <w:spacing w:val="6"/>
        </w:rPr>
        <w:t xml:space="preserve"> </w:t>
      </w:r>
      <w:r w:rsidRPr="003C1C89">
        <w:t>in</w:t>
      </w:r>
      <w:r w:rsidRPr="003C1C89">
        <w:rPr>
          <w:spacing w:val="3"/>
        </w:rPr>
        <w:t xml:space="preserve"> </w:t>
      </w:r>
      <w:r w:rsidRPr="003C1C89">
        <w:rPr>
          <w:spacing w:val="1"/>
        </w:rPr>
        <w:t>s</w:t>
      </w:r>
      <w:r w:rsidRPr="003C1C89">
        <w:t>ub</w:t>
      </w:r>
      <w:r w:rsidRPr="003C1C89">
        <w:rPr>
          <w:spacing w:val="-2"/>
        </w:rPr>
        <w:t>p</w:t>
      </w:r>
      <w:r w:rsidRPr="003C1C89">
        <w:rPr>
          <w:spacing w:val="3"/>
        </w:rPr>
        <w:t>a</w:t>
      </w:r>
      <w:r w:rsidRPr="003C1C89">
        <w:rPr>
          <w:spacing w:val="-1"/>
        </w:rPr>
        <w:t>r</w:t>
      </w:r>
      <w:r w:rsidRPr="003C1C89">
        <w:rPr>
          <w:spacing w:val="1"/>
        </w:rPr>
        <w:t>a</w:t>
      </w:r>
      <w:r w:rsidRPr="003C1C89">
        <w:rPr>
          <w:spacing w:val="-2"/>
        </w:rPr>
        <w:t>g</w:t>
      </w:r>
      <w:r w:rsidRPr="003C1C89">
        <w:rPr>
          <w:spacing w:val="-1"/>
        </w:rPr>
        <w:t>r</w:t>
      </w:r>
      <w:r w:rsidRPr="003C1C89">
        <w:rPr>
          <w:spacing w:val="1"/>
        </w:rPr>
        <w:t>a</w:t>
      </w:r>
      <w:r w:rsidRPr="003C1C89">
        <w:rPr>
          <w:spacing w:val="-2"/>
        </w:rPr>
        <w:t>p</w:t>
      </w:r>
      <w:r w:rsidRPr="003C1C89">
        <w:t>h</w:t>
      </w:r>
      <w:r w:rsidRPr="003C1C89">
        <w:rPr>
          <w:spacing w:val="29"/>
        </w:rPr>
        <w:t xml:space="preserve"> …</w:t>
      </w:r>
      <w:r w:rsidRPr="003C1C89">
        <w:rPr>
          <w:spacing w:val="5"/>
        </w:rPr>
        <w:t xml:space="preserve"> </w:t>
      </w:r>
      <w:r>
        <w:rPr>
          <w:spacing w:val="5"/>
        </w:rPr>
        <w:t xml:space="preserve">[above/below] </w:t>
      </w:r>
      <w:r w:rsidRPr="003C1C89">
        <w:rPr>
          <w:spacing w:val="2"/>
        </w:rPr>
        <w:t>t</w:t>
      </w:r>
      <w:r w:rsidRPr="003C1C89">
        <w:t>o</w:t>
      </w:r>
      <w:r w:rsidRPr="003C1C89">
        <w:rPr>
          <w:spacing w:val="3"/>
        </w:rPr>
        <w:t xml:space="preserve"> </w:t>
      </w:r>
      <w:r w:rsidRPr="003C1C89">
        <w:rPr>
          <w:spacing w:val="2"/>
          <w:w w:val="102"/>
        </w:rPr>
        <w:t>t</w:t>
      </w:r>
      <w:r w:rsidRPr="003C1C89">
        <w:rPr>
          <w:spacing w:val="-2"/>
          <w:w w:val="102"/>
        </w:rPr>
        <w:t>h</w:t>
      </w:r>
      <w:r w:rsidRPr="003C1C89">
        <w:rPr>
          <w:w w:val="102"/>
        </w:rPr>
        <w:t xml:space="preserve">e </w:t>
      </w:r>
      <w:r w:rsidRPr="003C1C89">
        <w:t>tot</w:t>
      </w:r>
      <w:r w:rsidRPr="003C1C89">
        <w:rPr>
          <w:spacing w:val="3"/>
        </w:rPr>
        <w:t>a</w:t>
      </w:r>
      <w:r w:rsidRPr="003C1C89">
        <w:t>l</w:t>
      </w:r>
      <w:r w:rsidRPr="003C1C89">
        <w:rPr>
          <w:spacing w:val="8"/>
        </w:rPr>
        <w:t xml:space="preserve"> </w:t>
      </w:r>
      <w:r w:rsidRPr="003C1C89">
        <w:rPr>
          <w:spacing w:val="1"/>
        </w:rPr>
        <w:t>es</w:t>
      </w:r>
      <w:r w:rsidRPr="003C1C89">
        <w:t>t</w:t>
      </w:r>
      <w:r w:rsidRPr="003C1C89">
        <w:rPr>
          <w:spacing w:val="-3"/>
        </w:rPr>
        <w:t>i</w:t>
      </w:r>
      <w:r w:rsidRPr="003C1C89">
        <w:rPr>
          <w:spacing w:val="2"/>
        </w:rPr>
        <w:t>m</w:t>
      </w:r>
      <w:r w:rsidRPr="003C1C89">
        <w:rPr>
          <w:spacing w:val="1"/>
        </w:rPr>
        <w:t>a</w:t>
      </w:r>
      <w:r w:rsidRPr="003C1C89">
        <w:rPr>
          <w:spacing w:val="-3"/>
        </w:rPr>
        <w:t>t</w:t>
      </w:r>
      <w:r w:rsidRPr="003C1C89">
        <w:rPr>
          <w:spacing w:val="3"/>
        </w:rPr>
        <w:t>e</w:t>
      </w:r>
      <w:r w:rsidRPr="003C1C89">
        <w:t>d</w:t>
      </w:r>
      <w:r w:rsidRPr="003C1C89">
        <w:rPr>
          <w:spacing w:val="15"/>
        </w:rPr>
        <w:t xml:space="preserve"> </w:t>
      </w:r>
      <w:r w:rsidRPr="003C1C89">
        <w:rPr>
          <w:spacing w:val="1"/>
        </w:rPr>
        <w:t>c</w:t>
      </w:r>
      <w:r w:rsidRPr="003C1C89">
        <w:t>o</w:t>
      </w:r>
      <w:r w:rsidRPr="003C1C89">
        <w:rPr>
          <w:spacing w:val="1"/>
        </w:rPr>
        <w:t>s</w:t>
      </w:r>
      <w:r w:rsidRPr="003C1C89">
        <w:t>ts</w:t>
      </w:r>
      <w:r w:rsidRPr="003C1C89">
        <w:rPr>
          <w:spacing w:val="13"/>
        </w:rPr>
        <w:t xml:space="preserve"> </w:t>
      </w:r>
      <w:r w:rsidRPr="003C1C89">
        <w:rPr>
          <w:spacing w:val="-2"/>
        </w:rPr>
        <w:t>o</w:t>
      </w:r>
      <w:r w:rsidRPr="003C1C89">
        <w:t>f</w:t>
      </w:r>
      <w:r w:rsidRPr="003C1C89">
        <w:rPr>
          <w:spacing w:val="6"/>
        </w:rPr>
        <w:t xml:space="preserve"> </w:t>
      </w:r>
      <w:r w:rsidRPr="003C1C89">
        <w:t>t</w:t>
      </w:r>
      <w:r w:rsidRPr="003C1C89">
        <w:rPr>
          <w:spacing w:val="-2"/>
        </w:rPr>
        <w:t>h</w:t>
      </w:r>
      <w:r w:rsidRPr="003C1C89">
        <w:t>e</w:t>
      </w:r>
      <w:r w:rsidRPr="003C1C89">
        <w:rPr>
          <w:spacing w:val="8"/>
        </w:rPr>
        <w:t xml:space="preserve"> </w:t>
      </w:r>
      <w:r w:rsidRPr="003C1C89">
        <w:rPr>
          <w:spacing w:val="1"/>
          <w:w w:val="102"/>
        </w:rPr>
        <w:t>ac</w:t>
      </w:r>
      <w:r w:rsidRPr="003C1C89">
        <w:rPr>
          <w:w w:val="102"/>
        </w:rPr>
        <w:t>t</w:t>
      </w:r>
      <w:r w:rsidRPr="003C1C89">
        <w:rPr>
          <w:spacing w:val="2"/>
          <w:w w:val="102"/>
        </w:rPr>
        <w:t>i</w:t>
      </w:r>
      <w:r w:rsidRPr="003C1C89">
        <w:rPr>
          <w:spacing w:val="-2"/>
          <w:w w:val="102"/>
        </w:rPr>
        <w:t>v</w:t>
      </w:r>
      <w:r w:rsidRPr="003C1C89">
        <w:rPr>
          <w:w w:val="102"/>
        </w:rPr>
        <w:t>iti</w:t>
      </w:r>
      <w:r w:rsidRPr="003C1C89">
        <w:rPr>
          <w:spacing w:val="1"/>
          <w:w w:val="102"/>
        </w:rPr>
        <w:t xml:space="preserve">es, </w:t>
      </w:r>
      <w:r w:rsidRPr="003C1C89">
        <w:t xml:space="preserve">but each contribution should not be less than stated in </w:t>
      </w:r>
      <w:r>
        <w:t>sub</w:t>
      </w:r>
      <w:r w:rsidRPr="003C1C89">
        <w:t xml:space="preserve">paragraph </w:t>
      </w:r>
      <w:r>
        <w:t xml:space="preserve">... </w:t>
      </w:r>
      <w:r>
        <w:rPr>
          <w:spacing w:val="5"/>
        </w:rPr>
        <w:t>[above/</w:t>
      </w:r>
      <w:r>
        <w:t>below]</w:t>
      </w:r>
      <w:r>
        <w:rPr>
          <w:w w:val="102"/>
        </w:rPr>
        <w:t>;</w:t>
      </w:r>
      <w:r w:rsidRPr="003C1C89">
        <w:rPr>
          <w:w w:val="102"/>
        </w:rPr>
        <w:t>]</w:t>
      </w:r>
    </w:p>
    <w:p w14:paraId="7DDCD2F4" w14:textId="77777777" w:rsidR="00040253" w:rsidRPr="003C1C89" w:rsidRDefault="00040253" w:rsidP="00040253">
      <w:pPr>
        <w:pStyle w:val="SingleTxtG"/>
        <w:ind w:firstLine="567"/>
      </w:pPr>
      <w:r w:rsidRPr="00CD2123">
        <w:rPr>
          <w:rFonts w:asciiTheme="majorBidi" w:hAnsiTheme="majorBidi" w:cstheme="majorBidi"/>
          <w:b/>
        </w:rPr>
        <w:t>Relevant for Options A</w:t>
      </w:r>
      <w:r>
        <w:rPr>
          <w:rFonts w:asciiTheme="majorBidi" w:hAnsiTheme="majorBidi" w:cstheme="majorBidi"/>
          <w:b/>
        </w:rPr>
        <w:t>,</w:t>
      </w:r>
      <w:r w:rsidRPr="00CD2123">
        <w:rPr>
          <w:rFonts w:asciiTheme="majorBidi" w:hAnsiTheme="majorBidi" w:cstheme="majorBidi"/>
          <w:b/>
        </w:rPr>
        <w:t xml:space="preserve"> B</w:t>
      </w:r>
      <w:r>
        <w:rPr>
          <w:rFonts w:asciiTheme="majorBidi" w:hAnsiTheme="majorBidi" w:cstheme="majorBidi"/>
          <w:b/>
        </w:rPr>
        <w:t xml:space="preserve"> and C</w:t>
      </w:r>
      <w:r w:rsidRPr="00CD2123">
        <w:rPr>
          <w:rFonts w:asciiTheme="majorBidi" w:hAnsiTheme="majorBidi" w:cstheme="majorBidi"/>
          <w:b/>
        </w:rPr>
        <w:t>:</w:t>
      </w:r>
      <w:r w:rsidRPr="00CD2123">
        <w:rPr>
          <w:rFonts w:asciiTheme="majorBidi" w:hAnsiTheme="majorBidi" w:cstheme="majorBidi"/>
        </w:rPr>
        <w:t xml:space="preserve"> </w:t>
      </w:r>
    </w:p>
    <w:p w14:paraId="1B95DB98" w14:textId="77777777" w:rsidR="00040253" w:rsidRPr="003C1C89" w:rsidRDefault="00040253" w:rsidP="00040253">
      <w:pPr>
        <w:spacing w:after="120"/>
        <w:ind w:left="1134" w:right="1134" w:firstLine="567"/>
        <w:jc w:val="both"/>
      </w:pPr>
      <w:r w:rsidRPr="003C1C89">
        <w:t>[(b)]</w:t>
      </w:r>
      <w:r w:rsidRPr="003C1C89">
        <w:tab/>
        <w:t xml:space="preserve">No Party or </w:t>
      </w:r>
      <w:r>
        <w:t>s</w:t>
      </w:r>
      <w:r w:rsidRPr="003C1C89">
        <w:t>ignatory is expected</w:t>
      </w:r>
      <w:r>
        <w:t xml:space="preserve"> </w:t>
      </w:r>
      <w:r w:rsidRPr="003C1C89">
        <w:t xml:space="preserve">to contribute less than </w:t>
      </w:r>
      <w:r>
        <w:t>[500]</w:t>
      </w:r>
      <w:r w:rsidRPr="003C1C89">
        <w:rPr>
          <w:b/>
        </w:rPr>
        <w:t xml:space="preserve"> </w:t>
      </w:r>
      <w:r w:rsidRPr="00CD78EF">
        <w:rPr>
          <w:bCs/>
        </w:rPr>
        <w:t>[1</w:t>
      </w:r>
      <w:r>
        <w:rPr>
          <w:bCs/>
        </w:rPr>
        <w:t>,</w:t>
      </w:r>
      <w:r w:rsidRPr="00CD78EF">
        <w:rPr>
          <w:bCs/>
        </w:rPr>
        <w:t>000]</w:t>
      </w:r>
      <w:r>
        <w:rPr>
          <w:b/>
        </w:rPr>
        <w:t xml:space="preserve"> </w:t>
      </w:r>
      <w:r w:rsidRPr="003C1C89">
        <w:t>United States dollars for the Convention’s work programme in its contribution for a given calendar year</w:t>
      </w:r>
      <w:r>
        <w:t>;</w:t>
      </w:r>
    </w:p>
    <w:p w14:paraId="5F1620EC" w14:textId="77777777" w:rsidR="00040253" w:rsidRPr="003C1C89" w:rsidRDefault="00040253" w:rsidP="00040253">
      <w:pPr>
        <w:spacing w:after="120"/>
        <w:ind w:left="1134" w:right="1134" w:firstLine="567"/>
        <w:jc w:val="both"/>
      </w:pPr>
      <w:r w:rsidRPr="003C1C89">
        <w:t>[(c)]</w:t>
      </w:r>
      <w:r w:rsidRPr="003C1C89">
        <w:tab/>
        <w:t xml:space="preserve">Contributions shall be made in cash and shall not be earmarked for a </w:t>
      </w:r>
      <w:proofErr w:type="gramStart"/>
      <w:r w:rsidRPr="003C1C89">
        <w:t>particular activity</w:t>
      </w:r>
      <w:proofErr w:type="gramEnd"/>
      <w:r>
        <w:t>;</w:t>
      </w:r>
    </w:p>
    <w:p w14:paraId="6EF9DB3E" w14:textId="77777777" w:rsidR="00040253" w:rsidRPr="003C1C89" w:rsidRDefault="00040253" w:rsidP="00040253">
      <w:pPr>
        <w:spacing w:after="120"/>
        <w:ind w:left="1134" w:right="1134" w:firstLine="567"/>
        <w:jc w:val="both"/>
      </w:pPr>
      <w:r w:rsidRPr="003C1C89">
        <w:t>[(d)]</w:t>
      </w:r>
      <w:r w:rsidRPr="003C1C89">
        <w:tab/>
        <w:t xml:space="preserve">Additional contributions may be made in cash or in kind and may be earmarked for a </w:t>
      </w:r>
      <w:proofErr w:type="gramStart"/>
      <w:r w:rsidRPr="003C1C89">
        <w:t>particular activity</w:t>
      </w:r>
      <w:proofErr w:type="gramEnd"/>
      <w:r>
        <w:t>;</w:t>
      </w:r>
    </w:p>
    <w:p w14:paraId="025CCDBE" w14:textId="77777777" w:rsidR="00040253" w:rsidRPr="003C1C89" w:rsidRDefault="00040253" w:rsidP="00040253">
      <w:pPr>
        <w:spacing w:after="120"/>
        <w:ind w:left="1134" w:right="1134" w:firstLine="567"/>
        <w:jc w:val="both"/>
      </w:pPr>
      <w:r w:rsidRPr="003C1C89">
        <w:t>[(e)]</w:t>
      </w:r>
      <w:r w:rsidRPr="003C1C89">
        <w:tab/>
        <w:t>Contributions in cash shall be made through the United Nations Economic Commission for Europe Trust Fund for Local Technical Cooperation (Aarhus Convention project)</w:t>
      </w:r>
      <w:r>
        <w:t>;</w:t>
      </w:r>
    </w:p>
    <w:p w14:paraId="3D4D9B02" w14:textId="77777777" w:rsidR="00040253" w:rsidRDefault="00040253" w:rsidP="00040253">
      <w:pPr>
        <w:spacing w:after="120"/>
        <w:ind w:left="1134" w:right="1134" w:firstLine="567"/>
        <w:jc w:val="both"/>
      </w:pPr>
      <w:r w:rsidRPr="003C1C89">
        <w:t>[(f)]</w:t>
      </w:r>
      <w:r w:rsidRPr="003C1C89">
        <w:tab/>
        <w:t xml:space="preserve">If allowed by the domestic budgetary procedures of the Parties, contributions for a given calendar year should be made by 1 October of the preceding year, or where this is not an option, it is recommended that contributions </w:t>
      </w:r>
      <w:r>
        <w:t>b</w:t>
      </w:r>
      <w:r w:rsidRPr="003C1C89">
        <w:t>e made in the first six months of the calendar year, so as to secure payment of staff costs for the smooth functioning of the secretariat, as a priority, and the timely and effective implementation of the priority activities of the respective programme of work</w:t>
      </w:r>
      <w:r>
        <w:t>;</w:t>
      </w:r>
    </w:p>
    <w:p w14:paraId="65408347" w14:textId="77777777" w:rsidR="00040253" w:rsidRPr="003C1C89" w:rsidRDefault="00040253" w:rsidP="00040253">
      <w:pPr>
        <w:spacing w:after="120"/>
        <w:ind w:left="1134" w:right="1134" w:firstLine="567"/>
        <w:jc w:val="both"/>
      </w:pPr>
      <w:r>
        <w:rPr>
          <w:rFonts w:eastAsia="Calibri"/>
          <w:w w:val="102"/>
        </w:rPr>
        <w:t>[(g)]</w:t>
      </w:r>
      <w:r>
        <w:rPr>
          <w:rFonts w:eastAsia="Calibri"/>
          <w:w w:val="102"/>
        </w:rPr>
        <w:tab/>
      </w:r>
      <w:r w:rsidRPr="002851CB">
        <w:rPr>
          <w:rFonts w:eastAsia="Calibri"/>
          <w:b/>
          <w:bCs/>
          <w:i/>
          <w:iCs/>
          <w:w w:val="102"/>
        </w:rPr>
        <w:t>New para added</w:t>
      </w:r>
      <w:r w:rsidRPr="00B55CC6">
        <w:rPr>
          <w:rFonts w:eastAsia="Calibri"/>
          <w:i/>
          <w:iCs/>
          <w:w w:val="102"/>
        </w:rPr>
        <w:t xml:space="preserve">: </w:t>
      </w:r>
      <w:r w:rsidRPr="00C952A9">
        <w:rPr>
          <w:rFonts w:eastAsia="Calibri"/>
          <w:w w:val="102"/>
        </w:rPr>
        <w:t xml:space="preserve">To keep administrative costs related to fund management </w:t>
      </w:r>
      <w:r>
        <w:rPr>
          <w:rFonts w:eastAsia="Calibri"/>
          <w:w w:val="102"/>
        </w:rPr>
        <w:t>to a</w:t>
      </w:r>
      <w:r w:rsidRPr="00C952A9">
        <w:rPr>
          <w:rFonts w:eastAsia="Calibri"/>
          <w:w w:val="102"/>
        </w:rPr>
        <w:t xml:space="preserve"> minimum</w:t>
      </w:r>
      <w:r>
        <w:rPr>
          <w:rFonts w:eastAsia="Calibri"/>
          <w:w w:val="102"/>
        </w:rPr>
        <w:t>,</w:t>
      </w:r>
      <w:r w:rsidRPr="00C952A9">
        <w:rPr>
          <w:rFonts w:eastAsia="Calibri"/>
          <w:w w:val="102"/>
        </w:rPr>
        <w:t xml:space="preserve"> insofar as possible and subject to </w:t>
      </w:r>
      <w:r>
        <w:rPr>
          <w:rFonts w:eastAsia="Calibri"/>
          <w:w w:val="102"/>
        </w:rPr>
        <w:t xml:space="preserve">the </w:t>
      </w:r>
      <w:r w:rsidRPr="00C952A9">
        <w:rPr>
          <w:rFonts w:eastAsia="Calibri"/>
          <w:w w:val="102"/>
        </w:rPr>
        <w:t xml:space="preserve">internal budgetary procedures of the Parties, contributions should preferably be </w:t>
      </w:r>
      <w:r>
        <w:rPr>
          <w:rFonts w:eastAsia="Calibri"/>
          <w:w w:val="102"/>
        </w:rPr>
        <w:t xml:space="preserve">paid net, with possible charges at the expense of donors, </w:t>
      </w:r>
      <w:r w:rsidRPr="00C952A9">
        <w:rPr>
          <w:rFonts w:eastAsia="Calibri"/>
          <w:w w:val="102"/>
        </w:rPr>
        <w:t>concentrated as much as possible</w:t>
      </w:r>
      <w:r>
        <w:rPr>
          <w:rFonts w:eastAsia="Calibri"/>
          <w:w w:val="102"/>
        </w:rPr>
        <w:t xml:space="preserve"> within the intersessional period</w:t>
      </w:r>
      <w:r w:rsidRPr="00C952A9">
        <w:rPr>
          <w:rFonts w:eastAsia="Calibri"/>
          <w:w w:val="102"/>
        </w:rPr>
        <w:t>, by</w:t>
      </w:r>
      <w:r>
        <w:rPr>
          <w:rFonts w:eastAsia="Calibri"/>
          <w:w w:val="102"/>
        </w:rPr>
        <w:t xml:space="preserve">, for example, </w:t>
      </w:r>
      <w:r w:rsidRPr="00C952A9">
        <w:rPr>
          <w:rFonts w:eastAsia="Calibri"/>
          <w:w w:val="102"/>
        </w:rPr>
        <w:t xml:space="preserve">making multiannual or annual contributions continuously </w:t>
      </w:r>
      <w:r>
        <w:rPr>
          <w:rFonts w:eastAsia="Calibri"/>
          <w:w w:val="102"/>
        </w:rPr>
        <w:t xml:space="preserve">(for every calendar year) </w:t>
      </w:r>
      <w:r w:rsidRPr="00C952A9">
        <w:rPr>
          <w:rFonts w:eastAsia="Calibri"/>
          <w:w w:val="102"/>
        </w:rPr>
        <w:t xml:space="preserve">and by merging contributions </w:t>
      </w:r>
      <w:r>
        <w:rPr>
          <w:rFonts w:eastAsia="Calibri"/>
          <w:w w:val="102"/>
        </w:rPr>
        <w:t xml:space="preserve">for the </w:t>
      </w:r>
      <w:r w:rsidRPr="00C952A9">
        <w:rPr>
          <w:rFonts w:eastAsia="Calibri"/>
          <w:w w:val="102"/>
        </w:rPr>
        <w:t xml:space="preserve">Aarhus </w:t>
      </w:r>
      <w:r>
        <w:rPr>
          <w:rFonts w:eastAsia="Calibri"/>
          <w:w w:val="102"/>
        </w:rPr>
        <w:t xml:space="preserve">Convention </w:t>
      </w:r>
      <w:r w:rsidRPr="00C952A9">
        <w:rPr>
          <w:rFonts w:eastAsia="Calibri"/>
          <w:w w:val="102"/>
        </w:rPr>
        <w:t xml:space="preserve">and </w:t>
      </w:r>
      <w:r>
        <w:rPr>
          <w:rFonts w:eastAsia="Calibri"/>
          <w:w w:val="102"/>
        </w:rPr>
        <w:t xml:space="preserve">the Protocol </w:t>
      </w:r>
      <w:r w:rsidRPr="00C952A9">
        <w:rPr>
          <w:rFonts w:eastAsia="Calibri"/>
          <w:w w:val="102"/>
        </w:rPr>
        <w:t>in</w:t>
      </w:r>
      <w:r>
        <w:rPr>
          <w:rFonts w:eastAsia="Calibri"/>
          <w:w w:val="102"/>
        </w:rPr>
        <w:t>to</w:t>
      </w:r>
      <w:r w:rsidRPr="00C952A9">
        <w:rPr>
          <w:rFonts w:eastAsia="Calibri"/>
          <w:w w:val="102"/>
        </w:rPr>
        <w:t xml:space="preserve"> one transfer, if </w:t>
      </w:r>
      <w:r>
        <w:rPr>
          <w:rFonts w:eastAsia="Calibri"/>
          <w:w w:val="102"/>
        </w:rPr>
        <w:t>appropriate;</w:t>
      </w:r>
    </w:p>
    <w:p w14:paraId="76F92CAE" w14:textId="77777777" w:rsidR="00040253" w:rsidRPr="003C1C89" w:rsidRDefault="00040253" w:rsidP="00040253">
      <w:pPr>
        <w:spacing w:after="120"/>
        <w:ind w:left="1134" w:right="1134" w:firstLine="567"/>
        <w:jc w:val="both"/>
      </w:pPr>
      <w:r w:rsidRPr="003C1C89">
        <w:t>[(</w:t>
      </w:r>
      <w:r>
        <w:t>h</w:t>
      </w:r>
      <w:r w:rsidRPr="003C1C89">
        <w:t>)]</w:t>
      </w:r>
      <w:r w:rsidRPr="003C1C89">
        <w:tab/>
        <w:t xml:space="preserve">Parties pledge, where possible, prior to the adoption of a work programme by the Meeting of </w:t>
      </w:r>
      <w:r w:rsidRPr="003C1C89">
        <w:rPr>
          <w:w w:val="102"/>
        </w:rPr>
        <w:t xml:space="preserve">the </w:t>
      </w:r>
      <w:r w:rsidRPr="003C1C89">
        <w:t>Parties</w:t>
      </w:r>
      <w:r w:rsidRPr="003C1C89">
        <w:rPr>
          <w:w w:val="102"/>
        </w:rPr>
        <w:t xml:space="preserve">, their </w:t>
      </w:r>
      <w:r w:rsidRPr="003C1C89">
        <w:t xml:space="preserve">expected annual or multi-annual financial and in-kind contributions. Signatories, other </w:t>
      </w:r>
      <w:r w:rsidRPr="003C1C89">
        <w:rPr>
          <w:w w:val="102"/>
        </w:rPr>
        <w:t xml:space="preserve">interested </w:t>
      </w:r>
      <w:r w:rsidRPr="003C1C89">
        <w:t xml:space="preserve">States and organizations may </w:t>
      </w:r>
      <w:r>
        <w:t xml:space="preserve">also </w:t>
      </w:r>
      <w:r w:rsidRPr="003C1C89">
        <w:t>wish to indicate their expected contributions</w:t>
      </w:r>
      <w:r>
        <w:rPr>
          <w:w w:val="102"/>
        </w:rPr>
        <w:t>;</w:t>
      </w:r>
    </w:p>
    <w:p w14:paraId="50341302" w14:textId="77777777" w:rsidR="00040253" w:rsidRPr="003C1C89" w:rsidRDefault="00040253" w:rsidP="00040253">
      <w:pPr>
        <w:pStyle w:val="SingleTxtG"/>
      </w:pPr>
      <w:r>
        <w:tab/>
      </w:r>
      <w:r w:rsidRPr="003C1C89">
        <w:tab/>
        <w:t>2.</w:t>
      </w:r>
      <w:r w:rsidRPr="003C1C89">
        <w:tab/>
      </w:r>
      <w:r w:rsidRPr="003C1C89">
        <w:rPr>
          <w:i/>
        </w:rPr>
        <w:t>Requests</w:t>
      </w:r>
      <w:r w:rsidRPr="003C1C89">
        <w:t xml:space="preserve"> Parties to contribute each year or to make multi-annual contributions towards the costs of activities under the work programme, in accordance with the scheme referred to in paragraph 1</w:t>
      </w:r>
      <w:r>
        <w:t xml:space="preserve"> above;</w:t>
      </w:r>
    </w:p>
    <w:p w14:paraId="78CA210B" w14:textId="77777777" w:rsidR="00040253" w:rsidRPr="003C1C89" w:rsidRDefault="00040253" w:rsidP="00040253">
      <w:pPr>
        <w:pStyle w:val="SingleTxtG"/>
      </w:pPr>
      <w:r>
        <w:tab/>
      </w:r>
      <w:r w:rsidRPr="003C1C89">
        <w:tab/>
        <w:t>3.</w:t>
      </w:r>
      <w:r w:rsidRPr="003C1C89">
        <w:tab/>
      </w:r>
      <w:r w:rsidRPr="003C1C89">
        <w:rPr>
          <w:i/>
        </w:rPr>
        <w:t>Invites</w:t>
      </w:r>
      <w:r w:rsidRPr="003C1C89">
        <w:t xml:space="preserve"> </w:t>
      </w:r>
      <w:r>
        <w:t>S</w:t>
      </w:r>
      <w:r w:rsidRPr="003C1C89">
        <w:t xml:space="preserve">ignatories, other interested States and public entities, as well as the private sector, in accordance with the </w:t>
      </w:r>
      <w:r w:rsidRPr="004D294E">
        <w:t>20</w:t>
      </w:r>
      <w:r>
        <w:t>15</w:t>
      </w:r>
      <w:r w:rsidRPr="004D294E">
        <w:t xml:space="preserve"> Guidelines on </w:t>
      </w:r>
      <w:r w:rsidRPr="00BF2A91">
        <w:t>a Principle-based Approach to the</w:t>
      </w:r>
      <w:r>
        <w:t xml:space="preserve"> </w:t>
      </w:r>
      <w:r w:rsidRPr="004D294E">
        <w:lastRenderedPageBreak/>
        <w:t>Cooperation between the United Nations and the Business Sector,</w:t>
      </w:r>
      <w:r w:rsidRPr="004D294E">
        <w:rPr>
          <w:sz w:val="18"/>
          <w:vertAlign w:val="superscript"/>
        </w:rPr>
        <w:footnoteReference w:id="12"/>
      </w:r>
      <w:r>
        <w:t xml:space="preserve"> </w:t>
      </w:r>
      <w:r w:rsidRPr="003C1C89">
        <w:t>to contribute, in cash or in kind, towards covering the costs of the work programme;</w:t>
      </w:r>
    </w:p>
    <w:p w14:paraId="7D62A3B8" w14:textId="77777777" w:rsidR="00040253" w:rsidRPr="003C1C89" w:rsidRDefault="00040253" w:rsidP="00040253">
      <w:pPr>
        <w:pStyle w:val="SingleTxtG"/>
        <w:rPr>
          <w:lang w:eastAsia="en-GB"/>
        </w:rPr>
      </w:pPr>
      <w:r>
        <w:rPr>
          <w:lang w:eastAsia="en-GB"/>
        </w:rPr>
        <w:tab/>
      </w:r>
      <w:r w:rsidRPr="003C1C89">
        <w:rPr>
          <w:lang w:eastAsia="en-GB"/>
        </w:rPr>
        <w:tab/>
        <w:t>4.</w:t>
      </w:r>
      <w:r w:rsidRPr="003C1C89">
        <w:rPr>
          <w:lang w:eastAsia="en-GB"/>
        </w:rPr>
        <w:tab/>
      </w:r>
      <w:r w:rsidRPr="003C1C89">
        <w:rPr>
          <w:i/>
          <w:lang w:eastAsia="en-GB"/>
        </w:rPr>
        <w:t>Calls</w:t>
      </w:r>
      <w:r w:rsidRPr="003C1C89">
        <w:rPr>
          <w:lang w:eastAsia="en-GB"/>
        </w:rPr>
        <w:t xml:space="preserve"> </w:t>
      </w:r>
      <w:r w:rsidRPr="003C1C89">
        <w:rPr>
          <w:i/>
          <w:lang w:eastAsia="en-GB"/>
        </w:rPr>
        <w:t>upon</w:t>
      </w:r>
      <w:r w:rsidRPr="003C1C89">
        <w:rPr>
          <w:lang w:eastAsia="en-GB"/>
        </w:rPr>
        <w:t xml:space="preserve"> countries with economies in transition to finance</w:t>
      </w:r>
      <w:r>
        <w:rPr>
          <w:lang w:eastAsia="en-GB"/>
        </w:rPr>
        <w:t>,</w:t>
      </w:r>
      <w:r w:rsidRPr="003C1C89">
        <w:rPr>
          <w:lang w:eastAsia="en-GB"/>
        </w:rPr>
        <w:t xml:space="preserve"> to the extent possible</w:t>
      </w:r>
      <w:r>
        <w:rPr>
          <w:lang w:eastAsia="en-GB"/>
        </w:rPr>
        <w:t>,</w:t>
      </w:r>
      <w:r w:rsidRPr="003C1C89">
        <w:rPr>
          <w:lang w:eastAsia="en-GB"/>
        </w:rPr>
        <w:t xml:space="preserve"> their own participation in the activities</w:t>
      </w:r>
      <w:r>
        <w:rPr>
          <w:lang w:eastAsia="en-GB"/>
        </w:rPr>
        <w:t>;</w:t>
      </w:r>
    </w:p>
    <w:p w14:paraId="4C2FCC71" w14:textId="77777777" w:rsidR="00040253" w:rsidRPr="003C1C89" w:rsidRDefault="00040253" w:rsidP="00040253">
      <w:pPr>
        <w:pStyle w:val="SingleTxtG"/>
      </w:pPr>
      <w:r>
        <w:rPr>
          <w:lang w:eastAsia="en-GB"/>
        </w:rPr>
        <w:tab/>
      </w:r>
      <w:r w:rsidRPr="003C1C89">
        <w:rPr>
          <w:lang w:eastAsia="en-GB"/>
        </w:rPr>
        <w:tab/>
        <w:t>5.</w:t>
      </w:r>
      <w:r w:rsidRPr="003C1C89">
        <w:rPr>
          <w:lang w:eastAsia="en-GB"/>
        </w:rPr>
        <w:tab/>
      </w:r>
      <w:r w:rsidRPr="003C1C89">
        <w:rPr>
          <w:i/>
          <w:lang w:eastAsia="en-GB"/>
        </w:rPr>
        <w:t>Calls upon</w:t>
      </w:r>
      <w:r w:rsidRPr="003C1C89">
        <w:rPr>
          <w:lang w:eastAsia="en-GB"/>
        </w:rPr>
        <w:t xml:space="preserve"> international organizations working in countries with economies in transition to </w:t>
      </w:r>
      <w:r w:rsidRPr="003C1C89">
        <w:t>support</w:t>
      </w:r>
      <w:r w:rsidRPr="003C1C89">
        <w:rPr>
          <w:lang w:eastAsia="en-GB"/>
        </w:rPr>
        <w:t xml:space="preserve"> </w:t>
      </w:r>
      <w:r>
        <w:rPr>
          <w:lang w:eastAsia="en-GB"/>
        </w:rPr>
        <w:t xml:space="preserve">the </w:t>
      </w:r>
      <w:r w:rsidRPr="003C1C89">
        <w:rPr>
          <w:lang w:eastAsia="en-GB"/>
        </w:rPr>
        <w:t>participation of representatives of these countries and non</w:t>
      </w:r>
      <w:r w:rsidRPr="003C1C89">
        <w:rPr>
          <w:lang w:eastAsia="en-GB"/>
        </w:rPr>
        <w:noBreakHyphen/>
        <w:t>governmental organizations in the meetings and other activities</w:t>
      </w:r>
      <w:r>
        <w:rPr>
          <w:lang w:eastAsia="en-GB"/>
        </w:rPr>
        <w:t>;</w:t>
      </w:r>
    </w:p>
    <w:p w14:paraId="60C2FBF7" w14:textId="77777777" w:rsidR="00040253" w:rsidRPr="003C1C89" w:rsidRDefault="00040253" w:rsidP="00040253">
      <w:pPr>
        <w:pStyle w:val="SingleTxtG"/>
        <w:rPr>
          <w:u w:val="single"/>
        </w:rPr>
      </w:pPr>
      <w:r w:rsidRPr="003C1C89">
        <w:tab/>
      </w:r>
      <w:r>
        <w:tab/>
      </w:r>
      <w:r w:rsidRPr="003C1C89">
        <w:t>6.</w:t>
      </w:r>
      <w:r w:rsidRPr="003C1C89">
        <w:tab/>
      </w:r>
      <w:r w:rsidRPr="003C1C89">
        <w:rPr>
          <w:i/>
        </w:rPr>
        <w:t>Encourages</w:t>
      </w:r>
      <w:r w:rsidRPr="003C1C89">
        <w:t xml:space="preserve"> Parties that have historically contributed generously to maintain, or return to, their previous levels of contribution</w:t>
      </w:r>
      <w:r>
        <w:t>;</w:t>
      </w:r>
    </w:p>
    <w:p w14:paraId="334928AB" w14:textId="77777777" w:rsidR="00040253" w:rsidRPr="003C1C89" w:rsidRDefault="00040253" w:rsidP="00040253">
      <w:pPr>
        <w:pStyle w:val="SingleTxtG"/>
        <w:rPr>
          <w:w w:val="102"/>
        </w:rPr>
      </w:pPr>
      <w:r>
        <w:tab/>
      </w:r>
      <w:r w:rsidRPr="003C1C89">
        <w:tab/>
        <w:t>7.</w:t>
      </w:r>
      <w:r w:rsidRPr="003C1C89">
        <w:tab/>
      </w:r>
      <w:r w:rsidRPr="003C1C89">
        <w:rPr>
          <w:i/>
        </w:rPr>
        <w:t>Requests</w:t>
      </w:r>
      <w:r w:rsidRPr="003C1C89">
        <w:t xml:space="preserve"> all Parties to ensure the equitable distribution of the financial responsibility for implementation of the work programme</w:t>
      </w:r>
      <w:r>
        <w:t>,</w:t>
      </w:r>
      <w:r w:rsidRPr="003C1C89">
        <w:t xml:space="preserve"> and requests the Bureau to liaise with Parties where appropriate concerning the achievement of this goal</w:t>
      </w:r>
      <w:r>
        <w:t>;</w:t>
      </w:r>
      <w:r w:rsidRPr="003C1C89">
        <w:rPr>
          <w:i/>
        </w:rPr>
        <w:t xml:space="preserve"> </w:t>
      </w:r>
    </w:p>
    <w:p w14:paraId="18A9FE37" w14:textId="77777777" w:rsidR="00040253" w:rsidRPr="003C1C89" w:rsidRDefault="00040253" w:rsidP="00040253">
      <w:pPr>
        <w:pStyle w:val="SingleTxtG"/>
      </w:pPr>
      <w:r>
        <w:tab/>
      </w:r>
      <w:r w:rsidRPr="003C1C89">
        <w:tab/>
        <w:t>8.</w:t>
      </w:r>
      <w:r w:rsidRPr="003C1C89">
        <w:tab/>
      </w:r>
      <w:r w:rsidRPr="003C1C89">
        <w:rPr>
          <w:i/>
        </w:rPr>
        <w:t>Requests</w:t>
      </w:r>
      <w:r w:rsidRPr="003C1C89">
        <w:t xml:space="preserve"> the secretariat, in accordance with the financial rules of the United Nations, to allocate in the Convention </w:t>
      </w:r>
      <w:r>
        <w:t>t</w:t>
      </w:r>
      <w:r w:rsidRPr="003C1C89">
        <w:t xml:space="preserve">rust </w:t>
      </w:r>
      <w:r>
        <w:t>f</w:t>
      </w:r>
      <w:r w:rsidRPr="003C1C89">
        <w:t>und</w:t>
      </w:r>
      <w:r>
        <w:t>,</w:t>
      </w:r>
      <w:r w:rsidRPr="003C1C89" w:rsidDel="00402469">
        <w:t xml:space="preserve"> </w:t>
      </w:r>
      <w:r w:rsidRPr="003C1C89">
        <w:t>by 1 October of each year</w:t>
      </w:r>
      <w:r>
        <w:t>,</w:t>
      </w:r>
      <w:r w:rsidRPr="003C1C89">
        <w:t xml:space="preserve"> the sum required for the extension of the contracts of extrabudgetary staff of the secretariat for the upcoming year, as a priority, and also costs needed for implementation of activities in the first quarter of the upcoming year;</w:t>
      </w:r>
    </w:p>
    <w:p w14:paraId="4C8A5281" w14:textId="77777777" w:rsidR="00040253" w:rsidRPr="003C1C89" w:rsidRDefault="00040253" w:rsidP="00040253">
      <w:pPr>
        <w:pStyle w:val="SingleTxtG"/>
      </w:pPr>
      <w:r>
        <w:tab/>
      </w:r>
      <w:r w:rsidRPr="003C1C89">
        <w:tab/>
        <w:t>9.</w:t>
      </w:r>
      <w:r w:rsidRPr="003C1C89">
        <w:tab/>
      </w:r>
      <w:r w:rsidRPr="003C1C89">
        <w:rPr>
          <w:i/>
        </w:rPr>
        <w:t>Also requests</w:t>
      </w:r>
      <w:r w:rsidRPr="003C1C89">
        <w:t xml:space="preserve"> the secretariat, in accordance with the financial rules of the United Nations, to monitor the expenditure of the funds and to prepare annual reports specifically indicating contributions, and reflecting any changes to:</w:t>
      </w:r>
    </w:p>
    <w:p w14:paraId="718C067D" w14:textId="77777777" w:rsidR="00040253" w:rsidRPr="003C1C89" w:rsidRDefault="00040253" w:rsidP="00040253">
      <w:pPr>
        <w:spacing w:after="120"/>
        <w:ind w:left="1134" w:right="1134" w:firstLine="567"/>
        <w:jc w:val="both"/>
      </w:pPr>
      <w:r w:rsidRPr="003C1C89">
        <w:t>(a)</w:t>
      </w:r>
      <w:r w:rsidRPr="003C1C89">
        <w:tab/>
        <w:t xml:space="preserve">The estimated costs of activities for the next calendar year; </w:t>
      </w:r>
    </w:p>
    <w:p w14:paraId="23E1CB45" w14:textId="77777777" w:rsidR="00040253" w:rsidRPr="003C1C89" w:rsidRDefault="00040253" w:rsidP="00040253">
      <w:pPr>
        <w:spacing w:after="120"/>
        <w:ind w:left="1134" w:right="1134" w:firstLine="567"/>
        <w:jc w:val="both"/>
      </w:pPr>
      <w:r w:rsidRPr="003C1C89">
        <w:t>(b)</w:t>
      </w:r>
      <w:r w:rsidRPr="003C1C89">
        <w:tab/>
        <w:t>The composition of the Parties, for review by the Working Group of the Parties</w:t>
      </w:r>
      <w:r>
        <w:t>,</w:t>
      </w:r>
      <w:r w:rsidRPr="003C1C89">
        <w:t xml:space="preserve"> in order to strive to ensure that the level of contributions matches the level of funding needed for the implementation of the work programme;</w:t>
      </w:r>
    </w:p>
    <w:p w14:paraId="283FD23C" w14:textId="77777777" w:rsidR="00040253" w:rsidRPr="003C1C89" w:rsidRDefault="00040253" w:rsidP="00040253">
      <w:pPr>
        <w:pStyle w:val="SingleTxtG"/>
      </w:pPr>
      <w:r>
        <w:tab/>
      </w:r>
      <w:r>
        <w:tab/>
      </w:r>
      <w:r w:rsidRPr="003C1C89">
        <w:t>10.</w:t>
      </w:r>
      <w:r w:rsidRPr="003C1C89">
        <w:tab/>
      </w:r>
      <w:r w:rsidRPr="003C1C89">
        <w:rPr>
          <w:i/>
        </w:rPr>
        <w:t>Requests</w:t>
      </w:r>
      <w:r w:rsidRPr="003C1C89">
        <w:t xml:space="preserve"> the Bureau, with </w:t>
      </w:r>
      <w:r w:rsidRPr="00712524">
        <w:t>the</w:t>
      </w:r>
      <w:r w:rsidRPr="003C1C89">
        <w:t xml:space="preserve"> assistance of the secretariat, </w:t>
      </w:r>
      <w:r>
        <w:t xml:space="preserve">to provide </w:t>
      </w:r>
      <w:r w:rsidRPr="003C1C89">
        <w:t>an estimation of the</w:t>
      </w:r>
      <w:r>
        <w:rPr>
          <w:color w:val="000000"/>
        </w:rPr>
        <w:t xml:space="preserve"> </w:t>
      </w:r>
      <w:r w:rsidRPr="003C1C89">
        <w:t>operational costs needed for the effective functioning of the Convention, which should be clearly distinct from the cost of other activities which are subject to the availability of resources;</w:t>
      </w:r>
    </w:p>
    <w:p w14:paraId="33711C2B" w14:textId="77777777" w:rsidR="00040253" w:rsidRPr="003C1C89" w:rsidRDefault="00040253" w:rsidP="00040253">
      <w:pPr>
        <w:pStyle w:val="SingleTxtG"/>
      </w:pPr>
      <w:r>
        <w:tab/>
      </w:r>
      <w:r>
        <w:tab/>
      </w:r>
      <w:r w:rsidRPr="003C1C89">
        <w:t>11.</w:t>
      </w:r>
      <w:r w:rsidRPr="003C1C89">
        <w:rPr>
          <w:i/>
        </w:rPr>
        <w:tab/>
        <w:t>Requests</w:t>
      </w:r>
      <w:r w:rsidRPr="003C1C89">
        <w:t xml:space="preserve"> the Working Group of the Parties to consider, in the light of these annual reports, whether changes would be required in the content or time frame of the work programme, in the event that the level of actual and/or pledged contributions does not match the level of funding needed;</w:t>
      </w:r>
    </w:p>
    <w:p w14:paraId="15526555" w14:textId="77777777" w:rsidR="00040253" w:rsidRPr="003C1C89" w:rsidRDefault="00040253" w:rsidP="00040253">
      <w:pPr>
        <w:pStyle w:val="SingleTxtG"/>
      </w:pPr>
      <w:r>
        <w:tab/>
      </w:r>
      <w:r w:rsidRPr="003C1C89">
        <w:tab/>
        <w:t>12.</w:t>
      </w:r>
      <w:r w:rsidRPr="003C1C89">
        <w:tab/>
      </w:r>
      <w:r w:rsidRPr="003C1C89">
        <w:rPr>
          <w:i/>
        </w:rPr>
        <w:t>Requests</w:t>
      </w:r>
      <w:r w:rsidRPr="003C1C89">
        <w:t xml:space="preserve"> the secretariat to prepare a comprehensive report on financial matters for each session of the Meeting of the Parties, including information on how much Parties and other participating States and organizations have contributed to the budget of the Convention in cash and in kind, and how the contributions were spent;</w:t>
      </w:r>
    </w:p>
    <w:p w14:paraId="15061AD7" w14:textId="77777777" w:rsidR="00040253" w:rsidRPr="003C1C89" w:rsidRDefault="00040253" w:rsidP="00040253">
      <w:pPr>
        <w:pStyle w:val="SingleTxtG"/>
      </w:pPr>
      <w:r>
        <w:tab/>
      </w:r>
      <w:r w:rsidRPr="003C1C89">
        <w:tab/>
        <w:t>13.</w:t>
      </w:r>
      <w:r w:rsidRPr="003C1C89">
        <w:tab/>
      </w:r>
      <w:r w:rsidRPr="003C1C89">
        <w:rPr>
          <w:i/>
        </w:rPr>
        <w:t>Agrees</w:t>
      </w:r>
      <w:r w:rsidRPr="003C1C89">
        <w:t xml:space="preserve"> to review the operation of the scheme of financial arrangements at its </w:t>
      </w:r>
      <w:r>
        <w:t>eighth</w:t>
      </w:r>
      <w:r w:rsidRPr="003C1C89">
        <w:t xml:space="preserve"> session;</w:t>
      </w:r>
    </w:p>
    <w:p w14:paraId="26405CFC" w14:textId="77777777" w:rsidR="00040253" w:rsidRPr="003C1C89" w:rsidRDefault="00040253" w:rsidP="00040253">
      <w:pPr>
        <w:pStyle w:val="SingleTxtG"/>
      </w:pPr>
      <w:r>
        <w:tab/>
      </w:r>
      <w:r w:rsidRPr="003C1C89">
        <w:tab/>
        <w:t>14.</w:t>
      </w:r>
      <w:r w:rsidRPr="003C1C89">
        <w:tab/>
      </w:r>
      <w:r w:rsidRPr="003C1C89">
        <w:rPr>
          <w:i/>
        </w:rPr>
        <w:t>Mandates</w:t>
      </w:r>
      <w:r w:rsidRPr="003C1C89">
        <w:t xml:space="preserve"> the Bureau and the Working Group of the Parties to explore</w:t>
      </w:r>
      <w:r>
        <w:t>,</w:t>
      </w:r>
      <w:r w:rsidRPr="003C1C89">
        <w:t xml:space="preserve"> in the next intersessional period</w:t>
      </w:r>
      <w:r>
        <w:t>,</w:t>
      </w:r>
      <w:r w:rsidRPr="003C1C89">
        <w:t xml:space="preserve"> options for more predictable, stable and equitably shared funding, and requests them to make the appropriate proposals for consideration by the Meeting of the Parties at its </w:t>
      </w:r>
      <w:r>
        <w:t>eighth</w:t>
      </w:r>
      <w:r w:rsidRPr="003C1C89">
        <w:t xml:space="preserve"> session;</w:t>
      </w:r>
    </w:p>
    <w:p w14:paraId="24F9A373" w14:textId="67B5072C" w:rsidR="00AF01A0" w:rsidRDefault="00040253" w:rsidP="00AF01A0">
      <w:pPr>
        <w:pStyle w:val="SingleTxtG"/>
      </w:pPr>
      <w:r>
        <w:tab/>
      </w:r>
      <w:r w:rsidRPr="003C1C89">
        <w:tab/>
        <w:t>15.</w:t>
      </w:r>
      <w:r w:rsidRPr="003C1C89">
        <w:tab/>
      </w:r>
      <w:r w:rsidRPr="003C1C89">
        <w:rPr>
          <w:i/>
        </w:rPr>
        <w:t>Requests</w:t>
      </w:r>
      <w:r w:rsidRPr="003C1C89">
        <w:t xml:space="preserve"> the United Nations Economic Commission for Europe to allocate more resources to support the work under the Convention, noting in this connection the positive evaluation of the Environment subprogramme during the </w:t>
      </w:r>
      <w:r>
        <w:t xml:space="preserve">2013 </w:t>
      </w:r>
      <w:r w:rsidRPr="003C1C89">
        <w:rPr>
          <w:bCs/>
          <w:lang w:eastAsia="en-GB"/>
        </w:rPr>
        <w:t xml:space="preserve">review of the 2005 reform of </w:t>
      </w:r>
      <w:r w:rsidRPr="003C1C89">
        <w:t>the</w:t>
      </w:r>
      <w:r w:rsidRPr="003C1C89">
        <w:rPr>
          <w:bCs/>
          <w:lang w:eastAsia="en-GB"/>
        </w:rPr>
        <w:t xml:space="preserve"> </w:t>
      </w:r>
      <w:r w:rsidRPr="003C1C89">
        <w:t>Commission,</w:t>
      </w:r>
      <w:r w:rsidRPr="004118C5">
        <w:rPr>
          <w:vertAlign w:val="superscript"/>
        </w:rPr>
        <w:footnoteReference w:id="13"/>
      </w:r>
      <w:r w:rsidRPr="003C1C89">
        <w:t xml:space="preserve"> and considering, inter alia, the balance in the use of regular budgetary resources in the different subprogrammes.</w:t>
      </w:r>
      <w:r w:rsidR="00AF01A0">
        <w:br w:type="page"/>
      </w:r>
    </w:p>
    <w:p w14:paraId="3E7A63E6" w14:textId="4646CB7F" w:rsidR="00040253" w:rsidRDefault="00FA156E" w:rsidP="00494683">
      <w:pPr>
        <w:pStyle w:val="HChG"/>
      </w:pPr>
      <w:r>
        <w:lastRenderedPageBreak/>
        <w:t xml:space="preserve"> </w:t>
      </w:r>
      <w:r w:rsidR="00040253">
        <w:t>[Annex II</w:t>
      </w:r>
    </w:p>
    <w:p w14:paraId="785742EC" w14:textId="77777777" w:rsidR="00040253" w:rsidRPr="00A46135" w:rsidRDefault="00040253" w:rsidP="00040253">
      <w:pPr>
        <w:pStyle w:val="HChG"/>
      </w:pPr>
      <w:r>
        <w:tab/>
      </w:r>
      <w:r>
        <w:tab/>
      </w:r>
      <w:r w:rsidRPr="00A46135">
        <w:t xml:space="preserve">Indicative </w:t>
      </w:r>
      <w:r w:rsidRPr="00452E6C">
        <w:t>contributions</w:t>
      </w:r>
      <w:r w:rsidRPr="00A46135">
        <w:t xml:space="preserve"> for 20</w:t>
      </w:r>
      <w:r>
        <w:t>21</w:t>
      </w:r>
    </w:p>
    <w:tbl>
      <w:tblPr>
        <w:tblW w:w="7370" w:type="dxa"/>
        <w:tblInd w:w="1134" w:type="dxa"/>
        <w:tblLayout w:type="fixed"/>
        <w:tblCellMar>
          <w:left w:w="0" w:type="dxa"/>
          <w:right w:w="0" w:type="dxa"/>
        </w:tblCellMar>
        <w:tblLook w:val="04A0" w:firstRow="1" w:lastRow="0" w:firstColumn="1" w:lastColumn="0" w:noHBand="0" w:noVBand="1"/>
      </w:tblPr>
      <w:tblGrid>
        <w:gridCol w:w="2262"/>
        <w:gridCol w:w="1484"/>
        <w:gridCol w:w="1783"/>
        <w:gridCol w:w="1841"/>
      </w:tblGrid>
      <w:tr w:rsidR="00040253" w:rsidRPr="00452E6C" w14:paraId="171D628B" w14:textId="77777777" w:rsidTr="0050726A">
        <w:trPr>
          <w:tblHeader/>
        </w:trPr>
        <w:tc>
          <w:tcPr>
            <w:tcW w:w="2262" w:type="dxa"/>
            <w:tcBorders>
              <w:top w:val="single" w:sz="4" w:space="0" w:color="auto"/>
              <w:bottom w:val="single" w:sz="12" w:space="0" w:color="auto"/>
            </w:tcBorders>
            <w:shd w:val="clear" w:color="auto" w:fill="auto"/>
            <w:vAlign w:val="bottom"/>
            <w:hideMark/>
          </w:tcPr>
          <w:p w14:paraId="46AF45CE" w14:textId="77777777" w:rsidR="00040253" w:rsidRPr="00452E6C" w:rsidRDefault="00040253" w:rsidP="0050726A">
            <w:pPr>
              <w:suppressAutoHyphens w:val="0"/>
              <w:spacing w:before="80" w:after="80" w:line="200" w:lineRule="exact"/>
              <w:rPr>
                <w:bCs/>
                <w:i/>
                <w:sz w:val="16"/>
              </w:rPr>
            </w:pPr>
            <w:r w:rsidRPr="00452E6C">
              <w:rPr>
                <w:bCs/>
                <w:i/>
                <w:sz w:val="16"/>
              </w:rPr>
              <w:t xml:space="preserve">Column A: </w:t>
            </w:r>
            <w:r w:rsidRPr="00452E6C">
              <w:rPr>
                <w:bCs/>
                <w:i/>
                <w:sz w:val="16"/>
              </w:rPr>
              <w:br/>
              <w:t>Countries (Parties and Signatories)</w:t>
            </w:r>
          </w:p>
        </w:tc>
        <w:tc>
          <w:tcPr>
            <w:tcW w:w="1484" w:type="dxa"/>
            <w:tcBorders>
              <w:top w:val="single" w:sz="4" w:space="0" w:color="auto"/>
              <w:bottom w:val="single" w:sz="12" w:space="0" w:color="auto"/>
            </w:tcBorders>
            <w:shd w:val="clear" w:color="auto" w:fill="auto"/>
            <w:vAlign w:val="bottom"/>
            <w:hideMark/>
          </w:tcPr>
          <w:p w14:paraId="4D15C33B" w14:textId="77777777" w:rsidR="00040253" w:rsidRPr="00452E6C" w:rsidRDefault="00040253" w:rsidP="0050726A">
            <w:pPr>
              <w:suppressAutoHyphens w:val="0"/>
              <w:spacing w:before="80" w:after="80" w:line="200" w:lineRule="exact"/>
              <w:jc w:val="right"/>
              <w:rPr>
                <w:bCs/>
                <w:i/>
                <w:sz w:val="16"/>
              </w:rPr>
            </w:pPr>
            <w:r w:rsidRPr="00452E6C">
              <w:rPr>
                <w:bCs/>
                <w:i/>
                <w:sz w:val="16"/>
              </w:rPr>
              <w:t xml:space="preserve">Column B: </w:t>
            </w:r>
            <w:r w:rsidRPr="00452E6C">
              <w:rPr>
                <w:bCs/>
                <w:i/>
                <w:sz w:val="16"/>
              </w:rPr>
              <w:br/>
              <w:t>United Nations scale of assessments (percentage)</w:t>
            </w:r>
            <w:r w:rsidRPr="00452E6C">
              <w:rPr>
                <w:bCs/>
                <w:i/>
                <w:sz w:val="16"/>
                <w:vertAlign w:val="superscript"/>
              </w:rPr>
              <w:t>a</w:t>
            </w:r>
          </w:p>
        </w:tc>
        <w:tc>
          <w:tcPr>
            <w:tcW w:w="1783" w:type="dxa"/>
            <w:tcBorders>
              <w:top w:val="single" w:sz="4" w:space="0" w:color="auto"/>
              <w:bottom w:val="single" w:sz="12" w:space="0" w:color="auto"/>
            </w:tcBorders>
            <w:shd w:val="clear" w:color="auto" w:fill="auto"/>
            <w:vAlign w:val="bottom"/>
            <w:hideMark/>
          </w:tcPr>
          <w:p w14:paraId="56EF8EA4" w14:textId="77777777" w:rsidR="00040253" w:rsidRPr="00452E6C" w:rsidRDefault="00040253" w:rsidP="0050726A">
            <w:pPr>
              <w:suppressAutoHyphens w:val="0"/>
              <w:spacing w:before="80" w:after="80" w:line="200" w:lineRule="exact"/>
              <w:jc w:val="right"/>
              <w:rPr>
                <w:bCs/>
                <w:i/>
                <w:sz w:val="16"/>
              </w:rPr>
            </w:pPr>
            <w:r w:rsidRPr="00452E6C">
              <w:rPr>
                <w:bCs/>
                <w:i/>
                <w:sz w:val="16"/>
              </w:rPr>
              <w:t xml:space="preserve">Column C: </w:t>
            </w:r>
            <w:r w:rsidRPr="00452E6C">
              <w:rPr>
                <w:bCs/>
                <w:i/>
                <w:sz w:val="16"/>
              </w:rPr>
              <w:br/>
              <w:t>Adjusted United Nations scale of assessments (percentage)</w:t>
            </w:r>
            <w:r w:rsidRPr="00452E6C">
              <w:rPr>
                <w:bCs/>
                <w:i/>
                <w:sz w:val="16"/>
                <w:vertAlign w:val="superscript"/>
              </w:rPr>
              <w:t>b</w:t>
            </w:r>
          </w:p>
        </w:tc>
        <w:tc>
          <w:tcPr>
            <w:tcW w:w="1841" w:type="dxa"/>
            <w:tcBorders>
              <w:top w:val="single" w:sz="4" w:space="0" w:color="auto"/>
              <w:bottom w:val="single" w:sz="12" w:space="0" w:color="auto"/>
            </w:tcBorders>
            <w:shd w:val="clear" w:color="auto" w:fill="auto"/>
            <w:vAlign w:val="bottom"/>
            <w:hideMark/>
          </w:tcPr>
          <w:p w14:paraId="3F400C1C" w14:textId="77777777" w:rsidR="00040253" w:rsidRPr="00452E6C" w:rsidRDefault="00040253" w:rsidP="0050726A">
            <w:pPr>
              <w:suppressAutoHyphens w:val="0"/>
              <w:spacing w:before="80" w:after="80" w:line="200" w:lineRule="exact"/>
              <w:jc w:val="right"/>
              <w:rPr>
                <w:bCs/>
                <w:i/>
                <w:sz w:val="16"/>
              </w:rPr>
            </w:pPr>
            <w:r w:rsidRPr="00452E6C">
              <w:rPr>
                <w:bCs/>
                <w:i/>
                <w:sz w:val="16"/>
              </w:rPr>
              <w:t xml:space="preserve">Column </w:t>
            </w:r>
            <w:r>
              <w:rPr>
                <w:bCs/>
                <w:i/>
                <w:sz w:val="16"/>
              </w:rPr>
              <w:t>D:</w:t>
            </w:r>
            <w:r>
              <w:rPr>
                <w:bCs/>
                <w:i/>
                <w:sz w:val="16"/>
              </w:rPr>
              <w:br/>
            </w:r>
            <w:r w:rsidRPr="00452E6C">
              <w:rPr>
                <w:i/>
                <w:iCs/>
                <w:sz w:val="16"/>
              </w:rPr>
              <w:t>Amount to be contributed for 20</w:t>
            </w:r>
            <w:r>
              <w:rPr>
                <w:i/>
                <w:iCs/>
                <w:sz w:val="16"/>
              </w:rPr>
              <w:t>2</w:t>
            </w:r>
            <w:r w:rsidRPr="00452E6C">
              <w:rPr>
                <w:i/>
                <w:iCs/>
                <w:sz w:val="16"/>
              </w:rPr>
              <w:t>1 (United States dollars)</w:t>
            </w:r>
            <w:r w:rsidRPr="00452E6C">
              <w:rPr>
                <w:bCs/>
                <w:i/>
                <w:sz w:val="16"/>
              </w:rPr>
              <w:t>:</w:t>
            </w:r>
          </w:p>
        </w:tc>
      </w:tr>
      <w:tr w:rsidR="00040253" w:rsidRPr="00452E6C" w14:paraId="2BD85F9D" w14:textId="77777777" w:rsidTr="0050726A">
        <w:trPr>
          <w:trHeight w:hRule="exact" w:val="113"/>
          <w:tblHeader/>
        </w:trPr>
        <w:tc>
          <w:tcPr>
            <w:tcW w:w="2262" w:type="dxa"/>
            <w:tcBorders>
              <w:top w:val="single" w:sz="12" w:space="0" w:color="auto"/>
            </w:tcBorders>
            <w:shd w:val="clear" w:color="auto" w:fill="auto"/>
            <w:noWrap/>
          </w:tcPr>
          <w:p w14:paraId="5D5A3633" w14:textId="77777777" w:rsidR="00040253" w:rsidRPr="00452E6C" w:rsidRDefault="00040253" w:rsidP="0050726A">
            <w:pPr>
              <w:suppressAutoHyphens w:val="0"/>
              <w:spacing w:before="40" w:after="40" w:line="220" w:lineRule="exact"/>
              <w:rPr>
                <w:sz w:val="18"/>
              </w:rPr>
            </w:pPr>
          </w:p>
        </w:tc>
        <w:tc>
          <w:tcPr>
            <w:tcW w:w="1484" w:type="dxa"/>
            <w:tcBorders>
              <w:top w:val="single" w:sz="12" w:space="0" w:color="auto"/>
            </w:tcBorders>
            <w:shd w:val="clear" w:color="auto" w:fill="auto"/>
            <w:noWrap/>
            <w:vAlign w:val="bottom"/>
          </w:tcPr>
          <w:p w14:paraId="68DE3C35" w14:textId="77777777" w:rsidR="00040253" w:rsidRPr="00452E6C" w:rsidRDefault="00040253" w:rsidP="0050726A">
            <w:pPr>
              <w:suppressAutoHyphens w:val="0"/>
              <w:spacing w:before="40" w:after="40" w:line="220" w:lineRule="exact"/>
              <w:jc w:val="right"/>
              <w:rPr>
                <w:sz w:val="18"/>
              </w:rPr>
            </w:pPr>
          </w:p>
        </w:tc>
        <w:tc>
          <w:tcPr>
            <w:tcW w:w="1783" w:type="dxa"/>
            <w:tcBorders>
              <w:top w:val="single" w:sz="12" w:space="0" w:color="auto"/>
            </w:tcBorders>
            <w:shd w:val="clear" w:color="auto" w:fill="auto"/>
            <w:noWrap/>
            <w:vAlign w:val="bottom"/>
          </w:tcPr>
          <w:p w14:paraId="30B8BCDC" w14:textId="77777777" w:rsidR="00040253" w:rsidRPr="00452E6C" w:rsidRDefault="00040253" w:rsidP="0050726A">
            <w:pPr>
              <w:suppressAutoHyphens w:val="0"/>
              <w:spacing w:before="40" w:after="40" w:line="220" w:lineRule="exact"/>
              <w:jc w:val="right"/>
              <w:rPr>
                <w:sz w:val="18"/>
              </w:rPr>
            </w:pPr>
          </w:p>
        </w:tc>
        <w:tc>
          <w:tcPr>
            <w:tcW w:w="1841" w:type="dxa"/>
            <w:tcBorders>
              <w:top w:val="single" w:sz="12" w:space="0" w:color="auto"/>
            </w:tcBorders>
            <w:shd w:val="clear" w:color="auto" w:fill="auto"/>
            <w:vAlign w:val="bottom"/>
          </w:tcPr>
          <w:p w14:paraId="3A320436" w14:textId="77777777" w:rsidR="00040253" w:rsidRPr="00452E6C" w:rsidRDefault="00040253" w:rsidP="0050726A">
            <w:pPr>
              <w:suppressAutoHyphens w:val="0"/>
              <w:spacing w:before="40" w:after="40" w:line="220" w:lineRule="exact"/>
              <w:jc w:val="right"/>
              <w:rPr>
                <w:sz w:val="18"/>
              </w:rPr>
            </w:pPr>
          </w:p>
        </w:tc>
      </w:tr>
      <w:tr w:rsidR="00040253" w:rsidRPr="00452E6C" w14:paraId="7A916B9E" w14:textId="77777777" w:rsidTr="0050726A">
        <w:tc>
          <w:tcPr>
            <w:tcW w:w="2262" w:type="dxa"/>
            <w:shd w:val="clear" w:color="auto" w:fill="auto"/>
            <w:noWrap/>
            <w:hideMark/>
          </w:tcPr>
          <w:p w14:paraId="26D8D544" w14:textId="77777777" w:rsidR="00040253" w:rsidRPr="00452E6C" w:rsidRDefault="00040253" w:rsidP="0050726A">
            <w:pPr>
              <w:suppressAutoHyphens w:val="0"/>
              <w:spacing w:before="40" w:after="40" w:line="220" w:lineRule="exact"/>
              <w:rPr>
                <w:sz w:val="18"/>
              </w:rPr>
            </w:pPr>
            <w:r w:rsidRPr="00452E6C">
              <w:rPr>
                <w:sz w:val="18"/>
              </w:rPr>
              <w:t>Albania</w:t>
            </w:r>
          </w:p>
        </w:tc>
        <w:tc>
          <w:tcPr>
            <w:tcW w:w="1484" w:type="dxa"/>
            <w:shd w:val="clear" w:color="auto" w:fill="auto"/>
            <w:noWrap/>
            <w:vAlign w:val="bottom"/>
            <w:hideMark/>
          </w:tcPr>
          <w:p w14:paraId="677A5343" w14:textId="77777777" w:rsidR="00040253" w:rsidRPr="00452E6C" w:rsidRDefault="00040253" w:rsidP="0050726A">
            <w:pPr>
              <w:suppressAutoHyphens w:val="0"/>
              <w:spacing w:before="40" w:after="40" w:line="220" w:lineRule="exact"/>
              <w:jc w:val="right"/>
              <w:rPr>
                <w:sz w:val="18"/>
              </w:rPr>
            </w:pPr>
            <w:r w:rsidRPr="00452E6C">
              <w:rPr>
                <w:sz w:val="18"/>
              </w:rPr>
              <w:t>0.008</w:t>
            </w:r>
          </w:p>
        </w:tc>
        <w:tc>
          <w:tcPr>
            <w:tcW w:w="1783" w:type="dxa"/>
            <w:shd w:val="clear" w:color="auto" w:fill="auto"/>
            <w:noWrap/>
            <w:vAlign w:val="bottom"/>
          </w:tcPr>
          <w:p w14:paraId="5AD92F11" w14:textId="77777777" w:rsidR="00040253" w:rsidRPr="00452E6C" w:rsidRDefault="00040253" w:rsidP="0050726A">
            <w:pPr>
              <w:suppressAutoHyphens w:val="0"/>
              <w:spacing w:before="40" w:after="40" w:line="220" w:lineRule="exact"/>
              <w:jc w:val="right"/>
              <w:rPr>
                <w:sz w:val="18"/>
              </w:rPr>
            </w:pPr>
            <w:r w:rsidRPr="00452E6C">
              <w:rPr>
                <w:sz w:val="18"/>
              </w:rPr>
              <w:t>0.026</w:t>
            </w:r>
          </w:p>
        </w:tc>
        <w:tc>
          <w:tcPr>
            <w:tcW w:w="1841" w:type="dxa"/>
            <w:shd w:val="clear" w:color="auto" w:fill="auto"/>
            <w:vAlign w:val="bottom"/>
          </w:tcPr>
          <w:p w14:paraId="58EF976F" w14:textId="77777777" w:rsidR="00040253" w:rsidRPr="00452E6C" w:rsidRDefault="00040253" w:rsidP="0050726A">
            <w:pPr>
              <w:suppressAutoHyphens w:val="0"/>
              <w:spacing w:before="40" w:after="40" w:line="220" w:lineRule="exact"/>
              <w:jc w:val="right"/>
              <w:rPr>
                <w:sz w:val="18"/>
              </w:rPr>
            </w:pPr>
          </w:p>
        </w:tc>
      </w:tr>
      <w:tr w:rsidR="00040253" w:rsidRPr="00452E6C" w14:paraId="32D2288D" w14:textId="77777777" w:rsidTr="0050726A">
        <w:tc>
          <w:tcPr>
            <w:tcW w:w="2262" w:type="dxa"/>
            <w:shd w:val="clear" w:color="auto" w:fill="auto"/>
            <w:noWrap/>
            <w:hideMark/>
          </w:tcPr>
          <w:p w14:paraId="37DA74A0" w14:textId="77777777" w:rsidR="00040253" w:rsidRPr="00452E6C" w:rsidRDefault="00040253" w:rsidP="0050726A">
            <w:pPr>
              <w:suppressAutoHyphens w:val="0"/>
              <w:spacing w:before="40" w:after="40" w:line="220" w:lineRule="exact"/>
              <w:rPr>
                <w:sz w:val="18"/>
              </w:rPr>
            </w:pPr>
            <w:r w:rsidRPr="00452E6C">
              <w:rPr>
                <w:sz w:val="18"/>
              </w:rPr>
              <w:t>Armenia</w:t>
            </w:r>
          </w:p>
        </w:tc>
        <w:tc>
          <w:tcPr>
            <w:tcW w:w="1484" w:type="dxa"/>
            <w:shd w:val="clear" w:color="auto" w:fill="auto"/>
            <w:noWrap/>
            <w:vAlign w:val="bottom"/>
            <w:hideMark/>
          </w:tcPr>
          <w:p w14:paraId="52B8EB13" w14:textId="77777777" w:rsidR="00040253" w:rsidRPr="00452E6C" w:rsidRDefault="00040253" w:rsidP="0050726A">
            <w:pPr>
              <w:suppressAutoHyphens w:val="0"/>
              <w:spacing w:before="40" w:after="40" w:line="220" w:lineRule="exact"/>
              <w:jc w:val="right"/>
              <w:rPr>
                <w:sz w:val="18"/>
              </w:rPr>
            </w:pPr>
            <w:r w:rsidRPr="00452E6C">
              <w:rPr>
                <w:sz w:val="18"/>
              </w:rPr>
              <w:t>0.007</w:t>
            </w:r>
          </w:p>
        </w:tc>
        <w:tc>
          <w:tcPr>
            <w:tcW w:w="1783" w:type="dxa"/>
            <w:shd w:val="clear" w:color="auto" w:fill="auto"/>
            <w:noWrap/>
            <w:vAlign w:val="bottom"/>
          </w:tcPr>
          <w:p w14:paraId="1B1F26A6" w14:textId="77777777" w:rsidR="00040253" w:rsidRPr="00452E6C" w:rsidRDefault="00040253" w:rsidP="0050726A">
            <w:pPr>
              <w:suppressAutoHyphens w:val="0"/>
              <w:spacing w:before="40" w:after="40" w:line="220" w:lineRule="exact"/>
              <w:jc w:val="right"/>
              <w:rPr>
                <w:sz w:val="18"/>
              </w:rPr>
            </w:pPr>
            <w:r w:rsidRPr="00452E6C">
              <w:rPr>
                <w:sz w:val="18"/>
              </w:rPr>
              <w:t>0.023</w:t>
            </w:r>
          </w:p>
        </w:tc>
        <w:tc>
          <w:tcPr>
            <w:tcW w:w="1841" w:type="dxa"/>
            <w:shd w:val="clear" w:color="auto" w:fill="auto"/>
            <w:vAlign w:val="bottom"/>
          </w:tcPr>
          <w:p w14:paraId="151A739E" w14:textId="77777777" w:rsidR="00040253" w:rsidRPr="00452E6C" w:rsidRDefault="00040253" w:rsidP="0050726A">
            <w:pPr>
              <w:suppressAutoHyphens w:val="0"/>
              <w:spacing w:before="40" w:after="40" w:line="220" w:lineRule="exact"/>
              <w:jc w:val="right"/>
              <w:rPr>
                <w:sz w:val="18"/>
              </w:rPr>
            </w:pPr>
          </w:p>
        </w:tc>
      </w:tr>
      <w:tr w:rsidR="00040253" w:rsidRPr="00452E6C" w14:paraId="450BB98A" w14:textId="77777777" w:rsidTr="0050726A">
        <w:tc>
          <w:tcPr>
            <w:tcW w:w="2262" w:type="dxa"/>
            <w:shd w:val="clear" w:color="auto" w:fill="auto"/>
            <w:noWrap/>
            <w:hideMark/>
          </w:tcPr>
          <w:p w14:paraId="436A6CE2" w14:textId="77777777" w:rsidR="00040253" w:rsidRPr="00452E6C" w:rsidRDefault="00040253" w:rsidP="0050726A">
            <w:pPr>
              <w:suppressAutoHyphens w:val="0"/>
              <w:spacing w:before="40" w:after="40" w:line="220" w:lineRule="exact"/>
              <w:rPr>
                <w:sz w:val="18"/>
              </w:rPr>
            </w:pPr>
            <w:r w:rsidRPr="00452E6C">
              <w:rPr>
                <w:sz w:val="18"/>
              </w:rPr>
              <w:t>Austria</w:t>
            </w:r>
          </w:p>
        </w:tc>
        <w:tc>
          <w:tcPr>
            <w:tcW w:w="1484" w:type="dxa"/>
            <w:shd w:val="clear" w:color="auto" w:fill="auto"/>
            <w:noWrap/>
            <w:vAlign w:val="bottom"/>
            <w:hideMark/>
          </w:tcPr>
          <w:p w14:paraId="64DFF4C3" w14:textId="77777777" w:rsidR="00040253" w:rsidRPr="00452E6C" w:rsidRDefault="00040253" w:rsidP="0050726A">
            <w:pPr>
              <w:suppressAutoHyphens w:val="0"/>
              <w:spacing w:before="40" w:after="40" w:line="220" w:lineRule="exact"/>
              <w:jc w:val="right"/>
              <w:rPr>
                <w:sz w:val="18"/>
              </w:rPr>
            </w:pPr>
            <w:r w:rsidRPr="00452E6C">
              <w:rPr>
                <w:sz w:val="18"/>
              </w:rPr>
              <w:t>0.677</w:t>
            </w:r>
          </w:p>
        </w:tc>
        <w:tc>
          <w:tcPr>
            <w:tcW w:w="1783" w:type="dxa"/>
            <w:shd w:val="clear" w:color="auto" w:fill="auto"/>
            <w:noWrap/>
            <w:vAlign w:val="bottom"/>
          </w:tcPr>
          <w:p w14:paraId="7EBDD4CC" w14:textId="77777777" w:rsidR="00040253" w:rsidRPr="00452E6C" w:rsidRDefault="00040253" w:rsidP="0050726A">
            <w:pPr>
              <w:suppressAutoHyphens w:val="0"/>
              <w:spacing w:before="40" w:after="40" w:line="220" w:lineRule="exact"/>
              <w:jc w:val="right"/>
              <w:rPr>
                <w:sz w:val="18"/>
              </w:rPr>
            </w:pPr>
            <w:r w:rsidRPr="00452E6C">
              <w:rPr>
                <w:sz w:val="18"/>
              </w:rPr>
              <w:t>2.190</w:t>
            </w:r>
          </w:p>
        </w:tc>
        <w:tc>
          <w:tcPr>
            <w:tcW w:w="1841" w:type="dxa"/>
            <w:shd w:val="clear" w:color="auto" w:fill="auto"/>
            <w:vAlign w:val="bottom"/>
          </w:tcPr>
          <w:p w14:paraId="53998EE5" w14:textId="77777777" w:rsidR="00040253" w:rsidRPr="00452E6C" w:rsidRDefault="00040253" w:rsidP="0050726A">
            <w:pPr>
              <w:suppressAutoHyphens w:val="0"/>
              <w:spacing w:before="40" w:after="40" w:line="220" w:lineRule="exact"/>
              <w:jc w:val="right"/>
              <w:rPr>
                <w:sz w:val="18"/>
              </w:rPr>
            </w:pPr>
          </w:p>
        </w:tc>
      </w:tr>
      <w:tr w:rsidR="00040253" w:rsidRPr="00452E6C" w14:paraId="4CC3D0A8" w14:textId="77777777" w:rsidTr="0050726A">
        <w:tc>
          <w:tcPr>
            <w:tcW w:w="2262" w:type="dxa"/>
            <w:shd w:val="clear" w:color="auto" w:fill="auto"/>
            <w:noWrap/>
          </w:tcPr>
          <w:p w14:paraId="6DD9AE82" w14:textId="77777777" w:rsidR="00040253" w:rsidRPr="00452E6C" w:rsidRDefault="00040253" w:rsidP="0050726A">
            <w:pPr>
              <w:suppressAutoHyphens w:val="0"/>
              <w:spacing w:before="40" w:after="40" w:line="220" w:lineRule="exact"/>
              <w:rPr>
                <w:sz w:val="18"/>
              </w:rPr>
            </w:pPr>
            <w:r w:rsidRPr="00452E6C">
              <w:rPr>
                <w:sz w:val="18"/>
              </w:rPr>
              <w:t>Azerbaijan</w:t>
            </w:r>
          </w:p>
        </w:tc>
        <w:tc>
          <w:tcPr>
            <w:tcW w:w="1484" w:type="dxa"/>
            <w:shd w:val="clear" w:color="auto" w:fill="auto"/>
            <w:noWrap/>
            <w:vAlign w:val="bottom"/>
          </w:tcPr>
          <w:p w14:paraId="5308A717" w14:textId="77777777" w:rsidR="00040253" w:rsidRPr="00452E6C" w:rsidRDefault="00040253" w:rsidP="0050726A">
            <w:pPr>
              <w:suppressAutoHyphens w:val="0"/>
              <w:spacing w:before="40" w:after="40" w:line="220" w:lineRule="exact"/>
              <w:jc w:val="right"/>
              <w:rPr>
                <w:sz w:val="18"/>
              </w:rPr>
            </w:pPr>
            <w:r w:rsidRPr="00452E6C">
              <w:rPr>
                <w:sz w:val="18"/>
              </w:rPr>
              <w:t>0.049</w:t>
            </w:r>
          </w:p>
        </w:tc>
        <w:tc>
          <w:tcPr>
            <w:tcW w:w="1783" w:type="dxa"/>
            <w:shd w:val="clear" w:color="auto" w:fill="auto"/>
            <w:noWrap/>
            <w:vAlign w:val="bottom"/>
          </w:tcPr>
          <w:p w14:paraId="0DFEEC8F" w14:textId="77777777" w:rsidR="00040253" w:rsidRPr="00452E6C" w:rsidDel="000D050E" w:rsidRDefault="00040253" w:rsidP="0050726A">
            <w:pPr>
              <w:suppressAutoHyphens w:val="0"/>
              <w:spacing w:before="40" w:after="40" w:line="220" w:lineRule="exact"/>
              <w:jc w:val="right"/>
              <w:rPr>
                <w:sz w:val="18"/>
              </w:rPr>
            </w:pPr>
            <w:r w:rsidRPr="00452E6C">
              <w:rPr>
                <w:sz w:val="18"/>
              </w:rPr>
              <w:t>0.159</w:t>
            </w:r>
          </w:p>
        </w:tc>
        <w:tc>
          <w:tcPr>
            <w:tcW w:w="1841" w:type="dxa"/>
            <w:shd w:val="clear" w:color="auto" w:fill="auto"/>
            <w:vAlign w:val="bottom"/>
          </w:tcPr>
          <w:p w14:paraId="07C5DD34" w14:textId="77777777" w:rsidR="00040253" w:rsidRPr="00452E6C" w:rsidRDefault="00040253" w:rsidP="0050726A">
            <w:pPr>
              <w:suppressAutoHyphens w:val="0"/>
              <w:spacing w:before="40" w:after="40" w:line="220" w:lineRule="exact"/>
              <w:jc w:val="right"/>
              <w:rPr>
                <w:sz w:val="18"/>
              </w:rPr>
            </w:pPr>
          </w:p>
        </w:tc>
      </w:tr>
      <w:tr w:rsidR="00040253" w:rsidRPr="00452E6C" w14:paraId="2670F76E" w14:textId="77777777" w:rsidTr="0050726A">
        <w:tc>
          <w:tcPr>
            <w:tcW w:w="2262" w:type="dxa"/>
            <w:shd w:val="clear" w:color="auto" w:fill="auto"/>
            <w:noWrap/>
          </w:tcPr>
          <w:p w14:paraId="0F28A2CA" w14:textId="77777777" w:rsidR="00040253" w:rsidRPr="00452E6C" w:rsidRDefault="00040253" w:rsidP="0050726A">
            <w:pPr>
              <w:suppressAutoHyphens w:val="0"/>
              <w:spacing w:before="40" w:after="40" w:line="220" w:lineRule="exact"/>
              <w:rPr>
                <w:sz w:val="18"/>
              </w:rPr>
            </w:pPr>
            <w:r w:rsidRPr="00452E6C">
              <w:rPr>
                <w:sz w:val="18"/>
              </w:rPr>
              <w:t>Belarus</w:t>
            </w:r>
          </w:p>
        </w:tc>
        <w:tc>
          <w:tcPr>
            <w:tcW w:w="1484" w:type="dxa"/>
            <w:shd w:val="clear" w:color="auto" w:fill="auto"/>
            <w:noWrap/>
            <w:vAlign w:val="bottom"/>
          </w:tcPr>
          <w:p w14:paraId="24F9C61F" w14:textId="77777777" w:rsidR="00040253" w:rsidRPr="00452E6C" w:rsidRDefault="00040253" w:rsidP="0050726A">
            <w:pPr>
              <w:suppressAutoHyphens w:val="0"/>
              <w:spacing w:before="40" w:after="40" w:line="220" w:lineRule="exact"/>
              <w:jc w:val="right"/>
              <w:rPr>
                <w:sz w:val="18"/>
              </w:rPr>
            </w:pPr>
            <w:r w:rsidRPr="00452E6C">
              <w:rPr>
                <w:sz w:val="18"/>
              </w:rPr>
              <w:t>0.049</w:t>
            </w:r>
          </w:p>
        </w:tc>
        <w:tc>
          <w:tcPr>
            <w:tcW w:w="1783" w:type="dxa"/>
            <w:shd w:val="clear" w:color="auto" w:fill="auto"/>
            <w:noWrap/>
            <w:vAlign w:val="bottom"/>
          </w:tcPr>
          <w:p w14:paraId="1D326995" w14:textId="77777777" w:rsidR="00040253" w:rsidRPr="00452E6C" w:rsidDel="000D050E" w:rsidRDefault="00040253" w:rsidP="0050726A">
            <w:pPr>
              <w:suppressAutoHyphens w:val="0"/>
              <w:spacing w:before="40" w:after="40" w:line="220" w:lineRule="exact"/>
              <w:jc w:val="right"/>
              <w:rPr>
                <w:sz w:val="18"/>
              </w:rPr>
            </w:pPr>
            <w:r w:rsidRPr="00452E6C">
              <w:rPr>
                <w:sz w:val="18"/>
              </w:rPr>
              <w:t>0.159</w:t>
            </w:r>
          </w:p>
        </w:tc>
        <w:tc>
          <w:tcPr>
            <w:tcW w:w="1841" w:type="dxa"/>
            <w:shd w:val="clear" w:color="auto" w:fill="auto"/>
            <w:vAlign w:val="bottom"/>
          </w:tcPr>
          <w:p w14:paraId="32093632" w14:textId="77777777" w:rsidR="00040253" w:rsidRPr="00452E6C" w:rsidRDefault="00040253" w:rsidP="0050726A">
            <w:pPr>
              <w:suppressAutoHyphens w:val="0"/>
              <w:spacing w:before="40" w:after="40" w:line="220" w:lineRule="exact"/>
              <w:jc w:val="right"/>
              <w:rPr>
                <w:sz w:val="18"/>
              </w:rPr>
            </w:pPr>
          </w:p>
        </w:tc>
      </w:tr>
      <w:tr w:rsidR="00040253" w:rsidRPr="00452E6C" w14:paraId="3DDD6727" w14:textId="77777777" w:rsidTr="0050726A">
        <w:tc>
          <w:tcPr>
            <w:tcW w:w="2262" w:type="dxa"/>
            <w:shd w:val="clear" w:color="auto" w:fill="auto"/>
            <w:noWrap/>
            <w:hideMark/>
          </w:tcPr>
          <w:p w14:paraId="56D0F394" w14:textId="77777777" w:rsidR="00040253" w:rsidRPr="00452E6C" w:rsidRDefault="00040253" w:rsidP="0050726A">
            <w:pPr>
              <w:suppressAutoHyphens w:val="0"/>
              <w:spacing w:before="40" w:after="40" w:line="220" w:lineRule="exact"/>
              <w:rPr>
                <w:sz w:val="18"/>
              </w:rPr>
            </w:pPr>
            <w:r w:rsidRPr="00452E6C">
              <w:rPr>
                <w:sz w:val="18"/>
              </w:rPr>
              <w:t xml:space="preserve">Belgium </w:t>
            </w:r>
          </w:p>
        </w:tc>
        <w:tc>
          <w:tcPr>
            <w:tcW w:w="1484" w:type="dxa"/>
            <w:shd w:val="clear" w:color="auto" w:fill="auto"/>
            <w:noWrap/>
            <w:vAlign w:val="bottom"/>
            <w:hideMark/>
          </w:tcPr>
          <w:p w14:paraId="291D4C95" w14:textId="77777777" w:rsidR="00040253" w:rsidRPr="00452E6C" w:rsidRDefault="00040253" w:rsidP="0050726A">
            <w:pPr>
              <w:suppressAutoHyphens w:val="0"/>
              <w:spacing w:before="40" w:after="40" w:line="220" w:lineRule="exact"/>
              <w:jc w:val="right"/>
              <w:rPr>
                <w:sz w:val="18"/>
              </w:rPr>
            </w:pPr>
            <w:r w:rsidRPr="00452E6C">
              <w:rPr>
                <w:sz w:val="18"/>
              </w:rPr>
              <w:t>0.821</w:t>
            </w:r>
          </w:p>
        </w:tc>
        <w:tc>
          <w:tcPr>
            <w:tcW w:w="1783" w:type="dxa"/>
            <w:shd w:val="clear" w:color="auto" w:fill="auto"/>
            <w:noWrap/>
            <w:vAlign w:val="bottom"/>
          </w:tcPr>
          <w:p w14:paraId="640FC578" w14:textId="77777777" w:rsidR="00040253" w:rsidRPr="00452E6C" w:rsidRDefault="00040253" w:rsidP="0050726A">
            <w:pPr>
              <w:suppressAutoHyphens w:val="0"/>
              <w:spacing w:before="40" w:after="40" w:line="220" w:lineRule="exact"/>
              <w:jc w:val="right"/>
              <w:rPr>
                <w:sz w:val="18"/>
              </w:rPr>
            </w:pPr>
            <w:r w:rsidRPr="00452E6C">
              <w:rPr>
                <w:sz w:val="18"/>
              </w:rPr>
              <w:t>2.657</w:t>
            </w:r>
          </w:p>
        </w:tc>
        <w:tc>
          <w:tcPr>
            <w:tcW w:w="1841" w:type="dxa"/>
            <w:shd w:val="clear" w:color="auto" w:fill="auto"/>
            <w:vAlign w:val="bottom"/>
          </w:tcPr>
          <w:p w14:paraId="4C178886" w14:textId="77777777" w:rsidR="00040253" w:rsidRPr="00452E6C" w:rsidRDefault="00040253" w:rsidP="0050726A">
            <w:pPr>
              <w:suppressAutoHyphens w:val="0"/>
              <w:spacing w:before="40" w:after="40" w:line="220" w:lineRule="exact"/>
              <w:jc w:val="right"/>
              <w:rPr>
                <w:sz w:val="18"/>
              </w:rPr>
            </w:pPr>
          </w:p>
        </w:tc>
      </w:tr>
      <w:tr w:rsidR="00040253" w:rsidRPr="00452E6C" w14:paraId="79292940" w14:textId="77777777" w:rsidTr="0050726A">
        <w:tc>
          <w:tcPr>
            <w:tcW w:w="2262" w:type="dxa"/>
            <w:shd w:val="clear" w:color="auto" w:fill="auto"/>
            <w:noWrap/>
            <w:hideMark/>
          </w:tcPr>
          <w:p w14:paraId="71CB2146" w14:textId="77777777" w:rsidR="00040253" w:rsidRPr="00452E6C" w:rsidRDefault="00040253" w:rsidP="0050726A">
            <w:pPr>
              <w:suppressAutoHyphens w:val="0"/>
              <w:spacing w:before="40" w:after="40" w:line="220" w:lineRule="exact"/>
              <w:rPr>
                <w:sz w:val="18"/>
              </w:rPr>
            </w:pPr>
            <w:r w:rsidRPr="00452E6C">
              <w:rPr>
                <w:sz w:val="18"/>
              </w:rPr>
              <w:t>Bosnia and Herzegovina</w:t>
            </w:r>
          </w:p>
        </w:tc>
        <w:tc>
          <w:tcPr>
            <w:tcW w:w="1484" w:type="dxa"/>
            <w:shd w:val="clear" w:color="auto" w:fill="auto"/>
            <w:noWrap/>
            <w:vAlign w:val="bottom"/>
            <w:hideMark/>
          </w:tcPr>
          <w:p w14:paraId="18C88008" w14:textId="77777777" w:rsidR="00040253" w:rsidRPr="00452E6C" w:rsidRDefault="00040253" w:rsidP="0050726A">
            <w:pPr>
              <w:suppressAutoHyphens w:val="0"/>
              <w:spacing w:before="40" w:after="40" w:line="220" w:lineRule="exact"/>
              <w:jc w:val="right"/>
              <w:rPr>
                <w:sz w:val="18"/>
              </w:rPr>
            </w:pPr>
            <w:r w:rsidRPr="00452E6C">
              <w:rPr>
                <w:sz w:val="18"/>
              </w:rPr>
              <w:t>0.012</w:t>
            </w:r>
          </w:p>
        </w:tc>
        <w:tc>
          <w:tcPr>
            <w:tcW w:w="1783" w:type="dxa"/>
            <w:shd w:val="clear" w:color="auto" w:fill="auto"/>
            <w:noWrap/>
            <w:vAlign w:val="bottom"/>
          </w:tcPr>
          <w:p w14:paraId="5EE46149" w14:textId="77777777" w:rsidR="00040253" w:rsidRPr="00452E6C" w:rsidRDefault="00040253" w:rsidP="0050726A">
            <w:pPr>
              <w:suppressAutoHyphens w:val="0"/>
              <w:spacing w:before="40" w:after="40" w:line="220" w:lineRule="exact"/>
              <w:jc w:val="right"/>
              <w:rPr>
                <w:sz w:val="18"/>
              </w:rPr>
            </w:pPr>
            <w:r w:rsidRPr="00452E6C">
              <w:rPr>
                <w:sz w:val="18"/>
              </w:rPr>
              <w:t>0.039</w:t>
            </w:r>
          </w:p>
        </w:tc>
        <w:tc>
          <w:tcPr>
            <w:tcW w:w="1841" w:type="dxa"/>
            <w:shd w:val="clear" w:color="auto" w:fill="auto"/>
            <w:vAlign w:val="bottom"/>
          </w:tcPr>
          <w:p w14:paraId="7A751810" w14:textId="77777777" w:rsidR="00040253" w:rsidRPr="00452E6C" w:rsidRDefault="00040253" w:rsidP="0050726A">
            <w:pPr>
              <w:suppressAutoHyphens w:val="0"/>
              <w:spacing w:before="40" w:after="40" w:line="220" w:lineRule="exact"/>
              <w:jc w:val="right"/>
              <w:rPr>
                <w:sz w:val="18"/>
              </w:rPr>
            </w:pPr>
          </w:p>
        </w:tc>
      </w:tr>
      <w:tr w:rsidR="00040253" w:rsidRPr="00452E6C" w14:paraId="1B080A40" w14:textId="77777777" w:rsidTr="0050726A">
        <w:tc>
          <w:tcPr>
            <w:tcW w:w="2262" w:type="dxa"/>
            <w:shd w:val="clear" w:color="auto" w:fill="auto"/>
            <w:noWrap/>
            <w:hideMark/>
          </w:tcPr>
          <w:p w14:paraId="3B207DCD" w14:textId="77777777" w:rsidR="00040253" w:rsidRPr="00452E6C" w:rsidRDefault="00040253" w:rsidP="0050726A">
            <w:pPr>
              <w:suppressAutoHyphens w:val="0"/>
              <w:spacing w:before="40" w:after="40" w:line="220" w:lineRule="exact"/>
              <w:rPr>
                <w:sz w:val="18"/>
              </w:rPr>
            </w:pPr>
            <w:r w:rsidRPr="00452E6C">
              <w:rPr>
                <w:sz w:val="18"/>
              </w:rPr>
              <w:t>Bulgaria</w:t>
            </w:r>
          </w:p>
        </w:tc>
        <w:tc>
          <w:tcPr>
            <w:tcW w:w="1484" w:type="dxa"/>
            <w:shd w:val="clear" w:color="auto" w:fill="auto"/>
            <w:noWrap/>
            <w:vAlign w:val="bottom"/>
            <w:hideMark/>
          </w:tcPr>
          <w:p w14:paraId="6886FD8F" w14:textId="77777777" w:rsidR="00040253" w:rsidRPr="00452E6C" w:rsidRDefault="00040253" w:rsidP="0050726A">
            <w:pPr>
              <w:suppressAutoHyphens w:val="0"/>
              <w:spacing w:before="40" w:after="40" w:line="220" w:lineRule="exact"/>
              <w:jc w:val="right"/>
              <w:rPr>
                <w:sz w:val="18"/>
              </w:rPr>
            </w:pPr>
            <w:r w:rsidRPr="00452E6C">
              <w:rPr>
                <w:sz w:val="18"/>
              </w:rPr>
              <w:t>0.046</w:t>
            </w:r>
          </w:p>
        </w:tc>
        <w:tc>
          <w:tcPr>
            <w:tcW w:w="1783" w:type="dxa"/>
            <w:shd w:val="clear" w:color="auto" w:fill="auto"/>
            <w:noWrap/>
            <w:vAlign w:val="bottom"/>
          </w:tcPr>
          <w:p w14:paraId="1DBA39DB" w14:textId="77777777" w:rsidR="00040253" w:rsidRPr="00452E6C" w:rsidRDefault="00040253" w:rsidP="0050726A">
            <w:pPr>
              <w:suppressAutoHyphens w:val="0"/>
              <w:spacing w:before="40" w:after="40" w:line="220" w:lineRule="exact"/>
              <w:jc w:val="right"/>
              <w:rPr>
                <w:sz w:val="18"/>
              </w:rPr>
            </w:pPr>
            <w:r w:rsidRPr="00452E6C">
              <w:rPr>
                <w:sz w:val="18"/>
              </w:rPr>
              <w:t>0.149</w:t>
            </w:r>
          </w:p>
        </w:tc>
        <w:tc>
          <w:tcPr>
            <w:tcW w:w="1841" w:type="dxa"/>
            <w:shd w:val="clear" w:color="auto" w:fill="auto"/>
            <w:vAlign w:val="bottom"/>
          </w:tcPr>
          <w:p w14:paraId="0C4A5769" w14:textId="77777777" w:rsidR="00040253" w:rsidRPr="00452E6C" w:rsidRDefault="00040253" w:rsidP="0050726A">
            <w:pPr>
              <w:suppressAutoHyphens w:val="0"/>
              <w:spacing w:before="40" w:after="40" w:line="220" w:lineRule="exact"/>
              <w:jc w:val="right"/>
              <w:rPr>
                <w:sz w:val="18"/>
              </w:rPr>
            </w:pPr>
          </w:p>
        </w:tc>
      </w:tr>
      <w:tr w:rsidR="00040253" w:rsidRPr="00452E6C" w14:paraId="78AD3FAB" w14:textId="77777777" w:rsidTr="0050726A">
        <w:tc>
          <w:tcPr>
            <w:tcW w:w="2262" w:type="dxa"/>
            <w:shd w:val="clear" w:color="auto" w:fill="auto"/>
            <w:noWrap/>
            <w:hideMark/>
          </w:tcPr>
          <w:p w14:paraId="1E7DE815" w14:textId="77777777" w:rsidR="00040253" w:rsidRPr="00452E6C" w:rsidRDefault="00040253" w:rsidP="0050726A">
            <w:pPr>
              <w:suppressAutoHyphens w:val="0"/>
              <w:spacing w:before="40" w:after="40" w:line="220" w:lineRule="exact"/>
              <w:rPr>
                <w:sz w:val="18"/>
              </w:rPr>
            </w:pPr>
            <w:r w:rsidRPr="00452E6C">
              <w:rPr>
                <w:sz w:val="18"/>
              </w:rPr>
              <w:t>Croatia</w:t>
            </w:r>
          </w:p>
        </w:tc>
        <w:tc>
          <w:tcPr>
            <w:tcW w:w="1484" w:type="dxa"/>
            <w:shd w:val="clear" w:color="auto" w:fill="auto"/>
            <w:noWrap/>
            <w:vAlign w:val="bottom"/>
            <w:hideMark/>
          </w:tcPr>
          <w:p w14:paraId="5F3D3542" w14:textId="77777777" w:rsidR="00040253" w:rsidRPr="00452E6C" w:rsidRDefault="00040253" w:rsidP="0050726A">
            <w:pPr>
              <w:suppressAutoHyphens w:val="0"/>
              <w:spacing w:before="40" w:after="40" w:line="220" w:lineRule="exact"/>
              <w:jc w:val="right"/>
              <w:rPr>
                <w:sz w:val="18"/>
              </w:rPr>
            </w:pPr>
            <w:r w:rsidRPr="00452E6C">
              <w:rPr>
                <w:sz w:val="18"/>
              </w:rPr>
              <w:t>0.077</w:t>
            </w:r>
          </w:p>
        </w:tc>
        <w:tc>
          <w:tcPr>
            <w:tcW w:w="1783" w:type="dxa"/>
            <w:shd w:val="clear" w:color="auto" w:fill="auto"/>
            <w:noWrap/>
            <w:vAlign w:val="bottom"/>
          </w:tcPr>
          <w:p w14:paraId="4A3117B1" w14:textId="77777777" w:rsidR="00040253" w:rsidRPr="00452E6C" w:rsidRDefault="00040253" w:rsidP="0050726A">
            <w:pPr>
              <w:suppressAutoHyphens w:val="0"/>
              <w:spacing w:before="40" w:after="40" w:line="220" w:lineRule="exact"/>
              <w:jc w:val="right"/>
              <w:rPr>
                <w:sz w:val="18"/>
              </w:rPr>
            </w:pPr>
            <w:r w:rsidRPr="00452E6C">
              <w:rPr>
                <w:sz w:val="18"/>
              </w:rPr>
              <w:t>0.249</w:t>
            </w:r>
          </w:p>
        </w:tc>
        <w:tc>
          <w:tcPr>
            <w:tcW w:w="1841" w:type="dxa"/>
            <w:shd w:val="clear" w:color="auto" w:fill="auto"/>
            <w:vAlign w:val="bottom"/>
          </w:tcPr>
          <w:p w14:paraId="5866BEA9" w14:textId="77777777" w:rsidR="00040253" w:rsidRPr="00452E6C" w:rsidRDefault="00040253" w:rsidP="0050726A">
            <w:pPr>
              <w:suppressAutoHyphens w:val="0"/>
              <w:spacing w:before="40" w:after="40" w:line="220" w:lineRule="exact"/>
              <w:jc w:val="right"/>
              <w:rPr>
                <w:sz w:val="18"/>
              </w:rPr>
            </w:pPr>
          </w:p>
        </w:tc>
      </w:tr>
      <w:tr w:rsidR="00040253" w:rsidRPr="00452E6C" w14:paraId="486BD605" w14:textId="77777777" w:rsidTr="0050726A">
        <w:tc>
          <w:tcPr>
            <w:tcW w:w="2262" w:type="dxa"/>
            <w:shd w:val="clear" w:color="auto" w:fill="auto"/>
            <w:noWrap/>
            <w:hideMark/>
          </w:tcPr>
          <w:p w14:paraId="29708101" w14:textId="77777777" w:rsidR="00040253" w:rsidRPr="00452E6C" w:rsidRDefault="00040253" w:rsidP="0050726A">
            <w:pPr>
              <w:suppressAutoHyphens w:val="0"/>
              <w:spacing w:before="40" w:after="40" w:line="220" w:lineRule="exact"/>
              <w:rPr>
                <w:sz w:val="18"/>
              </w:rPr>
            </w:pPr>
            <w:r w:rsidRPr="00452E6C">
              <w:rPr>
                <w:sz w:val="18"/>
              </w:rPr>
              <w:t>Cyprus</w:t>
            </w:r>
          </w:p>
        </w:tc>
        <w:tc>
          <w:tcPr>
            <w:tcW w:w="1484" w:type="dxa"/>
            <w:shd w:val="clear" w:color="auto" w:fill="auto"/>
            <w:noWrap/>
            <w:vAlign w:val="bottom"/>
            <w:hideMark/>
          </w:tcPr>
          <w:p w14:paraId="5C11BCD5" w14:textId="77777777" w:rsidR="00040253" w:rsidRPr="00452E6C" w:rsidRDefault="00040253" w:rsidP="0050726A">
            <w:pPr>
              <w:suppressAutoHyphens w:val="0"/>
              <w:spacing w:before="40" w:after="40" w:line="220" w:lineRule="exact"/>
              <w:jc w:val="right"/>
              <w:rPr>
                <w:sz w:val="18"/>
              </w:rPr>
            </w:pPr>
            <w:r w:rsidRPr="00452E6C">
              <w:rPr>
                <w:sz w:val="18"/>
              </w:rPr>
              <w:t>0.036</w:t>
            </w:r>
          </w:p>
        </w:tc>
        <w:tc>
          <w:tcPr>
            <w:tcW w:w="1783" w:type="dxa"/>
            <w:shd w:val="clear" w:color="auto" w:fill="auto"/>
            <w:noWrap/>
            <w:vAlign w:val="bottom"/>
          </w:tcPr>
          <w:p w14:paraId="2F861D6F" w14:textId="77777777" w:rsidR="00040253" w:rsidRPr="00452E6C" w:rsidRDefault="00040253" w:rsidP="0050726A">
            <w:pPr>
              <w:suppressAutoHyphens w:val="0"/>
              <w:spacing w:before="40" w:after="40" w:line="220" w:lineRule="exact"/>
              <w:jc w:val="right"/>
              <w:rPr>
                <w:sz w:val="18"/>
              </w:rPr>
            </w:pPr>
            <w:r w:rsidRPr="00452E6C">
              <w:rPr>
                <w:sz w:val="18"/>
              </w:rPr>
              <w:t>0.116</w:t>
            </w:r>
          </w:p>
        </w:tc>
        <w:tc>
          <w:tcPr>
            <w:tcW w:w="1841" w:type="dxa"/>
            <w:shd w:val="clear" w:color="auto" w:fill="auto"/>
            <w:vAlign w:val="bottom"/>
          </w:tcPr>
          <w:p w14:paraId="4723EDEF" w14:textId="77777777" w:rsidR="00040253" w:rsidRPr="00452E6C" w:rsidRDefault="00040253" w:rsidP="0050726A">
            <w:pPr>
              <w:suppressAutoHyphens w:val="0"/>
              <w:spacing w:before="40" w:after="40" w:line="220" w:lineRule="exact"/>
              <w:jc w:val="right"/>
              <w:rPr>
                <w:sz w:val="18"/>
              </w:rPr>
            </w:pPr>
          </w:p>
        </w:tc>
      </w:tr>
      <w:tr w:rsidR="00040253" w:rsidRPr="00452E6C" w14:paraId="5AC7CD3F" w14:textId="77777777" w:rsidTr="0050726A">
        <w:tc>
          <w:tcPr>
            <w:tcW w:w="2262" w:type="dxa"/>
            <w:shd w:val="clear" w:color="auto" w:fill="auto"/>
            <w:noWrap/>
            <w:hideMark/>
          </w:tcPr>
          <w:p w14:paraId="6BFE62BE" w14:textId="77777777" w:rsidR="00040253" w:rsidRPr="00452E6C" w:rsidRDefault="00040253" w:rsidP="0050726A">
            <w:pPr>
              <w:suppressAutoHyphens w:val="0"/>
              <w:spacing w:before="40" w:after="40" w:line="220" w:lineRule="exact"/>
              <w:rPr>
                <w:sz w:val="18"/>
              </w:rPr>
            </w:pPr>
            <w:r w:rsidRPr="00452E6C">
              <w:rPr>
                <w:sz w:val="18"/>
              </w:rPr>
              <w:t>Czechia</w:t>
            </w:r>
          </w:p>
        </w:tc>
        <w:tc>
          <w:tcPr>
            <w:tcW w:w="1484" w:type="dxa"/>
            <w:shd w:val="clear" w:color="auto" w:fill="auto"/>
            <w:noWrap/>
            <w:vAlign w:val="bottom"/>
            <w:hideMark/>
          </w:tcPr>
          <w:p w14:paraId="191F0691" w14:textId="77777777" w:rsidR="00040253" w:rsidRPr="00452E6C" w:rsidRDefault="00040253" w:rsidP="0050726A">
            <w:pPr>
              <w:suppressAutoHyphens w:val="0"/>
              <w:spacing w:before="40" w:after="40" w:line="220" w:lineRule="exact"/>
              <w:jc w:val="right"/>
              <w:rPr>
                <w:sz w:val="18"/>
              </w:rPr>
            </w:pPr>
            <w:r w:rsidRPr="00452E6C">
              <w:rPr>
                <w:sz w:val="18"/>
              </w:rPr>
              <w:t>0.311</w:t>
            </w:r>
          </w:p>
        </w:tc>
        <w:tc>
          <w:tcPr>
            <w:tcW w:w="1783" w:type="dxa"/>
            <w:shd w:val="clear" w:color="auto" w:fill="auto"/>
            <w:noWrap/>
            <w:vAlign w:val="bottom"/>
          </w:tcPr>
          <w:p w14:paraId="564B9FBF" w14:textId="77777777" w:rsidR="00040253" w:rsidRPr="00452E6C" w:rsidRDefault="00040253" w:rsidP="0050726A">
            <w:pPr>
              <w:suppressAutoHyphens w:val="0"/>
              <w:spacing w:before="40" w:after="40" w:line="220" w:lineRule="exact"/>
              <w:jc w:val="right"/>
              <w:rPr>
                <w:sz w:val="18"/>
              </w:rPr>
            </w:pPr>
            <w:r w:rsidRPr="00452E6C">
              <w:rPr>
                <w:sz w:val="18"/>
              </w:rPr>
              <w:t>1.006</w:t>
            </w:r>
          </w:p>
        </w:tc>
        <w:tc>
          <w:tcPr>
            <w:tcW w:w="1841" w:type="dxa"/>
            <w:shd w:val="clear" w:color="auto" w:fill="auto"/>
            <w:vAlign w:val="bottom"/>
          </w:tcPr>
          <w:p w14:paraId="2E3C4FA2" w14:textId="77777777" w:rsidR="00040253" w:rsidRPr="00452E6C" w:rsidRDefault="00040253" w:rsidP="0050726A">
            <w:pPr>
              <w:suppressAutoHyphens w:val="0"/>
              <w:spacing w:before="40" w:after="40" w:line="220" w:lineRule="exact"/>
              <w:jc w:val="right"/>
              <w:rPr>
                <w:sz w:val="18"/>
              </w:rPr>
            </w:pPr>
          </w:p>
        </w:tc>
      </w:tr>
      <w:tr w:rsidR="00040253" w:rsidRPr="00452E6C" w14:paraId="28CA31A8" w14:textId="77777777" w:rsidTr="0050726A">
        <w:tc>
          <w:tcPr>
            <w:tcW w:w="2262" w:type="dxa"/>
            <w:shd w:val="clear" w:color="auto" w:fill="auto"/>
            <w:noWrap/>
            <w:hideMark/>
          </w:tcPr>
          <w:p w14:paraId="3E19CA18" w14:textId="77777777" w:rsidR="00040253" w:rsidRPr="00452E6C" w:rsidRDefault="00040253" w:rsidP="0050726A">
            <w:pPr>
              <w:suppressAutoHyphens w:val="0"/>
              <w:spacing w:before="40" w:after="40" w:line="220" w:lineRule="exact"/>
              <w:rPr>
                <w:sz w:val="18"/>
              </w:rPr>
            </w:pPr>
            <w:r w:rsidRPr="00452E6C">
              <w:rPr>
                <w:sz w:val="18"/>
              </w:rPr>
              <w:t>Denmark</w:t>
            </w:r>
          </w:p>
        </w:tc>
        <w:tc>
          <w:tcPr>
            <w:tcW w:w="1484" w:type="dxa"/>
            <w:shd w:val="clear" w:color="auto" w:fill="auto"/>
            <w:noWrap/>
            <w:vAlign w:val="bottom"/>
            <w:hideMark/>
          </w:tcPr>
          <w:p w14:paraId="7E6ADD3F" w14:textId="77777777" w:rsidR="00040253" w:rsidRPr="00452E6C" w:rsidRDefault="00040253" w:rsidP="0050726A">
            <w:pPr>
              <w:suppressAutoHyphens w:val="0"/>
              <w:spacing w:before="40" w:after="40" w:line="220" w:lineRule="exact"/>
              <w:jc w:val="right"/>
              <w:rPr>
                <w:sz w:val="18"/>
              </w:rPr>
            </w:pPr>
            <w:r w:rsidRPr="00452E6C">
              <w:rPr>
                <w:sz w:val="18"/>
              </w:rPr>
              <w:t>0.554</w:t>
            </w:r>
          </w:p>
        </w:tc>
        <w:tc>
          <w:tcPr>
            <w:tcW w:w="1783" w:type="dxa"/>
            <w:shd w:val="clear" w:color="auto" w:fill="auto"/>
            <w:noWrap/>
            <w:vAlign w:val="bottom"/>
          </w:tcPr>
          <w:p w14:paraId="64B6B49E" w14:textId="77777777" w:rsidR="00040253" w:rsidRPr="00452E6C" w:rsidRDefault="00040253" w:rsidP="0050726A">
            <w:pPr>
              <w:suppressAutoHyphens w:val="0"/>
              <w:spacing w:before="40" w:after="40" w:line="220" w:lineRule="exact"/>
              <w:jc w:val="right"/>
              <w:rPr>
                <w:sz w:val="18"/>
              </w:rPr>
            </w:pPr>
            <w:r w:rsidRPr="00452E6C">
              <w:rPr>
                <w:sz w:val="18"/>
              </w:rPr>
              <w:t>1.793</w:t>
            </w:r>
          </w:p>
        </w:tc>
        <w:tc>
          <w:tcPr>
            <w:tcW w:w="1841" w:type="dxa"/>
            <w:shd w:val="clear" w:color="auto" w:fill="auto"/>
            <w:vAlign w:val="bottom"/>
          </w:tcPr>
          <w:p w14:paraId="503BFF9E" w14:textId="77777777" w:rsidR="00040253" w:rsidRPr="00452E6C" w:rsidRDefault="00040253" w:rsidP="0050726A">
            <w:pPr>
              <w:suppressAutoHyphens w:val="0"/>
              <w:spacing w:before="40" w:after="40" w:line="220" w:lineRule="exact"/>
              <w:jc w:val="right"/>
              <w:rPr>
                <w:sz w:val="18"/>
              </w:rPr>
            </w:pPr>
          </w:p>
        </w:tc>
      </w:tr>
      <w:tr w:rsidR="00040253" w:rsidRPr="00452E6C" w14:paraId="498E9B16" w14:textId="77777777" w:rsidTr="0050726A">
        <w:tc>
          <w:tcPr>
            <w:tcW w:w="2262" w:type="dxa"/>
            <w:shd w:val="clear" w:color="auto" w:fill="auto"/>
            <w:noWrap/>
            <w:hideMark/>
          </w:tcPr>
          <w:p w14:paraId="6FDFCB07" w14:textId="77777777" w:rsidR="00040253" w:rsidRPr="00452E6C" w:rsidRDefault="00040253" w:rsidP="0050726A">
            <w:pPr>
              <w:suppressAutoHyphens w:val="0"/>
              <w:spacing w:before="40" w:after="40" w:line="220" w:lineRule="exact"/>
              <w:rPr>
                <w:sz w:val="18"/>
              </w:rPr>
            </w:pPr>
            <w:r w:rsidRPr="00452E6C">
              <w:rPr>
                <w:sz w:val="18"/>
              </w:rPr>
              <w:t>Estonia</w:t>
            </w:r>
          </w:p>
        </w:tc>
        <w:tc>
          <w:tcPr>
            <w:tcW w:w="1484" w:type="dxa"/>
            <w:shd w:val="clear" w:color="auto" w:fill="auto"/>
            <w:noWrap/>
            <w:vAlign w:val="bottom"/>
            <w:hideMark/>
          </w:tcPr>
          <w:p w14:paraId="777CB2F1" w14:textId="77777777" w:rsidR="00040253" w:rsidRPr="00452E6C" w:rsidRDefault="00040253" w:rsidP="0050726A">
            <w:pPr>
              <w:suppressAutoHyphens w:val="0"/>
              <w:spacing w:before="40" w:after="40" w:line="220" w:lineRule="exact"/>
              <w:jc w:val="right"/>
              <w:rPr>
                <w:sz w:val="18"/>
              </w:rPr>
            </w:pPr>
            <w:r w:rsidRPr="00452E6C">
              <w:rPr>
                <w:sz w:val="18"/>
              </w:rPr>
              <w:t>0.039</w:t>
            </w:r>
          </w:p>
        </w:tc>
        <w:tc>
          <w:tcPr>
            <w:tcW w:w="1783" w:type="dxa"/>
            <w:shd w:val="clear" w:color="auto" w:fill="auto"/>
            <w:noWrap/>
            <w:vAlign w:val="bottom"/>
          </w:tcPr>
          <w:p w14:paraId="05E9BADF" w14:textId="77777777" w:rsidR="00040253" w:rsidRPr="00452E6C" w:rsidRDefault="00040253" w:rsidP="0050726A">
            <w:pPr>
              <w:suppressAutoHyphens w:val="0"/>
              <w:spacing w:before="40" w:after="40" w:line="220" w:lineRule="exact"/>
              <w:jc w:val="right"/>
              <w:rPr>
                <w:sz w:val="18"/>
              </w:rPr>
            </w:pPr>
            <w:r w:rsidRPr="00452E6C">
              <w:rPr>
                <w:sz w:val="18"/>
              </w:rPr>
              <w:t>0.126</w:t>
            </w:r>
          </w:p>
        </w:tc>
        <w:tc>
          <w:tcPr>
            <w:tcW w:w="1841" w:type="dxa"/>
            <w:shd w:val="clear" w:color="auto" w:fill="auto"/>
            <w:vAlign w:val="bottom"/>
          </w:tcPr>
          <w:p w14:paraId="72B29F1A" w14:textId="77777777" w:rsidR="00040253" w:rsidRPr="00452E6C" w:rsidRDefault="00040253" w:rsidP="0050726A">
            <w:pPr>
              <w:suppressAutoHyphens w:val="0"/>
              <w:spacing w:before="40" w:after="40" w:line="220" w:lineRule="exact"/>
              <w:jc w:val="right"/>
              <w:rPr>
                <w:sz w:val="18"/>
              </w:rPr>
            </w:pPr>
          </w:p>
        </w:tc>
      </w:tr>
      <w:tr w:rsidR="00040253" w:rsidRPr="00452E6C" w14:paraId="3A9D3323" w14:textId="77777777" w:rsidTr="0050726A">
        <w:tc>
          <w:tcPr>
            <w:tcW w:w="2262" w:type="dxa"/>
            <w:shd w:val="clear" w:color="auto" w:fill="auto"/>
            <w:noWrap/>
            <w:hideMark/>
          </w:tcPr>
          <w:p w14:paraId="7EE07188" w14:textId="77777777" w:rsidR="00040253" w:rsidRPr="00452E6C" w:rsidRDefault="00040253" w:rsidP="0050726A">
            <w:pPr>
              <w:suppressAutoHyphens w:val="0"/>
              <w:spacing w:before="40" w:after="40" w:line="220" w:lineRule="exact"/>
              <w:rPr>
                <w:sz w:val="18"/>
              </w:rPr>
            </w:pPr>
            <w:r w:rsidRPr="00452E6C">
              <w:rPr>
                <w:sz w:val="18"/>
              </w:rPr>
              <w:t xml:space="preserve">European </w:t>
            </w:r>
            <w:proofErr w:type="spellStart"/>
            <w:r w:rsidRPr="00452E6C">
              <w:rPr>
                <w:sz w:val="18"/>
              </w:rPr>
              <w:t>Union</w:t>
            </w:r>
            <w:r w:rsidRPr="00452E6C">
              <w:rPr>
                <w:sz w:val="18"/>
                <w:vertAlign w:val="superscript"/>
              </w:rPr>
              <w:t>c</w:t>
            </w:r>
            <w:proofErr w:type="spellEnd"/>
            <w:r w:rsidRPr="00452E6C">
              <w:rPr>
                <w:sz w:val="18"/>
                <w:vertAlign w:val="superscript"/>
              </w:rPr>
              <w:t>, d</w:t>
            </w:r>
          </w:p>
        </w:tc>
        <w:tc>
          <w:tcPr>
            <w:tcW w:w="1484" w:type="dxa"/>
            <w:shd w:val="clear" w:color="auto" w:fill="auto"/>
            <w:noWrap/>
            <w:vAlign w:val="bottom"/>
            <w:hideMark/>
          </w:tcPr>
          <w:p w14:paraId="037066BF" w14:textId="77777777" w:rsidR="00040253" w:rsidRPr="00452E6C" w:rsidRDefault="00040253" w:rsidP="0050726A">
            <w:pPr>
              <w:suppressAutoHyphens w:val="0"/>
              <w:spacing w:before="40" w:after="40" w:line="220" w:lineRule="exact"/>
              <w:jc w:val="right"/>
              <w:rPr>
                <w:sz w:val="18"/>
              </w:rPr>
            </w:pPr>
            <w:r w:rsidRPr="00452E6C">
              <w:rPr>
                <w:sz w:val="18"/>
              </w:rPr>
              <w:t>—</w:t>
            </w:r>
          </w:p>
        </w:tc>
        <w:tc>
          <w:tcPr>
            <w:tcW w:w="1783" w:type="dxa"/>
            <w:shd w:val="clear" w:color="auto" w:fill="auto"/>
            <w:noWrap/>
            <w:vAlign w:val="bottom"/>
            <w:hideMark/>
          </w:tcPr>
          <w:p w14:paraId="0A225614" w14:textId="77777777" w:rsidR="00040253" w:rsidRPr="00452E6C" w:rsidRDefault="00040253" w:rsidP="0050726A">
            <w:pPr>
              <w:suppressAutoHyphens w:val="0"/>
              <w:spacing w:before="40" w:after="40" w:line="220" w:lineRule="exact"/>
              <w:jc w:val="right"/>
              <w:rPr>
                <w:sz w:val="18"/>
              </w:rPr>
            </w:pPr>
            <w:r w:rsidRPr="00452E6C">
              <w:rPr>
                <w:sz w:val="18"/>
              </w:rPr>
              <w:t>—</w:t>
            </w:r>
          </w:p>
        </w:tc>
        <w:tc>
          <w:tcPr>
            <w:tcW w:w="1841" w:type="dxa"/>
            <w:shd w:val="clear" w:color="auto" w:fill="auto"/>
            <w:vAlign w:val="bottom"/>
          </w:tcPr>
          <w:p w14:paraId="624CE294" w14:textId="77777777" w:rsidR="00040253" w:rsidRPr="00452E6C" w:rsidRDefault="00040253" w:rsidP="0050726A">
            <w:pPr>
              <w:suppressAutoHyphens w:val="0"/>
              <w:spacing w:before="40" w:after="40" w:line="220" w:lineRule="exact"/>
              <w:jc w:val="right"/>
              <w:rPr>
                <w:sz w:val="18"/>
              </w:rPr>
            </w:pPr>
          </w:p>
        </w:tc>
      </w:tr>
      <w:tr w:rsidR="00040253" w:rsidRPr="00452E6C" w14:paraId="65550D9B" w14:textId="77777777" w:rsidTr="0050726A">
        <w:tc>
          <w:tcPr>
            <w:tcW w:w="2262" w:type="dxa"/>
            <w:shd w:val="clear" w:color="auto" w:fill="auto"/>
            <w:noWrap/>
            <w:hideMark/>
          </w:tcPr>
          <w:p w14:paraId="3BBFAAB8" w14:textId="77777777" w:rsidR="00040253" w:rsidRPr="00452E6C" w:rsidRDefault="00040253" w:rsidP="0050726A">
            <w:pPr>
              <w:suppressAutoHyphens w:val="0"/>
              <w:spacing w:before="40" w:after="40" w:line="220" w:lineRule="exact"/>
              <w:rPr>
                <w:sz w:val="18"/>
              </w:rPr>
            </w:pPr>
            <w:r w:rsidRPr="00452E6C">
              <w:rPr>
                <w:sz w:val="18"/>
              </w:rPr>
              <w:t>Finland</w:t>
            </w:r>
          </w:p>
        </w:tc>
        <w:tc>
          <w:tcPr>
            <w:tcW w:w="1484" w:type="dxa"/>
            <w:shd w:val="clear" w:color="auto" w:fill="auto"/>
            <w:noWrap/>
            <w:vAlign w:val="bottom"/>
            <w:hideMark/>
          </w:tcPr>
          <w:p w14:paraId="430528FD" w14:textId="77777777" w:rsidR="00040253" w:rsidRPr="00452E6C" w:rsidRDefault="00040253" w:rsidP="0050726A">
            <w:pPr>
              <w:suppressAutoHyphens w:val="0"/>
              <w:spacing w:before="40" w:after="40" w:line="220" w:lineRule="exact"/>
              <w:jc w:val="right"/>
              <w:rPr>
                <w:sz w:val="18"/>
              </w:rPr>
            </w:pPr>
            <w:r w:rsidRPr="00452E6C">
              <w:rPr>
                <w:sz w:val="18"/>
              </w:rPr>
              <w:t>0.421</w:t>
            </w:r>
          </w:p>
        </w:tc>
        <w:tc>
          <w:tcPr>
            <w:tcW w:w="1783" w:type="dxa"/>
            <w:shd w:val="clear" w:color="auto" w:fill="auto"/>
            <w:noWrap/>
            <w:vAlign w:val="bottom"/>
          </w:tcPr>
          <w:p w14:paraId="38024B13" w14:textId="77777777" w:rsidR="00040253" w:rsidRPr="00452E6C" w:rsidRDefault="00040253" w:rsidP="0050726A">
            <w:pPr>
              <w:suppressAutoHyphens w:val="0"/>
              <w:spacing w:before="40" w:after="40" w:line="220" w:lineRule="exact"/>
              <w:jc w:val="right"/>
              <w:rPr>
                <w:sz w:val="18"/>
              </w:rPr>
            </w:pPr>
            <w:r w:rsidRPr="00452E6C">
              <w:rPr>
                <w:sz w:val="18"/>
              </w:rPr>
              <w:t>1.362</w:t>
            </w:r>
          </w:p>
        </w:tc>
        <w:tc>
          <w:tcPr>
            <w:tcW w:w="1841" w:type="dxa"/>
            <w:shd w:val="clear" w:color="auto" w:fill="auto"/>
            <w:vAlign w:val="bottom"/>
          </w:tcPr>
          <w:p w14:paraId="4B06F796" w14:textId="77777777" w:rsidR="00040253" w:rsidRPr="00452E6C" w:rsidRDefault="00040253" w:rsidP="0050726A">
            <w:pPr>
              <w:suppressAutoHyphens w:val="0"/>
              <w:spacing w:before="40" w:after="40" w:line="220" w:lineRule="exact"/>
              <w:jc w:val="right"/>
              <w:rPr>
                <w:sz w:val="18"/>
              </w:rPr>
            </w:pPr>
          </w:p>
        </w:tc>
      </w:tr>
      <w:tr w:rsidR="00040253" w:rsidRPr="00452E6C" w14:paraId="23F38FDA" w14:textId="77777777" w:rsidTr="0050726A">
        <w:tc>
          <w:tcPr>
            <w:tcW w:w="2262" w:type="dxa"/>
            <w:shd w:val="clear" w:color="auto" w:fill="auto"/>
            <w:noWrap/>
            <w:hideMark/>
          </w:tcPr>
          <w:p w14:paraId="0AF7E487" w14:textId="77777777" w:rsidR="00040253" w:rsidRPr="00452E6C" w:rsidRDefault="00040253" w:rsidP="0050726A">
            <w:pPr>
              <w:suppressAutoHyphens w:val="0"/>
              <w:spacing w:before="40" w:after="40" w:line="220" w:lineRule="exact"/>
              <w:rPr>
                <w:sz w:val="18"/>
              </w:rPr>
            </w:pPr>
            <w:r w:rsidRPr="00452E6C">
              <w:rPr>
                <w:sz w:val="18"/>
              </w:rPr>
              <w:t>France</w:t>
            </w:r>
          </w:p>
        </w:tc>
        <w:tc>
          <w:tcPr>
            <w:tcW w:w="1484" w:type="dxa"/>
            <w:shd w:val="clear" w:color="auto" w:fill="auto"/>
            <w:noWrap/>
            <w:vAlign w:val="bottom"/>
            <w:hideMark/>
          </w:tcPr>
          <w:p w14:paraId="6306D420" w14:textId="77777777" w:rsidR="00040253" w:rsidRPr="00452E6C" w:rsidRDefault="00040253" w:rsidP="0050726A">
            <w:pPr>
              <w:suppressAutoHyphens w:val="0"/>
              <w:spacing w:before="40" w:after="40" w:line="220" w:lineRule="exact"/>
              <w:jc w:val="right"/>
              <w:rPr>
                <w:sz w:val="18"/>
              </w:rPr>
            </w:pPr>
            <w:r w:rsidRPr="00452E6C">
              <w:rPr>
                <w:sz w:val="18"/>
              </w:rPr>
              <w:t>4.427</w:t>
            </w:r>
          </w:p>
        </w:tc>
        <w:tc>
          <w:tcPr>
            <w:tcW w:w="1783" w:type="dxa"/>
            <w:shd w:val="clear" w:color="auto" w:fill="auto"/>
            <w:noWrap/>
            <w:vAlign w:val="bottom"/>
          </w:tcPr>
          <w:p w14:paraId="1804BB99" w14:textId="77777777" w:rsidR="00040253" w:rsidRPr="00452E6C" w:rsidRDefault="00040253" w:rsidP="0050726A">
            <w:pPr>
              <w:suppressAutoHyphens w:val="0"/>
              <w:spacing w:before="40" w:after="40" w:line="220" w:lineRule="exact"/>
              <w:jc w:val="right"/>
              <w:rPr>
                <w:sz w:val="18"/>
              </w:rPr>
            </w:pPr>
            <w:r w:rsidRPr="00452E6C">
              <w:rPr>
                <w:sz w:val="18"/>
              </w:rPr>
              <w:t>14.326</w:t>
            </w:r>
          </w:p>
        </w:tc>
        <w:tc>
          <w:tcPr>
            <w:tcW w:w="1841" w:type="dxa"/>
            <w:shd w:val="clear" w:color="auto" w:fill="auto"/>
            <w:vAlign w:val="bottom"/>
          </w:tcPr>
          <w:p w14:paraId="089DAC9C" w14:textId="77777777" w:rsidR="00040253" w:rsidRPr="00452E6C" w:rsidRDefault="00040253" w:rsidP="0050726A">
            <w:pPr>
              <w:suppressAutoHyphens w:val="0"/>
              <w:spacing w:before="40" w:after="40" w:line="220" w:lineRule="exact"/>
              <w:jc w:val="right"/>
              <w:rPr>
                <w:sz w:val="18"/>
              </w:rPr>
            </w:pPr>
          </w:p>
        </w:tc>
      </w:tr>
      <w:tr w:rsidR="00040253" w:rsidRPr="00452E6C" w14:paraId="01EF4490" w14:textId="77777777" w:rsidTr="0050726A">
        <w:tc>
          <w:tcPr>
            <w:tcW w:w="2262" w:type="dxa"/>
            <w:shd w:val="clear" w:color="auto" w:fill="auto"/>
            <w:noWrap/>
            <w:hideMark/>
          </w:tcPr>
          <w:p w14:paraId="51E253FE" w14:textId="77777777" w:rsidR="00040253" w:rsidRPr="00452E6C" w:rsidRDefault="00040253" w:rsidP="0050726A">
            <w:pPr>
              <w:suppressAutoHyphens w:val="0"/>
              <w:spacing w:before="40" w:after="40" w:line="220" w:lineRule="exact"/>
              <w:rPr>
                <w:sz w:val="18"/>
              </w:rPr>
            </w:pPr>
            <w:r w:rsidRPr="00452E6C">
              <w:rPr>
                <w:sz w:val="18"/>
              </w:rPr>
              <w:t>Georgia</w:t>
            </w:r>
          </w:p>
        </w:tc>
        <w:tc>
          <w:tcPr>
            <w:tcW w:w="1484" w:type="dxa"/>
            <w:shd w:val="clear" w:color="auto" w:fill="auto"/>
            <w:noWrap/>
            <w:vAlign w:val="bottom"/>
            <w:hideMark/>
          </w:tcPr>
          <w:p w14:paraId="72BD2125" w14:textId="77777777" w:rsidR="00040253" w:rsidRPr="00452E6C" w:rsidRDefault="00040253" w:rsidP="0050726A">
            <w:pPr>
              <w:suppressAutoHyphens w:val="0"/>
              <w:spacing w:before="40" w:after="40" w:line="220" w:lineRule="exact"/>
              <w:jc w:val="right"/>
              <w:rPr>
                <w:sz w:val="18"/>
              </w:rPr>
            </w:pPr>
            <w:r w:rsidRPr="00452E6C">
              <w:rPr>
                <w:sz w:val="18"/>
              </w:rPr>
              <w:t>0.008</w:t>
            </w:r>
          </w:p>
        </w:tc>
        <w:tc>
          <w:tcPr>
            <w:tcW w:w="1783" w:type="dxa"/>
            <w:shd w:val="clear" w:color="auto" w:fill="auto"/>
            <w:noWrap/>
            <w:vAlign w:val="bottom"/>
          </w:tcPr>
          <w:p w14:paraId="5CAD7B88" w14:textId="77777777" w:rsidR="00040253" w:rsidRPr="00452E6C" w:rsidRDefault="00040253" w:rsidP="0050726A">
            <w:pPr>
              <w:suppressAutoHyphens w:val="0"/>
              <w:spacing w:before="40" w:after="40" w:line="220" w:lineRule="exact"/>
              <w:jc w:val="right"/>
              <w:rPr>
                <w:sz w:val="18"/>
              </w:rPr>
            </w:pPr>
            <w:r w:rsidRPr="00452E6C">
              <w:rPr>
                <w:sz w:val="18"/>
              </w:rPr>
              <w:t>0.026</w:t>
            </w:r>
          </w:p>
        </w:tc>
        <w:tc>
          <w:tcPr>
            <w:tcW w:w="1841" w:type="dxa"/>
            <w:shd w:val="clear" w:color="auto" w:fill="auto"/>
            <w:vAlign w:val="bottom"/>
          </w:tcPr>
          <w:p w14:paraId="0668EA40" w14:textId="77777777" w:rsidR="00040253" w:rsidRPr="00452E6C" w:rsidRDefault="00040253" w:rsidP="0050726A">
            <w:pPr>
              <w:suppressAutoHyphens w:val="0"/>
              <w:spacing w:before="40" w:after="40" w:line="220" w:lineRule="exact"/>
              <w:jc w:val="right"/>
              <w:rPr>
                <w:sz w:val="18"/>
              </w:rPr>
            </w:pPr>
          </w:p>
        </w:tc>
      </w:tr>
      <w:tr w:rsidR="00040253" w:rsidRPr="00452E6C" w14:paraId="2F96D493" w14:textId="77777777" w:rsidTr="0050726A">
        <w:tc>
          <w:tcPr>
            <w:tcW w:w="2262" w:type="dxa"/>
            <w:shd w:val="clear" w:color="auto" w:fill="auto"/>
            <w:noWrap/>
            <w:hideMark/>
          </w:tcPr>
          <w:p w14:paraId="5325FB56" w14:textId="77777777" w:rsidR="00040253" w:rsidRPr="00452E6C" w:rsidRDefault="00040253" w:rsidP="0050726A">
            <w:pPr>
              <w:suppressAutoHyphens w:val="0"/>
              <w:spacing w:before="40" w:after="40" w:line="220" w:lineRule="exact"/>
              <w:rPr>
                <w:sz w:val="18"/>
              </w:rPr>
            </w:pPr>
            <w:r w:rsidRPr="00452E6C">
              <w:rPr>
                <w:sz w:val="18"/>
              </w:rPr>
              <w:t>Germany</w:t>
            </w:r>
          </w:p>
        </w:tc>
        <w:tc>
          <w:tcPr>
            <w:tcW w:w="1484" w:type="dxa"/>
            <w:shd w:val="clear" w:color="auto" w:fill="auto"/>
            <w:noWrap/>
            <w:vAlign w:val="bottom"/>
            <w:hideMark/>
          </w:tcPr>
          <w:p w14:paraId="732806D5" w14:textId="77777777" w:rsidR="00040253" w:rsidRPr="00452E6C" w:rsidRDefault="00040253" w:rsidP="0050726A">
            <w:pPr>
              <w:suppressAutoHyphens w:val="0"/>
              <w:spacing w:before="40" w:after="40" w:line="220" w:lineRule="exact"/>
              <w:jc w:val="right"/>
              <w:rPr>
                <w:sz w:val="18"/>
              </w:rPr>
            </w:pPr>
            <w:r w:rsidRPr="00452E6C">
              <w:rPr>
                <w:sz w:val="18"/>
              </w:rPr>
              <w:t>6.090</w:t>
            </w:r>
          </w:p>
        </w:tc>
        <w:tc>
          <w:tcPr>
            <w:tcW w:w="1783" w:type="dxa"/>
            <w:shd w:val="clear" w:color="auto" w:fill="auto"/>
            <w:noWrap/>
            <w:vAlign w:val="bottom"/>
          </w:tcPr>
          <w:p w14:paraId="619AFC22" w14:textId="77777777" w:rsidR="00040253" w:rsidRPr="00452E6C" w:rsidRDefault="00040253" w:rsidP="0050726A">
            <w:pPr>
              <w:suppressAutoHyphens w:val="0"/>
              <w:spacing w:before="40" w:after="40" w:line="220" w:lineRule="exact"/>
              <w:jc w:val="right"/>
              <w:rPr>
                <w:sz w:val="18"/>
              </w:rPr>
            </w:pPr>
            <w:r w:rsidRPr="00452E6C">
              <w:rPr>
                <w:sz w:val="18"/>
              </w:rPr>
              <w:t>19.707</w:t>
            </w:r>
          </w:p>
        </w:tc>
        <w:tc>
          <w:tcPr>
            <w:tcW w:w="1841" w:type="dxa"/>
            <w:shd w:val="clear" w:color="auto" w:fill="auto"/>
            <w:vAlign w:val="bottom"/>
          </w:tcPr>
          <w:p w14:paraId="11C78DC7" w14:textId="77777777" w:rsidR="00040253" w:rsidRPr="00452E6C" w:rsidRDefault="00040253" w:rsidP="0050726A">
            <w:pPr>
              <w:suppressAutoHyphens w:val="0"/>
              <w:spacing w:before="40" w:after="40" w:line="220" w:lineRule="exact"/>
              <w:jc w:val="right"/>
              <w:rPr>
                <w:sz w:val="18"/>
              </w:rPr>
            </w:pPr>
          </w:p>
        </w:tc>
      </w:tr>
      <w:tr w:rsidR="00040253" w:rsidRPr="00452E6C" w14:paraId="1B274B29" w14:textId="77777777" w:rsidTr="0050726A">
        <w:tc>
          <w:tcPr>
            <w:tcW w:w="2262" w:type="dxa"/>
            <w:shd w:val="clear" w:color="auto" w:fill="auto"/>
            <w:noWrap/>
            <w:hideMark/>
          </w:tcPr>
          <w:p w14:paraId="4865D79B" w14:textId="77777777" w:rsidR="00040253" w:rsidRPr="00452E6C" w:rsidRDefault="00040253" w:rsidP="0050726A">
            <w:pPr>
              <w:suppressAutoHyphens w:val="0"/>
              <w:spacing w:before="40" w:after="40" w:line="220" w:lineRule="exact"/>
              <w:rPr>
                <w:sz w:val="18"/>
              </w:rPr>
            </w:pPr>
            <w:r w:rsidRPr="00452E6C">
              <w:rPr>
                <w:sz w:val="18"/>
              </w:rPr>
              <w:t>Greece</w:t>
            </w:r>
          </w:p>
        </w:tc>
        <w:tc>
          <w:tcPr>
            <w:tcW w:w="1484" w:type="dxa"/>
            <w:shd w:val="clear" w:color="auto" w:fill="auto"/>
            <w:noWrap/>
            <w:vAlign w:val="bottom"/>
            <w:hideMark/>
          </w:tcPr>
          <w:p w14:paraId="060D24BD" w14:textId="77777777" w:rsidR="00040253" w:rsidRPr="00452E6C" w:rsidRDefault="00040253" w:rsidP="0050726A">
            <w:pPr>
              <w:suppressAutoHyphens w:val="0"/>
              <w:spacing w:before="40" w:after="40" w:line="220" w:lineRule="exact"/>
              <w:jc w:val="right"/>
              <w:rPr>
                <w:sz w:val="18"/>
              </w:rPr>
            </w:pPr>
            <w:r w:rsidRPr="00452E6C">
              <w:rPr>
                <w:sz w:val="18"/>
              </w:rPr>
              <w:t>0.366</w:t>
            </w:r>
          </w:p>
        </w:tc>
        <w:tc>
          <w:tcPr>
            <w:tcW w:w="1783" w:type="dxa"/>
            <w:shd w:val="clear" w:color="auto" w:fill="auto"/>
            <w:noWrap/>
            <w:vAlign w:val="bottom"/>
          </w:tcPr>
          <w:p w14:paraId="41470874" w14:textId="77777777" w:rsidR="00040253" w:rsidRPr="00452E6C" w:rsidRDefault="00040253" w:rsidP="0050726A">
            <w:pPr>
              <w:suppressAutoHyphens w:val="0"/>
              <w:spacing w:before="40" w:after="40" w:line="220" w:lineRule="exact"/>
              <w:jc w:val="right"/>
              <w:rPr>
                <w:sz w:val="18"/>
              </w:rPr>
            </w:pPr>
            <w:r w:rsidRPr="00452E6C">
              <w:rPr>
                <w:sz w:val="18"/>
              </w:rPr>
              <w:t>1.184</w:t>
            </w:r>
          </w:p>
        </w:tc>
        <w:tc>
          <w:tcPr>
            <w:tcW w:w="1841" w:type="dxa"/>
            <w:shd w:val="clear" w:color="auto" w:fill="auto"/>
            <w:vAlign w:val="bottom"/>
          </w:tcPr>
          <w:p w14:paraId="5D1C20E8" w14:textId="77777777" w:rsidR="00040253" w:rsidRPr="00452E6C" w:rsidRDefault="00040253" w:rsidP="0050726A">
            <w:pPr>
              <w:suppressAutoHyphens w:val="0"/>
              <w:spacing w:before="40" w:after="40" w:line="220" w:lineRule="exact"/>
              <w:jc w:val="right"/>
              <w:rPr>
                <w:sz w:val="18"/>
              </w:rPr>
            </w:pPr>
          </w:p>
        </w:tc>
      </w:tr>
      <w:tr w:rsidR="00040253" w:rsidRPr="00452E6C" w14:paraId="1FE2B580" w14:textId="77777777" w:rsidTr="0050726A">
        <w:tc>
          <w:tcPr>
            <w:tcW w:w="2262" w:type="dxa"/>
            <w:shd w:val="clear" w:color="auto" w:fill="auto"/>
            <w:noWrap/>
            <w:hideMark/>
          </w:tcPr>
          <w:p w14:paraId="4D7B266E" w14:textId="77777777" w:rsidR="00040253" w:rsidRPr="00452E6C" w:rsidRDefault="00040253" w:rsidP="0050726A">
            <w:pPr>
              <w:suppressAutoHyphens w:val="0"/>
              <w:spacing w:before="40" w:after="40" w:line="220" w:lineRule="exact"/>
              <w:rPr>
                <w:sz w:val="18"/>
              </w:rPr>
            </w:pPr>
            <w:r w:rsidRPr="00452E6C">
              <w:rPr>
                <w:sz w:val="18"/>
              </w:rPr>
              <w:t>Hungary</w:t>
            </w:r>
          </w:p>
        </w:tc>
        <w:tc>
          <w:tcPr>
            <w:tcW w:w="1484" w:type="dxa"/>
            <w:shd w:val="clear" w:color="auto" w:fill="auto"/>
            <w:noWrap/>
            <w:vAlign w:val="bottom"/>
            <w:hideMark/>
          </w:tcPr>
          <w:p w14:paraId="087E2F31" w14:textId="77777777" w:rsidR="00040253" w:rsidRPr="00452E6C" w:rsidRDefault="00040253" w:rsidP="0050726A">
            <w:pPr>
              <w:suppressAutoHyphens w:val="0"/>
              <w:spacing w:before="40" w:after="40" w:line="220" w:lineRule="exact"/>
              <w:jc w:val="right"/>
              <w:rPr>
                <w:sz w:val="18"/>
              </w:rPr>
            </w:pPr>
            <w:r w:rsidRPr="00452E6C">
              <w:rPr>
                <w:sz w:val="18"/>
              </w:rPr>
              <w:t>0.206</w:t>
            </w:r>
          </w:p>
        </w:tc>
        <w:tc>
          <w:tcPr>
            <w:tcW w:w="1783" w:type="dxa"/>
            <w:shd w:val="clear" w:color="auto" w:fill="auto"/>
            <w:noWrap/>
            <w:vAlign w:val="bottom"/>
          </w:tcPr>
          <w:p w14:paraId="6BE52D7C" w14:textId="77777777" w:rsidR="00040253" w:rsidRPr="00452E6C" w:rsidRDefault="00040253" w:rsidP="0050726A">
            <w:pPr>
              <w:suppressAutoHyphens w:val="0"/>
              <w:spacing w:before="40" w:after="40" w:line="220" w:lineRule="exact"/>
              <w:jc w:val="right"/>
              <w:rPr>
                <w:sz w:val="18"/>
              </w:rPr>
            </w:pPr>
            <w:r w:rsidRPr="00452E6C">
              <w:rPr>
                <w:sz w:val="18"/>
              </w:rPr>
              <w:t>0.667</w:t>
            </w:r>
          </w:p>
        </w:tc>
        <w:tc>
          <w:tcPr>
            <w:tcW w:w="1841" w:type="dxa"/>
            <w:shd w:val="clear" w:color="auto" w:fill="auto"/>
            <w:vAlign w:val="bottom"/>
          </w:tcPr>
          <w:p w14:paraId="520EE136" w14:textId="77777777" w:rsidR="00040253" w:rsidRPr="00452E6C" w:rsidRDefault="00040253" w:rsidP="0050726A">
            <w:pPr>
              <w:suppressAutoHyphens w:val="0"/>
              <w:spacing w:before="40" w:after="40" w:line="220" w:lineRule="exact"/>
              <w:jc w:val="right"/>
              <w:rPr>
                <w:sz w:val="18"/>
              </w:rPr>
            </w:pPr>
          </w:p>
        </w:tc>
      </w:tr>
      <w:tr w:rsidR="00040253" w:rsidRPr="00452E6C" w14:paraId="3867F487" w14:textId="77777777" w:rsidTr="0050726A">
        <w:tc>
          <w:tcPr>
            <w:tcW w:w="2262" w:type="dxa"/>
            <w:shd w:val="clear" w:color="auto" w:fill="auto"/>
            <w:noWrap/>
          </w:tcPr>
          <w:p w14:paraId="5759C405" w14:textId="77777777" w:rsidR="00040253" w:rsidRPr="00452E6C" w:rsidRDefault="00040253" w:rsidP="0050726A">
            <w:pPr>
              <w:suppressAutoHyphens w:val="0"/>
              <w:spacing w:before="40" w:after="40" w:line="220" w:lineRule="exact"/>
              <w:rPr>
                <w:sz w:val="18"/>
              </w:rPr>
            </w:pPr>
            <w:r w:rsidRPr="00452E6C">
              <w:rPr>
                <w:sz w:val="18"/>
              </w:rPr>
              <w:t>Iceland</w:t>
            </w:r>
          </w:p>
        </w:tc>
        <w:tc>
          <w:tcPr>
            <w:tcW w:w="1484" w:type="dxa"/>
            <w:shd w:val="clear" w:color="auto" w:fill="auto"/>
            <w:noWrap/>
            <w:vAlign w:val="bottom"/>
          </w:tcPr>
          <w:p w14:paraId="29C1C976" w14:textId="77777777" w:rsidR="00040253" w:rsidRPr="00452E6C" w:rsidRDefault="00040253" w:rsidP="0050726A">
            <w:pPr>
              <w:suppressAutoHyphens w:val="0"/>
              <w:spacing w:before="40" w:after="40" w:line="220" w:lineRule="exact"/>
              <w:jc w:val="right"/>
              <w:rPr>
                <w:sz w:val="18"/>
              </w:rPr>
            </w:pPr>
            <w:r w:rsidRPr="00452E6C">
              <w:rPr>
                <w:sz w:val="18"/>
              </w:rPr>
              <w:t>0.028</w:t>
            </w:r>
          </w:p>
        </w:tc>
        <w:tc>
          <w:tcPr>
            <w:tcW w:w="1783" w:type="dxa"/>
            <w:shd w:val="clear" w:color="auto" w:fill="auto"/>
            <w:noWrap/>
            <w:vAlign w:val="bottom"/>
          </w:tcPr>
          <w:p w14:paraId="0A5A7EF3" w14:textId="77777777" w:rsidR="00040253" w:rsidRPr="00452E6C" w:rsidRDefault="00040253" w:rsidP="0050726A">
            <w:pPr>
              <w:suppressAutoHyphens w:val="0"/>
              <w:spacing w:before="40" w:after="40" w:line="220" w:lineRule="exact"/>
              <w:jc w:val="right"/>
              <w:rPr>
                <w:sz w:val="18"/>
              </w:rPr>
            </w:pPr>
            <w:r w:rsidRPr="00452E6C">
              <w:rPr>
                <w:sz w:val="18"/>
              </w:rPr>
              <w:t>0.091</w:t>
            </w:r>
          </w:p>
        </w:tc>
        <w:tc>
          <w:tcPr>
            <w:tcW w:w="1841" w:type="dxa"/>
            <w:shd w:val="clear" w:color="auto" w:fill="auto"/>
            <w:vAlign w:val="bottom"/>
          </w:tcPr>
          <w:p w14:paraId="4CC4E3E7" w14:textId="77777777" w:rsidR="00040253" w:rsidRPr="00452E6C" w:rsidRDefault="00040253" w:rsidP="0050726A">
            <w:pPr>
              <w:suppressAutoHyphens w:val="0"/>
              <w:spacing w:before="40" w:after="40" w:line="220" w:lineRule="exact"/>
              <w:jc w:val="right"/>
              <w:rPr>
                <w:sz w:val="18"/>
              </w:rPr>
            </w:pPr>
          </w:p>
        </w:tc>
      </w:tr>
      <w:tr w:rsidR="00040253" w:rsidRPr="00452E6C" w14:paraId="398B7647" w14:textId="77777777" w:rsidTr="0050726A">
        <w:tc>
          <w:tcPr>
            <w:tcW w:w="2262" w:type="dxa"/>
            <w:shd w:val="clear" w:color="auto" w:fill="auto"/>
            <w:noWrap/>
            <w:hideMark/>
          </w:tcPr>
          <w:p w14:paraId="071CB032" w14:textId="77777777" w:rsidR="00040253" w:rsidRPr="00452E6C" w:rsidRDefault="00040253" w:rsidP="0050726A">
            <w:pPr>
              <w:suppressAutoHyphens w:val="0"/>
              <w:spacing w:before="40" w:after="40" w:line="220" w:lineRule="exact"/>
              <w:rPr>
                <w:sz w:val="18"/>
              </w:rPr>
            </w:pPr>
            <w:r w:rsidRPr="00452E6C">
              <w:rPr>
                <w:sz w:val="18"/>
              </w:rPr>
              <w:t>Ireland</w:t>
            </w:r>
          </w:p>
        </w:tc>
        <w:tc>
          <w:tcPr>
            <w:tcW w:w="1484" w:type="dxa"/>
            <w:shd w:val="clear" w:color="auto" w:fill="auto"/>
            <w:noWrap/>
            <w:vAlign w:val="bottom"/>
            <w:hideMark/>
          </w:tcPr>
          <w:p w14:paraId="72A016C6" w14:textId="77777777" w:rsidR="00040253" w:rsidRPr="00452E6C" w:rsidRDefault="00040253" w:rsidP="0050726A">
            <w:pPr>
              <w:suppressAutoHyphens w:val="0"/>
              <w:spacing w:before="40" w:after="40" w:line="220" w:lineRule="exact"/>
              <w:jc w:val="right"/>
              <w:rPr>
                <w:sz w:val="18"/>
              </w:rPr>
            </w:pPr>
            <w:r w:rsidRPr="00452E6C">
              <w:rPr>
                <w:sz w:val="18"/>
              </w:rPr>
              <w:t>0.371</w:t>
            </w:r>
          </w:p>
        </w:tc>
        <w:tc>
          <w:tcPr>
            <w:tcW w:w="1783" w:type="dxa"/>
            <w:shd w:val="clear" w:color="auto" w:fill="auto"/>
            <w:noWrap/>
            <w:vAlign w:val="bottom"/>
          </w:tcPr>
          <w:p w14:paraId="02969502" w14:textId="77777777" w:rsidR="00040253" w:rsidRPr="00452E6C" w:rsidRDefault="00040253" w:rsidP="0050726A">
            <w:pPr>
              <w:suppressAutoHyphens w:val="0"/>
              <w:spacing w:before="40" w:after="40" w:line="220" w:lineRule="exact"/>
              <w:jc w:val="right"/>
              <w:rPr>
                <w:sz w:val="18"/>
              </w:rPr>
            </w:pPr>
            <w:r w:rsidRPr="00452E6C">
              <w:rPr>
                <w:sz w:val="18"/>
              </w:rPr>
              <w:t>1.201</w:t>
            </w:r>
          </w:p>
        </w:tc>
        <w:tc>
          <w:tcPr>
            <w:tcW w:w="1841" w:type="dxa"/>
            <w:shd w:val="clear" w:color="auto" w:fill="auto"/>
            <w:vAlign w:val="bottom"/>
          </w:tcPr>
          <w:p w14:paraId="65DF1091" w14:textId="77777777" w:rsidR="00040253" w:rsidRPr="00452E6C" w:rsidRDefault="00040253" w:rsidP="0050726A">
            <w:pPr>
              <w:suppressAutoHyphens w:val="0"/>
              <w:spacing w:before="40" w:after="40" w:line="220" w:lineRule="exact"/>
              <w:jc w:val="right"/>
              <w:rPr>
                <w:sz w:val="18"/>
              </w:rPr>
            </w:pPr>
          </w:p>
        </w:tc>
      </w:tr>
      <w:tr w:rsidR="00040253" w:rsidRPr="00452E6C" w14:paraId="507F2A51" w14:textId="77777777" w:rsidTr="0050726A">
        <w:tc>
          <w:tcPr>
            <w:tcW w:w="2262" w:type="dxa"/>
            <w:shd w:val="clear" w:color="auto" w:fill="auto"/>
            <w:noWrap/>
          </w:tcPr>
          <w:p w14:paraId="364545FB" w14:textId="77777777" w:rsidR="00040253" w:rsidRPr="00452E6C" w:rsidRDefault="00040253" w:rsidP="0050726A">
            <w:pPr>
              <w:suppressAutoHyphens w:val="0"/>
              <w:spacing w:before="40" w:after="40" w:line="220" w:lineRule="exact"/>
              <w:rPr>
                <w:sz w:val="18"/>
              </w:rPr>
            </w:pPr>
            <w:r w:rsidRPr="00452E6C">
              <w:rPr>
                <w:sz w:val="18"/>
              </w:rPr>
              <w:t>Italy</w:t>
            </w:r>
          </w:p>
        </w:tc>
        <w:tc>
          <w:tcPr>
            <w:tcW w:w="1484" w:type="dxa"/>
            <w:shd w:val="clear" w:color="auto" w:fill="auto"/>
            <w:noWrap/>
            <w:vAlign w:val="bottom"/>
          </w:tcPr>
          <w:p w14:paraId="1A9A6CE7" w14:textId="77777777" w:rsidR="00040253" w:rsidRPr="00452E6C" w:rsidRDefault="00040253" w:rsidP="0050726A">
            <w:pPr>
              <w:suppressAutoHyphens w:val="0"/>
              <w:spacing w:before="40" w:after="40" w:line="220" w:lineRule="exact"/>
              <w:jc w:val="right"/>
              <w:rPr>
                <w:sz w:val="18"/>
              </w:rPr>
            </w:pPr>
            <w:r w:rsidRPr="00452E6C">
              <w:rPr>
                <w:sz w:val="18"/>
              </w:rPr>
              <w:t>3.307</w:t>
            </w:r>
          </w:p>
        </w:tc>
        <w:tc>
          <w:tcPr>
            <w:tcW w:w="1783" w:type="dxa"/>
            <w:shd w:val="clear" w:color="auto" w:fill="auto"/>
            <w:noWrap/>
            <w:vAlign w:val="bottom"/>
          </w:tcPr>
          <w:p w14:paraId="31508EAB" w14:textId="77777777" w:rsidR="00040253" w:rsidRPr="00452E6C" w:rsidRDefault="00040253" w:rsidP="0050726A">
            <w:pPr>
              <w:suppressAutoHyphens w:val="0"/>
              <w:spacing w:before="40" w:after="40" w:line="220" w:lineRule="exact"/>
              <w:jc w:val="right"/>
              <w:rPr>
                <w:sz w:val="18"/>
              </w:rPr>
            </w:pPr>
            <w:r w:rsidRPr="00452E6C">
              <w:rPr>
                <w:sz w:val="18"/>
              </w:rPr>
              <w:t>10.701</w:t>
            </w:r>
          </w:p>
        </w:tc>
        <w:tc>
          <w:tcPr>
            <w:tcW w:w="1841" w:type="dxa"/>
            <w:shd w:val="clear" w:color="auto" w:fill="auto"/>
            <w:vAlign w:val="bottom"/>
          </w:tcPr>
          <w:p w14:paraId="7A7E0B29" w14:textId="77777777" w:rsidR="00040253" w:rsidRPr="00452E6C" w:rsidRDefault="00040253" w:rsidP="0050726A">
            <w:pPr>
              <w:suppressAutoHyphens w:val="0"/>
              <w:spacing w:before="40" w:after="40" w:line="220" w:lineRule="exact"/>
              <w:jc w:val="right"/>
              <w:rPr>
                <w:sz w:val="18"/>
              </w:rPr>
            </w:pPr>
          </w:p>
        </w:tc>
      </w:tr>
      <w:tr w:rsidR="00040253" w:rsidRPr="00452E6C" w14:paraId="29FA1C20" w14:textId="77777777" w:rsidTr="0050726A">
        <w:tc>
          <w:tcPr>
            <w:tcW w:w="2262" w:type="dxa"/>
            <w:shd w:val="clear" w:color="auto" w:fill="auto"/>
            <w:noWrap/>
          </w:tcPr>
          <w:p w14:paraId="39873A2C" w14:textId="77777777" w:rsidR="00040253" w:rsidRPr="00452E6C" w:rsidRDefault="00040253" w:rsidP="0050726A">
            <w:pPr>
              <w:suppressAutoHyphens w:val="0"/>
              <w:spacing w:before="40" w:after="40" w:line="220" w:lineRule="exact"/>
              <w:rPr>
                <w:sz w:val="18"/>
              </w:rPr>
            </w:pPr>
            <w:r w:rsidRPr="00452E6C">
              <w:rPr>
                <w:sz w:val="18"/>
              </w:rPr>
              <w:t>Kazakhstan</w:t>
            </w:r>
          </w:p>
        </w:tc>
        <w:tc>
          <w:tcPr>
            <w:tcW w:w="1484" w:type="dxa"/>
            <w:shd w:val="clear" w:color="auto" w:fill="auto"/>
            <w:noWrap/>
            <w:vAlign w:val="bottom"/>
          </w:tcPr>
          <w:p w14:paraId="13CF6E2C" w14:textId="77777777" w:rsidR="00040253" w:rsidRPr="00452E6C" w:rsidRDefault="00040253" w:rsidP="0050726A">
            <w:pPr>
              <w:suppressAutoHyphens w:val="0"/>
              <w:spacing w:before="40" w:after="40" w:line="220" w:lineRule="exact"/>
              <w:jc w:val="right"/>
              <w:rPr>
                <w:sz w:val="18"/>
              </w:rPr>
            </w:pPr>
            <w:r w:rsidRPr="00452E6C">
              <w:rPr>
                <w:sz w:val="18"/>
              </w:rPr>
              <w:t>0.178</w:t>
            </w:r>
          </w:p>
        </w:tc>
        <w:tc>
          <w:tcPr>
            <w:tcW w:w="1783" w:type="dxa"/>
            <w:shd w:val="clear" w:color="auto" w:fill="auto"/>
            <w:noWrap/>
            <w:vAlign w:val="bottom"/>
          </w:tcPr>
          <w:p w14:paraId="17C24CB4" w14:textId="77777777" w:rsidR="00040253" w:rsidRPr="00452E6C" w:rsidRDefault="00040253" w:rsidP="0050726A">
            <w:pPr>
              <w:suppressAutoHyphens w:val="0"/>
              <w:spacing w:before="40" w:after="40" w:line="220" w:lineRule="exact"/>
              <w:jc w:val="right"/>
              <w:rPr>
                <w:sz w:val="18"/>
              </w:rPr>
            </w:pPr>
            <w:r w:rsidRPr="00452E6C">
              <w:rPr>
                <w:sz w:val="18"/>
              </w:rPr>
              <w:t>0.576</w:t>
            </w:r>
          </w:p>
        </w:tc>
        <w:tc>
          <w:tcPr>
            <w:tcW w:w="1841" w:type="dxa"/>
            <w:shd w:val="clear" w:color="auto" w:fill="auto"/>
            <w:vAlign w:val="bottom"/>
          </w:tcPr>
          <w:p w14:paraId="14054A25" w14:textId="77777777" w:rsidR="00040253" w:rsidRPr="00452E6C" w:rsidRDefault="00040253" w:rsidP="0050726A">
            <w:pPr>
              <w:suppressAutoHyphens w:val="0"/>
              <w:spacing w:before="40" w:after="40" w:line="220" w:lineRule="exact"/>
              <w:jc w:val="right"/>
              <w:rPr>
                <w:sz w:val="18"/>
              </w:rPr>
            </w:pPr>
          </w:p>
        </w:tc>
      </w:tr>
      <w:tr w:rsidR="00040253" w:rsidRPr="00452E6C" w14:paraId="4988B271" w14:textId="77777777" w:rsidTr="0050726A">
        <w:tc>
          <w:tcPr>
            <w:tcW w:w="2262" w:type="dxa"/>
            <w:shd w:val="clear" w:color="auto" w:fill="auto"/>
            <w:noWrap/>
          </w:tcPr>
          <w:p w14:paraId="7B15B151" w14:textId="77777777" w:rsidR="00040253" w:rsidRPr="00452E6C" w:rsidRDefault="00040253" w:rsidP="0050726A">
            <w:pPr>
              <w:suppressAutoHyphens w:val="0"/>
              <w:spacing w:before="40" w:after="40" w:line="220" w:lineRule="exact"/>
              <w:rPr>
                <w:sz w:val="18"/>
              </w:rPr>
            </w:pPr>
            <w:r w:rsidRPr="00452E6C">
              <w:rPr>
                <w:sz w:val="18"/>
              </w:rPr>
              <w:t>Kyrgyzstan</w:t>
            </w:r>
          </w:p>
        </w:tc>
        <w:tc>
          <w:tcPr>
            <w:tcW w:w="1484" w:type="dxa"/>
            <w:shd w:val="clear" w:color="auto" w:fill="auto"/>
            <w:noWrap/>
            <w:vAlign w:val="bottom"/>
          </w:tcPr>
          <w:p w14:paraId="0A406B63" w14:textId="77777777" w:rsidR="00040253" w:rsidRPr="00452E6C" w:rsidRDefault="00040253" w:rsidP="0050726A">
            <w:pPr>
              <w:suppressAutoHyphens w:val="0"/>
              <w:spacing w:before="40" w:after="40" w:line="220" w:lineRule="exact"/>
              <w:jc w:val="right"/>
              <w:rPr>
                <w:sz w:val="18"/>
              </w:rPr>
            </w:pPr>
            <w:r w:rsidRPr="00452E6C">
              <w:rPr>
                <w:sz w:val="18"/>
              </w:rPr>
              <w:t>0.002</w:t>
            </w:r>
          </w:p>
        </w:tc>
        <w:tc>
          <w:tcPr>
            <w:tcW w:w="1783" w:type="dxa"/>
            <w:shd w:val="clear" w:color="auto" w:fill="auto"/>
            <w:noWrap/>
            <w:vAlign w:val="bottom"/>
          </w:tcPr>
          <w:p w14:paraId="64646B49" w14:textId="77777777" w:rsidR="00040253" w:rsidRPr="00452E6C" w:rsidRDefault="00040253" w:rsidP="0050726A">
            <w:pPr>
              <w:suppressAutoHyphens w:val="0"/>
              <w:spacing w:before="40" w:after="40" w:line="220" w:lineRule="exact"/>
              <w:jc w:val="right"/>
              <w:rPr>
                <w:sz w:val="18"/>
              </w:rPr>
            </w:pPr>
            <w:r w:rsidRPr="00452E6C">
              <w:rPr>
                <w:sz w:val="18"/>
              </w:rPr>
              <w:t>0.006</w:t>
            </w:r>
          </w:p>
        </w:tc>
        <w:tc>
          <w:tcPr>
            <w:tcW w:w="1841" w:type="dxa"/>
            <w:shd w:val="clear" w:color="auto" w:fill="auto"/>
            <w:vAlign w:val="bottom"/>
          </w:tcPr>
          <w:p w14:paraId="7B74C3CE" w14:textId="77777777" w:rsidR="00040253" w:rsidRPr="00452E6C" w:rsidRDefault="00040253" w:rsidP="0050726A">
            <w:pPr>
              <w:suppressAutoHyphens w:val="0"/>
              <w:spacing w:before="40" w:after="40" w:line="220" w:lineRule="exact"/>
              <w:jc w:val="right"/>
              <w:rPr>
                <w:sz w:val="18"/>
              </w:rPr>
            </w:pPr>
          </w:p>
        </w:tc>
      </w:tr>
      <w:tr w:rsidR="00040253" w:rsidRPr="00452E6C" w14:paraId="0EDC2020" w14:textId="77777777" w:rsidTr="0050726A">
        <w:tc>
          <w:tcPr>
            <w:tcW w:w="2262" w:type="dxa"/>
            <w:shd w:val="clear" w:color="auto" w:fill="auto"/>
            <w:noWrap/>
            <w:hideMark/>
          </w:tcPr>
          <w:p w14:paraId="1C327597" w14:textId="77777777" w:rsidR="00040253" w:rsidRPr="00452E6C" w:rsidRDefault="00040253" w:rsidP="0050726A">
            <w:pPr>
              <w:suppressAutoHyphens w:val="0"/>
              <w:spacing w:before="40" w:after="40" w:line="220" w:lineRule="exact"/>
              <w:rPr>
                <w:sz w:val="18"/>
              </w:rPr>
            </w:pPr>
            <w:r w:rsidRPr="00452E6C">
              <w:rPr>
                <w:sz w:val="18"/>
              </w:rPr>
              <w:t>Latvia</w:t>
            </w:r>
          </w:p>
        </w:tc>
        <w:tc>
          <w:tcPr>
            <w:tcW w:w="1484" w:type="dxa"/>
            <w:shd w:val="clear" w:color="auto" w:fill="auto"/>
            <w:noWrap/>
            <w:vAlign w:val="bottom"/>
          </w:tcPr>
          <w:p w14:paraId="56D5E1D8" w14:textId="77777777" w:rsidR="00040253" w:rsidRPr="00452E6C" w:rsidRDefault="00040253" w:rsidP="0050726A">
            <w:pPr>
              <w:suppressAutoHyphens w:val="0"/>
              <w:spacing w:before="40" w:after="40" w:line="220" w:lineRule="exact"/>
              <w:jc w:val="right"/>
              <w:rPr>
                <w:sz w:val="18"/>
              </w:rPr>
            </w:pPr>
            <w:r w:rsidRPr="00452E6C">
              <w:rPr>
                <w:sz w:val="18"/>
              </w:rPr>
              <w:t>0.047</w:t>
            </w:r>
          </w:p>
        </w:tc>
        <w:tc>
          <w:tcPr>
            <w:tcW w:w="1783" w:type="dxa"/>
            <w:shd w:val="clear" w:color="auto" w:fill="auto"/>
            <w:noWrap/>
            <w:vAlign w:val="bottom"/>
          </w:tcPr>
          <w:p w14:paraId="6645F9F4" w14:textId="77777777" w:rsidR="00040253" w:rsidRPr="00452E6C" w:rsidRDefault="00040253" w:rsidP="0050726A">
            <w:pPr>
              <w:suppressAutoHyphens w:val="0"/>
              <w:spacing w:before="40" w:after="40" w:line="220" w:lineRule="exact"/>
              <w:jc w:val="right"/>
              <w:rPr>
                <w:sz w:val="18"/>
              </w:rPr>
            </w:pPr>
            <w:r w:rsidRPr="00452E6C">
              <w:rPr>
                <w:sz w:val="18"/>
              </w:rPr>
              <w:t>0.152</w:t>
            </w:r>
          </w:p>
        </w:tc>
        <w:tc>
          <w:tcPr>
            <w:tcW w:w="1841" w:type="dxa"/>
            <w:shd w:val="clear" w:color="auto" w:fill="auto"/>
            <w:vAlign w:val="bottom"/>
          </w:tcPr>
          <w:p w14:paraId="2592E15B" w14:textId="77777777" w:rsidR="00040253" w:rsidRPr="00452E6C" w:rsidRDefault="00040253" w:rsidP="0050726A">
            <w:pPr>
              <w:suppressAutoHyphens w:val="0"/>
              <w:spacing w:before="40" w:after="40" w:line="220" w:lineRule="exact"/>
              <w:jc w:val="right"/>
              <w:rPr>
                <w:sz w:val="18"/>
              </w:rPr>
            </w:pPr>
          </w:p>
        </w:tc>
      </w:tr>
      <w:tr w:rsidR="00040253" w:rsidRPr="00452E6C" w14:paraId="50AC8F1E" w14:textId="77777777" w:rsidTr="0050726A">
        <w:tc>
          <w:tcPr>
            <w:tcW w:w="2262" w:type="dxa"/>
            <w:shd w:val="clear" w:color="auto" w:fill="auto"/>
            <w:noWrap/>
          </w:tcPr>
          <w:p w14:paraId="2DC92AB7" w14:textId="77777777" w:rsidR="00040253" w:rsidRPr="00452E6C" w:rsidRDefault="00040253" w:rsidP="0050726A">
            <w:pPr>
              <w:suppressAutoHyphens w:val="0"/>
              <w:spacing w:before="40" w:after="40" w:line="220" w:lineRule="exact"/>
              <w:rPr>
                <w:sz w:val="18"/>
              </w:rPr>
            </w:pPr>
            <w:r w:rsidRPr="00452E6C">
              <w:rPr>
                <w:sz w:val="18"/>
              </w:rPr>
              <w:t>Liechtenstein</w:t>
            </w:r>
          </w:p>
        </w:tc>
        <w:tc>
          <w:tcPr>
            <w:tcW w:w="1484" w:type="dxa"/>
            <w:shd w:val="clear" w:color="auto" w:fill="auto"/>
            <w:noWrap/>
            <w:vAlign w:val="bottom"/>
          </w:tcPr>
          <w:p w14:paraId="19788613" w14:textId="77777777" w:rsidR="00040253" w:rsidRPr="00452E6C" w:rsidRDefault="00040253" w:rsidP="0050726A">
            <w:pPr>
              <w:suppressAutoHyphens w:val="0"/>
              <w:spacing w:before="40" w:after="40" w:line="220" w:lineRule="exact"/>
              <w:jc w:val="right"/>
              <w:rPr>
                <w:sz w:val="18"/>
              </w:rPr>
            </w:pPr>
            <w:r w:rsidRPr="00452E6C">
              <w:rPr>
                <w:sz w:val="18"/>
              </w:rPr>
              <w:t>0.009</w:t>
            </w:r>
          </w:p>
        </w:tc>
        <w:tc>
          <w:tcPr>
            <w:tcW w:w="1783" w:type="dxa"/>
            <w:shd w:val="clear" w:color="auto" w:fill="auto"/>
            <w:noWrap/>
            <w:vAlign w:val="bottom"/>
          </w:tcPr>
          <w:p w14:paraId="3FBC4757" w14:textId="77777777" w:rsidR="00040253" w:rsidRPr="00452E6C" w:rsidRDefault="00040253" w:rsidP="0050726A">
            <w:pPr>
              <w:suppressAutoHyphens w:val="0"/>
              <w:spacing w:before="40" w:after="40" w:line="220" w:lineRule="exact"/>
              <w:jc w:val="right"/>
              <w:rPr>
                <w:sz w:val="18"/>
              </w:rPr>
            </w:pPr>
            <w:r w:rsidRPr="00452E6C">
              <w:rPr>
                <w:sz w:val="18"/>
              </w:rPr>
              <w:t>0.029</w:t>
            </w:r>
          </w:p>
        </w:tc>
        <w:tc>
          <w:tcPr>
            <w:tcW w:w="1841" w:type="dxa"/>
            <w:shd w:val="clear" w:color="auto" w:fill="auto"/>
            <w:vAlign w:val="bottom"/>
          </w:tcPr>
          <w:p w14:paraId="3509B68A" w14:textId="77777777" w:rsidR="00040253" w:rsidRPr="00452E6C" w:rsidRDefault="00040253" w:rsidP="0050726A">
            <w:pPr>
              <w:suppressAutoHyphens w:val="0"/>
              <w:spacing w:before="40" w:after="40" w:line="220" w:lineRule="exact"/>
              <w:jc w:val="right"/>
              <w:rPr>
                <w:sz w:val="18"/>
              </w:rPr>
            </w:pPr>
          </w:p>
        </w:tc>
      </w:tr>
      <w:tr w:rsidR="00040253" w:rsidRPr="00452E6C" w14:paraId="1D7FA1EF" w14:textId="77777777" w:rsidTr="0050726A">
        <w:tc>
          <w:tcPr>
            <w:tcW w:w="2262" w:type="dxa"/>
            <w:shd w:val="clear" w:color="auto" w:fill="auto"/>
            <w:noWrap/>
            <w:hideMark/>
          </w:tcPr>
          <w:p w14:paraId="06FB5A94" w14:textId="77777777" w:rsidR="00040253" w:rsidRPr="00452E6C" w:rsidRDefault="00040253" w:rsidP="0050726A">
            <w:pPr>
              <w:suppressAutoHyphens w:val="0"/>
              <w:spacing w:before="40" w:after="40" w:line="220" w:lineRule="exact"/>
              <w:rPr>
                <w:sz w:val="18"/>
              </w:rPr>
            </w:pPr>
            <w:r w:rsidRPr="00452E6C">
              <w:rPr>
                <w:sz w:val="18"/>
              </w:rPr>
              <w:t>Lithuania</w:t>
            </w:r>
          </w:p>
        </w:tc>
        <w:tc>
          <w:tcPr>
            <w:tcW w:w="1484" w:type="dxa"/>
            <w:shd w:val="clear" w:color="auto" w:fill="auto"/>
            <w:noWrap/>
            <w:vAlign w:val="bottom"/>
          </w:tcPr>
          <w:p w14:paraId="73CE89B9" w14:textId="77777777" w:rsidR="00040253" w:rsidRPr="00452E6C" w:rsidRDefault="00040253" w:rsidP="0050726A">
            <w:pPr>
              <w:suppressAutoHyphens w:val="0"/>
              <w:spacing w:before="40" w:after="40" w:line="220" w:lineRule="exact"/>
              <w:jc w:val="right"/>
              <w:rPr>
                <w:sz w:val="18"/>
              </w:rPr>
            </w:pPr>
            <w:r w:rsidRPr="00452E6C">
              <w:rPr>
                <w:sz w:val="18"/>
              </w:rPr>
              <w:t>0.071</w:t>
            </w:r>
          </w:p>
        </w:tc>
        <w:tc>
          <w:tcPr>
            <w:tcW w:w="1783" w:type="dxa"/>
            <w:shd w:val="clear" w:color="auto" w:fill="auto"/>
            <w:noWrap/>
            <w:vAlign w:val="bottom"/>
          </w:tcPr>
          <w:p w14:paraId="5586739E" w14:textId="77777777" w:rsidR="00040253" w:rsidRPr="00452E6C" w:rsidRDefault="00040253" w:rsidP="0050726A">
            <w:pPr>
              <w:suppressAutoHyphens w:val="0"/>
              <w:spacing w:before="40" w:after="40" w:line="220" w:lineRule="exact"/>
              <w:jc w:val="right"/>
              <w:rPr>
                <w:sz w:val="18"/>
              </w:rPr>
            </w:pPr>
            <w:r w:rsidRPr="00452E6C">
              <w:rPr>
                <w:sz w:val="18"/>
              </w:rPr>
              <w:t>0.230</w:t>
            </w:r>
          </w:p>
        </w:tc>
        <w:tc>
          <w:tcPr>
            <w:tcW w:w="1841" w:type="dxa"/>
            <w:shd w:val="clear" w:color="auto" w:fill="auto"/>
            <w:vAlign w:val="bottom"/>
          </w:tcPr>
          <w:p w14:paraId="220E6684" w14:textId="77777777" w:rsidR="00040253" w:rsidRPr="00452E6C" w:rsidRDefault="00040253" w:rsidP="0050726A">
            <w:pPr>
              <w:suppressAutoHyphens w:val="0"/>
              <w:spacing w:before="40" w:after="40" w:line="220" w:lineRule="exact"/>
              <w:jc w:val="right"/>
              <w:rPr>
                <w:sz w:val="18"/>
              </w:rPr>
            </w:pPr>
          </w:p>
        </w:tc>
      </w:tr>
      <w:tr w:rsidR="00040253" w:rsidRPr="00452E6C" w14:paraId="26BE6E40" w14:textId="77777777" w:rsidTr="0050726A">
        <w:tc>
          <w:tcPr>
            <w:tcW w:w="2262" w:type="dxa"/>
            <w:shd w:val="clear" w:color="auto" w:fill="auto"/>
            <w:noWrap/>
            <w:hideMark/>
          </w:tcPr>
          <w:p w14:paraId="44740858" w14:textId="77777777" w:rsidR="00040253" w:rsidRPr="00452E6C" w:rsidRDefault="00040253" w:rsidP="0050726A">
            <w:pPr>
              <w:suppressAutoHyphens w:val="0"/>
              <w:spacing w:before="40" w:after="40" w:line="220" w:lineRule="exact"/>
              <w:rPr>
                <w:sz w:val="18"/>
              </w:rPr>
            </w:pPr>
            <w:r w:rsidRPr="00452E6C">
              <w:rPr>
                <w:sz w:val="18"/>
              </w:rPr>
              <w:t>Luxembourg</w:t>
            </w:r>
          </w:p>
        </w:tc>
        <w:tc>
          <w:tcPr>
            <w:tcW w:w="1484" w:type="dxa"/>
            <w:shd w:val="clear" w:color="auto" w:fill="auto"/>
            <w:noWrap/>
            <w:vAlign w:val="bottom"/>
          </w:tcPr>
          <w:p w14:paraId="3270EC7D" w14:textId="77777777" w:rsidR="00040253" w:rsidRPr="00452E6C" w:rsidRDefault="00040253" w:rsidP="0050726A">
            <w:pPr>
              <w:suppressAutoHyphens w:val="0"/>
              <w:spacing w:before="40" w:after="40" w:line="220" w:lineRule="exact"/>
              <w:jc w:val="right"/>
              <w:rPr>
                <w:sz w:val="18"/>
              </w:rPr>
            </w:pPr>
            <w:r w:rsidRPr="00452E6C">
              <w:rPr>
                <w:sz w:val="18"/>
              </w:rPr>
              <w:t>0.067</w:t>
            </w:r>
          </w:p>
        </w:tc>
        <w:tc>
          <w:tcPr>
            <w:tcW w:w="1783" w:type="dxa"/>
            <w:shd w:val="clear" w:color="auto" w:fill="auto"/>
            <w:noWrap/>
            <w:vAlign w:val="bottom"/>
          </w:tcPr>
          <w:p w14:paraId="312D4D0E" w14:textId="77777777" w:rsidR="00040253" w:rsidRPr="00452E6C" w:rsidRDefault="00040253" w:rsidP="0050726A">
            <w:pPr>
              <w:suppressAutoHyphens w:val="0"/>
              <w:spacing w:before="40" w:after="40" w:line="220" w:lineRule="exact"/>
              <w:jc w:val="right"/>
              <w:rPr>
                <w:sz w:val="18"/>
              </w:rPr>
            </w:pPr>
            <w:r w:rsidRPr="00452E6C">
              <w:rPr>
                <w:sz w:val="18"/>
              </w:rPr>
              <w:t>0.217</w:t>
            </w:r>
          </w:p>
        </w:tc>
        <w:tc>
          <w:tcPr>
            <w:tcW w:w="1841" w:type="dxa"/>
            <w:shd w:val="clear" w:color="auto" w:fill="auto"/>
            <w:vAlign w:val="bottom"/>
          </w:tcPr>
          <w:p w14:paraId="31F1DD2A" w14:textId="77777777" w:rsidR="00040253" w:rsidRPr="00452E6C" w:rsidRDefault="00040253" w:rsidP="0050726A">
            <w:pPr>
              <w:suppressAutoHyphens w:val="0"/>
              <w:spacing w:before="40" w:after="40" w:line="220" w:lineRule="exact"/>
              <w:jc w:val="right"/>
              <w:rPr>
                <w:sz w:val="18"/>
              </w:rPr>
            </w:pPr>
          </w:p>
        </w:tc>
      </w:tr>
      <w:tr w:rsidR="00040253" w:rsidRPr="00452E6C" w14:paraId="41932DDA" w14:textId="77777777" w:rsidTr="0050726A">
        <w:tc>
          <w:tcPr>
            <w:tcW w:w="2262" w:type="dxa"/>
            <w:shd w:val="clear" w:color="auto" w:fill="auto"/>
            <w:noWrap/>
            <w:hideMark/>
          </w:tcPr>
          <w:p w14:paraId="7298467E" w14:textId="77777777" w:rsidR="00040253" w:rsidRPr="00452E6C" w:rsidRDefault="00040253" w:rsidP="0050726A">
            <w:pPr>
              <w:suppressAutoHyphens w:val="0"/>
              <w:spacing w:before="40" w:after="40" w:line="220" w:lineRule="exact"/>
              <w:rPr>
                <w:sz w:val="18"/>
              </w:rPr>
            </w:pPr>
            <w:r w:rsidRPr="00452E6C">
              <w:rPr>
                <w:sz w:val="18"/>
              </w:rPr>
              <w:t>Malta</w:t>
            </w:r>
          </w:p>
        </w:tc>
        <w:tc>
          <w:tcPr>
            <w:tcW w:w="1484" w:type="dxa"/>
            <w:shd w:val="clear" w:color="auto" w:fill="auto"/>
            <w:noWrap/>
            <w:vAlign w:val="bottom"/>
          </w:tcPr>
          <w:p w14:paraId="56D54748" w14:textId="77777777" w:rsidR="00040253" w:rsidRPr="00452E6C" w:rsidRDefault="00040253" w:rsidP="0050726A">
            <w:pPr>
              <w:suppressAutoHyphens w:val="0"/>
              <w:spacing w:before="40" w:after="40" w:line="220" w:lineRule="exact"/>
              <w:jc w:val="right"/>
              <w:rPr>
                <w:sz w:val="18"/>
              </w:rPr>
            </w:pPr>
            <w:r w:rsidRPr="00452E6C">
              <w:rPr>
                <w:sz w:val="18"/>
              </w:rPr>
              <w:t>0.017</w:t>
            </w:r>
          </w:p>
        </w:tc>
        <w:tc>
          <w:tcPr>
            <w:tcW w:w="1783" w:type="dxa"/>
            <w:shd w:val="clear" w:color="auto" w:fill="auto"/>
            <w:noWrap/>
            <w:vAlign w:val="bottom"/>
          </w:tcPr>
          <w:p w14:paraId="4F1C8A91" w14:textId="77777777" w:rsidR="00040253" w:rsidRPr="00452E6C" w:rsidRDefault="00040253" w:rsidP="0050726A">
            <w:pPr>
              <w:suppressAutoHyphens w:val="0"/>
              <w:spacing w:before="40" w:after="40" w:line="220" w:lineRule="exact"/>
              <w:jc w:val="right"/>
              <w:rPr>
                <w:sz w:val="18"/>
              </w:rPr>
            </w:pPr>
            <w:r w:rsidRPr="00452E6C">
              <w:rPr>
                <w:sz w:val="18"/>
              </w:rPr>
              <w:t>0.055</w:t>
            </w:r>
          </w:p>
        </w:tc>
        <w:tc>
          <w:tcPr>
            <w:tcW w:w="1841" w:type="dxa"/>
            <w:shd w:val="clear" w:color="auto" w:fill="auto"/>
            <w:vAlign w:val="bottom"/>
          </w:tcPr>
          <w:p w14:paraId="14FCCEB8" w14:textId="77777777" w:rsidR="00040253" w:rsidRPr="00452E6C" w:rsidRDefault="00040253" w:rsidP="0050726A">
            <w:pPr>
              <w:suppressAutoHyphens w:val="0"/>
              <w:spacing w:before="40" w:after="40" w:line="220" w:lineRule="exact"/>
              <w:jc w:val="right"/>
              <w:rPr>
                <w:sz w:val="18"/>
              </w:rPr>
            </w:pPr>
          </w:p>
        </w:tc>
      </w:tr>
      <w:tr w:rsidR="00040253" w:rsidRPr="00452E6C" w14:paraId="5A944CC4" w14:textId="77777777" w:rsidTr="0050726A">
        <w:tc>
          <w:tcPr>
            <w:tcW w:w="2262" w:type="dxa"/>
            <w:shd w:val="clear" w:color="auto" w:fill="auto"/>
            <w:noWrap/>
          </w:tcPr>
          <w:p w14:paraId="4652E933" w14:textId="77777777" w:rsidR="00040253" w:rsidRPr="00452E6C" w:rsidRDefault="00040253" w:rsidP="0050726A">
            <w:pPr>
              <w:suppressAutoHyphens w:val="0"/>
              <w:spacing w:before="40" w:after="40" w:line="220" w:lineRule="exact"/>
              <w:rPr>
                <w:sz w:val="18"/>
              </w:rPr>
            </w:pPr>
            <w:r w:rsidRPr="00452E6C">
              <w:rPr>
                <w:sz w:val="18"/>
              </w:rPr>
              <w:t>Monaco</w:t>
            </w:r>
          </w:p>
        </w:tc>
        <w:tc>
          <w:tcPr>
            <w:tcW w:w="1484" w:type="dxa"/>
            <w:shd w:val="clear" w:color="auto" w:fill="auto"/>
            <w:noWrap/>
            <w:vAlign w:val="bottom"/>
          </w:tcPr>
          <w:p w14:paraId="75C91DAB" w14:textId="77777777" w:rsidR="00040253" w:rsidRPr="00452E6C" w:rsidRDefault="00040253" w:rsidP="0050726A">
            <w:pPr>
              <w:suppressAutoHyphens w:val="0"/>
              <w:spacing w:before="40" w:after="40" w:line="220" w:lineRule="exact"/>
              <w:jc w:val="right"/>
              <w:rPr>
                <w:sz w:val="18"/>
              </w:rPr>
            </w:pPr>
            <w:r w:rsidRPr="00452E6C">
              <w:rPr>
                <w:sz w:val="18"/>
              </w:rPr>
              <w:t>0.011</w:t>
            </w:r>
          </w:p>
        </w:tc>
        <w:tc>
          <w:tcPr>
            <w:tcW w:w="1783" w:type="dxa"/>
            <w:shd w:val="clear" w:color="auto" w:fill="auto"/>
            <w:noWrap/>
            <w:vAlign w:val="bottom"/>
          </w:tcPr>
          <w:p w14:paraId="3F8428A6" w14:textId="77777777" w:rsidR="00040253" w:rsidRPr="00452E6C" w:rsidRDefault="00040253" w:rsidP="0050726A">
            <w:pPr>
              <w:suppressAutoHyphens w:val="0"/>
              <w:spacing w:before="40" w:after="40" w:line="220" w:lineRule="exact"/>
              <w:jc w:val="right"/>
              <w:rPr>
                <w:sz w:val="18"/>
              </w:rPr>
            </w:pPr>
            <w:r w:rsidRPr="00452E6C">
              <w:rPr>
                <w:sz w:val="18"/>
              </w:rPr>
              <w:t>0.036</w:t>
            </w:r>
          </w:p>
        </w:tc>
        <w:tc>
          <w:tcPr>
            <w:tcW w:w="1841" w:type="dxa"/>
            <w:shd w:val="clear" w:color="auto" w:fill="auto"/>
            <w:vAlign w:val="bottom"/>
          </w:tcPr>
          <w:p w14:paraId="4C184823" w14:textId="77777777" w:rsidR="00040253" w:rsidRPr="00452E6C" w:rsidRDefault="00040253" w:rsidP="0050726A">
            <w:pPr>
              <w:suppressAutoHyphens w:val="0"/>
              <w:spacing w:before="40" w:after="40" w:line="220" w:lineRule="exact"/>
              <w:jc w:val="right"/>
              <w:rPr>
                <w:sz w:val="18"/>
              </w:rPr>
            </w:pPr>
          </w:p>
        </w:tc>
      </w:tr>
      <w:tr w:rsidR="00040253" w:rsidRPr="00452E6C" w14:paraId="1FA49A38" w14:textId="77777777" w:rsidTr="0050726A">
        <w:tc>
          <w:tcPr>
            <w:tcW w:w="2262" w:type="dxa"/>
            <w:shd w:val="clear" w:color="auto" w:fill="auto"/>
            <w:noWrap/>
            <w:hideMark/>
          </w:tcPr>
          <w:p w14:paraId="0651E42E" w14:textId="77777777" w:rsidR="00040253" w:rsidRPr="00452E6C" w:rsidRDefault="00040253" w:rsidP="0050726A">
            <w:pPr>
              <w:suppressAutoHyphens w:val="0"/>
              <w:spacing w:before="40" w:after="40" w:line="220" w:lineRule="exact"/>
              <w:rPr>
                <w:sz w:val="18"/>
              </w:rPr>
            </w:pPr>
            <w:r w:rsidRPr="00452E6C">
              <w:rPr>
                <w:sz w:val="18"/>
              </w:rPr>
              <w:t>Montenegro</w:t>
            </w:r>
          </w:p>
        </w:tc>
        <w:tc>
          <w:tcPr>
            <w:tcW w:w="1484" w:type="dxa"/>
            <w:shd w:val="clear" w:color="auto" w:fill="auto"/>
            <w:noWrap/>
            <w:vAlign w:val="bottom"/>
          </w:tcPr>
          <w:p w14:paraId="0EAB7E8C" w14:textId="77777777" w:rsidR="00040253" w:rsidRPr="00452E6C" w:rsidRDefault="00040253" w:rsidP="0050726A">
            <w:pPr>
              <w:suppressAutoHyphens w:val="0"/>
              <w:spacing w:before="40" w:after="40" w:line="220" w:lineRule="exact"/>
              <w:jc w:val="right"/>
              <w:rPr>
                <w:sz w:val="18"/>
              </w:rPr>
            </w:pPr>
            <w:r w:rsidRPr="00452E6C">
              <w:rPr>
                <w:sz w:val="18"/>
              </w:rPr>
              <w:t>0.004</w:t>
            </w:r>
          </w:p>
        </w:tc>
        <w:tc>
          <w:tcPr>
            <w:tcW w:w="1783" w:type="dxa"/>
            <w:shd w:val="clear" w:color="auto" w:fill="auto"/>
            <w:noWrap/>
            <w:vAlign w:val="bottom"/>
          </w:tcPr>
          <w:p w14:paraId="64227F6C" w14:textId="77777777" w:rsidR="00040253" w:rsidRPr="00452E6C" w:rsidRDefault="00040253" w:rsidP="0050726A">
            <w:pPr>
              <w:suppressAutoHyphens w:val="0"/>
              <w:spacing w:before="40" w:after="40" w:line="220" w:lineRule="exact"/>
              <w:jc w:val="right"/>
              <w:rPr>
                <w:sz w:val="18"/>
              </w:rPr>
            </w:pPr>
            <w:r w:rsidRPr="00452E6C">
              <w:rPr>
                <w:sz w:val="18"/>
              </w:rPr>
              <w:t>0.013</w:t>
            </w:r>
          </w:p>
        </w:tc>
        <w:tc>
          <w:tcPr>
            <w:tcW w:w="1841" w:type="dxa"/>
            <w:shd w:val="clear" w:color="auto" w:fill="auto"/>
            <w:vAlign w:val="bottom"/>
          </w:tcPr>
          <w:p w14:paraId="1A7F45C7" w14:textId="77777777" w:rsidR="00040253" w:rsidRPr="00452E6C" w:rsidRDefault="00040253" w:rsidP="0050726A">
            <w:pPr>
              <w:suppressAutoHyphens w:val="0"/>
              <w:spacing w:before="40" w:after="40" w:line="220" w:lineRule="exact"/>
              <w:jc w:val="right"/>
              <w:rPr>
                <w:sz w:val="18"/>
              </w:rPr>
            </w:pPr>
          </w:p>
        </w:tc>
      </w:tr>
      <w:tr w:rsidR="00040253" w:rsidRPr="00452E6C" w14:paraId="08BA3B15" w14:textId="77777777" w:rsidTr="0050726A">
        <w:tc>
          <w:tcPr>
            <w:tcW w:w="2262" w:type="dxa"/>
            <w:shd w:val="clear" w:color="auto" w:fill="auto"/>
            <w:noWrap/>
            <w:hideMark/>
          </w:tcPr>
          <w:p w14:paraId="08BD0F4B" w14:textId="77777777" w:rsidR="00040253" w:rsidRPr="00452E6C" w:rsidRDefault="00040253" w:rsidP="0050726A">
            <w:pPr>
              <w:suppressAutoHyphens w:val="0"/>
              <w:spacing w:before="40" w:after="40" w:line="220" w:lineRule="exact"/>
              <w:rPr>
                <w:sz w:val="18"/>
              </w:rPr>
            </w:pPr>
            <w:r w:rsidRPr="00452E6C">
              <w:rPr>
                <w:sz w:val="18"/>
              </w:rPr>
              <w:t>Netherlands</w:t>
            </w:r>
          </w:p>
        </w:tc>
        <w:tc>
          <w:tcPr>
            <w:tcW w:w="1484" w:type="dxa"/>
            <w:shd w:val="clear" w:color="auto" w:fill="auto"/>
            <w:noWrap/>
            <w:vAlign w:val="bottom"/>
          </w:tcPr>
          <w:p w14:paraId="58006585" w14:textId="77777777" w:rsidR="00040253" w:rsidRPr="00452E6C" w:rsidRDefault="00040253" w:rsidP="0050726A">
            <w:pPr>
              <w:suppressAutoHyphens w:val="0"/>
              <w:spacing w:before="40" w:after="40" w:line="220" w:lineRule="exact"/>
              <w:jc w:val="right"/>
              <w:rPr>
                <w:sz w:val="18"/>
              </w:rPr>
            </w:pPr>
            <w:r w:rsidRPr="00452E6C">
              <w:rPr>
                <w:sz w:val="18"/>
              </w:rPr>
              <w:t>1.356</w:t>
            </w:r>
          </w:p>
        </w:tc>
        <w:tc>
          <w:tcPr>
            <w:tcW w:w="1783" w:type="dxa"/>
            <w:shd w:val="clear" w:color="auto" w:fill="auto"/>
            <w:noWrap/>
            <w:vAlign w:val="bottom"/>
          </w:tcPr>
          <w:p w14:paraId="22437EC7" w14:textId="77777777" w:rsidR="00040253" w:rsidRPr="00452E6C" w:rsidRDefault="00040253" w:rsidP="0050726A">
            <w:pPr>
              <w:suppressAutoHyphens w:val="0"/>
              <w:spacing w:before="40" w:after="40" w:line="220" w:lineRule="exact"/>
              <w:jc w:val="right"/>
              <w:rPr>
                <w:sz w:val="18"/>
              </w:rPr>
            </w:pPr>
            <w:r w:rsidRPr="00452E6C">
              <w:rPr>
                <w:sz w:val="18"/>
              </w:rPr>
              <w:t>4.388</w:t>
            </w:r>
          </w:p>
        </w:tc>
        <w:tc>
          <w:tcPr>
            <w:tcW w:w="1841" w:type="dxa"/>
            <w:shd w:val="clear" w:color="auto" w:fill="auto"/>
            <w:vAlign w:val="bottom"/>
          </w:tcPr>
          <w:p w14:paraId="12635B82" w14:textId="77777777" w:rsidR="00040253" w:rsidRPr="00452E6C" w:rsidRDefault="00040253" w:rsidP="0050726A">
            <w:pPr>
              <w:suppressAutoHyphens w:val="0"/>
              <w:spacing w:before="40" w:after="40" w:line="220" w:lineRule="exact"/>
              <w:jc w:val="right"/>
              <w:rPr>
                <w:sz w:val="18"/>
              </w:rPr>
            </w:pPr>
          </w:p>
        </w:tc>
      </w:tr>
      <w:tr w:rsidR="00040253" w:rsidRPr="00452E6C" w14:paraId="5200F2B3" w14:textId="77777777" w:rsidTr="0050726A">
        <w:tc>
          <w:tcPr>
            <w:tcW w:w="2262" w:type="dxa"/>
            <w:shd w:val="clear" w:color="auto" w:fill="auto"/>
            <w:noWrap/>
          </w:tcPr>
          <w:p w14:paraId="6B795896" w14:textId="77777777" w:rsidR="00040253" w:rsidRPr="00452E6C" w:rsidRDefault="00040253" w:rsidP="0050726A">
            <w:pPr>
              <w:suppressAutoHyphens w:val="0"/>
              <w:spacing w:before="40" w:after="40" w:line="220" w:lineRule="exact"/>
              <w:rPr>
                <w:sz w:val="18"/>
              </w:rPr>
            </w:pPr>
            <w:r w:rsidRPr="00452E6C">
              <w:rPr>
                <w:sz w:val="18"/>
              </w:rPr>
              <w:t>North Macedonia</w:t>
            </w:r>
          </w:p>
        </w:tc>
        <w:tc>
          <w:tcPr>
            <w:tcW w:w="1484" w:type="dxa"/>
            <w:shd w:val="clear" w:color="auto" w:fill="auto"/>
            <w:noWrap/>
            <w:vAlign w:val="bottom"/>
          </w:tcPr>
          <w:p w14:paraId="29486908" w14:textId="77777777" w:rsidR="00040253" w:rsidRPr="00452E6C" w:rsidRDefault="00040253" w:rsidP="0050726A">
            <w:pPr>
              <w:suppressAutoHyphens w:val="0"/>
              <w:spacing w:before="40" w:after="40" w:line="220" w:lineRule="exact"/>
              <w:jc w:val="right"/>
              <w:rPr>
                <w:sz w:val="18"/>
              </w:rPr>
            </w:pPr>
            <w:r w:rsidRPr="00452E6C">
              <w:rPr>
                <w:sz w:val="18"/>
              </w:rPr>
              <w:t>0.007</w:t>
            </w:r>
          </w:p>
        </w:tc>
        <w:tc>
          <w:tcPr>
            <w:tcW w:w="1783" w:type="dxa"/>
            <w:shd w:val="clear" w:color="auto" w:fill="auto"/>
            <w:noWrap/>
            <w:vAlign w:val="bottom"/>
          </w:tcPr>
          <w:p w14:paraId="59F2192B" w14:textId="77777777" w:rsidR="00040253" w:rsidRPr="00452E6C" w:rsidRDefault="00040253" w:rsidP="0050726A">
            <w:pPr>
              <w:suppressAutoHyphens w:val="0"/>
              <w:spacing w:before="40" w:after="40" w:line="220" w:lineRule="exact"/>
              <w:jc w:val="right"/>
              <w:rPr>
                <w:sz w:val="18"/>
              </w:rPr>
            </w:pPr>
            <w:r w:rsidRPr="00452E6C">
              <w:rPr>
                <w:sz w:val="18"/>
              </w:rPr>
              <w:t>0.023</w:t>
            </w:r>
          </w:p>
        </w:tc>
        <w:tc>
          <w:tcPr>
            <w:tcW w:w="1841" w:type="dxa"/>
            <w:shd w:val="clear" w:color="auto" w:fill="auto"/>
            <w:vAlign w:val="bottom"/>
          </w:tcPr>
          <w:p w14:paraId="37BC687A" w14:textId="77777777" w:rsidR="00040253" w:rsidRPr="00452E6C" w:rsidRDefault="00040253" w:rsidP="0050726A">
            <w:pPr>
              <w:suppressAutoHyphens w:val="0"/>
              <w:spacing w:before="40" w:after="40" w:line="220" w:lineRule="exact"/>
              <w:jc w:val="right"/>
              <w:rPr>
                <w:sz w:val="18"/>
              </w:rPr>
            </w:pPr>
          </w:p>
        </w:tc>
      </w:tr>
      <w:tr w:rsidR="00040253" w:rsidRPr="00452E6C" w14:paraId="4292BB4A" w14:textId="77777777" w:rsidTr="0050726A">
        <w:tc>
          <w:tcPr>
            <w:tcW w:w="2262" w:type="dxa"/>
            <w:shd w:val="clear" w:color="auto" w:fill="auto"/>
            <w:noWrap/>
            <w:hideMark/>
          </w:tcPr>
          <w:p w14:paraId="096BA9D4" w14:textId="77777777" w:rsidR="00040253" w:rsidRPr="00452E6C" w:rsidRDefault="00040253" w:rsidP="0050726A">
            <w:pPr>
              <w:suppressAutoHyphens w:val="0"/>
              <w:spacing w:before="40" w:after="40" w:line="220" w:lineRule="exact"/>
              <w:rPr>
                <w:sz w:val="18"/>
              </w:rPr>
            </w:pPr>
            <w:r w:rsidRPr="00452E6C">
              <w:rPr>
                <w:sz w:val="18"/>
              </w:rPr>
              <w:t>Norway</w:t>
            </w:r>
          </w:p>
        </w:tc>
        <w:tc>
          <w:tcPr>
            <w:tcW w:w="1484" w:type="dxa"/>
            <w:shd w:val="clear" w:color="auto" w:fill="auto"/>
            <w:noWrap/>
            <w:vAlign w:val="bottom"/>
          </w:tcPr>
          <w:p w14:paraId="025ED39B" w14:textId="77777777" w:rsidR="00040253" w:rsidRPr="00452E6C" w:rsidRDefault="00040253" w:rsidP="0050726A">
            <w:pPr>
              <w:suppressAutoHyphens w:val="0"/>
              <w:spacing w:before="40" w:after="40" w:line="220" w:lineRule="exact"/>
              <w:jc w:val="right"/>
              <w:rPr>
                <w:sz w:val="18"/>
              </w:rPr>
            </w:pPr>
            <w:r w:rsidRPr="00452E6C">
              <w:rPr>
                <w:sz w:val="18"/>
              </w:rPr>
              <w:t>0.754</w:t>
            </w:r>
          </w:p>
        </w:tc>
        <w:tc>
          <w:tcPr>
            <w:tcW w:w="1783" w:type="dxa"/>
            <w:shd w:val="clear" w:color="auto" w:fill="auto"/>
            <w:noWrap/>
            <w:vAlign w:val="bottom"/>
          </w:tcPr>
          <w:p w14:paraId="0AE88D85" w14:textId="77777777" w:rsidR="00040253" w:rsidRPr="00452E6C" w:rsidRDefault="00040253" w:rsidP="0050726A">
            <w:pPr>
              <w:suppressAutoHyphens w:val="0"/>
              <w:spacing w:before="40" w:after="40" w:line="220" w:lineRule="exact"/>
              <w:jc w:val="right"/>
              <w:rPr>
                <w:sz w:val="18"/>
              </w:rPr>
            </w:pPr>
            <w:r w:rsidRPr="00452E6C">
              <w:rPr>
                <w:sz w:val="18"/>
              </w:rPr>
              <w:t>2.440</w:t>
            </w:r>
          </w:p>
        </w:tc>
        <w:tc>
          <w:tcPr>
            <w:tcW w:w="1841" w:type="dxa"/>
            <w:shd w:val="clear" w:color="auto" w:fill="auto"/>
            <w:vAlign w:val="bottom"/>
          </w:tcPr>
          <w:p w14:paraId="1689E13E" w14:textId="77777777" w:rsidR="00040253" w:rsidRPr="00452E6C" w:rsidRDefault="00040253" w:rsidP="0050726A">
            <w:pPr>
              <w:suppressAutoHyphens w:val="0"/>
              <w:spacing w:before="40" w:after="40" w:line="220" w:lineRule="exact"/>
              <w:jc w:val="right"/>
              <w:rPr>
                <w:sz w:val="18"/>
              </w:rPr>
            </w:pPr>
          </w:p>
        </w:tc>
      </w:tr>
      <w:tr w:rsidR="00040253" w:rsidRPr="00452E6C" w14:paraId="758D9A49" w14:textId="77777777" w:rsidTr="0050726A">
        <w:tc>
          <w:tcPr>
            <w:tcW w:w="2262" w:type="dxa"/>
            <w:shd w:val="clear" w:color="auto" w:fill="auto"/>
            <w:noWrap/>
            <w:hideMark/>
          </w:tcPr>
          <w:p w14:paraId="1227E42F" w14:textId="77777777" w:rsidR="00040253" w:rsidRPr="00452E6C" w:rsidRDefault="00040253" w:rsidP="0050726A">
            <w:pPr>
              <w:suppressAutoHyphens w:val="0"/>
              <w:spacing w:before="40" w:after="40" w:line="220" w:lineRule="exact"/>
              <w:rPr>
                <w:sz w:val="18"/>
              </w:rPr>
            </w:pPr>
            <w:r w:rsidRPr="00452E6C">
              <w:rPr>
                <w:sz w:val="18"/>
              </w:rPr>
              <w:t>Poland</w:t>
            </w:r>
          </w:p>
        </w:tc>
        <w:tc>
          <w:tcPr>
            <w:tcW w:w="1484" w:type="dxa"/>
            <w:shd w:val="clear" w:color="auto" w:fill="auto"/>
            <w:noWrap/>
            <w:vAlign w:val="bottom"/>
          </w:tcPr>
          <w:p w14:paraId="1F699639" w14:textId="77777777" w:rsidR="00040253" w:rsidRPr="00452E6C" w:rsidRDefault="00040253" w:rsidP="0050726A">
            <w:pPr>
              <w:suppressAutoHyphens w:val="0"/>
              <w:spacing w:before="40" w:after="40" w:line="220" w:lineRule="exact"/>
              <w:jc w:val="right"/>
              <w:rPr>
                <w:sz w:val="18"/>
              </w:rPr>
            </w:pPr>
            <w:r w:rsidRPr="00452E6C">
              <w:rPr>
                <w:sz w:val="18"/>
              </w:rPr>
              <w:t>0.802</w:t>
            </w:r>
          </w:p>
        </w:tc>
        <w:tc>
          <w:tcPr>
            <w:tcW w:w="1783" w:type="dxa"/>
            <w:shd w:val="clear" w:color="auto" w:fill="auto"/>
            <w:noWrap/>
            <w:vAlign w:val="bottom"/>
          </w:tcPr>
          <w:p w14:paraId="30B4D68F" w14:textId="77777777" w:rsidR="00040253" w:rsidRPr="00452E6C" w:rsidRDefault="00040253" w:rsidP="0050726A">
            <w:pPr>
              <w:suppressAutoHyphens w:val="0"/>
              <w:spacing w:before="40" w:after="40" w:line="220" w:lineRule="exact"/>
              <w:jc w:val="right"/>
              <w:rPr>
                <w:sz w:val="18"/>
              </w:rPr>
            </w:pPr>
            <w:r w:rsidRPr="00452E6C">
              <w:rPr>
                <w:sz w:val="18"/>
              </w:rPr>
              <w:t>2.595</w:t>
            </w:r>
          </w:p>
        </w:tc>
        <w:tc>
          <w:tcPr>
            <w:tcW w:w="1841" w:type="dxa"/>
            <w:shd w:val="clear" w:color="auto" w:fill="auto"/>
            <w:vAlign w:val="bottom"/>
          </w:tcPr>
          <w:p w14:paraId="2497FB3A" w14:textId="77777777" w:rsidR="00040253" w:rsidRPr="00452E6C" w:rsidRDefault="00040253" w:rsidP="0050726A">
            <w:pPr>
              <w:suppressAutoHyphens w:val="0"/>
              <w:spacing w:before="40" w:after="40" w:line="220" w:lineRule="exact"/>
              <w:jc w:val="right"/>
              <w:rPr>
                <w:sz w:val="18"/>
              </w:rPr>
            </w:pPr>
          </w:p>
        </w:tc>
      </w:tr>
      <w:tr w:rsidR="00040253" w:rsidRPr="00452E6C" w14:paraId="72E3E331" w14:textId="77777777" w:rsidTr="0050726A">
        <w:tc>
          <w:tcPr>
            <w:tcW w:w="2262" w:type="dxa"/>
            <w:shd w:val="clear" w:color="auto" w:fill="auto"/>
            <w:noWrap/>
            <w:hideMark/>
          </w:tcPr>
          <w:p w14:paraId="5464E7E4" w14:textId="77777777" w:rsidR="00040253" w:rsidRPr="00452E6C" w:rsidRDefault="00040253" w:rsidP="0050726A">
            <w:pPr>
              <w:suppressAutoHyphens w:val="0"/>
              <w:spacing w:before="40" w:after="40" w:line="220" w:lineRule="exact"/>
              <w:rPr>
                <w:sz w:val="18"/>
              </w:rPr>
            </w:pPr>
            <w:r w:rsidRPr="00452E6C">
              <w:rPr>
                <w:sz w:val="18"/>
              </w:rPr>
              <w:t>Portugal</w:t>
            </w:r>
          </w:p>
        </w:tc>
        <w:tc>
          <w:tcPr>
            <w:tcW w:w="1484" w:type="dxa"/>
            <w:shd w:val="clear" w:color="auto" w:fill="auto"/>
            <w:noWrap/>
            <w:vAlign w:val="bottom"/>
          </w:tcPr>
          <w:p w14:paraId="3E20FBF5" w14:textId="77777777" w:rsidR="00040253" w:rsidRPr="00452E6C" w:rsidRDefault="00040253" w:rsidP="0050726A">
            <w:pPr>
              <w:suppressAutoHyphens w:val="0"/>
              <w:spacing w:before="40" w:after="40" w:line="220" w:lineRule="exact"/>
              <w:jc w:val="right"/>
              <w:rPr>
                <w:sz w:val="18"/>
              </w:rPr>
            </w:pPr>
            <w:r w:rsidRPr="00452E6C">
              <w:rPr>
                <w:sz w:val="18"/>
              </w:rPr>
              <w:t>0.350</w:t>
            </w:r>
          </w:p>
        </w:tc>
        <w:tc>
          <w:tcPr>
            <w:tcW w:w="1783" w:type="dxa"/>
            <w:shd w:val="clear" w:color="auto" w:fill="auto"/>
            <w:noWrap/>
            <w:vAlign w:val="bottom"/>
          </w:tcPr>
          <w:p w14:paraId="126EAF96" w14:textId="77777777" w:rsidR="00040253" w:rsidRPr="00452E6C" w:rsidRDefault="00040253" w:rsidP="0050726A">
            <w:pPr>
              <w:suppressAutoHyphens w:val="0"/>
              <w:spacing w:before="40" w:after="40" w:line="220" w:lineRule="exact"/>
              <w:jc w:val="right"/>
              <w:rPr>
                <w:sz w:val="18"/>
              </w:rPr>
            </w:pPr>
            <w:r w:rsidRPr="00452E6C">
              <w:rPr>
                <w:sz w:val="18"/>
              </w:rPr>
              <w:t>1.133</w:t>
            </w:r>
          </w:p>
        </w:tc>
        <w:tc>
          <w:tcPr>
            <w:tcW w:w="1841" w:type="dxa"/>
            <w:shd w:val="clear" w:color="auto" w:fill="auto"/>
            <w:vAlign w:val="bottom"/>
          </w:tcPr>
          <w:p w14:paraId="3B52CF34" w14:textId="77777777" w:rsidR="00040253" w:rsidRPr="00452E6C" w:rsidRDefault="00040253" w:rsidP="0050726A">
            <w:pPr>
              <w:suppressAutoHyphens w:val="0"/>
              <w:spacing w:before="40" w:after="40" w:line="220" w:lineRule="exact"/>
              <w:jc w:val="right"/>
              <w:rPr>
                <w:sz w:val="18"/>
              </w:rPr>
            </w:pPr>
          </w:p>
        </w:tc>
      </w:tr>
      <w:tr w:rsidR="00040253" w:rsidRPr="00452E6C" w14:paraId="713C4E03" w14:textId="77777777" w:rsidTr="0050726A">
        <w:tc>
          <w:tcPr>
            <w:tcW w:w="2262" w:type="dxa"/>
            <w:shd w:val="clear" w:color="auto" w:fill="auto"/>
            <w:noWrap/>
            <w:hideMark/>
          </w:tcPr>
          <w:p w14:paraId="2B8FBED2" w14:textId="77777777" w:rsidR="00040253" w:rsidRPr="00452E6C" w:rsidRDefault="00040253" w:rsidP="0050726A">
            <w:pPr>
              <w:suppressAutoHyphens w:val="0"/>
              <w:spacing w:before="40" w:after="40" w:line="220" w:lineRule="exact"/>
              <w:rPr>
                <w:sz w:val="18"/>
              </w:rPr>
            </w:pPr>
            <w:r w:rsidRPr="00452E6C">
              <w:rPr>
                <w:sz w:val="18"/>
              </w:rPr>
              <w:t>Republic of Moldova</w:t>
            </w:r>
          </w:p>
        </w:tc>
        <w:tc>
          <w:tcPr>
            <w:tcW w:w="1484" w:type="dxa"/>
            <w:shd w:val="clear" w:color="auto" w:fill="auto"/>
            <w:noWrap/>
            <w:vAlign w:val="bottom"/>
          </w:tcPr>
          <w:p w14:paraId="4498470B" w14:textId="77777777" w:rsidR="00040253" w:rsidRPr="00452E6C" w:rsidRDefault="00040253" w:rsidP="0050726A">
            <w:pPr>
              <w:suppressAutoHyphens w:val="0"/>
              <w:spacing w:before="40" w:after="40" w:line="220" w:lineRule="exact"/>
              <w:jc w:val="right"/>
              <w:rPr>
                <w:sz w:val="18"/>
              </w:rPr>
            </w:pPr>
            <w:r w:rsidRPr="00452E6C">
              <w:rPr>
                <w:sz w:val="18"/>
              </w:rPr>
              <w:t>0.003</w:t>
            </w:r>
          </w:p>
        </w:tc>
        <w:tc>
          <w:tcPr>
            <w:tcW w:w="1783" w:type="dxa"/>
            <w:shd w:val="clear" w:color="auto" w:fill="auto"/>
            <w:noWrap/>
            <w:vAlign w:val="bottom"/>
          </w:tcPr>
          <w:p w14:paraId="20EA5926" w14:textId="77777777" w:rsidR="00040253" w:rsidRPr="00452E6C" w:rsidRDefault="00040253" w:rsidP="0050726A">
            <w:pPr>
              <w:suppressAutoHyphens w:val="0"/>
              <w:spacing w:before="40" w:after="40" w:line="220" w:lineRule="exact"/>
              <w:jc w:val="right"/>
              <w:rPr>
                <w:sz w:val="18"/>
              </w:rPr>
            </w:pPr>
            <w:r w:rsidRPr="00452E6C">
              <w:rPr>
                <w:sz w:val="18"/>
              </w:rPr>
              <w:t>0.010</w:t>
            </w:r>
          </w:p>
        </w:tc>
        <w:tc>
          <w:tcPr>
            <w:tcW w:w="1841" w:type="dxa"/>
            <w:shd w:val="clear" w:color="auto" w:fill="auto"/>
            <w:vAlign w:val="bottom"/>
          </w:tcPr>
          <w:p w14:paraId="596ACCB6" w14:textId="77777777" w:rsidR="00040253" w:rsidRPr="00452E6C" w:rsidRDefault="00040253" w:rsidP="0050726A">
            <w:pPr>
              <w:suppressAutoHyphens w:val="0"/>
              <w:spacing w:before="40" w:after="40" w:line="220" w:lineRule="exact"/>
              <w:jc w:val="right"/>
              <w:rPr>
                <w:sz w:val="18"/>
              </w:rPr>
            </w:pPr>
          </w:p>
        </w:tc>
      </w:tr>
      <w:tr w:rsidR="00040253" w:rsidRPr="00452E6C" w14:paraId="0F3EAF7B" w14:textId="77777777" w:rsidTr="0050726A">
        <w:tc>
          <w:tcPr>
            <w:tcW w:w="2262" w:type="dxa"/>
            <w:shd w:val="clear" w:color="auto" w:fill="auto"/>
            <w:noWrap/>
            <w:hideMark/>
          </w:tcPr>
          <w:p w14:paraId="3189B882" w14:textId="77777777" w:rsidR="00040253" w:rsidRPr="00452E6C" w:rsidRDefault="00040253" w:rsidP="0050726A">
            <w:pPr>
              <w:suppressAutoHyphens w:val="0"/>
              <w:spacing w:before="40" w:after="40" w:line="220" w:lineRule="exact"/>
              <w:rPr>
                <w:sz w:val="18"/>
              </w:rPr>
            </w:pPr>
            <w:r w:rsidRPr="00452E6C">
              <w:rPr>
                <w:sz w:val="18"/>
              </w:rPr>
              <w:t>Romania</w:t>
            </w:r>
          </w:p>
        </w:tc>
        <w:tc>
          <w:tcPr>
            <w:tcW w:w="1484" w:type="dxa"/>
            <w:shd w:val="clear" w:color="auto" w:fill="auto"/>
            <w:noWrap/>
            <w:vAlign w:val="bottom"/>
          </w:tcPr>
          <w:p w14:paraId="0B7830F7" w14:textId="77777777" w:rsidR="00040253" w:rsidRPr="00452E6C" w:rsidRDefault="00040253" w:rsidP="0050726A">
            <w:pPr>
              <w:suppressAutoHyphens w:val="0"/>
              <w:spacing w:before="40" w:after="40" w:line="220" w:lineRule="exact"/>
              <w:jc w:val="right"/>
              <w:rPr>
                <w:sz w:val="18"/>
              </w:rPr>
            </w:pPr>
            <w:r w:rsidRPr="00452E6C">
              <w:rPr>
                <w:sz w:val="18"/>
              </w:rPr>
              <w:t>0.198</w:t>
            </w:r>
          </w:p>
        </w:tc>
        <w:tc>
          <w:tcPr>
            <w:tcW w:w="1783" w:type="dxa"/>
            <w:shd w:val="clear" w:color="auto" w:fill="auto"/>
            <w:noWrap/>
            <w:vAlign w:val="bottom"/>
          </w:tcPr>
          <w:p w14:paraId="1CFB3020" w14:textId="77777777" w:rsidR="00040253" w:rsidRPr="00452E6C" w:rsidRDefault="00040253" w:rsidP="0050726A">
            <w:pPr>
              <w:suppressAutoHyphens w:val="0"/>
              <w:spacing w:before="40" w:after="40" w:line="220" w:lineRule="exact"/>
              <w:jc w:val="right"/>
              <w:rPr>
                <w:sz w:val="18"/>
              </w:rPr>
            </w:pPr>
            <w:r w:rsidRPr="00452E6C">
              <w:rPr>
                <w:sz w:val="18"/>
              </w:rPr>
              <w:t>0.641</w:t>
            </w:r>
          </w:p>
        </w:tc>
        <w:tc>
          <w:tcPr>
            <w:tcW w:w="1841" w:type="dxa"/>
            <w:shd w:val="clear" w:color="auto" w:fill="auto"/>
            <w:vAlign w:val="bottom"/>
          </w:tcPr>
          <w:p w14:paraId="6B71FE89" w14:textId="77777777" w:rsidR="00040253" w:rsidRPr="00452E6C" w:rsidRDefault="00040253" w:rsidP="0050726A">
            <w:pPr>
              <w:suppressAutoHyphens w:val="0"/>
              <w:spacing w:before="40" w:after="40" w:line="220" w:lineRule="exact"/>
              <w:jc w:val="right"/>
              <w:rPr>
                <w:sz w:val="18"/>
              </w:rPr>
            </w:pPr>
          </w:p>
        </w:tc>
      </w:tr>
      <w:tr w:rsidR="00040253" w:rsidRPr="00452E6C" w14:paraId="13F9F563" w14:textId="77777777" w:rsidTr="0050726A">
        <w:tc>
          <w:tcPr>
            <w:tcW w:w="2262" w:type="dxa"/>
            <w:shd w:val="clear" w:color="auto" w:fill="auto"/>
            <w:noWrap/>
            <w:hideMark/>
          </w:tcPr>
          <w:p w14:paraId="72DEAFC3" w14:textId="77777777" w:rsidR="00040253" w:rsidRPr="00452E6C" w:rsidRDefault="00040253" w:rsidP="0050726A">
            <w:pPr>
              <w:suppressAutoHyphens w:val="0"/>
              <w:spacing w:before="40" w:after="40" w:line="220" w:lineRule="exact"/>
              <w:rPr>
                <w:sz w:val="18"/>
              </w:rPr>
            </w:pPr>
            <w:r w:rsidRPr="00452E6C">
              <w:rPr>
                <w:sz w:val="18"/>
              </w:rPr>
              <w:t>Serbia</w:t>
            </w:r>
          </w:p>
        </w:tc>
        <w:tc>
          <w:tcPr>
            <w:tcW w:w="1484" w:type="dxa"/>
            <w:shd w:val="clear" w:color="auto" w:fill="auto"/>
            <w:noWrap/>
            <w:vAlign w:val="bottom"/>
          </w:tcPr>
          <w:p w14:paraId="6409C0E0" w14:textId="77777777" w:rsidR="00040253" w:rsidRPr="00452E6C" w:rsidRDefault="00040253" w:rsidP="0050726A">
            <w:pPr>
              <w:suppressAutoHyphens w:val="0"/>
              <w:spacing w:before="40" w:after="40" w:line="220" w:lineRule="exact"/>
              <w:jc w:val="right"/>
              <w:rPr>
                <w:sz w:val="18"/>
              </w:rPr>
            </w:pPr>
            <w:r w:rsidRPr="00452E6C">
              <w:rPr>
                <w:sz w:val="18"/>
              </w:rPr>
              <w:t>0.028</w:t>
            </w:r>
          </w:p>
        </w:tc>
        <w:tc>
          <w:tcPr>
            <w:tcW w:w="1783" w:type="dxa"/>
            <w:shd w:val="clear" w:color="auto" w:fill="auto"/>
            <w:noWrap/>
            <w:vAlign w:val="bottom"/>
          </w:tcPr>
          <w:p w14:paraId="65394716" w14:textId="77777777" w:rsidR="00040253" w:rsidRPr="00452E6C" w:rsidRDefault="00040253" w:rsidP="0050726A">
            <w:pPr>
              <w:suppressAutoHyphens w:val="0"/>
              <w:spacing w:before="40" w:after="40" w:line="220" w:lineRule="exact"/>
              <w:jc w:val="right"/>
              <w:rPr>
                <w:sz w:val="18"/>
              </w:rPr>
            </w:pPr>
            <w:r w:rsidRPr="00452E6C">
              <w:rPr>
                <w:sz w:val="18"/>
              </w:rPr>
              <w:t>0.091</w:t>
            </w:r>
          </w:p>
        </w:tc>
        <w:tc>
          <w:tcPr>
            <w:tcW w:w="1841" w:type="dxa"/>
            <w:shd w:val="clear" w:color="auto" w:fill="auto"/>
            <w:vAlign w:val="bottom"/>
          </w:tcPr>
          <w:p w14:paraId="6168FE8B" w14:textId="77777777" w:rsidR="00040253" w:rsidRPr="00452E6C" w:rsidRDefault="00040253" w:rsidP="0050726A">
            <w:pPr>
              <w:suppressAutoHyphens w:val="0"/>
              <w:spacing w:before="40" w:after="40" w:line="220" w:lineRule="exact"/>
              <w:jc w:val="right"/>
              <w:rPr>
                <w:sz w:val="18"/>
              </w:rPr>
            </w:pPr>
          </w:p>
        </w:tc>
      </w:tr>
      <w:tr w:rsidR="00040253" w:rsidRPr="00452E6C" w14:paraId="37846334" w14:textId="77777777" w:rsidTr="0050726A">
        <w:tc>
          <w:tcPr>
            <w:tcW w:w="2262" w:type="dxa"/>
            <w:shd w:val="clear" w:color="auto" w:fill="auto"/>
            <w:noWrap/>
            <w:hideMark/>
          </w:tcPr>
          <w:p w14:paraId="7747971A" w14:textId="77777777" w:rsidR="00040253" w:rsidRPr="00452E6C" w:rsidRDefault="00040253" w:rsidP="0050726A">
            <w:pPr>
              <w:suppressAutoHyphens w:val="0"/>
              <w:spacing w:before="40" w:after="40" w:line="220" w:lineRule="exact"/>
              <w:rPr>
                <w:sz w:val="18"/>
              </w:rPr>
            </w:pPr>
            <w:r w:rsidRPr="00452E6C">
              <w:rPr>
                <w:sz w:val="18"/>
              </w:rPr>
              <w:lastRenderedPageBreak/>
              <w:t>Slovakia</w:t>
            </w:r>
          </w:p>
        </w:tc>
        <w:tc>
          <w:tcPr>
            <w:tcW w:w="1484" w:type="dxa"/>
            <w:shd w:val="clear" w:color="auto" w:fill="auto"/>
            <w:noWrap/>
            <w:vAlign w:val="bottom"/>
          </w:tcPr>
          <w:p w14:paraId="107CACDF" w14:textId="77777777" w:rsidR="00040253" w:rsidRPr="00452E6C" w:rsidRDefault="00040253" w:rsidP="0050726A">
            <w:pPr>
              <w:suppressAutoHyphens w:val="0"/>
              <w:spacing w:before="40" w:after="40" w:line="220" w:lineRule="exact"/>
              <w:jc w:val="right"/>
              <w:rPr>
                <w:sz w:val="18"/>
              </w:rPr>
            </w:pPr>
            <w:r w:rsidRPr="00452E6C">
              <w:rPr>
                <w:sz w:val="18"/>
              </w:rPr>
              <w:t>0.153</w:t>
            </w:r>
          </w:p>
        </w:tc>
        <w:tc>
          <w:tcPr>
            <w:tcW w:w="1783" w:type="dxa"/>
            <w:shd w:val="clear" w:color="auto" w:fill="auto"/>
            <w:noWrap/>
            <w:vAlign w:val="bottom"/>
          </w:tcPr>
          <w:p w14:paraId="1A009432" w14:textId="77777777" w:rsidR="00040253" w:rsidRPr="00452E6C" w:rsidRDefault="00040253" w:rsidP="0050726A">
            <w:pPr>
              <w:suppressAutoHyphens w:val="0"/>
              <w:spacing w:before="40" w:after="40" w:line="220" w:lineRule="exact"/>
              <w:jc w:val="right"/>
              <w:rPr>
                <w:sz w:val="18"/>
              </w:rPr>
            </w:pPr>
            <w:r w:rsidRPr="00452E6C">
              <w:rPr>
                <w:sz w:val="18"/>
              </w:rPr>
              <w:t>0.495</w:t>
            </w:r>
          </w:p>
        </w:tc>
        <w:tc>
          <w:tcPr>
            <w:tcW w:w="1841" w:type="dxa"/>
            <w:shd w:val="clear" w:color="auto" w:fill="auto"/>
            <w:vAlign w:val="bottom"/>
          </w:tcPr>
          <w:p w14:paraId="234209F3" w14:textId="77777777" w:rsidR="00040253" w:rsidRPr="00452E6C" w:rsidRDefault="00040253" w:rsidP="0050726A">
            <w:pPr>
              <w:suppressAutoHyphens w:val="0"/>
              <w:spacing w:before="40" w:after="40" w:line="220" w:lineRule="exact"/>
              <w:jc w:val="right"/>
              <w:rPr>
                <w:sz w:val="18"/>
              </w:rPr>
            </w:pPr>
          </w:p>
        </w:tc>
      </w:tr>
      <w:tr w:rsidR="00040253" w:rsidRPr="00452E6C" w14:paraId="3C4B1903" w14:textId="77777777" w:rsidTr="0050726A">
        <w:tc>
          <w:tcPr>
            <w:tcW w:w="2262" w:type="dxa"/>
            <w:shd w:val="clear" w:color="auto" w:fill="auto"/>
            <w:noWrap/>
            <w:hideMark/>
          </w:tcPr>
          <w:p w14:paraId="6CDE9702" w14:textId="77777777" w:rsidR="00040253" w:rsidRPr="00452E6C" w:rsidRDefault="00040253" w:rsidP="0050726A">
            <w:pPr>
              <w:suppressAutoHyphens w:val="0"/>
              <w:spacing w:before="40" w:after="40" w:line="220" w:lineRule="exact"/>
              <w:rPr>
                <w:sz w:val="18"/>
              </w:rPr>
            </w:pPr>
            <w:r w:rsidRPr="00452E6C">
              <w:rPr>
                <w:sz w:val="18"/>
              </w:rPr>
              <w:t>Slovenia</w:t>
            </w:r>
          </w:p>
        </w:tc>
        <w:tc>
          <w:tcPr>
            <w:tcW w:w="1484" w:type="dxa"/>
            <w:shd w:val="clear" w:color="auto" w:fill="auto"/>
            <w:noWrap/>
            <w:vAlign w:val="bottom"/>
          </w:tcPr>
          <w:p w14:paraId="32540EC1" w14:textId="77777777" w:rsidR="00040253" w:rsidRPr="00452E6C" w:rsidRDefault="00040253" w:rsidP="0050726A">
            <w:pPr>
              <w:suppressAutoHyphens w:val="0"/>
              <w:spacing w:before="40" w:after="40" w:line="220" w:lineRule="exact"/>
              <w:jc w:val="right"/>
              <w:rPr>
                <w:sz w:val="18"/>
              </w:rPr>
            </w:pPr>
            <w:r w:rsidRPr="00452E6C">
              <w:rPr>
                <w:sz w:val="18"/>
              </w:rPr>
              <w:t>0.076</w:t>
            </w:r>
          </w:p>
        </w:tc>
        <w:tc>
          <w:tcPr>
            <w:tcW w:w="1783" w:type="dxa"/>
            <w:shd w:val="clear" w:color="auto" w:fill="auto"/>
            <w:noWrap/>
            <w:vAlign w:val="bottom"/>
          </w:tcPr>
          <w:p w14:paraId="5DC6D2A9" w14:textId="77777777" w:rsidR="00040253" w:rsidRPr="00452E6C" w:rsidRDefault="00040253" w:rsidP="0050726A">
            <w:pPr>
              <w:suppressAutoHyphens w:val="0"/>
              <w:spacing w:before="40" w:after="40" w:line="220" w:lineRule="exact"/>
              <w:jc w:val="right"/>
              <w:rPr>
                <w:sz w:val="18"/>
              </w:rPr>
            </w:pPr>
            <w:r w:rsidRPr="00452E6C">
              <w:rPr>
                <w:sz w:val="18"/>
              </w:rPr>
              <w:t>0.246</w:t>
            </w:r>
          </w:p>
        </w:tc>
        <w:tc>
          <w:tcPr>
            <w:tcW w:w="1841" w:type="dxa"/>
            <w:shd w:val="clear" w:color="auto" w:fill="auto"/>
            <w:vAlign w:val="bottom"/>
          </w:tcPr>
          <w:p w14:paraId="2F8C815A" w14:textId="77777777" w:rsidR="00040253" w:rsidRPr="00452E6C" w:rsidRDefault="00040253" w:rsidP="0050726A">
            <w:pPr>
              <w:suppressAutoHyphens w:val="0"/>
              <w:spacing w:before="40" w:after="40" w:line="220" w:lineRule="exact"/>
              <w:jc w:val="right"/>
              <w:rPr>
                <w:sz w:val="18"/>
              </w:rPr>
            </w:pPr>
          </w:p>
        </w:tc>
      </w:tr>
      <w:tr w:rsidR="00040253" w:rsidRPr="00452E6C" w14:paraId="1B88C1F6" w14:textId="77777777" w:rsidTr="0050726A">
        <w:tc>
          <w:tcPr>
            <w:tcW w:w="2262" w:type="dxa"/>
            <w:shd w:val="clear" w:color="auto" w:fill="auto"/>
            <w:noWrap/>
            <w:hideMark/>
          </w:tcPr>
          <w:p w14:paraId="280B4E39" w14:textId="77777777" w:rsidR="00040253" w:rsidRPr="00452E6C" w:rsidRDefault="00040253" w:rsidP="0050726A">
            <w:pPr>
              <w:suppressAutoHyphens w:val="0"/>
              <w:spacing w:before="40" w:after="40" w:line="220" w:lineRule="exact"/>
              <w:rPr>
                <w:sz w:val="18"/>
              </w:rPr>
            </w:pPr>
            <w:r w:rsidRPr="00452E6C">
              <w:rPr>
                <w:sz w:val="18"/>
              </w:rPr>
              <w:t>Spain</w:t>
            </w:r>
          </w:p>
        </w:tc>
        <w:tc>
          <w:tcPr>
            <w:tcW w:w="1484" w:type="dxa"/>
            <w:shd w:val="clear" w:color="auto" w:fill="auto"/>
            <w:noWrap/>
            <w:vAlign w:val="bottom"/>
          </w:tcPr>
          <w:p w14:paraId="54C4BB25" w14:textId="77777777" w:rsidR="00040253" w:rsidRPr="00452E6C" w:rsidRDefault="00040253" w:rsidP="0050726A">
            <w:pPr>
              <w:suppressAutoHyphens w:val="0"/>
              <w:spacing w:before="40" w:after="40" w:line="220" w:lineRule="exact"/>
              <w:jc w:val="right"/>
              <w:rPr>
                <w:sz w:val="18"/>
              </w:rPr>
            </w:pPr>
            <w:r w:rsidRPr="00452E6C">
              <w:rPr>
                <w:sz w:val="18"/>
              </w:rPr>
              <w:t>2.146</w:t>
            </w:r>
          </w:p>
        </w:tc>
        <w:tc>
          <w:tcPr>
            <w:tcW w:w="1783" w:type="dxa"/>
            <w:shd w:val="clear" w:color="auto" w:fill="auto"/>
            <w:noWrap/>
            <w:vAlign w:val="bottom"/>
          </w:tcPr>
          <w:p w14:paraId="1A4C5D80" w14:textId="77777777" w:rsidR="00040253" w:rsidRPr="00452E6C" w:rsidRDefault="00040253" w:rsidP="0050726A">
            <w:pPr>
              <w:suppressAutoHyphens w:val="0"/>
              <w:spacing w:before="40" w:after="40" w:line="220" w:lineRule="exact"/>
              <w:jc w:val="right"/>
              <w:rPr>
                <w:sz w:val="18"/>
              </w:rPr>
            </w:pPr>
            <w:r w:rsidRPr="00452E6C">
              <w:rPr>
                <w:sz w:val="18"/>
              </w:rPr>
              <w:t>6.944</w:t>
            </w:r>
          </w:p>
        </w:tc>
        <w:tc>
          <w:tcPr>
            <w:tcW w:w="1841" w:type="dxa"/>
            <w:shd w:val="clear" w:color="auto" w:fill="auto"/>
            <w:vAlign w:val="bottom"/>
          </w:tcPr>
          <w:p w14:paraId="7EABAFEB" w14:textId="77777777" w:rsidR="00040253" w:rsidRPr="00452E6C" w:rsidRDefault="00040253" w:rsidP="0050726A">
            <w:pPr>
              <w:suppressAutoHyphens w:val="0"/>
              <w:spacing w:before="40" w:after="40" w:line="220" w:lineRule="exact"/>
              <w:jc w:val="right"/>
              <w:rPr>
                <w:sz w:val="18"/>
              </w:rPr>
            </w:pPr>
          </w:p>
        </w:tc>
      </w:tr>
      <w:tr w:rsidR="00040253" w:rsidRPr="00452E6C" w14:paraId="4CC044B9" w14:textId="77777777" w:rsidTr="0050726A">
        <w:tc>
          <w:tcPr>
            <w:tcW w:w="2262" w:type="dxa"/>
            <w:shd w:val="clear" w:color="auto" w:fill="auto"/>
            <w:noWrap/>
            <w:hideMark/>
          </w:tcPr>
          <w:p w14:paraId="6885A9F2" w14:textId="77777777" w:rsidR="00040253" w:rsidRPr="00452E6C" w:rsidRDefault="00040253" w:rsidP="0050726A">
            <w:pPr>
              <w:suppressAutoHyphens w:val="0"/>
              <w:spacing w:before="40" w:after="40" w:line="220" w:lineRule="exact"/>
              <w:rPr>
                <w:sz w:val="18"/>
              </w:rPr>
            </w:pPr>
            <w:r w:rsidRPr="00452E6C">
              <w:rPr>
                <w:sz w:val="18"/>
              </w:rPr>
              <w:t>Sweden</w:t>
            </w:r>
          </w:p>
        </w:tc>
        <w:tc>
          <w:tcPr>
            <w:tcW w:w="1484" w:type="dxa"/>
            <w:shd w:val="clear" w:color="auto" w:fill="auto"/>
            <w:noWrap/>
            <w:vAlign w:val="bottom"/>
          </w:tcPr>
          <w:p w14:paraId="6AD58FDD" w14:textId="77777777" w:rsidR="00040253" w:rsidRPr="00452E6C" w:rsidRDefault="00040253" w:rsidP="0050726A">
            <w:pPr>
              <w:suppressAutoHyphens w:val="0"/>
              <w:spacing w:before="40" w:after="40" w:line="220" w:lineRule="exact"/>
              <w:jc w:val="right"/>
              <w:rPr>
                <w:sz w:val="18"/>
              </w:rPr>
            </w:pPr>
            <w:r w:rsidRPr="00452E6C">
              <w:rPr>
                <w:sz w:val="18"/>
              </w:rPr>
              <w:t>0.906</w:t>
            </w:r>
          </w:p>
        </w:tc>
        <w:tc>
          <w:tcPr>
            <w:tcW w:w="1783" w:type="dxa"/>
            <w:shd w:val="clear" w:color="auto" w:fill="auto"/>
            <w:noWrap/>
            <w:vAlign w:val="bottom"/>
          </w:tcPr>
          <w:p w14:paraId="1DFD0128" w14:textId="77777777" w:rsidR="00040253" w:rsidRPr="00452E6C" w:rsidRDefault="00040253" w:rsidP="0050726A">
            <w:pPr>
              <w:suppressAutoHyphens w:val="0"/>
              <w:spacing w:before="40" w:after="40" w:line="220" w:lineRule="exact"/>
              <w:jc w:val="right"/>
              <w:rPr>
                <w:sz w:val="18"/>
              </w:rPr>
            </w:pPr>
            <w:r w:rsidRPr="00452E6C">
              <w:rPr>
                <w:sz w:val="18"/>
              </w:rPr>
              <w:t>2.932</w:t>
            </w:r>
          </w:p>
        </w:tc>
        <w:tc>
          <w:tcPr>
            <w:tcW w:w="1841" w:type="dxa"/>
            <w:shd w:val="clear" w:color="auto" w:fill="auto"/>
            <w:vAlign w:val="bottom"/>
          </w:tcPr>
          <w:p w14:paraId="0E22165A" w14:textId="77777777" w:rsidR="00040253" w:rsidRPr="00452E6C" w:rsidRDefault="00040253" w:rsidP="0050726A">
            <w:pPr>
              <w:suppressAutoHyphens w:val="0"/>
              <w:spacing w:before="40" w:after="40" w:line="220" w:lineRule="exact"/>
              <w:jc w:val="right"/>
              <w:rPr>
                <w:sz w:val="18"/>
              </w:rPr>
            </w:pPr>
          </w:p>
        </w:tc>
      </w:tr>
      <w:tr w:rsidR="00040253" w:rsidRPr="00452E6C" w14:paraId="3B568E86" w14:textId="77777777" w:rsidTr="0050726A">
        <w:tc>
          <w:tcPr>
            <w:tcW w:w="2262" w:type="dxa"/>
            <w:shd w:val="clear" w:color="auto" w:fill="auto"/>
            <w:noWrap/>
            <w:hideMark/>
          </w:tcPr>
          <w:p w14:paraId="071958BC" w14:textId="77777777" w:rsidR="00040253" w:rsidRPr="00452E6C" w:rsidRDefault="00040253" w:rsidP="0050726A">
            <w:pPr>
              <w:suppressAutoHyphens w:val="0"/>
              <w:spacing w:before="40" w:after="40" w:line="220" w:lineRule="exact"/>
              <w:rPr>
                <w:sz w:val="18"/>
              </w:rPr>
            </w:pPr>
            <w:r w:rsidRPr="00452E6C">
              <w:rPr>
                <w:sz w:val="18"/>
              </w:rPr>
              <w:t>Switzerland</w:t>
            </w:r>
          </w:p>
        </w:tc>
        <w:tc>
          <w:tcPr>
            <w:tcW w:w="1484" w:type="dxa"/>
            <w:shd w:val="clear" w:color="auto" w:fill="auto"/>
            <w:noWrap/>
            <w:vAlign w:val="bottom"/>
          </w:tcPr>
          <w:p w14:paraId="726DCA82" w14:textId="77777777" w:rsidR="00040253" w:rsidRPr="00452E6C" w:rsidRDefault="00040253" w:rsidP="0050726A">
            <w:pPr>
              <w:suppressAutoHyphens w:val="0"/>
              <w:spacing w:before="40" w:after="40" w:line="220" w:lineRule="exact"/>
              <w:jc w:val="right"/>
              <w:rPr>
                <w:sz w:val="18"/>
              </w:rPr>
            </w:pPr>
            <w:r w:rsidRPr="00452E6C">
              <w:rPr>
                <w:sz w:val="18"/>
              </w:rPr>
              <w:t>1.151</w:t>
            </w:r>
          </w:p>
        </w:tc>
        <w:tc>
          <w:tcPr>
            <w:tcW w:w="1783" w:type="dxa"/>
            <w:shd w:val="clear" w:color="auto" w:fill="auto"/>
            <w:noWrap/>
            <w:vAlign w:val="bottom"/>
          </w:tcPr>
          <w:p w14:paraId="78FECF7D" w14:textId="77777777" w:rsidR="00040253" w:rsidRPr="00452E6C" w:rsidRDefault="00040253" w:rsidP="0050726A">
            <w:pPr>
              <w:suppressAutoHyphens w:val="0"/>
              <w:spacing w:before="40" w:after="40" w:line="220" w:lineRule="exact"/>
              <w:jc w:val="right"/>
              <w:rPr>
                <w:sz w:val="18"/>
              </w:rPr>
            </w:pPr>
            <w:r w:rsidRPr="00452E6C">
              <w:rPr>
                <w:sz w:val="18"/>
              </w:rPr>
              <w:t>3.725</w:t>
            </w:r>
          </w:p>
        </w:tc>
        <w:tc>
          <w:tcPr>
            <w:tcW w:w="1841" w:type="dxa"/>
            <w:shd w:val="clear" w:color="auto" w:fill="auto"/>
            <w:vAlign w:val="bottom"/>
          </w:tcPr>
          <w:p w14:paraId="626AEEC3" w14:textId="77777777" w:rsidR="00040253" w:rsidRPr="00452E6C" w:rsidRDefault="00040253" w:rsidP="0050726A">
            <w:pPr>
              <w:suppressAutoHyphens w:val="0"/>
              <w:spacing w:before="40" w:after="40" w:line="220" w:lineRule="exact"/>
              <w:jc w:val="right"/>
              <w:rPr>
                <w:sz w:val="18"/>
              </w:rPr>
            </w:pPr>
          </w:p>
        </w:tc>
      </w:tr>
      <w:tr w:rsidR="00040253" w:rsidRPr="00452E6C" w14:paraId="7FB72116" w14:textId="77777777" w:rsidTr="0050726A">
        <w:tc>
          <w:tcPr>
            <w:tcW w:w="2262" w:type="dxa"/>
            <w:shd w:val="clear" w:color="auto" w:fill="auto"/>
            <w:noWrap/>
            <w:hideMark/>
          </w:tcPr>
          <w:p w14:paraId="02A682CD" w14:textId="77777777" w:rsidR="00040253" w:rsidRPr="00452E6C" w:rsidRDefault="00040253" w:rsidP="0050726A">
            <w:pPr>
              <w:suppressAutoHyphens w:val="0"/>
              <w:spacing w:before="40" w:after="40" w:line="220" w:lineRule="exact"/>
              <w:rPr>
                <w:sz w:val="18"/>
              </w:rPr>
            </w:pPr>
            <w:r w:rsidRPr="00452E6C">
              <w:rPr>
                <w:sz w:val="18"/>
              </w:rPr>
              <w:t>Tajikistan</w:t>
            </w:r>
          </w:p>
        </w:tc>
        <w:tc>
          <w:tcPr>
            <w:tcW w:w="1484" w:type="dxa"/>
            <w:shd w:val="clear" w:color="auto" w:fill="auto"/>
            <w:noWrap/>
            <w:vAlign w:val="bottom"/>
          </w:tcPr>
          <w:p w14:paraId="48F496F6" w14:textId="77777777" w:rsidR="00040253" w:rsidRPr="00452E6C" w:rsidRDefault="00040253" w:rsidP="0050726A">
            <w:pPr>
              <w:suppressAutoHyphens w:val="0"/>
              <w:spacing w:before="40" w:after="40" w:line="220" w:lineRule="exact"/>
              <w:jc w:val="right"/>
              <w:rPr>
                <w:sz w:val="18"/>
              </w:rPr>
            </w:pPr>
            <w:r w:rsidRPr="00452E6C">
              <w:rPr>
                <w:sz w:val="18"/>
              </w:rPr>
              <w:t>0.004</w:t>
            </w:r>
          </w:p>
        </w:tc>
        <w:tc>
          <w:tcPr>
            <w:tcW w:w="1783" w:type="dxa"/>
            <w:shd w:val="clear" w:color="auto" w:fill="auto"/>
            <w:noWrap/>
            <w:vAlign w:val="bottom"/>
          </w:tcPr>
          <w:p w14:paraId="6A5046D0" w14:textId="77777777" w:rsidR="00040253" w:rsidRPr="00452E6C" w:rsidRDefault="00040253" w:rsidP="0050726A">
            <w:pPr>
              <w:suppressAutoHyphens w:val="0"/>
              <w:spacing w:before="40" w:after="40" w:line="220" w:lineRule="exact"/>
              <w:jc w:val="right"/>
              <w:rPr>
                <w:sz w:val="18"/>
              </w:rPr>
            </w:pPr>
            <w:r w:rsidRPr="00452E6C">
              <w:rPr>
                <w:sz w:val="18"/>
              </w:rPr>
              <w:t>0.013</w:t>
            </w:r>
          </w:p>
        </w:tc>
        <w:tc>
          <w:tcPr>
            <w:tcW w:w="1841" w:type="dxa"/>
            <w:shd w:val="clear" w:color="auto" w:fill="auto"/>
            <w:vAlign w:val="bottom"/>
          </w:tcPr>
          <w:p w14:paraId="24B99C8A" w14:textId="77777777" w:rsidR="00040253" w:rsidRPr="00452E6C" w:rsidRDefault="00040253" w:rsidP="0050726A">
            <w:pPr>
              <w:suppressAutoHyphens w:val="0"/>
              <w:spacing w:before="40" w:after="40" w:line="220" w:lineRule="exact"/>
              <w:jc w:val="right"/>
              <w:rPr>
                <w:sz w:val="18"/>
              </w:rPr>
            </w:pPr>
          </w:p>
        </w:tc>
      </w:tr>
      <w:tr w:rsidR="00040253" w:rsidRPr="00452E6C" w14:paraId="7254723F" w14:textId="77777777" w:rsidTr="0050726A">
        <w:tc>
          <w:tcPr>
            <w:tcW w:w="2262" w:type="dxa"/>
            <w:shd w:val="clear" w:color="auto" w:fill="auto"/>
            <w:noWrap/>
          </w:tcPr>
          <w:p w14:paraId="2F7D49B8" w14:textId="77777777" w:rsidR="00040253" w:rsidRPr="00452E6C" w:rsidRDefault="00040253" w:rsidP="0050726A">
            <w:pPr>
              <w:suppressAutoHyphens w:val="0"/>
              <w:spacing w:before="40" w:after="40" w:line="220" w:lineRule="exact"/>
              <w:rPr>
                <w:sz w:val="18"/>
              </w:rPr>
            </w:pPr>
            <w:r w:rsidRPr="00452E6C">
              <w:rPr>
                <w:sz w:val="18"/>
              </w:rPr>
              <w:t>Turkmenistan</w:t>
            </w:r>
          </w:p>
        </w:tc>
        <w:tc>
          <w:tcPr>
            <w:tcW w:w="1484" w:type="dxa"/>
            <w:shd w:val="clear" w:color="auto" w:fill="auto"/>
            <w:noWrap/>
            <w:vAlign w:val="bottom"/>
          </w:tcPr>
          <w:p w14:paraId="7481F414" w14:textId="77777777" w:rsidR="00040253" w:rsidRPr="00452E6C" w:rsidRDefault="00040253" w:rsidP="0050726A">
            <w:pPr>
              <w:suppressAutoHyphens w:val="0"/>
              <w:spacing w:before="40" w:after="40" w:line="220" w:lineRule="exact"/>
              <w:jc w:val="right"/>
              <w:rPr>
                <w:sz w:val="18"/>
              </w:rPr>
            </w:pPr>
            <w:r w:rsidRPr="00452E6C">
              <w:rPr>
                <w:sz w:val="18"/>
              </w:rPr>
              <w:t>0.033</w:t>
            </w:r>
          </w:p>
        </w:tc>
        <w:tc>
          <w:tcPr>
            <w:tcW w:w="1783" w:type="dxa"/>
            <w:shd w:val="clear" w:color="auto" w:fill="auto"/>
            <w:noWrap/>
            <w:vAlign w:val="bottom"/>
          </w:tcPr>
          <w:p w14:paraId="387D941C" w14:textId="77777777" w:rsidR="00040253" w:rsidRPr="00452E6C" w:rsidRDefault="00040253" w:rsidP="0050726A">
            <w:pPr>
              <w:suppressAutoHyphens w:val="0"/>
              <w:spacing w:before="40" w:after="40" w:line="220" w:lineRule="exact"/>
              <w:jc w:val="right"/>
              <w:rPr>
                <w:sz w:val="18"/>
              </w:rPr>
            </w:pPr>
            <w:r w:rsidRPr="00452E6C">
              <w:rPr>
                <w:sz w:val="18"/>
              </w:rPr>
              <w:t>0.107</w:t>
            </w:r>
          </w:p>
        </w:tc>
        <w:tc>
          <w:tcPr>
            <w:tcW w:w="1841" w:type="dxa"/>
            <w:shd w:val="clear" w:color="auto" w:fill="auto"/>
            <w:vAlign w:val="bottom"/>
          </w:tcPr>
          <w:p w14:paraId="44A7BEED" w14:textId="77777777" w:rsidR="00040253" w:rsidRPr="00452E6C" w:rsidRDefault="00040253" w:rsidP="0050726A">
            <w:pPr>
              <w:suppressAutoHyphens w:val="0"/>
              <w:spacing w:before="40" w:after="40" w:line="220" w:lineRule="exact"/>
              <w:jc w:val="right"/>
              <w:rPr>
                <w:sz w:val="18"/>
              </w:rPr>
            </w:pPr>
          </w:p>
        </w:tc>
      </w:tr>
      <w:tr w:rsidR="00040253" w:rsidRPr="00452E6C" w14:paraId="1398F587" w14:textId="77777777" w:rsidTr="0050726A">
        <w:tc>
          <w:tcPr>
            <w:tcW w:w="2262" w:type="dxa"/>
            <w:shd w:val="clear" w:color="auto" w:fill="auto"/>
            <w:noWrap/>
            <w:hideMark/>
          </w:tcPr>
          <w:p w14:paraId="2CAFC729" w14:textId="77777777" w:rsidR="00040253" w:rsidRPr="00452E6C" w:rsidRDefault="00040253" w:rsidP="0050726A">
            <w:pPr>
              <w:suppressAutoHyphens w:val="0"/>
              <w:spacing w:before="40" w:after="40" w:line="220" w:lineRule="exact"/>
              <w:rPr>
                <w:sz w:val="18"/>
              </w:rPr>
            </w:pPr>
            <w:r w:rsidRPr="00452E6C">
              <w:rPr>
                <w:sz w:val="18"/>
              </w:rPr>
              <w:t>Ukraine</w:t>
            </w:r>
          </w:p>
        </w:tc>
        <w:tc>
          <w:tcPr>
            <w:tcW w:w="1484" w:type="dxa"/>
            <w:shd w:val="clear" w:color="auto" w:fill="auto"/>
            <w:noWrap/>
            <w:vAlign w:val="bottom"/>
          </w:tcPr>
          <w:p w14:paraId="6E783580" w14:textId="77777777" w:rsidR="00040253" w:rsidRPr="00452E6C" w:rsidRDefault="00040253" w:rsidP="0050726A">
            <w:pPr>
              <w:suppressAutoHyphens w:val="0"/>
              <w:spacing w:before="40" w:after="40" w:line="220" w:lineRule="exact"/>
              <w:jc w:val="right"/>
              <w:rPr>
                <w:sz w:val="18"/>
              </w:rPr>
            </w:pPr>
            <w:r w:rsidRPr="00452E6C">
              <w:rPr>
                <w:sz w:val="18"/>
              </w:rPr>
              <w:t>0.057</w:t>
            </w:r>
          </w:p>
        </w:tc>
        <w:tc>
          <w:tcPr>
            <w:tcW w:w="1783" w:type="dxa"/>
            <w:shd w:val="clear" w:color="auto" w:fill="auto"/>
            <w:noWrap/>
            <w:vAlign w:val="bottom"/>
          </w:tcPr>
          <w:p w14:paraId="14A965E4" w14:textId="77777777" w:rsidR="00040253" w:rsidRPr="00452E6C" w:rsidRDefault="00040253" w:rsidP="0050726A">
            <w:pPr>
              <w:suppressAutoHyphens w:val="0"/>
              <w:spacing w:before="40" w:after="40" w:line="220" w:lineRule="exact"/>
              <w:jc w:val="right"/>
              <w:rPr>
                <w:sz w:val="18"/>
              </w:rPr>
            </w:pPr>
            <w:r w:rsidRPr="00452E6C">
              <w:rPr>
                <w:sz w:val="18"/>
              </w:rPr>
              <w:t>0.184</w:t>
            </w:r>
          </w:p>
        </w:tc>
        <w:tc>
          <w:tcPr>
            <w:tcW w:w="1841" w:type="dxa"/>
            <w:shd w:val="clear" w:color="auto" w:fill="auto"/>
            <w:vAlign w:val="bottom"/>
          </w:tcPr>
          <w:p w14:paraId="41B68F01" w14:textId="77777777" w:rsidR="00040253" w:rsidRPr="00452E6C" w:rsidRDefault="00040253" w:rsidP="0050726A">
            <w:pPr>
              <w:suppressAutoHyphens w:val="0"/>
              <w:spacing w:before="40" w:after="40" w:line="220" w:lineRule="exact"/>
              <w:jc w:val="right"/>
              <w:rPr>
                <w:sz w:val="18"/>
              </w:rPr>
            </w:pPr>
          </w:p>
        </w:tc>
      </w:tr>
      <w:tr w:rsidR="00040253" w:rsidRPr="00452E6C" w14:paraId="1A4C461F" w14:textId="77777777" w:rsidTr="0050726A">
        <w:tc>
          <w:tcPr>
            <w:tcW w:w="2262" w:type="dxa"/>
            <w:tcBorders>
              <w:bottom w:val="single" w:sz="4" w:space="0" w:color="auto"/>
            </w:tcBorders>
            <w:shd w:val="clear" w:color="auto" w:fill="auto"/>
            <w:noWrap/>
            <w:hideMark/>
          </w:tcPr>
          <w:p w14:paraId="6E0FFF8D" w14:textId="77777777" w:rsidR="00040253" w:rsidRPr="00452E6C" w:rsidRDefault="00040253" w:rsidP="0050726A">
            <w:pPr>
              <w:suppressAutoHyphens w:val="0"/>
              <w:spacing w:before="40" w:after="40" w:line="220" w:lineRule="exact"/>
              <w:rPr>
                <w:sz w:val="18"/>
              </w:rPr>
            </w:pPr>
            <w:r w:rsidRPr="00452E6C">
              <w:rPr>
                <w:sz w:val="18"/>
              </w:rPr>
              <w:t xml:space="preserve">United Kingdom </w:t>
            </w:r>
          </w:p>
        </w:tc>
        <w:tc>
          <w:tcPr>
            <w:tcW w:w="1484" w:type="dxa"/>
            <w:tcBorders>
              <w:bottom w:val="single" w:sz="4" w:space="0" w:color="auto"/>
            </w:tcBorders>
            <w:shd w:val="clear" w:color="auto" w:fill="auto"/>
            <w:noWrap/>
            <w:vAlign w:val="bottom"/>
          </w:tcPr>
          <w:p w14:paraId="76CBB74F" w14:textId="77777777" w:rsidR="00040253" w:rsidRPr="00452E6C" w:rsidRDefault="00040253" w:rsidP="0050726A">
            <w:pPr>
              <w:suppressAutoHyphens w:val="0"/>
              <w:spacing w:before="40" w:after="40" w:line="220" w:lineRule="exact"/>
              <w:jc w:val="right"/>
              <w:rPr>
                <w:sz w:val="18"/>
              </w:rPr>
            </w:pPr>
            <w:r w:rsidRPr="00452E6C">
              <w:rPr>
                <w:sz w:val="18"/>
              </w:rPr>
              <w:t>4.567</w:t>
            </w:r>
          </w:p>
        </w:tc>
        <w:tc>
          <w:tcPr>
            <w:tcW w:w="1783" w:type="dxa"/>
            <w:tcBorders>
              <w:bottom w:val="single" w:sz="4" w:space="0" w:color="auto"/>
            </w:tcBorders>
            <w:shd w:val="clear" w:color="auto" w:fill="auto"/>
            <w:noWrap/>
            <w:vAlign w:val="bottom"/>
          </w:tcPr>
          <w:p w14:paraId="004451E8" w14:textId="77777777" w:rsidR="00040253" w:rsidRPr="00452E6C" w:rsidRDefault="00040253" w:rsidP="0050726A">
            <w:pPr>
              <w:suppressAutoHyphens w:val="0"/>
              <w:spacing w:before="40" w:after="40" w:line="220" w:lineRule="exact"/>
              <w:jc w:val="right"/>
              <w:rPr>
                <w:sz w:val="18"/>
              </w:rPr>
            </w:pPr>
            <w:r w:rsidRPr="00452E6C">
              <w:rPr>
                <w:sz w:val="18"/>
              </w:rPr>
              <w:t>14.779</w:t>
            </w:r>
          </w:p>
        </w:tc>
        <w:tc>
          <w:tcPr>
            <w:tcW w:w="1841" w:type="dxa"/>
            <w:tcBorders>
              <w:bottom w:val="single" w:sz="4" w:space="0" w:color="auto"/>
            </w:tcBorders>
            <w:shd w:val="clear" w:color="auto" w:fill="auto"/>
            <w:vAlign w:val="bottom"/>
          </w:tcPr>
          <w:p w14:paraId="5806DCAA" w14:textId="77777777" w:rsidR="00040253" w:rsidRPr="00452E6C" w:rsidRDefault="00040253" w:rsidP="0050726A">
            <w:pPr>
              <w:suppressAutoHyphens w:val="0"/>
              <w:spacing w:before="40" w:after="40" w:line="220" w:lineRule="exact"/>
              <w:jc w:val="right"/>
              <w:rPr>
                <w:sz w:val="18"/>
              </w:rPr>
            </w:pPr>
          </w:p>
        </w:tc>
      </w:tr>
      <w:tr w:rsidR="00040253" w:rsidRPr="00AE339F" w14:paraId="5B07755B" w14:textId="77777777" w:rsidTr="0050726A">
        <w:tc>
          <w:tcPr>
            <w:tcW w:w="2262" w:type="dxa"/>
            <w:tcBorders>
              <w:top w:val="single" w:sz="4" w:space="0" w:color="auto"/>
              <w:bottom w:val="single" w:sz="12" w:space="0" w:color="auto"/>
            </w:tcBorders>
            <w:shd w:val="clear" w:color="auto" w:fill="auto"/>
            <w:noWrap/>
            <w:hideMark/>
          </w:tcPr>
          <w:p w14:paraId="7B2AC563" w14:textId="77777777" w:rsidR="00040253" w:rsidRPr="00AE339F" w:rsidRDefault="00040253" w:rsidP="0050726A">
            <w:pPr>
              <w:suppressAutoHyphens w:val="0"/>
              <w:spacing w:before="80" w:after="80" w:line="220" w:lineRule="exact"/>
              <w:ind w:left="283"/>
              <w:rPr>
                <w:b/>
                <w:sz w:val="18"/>
              </w:rPr>
            </w:pPr>
            <w:r w:rsidRPr="00AE339F">
              <w:rPr>
                <w:b/>
                <w:sz w:val="18"/>
              </w:rPr>
              <w:tab/>
              <w:t>Total</w:t>
            </w:r>
          </w:p>
        </w:tc>
        <w:tc>
          <w:tcPr>
            <w:tcW w:w="1484" w:type="dxa"/>
            <w:tcBorders>
              <w:top w:val="single" w:sz="4" w:space="0" w:color="auto"/>
              <w:bottom w:val="single" w:sz="12" w:space="0" w:color="auto"/>
            </w:tcBorders>
            <w:shd w:val="clear" w:color="auto" w:fill="auto"/>
            <w:noWrap/>
            <w:vAlign w:val="bottom"/>
          </w:tcPr>
          <w:p w14:paraId="32E354A9" w14:textId="77777777" w:rsidR="00040253" w:rsidRPr="00AE339F" w:rsidRDefault="00040253" w:rsidP="0050726A">
            <w:pPr>
              <w:suppressAutoHyphens w:val="0"/>
              <w:spacing w:before="80" w:after="80" w:line="220" w:lineRule="exact"/>
              <w:jc w:val="right"/>
              <w:rPr>
                <w:b/>
                <w:sz w:val="18"/>
              </w:rPr>
            </w:pPr>
            <w:r w:rsidRPr="00AE339F">
              <w:rPr>
                <w:b/>
                <w:sz w:val="18"/>
              </w:rPr>
              <w:t>30.907</w:t>
            </w:r>
          </w:p>
        </w:tc>
        <w:tc>
          <w:tcPr>
            <w:tcW w:w="1783" w:type="dxa"/>
            <w:tcBorders>
              <w:top w:val="single" w:sz="4" w:space="0" w:color="auto"/>
              <w:bottom w:val="single" w:sz="12" w:space="0" w:color="auto"/>
            </w:tcBorders>
            <w:shd w:val="clear" w:color="auto" w:fill="auto"/>
            <w:noWrap/>
            <w:vAlign w:val="bottom"/>
          </w:tcPr>
          <w:p w14:paraId="5633AE3C" w14:textId="77777777" w:rsidR="00040253" w:rsidRPr="00AE339F" w:rsidRDefault="00040253" w:rsidP="0050726A">
            <w:pPr>
              <w:suppressAutoHyphens w:val="0"/>
              <w:spacing w:before="80" w:after="80" w:line="220" w:lineRule="exact"/>
              <w:jc w:val="right"/>
              <w:rPr>
                <w:b/>
                <w:sz w:val="18"/>
              </w:rPr>
            </w:pPr>
            <w:r w:rsidRPr="00AE339F">
              <w:rPr>
                <w:b/>
                <w:sz w:val="18"/>
              </w:rPr>
              <w:t>100.0</w:t>
            </w:r>
          </w:p>
        </w:tc>
        <w:tc>
          <w:tcPr>
            <w:tcW w:w="1841" w:type="dxa"/>
            <w:tcBorders>
              <w:top w:val="single" w:sz="4" w:space="0" w:color="auto"/>
              <w:bottom w:val="single" w:sz="12" w:space="0" w:color="auto"/>
            </w:tcBorders>
            <w:shd w:val="clear" w:color="auto" w:fill="auto"/>
            <w:vAlign w:val="bottom"/>
          </w:tcPr>
          <w:p w14:paraId="17B021A5" w14:textId="77777777" w:rsidR="00040253" w:rsidRPr="00AE339F" w:rsidRDefault="00040253" w:rsidP="0050726A">
            <w:pPr>
              <w:suppressAutoHyphens w:val="0"/>
              <w:spacing w:before="80" w:after="80" w:line="220" w:lineRule="exact"/>
              <w:jc w:val="right"/>
              <w:rPr>
                <w:b/>
                <w:sz w:val="18"/>
              </w:rPr>
            </w:pPr>
          </w:p>
        </w:tc>
      </w:tr>
    </w:tbl>
    <w:p w14:paraId="482E09A9" w14:textId="77777777" w:rsidR="00040253" w:rsidRPr="00856849" w:rsidRDefault="00040253" w:rsidP="00040253">
      <w:pPr>
        <w:pStyle w:val="EndnoteText"/>
        <w:widowControl w:val="0"/>
        <w:tabs>
          <w:tab w:val="clear" w:pos="1021"/>
          <w:tab w:val="left" w:pos="1600"/>
        </w:tabs>
        <w:spacing w:before="120"/>
        <w:ind w:firstLine="170"/>
        <w:rPr>
          <w:rFonts w:asciiTheme="majorBidi" w:hAnsiTheme="majorBidi" w:cstheme="majorBidi"/>
          <w:szCs w:val="18"/>
        </w:rPr>
      </w:pPr>
      <w:proofErr w:type="spellStart"/>
      <w:proofErr w:type="gramStart"/>
      <w:r w:rsidRPr="00856849">
        <w:rPr>
          <w:rFonts w:asciiTheme="majorBidi" w:hAnsiTheme="majorBidi" w:cstheme="majorBidi"/>
          <w:i/>
          <w:szCs w:val="18"/>
          <w:vertAlign w:val="superscript"/>
        </w:rPr>
        <w:t>a</w:t>
      </w:r>
      <w:proofErr w:type="spellEnd"/>
      <w:r w:rsidRPr="00856849">
        <w:rPr>
          <w:rFonts w:asciiTheme="majorBidi" w:hAnsiTheme="majorBidi" w:cstheme="majorBidi"/>
          <w:szCs w:val="18"/>
        </w:rPr>
        <w:t xml:space="preserve">  Figures</w:t>
      </w:r>
      <w:proofErr w:type="gramEnd"/>
      <w:r w:rsidRPr="00856849">
        <w:rPr>
          <w:rFonts w:asciiTheme="majorBidi" w:hAnsiTheme="majorBidi" w:cstheme="majorBidi"/>
          <w:szCs w:val="18"/>
        </w:rPr>
        <w:t xml:space="preserve"> in column B are based on the scale of assessments contained in General Assembly resolution 73/271, adopted on 22 December 2018. </w:t>
      </w:r>
    </w:p>
    <w:p w14:paraId="29357DED" w14:textId="77777777" w:rsidR="00040253" w:rsidRPr="00856849" w:rsidRDefault="00040253" w:rsidP="00040253">
      <w:pPr>
        <w:pStyle w:val="EndnoteText"/>
        <w:widowControl w:val="0"/>
        <w:tabs>
          <w:tab w:val="clear" w:pos="1021"/>
          <w:tab w:val="left" w:pos="1600"/>
        </w:tabs>
        <w:ind w:firstLine="170"/>
        <w:rPr>
          <w:rFonts w:asciiTheme="majorBidi" w:hAnsiTheme="majorBidi" w:cstheme="majorBidi"/>
          <w:i/>
          <w:szCs w:val="18"/>
        </w:rPr>
      </w:pPr>
      <w:proofErr w:type="gramStart"/>
      <w:r w:rsidRPr="00856849">
        <w:rPr>
          <w:rFonts w:asciiTheme="majorBidi" w:hAnsiTheme="majorBidi" w:cstheme="majorBidi"/>
          <w:i/>
          <w:szCs w:val="18"/>
          <w:vertAlign w:val="superscript"/>
        </w:rPr>
        <w:t>b</w:t>
      </w:r>
      <w:r w:rsidRPr="00856849">
        <w:rPr>
          <w:rFonts w:asciiTheme="majorBidi" w:hAnsiTheme="majorBidi" w:cstheme="majorBidi"/>
          <w:szCs w:val="18"/>
        </w:rPr>
        <w:t xml:space="preserve">  The</w:t>
      </w:r>
      <w:proofErr w:type="gramEnd"/>
      <w:r w:rsidRPr="00856849">
        <w:rPr>
          <w:rFonts w:asciiTheme="majorBidi" w:hAnsiTheme="majorBidi" w:cstheme="majorBidi"/>
          <w:szCs w:val="18"/>
        </w:rPr>
        <w:t xml:space="preserve"> percentages from the United Nations scale of assessments have been adjusted for the Convention by using a multiplier of 3.236, in order to arrive at a total of 100 per cent.</w:t>
      </w:r>
    </w:p>
    <w:p w14:paraId="042CA54C" w14:textId="77777777" w:rsidR="00040253" w:rsidRPr="00856849" w:rsidRDefault="00040253" w:rsidP="00040253">
      <w:pPr>
        <w:pStyle w:val="EndnoteText"/>
        <w:widowControl w:val="0"/>
        <w:tabs>
          <w:tab w:val="clear" w:pos="1021"/>
          <w:tab w:val="left" w:pos="1600"/>
        </w:tabs>
        <w:ind w:firstLine="170"/>
        <w:rPr>
          <w:rFonts w:asciiTheme="majorBidi" w:hAnsiTheme="majorBidi" w:cstheme="majorBidi"/>
          <w:szCs w:val="18"/>
        </w:rPr>
      </w:pPr>
      <w:r w:rsidRPr="00856849">
        <w:rPr>
          <w:rFonts w:asciiTheme="majorBidi" w:hAnsiTheme="majorBidi" w:cstheme="majorBidi"/>
          <w:i/>
          <w:szCs w:val="18"/>
          <w:vertAlign w:val="superscript"/>
        </w:rPr>
        <w:t>c</w:t>
      </w:r>
      <w:r w:rsidRPr="00856849">
        <w:rPr>
          <w:rFonts w:asciiTheme="majorBidi" w:hAnsiTheme="majorBidi" w:cstheme="majorBidi"/>
          <w:bCs/>
          <w:szCs w:val="18"/>
        </w:rPr>
        <w:t xml:space="preserve">  Subject to footnote d below on the contribution of the European Union, the figures in column D would be derived by multiplying the percentage value in column C by the annual estimated cost requirement of the work programme, as specified in the draft decision on the work programme 2022–2025 (ECE/MP.PP/…). The actual amounts for the contribution of each Party and Signatory between 2022 and 2025 will be calculated in due course, subject to the consideration and approval of the draft decision on the work programme for 2022–2025. </w:t>
      </w:r>
    </w:p>
    <w:p w14:paraId="3FCE10ED" w14:textId="77777777" w:rsidR="00040253" w:rsidRDefault="00040253" w:rsidP="00040253">
      <w:pPr>
        <w:spacing w:line="220" w:lineRule="exact"/>
        <w:ind w:left="1134" w:right="1134" w:firstLine="170"/>
        <w:rPr>
          <w:rFonts w:asciiTheme="majorBidi" w:hAnsiTheme="majorBidi" w:cstheme="majorBidi"/>
          <w:color w:val="000000"/>
          <w:sz w:val="18"/>
          <w:szCs w:val="18"/>
          <w:lang w:eastAsia="en-GB"/>
        </w:rPr>
      </w:pPr>
      <w:r w:rsidRPr="00856849">
        <w:rPr>
          <w:rFonts w:asciiTheme="majorBidi" w:hAnsiTheme="majorBidi" w:cstheme="majorBidi"/>
          <w:i/>
          <w:sz w:val="18"/>
          <w:szCs w:val="18"/>
          <w:vertAlign w:val="superscript"/>
        </w:rPr>
        <w:t>d</w:t>
      </w:r>
      <w:r w:rsidRPr="00856849">
        <w:rPr>
          <w:rFonts w:asciiTheme="majorBidi" w:hAnsiTheme="majorBidi" w:cstheme="majorBidi"/>
          <w:bCs/>
          <w:sz w:val="18"/>
          <w:szCs w:val="18"/>
        </w:rPr>
        <w:t xml:space="preserve">  A percentage has not been assigned to the European Union, since the European Union is not included in the United Nations scale of assessments and therefore it is not possible to calculate the level of its contribution on the same basis as with the other Parties and Signatories (i.e. on the basis of the adapted United Nations scale of assessments). Pursuant to </w:t>
      </w:r>
      <w:r w:rsidRPr="00856849">
        <w:rPr>
          <w:rFonts w:asciiTheme="majorBidi" w:hAnsiTheme="majorBidi" w:cstheme="majorBidi"/>
          <w:color w:val="000000"/>
          <w:sz w:val="18"/>
          <w:szCs w:val="18"/>
          <w:lang w:eastAsia="en-GB"/>
        </w:rPr>
        <w:t>paragraph 2 of decision I/3 of the Meeting of the Parties, the European Union contribution to activities under the work programme not covered by the United Nations regular budget would account for 2.5 per cent of the total needed for core activities. This commitment is subject to annual endorsement by the budgetary authorities of the European Union.]</w:t>
      </w:r>
    </w:p>
    <w:p w14:paraId="5F6C3667" w14:textId="77777777" w:rsidR="00040253" w:rsidRPr="004F626C" w:rsidRDefault="00040253" w:rsidP="00040253">
      <w:pPr>
        <w:spacing w:before="240"/>
        <w:jc w:val="center"/>
        <w:rPr>
          <w:u w:val="single"/>
        </w:rPr>
      </w:pPr>
      <w:r>
        <w:rPr>
          <w:u w:val="single"/>
        </w:rPr>
        <w:tab/>
      </w:r>
      <w:r>
        <w:rPr>
          <w:u w:val="single"/>
        </w:rPr>
        <w:tab/>
      </w:r>
      <w:r>
        <w:rPr>
          <w:u w:val="single"/>
        </w:rPr>
        <w:tab/>
      </w:r>
    </w:p>
    <w:sectPr w:rsidR="00040253" w:rsidRPr="004F626C" w:rsidSect="00AF01A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68F05" w14:textId="77777777" w:rsidR="0042451B" w:rsidRDefault="0042451B"/>
  </w:endnote>
  <w:endnote w:type="continuationSeparator" w:id="0">
    <w:p w14:paraId="68B2849A" w14:textId="77777777" w:rsidR="0042451B" w:rsidRDefault="0042451B"/>
  </w:endnote>
  <w:endnote w:type="continuationNotice" w:id="1">
    <w:p w14:paraId="4C92B92F" w14:textId="77777777" w:rsidR="0042451B" w:rsidRDefault="00424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D763" w14:textId="7838C34D" w:rsidR="00040253" w:rsidRPr="00040253" w:rsidRDefault="00040253" w:rsidP="00040253">
    <w:pPr>
      <w:pStyle w:val="Footer"/>
      <w:tabs>
        <w:tab w:val="right" w:pos="9638"/>
      </w:tabs>
      <w:rPr>
        <w:sz w:val="18"/>
      </w:rPr>
    </w:pPr>
    <w:r w:rsidRPr="00040253">
      <w:rPr>
        <w:b/>
        <w:sz w:val="18"/>
      </w:rPr>
      <w:fldChar w:fldCharType="begin"/>
    </w:r>
    <w:r w:rsidRPr="00040253">
      <w:rPr>
        <w:b/>
        <w:sz w:val="18"/>
      </w:rPr>
      <w:instrText xml:space="preserve"> PAGE  \* MERGEFORMAT </w:instrText>
    </w:r>
    <w:r w:rsidRPr="00040253">
      <w:rPr>
        <w:b/>
        <w:sz w:val="18"/>
      </w:rPr>
      <w:fldChar w:fldCharType="separate"/>
    </w:r>
    <w:r w:rsidRPr="00040253">
      <w:rPr>
        <w:b/>
        <w:noProof/>
        <w:sz w:val="18"/>
      </w:rPr>
      <w:t>2</w:t>
    </w:r>
    <w:r w:rsidRPr="0004025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EC7B" w14:textId="6FFF22B7" w:rsidR="00040253" w:rsidRPr="00040253" w:rsidRDefault="00040253" w:rsidP="00040253">
    <w:pPr>
      <w:pStyle w:val="Footer"/>
      <w:tabs>
        <w:tab w:val="right" w:pos="9638"/>
      </w:tabs>
      <w:rPr>
        <w:b/>
        <w:sz w:val="18"/>
      </w:rPr>
    </w:pPr>
    <w:r>
      <w:tab/>
    </w:r>
    <w:r w:rsidRPr="00040253">
      <w:rPr>
        <w:b/>
        <w:sz w:val="18"/>
      </w:rPr>
      <w:fldChar w:fldCharType="begin"/>
    </w:r>
    <w:r w:rsidRPr="00040253">
      <w:rPr>
        <w:b/>
        <w:sz w:val="18"/>
      </w:rPr>
      <w:instrText xml:space="preserve"> PAGE  \* MERGEFORMAT </w:instrText>
    </w:r>
    <w:r w:rsidRPr="00040253">
      <w:rPr>
        <w:b/>
        <w:sz w:val="18"/>
      </w:rPr>
      <w:fldChar w:fldCharType="separate"/>
    </w:r>
    <w:r w:rsidRPr="00040253">
      <w:rPr>
        <w:b/>
        <w:noProof/>
        <w:sz w:val="18"/>
      </w:rPr>
      <w:t>3</w:t>
    </w:r>
    <w:r w:rsidRPr="000402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36CA" w14:textId="1DA84FF7" w:rsidR="0035223F" w:rsidRDefault="00AC4AE4" w:rsidP="00AC4AE4">
    <w:pPr>
      <w:pStyle w:val="Footer"/>
      <w:rPr>
        <w:sz w:val="20"/>
      </w:rPr>
    </w:pPr>
    <w:r w:rsidRPr="00AC4AE4">
      <w:rPr>
        <w:noProof/>
        <w:sz w:val="20"/>
        <w:lang w:val="en-US"/>
      </w:rPr>
      <w:drawing>
        <wp:anchor distT="0" distB="0" distL="114300" distR="114300" simplePos="0" relativeHeight="251659776" behindDoc="0" locked="1" layoutInCell="1" allowOverlap="1" wp14:anchorId="420E36B8" wp14:editId="3656091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686A48">
      <w:rPr>
        <w:noProof/>
        <w:lang w:val="fr-CH" w:eastAsia="fr-CH"/>
      </w:rPr>
      <w:drawing>
        <wp:anchor distT="0" distB="0" distL="114300" distR="114300" simplePos="0" relativeHeight="251657728" behindDoc="0" locked="1" layoutInCell="1" allowOverlap="1" wp14:anchorId="58BD96B6" wp14:editId="7C4B96C2">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07392" w14:textId="7322C0AB" w:rsidR="00AC4AE4" w:rsidRPr="00AC4AE4" w:rsidRDefault="00AC4AE4" w:rsidP="00AC4AE4">
    <w:pPr>
      <w:pStyle w:val="Footer"/>
      <w:ind w:right="1134"/>
      <w:rPr>
        <w:sz w:val="20"/>
      </w:rPr>
    </w:pPr>
    <w:r>
      <w:rPr>
        <w:sz w:val="20"/>
      </w:rPr>
      <w:t>GE.21-03632(E)</w:t>
    </w:r>
    <w:r>
      <w:rPr>
        <w:noProof/>
        <w:sz w:val="20"/>
      </w:rPr>
      <w:drawing>
        <wp:anchor distT="0" distB="0" distL="114300" distR="114300" simplePos="0" relativeHeight="251660800" behindDoc="0" locked="0" layoutInCell="1" allowOverlap="1" wp14:anchorId="1B634ABB" wp14:editId="57BC8311">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9FC2D" w14:textId="77777777" w:rsidR="0042451B" w:rsidRPr="000B175B" w:rsidRDefault="0042451B" w:rsidP="000B175B">
      <w:pPr>
        <w:tabs>
          <w:tab w:val="right" w:pos="2155"/>
        </w:tabs>
        <w:spacing w:after="80"/>
        <w:ind w:left="680"/>
        <w:rPr>
          <w:u w:val="single"/>
        </w:rPr>
      </w:pPr>
      <w:r>
        <w:rPr>
          <w:u w:val="single"/>
        </w:rPr>
        <w:tab/>
      </w:r>
    </w:p>
  </w:footnote>
  <w:footnote w:type="continuationSeparator" w:id="0">
    <w:p w14:paraId="4F77597E" w14:textId="77777777" w:rsidR="0042451B" w:rsidRPr="00FC68B7" w:rsidRDefault="0042451B" w:rsidP="00FC68B7">
      <w:pPr>
        <w:tabs>
          <w:tab w:val="left" w:pos="2155"/>
        </w:tabs>
        <w:spacing w:after="80"/>
        <w:ind w:left="680"/>
        <w:rPr>
          <w:u w:val="single"/>
        </w:rPr>
      </w:pPr>
      <w:r>
        <w:rPr>
          <w:u w:val="single"/>
        </w:rPr>
        <w:tab/>
      </w:r>
    </w:p>
  </w:footnote>
  <w:footnote w:type="continuationNotice" w:id="1">
    <w:p w14:paraId="16132EF9" w14:textId="77777777" w:rsidR="0042451B" w:rsidRDefault="0042451B"/>
  </w:footnote>
  <w:footnote w:id="2">
    <w:p w14:paraId="3ED2C27A" w14:textId="77777777" w:rsidR="008904DC" w:rsidRPr="008904DC" w:rsidRDefault="0043363A" w:rsidP="008904DC">
      <w:pPr>
        <w:pStyle w:val="FootnoteText"/>
      </w:pPr>
      <w:r>
        <w:rPr>
          <w:rStyle w:val="FootnoteReference"/>
        </w:rPr>
        <w:tab/>
      </w:r>
      <w:r w:rsidRPr="0043363A">
        <w:rPr>
          <w:rStyle w:val="FootnoteReference"/>
          <w:sz w:val="20"/>
          <w:vertAlign w:val="baseline"/>
        </w:rPr>
        <w:t>*</w:t>
      </w:r>
      <w:r>
        <w:rPr>
          <w:rStyle w:val="FootnoteReference"/>
          <w:sz w:val="20"/>
          <w:vertAlign w:val="baseline"/>
        </w:rPr>
        <w:tab/>
      </w:r>
      <w:r w:rsidR="008904DC" w:rsidRPr="008904DC">
        <w:t>This document was scheduled for publication after the standard publication date owing to circumstances beyond the submitter's control.</w:t>
      </w:r>
    </w:p>
    <w:p w14:paraId="312F06CE" w14:textId="367BA91F" w:rsidR="0043363A" w:rsidRPr="00CA341F" w:rsidRDefault="0043363A">
      <w:pPr>
        <w:pStyle w:val="FootnoteText"/>
      </w:pPr>
    </w:p>
  </w:footnote>
  <w:footnote w:id="3">
    <w:p w14:paraId="556FF33F" w14:textId="77777777" w:rsidR="00040253" w:rsidRPr="001B60BB" w:rsidRDefault="00040253" w:rsidP="00040253">
      <w:pPr>
        <w:pStyle w:val="FootnoteText"/>
      </w:pPr>
      <w:r>
        <w:tab/>
      </w:r>
      <w:r>
        <w:rPr>
          <w:rStyle w:val="FootnoteReference"/>
        </w:rPr>
        <w:footnoteRef/>
      </w:r>
      <w:r>
        <w:t xml:space="preserve"> </w:t>
      </w:r>
      <w:r>
        <w:tab/>
      </w:r>
      <w:r w:rsidRPr="00293CA4">
        <w:t>See ECE/</w:t>
      </w:r>
      <w:proofErr w:type="gramStart"/>
      <w:r w:rsidRPr="00293CA4">
        <w:t>MP.PP</w:t>
      </w:r>
      <w:proofErr w:type="gramEnd"/>
      <w:r w:rsidRPr="00293CA4">
        <w:t xml:space="preserve">/2/Add.14.  </w:t>
      </w:r>
    </w:p>
  </w:footnote>
  <w:footnote w:id="4">
    <w:p w14:paraId="42D38BF5" w14:textId="77777777" w:rsidR="00040253" w:rsidRPr="001B60BB" w:rsidRDefault="00040253" w:rsidP="00040253">
      <w:pPr>
        <w:pStyle w:val="FootnoteText"/>
      </w:pPr>
      <w:r>
        <w:tab/>
      </w:r>
      <w:r>
        <w:rPr>
          <w:rStyle w:val="FootnoteReference"/>
        </w:rPr>
        <w:footnoteRef/>
      </w:r>
      <w:r>
        <w:t xml:space="preserve"> </w:t>
      </w:r>
      <w:r>
        <w:tab/>
        <w:t>See ECE/</w:t>
      </w:r>
      <w:proofErr w:type="gramStart"/>
      <w:r>
        <w:t>MP.PP</w:t>
      </w:r>
      <w:proofErr w:type="gramEnd"/>
      <w:r>
        <w:t>/2005/2/Add.10.</w:t>
      </w:r>
    </w:p>
  </w:footnote>
  <w:footnote w:id="5">
    <w:p w14:paraId="48AD0833" w14:textId="77777777" w:rsidR="00040253" w:rsidRPr="001B60BB" w:rsidRDefault="00040253" w:rsidP="00040253">
      <w:pPr>
        <w:pStyle w:val="FootnoteText"/>
      </w:pPr>
      <w:r>
        <w:tab/>
      </w:r>
      <w:r>
        <w:rPr>
          <w:rStyle w:val="FootnoteReference"/>
        </w:rPr>
        <w:footnoteRef/>
      </w:r>
      <w:r>
        <w:t xml:space="preserve"> </w:t>
      </w:r>
      <w:r>
        <w:tab/>
        <w:t xml:space="preserve">See </w:t>
      </w:r>
      <w:r w:rsidRPr="00534D6E">
        <w:t>ECE/</w:t>
      </w:r>
      <w:proofErr w:type="gramStart"/>
      <w:r w:rsidRPr="00534D6E">
        <w:t>MP.PP</w:t>
      </w:r>
      <w:proofErr w:type="gramEnd"/>
      <w:r w:rsidRPr="00534D6E">
        <w:t>/2008/2/Add.15</w:t>
      </w:r>
      <w:r>
        <w:t>.</w:t>
      </w:r>
    </w:p>
  </w:footnote>
  <w:footnote w:id="6">
    <w:p w14:paraId="31207055" w14:textId="77777777" w:rsidR="00040253" w:rsidRPr="00293CA4" w:rsidRDefault="00040253" w:rsidP="00040253">
      <w:pPr>
        <w:pStyle w:val="FootnoteText"/>
      </w:pPr>
      <w:r>
        <w:tab/>
      </w:r>
      <w:r>
        <w:rPr>
          <w:rStyle w:val="FootnoteReference"/>
        </w:rPr>
        <w:footnoteRef/>
      </w:r>
      <w:r>
        <w:tab/>
        <w:t>See ECE/</w:t>
      </w:r>
      <w:proofErr w:type="gramStart"/>
      <w:r>
        <w:t>MP.PP</w:t>
      </w:r>
      <w:proofErr w:type="gramEnd"/>
      <w:r>
        <w:t xml:space="preserve">/2011/2/Add.1.  </w:t>
      </w:r>
    </w:p>
  </w:footnote>
  <w:footnote w:id="7">
    <w:p w14:paraId="4482449F" w14:textId="77777777" w:rsidR="00040253" w:rsidRPr="00293CA4" w:rsidRDefault="00040253" w:rsidP="00040253">
      <w:pPr>
        <w:pStyle w:val="FootnoteText"/>
      </w:pPr>
      <w:r>
        <w:tab/>
      </w:r>
      <w:r>
        <w:rPr>
          <w:rStyle w:val="FootnoteReference"/>
        </w:rPr>
        <w:footnoteRef/>
      </w:r>
      <w:r>
        <w:t xml:space="preserve"> </w:t>
      </w:r>
      <w:r>
        <w:tab/>
        <w:t>See ECE/</w:t>
      </w:r>
      <w:proofErr w:type="gramStart"/>
      <w:r>
        <w:t>MP.PP</w:t>
      </w:r>
      <w:proofErr w:type="gramEnd"/>
      <w:r>
        <w:t>/2014/2/Add.1.</w:t>
      </w:r>
    </w:p>
  </w:footnote>
  <w:footnote w:id="8">
    <w:p w14:paraId="548F5623" w14:textId="77777777" w:rsidR="00040253" w:rsidRPr="001B60BB" w:rsidRDefault="00040253" w:rsidP="00040253">
      <w:pPr>
        <w:pStyle w:val="FootnoteText"/>
      </w:pPr>
      <w:r>
        <w:tab/>
      </w:r>
      <w:r>
        <w:rPr>
          <w:rStyle w:val="FootnoteReference"/>
        </w:rPr>
        <w:footnoteRef/>
      </w:r>
      <w:r>
        <w:t xml:space="preserve"> </w:t>
      </w:r>
      <w:r>
        <w:tab/>
        <w:t>See ECE/</w:t>
      </w:r>
      <w:proofErr w:type="gramStart"/>
      <w:r>
        <w:t>MP.PP</w:t>
      </w:r>
      <w:proofErr w:type="gramEnd"/>
      <w:r>
        <w:t>/2017/2/Add.1.</w:t>
      </w:r>
    </w:p>
  </w:footnote>
  <w:footnote w:id="9">
    <w:p w14:paraId="19E85668" w14:textId="77777777" w:rsidR="00040253" w:rsidRPr="00D06AAF" w:rsidRDefault="00040253" w:rsidP="00040253">
      <w:pPr>
        <w:pStyle w:val="FootnoteText"/>
      </w:pPr>
      <w:r>
        <w:tab/>
      </w:r>
      <w:r>
        <w:rPr>
          <w:rStyle w:val="FootnoteReference"/>
        </w:rPr>
        <w:footnoteRef/>
      </w:r>
      <w:r>
        <w:tab/>
      </w:r>
      <w:r>
        <w:rPr>
          <w:lang w:val="en-US"/>
        </w:rPr>
        <w:t>This paragraph is to be verified closer to the adoption of the decision.</w:t>
      </w:r>
    </w:p>
  </w:footnote>
  <w:footnote w:id="10">
    <w:p w14:paraId="01479785" w14:textId="77777777" w:rsidR="00040253" w:rsidRPr="00773DFD" w:rsidRDefault="00040253" w:rsidP="00040253">
      <w:pPr>
        <w:pStyle w:val="FootnoteText"/>
        <w:rPr>
          <w:szCs w:val="18"/>
        </w:rPr>
      </w:pPr>
      <w:r>
        <w:tab/>
      </w:r>
      <w:r w:rsidRPr="00773DFD">
        <w:rPr>
          <w:rStyle w:val="FootnoteReference"/>
        </w:rPr>
        <w:footnoteRef/>
      </w:r>
      <w:r w:rsidRPr="00773DFD">
        <w:tab/>
      </w:r>
      <w:r w:rsidRPr="00773DFD">
        <w:rPr>
          <w:color w:val="000000"/>
          <w:lang w:val="en-US"/>
        </w:rPr>
        <w:t xml:space="preserve">The United Nations scale of assessments is adopted by the General Assembly for a three-year period. It </w:t>
      </w:r>
      <w:r w:rsidRPr="00773DFD">
        <w:t xml:space="preserve">provides the basis for calculating the contributions of Member States to the United Nations regular </w:t>
      </w:r>
      <w:r w:rsidRPr="00CE5FD6">
        <w:rPr>
          <w:spacing w:val="-2"/>
        </w:rPr>
        <w:t>budget. In December 201</w:t>
      </w:r>
      <w:r>
        <w:rPr>
          <w:spacing w:val="-2"/>
        </w:rPr>
        <w:t>8</w:t>
      </w:r>
      <w:r w:rsidRPr="00CE5FD6">
        <w:rPr>
          <w:spacing w:val="-2"/>
        </w:rPr>
        <w:t xml:space="preserve">, </w:t>
      </w:r>
      <w:r w:rsidRPr="00CE5FD6">
        <w:rPr>
          <w:color w:val="000000"/>
          <w:spacing w:val="-2"/>
          <w:lang w:val="en-US"/>
        </w:rPr>
        <w:t>the General Assembly adopted resolution 7</w:t>
      </w:r>
      <w:r>
        <w:rPr>
          <w:color w:val="000000"/>
          <w:spacing w:val="-2"/>
          <w:lang w:val="en-US"/>
        </w:rPr>
        <w:t>3</w:t>
      </w:r>
      <w:r w:rsidRPr="00CE5FD6">
        <w:rPr>
          <w:color w:val="000000"/>
          <w:spacing w:val="-2"/>
          <w:lang w:val="en-US"/>
        </w:rPr>
        <w:t>/2</w:t>
      </w:r>
      <w:r>
        <w:rPr>
          <w:color w:val="000000"/>
          <w:spacing w:val="-2"/>
          <w:lang w:val="en-US"/>
        </w:rPr>
        <w:t>71</w:t>
      </w:r>
      <w:r w:rsidRPr="00CE5FD6">
        <w:rPr>
          <w:color w:val="000000"/>
          <w:spacing w:val="-2"/>
          <w:lang w:val="en-US"/>
        </w:rPr>
        <w:t xml:space="preserve"> on a scale of assessments</w:t>
      </w:r>
      <w:r>
        <w:rPr>
          <w:color w:val="000000"/>
          <w:lang w:val="en-US"/>
        </w:rPr>
        <w:t xml:space="preserve"> </w:t>
      </w:r>
      <w:r w:rsidRPr="00773DFD">
        <w:rPr>
          <w:color w:val="000000"/>
          <w:lang w:val="en-US"/>
        </w:rPr>
        <w:t xml:space="preserve">for the </w:t>
      </w:r>
      <w:r>
        <w:rPr>
          <w:color w:val="000000"/>
          <w:lang w:val="en-US"/>
        </w:rPr>
        <w:t xml:space="preserve">apportionment of the expenses of the United Nations for the </w:t>
      </w:r>
      <w:r w:rsidRPr="00773DFD">
        <w:rPr>
          <w:color w:val="000000"/>
          <w:lang w:val="en-US"/>
        </w:rPr>
        <w:t>period 201</w:t>
      </w:r>
      <w:r>
        <w:rPr>
          <w:color w:val="000000"/>
          <w:lang w:val="en-US"/>
        </w:rPr>
        <w:t>9</w:t>
      </w:r>
      <w:r w:rsidRPr="00773DFD">
        <w:rPr>
          <w:color w:val="000000"/>
          <w:lang w:val="en-US"/>
        </w:rPr>
        <w:t>–20</w:t>
      </w:r>
      <w:r>
        <w:rPr>
          <w:color w:val="000000"/>
          <w:lang w:val="en-US"/>
        </w:rPr>
        <w:t>2</w:t>
      </w:r>
      <w:r w:rsidRPr="00773DFD">
        <w:rPr>
          <w:color w:val="000000"/>
          <w:lang w:val="en-US"/>
        </w:rPr>
        <w:t xml:space="preserve">1. </w:t>
      </w:r>
      <w:r>
        <w:rPr>
          <w:color w:val="000000"/>
          <w:lang w:val="en-US"/>
        </w:rPr>
        <w:t>As reaffirmed in that resolution, t</w:t>
      </w:r>
      <w:r w:rsidRPr="00773DFD">
        <w:rPr>
          <w:color w:val="000000"/>
          <w:lang w:val="en-US"/>
        </w:rPr>
        <w:t xml:space="preserve">he fundamental principle for calculating Member States’ </w:t>
      </w:r>
      <w:r>
        <w:rPr>
          <w:color w:val="000000"/>
          <w:lang w:val="en-US"/>
        </w:rPr>
        <w:t>c</w:t>
      </w:r>
      <w:r w:rsidRPr="00773DFD">
        <w:rPr>
          <w:color w:val="000000"/>
          <w:lang w:val="en-US"/>
        </w:rPr>
        <w:t xml:space="preserve">ontributions is that “the expenses of the Organization shall be apportioned </w:t>
      </w:r>
      <w:r>
        <w:rPr>
          <w:color w:val="000000"/>
          <w:lang w:val="en-US"/>
        </w:rPr>
        <w:t xml:space="preserve">broadly </w:t>
      </w:r>
      <w:r w:rsidRPr="00773DFD">
        <w:rPr>
          <w:color w:val="000000"/>
          <w:lang w:val="en-US"/>
        </w:rPr>
        <w:t xml:space="preserve">according to capacity to </w:t>
      </w:r>
      <w:r w:rsidRPr="00773DFD">
        <w:rPr>
          <w:color w:val="000000"/>
          <w:szCs w:val="18"/>
          <w:lang w:val="en-US"/>
        </w:rPr>
        <w:t>pay”.</w:t>
      </w:r>
    </w:p>
  </w:footnote>
  <w:footnote w:id="11">
    <w:p w14:paraId="328C8496" w14:textId="77777777" w:rsidR="00040253" w:rsidRPr="00773DFD" w:rsidRDefault="00040253" w:rsidP="00040253">
      <w:pPr>
        <w:pStyle w:val="FootnoteText"/>
        <w:rPr>
          <w:szCs w:val="18"/>
          <w:lang w:val="en-US"/>
        </w:rPr>
      </w:pPr>
      <w:r w:rsidRPr="00773DFD">
        <w:rPr>
          <w:szCs w:val="18"/>
        </w:rPr>
        <w:tab/>
      </w:r>
      <w:r w:rsidRPr="00773DFD">
        <w:rPr>
          <w:rStyle w:val="FootnoteReference"/>
          <w:szCs w:val="18"/>
        </w:rPr>
        <w:footnoteRef/>
      </w:r>
      <w:r w:rsidRPr="00773DFD">
        <w:rPr>
          <w:szCs w:val="18"/>
        </w:rPr>
        <w:tab/>
        <w:t xml:space="preserve">In accordance with </w:t>
      </w:r>
      <w:r>
        <w:rPr>
          <w:szCs w:val="18"/>
        </w:rPr>
        <w:t xml:space="preserve">General Assembly </w:t>
      </w:r>
      <w:r w:rsidRPr="00773DFD">
        <w:rPr>
          <w:color w:val="000000"/>
          <w:lang w:val="en-US"/>
        </w:rPr>
        <w:t xml:space="preserve">resolution </w:t>
      </w:r>
      <w:r>
        <w:rPr>
          <w:spacing w:val="-1"/>
          <w:position w:val="-1"/>
          <w:szCs w:val="18"/>
        </w:rPr>
        <w:t>73</w:t>
      </w:r>
      <w:r w:rsidRPr="00773DFD">
        <w:rPr>
          <w:spacing w:val="-1"/>
          <w:position w:val="-1"/>
          <w:szCs w:val="18"/>
        </w:rPr>
        <w:t>/</w:t>
      </w:r>
      <w:r w:rsidRPr="00773DFD">
        <w:rPr>
          <w:position w:val="-1"/>
          <w:szCs w:val="18"/>
        </w:rPr>
        <w:t>2</w:t>
      </w:r>
      <w:r>
        <w:rPr>
          <w:position w:val="-1"/>
          <w:szCs w:val="18"/>
        </w:rPr>
        <w:t>71</w:t>
      </w:r>
      <w:r w:rsidRPr="00773DFD">
        <w:rPr>
          <w:position w:val="-1"/>
          <w:szCs w:val="18"/>
        </w:rPr>
        <w:t>, which refers to 22</w:t>
      </w:r>
      <w:r>
        <w:rPr>
          <w:position w:val="-1"/>
          <w:szCs w:val="18"/>
        </w:rPr>
        <w:t xml:space="preserve"> per cent</w:t>
      </w:r>
      <w:r w:rsidRPr="00773DFD">
        <w:rPr>
          <w:position w:val="-1"/>
          <w:szCs w:val="18"/>
        </w:rPr>
        <w:t xml:space="preserve"> </w:t>
      </w:r>
      <w:r w:rsidRPr="00773DFD">
        <w:rPr>
          <w:spacing w:val="4"/>
          <w:szCs w:val="18"/>
        </w:rPr>
        <w:t>f</w:t>
      </w:r>
      <w:r w:rsidRPr="00773DFD">
        <w:rPr>
          <w:spacing w:val="5"/>
          <w:szCs w:val="18"/>
        </w:rPr>
        <w:t>o</w:t>
      </w:r>
      <w:r w:rsidRPr="00773DFD">
        <w:rPr>
          <w:szCs w:val="18"/>
        </w:rPr>
        <w:t>r</w:t>
      </w:r>
      <w:r w:rsidRPr="00773DFD">
        <w:rPr>
          <w:spacing w:val="37"/>
          <w:szCs w:val="18"/>
        </w:rPr>
        <w:t xml:space="preserve"> </w:t>
      </w:r>
      <w:r w:rsidRPr="00773DFD">
        <w:rPr>
          <w:spacing w:val="4"/>
          <w:szCs w:val="18"/>
        </w:rPr>
        <w:t>t</w:t>
      </w:r>
      <w:r w:rsidRPr="00773DFD">
        <w:rPr>
          <w:spacing w:val="5"/>
          <w:szCs w:val="18"/>
        </w:rPr>
        <w:t>h</w:t>
      </w:r>
      <w:r w:rsidRPr="00773DFD">
        <w:rPr>
          <w:szCs w:val="18"/>
        </w:rPr>
        <w:t>e</w:t>
      </w:r>
      <w:r w:rsidRPr="00773DFD">
        <w:rPr>
          <w:spacing w:val="37"/>
          <w:szCs w:val="18"/>
        </w:rPr>
        <w:t xml:space="preserve"> </w:t>
      </w:r>
      <w:r w:rsidRPr="00773DFD">
        <w:rPr>
          <w:spacing w:val="5"/>
          <w:szCs w:val="18"/>
        </w:rPr>
        <w:t>p</w:t>
      </w:r>
      <w:r w:rsidRPr="00773DFD">
        <w:rPr>
          <w:spacing w:val="3"/>
          <w:szCs w:val="18"/>
        </w:rPr>
        <w:t>e</w:t>
      </w:r>
      <w:r w:rsidRPr="00773DFD">
        <w:rPr>
          <w:spacing w:val="4"/>
          <w:szCs w:val="18"/>
        </w:rPr>
        <w:t>rio</w:t>
      </w:r>
      <w:r w:rsidRPr="00773DFD">
        <w:rPr>
          <w:szCs w:val="18"/>
        </w:rPr>
        <w:t>d</w:t>
      </w:r>
      <w:r w:rsidRPr="00773DFD">
        <w:rPr>
          <w:spacing w:val="47"/>
          <w:szCs w:val="18"/>
        </w:rPr>
        <w:t xml:space="preserve"> </w:t>
      </w:r>
      <w:r w:rsidRPr="00773DFD">
        <w:rPr>
          <w:spacing w:val="4"/>
          <w:szCs w:val="18"/>
        </w:rPr>
        <w:t>20</w:t>
      </w:r>
      <w:r w:rsidRPr="00773DFD">
        <w:rPr>
          <w:spacing w:val="5"/>
          <w:szCs w:val="18"/>
        </w:rPr>
        <w:t>1</w:t>
      </w:r>
      <w:r>
        <w:rPr>
          <w:szCs w:val="18"/>
        </w:rPr>
        <w:t>9</w:t>
      </w:r>
      <w:r>
        <w:rPr>
          <w:spacing w:val="42"/>
          <w:szCs w:val="18"/>
        </w:rPr>
        <w:t>–</w:t>
      </w:r>
      <w:r w:rsidRPr="00773DFD">
        <w:rPr>
          <w:spacing w:val="4"/>
          <w:w w:val="103"/>
          <w:szCs w:val="18"/>
        </w:rPr>
        <w:t>20</w:t>
      </w:r>
      <w:r>
        <w:rPr>
          <w:spacing w:val="4"/>
          <w:w w:val="103"/>
          <w:szCs w:val="18"/>
        </w:rPr>
        <w:t>2</w:t>
      </w:r>
      <w:r w:rsidRPr="00773DFD">
        <w:rPr>
          <w:spacing w:val="4"/>
          <w:w w:val="103"/>
          <w:szCs w:val="18"/>
        </w:rPr>
        <w:t>1.</w:t>
      </w:r>
    </w:p>
  </w:footnote>
  <w:footnote w:id="12">
    <w:p w14:paraId="53C73BF8" w14:textId="77777777" w:rsidR="00040253" w:rsidRPr="00682FE1" w:rsidRDefault="00040253" w:rsidP="00040253">
      <w:pPr>
        <w:pStyle w:val="FootnoteText"/>
        <w:rPr>
          <w:lang w:val="en-US"/>
        </w:rPr>
      </w:pPr>
      <w:r>
        <w:tab/>
      </w:r>
      <w:r>
        <w:rPr>
          <w:rStyle w:val="FootnoteReference"/>
          <w:rFonts w:eastAsia="SimSun"/>
        </w:rPr>
        <w:footnoteRef/>
      </w:r>
      <w:r>
        <w:tab/>
        <w:t>United Nations, Global Compact, report, 2015 (revised).</w:t>
      </w:r>
      <w:r w:rsidRPr="003D1C7F" w:rsidDel="004E56B5">
        <w:t xml:space="preserve"> </w:t>
      </w:r>
      <w:r w:rsidRPr="007B1D54">
        <w:t xml:space="preserve">Available </w:t>
      </w:r>
      <w:r>
        <w:t>at</w:t>
      </w:r>
      <w:r w:rsidRPr="007B1D54">
        <w:t xml:space="preserve"> </w:t>
      </w:r>
      <w:hyperlink r:id="rId1" w:history="1">
        <w:r w:rsidRPr="00BC5317">
          <w:t>www.unglobalcompact.org/library/3431</w:t>
        </w:r>
      </w:hyperlink>
      <w:r w:rsidRPr="00BC5317">
        <w:t>.</w:t>
      </w:r>
    </w:p>
  </w:footnote>
  <w:footnote w:id="13">
    <w:p w14:paraId="1D547765" w14:textId="77777777" w:rsidR="00040253" w:rsidRPr="00657D82" w:rsidRDefault="00040253" w:rsidP="00040253">
      <w:pPr>
        <w:pStyle w:val="FootnoteText"/>
      </w:pPr>
      <w:r>
        <w:tab/>
      </w:r>
      <w:r>
        <w:rPr>
          <w:rStyle w:val="FootnoteReference"/>
        </w:rPr>
        <w:footnoteRef/>
      </w:r>
      <w:r>
        <w:tab/>
      </w:r>
      <w:r w:rsidRPr="004260F6">
        <w:rPr>
          <w:i/>
          <w:szCs w:val="18"/>
        </w:rPr>
        <w:t>Official Records of the Economic and Social Council, 2013, Supplement No. 17</w:t>
      </w:r>
      <w:r w:rsidRPr="004260F6">
        <w:rPr>
          <w:szCs w:val="18"/>
        </w:rPr>
        <w:t xml:space="preserve"> (</w:t>
      </w:r>
      <w:r w:rsidRPr="004260F6">
        <w:rPr>
          <w:bCs/>
          <w:szCs w:val="18"/>
        </w:rPr>
        <w:t xml:space="preserve">E/2013/37-E/ECE/1464, </w:t>
      </w:r>
      <w:r w:rsidRPr="004260F6">
        <w:rPr>
          <w:szCs w:val="18"/>
        </w:rPr>
        <w:t>annex III</w:t>
      </w:r>
      <w:r w:rsidRPr="00F82E51">
        <w:rPr>
          <w:szCs w:val="18"/>
        </w:rPr>
        <w:t xml:space="preserve">, </w:t>
      </w:r>
      <w:r>
        <w:rPr>
          <w:szCs w:val="18"/>
        </w:rPr>
        <w:t>paras. 7 and 8</w:t>
      </w:r>
      <w:r w:rsidRPr="00F82E51">
        <w:rPr>
          <w:szCs w:val="18"/>
        </w:rPr>
        <w:t>)</w:t>
      </w:r>
      <w:r w:rsidRPr="004756F8">
        <w:rPr>
          <w:rStyle w:val="Hyperlink"/>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3C5A" w14:textId="65333157" w:rsidR="00040253" w:rsidRPr="00040253" w:rsidRDefault="0042451B">
    <w:pPr>
      <w:pStyle w:val="Header"/>
    </w:pPr>
    <w:r>
      <w:fldChar w:fldCharType="begin"/>
    </w:r>
    <w:r>
      <w:instrText xml:space="preserve"> TITLE  \* MERGEFORMAT </w:instrText>
    </w:r>
    <w:r>
      <w:fldChar w:fldCharType="separate"/>
    </w:r>
    <w:r w:rsidR="00B67EBC">
      <w:t>ECE/</w:t>
    </w:r>
    <w:proofErr w:type="gramStart"/>
    <w:r w:rsidR="00B67EBC">
      <w:t>MP.PP</w:t>
    </w:r>
    <w:proofErr w:type="gramEnd"/>
    <w:r w:rsidR="00B67EBC">
      <w:t>/WG.1/2021/9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B38F" w14:textId="204175C7" w:rsidR="00040253" w:rsidRPr="00040253" w:rsidRDefault="0042451B" w:rsidP="00040253">
    <w:pPr>
      <w:pStyle w:val="Header"/>
      <w:jc w:val="right"/>
    </w:pPr>
    <w:r>
      <w:fldChar w:fldCharType="begin"/>
    </w:r>
    <w:r>
      <w:instrText xml:space="preserve"> TITLE  \* MERGEFORMAT </w:instrText>
    </w:r>
    <w:r>
      <w:fldChar w:fldCharType="separate"/>
    </w:r>
    <w:r w:rsidR="00B67EBC">
      <w:t>ECE/</w:t>
    </w:r>
    <w:proofErr w:type="gramStart"/>
    <w:r w:rsidR="00B67EBC">
      <w:t>MP.PP</w:t>
    </w:r>
    <w:proofErr w:type="gramEnd"/>
    <w:r w:rsidR="00B67EBC">
      <w:t>/WG.1/2021/9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53"/>
    <w:rsid w:val="00002A7D"/>
    <w:rsid w:val="000038A8"/>
    <w:rsid w:val="00006790"/>
    <w:rsid w:val="00027624"/>
    <w:rsid w:val="00040253"/>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56B99"/>
    <w:rsid w:val="00166124"/>
    <w:rsid w:val="00184DDA"/>
    <w:rsid w:val="001900CD"/>
    <w:rsid w:val="001A0452"/>
    <w:rsid w:val="001B4B04"/>
    <w:rsid w:val="001B5875"/>
    <w:rsid w:val="001C4B9C"/>
    <w:rsid w:val="001C6663"/>
    <w:rsid w:val="001C7895"/>
    <w:rsid w:val="001D26DF"/>
    <w:rsid w:val="001E400B"/>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3023"/>
    <w:rsid w:val="00301764"/>
    <w:rsid w:val="00303149"/>
    <w:rsid w:val="003229D8"/>
    <w:rsid w:val="00336C97"/>
    <w:rsid w:val="00337F88"/>
    <w:rsid w:val="00342432"/>
    <w:rsid w:val="00342D27"/>
    <w:rsid w:val="0035223F"/>
    <w:rsid w:val="00352D4B"/>
    <w:rsid w:val="0035638C"/>
    <w:rsid w:val="003A46BB"/>
    <w:rsid w:val="003A4EC7"/>
    <w:rsid w:val="003A7295"/>
    <w:rsid w:val="003B1F60"/>
    <w:rsid w:val="003C2CC4"/>
    <w:rsid w:val="003D4B23"/>
    <w:rsid w:val="003E278A"/>
    <w:rsid w:val="003E3CBC"/>
    <w:rsid w:val="003E62A0"/>
    <w:rsid w:val="0040110C"/>
    <w:rsid w:val="00413520"/>
    <w:rsid w:val="00420AA3"/>
    <w:rsid w:val="0042451B"/>
    <w:rsid w:val="004325CB"/>
    <w:rsid w:val="0043363A"/>
    <w:rsid w:val="00440A07"/>
    <w:rsid w:val="00462880"/>
    <w:rsid w:val="00476F24"/>
    <w:rsid w:val="00494683"/>
    <w:rsid w:val="004B4725"/>
    <w:rsid w:val="004C55B0"/>
    <w:rsid w:val="004D256C"/>
    <w:rsid w:val="004F6BA0"/>
    <w:rsid w:val="00503BEA"/>
    <w:rsid w:val="005171F3"/>
    <w:rsid w:val="00533616"/>
    <w:rsid w:val="00535ABA"/>
    <w:rsid w:val="0053768B"/>
    <w:rsid w:val="005420F2"/>
    <w:rsid w:val="0054285C"/>
    <w:rsid w:val="005570F8"/>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04DC"/>
    <w:rsid w:val="008979B1"/>
    <w:rsid w:val="008A6B25"/>
    <w:rsid w:val="008A6C4F"/>
    <w:rsid w:val="008B389E"/>
    <w:rsid w:val="008D045E"/>
    <w:rsid w:val="008D3F25"/>
    <w:rsid w:val="008D4D82"/>
    <w:rsid w:val="008E0E46"/>
    <w:rsid w:val="008E7116"/>
    <w:rsid w:val="008F143B"/>
    <w:rsid w:val="008F3882"/>
    <w:rsid w:val="008F4B7C"/>
    <w:rsid w:val="00926E47"/>
    <w:rsid w:val="00932935"/>
    <w:rsid w:val="009449EC"/>
    <w:rsid w:val="00947162"/>
    <w:rsid w:val="009610D0"/>
    <w:rsid w:val="0096375C"/>
    <w:rsid w:val="009662E6"/>
    <w:rsid w:val="0097095E"/>
    <w:rsid w:val="0098592B"/>
    <w:rsid w:val="00985FC4"/>
    <w:rsid w:val="00990766"/>
    <w:rsid w:val="00991261"/>
    <w:rsid w:val="00991B48"/>
    <w:rsid w:val="009964C4"/>
    <w:rsid w:val="009A7B81"/>
    <w:rsid w:val="009C7617"/>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C0F2C"/>
    <w:rsid w:val="00AC4AE4"/>
    <w:rsid w:val="00AC502A"/>
    <w:rsid w:val="00AF01A0"/>
    <w:rsid w:val="00AF58C1"/>
    <w:rsid w:val="00B04A3F"/>
    <w:rsid w:val="00B06643"/>
    <w:rsid w:val="00B15055"/>
    <w:rsid w:val="00B20551"/>
    <w:rsid w:val="00B30179"/>
    <w:rsid w:val="00B33FC7"/>
    <w:rsid w:val="00B37B15"/>
    <w:rsid w:val="00B4462A"/>
    <w:rsid w:val="00B45C02"/>
    <w:rsid w:val="00B67EBC"/>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A341F"/>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379C"/>
    <w:rsid w:val="00DD6380"/>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156E"/>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934BDE3"/>
  <w15:docId w15:val="{EE77CBA0-5B86-4987-8215-8E261C0A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qFormat/>
    <w:rsid w:val="00040253"/>
    <w:rPr>
      <w:lang w:val="en-GB"/>
    </w:rPr>
  </w:style>
  <w:style w:type="character" w:customStyle="1" w:styleId="FootnoteTextChar">
    <w:name w:val="Footnote Text Char"/>
    <w:aliases w:val="5_G Char,fn Char,footnote text Char,Footnotes Char,Footnote ak Char,Tekst przypisu Char,Fußnote Char"/>
    <w:link w:val="FootnoteText"/>
    <w:uiPriority w:val="99"/>
    <w:rsid w:val="00040253"/>
    <w:rPr>
      <w:sz w:val="18"/>
      <w:lang w:val="en-GB"/>
    </w:rPr>
  </w:style>
  <w:style w:type="character" w:customStyle="1" w:styleId="EndnoteTextChar">
    <w:name w:val="Endnote Text Char"/>
    <w:aliases w:val="2_G Char"/>
    <w:link w:val="EndnoteText"/>
    <w:rsid w:val="00040253"/>
    <w:rPr>
      <w:sz w:val="18"/>
      <w:lang w:val="en-GB"/>
    </w:rPr>
  </w:style>
  <w:style w:type="character" w:styleId="CommentReference">
    <w:name w:val="annotation reference"/>
    <w:basedOn w:val="DefaultParagraphFont"/>
    <w:semiHidden/>
    <w:unhideWhenUsed/>
    <w:rsid w:val="00040253"/>
    <w:rPr>
      <w:sz w:val="16"/>
      <w:szCs w:val="16"/>
    </w:rPr>
  </w:style>
  <w:style w:type="paragraph" w:styleId="CommentText">
    <w:name w:val="annotation text"/>
    <w:basedOn w:val="Normal"/>
    <w:link w:val="CommentTextChar"/>
    <w:unhideWhenUsed/>
    <w:rsid w:val="00040253"/>
    <w:pPr>
      <w:spacing w:line="240" w:lineRule="auto"/>
    </w:pPr>
  </w:style>
  <w:style w:type="character" w:customStyle="1" w:styleId="CommentTextChar">
    <w:name w:val="Comment Text Char"/>
    <w:basedOn w:val="DefaultParagraphFont"/>
    <w:link w:val="CommentText"/>
    <w:rsid w:val="00040253"/>
    <w:rPr>
      <w:lang w:val="en-GB"/>
    </w:rPr>
  </w:style>
  <w:style w:type="paragraph" w:styleId="CommentSubject">
    <w:name w:val="annotation subject"/>
    <w:basedOn w:val="CommentText"/>
    <w:next w:val="CommentText"/>
    <w:link w:val="CommentSubjectChar"/>
    <w:semiHidden/>
    <w:unhideWhenUsed/>
    <w:rsid w:val="00040253"/>
    <w:rPr>
      <w:b/>
      <w:bCs/>
    </w:rPr>
  </w:style>
  <w:style w:type="character" w:customStyle="1" w:styleId="CommentSubjectChar">
    <w:name w:val="Comment Subject Char"/>
    <w:basedOn w:val="CommentTextChar"/>
    <w:link w:val="CommentSubject"/>
    <w:semiHidden/>
    <w:rsid w:val="0004025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D9BE-6600-48FC-B67B-3350AB0B0058}">
  <ds:schemaRefs>
    <ds:schemaRef ds:uri="http://schemas.microsoft.com/office/2006/metadata/properties"/>
    <ds:schemaRef ds:uri="http://schemas.microsoft.com/office/infopath/2007/PartnerControls"/>
    <ds:schemaRef ds:uri="218fc245-16fb-4e80-b15a-44d5324d7fea"/>
  </ds:schemaRefs>
</ds:datastoreItem>
</file>

<file path=customXml/itemProps2.xml><?xml version="1.0" encoding="utf-8"?>
<ds:datastoreItem xmlns:ds="http://schemas.openxmlformats.org/officeDocument/2006/customXml" ds:itemID="{E41499EB-B493-4D5D-B8F4-13B5871DA414}">
  <ds:schemaRefs>
    <ds:schemaRef ds:uri="http://schemas.microsoft.com/sharepoint/v3/contenttype/forms"/>
  </ds:schemaRefs>
</ds:datastoreItem>
</file>

<file path=customXml/itemProps3.xml><?xml version="1.0" encoding="utf-8"?>
<ds:datastoreItem xmlns:ds="http://schemas.openxmlformats.org/officeDocument/2006/customXml" ds:itemID="{19CE1631-2123-4A6C-A96A-BFCDF11B7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11FAE-9686-4FBD-9104-28808FE1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3052</Words>
  <Characters>16988</Characters>
  <Application>Microsoft Office Word</Application>
  <DocSecurity>0</DocSecurity>
  <Lines>486</Lines>
  <Paragraphs>228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ECE/MP.PP/WG.1/2021/9</dc:title>
  <dc:subject>2103632</dc:subject>
  <dc:creator>Sadaf Shamsie</dc:creator>
  <cp:keywords/>
  <dc:description/>
  <cp:lastModifiedBy>Pauline Anne Princesa ESCALANTE</cp:lastModifiedBy>
  <cp:revision>2</cp:revision>
  <cp:lastPrinted>2009-02-18T09:36:00Z</cp:lastPrinted>
  <dcterms:created xsi:type="dcterms:W3CDTF">2021-03-17T15:10:00Z</dcterms:created>
  <dcterms:modified xsi:type="dcterms:W3CDTF">2021-03-17T15:10:00Z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