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14:paraId="6AEAC2BB" w14:textId="77777777" w:rsidTr="00C97039">
        <w:trPr>
          <w:trHeight w:hRule="exact" w:val="851"/>
        </w:trPr>
        <w:tc>
          <w:tcPr>
            <w:tcW w:w="1276" w:type="dxa"/>
            <w:tcBorders>
              <w:bottom w:val="single" w:sz="4" w:space="0" w:color="auto"/>
            </w:tcBorders>
          </w:tcPr>
          <w:p w14:paraId="08BDC2B5" w14:textId="77777777" w:rsidR="00F35BAF" w:rsidRPr="00DB58B5" w:rsidRDefault="00F35BAF" w:rsidP="004E2BA9"/>
        </w:tc>
        <w:tc>
          <w:tcPr>
            <w:tcW w:w="2268" w:type="dxa"/>
            <w:tcBorders>
              <w:bottom w:val="single" w:sz="4" w:space="0" w:color="auto"/>
            </w:tcBorders>
            <w:vAlign w:val="bottom"/>
          </w:tcPr>
          <w:p w14:paraId="72E35731" w14:textId="77777777"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694F0E8" w14:textId="30278C13" w:rsidR="00F35BAF" w:rsidRPr="00DB58B5" w:rsidRDefault="004E2BA9" w:rsidP="004E2BA9">
            <w:pPr>
              <w:jc w:val="right"/>
            </w:pPr>
            <w:r w:rsidRPr="004E2BA9">
              <w:rPr>
                <w:sz w:val="40"/>
              </w:rPr>
              <w:t>ECE</w:t>
            </w:r>
            <w:r>
              <w:t>/TRANS/WP.29/GRVA/2020/10</w:t>
            </w:r>
            <w:r w:rsidR="00557217" w:rsidRPr="00557217">
              <w:rPr>
                <w:rStyle w:val="Appelnotedebasdep"/>
                <w:sz w:val="20"/>
                <w:vertAlign w:val="baseline"/>
              </w:rPr>
              <w:footnoteReference w:customMarkFollows="1" w:id="2"/>
              <w:t>*</w:t>
            </w:r>
          </w:p>
        </w:tc>
      </w:tr>
      <w:tr w:rsidR="00F35BAF" w:rsidRPr="00DB58B5" w14:paraId="1ACC8074" w14:textId="77777777" w:rsidTr="00C97039">
        <w:trPr>
          <w:trHeight w:hRule="exact" w:val="2835"/>
        </w:trPr>
        <w:tc>
          <w:tcPr>
            <w:tcW w:w="1276" w:type="dxa"/>
            <w:tcBorders>
              <w:top w:val="single" w:sz="4" w:space="0" w:color="auto"/>
              <w:bottom w:val="single" w:sz="12" w:space="0" w:color="auto"/>
            </w:tcBorders>
          </w:tcPr>
          <w:p w14:paraId="4B3D6097" w14:textId="77777777" w:rsidR="00F35BAF" w:rsidRPr="00DB58B5" w:rsidRDefault="00F35BAF" w:rsidP="00C97039">
            <w:pPr>
              <w:spacing w:before="120"/>
              <w:jc w:val="center"/>
            </w:pPr>
            <w:r>
              <w:rPr>
                <w:noProof/>
                <w:lang w:eastAsia="fr-CH"/>
              </w:rPr>
              <w:drawing>
                <wp:inline distT="0" distB="0" distL="0" distR="0" wp14:anchorId="36C48026" wp14:editId="2B74F265">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0CAF66FC" w14:textId="77777777"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14:paraId="400E9B20" w14:textId="77777777" w:rsidR="00F35BAF" w:rsidRDefault="004E2BA9" w:rsidP="00C97039">
            <w:pPr>
              <w:spacing w:before="240"/>
            </w:pPr>
            <w:r>
              <w:t>Distr. générale</w:t>
            </w:r>
          </w:p>
          <w:p w14:paraId="0B6202B4" w14:textId="77777777" w:rsidR="004E2BA9" w:rsidRDefault="004E2BA9" w:rsidP="004E2BA9">
            <w:pPr>
              <w:spacing w:line="240" w:lineRule="exact"/>
            </w:pPr>
            <w:r>
              <w:t>29 novembre 2019</w:t>
            </w:r>
          </w:p>
          <w:p w14:paraId="4A0E7255" w14:textId="77777777" w:rsidR="004E2BA9" w:rsidRDefault="004E2BA9" w:rsidP="004E2BA9">
            <w:pPr>
              <w:spacing w:line="240" w:lineRule="exact"/>
            </w:pPr>
            <w:r>
              <w:t>Français</w:t>
            </w:r>
          </w:p>
          <w:p w14:paraId="2744F089" w14:textId="77777777" w:rsidR="004E2BA9" w:rsidRPr="00DB58B5" w:rsidRDefault="004E2BA9" w:rsidP="004E2BA9">
            <w:pPr>
              <w:spacing w:line="240" w:lineRule="exact"/>
            </w:pPr>
            <w:r>
              <w:t>Original</w:t>
            </w:r>
            <w:r w:rsidR="00092097">
              <w:t> :</w:t>
            </w:r>
            <w:r>
              <w:t xml:space="preserve"> anglais</w:t>
            </w:r>
          </w:p>
        </w:tc>
      </w:tr>
    </w:tbl>
    <w:p w14:paraId="32689CF6" w14:textId="77777777" w:rsidR="007F20FA" w:rsidRPr="000312C0" w:rsidRDefault="007F20FA" w:rsidP="007F20FA">
      <w:pPr>
        <w:spacing w:before="120"/>
        <w:rPr>
          <w:b/>
          <w:sz w:val="28"/>
          <w:szCs w:val="28"/>
        </w:rPr>
      </w:pPr>
      <w:r w:rsidRPr="000312C0">
        <w:rPr>
          <w:b/>
          <w:sz w:val="28"/>
          <w:szCs w:val="28"/>
        </w:rPr>
        <w:t>Commission économique pour l’Europe</w:t>
      </w:r>
    </w:p>
    <w:p w14:paraId="725A5365" w14:textId="77777777" w:rsidR="007F20FA" w:rsidRDefault="007F20FA" w:rsidP="007F20FA">
      <w:pPr>
        <w:spacing w:before="120"/>
        <w:rPr>
          <w:sz w:val="28"/>
          <w:szCs w:val="28"/>
        </w:rPr>
      </w:pPr>
      <w:r w:rsidRPr="00685843">
        <w:rPr>
          <w:sz w:val="28"/>
          <w:szCs w:val="28"/>
        </w:rPr>
        <w:t>Comité des transports intérieurs</w:t>
      </w:r>
    </w:p>
    <w:p w14:paraId="0E3E3538" w14:textId="77777777" w:rsidR="004E2BA9" w:rsidRPr="004E2BA9" w:rsidRDefault="004E2BA9" w:rsidP="004E2BA9">
      <w:pPr>
        <w:kinsoku/>
        <w:overflowPunct/>
        <w:autoSpaceDE/>
        <w:autoSpaceDN/>
        <w:adjustRightInd/>
        <w:snapToGrid/>
        <w:spacing w:before="120" w:line="240" w:lineRule="auto"/>
        <w:rPr>
          <w:rFonts w:eastAsia="Times New Roman"/>
          <w:b/>
          <w:sz w:val="24"/>
          <w:szCs w:val="24"/>
        </w:rPr>
      </w:pPr>
      <w:bookmarkStart w:id="0" w:name="_Hlk518466992"/>
      <w:r w:rsidRPr="004E2BA9">
        <w:rPr>
          <w:rFonts w:eastAsia="Times New Roman"/>
          <w:b/>
          <w:sz w:val="24"/>
          <w:szCs w:val="24"/>
        </w:rPr>
        <w:t xml:space="preserve">Forum mondial de l’harmonisation </w:t>
      </w:r>
      <w:r>
        <w:rPr>
          <w:rFonts w:eastAsia="Times New Roman"/>
          <w:b/>
          <w:sz w:val="24"/>
          <w:szCs w:val="24"/>
        </w:rPr>
        <w:br/>
      </w:r>
      <w:r w:rsidRPr="004E2BA9">
        <w:rPr>
          <w:rFonts w:eastAsia="Times New Roman"/>
          <w:b/>
          <w:sz w:val="24"/>
          <w:szCs w:val="24"/>
        </w:rPr>
        <w:t>des Règlements concernant les véhicules</w:t>
      </w:r>
    </w:p>
    <w:bookmarkEnd w:id="0"/>
    <w:p w14:paraId="038C4BA3" w14:textId="50A1AA1A" w:rsidR="004E2BA9" w:rsidRPr="005817F5" w:rsidRDefault="004E2BA9" w:rsidP="00DA76BC">
      <w:pPr>
        <w:kinsoku/>
        <w:overflowPunct/>
        <w:autoSpaceDE/>
        <w:autoSpaceDN/>
        <w:adjustRightInd/>
        <w:snapToGrid/>
        <w:spacing w:before="120" w:after="120" w:line="240" w:lineRule="auto"/>
        <w:rPr>
          <w:rFonts w:eastAsia="Times New Roman"/>
          <w:b/>
          <w:szCs w:val="24"/>
        </w:rPr>
      </w:pPr>
      <w:r w:rsidRPr="00970262">
        <w:rPr>
          <w:rFonts w:eastAsia="Times New Roman"/>
          <w:b/>
          <w:bCs/>
          <w:szCs w:val="24"/>
        </w:rPr>
        <w:t>Groupe de travail des véhicules automatisés/autonomes et connectés</w:t>
      </w:r>
      <w:r w:rsidR="008E5F94" w:rsidRPr="008E5F94">
        <w:rPr>
          <w:rStyle w:val="Appelnotedebasdep"/>
          <w:rFonts w:eastAsia="Times New Roman"/>
          <w:sz w:val="20"/>
          <w:szCs w:val="24"/>
          <w:vertAlign w:val="baseline"/>
        </w:rPr>
        <w:footnoteReference w:customMarkFollows="1" w:id="3"/>
        <w:t>**</w:t>
      </w:r>
    </w:p>
    <w:p w14:paraId="383E58B9" w14:textId="77777777" w:rsidR="004E2BA9" w:rsidRPr="00970262" w:rsidRDefault="004E2BA9" w:rsidP="004E2BA9">
      <w:pPr>
        <w:kinsoku/>
        <w:overflowPunct/>
        <w:autoSpaceDE/>
        <w:autoSpaceDN/>
        <w:adjustRightInd/>
        <w:snapToGrid/>
        <w:spacing w:line="240" w:lineRule="auto"/>
        <w:rPr>
          <w:rFonts w:eastAsia="Times New Roman"/>
          <w:b/>
          <w:szCs w:val="24"/>
        </w:rPr>
      </w:pPr>
      <w:r w:rsidRPr="00970262">
        <w:rPr>
          <w:rFonts w:eastAsia="Times New Roman"/>
          <w:b/>
          <w:szCs w:val="24"/>
        </w:rPr>
        <w:t>Cinquième session</w:t>
      </w:r>
    </w:p>
    <w:p w14:paraId="4ADE8700" w14:textId="77777777" w:rsidR="004E2BA9" w:rsidRPr="005817F5" w:rsidRDefault="004E2BA9" w:rsidP="004E2BA9">
      <w:pPr>
        <w:kinsoku/>
        <w:overflowPunct/>
        <w:autoSpaceDE/>
        <w:autoSpaceDN/>
        <w:adjustRightInd/>
        <w:snapToGrid/>
        <w:spacing w:line="240" w:lineRule="auto"/>
        <w:rPr>
          <w:rFonts w:eastAsia="Times New Roman"/>
          <w:szCs w:val="24"/>
        </w:rPr>
      </w:pPr>
      <w:r w:rsidRPr="005817F5">
        <w:rPr>
          <w:rFonts w:eastAsia="Times New Roman"/>
          <w:szCs w:val="24"/>
        </w:rPr>
        <w:t>Gen</w:t>
      </w:r>
      <w:r w:rsidRPr="00970262">
        <w:rPr>
          <w:rFonts w:eastAsia="Times New Roman"/>
          <w:szCs w:val="24"/>
        </w:rPr>
        <w:t>ève</w:t>
      </w:r>
      <w:r w:rsidRPr="005817F5">
        <w:rPr>
          <w:rFonts w:eastAsia="Times New Roman"/>
          <w:szCs w:val="24"/>
        </w:rPr>
        <w:t xml:space="preserve">, 10-14 </w:t>
      </w:r>
      <w:r w:rsidRPr="00970262">
        <w:rPr>
          <w:rFonts w:eastAsia="Times New Roman"/>
          <w:szCs w:val="24"/>
        </w:rPr>
        <w:t>février</w:t>
      </w:r>
      <w:r w:rsidRPr="005817F5">
        <w:rPr>
          <w:rFonts w:eastAsia="Times New Roman"/>
          <w:szCs w:val="24"/>
        </w:rPr>
        <w:t xml:space="preserve"> 2020</w:t>
      </w:r>
    </w:p>
    <w:p w14:paraId="55EDE404" w14:textId="77777777" w:rsidR="004E2BA9" w:rsidRPr="005817F5" w:rsidRDefault="004E2BA9" w:rsidP="004E2BA9">
      <w:pPr>
        <w:kinsoku/>
        <w:overflowPunct/>
        <w:autoSpaceDE/>
        <w:autoSpaceDN/>
        <w:adjustRightInd/>
        <w:snapToGrid/>
        <w:spacing w:line="240" w:lineRule="auto"/>
        <w:rPr>
          <w:rFonts w:eastAsia="Times New Roman"/>
          <w:szCs w:val="24"/>
        </w:rPr>
      </w:pPr>
      <w:r w:rsidRPr="00970262">
        <w:rPr>
          <w:rFonts w:eastAsia="Times New Roman"/>
          <w:szCs w:val="24"/>
        </w:rPr>
        <w:t>Point</w:t>
      </w:r>
      <w:r w:rsidRPr="005817F5">
        <w:rPr>
          <w:rFonts w:eastAsia="Times New Roman"/>
          <w:szCs w:val="24"/>
        </w:rPr>
        <w:t xml:space="preserve"> 6 a) </w:t>
      </w:r>
      <w:r w:rsidRPr="00970262">
        <w:rPr>
          <w:rFonts w:eastAsia="Times New Roman"/>
          <w:szCs w:val="24"/>
        </w:rPr>
        <w:t>de l</w:t>
      </w:r>
      <w:r>
        <w:rPr>
          <w:rFonts w:eastAsia="Times New Roman"/>
          <w:szCs w:val="24"/>
        </w:rPr>
        <w:t>’</w:t>
      </w:r>
      <w:r w:rsidRPr="00970262">
        <w:rPr>
          <w:rFonts w:eastAsia="Times New Roman"/>
          <w:szCs w:val="24"/>
        </w:rPr>
        <w:t>ordre du jour provisoire</w:t>
      </w:r>
    </w:p>
    <w:p w14:paraId="22513F34" w14:textId="77777777" w:rsidR="004E2BA9" w:rsidRPr="005817F5" w:rsidRDefault="004E2BA9" w:rsidP="004E2BA9">
      <w:pPr>
        <w:kinsoku/>
        <w:overflowPunct/>
        <w:autoSpaceDE/>
        <w:autoSpaceDN/>
        <w:adjustRightInd/>
        <w:snapToGrid/>
        <w:spacing w:line="240" w:lineRule="auto"/>
        <w:rPr>
          <w:rFonts w:eastAsia="Times New Roman"/>
          <w:b/>
          <w:szCs w:val="24"/>
        </w:rPr>
      </w:pPr>
      <w:r w:rsidRPr="00970262">
        <w:rPr>
          <w:rFonts w:eastAsia="Times New Roman"/>
          <w:b/>
          <w:szCs w:val="24"/>
        </w:rPr>
        <w:t>Règlement ONU n</w:t>
      </w:r>
      <w:r w:rsidRPr="00970262">
        <w:rPr>
          <w:rFonts w:eastAsia="Times New Roman"/>
          <w:b/>
          <w:szCs w:val="24"/>
          <w:vertAlign w:val="superscript"/>
        </w:rPr>
        <w:t>o</w:t>
      </w:r>
      <w:r w:rsidRPr="00970262">
        <w:rPr>
          <w:rFonts w:eastAsia="Times New Roman"/>
          <w:b/>
          <w:szCs w:val="24"/>
        </w:rPr>
        <w:t xml:space="preserve"> </w:t>
      </w:r>
      <w:r w:rsidRPr="005817F5">
        <w:rPr>
          <w:rFonts w:eastAsia="Times New Roman"/>
          <w:b/>
          <w:szCs w:val="24"/>
        </w:rPr>
        <w:t>79 (</w:t>
      </w:r>
      <w:r>
        <w:rPr>
          <w:rFonts w:eastAsia="Times New Roman"/>
          <w:b/>
          <w:szCs w:val="24"/>
        </w:rPr>
        <w:t>Équipement de direction</w:t>
      </w:r>
      <w:r w:rsidRPr="005817F5">
        <w:rPr>
          <w:rFonts w:eastAsia="Times New Roman"/>
          <w:b/>
          <w:szCs w:val="24"/>
        </w:rPr>
        <w:t>)</w:t>
      </w:r>
      <w:r w:rsidR="00092097">
        <w:rPr>
          <w:rFonts w:eastAsia="Times New Roman"/>
          <w:b/>
          <w:szCs w:val="24"/>
        </w:rPr>
        <w:t> :</w:t>
      </w:r>
      <w:r w:rsidRPr="005817F5">
        <w:rPr>
          <w:rFonts w:eastAsia="Times New Roman"/>
          <w:b/>
          <w:szCs w:val="24"/>
        </w:rPr>
        <w:br/>
      </w:r>
      <w:bookmarkStart w:id="1" w:name="_Hlk26791861"/>
      <w:r w:rsidRPr="00970262">
        <w:rPr>
          <w:rFonts w:eastAsia="Times New Roman"/>
          <w:b/>
          <w:szCs w:val="24"/>
        </w:rPr>
        <w:t>Fonction de direction à commande automatique</w:t>
      </w:r>
      <w:bookmarkEnd w:id="1"/>
    </w:p>
    <w:p w14:paraId="21F267E3" w14:textId="77777777" w:rsidR="004E2BA9" w:rsidRPr="005817F5" w:rsidRDefault="004E2BA9" w:rsidP="004E2BA9">
      <w:pPr>
        <w:pStyle w:val="HChG"/>
      </w:pPr>
      <w:r w:rsidRPr="005817F5">
        <w:tab/>
      </w:r>
      <w:r w:rsidRPr="005817F5">
        <w:tab/>
        <w:t>Propos</w:t>
      </w:r>
      <w:r w:rsidRPr="00970262">
        <w:t xml:space="preserve">ition de </w:t>
      </w:r>
      <w:r>
        <w:t>c</w:t>
      </w:r>
      <w:r w:rsidRPr="00970262">
        <w:t>ompléments aux séries</w:t>
      </w:r>
      <w:r w:rsidRPr="005817F5">
        <w:t xml:space="preserve"> 02 </w:t>
      </w:r>
      <w:r w:rsidRPr="00970262">
        <w:t>et</w:t>
      </w:r>
      <w:r w:rsidRPr="005817F5">
        <w:t xml:space="preserve"> 03 </w:t>
      </w:r>
      <w:r w:rsidRPr="00970262">
        <w:t>d</w:t>
      </w:r>
      <w:r>
        <w:t>’</w:t>
      </w:r>
      <w:r w:rsidRPr="00970262">
        <w:t>amendements au Règlement ONU n</w:t>
      </w:r>
      <w:r w:rsidRPr="00970262">
        <w:rPr>
          <w:vertAlign w:val="superscript"/>
        </w:rPr>
        <w:t>o</w:t>
      </w:r>
      <w:r>
        <w:t> </w:t>
      </w:r>
      <w:r w:rsidRPr="005817F5">
        <w:t xml:space="preserve">79 </w:t>
      </w:r>
      <w:r>
        <w:br/>
      </w:r>
      <w:r w:rsidRPr="005817F5">
        <w:t>(</w:t>
      </w:r>
      <w:r w:rsidRPr="00970262">
        <w:t>Équipement de direction</w:t>
      </w:r>
      <w:r w:rsidRPr="005817F5">
        <w:t>)</w:t>
      </w:r>
    </w:p>
    <w:p w14:paraId="6B883991" w14:textId="4B9D70EB" w:rsidR="004E2BA9" w:rsidRPr="005817F5" w:rsidRDefault="004E2BA9" w:rsidP="004E2BA9">
      <w:pPr>
        <w:pStyle w:val="H1G"/>
      </w:pPr>
      <w:r w:rsidRPr="005817F5">
        <w:tab/>
      </w:r>
      <w:r w:rsidRPr="005817F5">
        <w:tab/>
      </w:r>
      <w:r w:rsidRPr="00970262">
        <w:t>Communication des experts de l</w:t>
      </w:r>
      <w:r>
        <w:t>’</w:t>
      </w:r>
      <w:r w:rsidRPr="00970262">
        <w:t xml:space="preserve">Organisation internationale </w:t>
      </w:r>
      <w:r>
        <w:br/>
      </w:r>
      <w:r w:rsidRPr="00970262">
        <w:t>des constructeurs d</w:t>
      </w:r>
      <w:r>
        <w:t>’</w:t>
      </w:r>
      <w:r w:rsidRPr="00970262">
        <w:t>automobiles et de l</w:t>
      </w:r>
      <w:r>
        <w:t>’</w:t>
      </w:r>
      <w:r w:rsidRPr="00970262">
        <w:t xml:space="preserve">Association </w:t>
      </w:r>
      <w:r>
        <w:br/>
      </w:r>
      <w:r w:rsidRPr="00970262">
        <w:t>européenne des fournisseurs de l</w:t>
      </w:r>
      <w:r>
        <w:t>’</w:t>
      </w:r>
      <w:r w:rsidRPr="00970262">
        <w:t>automobile</w:t>
      </w:r>
      <w:r w:rsidR="008E5F94" w:rsidRPr="008E5F94">
        <w:rPr>
          <w:rStyle w:val="Appelnotedebasdep"/>
          <w:b w:val="0"/>
          <w:bCs/>
          <w:sz w:val="20"/>
          <w:vertAlign w:val="baseline"/>
        </w:rPr>
        <w:footnoteReference w:customMarkFollows="1" w:id="4"/>
        <w:t>***</w:t>
      </w:r>
    </w:p>
    <w:p w14:paraId="6415622A" w14:textId="77777777" w:rsidR="004E2BA9" w:rsidRPr="005817F5" w:rsidRDefault="004E2BA9" w:rsidP="00426747">
      <w:pPr>
        <w:pStyle w:val="SingleTxtG"/>
        <w:ind w:firstLine="567"/>
      </w:pPr>
      <w:r w:rsidRPr="005817F5">
        <w:tab/>
      </w:r>
      <w:r w:rsidRPr="00911C53">
        <w:t>Le texte ci-après</w:t>
      </w:r>
      <w:r>
        <w:t xml:space="preserve">, </w:t>
      </w:r>
      <w:r w:rsidRPr="00911C53">
        <w:t>établi par les experts de l</w:t>
      </w:r>
      <w:r>
        <w:t>’</w:t>
      </w:r>
      <w:r w:rsidRPr="00911C53">
        <w:t>Organisation internationale des constructeurs d</w:t>
      </w:r>
      <w:r>
        <w:t>’</w:t>
      </w:r>
      <w:r w:rsidRPr="00911C53">
        <w:t>automobiles (OICA) et de l</w:t>
      </w:r>
      <w:r>
        <w:t>’</w:t>
      </w:r>
      <w:r w:rsidRPr="00911C53">
        <w:t>Association européenne des fournisseurs de l</w:t>
      </w:r>
      <w:r>
        <w:t>’</w:t>
      </w:r>
      <w:r w:rsidRPr="00911C53">
        <w:t xml:space="preserve">automobile (CLEPA), </w:t>
      </w:r>
      <w:r>
        <w:t>vise à</w:t>
      </w:r>
      <w:r w:rsidRPr="00911C53">
        <w:t xml:space="preserve"> modifier </w:t>
      </w:r>
      <w:r>
        <w:t>les dispositions relatives à la f</w:t>
      </w:r>
      <w:r w:rsidRPr="00E327A4">
        <w:t xml:space="preserve">onction de direction à commande automatique </w:t>
      </w:r>
      <w:r>
        <w:t>(ACSF) de la catégorie</w:t>
      </w:r>
      <w:r w:rsidR="0087613A">
        <w:t> </w:t>
      </w:r>
      <w:r>
        <w:t xml:space="preserve">B dans le Règlement ONU </w:t>
      </w:r>
      <w:r w:rsidRPr="00E327A4">
        <w:t>n</w:t>
      </w:r>
      <w:r w:rsidRPr="00E327A4">
        <w:rPr>
          <w:vertAlign w:val="superscript"/>
        </w:rPr>
        <w:t>o</w:t>
      </w:r>
      <w:r w:rsidRPr="005817F5">
        <w:t xml:space="preserve"> 79. </w:t>
      </w:r>
      <w:r>
        <w:t xml:space="preserve">Il est fondé sur le </w:t>
      </w:r>
      <w:bookmarkStart w:id="2" w:name="_GoBack"/>
      <w:bookmarkEnd w:id="2"/>
      <w:r>
        <w:t xml:space="preserve">document </w:t>
      </w:r>
      <w:r w:rsidRPr="005817F5">
        <w:t xml:space="preserve">GRVA-04-08. </w:t>
      </w:r>
      <w:r w:rsidRPr="00E327A4">
        <w:t>Les modifications qu</w:t>
      </w:r>
      <w:r>
        <w:t>’</w:t>
      </w:r>
      <w:r w:rsidRPr="00E327A4">
        <w:t>il est proposé d</w:t>
      </w:r>
      <w:r>
        <w:t>’</w:t>
      </w:r>
      <w:r w:rsidRPr="00E327A4">
        <w:t>apporter au texte actuel du Règlement figurent en caractères gras pour les ajouts et biffés pour les suppressions.</w:t>
      </w:r>
    </w:p>
    <w:p w14:paraId="2363D414" w14:textId="77777777" w:rsidR="004E2BA9" w:rsidRPr="005817F5" w:rsidRDefault="00092097" w:rsidP="00092097">
      <w:pPr>
        <w:pStyle w:val="HChG"/>
      </w:pPr>
      <w:r>
        <w:br w:type="page"/>
      </w:r>
      <w:r w:rsidR="004E2BA9" w:rsidRPr="005817F5">
        <w:lastRenderedPageBreak/>
        <w:tab/>
        <w:t>I.</w:t>
      </w:r>
      <w:r w:rsidR="004E2BA9" w:rsidRPr="005817F5">
        <w:tab/>
        <w:t>Propos</w:t>
      </w:r>
      <w:r w:rsidR="004E2BA9" w:rsidRPr="00970262">
        <w:t>ition</w:t>
      </w:r>
    </w:p>
    <w:p w14:paraId="47CBCF8B" w14:textId="77777777" w:rsidR="004E2BA9" w:rsidRPr="005817F5" w:rsidRDefault="004E2BA9" w:rsidP="00092097">
      <w:pPr>
        <w:pStyle w:val="SingleTxtG"/>
      </w:pPr>
      <w:bookmarkStart w:id="3" w:name="_Hlk20393058"/>
      <w:r w:rsidRPr="00092097">
        <w:rPr>
          <w:i/>
        </w:rPr>
        <w:t>Paragraphe 5.6.2.3, ajouter un nouvel alinéa 5.6.2.3.1.3</w:t>
      </w:r>
      <w:r w:rsidRPr="005817F5">
        <w:t xml:space="preserve">, </w:t>
      </w:r>
      <w:r w:rsidRPr="00EA1AFE">
        <w:t>libellé</w:t>
      </w:r>
      <w:r>
        <w:t xml:space="preserve"> </w:t>
      </w:r>
      <w:r w:rsidRPr="00970262">
        <w:t>comme suit</w:t>
      </w:r>
      <w:r w:rsidR="00092097">
        <w:t> :</w:t>
      </w:r>
    </w:p>
    <w:p w14:paraId="70E5DDE3" w14:textId="77777777" w:rsidR="004E2BA9" w:rsidRPr="005817F5" w:rsidRDefault="004E2BA9" w:rsidP="00092097">
      <w:pPr>
        <w:pStyle w:val="SingleTxtG"/>
        <w:ind w:left="2268" w:hanging="1134"/>
      </w:pPr>
      <w:r>
        <w:t>« </w:t>
      </w:r>
      <w:r w:rsidRPr="005817F5">
        <w:t>5.6.2.3</w:t>
      </w:r>
      <w:r w:rsidRPr="005817F5">
        <w:tab/>
      </w:r>
      <w:r w:rsidRPr="00970262">
        <w:t>Données d</w:t>
      </w:r>
      <w:r>
        <w:t>’</w:t>
      </w:r>
      <w:r w:rsidRPr="00970262">
        <w:t>information sur le système</w:t>
      </w:r>
    </w:p>
    <w:p w14:paraId="3D7E37DD" w14:textId="77777777" w:rsidR="004E2BA9" w:rsidRPr="005817F5" w:rsidRDefault="004E2BA9" w:rsidP="00092097">
      <w:pPr>
        <w:pStyle w:val="SingleTxtG"/>
        <w:ind w:left="2268" w:hanging="1134"/>
        <w:rPr>
          <w:rFonts w:eastAsia="Times New Roman"/>
          <w:szCs w:val="24"/>
        </w:rPr>
      </w:pPr>
      <w:r w:rsidRPr="005817F5">
        <w:rPr>
          <w:rFonts w:eastAsia="Times New Roman"/>
          <w:szCs w:val="24"/>
        </w:rPr>
        <w:t>5.6.2.3.1</w:t>
      </w:r>
      <w:r w:rsidRPr="005817F5">
        <w:rPr>
          <w:rFonts w:eastAsia="Times New Roman"/>
          <w:szCs w:val="24"/>
        </w:rPr>
        <w:tab/>
      </w:r>
      <w:r w:rsidRPr="00970262">
        <w:rPr>
          <w:rFonts w:eastAsia="Times New Roman"/>
          <w:szCs w:val="24"/>
        </w:rPr>
        <w:t>Les données suivantes doivent être fournies au service technique, avec le dossier d</w:t>
      </w:r>
      <w:r>
        <w:rPr>
          <w:rFonts w:eastAsia="Times New Roman"/>
          <w:szCs w:val="24"/>
        </w:rPr>
        <w:t>’</w:t>
      </w:r>
      <w:r w:rsidRPr="00970262">
        <w:rPr>
          <w:rFonts w:eastAsia="Times New Roman"/>
          <w:szCs w:val="24"/>
        </w:rPr>
        <w:t>information visé à l</w:t>
      </w:r>
      <w:r>
        <w:rPr>
          <w:rFonts w:eastAsia="Times New Roman"/>
          <w:szCs w:val="24"/>
        </w:rPr>
        <w:t>’</w:t>
      </w:r>
      <w:r w:rsidRPr="00970262">
        <w:rPr>
          <w:rFonts w:eastAsia="Times New Roman"/>
          <w:szCs w:val="24"/>
        </w:rPr>
        <w:t>annexe 6 du présent Règlement, au moment de l</w:t>
      </w:r>
      <w:r>
        <w:rPr>
          <w:rFonts w:eastAsia="Times New Roman"/>
          <w:szCs w:val="24"/>
        </w:rPr>
        <w:t>’</w:t>
      </w:r>
      <w:r w:rsidRPr="00970262">
        <w:rPr>
          <w:rFonts w:eastAsia="Times New Roman"/>
          <w:szCs w:val="24"/>
        </w:rPr>
        <w:t>homologation de type</w:t>
      </w:r>
      <w:r w:rsidR="00092097">
        <w:rPr>
          <w:rFonts w:eastAsia="Times New Roman"/>
          <w:szCs w:val="24"/>
        </w:rPr>
        <w:t> :</w:t>
      </w:r>
      <w:r w:rsidRPr="005817F5">
        <w:rPr>
          <w:rFonts w:eastAsia="Times New Roman"/>
          <w:szCs w:val="24"/>
        </w:rPr>
        <w:t xml:space="preserve"> </w:t>
      </w:r>
    </w:p>
    <w:p w14:paraId="2E31F06E" w14:textId="77777777" w:rsidR="004E2BA9" w:rsidRPr="005817F5" w:rsidRDefault="004E2BA9" w:rsidP="00092097">
      <w:pPr>
        <w:pStyle w:val="SingleTxtG"/>
      </w:pPr>
      <w:r w:rsidRPr="005817F5">
        <w:t>…</w:t>
      </w:r>
    </w:p>
    <w:p w14:paraId="4CE168F4" w14:textId="77777777" w:rsidR="004E2BA9" w:rsidRPr="005817F5" w:rsidRDefault="004E2BA9" w:rsidP="00092097">
      <w:pPr>
        <w:pStyle w:val="SingleTxtG"/>
        <w:ind w:left="2268" w:hanging="1134"/>
        <w:rPr>
          <w:rFonts w:eastAsia="Times New Roman"/>
          <w:bCs/>
          <w:szCs w:val="24"/>
        </w:rPr>
      </w:pPr>
      <w:r w:rsidRPr="005817F5">
        <w:rPr>
          <w:rFonts w:eastAsia="Times New Roman"/>
          <w:b/>
          <w:szCs w:val="24"/>
        </w:rPr>
        <w:t>5.6.2.3.1.3</w:t>
      </w:r>
      <w:r w:rsidRPr="005817F5">
        <w:rPr>
          <w:rFonts w:eastAsia="Times New Roman"/>
          <w:b/>
          <w:szCs w:val="24"/>
        </w:rPr>
        <w:tab/>
      </w:r>
      <w:r>
        <w:rPr>
          <w:rFonts w:eastAsia="Times New Roman"/>
          <w:b/>
          <w:szCs w:val="24"/>
        </w:rPr>
        <w:t>Les informations relatives aux variables</w:t>
      </w:r>
      <w:r w:rsidRPr="005817F5">
        <w:rPr>
          <w:rFonts w:eastAsia="Times New Roman"/>
          <w:b/>
          <w:szCs w:val="24"/>
        </w:rPr>
        <w:t xml:space="preserve"> </w:t>
      </w:r>
      <w:r>
        <w:rPr>
          <w:rFonts w:eastAsia="Times New Roman"/>
          <w:b/>
          <w:szCs w:val="24"/>
        </w:rPr>
        <w:t xml:space="preserve">d’entrée autres que les marques routières </w:t>
      </w:r>
      <w:r w:rsidRPr="005817F5">
        <w:rPr>
          <w:rFonts w:eastAsia="Times New Roman"/>
          <w:b/>
          <w:szCs w:val="24"/>
        </w:rPr>
        <w:t>(</w:t>
      </w:r>
      <w:r>
        <w:rPr>
          <w:rFonts w:eastAsia="Times New Roman"/>
          <w:b/>
          <w:szCs w:val="24"/>
        </w:rPr>
        <w:t>par exemple,</w:t>
      </w:r>
      <w:r w:rsidRPr="005817F5">
        <w:rPr>
          <w:rFonts w:eastAsia="Times New Roman"/>
          <w:b/>
          <w:szCs w:val="24"/>
        </w:rPr>
        <w:t xml:space="preserve"> </w:t>
      </w:r>
      <w:r>
        <w:rPr>
          <w:rFonts w:eastAsia="Times New Roman"/>
          <w:b/>
          <w:szCs w:val="24"/>
        </w:rPr>
        <w:t>délimitations des routes</w:t>
      </w:r>
      <w:r w:rsidRPr="005817F5">
        <w:rPr>
          <w:rFonts w:eastAsia="Times New Roman"/>
          <w:b/>
          <w:szCs w:val="24"/>
        </w:rPr>
        <w:t xml:space="preserve">, </w:t>
      </w:r>
      <w:r>
        <w:rPr>
          <w:rFonts w:eastAsia="Times New Roman"/>
          <w:b/>
          <w:szCs w:val="24"/>
        </w:rPr>
        <w:t>séparateur physique</w:t>
      </w:r>
      <w:r w:rsidRPr="005817F5">
        <w:rPr>
          <w:rFonts w:eastAsia="Times New Roman"/>
          <w:b/>
          <w:szCs w:val="24"/>
        </w:rPr>
        <w:t xml:space="preserve">, </w:t>
      </w:r>
      <w:r>
        <w:rPr>
          <w:rFonts w:eastAsia="Times New Roman"/>
          <w:b/>
          <w:szCs w:val="24"/>
        </w:rPr>
        <w:t>circulation routière</w:t>
      </w:r>
      <w:r w:rsidRPr="005817F5">
        <w:rPr>
          <w:rFonts w:eastAsia="Times New Roman"/>
          <w:b/>
          <w:szCs w:val="24"/>
        </w:rPr>
        <w:t xml:space="preserve">, </w:t>
      </w:r>
      <w:r>
        <w:rPr>
          <w:rFonts w:eastAsia="Times New Roman"/>
          <w:b/>
          <w:szCs w:val="24"/>
        </w:rPr>
        <w:t>données de la carte</w:t>
      </w:r>
      <w:r w:rsidRPr="005817F5">
        <w:rPr>
          <w:rFonts w:eastAsia="Times New Roman"/>
          <w:b/>
          <w:szCs w:val="24"/>
        </w:rPr>
        <w:t xml:space="preserve">) </w:t>
      </w:r>
      <w:r>
        <w:rPr>
          <w:rFonts w:eastAsia="Times New Roman"/>
          <w:b/>
          <w:szCs w:val="24"/>
        </w:rPr>
        <w:t>utilisées par le système pour déterminer avec précision le tracé de la voie</w:t>
      </w:r>
      <w:r w:rsidRPr="005817F5">
        <w:rPr>
          <w:rFonts w:eastAsia="Times New Roman"/>
          <w:b/>
          <w:szCs w:val="24"/>
        </w:rPr>
        <w:t>.</w:t>
      </w:r>
      <w:r>
        <w:rPr>
          <w:rFonts w:eastAsia="Times New Roman"/>
          <w:bCs/>
          <w:szCs w:val="24"/>
        </w:rPr>
        <w:t> »</w:t>
      </w:r>
      <w:r w:rsidR="00E70837">
        <w:rPr>
          <w:rFonts w:eastAsia="Times New Roman"/>
          <w:bCs/>
          <w:szCs w:val="24"/>
        </w:rPr>
        <w:t>.</w:t>
      </w:r>
    </w:p>
    <w:p w14:paraId="7E842CEE" w14:textId="77777777" w:rsidR="004E2BA9" w:rsidRPr="005817F5" w:rsidRDefault="004E2BA9" w:rsidP="00092097">
      <w:pPr>
        <w:pStyle w:val="SingleTxtG"/>
      </w:pPr>
      <w:r w:rsidRPr="00092097">
        <w:rPr>
          <w:i/>
        </w:rPr>
        <w:t>Annexe 8, paragraphes 3.2.4.1 et 3.2.4.2</w:t>
      </w:r>
      <w:r w:rsidRPr="005817F5">
        <w:t xml:space="preserve">, </w:t>
      </w:r>
      <w:r>
        <w:t>lire</w:t>
      </w:r>
      <w:r w:rsidR="00092097">
        <w:t> </w:t>
      </w:r>
      <w:r w:rsidRPr="005817F5">
        <w:t xml:space="preserve">: </w:t>
      </w:r>
    </w:p>
    <w:p w14:paraId="2FBCB3ED" w14:textId="77777777" w:rsidR="004E2BA9" w:rsidRPr="005817F5" w:rsidRDefault="004E2BA9" w:rsidP="00092097">
      <w:pPr>
        <w:pStyle w:val="SingleTxtG"/>
        <w:ind w:left="2268" w:hanging="1134"/>
        <w:rPr>
          <w:rFonts w:eastAsia="Times New Roman"/>
          <w:szCs w:val="24"/>
        </w:rPr>
      </w:pPr>
      <w:r>
        <w:rPr>
          <w:rFonts w:eastAsia="Times New Roman"/>
          <w:szCs w:val="24"/>
        </w:rPr>
        <w:t>« </w:t>
      </w:r>
      <w:r w:rsidRPr="005817F5">
        <w:rPr>
          <w:rFonts w:eastAsia="Times New Roman"/>
          <w:szCs w:val="24"/>
        </w:rPr>
        <w:t>3.2.4</w:t>
      </w:r>
      <w:r w:rsidRPr="005817F5">
        <w:rPr>
          <w:rFonts w:eastAsia="Times New Roman"/>
          <w:szCs w:val="24"/>
        </w:rPr>
        <w:tab/>
      </w:r>
      <w:r w:rsidRPr="00307F1F">
        <w:rPr>
          <w:rFonts w:eastAsia="Times New Roman"/>
          <w:szCs w:val="24"/>
        </w:rPr>
        <w:t>Essai de transition</w:t>
      </w:r>
      <w:r w:rsidR="00092097">
        <w:rPr>
          <w:rFonts w:eastAsia="Times New Roman"/>
          <w:szCs w:val="24"/>
        </w:rPr>
        <w:t> ;</w:t>
      </w:r>
      <w:r w:rsidRPr="00307F1F">
        <w:rPr>
          <w:rFonts w:eastAsia="Times New Roman"/>
          <w:szCs w:val="24"/>
        </w:rPr>
        <w:t xml:space="preserve"> tenue du volant</w:t>
      </w:r>
    </w:p>
    <w:p w14:paraId="754F6289" w14:textId="77777777" w:rsidR="004E2BA9" w:rsidRPr="005817F5" w:rsidRDefault="004E2BA9" w:rsidP="00092097">
      <w:pPr>
        <w:pStyle w:val="SingleTxtG"/>
        <w:ind w:left="2268" w:hanging="1134"/>
        <w:rPr>
          <w:rFonts w:eastAsia="Times New Roman"/>
          <w:szCs w:val="24"/>
        </w:rPr>
      </w:pPr>
      <w:r w:rsidRPr="005817F5">
        <w:rPr>
          <w:rFonts w:eastAsia="Times New Roman"/>
          <w:szCs w:val="24"/>
        </w:rPr>
        <w:t>3.2.4.1</w:t>
      </w:r>
      <w:r w:rsidRPr="005817F5">
        <w:rPr>
          <w:rFonts w:eastAsia="Times New Roman"/>
          <w:szCs w:val="24"/>
        </w:rPr>
        <w:tab/>
      </w:r>
      <w:r w:rsidRPr="00307F1F">
        <w:rPr>
          <w:rFonts w:eastAsia="Times New Roman"/>
          <w:szCs w:val="24"/>
        </w:rPr>
        <w:t>Le véhicule doit être conduit avec l</w:t>
      </w:r>
      <w:r>
        <w:rPr>
          <w:rFonts w:eastAsia="Times New Roman"/>
          <w:szCs w:val="24"/>
        </w:rPr>
        <w:t>’</w:t>
      </w:r>
      <w:r w:rsidRPr="00307F1F">
        <w:rPr>
          <w:rFonts w:eastAsia="Times New Roman"/>
          <w:szCs w:val="24"/>
        </w:rPr>
        <w:t>ACSF activée, à une vitesse d</w:t>
      </w:r>
      <w:r>
        <w:rPr>
          <w:rFonts w:eastAsia="Times New Roman"/>
          <w:szCs w:val="24"/>
        </w:rPr>
        <w:t>’</w:t>
      </w:r>
      <w:r w:rsidRPr="00307F1F">
        <w:rPr>
          <w:rFonts w:eastAsia="Times New Roman"/>
          <w:szCs w:val="24"/>
        </w:rPr>
        <w:t xml:space="preserve">essai comprise entre </w:t>
      </w:r>
      <w:proofErr w:type="spellStart"/>
      <w:r w:rsidRPr="00307F1F">
        <w:rPr>
          <w:rFonts w:eastAsia="Times New Roman"/>
          <w:szCs w:val="24"/>
        </w:rPr>
        <w:t>V</w:t>
      </w:r>
      <w:r w:rsidRPr="006C0DEC">
        <w:rPr>
          <w:rFonts w:eastAsia="Times New Roman"/>
          <w:szCs w:val="24"/>
          <w:vertAlign w:val="subscript"/>
        </w:rPr>
        <w:t>smin</w:t>
      </w:r>
      <w:proofErr w:type="spellEnd"/>
      <w:r w:rsidRPr="00307F1F">
        <w:rPr>
          <w:rFonts w:eastAsia="Times New Roman"/>
          <w:szCs w:val="24"/>
        </w:rPr>
        <w:t xml:space="preserve"> +10 km/h et </w:t>
      </w:r>
      <w:proofErr w:type="spellStart"/>
      <w:r w:rsidRPr="00307F1F">
        <w:rPr>
          <w:rFonts w:eastAsia="Times New Roman"/>
          <w:szCs w:val="24"/>
        </w:rPr>
        <w:t>V</w:t>
      </w:r>
      <w:r w:rsidRPr="006C0DEC">
        <w:rPr>
          <w:rFonts w:eastAsia="Times New Roman"/>
          <w:szCs w:val="24"/>
          <w:vertAlign w:val="subscript"/>
        </w:rPr>
        <w:t>smin</w:t>
      </w:r>
      <w:proofErr w:type="spellEnd"/>
      <w:r w:rsidRPr="00307F1F">
        <w:rPr>
          <w:rFonts w:eastAsia="Times New Roman"/>
          <w:szCs w:val="24"/>
        </w:rPr>
        <w:t xml:space="preserve"> +20 km/h sur une voie bordée de marques routières de chaque côté</w:t>
      </w:r>
      <w:r w:rsidRPr="005817F5">
        <w:rPr>
          <w:rFonts w:eastAsia="Times New Roman"/>
          <w:szCs w:val="24"/>
        </w:rPr>
        <w:t xml:space="preserve">. </w:t>
      </w:r>
    </w:p>
    <w:p w14:paraId="01842100" w14:textId="77777777" w:rsidR="004E2BA9" w:rsidRPr="005817F5" w:rsidRDefault="004E2BA9" w:rsidP="00092097">
      <w:pPr>
        <w:pStyle w:val="SingleTxtG"/>
        <w:ind w:left="2268"/>
      </w:pPr>
      <w:r w:rsidRPr="00307F1F">
        <w:t>Le conducteur relâche la commande de direction et continue à conduire jusqu</w:t>
      </w:r>
      <w:r>
        <w:t>’</w:t>
      </w:r>
      <w:r w:rsidRPr="00307F1F">
        <w:t>à ce que l</w:t>
      </w:r>
      <w:r>
        <w:t>’</w:t>
      </w:r>
      <w:r w:rsidRPr="00307F1F">
        <w:t>ACSF soit désactivée par le système. La voie doit être sélectionnée de façon à permettre la conduite avec l</w:t>
      </w:r>
      <w:r>
        <w:t>’</w:t>
      </w:r>
      <w:r w:rsidRPr="00307F1F">
        <w:t>ACSF activée pendant au moins 65 s sans aucune intervention du conducteur</w:t>
      </w:r>
      <w:r w:rsidRPr="005817F5">
        <w:t xml:space="preserve">. </w:t>
      </w:r>
    </w:p>
    <w:p w14:paraId="44F2C0F6" w14:textId="77777777" w:rsidR="004E2BA9" w:rsidRPr="005817F5" w:rsidRDefault="004E2BA9" w:rsidP="00092097">
      <w:pPr>
        <w:pStyle w:val="SingleTxtG"/>
        <w:ind w:left="2268"/>
        <w:rPr>
          <w:rFonts w:eastAsia="Times New Roman"/>
          <w:szCs w:val="24"/>
        </w:rPr>
      </w:pPr>
      <w:r w:rsidRPr="005817F5">
        <w:rPr>
          <w:rFonts w:eastAsia="Times New Roman"/>
          <w:szCs w:val="24"/>
        </w:rPr>
        <w:tab/>
      </w:r>
      <w:r w:rsidRPr="00307F1F">
        <w:rPr>
          <w:rFonts w:eastAsia="Times New Roman"/>
          <w:szCs w:val="24"/>
        </w:rPr>
        <w:t>L</w:t>
      </w:r>
      <w:r>
        <w:rPr>
          <w:rFonts w:eastAsia="Times New Roman"/>
          <w:szCs w:val="24"/>
        </w:rPr>
        <w:t>’</w:t>
      </w:r>
      <w:r w:rsidRPr="00307F1F">
        <w:rPr>
          <w:rFonts w:eastAsia="Times New Roman"/>
          <w:szCs w:val="24"/>
        </w:rPr>
        <w:t xml:space="preserve">essai doit être répété avec une vitesse comprise entre </w:t>
      </w:r>
      <w:proofErr w:type="spellStart"/>
      <w:r w:rsidRPr="00307F1F">
        <w:rPr>
          <w:rFonts w:eastAsia="Times New Roman"/>
          <w:szCs w:val="24"/>
        </w:rPr>
        <w:t>V</w:t>
      </w:r>
      <w:r w:rsidRPr="006C0DEC">
        <w:rPr>
          <w:rFonts w:eastAsia="Times New Roman"/>
          <w:szCs w:val="24"/>
          <w:vertAlign w:val="subscript"/>
        </w:rPr>
        <w:t>smax</w:t>
      </w:r>
      <w:proofErr w:type="spellEnd"/>
      <w:r w:rsidRPr="00307F1F">
        <w:rPr>
          <w:rFonts w:eastAsia="Times New Roman"/>
          <w:szCs w:val="24"/>
        </w:rPr>
        <w:t xml:space="preserve"> -20 km/h et </w:t>
      </w:r>
      <w:proofErr w:type="spellStart"/>
      <w:r w:rsidRPr="00307F1F">
        <w:rPr>
          <w:rFonts w:eastAsia="Times New Roman"/>
          <w:szCs w:val="24"/>
        </w:rPr>
        <w:t>V</w:t>
      </w:r>
      <w:r w:rsidRPr="006C0DEC">
        <w:rPr>
          <w:rFonts w:eastAsia="Times New Roman"/>
          <w:szCs w:val="24"/>
          <w:vertAlign w:val="subscript"/>
        </w:rPr>
        <w:t>smax</w:t>
      </w:r>
      <w:proofErr w:type="spellEnd"/>
      <w:r w:rsidRPr="00307F1F">
        <w:rPr>
          <w:rFonts w:eastAsia="Times New Roman"/>
          <w:szCs w:val="24"/>
        </w:rPr>
        <w:t xml:space="preserve"> -10 km/h ou à 130 km/h, la valeur la plus faible étant retenue</w:t>
      </w:r>
      <w:r>
        <w:rPr>
          <w:rFonts w:eastAsia="Times New Roman"/>
          <w:szCs w:val="24"/>
        </w:rPr>
        <w:t>,</w:t>
      </w:r>
      <w:r w:rsidRPr="00307F1F">
        <w:rPr>
          <w:rFonts w:eastAsia="Times New Roman"/>
          <w:szCs w:val="24"/>
        </w:rPr>
        <w:t xml:space="preserve"> </w:t>
      </w:r>
      <w:r>
        <w:rPr>
          <w:rFonts w:eastAsia="Times New Roman"/>
          <w:b/>
          <w:szCs w:val="24"/>
        </w:rPr>
        <w:t>et peut être arrêté dès que le signal d’avertissement visuel s’affiche</w:t>
      </w:r>
      <w:r w:rsidRPr="005817F5">
        <w:rPr>
          <w:rFonts w:eastAsia="Times New Roman"/>
          <w:b/>
          <w:szCs w:val="24"/>
        </w:rPr>
        <w:t>.</w:t>
      </w:r>
      <w:r w:rsidRPr="005817F5">
        <w:rPr>
          <w:rFonts w:eastAsia="Times New Roman"/>
          <w:szCs w:val="24"/>
        </w:rPr>
        <w:t xml:space="preserve"> </w:t>
      </w:r>
    </w:p>
    <w:p w14:paraId="2FE16D8B" w14:textId="77777777" w:rsidR="004E2BA9" w:rsidRPr="005817F5" w:rsidRDefault="004E2BA9" w:rsidP="00092097">
      <w:pPr>
        <w:pStyle w:val="SingleTxtG"/>
        <w:ind w:left="2268"/>
        <w:rPr>
          <w:rFonts w:eastAsia="Times New Roman"/>
          <w:szCs w:val="24"/>
        </w:rPr>
      </w:pPr>
      <w:r w:rsidRPr="005817F5">
        <w:rPr>
          <w:rFonts w:eastAsia="Times New Roman"/>
          <w:szCs w:val="24"/>
        </w:rPr>
        <w:tab/>
      </w:r>
      <w:r w:rsidRPr="00307F1F">
        <w:rPr>
          <w:rFonts w:eastAsia="Times New Roman"/>
          <w:szCs w:val="24"/>
        </w:rPr>
        <w:t>En outre, le constructeur doit démontrer, à la satisfaction du service technique, que les prescriptions sont satisfaites dans toute la gamme des vitesses. Cela peut se faire sur la base de documents appropriés joints au procès-verbal d</w:t>
      </w:r>
      <w:r>
        <w:rPr>
          <w:rFonts w:eastAsia="Times New Roman"/>
          <w:szCs w:val="24"/>
        </w:rPr>
        <w:t>’</w:t>
      </w:r>
      <w:r w:rsidRPr="00307F1F">
        <w:rPr>
          <w:rFonts w:eastAsia="Times New Roman"/>
          <w:szCs w:val="24"/>
        </w:rPr>
        <w:t>essai</w:t>
      </w:r>
      <w:r w:rsidRPr="005817F5">
        <w:rPr>
          <w:rFonts w:eastAsia="Times New Roman"/>
          <w:szCs w:val="24"/>
        </w:rPr>
        <w:t xml:space="preserve">. </w:t>
      </w:r>
    </w:p>
    <w:p w14:paraId="76343A12" w14:textId="77777777" w:rsidR="004E2BA9" w:rsidRPr="005817F5" w:rsidRDefault="004E2BA9" w:rsidP="00092097">
      <w:pPr>
        <w:pStyle w:val="SingleTxtG"/>
        <w:ind w:left="2268" w:hanging="1134"/>
        <w:rPr>
          <w:rFonts w:eastAsia="Times New Roman"/>
          <w:szCs w:val="24"/>
        </w:rPr>
      </w:pPr>
      <w:r w:rsidRPr="005817F5">
        <w:rPr>
          <w:rFonts w:eastAsia="Times New Roman"/>
          <w:szCs w:val="24"/>
        </w:rPr>
        <w:t>3.2.4.2</w:t>
      </w:r>
      <w:r w:rsidRPr="005817F5">
        <w:rPr>
          <w:rFonts w:eastAsia="Times New Roman"/>
          <w:szCs w:val="24"/>
        </w:rPr>
        <w:tab/>
      </w:r>
      <w:r w:rsidRPr="00307F1F">
        <w:rPr>
          <w:rFonts w:eastAsia="Times New Roman"/>
          <w:szCs w:val="24"/>
        </w:rPr>
        <w:t>L</w:t>
      </w:r>
      <w:r>
        <w:rPr>
          <w:rFonts w:eastAsia="Times New Roman"/>
          <w:szCs w:val="24"/>
        </w:rPr>
        <w:t>’</w:t>
      </w:r>
      <w:r w:rsidRPr="00307F1F">
        <w:rPr>
          <w:rFonts w:eastAsia="Times New Roman"/>
          <w:szCs w:val="24"/>
        </w:rPr>
        <w:t>essai est satisfaisant si</w:t>
      </w:r>
      <w:r w:rsidR="00092097">
        <w:rPr>
          <w:rFonts w:eastAsia="Times New Roman"/>
          <w:szCs w:val="24"/>
        </w:rPr>
        <w:t> </w:t>
      </w:r>
      <w:r w:rsidRPr="005817F5">
        <w:rPr>
          <w:rFonts w:eastAsia="Times New Roman"/>
          <w:szCs w:val="24"/>
        </w:rPr>
        <w:t xml:space="preserve">: </w:t>
      </w:r>
    </w:p>
    <w:p w14:paraId="4CA4B6CE" w14:textId="77777777" w:rsidR="004E2BA9" w:rsidRPr="005817F5" w:rsidRDefault="004E2BA9" w:rsidP="00092097">
      <w:pPr>
        <w:pStyle w:val="SingleTxtG"/>
        <w:ind w:left="2268"/>
        <w:rPr>
          <w:rFonts w:eastAsia="Times New Roman"/>
          <w:szCs w:val="24"/>
        </w:rPr>
      </w:pPr>
      <w:r w:rsidRPr="005817F5">
        <w:rPr>
          <w:rFonts w:eastAsia="Times New Roman"/>
          <w:szCs w:val="24"/>
        </w:rPr>
        <w:tab/>
      </w:r>
      <w:r>
        <w:rPr>
          <w:rFonts w:eastAsia="Times New Roman"/>
          <w:b/>
          <w:szCs w:val="24"/>
        </w:rPr>
        <w:t>Pendant les deux essais,</w:t>
      </w:r>
      <w:r w:rsidRPr="005817F5">
        <w:rPr>
          <w:rFonts w:eastAsia="Times New Roman"/>
          <w:b/>
          <w:szCs w:val="24"/>
        </w:rPr>
        <w:t xml:space="preserve"> </w:t>
      </w:r>
      <w:proofErr w:type="spellStart"/>
      <w:r w:rsidRPr="00307F1F">
        <w:rPr>
          <w:rFonts w:eastAsia="Times New Roman"/>
          <w:strike/>
          <w:szCs w:val="24"/>
        </w:rPr>
        <w:t>L</w:t>
      </w:r>
      <w:r w:rsidRPr="006C0DEC">
        <w:rPr>
          <w:rFonts w:eastAsia="Times New Roman"/>
          <w:b/>
          <w:szCs w:val="24"/>
        </w:rPr>
        <w:t>l</w:t>
      </w:r>
      <w:r w:rsidRPr="00307F1F">
        <w:rPr>
          <w:rFonts w:eastAsia="Times New Roman"/>
          <w:szCs w:val="24"/>
        </w:rPr>
        <w:t>e</w:t>
      </w:r>
      <w:proofErr w:type="spellEnd"/>
      <w:r w:rsidRPr="00307F1F">
        <w:rPr>
          <w:rFonts w:eastAsia="Times New Roman"/>
          <w:szCs w:val="24"/>
        </w:rPr>
        <w:t xml:space="preserve"> signal d</w:t>
      </w:r>
      <w:r>
        <w:rPr>
          <w:rFonts w:eastAsia="Times New Roman"/>
          <w:szCs w:val="24"/>
        </w:rPr>
        <w:t>’</w:t>
      </w:r>
      <w:r w:rsidRPr="00307F1F">
        <w:rPr>
          <w:rFonts w:eastAsia="Times New Roman"/>
          <w:szCs w:val="24"/>
        </w:rPr>
        <w:t>avertissement visuel est émis au plus tard 15 s après que la commande de direction a été relâchée et persiste jusqu</w:t>
      </w:r>
      <w:r>
        <w:rPr>
          <w:rFonts w:eastAsia="Times New Roman"/>
          <w:szCs w:val="24"/>
        </w:rPr>
        <w:t>’</w:t>
      </w:r>
      <w:r w:rsidRPr="00307F1F">
        <w:rPr>
          <w:rFonts w:eastAsia="Times New Roman"/>
          <w:szCs w:val="24"/>
        </w:rPr>
        <w:t>à désactivation de l</w:t>
      </w:r>
      <w:r>
        <w:rPr>
          <w:rFonts w:eastAsia="Times New Roman"/>
          <w:szCs w:val="24"/>
        </w:rPr>
        <w:t>’</w:t>
      </w:r>
      <w:r w:rsidRPr="00307F1F">
        <w:rPr>
          <w:rFonts w:eastAsia="Times New Roman"/>
          <w:szCs w:val="24"/>
        </w:rPr>
        <w:t>ACSF</w:t>
      </w:r>
      <w:r w:rsidRPr="005817F5">
        <w:rPr>
          <w:rFonts w:eastAsia="Times New Roman"/>
          <w:szCs w:val="24"/>
        </w:rPr>
        <w:t>.</w:t>
      </w:r>
    </w:p>
    <w:p w14:paraId="6605D6D3" w14:textId="77777777" w:rsidR="004E2BA9" w:rsidRPr="005817F5" w:rsidRDefault="004E2BA9" w:rsidP="00092097">
      <w:pPr>
        <w:pStyle w:val="SingleTxtG"/>
        <w:ind w:left="2268"/>
        <w:rPr>
          <w:rFonts w:eastAsia="Times New Roman"/>
          <w:szCs w:val="24"/>
        </w:rPr>
      </w:pPr>
      <w:r w:rsidRPr="005817F5">
        <w:rPr>
          <w:rFonts w:eastAsia="Times New Roman"/>
          <w:b/>
          <w:szCs w:val="24"/>
        </w:rPr>
        <w:tab/>
      </w:r>
      <w:bookmarkStart w:id="4" w:name="_Hlk26797354"/>
      <w:r>
        <w:rPr>
          <w:rFonts w:eastAsia="Times New Roman"/>
          <w:b/>
          <w:szCs w:val="24"/>
        </w:rPr>
        <w:t>Pendant l’essai avec la vitesse la moins élevée,</w:t>
      </w:r>
      <w:r w:rsidRPr="005817F5">
        <w:rPr>
          <w:rFonts w:eastAsia="Times New Roman"/>
          <w:b/>
          <w:szCs w:val="24"/>
        </w:rPr>
        <w:t xml:space="preserve"> </w:t>
      </w:r>
      <w:bookmarkEnd w:id="4"/>
      <w:proofErr w:type="spellStart"/>
      <w:r w:rsidRPr="006C0DEC">
        <w:rPr>
          <w:strike/>
          <w:lang w:eastAsia="de-DE"/>
        </w:rPr>
        <w:t>L</w:t>
      </w:r>
      <w:r w:rsidRPr="006C0DEC">
        <w:rPr>
          <w:b/>
          <w:lang w:eastAsia="de-DE"/>
        </w:rPr>
        <w:t>l</w:t>
      </w:r>
      <w:r w:rsidRPr="00222300">
        <w:rPr>
          <w:lang w:eastAsia="de-DE"/>
        </w:rPr>
        <w:t>e</w:t>
      </w:r>
      <w:proofErr w:type="spellEnd"/>
      <w:r w:rsidRPr="00222300">
        <w:rPr>
          <w:lang w:eastAsia="de-DE"/>
        </w:rPr>
        <w:t xml:space="preserve"> signal d</w:t>
      </w:r>
      <w:r>
        <w:rPr>
          <w:lang w:eastAsia="de-DE"/>
        </w:rPr>
        <w:t>’</w:t>
      </w:r>
      <w:r w:rsidRPr="00222300">
        <w:rPr>
          <w:lang w:eastAsia="de-DE"/>
        </w:rPr>
        <w:t>avertissement sonore est émis au plus tard 30 s après que la commande de direction a été relâchée et persiste jusqu</w:t>
      </w:r>
      <w:r>
        <w:rPr>
          <w:lang w:eastAsia="de-DE"/>
        </w:rPr>
        <w:t>’</w:t>
      </w:r>
      <w:r w:rsidRPr="00222300">
        <w:rPr>
          <w:lang w:eastAsia="de-DE"/>
        </w:rPr>
        <w:t>à désactivation de l</w:t>
      </w:r>
      <w:r>
        <w:rPr>
          <w:lang w:eastAsia="de-DE"/>
        </w:rPr>
        <w:t>’</w:t>
      </w:r>
      <w:r w:rsidRPr="00222300">
        <w:rPr>
          <w:lang w:eastAsia="de-DE"/>
        </w:rPr>
        <w:t>ACSF</w:t>
      </w:r>
      <w:r w:rsidRPr="005817F5">
        <w:rPr>
          <w:rFonts w:eastAsia="Times New Roman"/>
          <w:szCs w:val="24"/>
        </w:rPr>
        <w:t xml:space="preserve">. </w:t>
      </w:r>
    </w:p>
    <w:p w14:paraId="090F3C44" w14:textId="73867AE0" w:rsidR="004E2BA9" w:rsidRPr="005817F5" w:rsidRDefault="004E2BA9" w:rsidP="00092097">
      <w:pPr>
        <w:pStyle w:val="SingleTxtG"/>
        <w:ind w:left="2268"/>
        <w:rPr>
          <w:rFonts w:eastAsia="Times New Roman"/>
          <w:szCs w:val="24"/>
        </w:rPr>
      </w:pPr>
      <w:r w:rsidRPr="005817F5">
        <w:rPr>
          <w:rFonts w:eastAsia="Times New Roman"/>
          <w:b/>
          <w:szCs w:val="24"/>
        </w:rPr>
        <w:tab/>
      </w:r>
      <w:r w:rsidRPr="000202EE">
        <w:rPr>
          <w:rFonts w:eastAsia="Times New Roman"/>
          <w:b/>
          <w:szCs w:val="24"/>
        </w:rPr>
        <w:t>Pendant l</w:t>
      </w:r>
      <w:r>
        <w:rPr>
          <w:rFonts w:eastAsia="Times New Roman"/>
          <w:b/>
          <w:szCs w:val="24"/>
        </w:rPr>
        <w:t>’</w:t>
      </w:r>
      <w:r w:rsidRPr="000202EE">
        <w:rPr>
          <w:rFonts w:eastAsia="Times New Roman"/>
          <w:b/>
          <w:szCs w:val="24"/>
        </w:rPr>
        <w:t xml:space="preserve">essai avec la vitesse la </w:t>
      </w:r>
      <w:r w:rsidR="004426B3">
        <w:rPr>
          <w:rFonts w:eastAsia="Times New Roman"/>
          <w:b/>
          <w:szCs w:val="24"/>
        </w:rPr>
        <w:t>moins</w:t>
      </w:r>
      <w:r w:rsidRPr="000202EE">
        <w:rPr>
          <w:rFonts w:eastAsia="Times New Roman"/>
          <w:b/>
          <w:szCs w:val="24"/>
        </w:rPr>
        <w:t xml:space="preserve"> élevée</w:t>
      </w:r>
      <w:r>
        <w:rPr>
          <w:rFonts w:eastAsia="Times New Roman"/>
          <w:b/>
          <w:szCs w:val="24"/>
        </w:rPr>
        <w:t>,</w:t>
      </w:r>
      <w:r w:rsidRPr="000202EE">
        <w:rPr>
          <w:rFonts w:eastAsia="Times New Roman"/>
          <w:b/>
          <w:szCs w:val="24"/>
        </w:rPr>
        <w:t xml:space="preserve"> </w:t>
      </w:r>
      <w:proofErr w:type="spellStart"/>
      <w:r w:rsidRPr="00307F1F">
        <w:rPr>
          <w:strike/>
          <w:szCs w:val="24"/>
        </w:rPr>
        <w:t>L</w:t>
      </w:r>
      <w:r w:rsidRPr="006C0DEC">
        <w:rPr>
          <w:b/>
          <w:szCs w:val="24"/>
        </w:rPr>
        <w:t>l</w:t>
      </w:r>
      <w:r>
        <w:rPr>
          <w:szCs w:val="24"/>
        </w:rPr>
        <w:t>’</w:t>
      </w:r>
      <w:r w:rsidRPr="00307F1F">
        <w:rPr>
          <w:szCs w:val="24"/>
        </w:rPr>
        <w:t>ACSF</w:t>
      </w:r>
      <w:proofErr w:type="spellEnd"/>
      <w:r w:rsidRPr="00307F1F">
        <w:rPr>
          <w:szCs w:val="24"/>
        </w:rPr>
        <w:t xml:space="preserve"> est désactivée au plus tard 30 s après le début du signal sonore, avec un signal d</w:t>
      </w:r>
      <w:r>
        <w:rPr>
          <w:szCs w:val="24"/>
        </w:rPr>
        <w:t>’</w:t>
      </w:r>
      <w:r w:rsidRPr="00307F1F">
        <w:rPr>
          <w:szCs w:val="24"/>
        </w:rPr>
        <w:t>alarme d</w:t>
      </w:r>
      <w:r>
        <w:rPr>
          <w:szCs w:val="24"/>
        </w:rPr>
        <w:t>’</w:t>
      </w:r>
      <w:r w:rsidRPr="00307F1F">
        <w:rPr>
          <w:szCs w:val="24"/>
        </w:rPr>
        <w:t>au moins 5 s, différent du signal d</w:t>
      </w:r>
      <w:r>
        <w:rPr>
          <w:szCs w:val="24"/>
        </w:rPr>
        <w:t>’</w:t>
      </w:r>
      <w:r w:rsidRPr="00307F1F">
        <w:rPr>
          <w:szCs w:val="24"/>
        </w:rPr>
        <w:t>avertissement</w:t>
      </w:r>
      <w:r w:rsidRPr="005817F5">
        <w:rPr>
          <w:rFonts w:eastAsia="Times New Roman"/>
          <w:szCs w:val="24"/>
        </w:rPr>
        <w:t>.</w:t>
      </w:r>
      <w:r>
        <w:rPr>
          <w:rFonts w:eastAsia="Times New Roman"/>
          <w:szCs w:val="24"/>
        </w:rPr>
        <w:t> »</w:t>
      </w:r>
      <w:r w:rsidR="00092097">
        <w:rPr>
          <w:rFonts w:eastAsia="Times New Roman"/>
          <w:szCs w:val="24"/>
        </w:rPr>
        <w:t>.</w:t>
      </w:r>
    </w:p>
    <w:bookmarkEnd w:id="3"/>
    <w:p w14:paraId="2887A77D" w14:textId="77777777" w:rsidR="004E2BA9" w:rsidRPr="005817F5" w:rsidRDefault="004E2BA9" w:rsidP="00092097">
      <w:pPr>
        <w:pStyle w:val="HChG"/>
      </w:pPr>
      <w:r w:rsidRPr="005817F5">
        <w:tab/>
        <w:t>II.</w:t>
      </w:r>
      <w:r w:rsidRPr="005817F5">
        <w:tab/>
        <w:t>Justification</w:t>
      </w:r>
    </w:p>
    <w:p w14:paraId="77313562" w14:textId="77777777" w:rsidR="004E2BA9" w:rsidRPr="005817F5" w:rsidRDefault="00092097" w:rsidP="00092097">
      <w:pPr>
        <w:pStyle w:val="H1G"/>
      </w:pPr>
      <w:r>
        <w:tab/>
      </w:r>
      <w:r w:rsidR="004E2BA9" w:rsidRPr="005817F5">
        <w:t>A.</w:t>
      </w:r>
      <w:r w:rsidR="004E2BA9" w:rsidRPr="005817F5">
        <w:tab/>
        <w:t>Annex</w:t>
      </w:r>
      <w:r w:rsidR="004E2BA9">
        <w:t>e</w:t>
      </w:r>
      <w:r w:rsidR="004E2BA9" w:rsidRPr="005817F5">
        <w:t xml:space="preserve"> 8, paragraph</w:t>
      </w:r>
      <w:r w:rsidR="004E2BA9">
        <w:t>e</w:t>
      </w:r>
      <w:r w:rsidR="004E2BA9" w:rsidRPr="005817F5">
        <w:t xml:space="preserve"> 3.2.4.1 </w:t>
      </w:r>
      <w:r w:rsidR="004E2BA9">
        <w:t>et</w:t>
      </w:r>
      <w:r w:rsidR="004E2BA9" w:rsidRPr="005817F5">
        <w:t xml:space="preserve"> 3.2.4.2 </w:t>
      </w:r>
      <w:r w:rsidR="004E2BA9">
        <w:t>« tenue du volant »</w:t>
      </w:r>
    </w:p>
    <w:p w14:paraId="35D9DBAD" w14:textId="77777777" w:rsidR="004E2BA9" w:rsidRPr="005817F5" w:rsidRDefault="004E2BA9" w:rsidP="00092097">
      <w:pPr>
        <w:pStyle w:val="SingleTxtG"/>
      </w:pPr>
      <w:r w:rsidRPr="005817F5">
        <w:t>1.</w:t>
      </w:r>
      <w:r w:rsidRPr="005817F5">
        <w:tab/>
      </w:r>
      <w:r>
        <w:t xml:space="preserve">L’essai de tenue au volant à vitesse réduite et à vitesse élevée a pour objectif de confirmer une bonne détection de l’absence des mains sur le volant dans toute la gamme des vitesses. L’essai de la chaîne d’avertissements successifs menant à la désactivation du système </w:t>
      </w:r>
      <w:r w:rsidRPr="00EA3409">
        <w:t xml:space="preserve">à une vitesse élevée </w:t>
      </w:r>
      <w:r>
        <w:t xml:space="preserve">doit être effectué sur une voie de plus de deux kilomètres de longueur (60 s de conduite à </w:t>
      </w:r>
      <w:r w:rsidRPr="005817F5">
        <w:t xml:space="preserve">130 km/h </w:t>
      </w:r>
      <w:r w:rsidRPr="00995C20">
        <w:t>après</w:t>
      </w:r>
      <w:r>
        <w:t xml:space="preserve"> le</w:t>
      </w:r>
      <w:r w:rsidRPr="00995C20">
        <w:t xml:space="preserve"> relâchement du mécanisme de direction</w:t>
      </w:r>
      <w:r w:rsidRPr="005817F5">
        <w:t xml:space="preserve">). </w:t>
      </w:r>
      <w:r>
        <w:t xml:space="preserve">Dans la mesure où le système a déjà démontré qu’il réagissait positivement à la série d’avertissements lorsque l’essai est effectué à faible vitesse, il est proposé d’arrêter l’essai </w:t>
      </w:r>
      <w:r>
        <w:lastRenderedPageBreak/>
        <w:t>effectué à vitesse élevée après affichage du signal d’avertissement visuel indiquant que le système a correctement détecté l’absence des mains sur le volant.</w:t>
      </w:r>
    </w:p>
    <w:p w14:paraId="01CD450F" w14:textId="77777777" w:rsidR="004E2BA9" w:rsidRPr="005817F5" w:rsidRDefault="00092097" w:rsidP="00092097">
      <w:pPr>
        <w:pStyle w:val="H1G"/>
      </w:pPr>
      <w:r>
        <w:tab/>
      </w:r>
      <w:r w:rsidR="004E2BA9" w:rsidRPr="005817F5">
        <w:t>B.</w:t>
      </w:r>
      <w:r w:rsidR="004E2BA9" w:rsidRPr="005817F5">
        <w:tab/>
        <w:t>Paragraph</w:t>
      </w:r>
      <w:r w:rsidR="004E2BA9">
        <w:t>e</w:t>
      </w:r>
      <w:r w:rsidR="004E2BA9" w:rsidRPr="005817F5">
        <w:t xml:space="preserve"> 5.6.2.3.1.3</w:t>
      </w:r>
    </w:p>
    <w:p w14:paraId="3ADEEF52" w14:textId="77777777" w:rsidR="00F9573C" w:rsidRDefault="004E2BA9" w:rsidP="00092097">
      <w:pPr>
        <w:pStyle w:val="SingleTxtG"/>
      </w:pPr>
      <w:r w:rsidRPr="005817F5">
        <w:t>2.</w:t>
      </w:r>
      <w:r w:rsidRPr="005817F5">
        <w:tab/>
      </w:r>
      <w:r>
        <w:t>L’utilisation d’autres variables que les marques routières dans des situations dans lesquelles ces marques ne peuvent être détectées ne contredit en rien les prescriptions du présent Règlement et est nécessaire pour que le conducteur dispose d’une assistance efficace dans ces cas fréquents (voir les exemples ci-dessous). Le nouveau paragraphe a pour objet de préciser que l’utilisation d’autres variables est autorisée</w:t>
      </w:r>
      <w:r w:rsidR="00092097">
        <w:t> ;</w:t>
      </w:r>
      <w:r>
        <w:t xml:space="preserve"> le fait de fournir une liste des variables d’entrée utilisées par le système rendra la conception de celui-ci plus transparente.</w:t>
      </w:r>
    </w:p>
    <w:p w14:paraId="158FF057" w14:textId="72A5EB94" w:rsidR="004E2BA9" w:rsidRDefault="004E2BA9" w:rsidP="004E2BA9">
      <w:pPr>
        <w:pStyle w:val="Titre1"/>
      </w:pPr>
      <w:r w:rsidRPr="004E2BA9">
        <w:rPr>
          <w:noProof/>
        </w:rPr>
        <w:drawing>
          <wp:anchor distT="0" distB="0" distL="114300" distR="114300" simplePos="0" relativeHeight="251657216" behindDoc="0" locked="0" layoutInCell="1" allowOverlap="1" wp14:anchorId="6E0F4CCC" wp14:editId="5C021C8D">
            <wp:simplePos x="0" y="0"/>
            <wp:positionH relativeFrom="column">
              <wp:posOffset>727364</wp:posOffset>
            </wp:positionH>
            <wp:positionV relativeFrom="paragraph">
              <wp:posOffset>457719</wp:posOffset>
            </wp:positionV>
            <wp:extent cx="2114550" cy="2124075"/>
            <wp:effectExtent l="0" t="0" r="0" b="9525"/>
            <wp:wrapTopAndBottom/>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114550" cy="2124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817F5">
        <w:rPr>
          <w:b/>
          <w:bCs/>
        </w:rPr>
        <w:t>Figure 1</w:t>
      </w:r>
      <w:r>
        <w:rPr>
          <w:b/>
          <w:bCs/>
        </w:rPr>
        <w:t xml:space="preserve"> </w:t>
      </w:r>
      <w:r w:rsidRPr="005817F5">
        <w:rPr>
          <w:b/>
          <w:bCs/>
        </w:rPr>
        <w:br/>
      </w:r>
      <w:r w:rsidRPr="005817F5">
        <w:t>Illustrations</w:t>
      </w:r>
    </w:p>
    <w:p w14:paraId="4E03F207" w14:textId="624B827A" w:rsidR="004E2BA9" w:rsidRPr="004E2BA9" w:rsidRDefault="00187CF8" w:rsidP="004E2BA9">
      <w:pPr>
        <w:pStyle w:val="SingleTxtG"/>
      </w:pPr>
      <w:r w:rsidRPr="004E2BA9">
        <w:rPr>
          <w:noProof/>
        </w:rPr>
        <w:drawing>
          <wp:anchor distT="0" distB="0" distL="114300" distR="114300" simplePos="0" relativeHeight="251664384" behindDoc="0" locked="0" layoutInCell="1" allowOverlap="1" wp14:anchorId="05E1E326" wp14:editId="26D48961">
            <wp:simplePos x="0" y="0"/>
            <wp:positionH relativeFrom="column">
              <wp:posOffset>3215640</wp:posOffset>
            </wp:positionH>
            <wp:positionV relativeFrom="paragraph">
              <wp:posOffset>165735</wp:posOffset>
            </wp:positionV>
            <wp:extent cx="2255520" cy="1268095"/>
            <wp:effectExtent l="0" t="0" r="0" b="825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55520" cy="1268095"/>
                    </a:xfrm>
                    <a:prstGeom prst="rect">
                      <a:avLst/>
                    </a:prstGeom>
                    <a:noFill/>
                  </pic:spPr>
                </pic:pic>
              </a:graphicData>
            </a:graphic>
          </wp:anchor>
        </w:drawing>
      </w:r>
    </w:p>
    <w:p w14:paraId="0868C7C5" w14:textId="1D879CF6" w:rsidR="004E2BA9" w:rsidRDefault="004E2BA9" w:rsidP="004E2BA9">
      <w:pPr>
        <w:pStyle w:val="SingleTxtG"/>
        <w:spacing w:before="240" w:after="0"/>
        <w:jc w:val="center"/>
      </w:pPr>
      <w:r>
        <w:rPr>
          <w:u w:val="single"/>
        </w:rPr>
        <w:tab/>
      </w:r>
      <w:r>
        <w:rPr>
          <w:u w:val="single"/>
        </w:rPr>
        <w:tab/>
      </w:r>
      <w:r>
        <w:rPr>
          <w:u w:val="single"/>
        </w:rPr>
        <w:tab/>
      </w:r>
      <w:r w:rsidR="00187CF8">
        <w:rPr>
          <w:u w:val="single"/>
        </w:rPr>
        <w:tab/>
      </w:r>
    </w:p>
    <w:sectPr w:rsidR="004E2BA9" w:rsidSect="004E2BA9">
      <w:headerReference w:type="even" r:id="rId11"/>
      <w:headerReference w:type="default" r:id="rId12"/>
      <w:footerReference w:type="even" r:id="rId13"/>
      <w:footerReference w:type="default" r:id="rId14"/>
      <w:footerReference w:type="first" r:id="rId15"/>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11F374" w14:textId="77777777" w:rsidR="00D52599" w:rsidRDefault="00D52599" w:rsidP="00F95C08">
      <w:pPr>
        <w:spacing w:line="240" w:lineRule="auto"/>
      </w:pPr>
    </w:p>
  </w:endnote>
  <w:endnote w:type="continuationSeparator" w:id="0">
    <w:p w14:paraId="5FEEAAC1" w14:textId="77777777" w:rsidR="00D52599" w:rsidRPr="00AC3823" w:rsidRDefault="00D52599" w:rsidP="00AC3823">
      <w:pPr>
        <w:pStyle w:val="Pieddepage"/>
      </w:pPr>
    </w:p>
  </w:endnote>
  <w:endnote w:type="continuationNotice" w:id="1">
    <w:p w14:paraId="0DB7314F" w14:textId="77777777" w:rsidR="00D52599" w:rsidRDefault="00D5259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60CBD" w14:textId="77777777" w:rsidR="004E2BA9" w:rsidRPr="004E2BA9" w:rsidRDefault="004E2BA9" w:rsidP="004E2BA9">
    <w:pPr>
      <w:pStyle w:val="Pieddepage"/>
      <w:tabs>
        <w:tab w:val="right" w:pos="9638"/>
      </w:tabs>
    </w:pPr>
    <w:r w:rsidRPr="004E2BA9">
      <w:rPr>
        <w:b/>
        <w:sz w:val="18"/>
      </w:rPr>
      <w:fldChar w:fldCharType="begin"/>
    </w:r>
    <w:r w:rsidRPr="004E2BA9">
      <w:rPr>
        <w:b/>
        <w:sz w:val="18"/>
      </w:rPr>
      <w:instrText xml:space="preserve"> PAGE  \* MERGEFORMAT </w:instrText>
    </w:r>
    <w:r w:rsidRPr="004E2BA9">
      <w:rPr>
        <w:b/>
        <w:sz w:val="18"/>
      </w:rPr>
      <w:fldChar w:fldCharType="separate"/>
    </w:r>
    <w:r w:rsidRPr="004E2BA9">
      <w:rPr>
        <w:b/>
        <w:noProof/>
        <w:sz w:val="18"/>
      </w:rPr>
      <w:t>2</w:t>
    </w:r>
    <w:r w:rsidRPr="004E2BA9">
      <w:rPr>
        <w:b/>
        <w:sz w:val="18"/>
      </w:rPr>
      <w:fldChar w:fldCharType="end"/>
    </w:r>
    <w:r>
      <w:rPr>
        <w:b/>
        <w:sz w:val="18"/>
      </w:rPr>
      <w:tab/>
    </w:r>
    <w:r>
      <w:t>GE.19-20573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D3368" w14:textId="77777777" w:rsidR="004E2BA9" w:rsidRPr="004E2BA9" w:rsidRDefault="004E2BA9" w:rsidP="004E2BA9">
    <w:pPr>
      <w:pStyle w:val="Pieddepage"/>
      <w:tabs>
        <w:tab w:val="right" w:pos="9638"/>
      </w:tabs>
      <w:rPr>
        <w:b/>
        <w:sz w:val="18"/>
      </w:rPr>
    </w:pPr>
    <w:r>
      <w:t>GE.19-20573</w:t>
    </w:r>
    <w:r>
      <w:tab/>
    </w:r>
    <w:r w:rsidRPr="004E2BA9">
      <w:rPr>
        <w:b/>
        <w:sz w:val="18"/>
      </w:rPr>
      <w:fldChar w:fldCharType="begin"/>
    </w:r>
    <w:r w:rsidRPr="004E2BA9">
      <w:rPr>
        <w:b/>
        <w:sz w:val="18"/>
      </w:rPr>
      <w:instrText xml:space="preserve"> PAGE  \* MERGEFORMAT </w:instrText>
    </w:r>
    <w:r w:rsidRPr="004E2BA9">
      <w:rPr>
        <w:b/>
        <w:sz w:val="18"/>
      </w:rPr>
      <w:fldChar w:fldCharType="separate"/>
    </w:r>
    <w:r w:rsidRPr="004E2BA9">
      <w:rPr>
        <w:b/>
        <w:noProof/>
        <w:sz w:val="18"/>
      </w:rPr>
      <w:t>3</w:t>
    </w:r>
    <w:r w:rsidRPr="004E2BA9">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B8D5" w14:textId="77777777" w:rsidR="007F20FA" w:rsidRPr="004E2BA9" w:rsidRDefault="004E2BA9" w:rsidP="004E2BA9">
    <w:pPr>
      <w:pStyle w:val="Pieddepage"/>
      <w:spacing w:before="120"/>
      <w:rPr>
        <w:sz w:val="20"/>
      </w:rPr>
    </w:pPr>
    <w:r>
      <w:rPr>
        <w:sz w:val="20"/>
      </w:rPr>
      <w:t>GE.</w:t>
    </w:r>
    <w:r w:rsidR="007F20FA">
      <w:rPr>
        <w:noProof/>
        <w:lang w:eastAsia="fr-CH"/>
      </w:rPr>
      <w:drawing>
        <wp:anchor distT="0" distB="0" distL="114300" distR="114300" simplePos="0" relativeHeight="251659264" behindDoc="0" locked="0" layoutInCell="1" allowOverlap="0" wp14:anchorId="3D0A2428" wp14:editId="4919DDD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19-20573  (F)    111219    161219</w:t>
    </w:r>
    <w:r>
      <w:rPr>
        <w:sz w:val="20"/>
      </w:rPr>
      <w:br/>
    </w:r>
    <w:r w:rsidRPr="004E2BA9">
      <w:rPr>
        <w:rFonts w:ascii="C39T30Lfz" w:hAnsi="C39T30Lfz"/>
        <w:sz w:val="56"/>
      </w:rPr>
      <w:t></w:t>
    </w:r>
    <w:r w:rsidRPr="004E2BA9">
      <w:rPr>
        <w:rFonts w:ascii="C39T30Lfz" w:hAnsi="C39T30Lfz"/>
        <w:sz w:val="56"/>
      </w:rPr>
      <w:t></w:t>
    </w:r>
    <w:r w:rsidRPr="004E2BA9">
      <w:rPr>
        <w:rFonts w:ascii="C39T30Lfz" w:hAnsi="C39T30Lfz"/>
        <w:sz w:val="56"/>
      </w:rPr>
      <w:t></w:t>
    </w:r>
    <w:r w:rsidRPr="004E2BA9">
      <w:rPr>
        <w:rFonts w:ascii="C39T30Lfz" w:hAnsi="C39T30Lfz"/>
        <w:sz w:val="56"/>
      </w:rPr>
      <w:t></w:t>
    </w:r>
    <w:r w:rsidRPr="004E2BA9">
      <w:rPr>
        <w:rFonts w:ascii="C39T30Lfz" w:hAnsi="C39T30Lfz"/>
        <w:sz w:val="56"/>
      </w:rPr>
      <w:t></w:t>
    </w:r>
    <w:r w:rsidRPr="004E2BA9">
      <w:rPr>
        <w:rFonts w:ascii="C39T30Lfz" w:hAnsi="C39T30Lfz"/>
        <w:sz w:val="56"/>
      </w:rPr>
      <w:t></w:t>
    </w:r>
    <w:r w:rsidRPr="004E2BA9">
      <w:rPr>
        <w:rFonts w:ascii="C39T30Lfz" w:hAnsi="C39T30Lfz"/>
        <w:sz w:val="56"/>
      </w:rPr>
      <w:t></w:t>
    </w:r>
    <w:r w:rsidRPr="004E2BA9">
      <w:rPr>
        <w:rFonts w:ascii="C39T30Lfz" w:hAnsi="C39T30Lfz"/>
        <w:sz w:val="56"/>
      </w:rPr>
      <w:t></w:t>
    </w:r>
    <w:r w:rsidRPr="004E2BA9">
      <w:rPr>
        <w:rFonts w:ascii="C39T30Lfz" w:hAnsi="C39T30Lfz"/>
        <w:sz w:val="56"/>
      </w:rPr>
      <w:t></w:t>
    </w:r>
    <w:r>
      <w:rPr>
        <w:noProof/>
        <w:sz w:val="20"/>
      </w:rPr>
      <w:drawing>
        <wp:anchor distT="0" distB="0" distL="114300" distR="114300" simplePos="0" relativeHeight="251658240" behindDoc="0" locked="0" layoutInCell="1" allowOverlap="1" wp14:anchorId="3A6FF6C1" wp14:editId="745A0C59">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20/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0E4389" w14:textId="77777777" w:rsidR="00D52599" w:rsidRPr="00AC3823" w:rsidRDefault="00D52599" w:rsidP="00AC3823">
      <w:pPr>
        <w:pStyle w:val="Pieddepage"/>
        <w:tabs>
          <w:tab w:val="right" w:pos="2155"/>
        </w:tabs>
        <w:spacing w:after="80" w:line="240" w:lineRule="atLeast"/>
        <w:ind w:left="680"/>
        <w:rPr>
          <w:u w:val="single"/>
        </w:rPr>
      </w:pPr>
      <w:r>
        <w:rPr>
          <w:u w:val="single"/>
        </w:rPr>
        <w:tab/>
      </w:r>
    </w:p>
  </w:footnote>
  <w:footnote w:type="continuationSeparator" w:id="0">
    <w:p w14:paraId="113D36E4" w14:textId="77777777" w:rsidR="00D52599" w:rsidRPr="00AC3823" w:rsidRDefault="00D52599" w:rsidP="00AC3823">
      <w:pPr>
        <w:pStyle w:val="Pieddepage"/>
        <w:tabs>
          <w:tab w:val="right" w:pos="2155"/>
        </w:tabs>
        <w:spacing w:after="80" w:line="240" w:lineRule="atLeast"/>
        <w:ind w:left="680"/>
        <w:rPr>
          <w:u w:val="single"/>
        </w:rPr>
      </w:pPr>
      <w:r>
        <w:rPr>
          <w:u w:val="single"/>
        </w:rPr>
        <w:tab/>
      </w:r>
    </w:p>
  </w:footnote>
  <w:footnote w:type="continuationNotice" w:id="1">
    <w:p w14:paraId="765952FA" w14:textId="77777777" w:rsidR="00D52599" w:rsidRPr="00AC3823" w:rsidRDefault="00D52599">
      <w:pPr>
        <w:spacing w:line="240" w:lineRule="auto"/>
        <w:rPr>
          <w:sz w:val="2"/>
          <w:szCs w:val="2"/>
        </w:rPr>
      </w:pPr>
    </w:p>
  </w:footnote>
  <w:footnote w:id="2">
    <w:p w14:paraId="78357D81" w14:textId="785F76A1" w:rsidR="00557217" w:rsidRPr="00557217" w:rsidRDefault="00557217">
      <w:pPr>
        <w:pStyle w:val="Notedebasdepage"/>
      </w:pPr>
      <w:r>
        <w:rPr>
          <w:rStyle w:val="Appelnotedebasdep"/>
        </w:rPr>
        <w:tab/>
      </w:r>
      <w:r w:rsidRPr="00557217">
        <w:rPr>
          <w:rStyle w:val="Appelnotedebasdep"/>
          <w:sz w:val="20"/>
          <w:vertAlign w:val="baseline"/>
        </w:rPr>
        <w:t>*</w:t>
      </w:r>
      <w:r>
        <w:rPr>
          <w:rStyle w:val="Appelnotedebasdep"/>
          <w:sz w:val="20"/>
          <w:vertAlign w:val="baseline"/>
        </w:rPr>
        <w:tab/>
      </w:r>
      <w:r>
        <w:t>Retirage pour raisons techniques (17 mars 2021)</w:t>
      </w:r>
    </w:p>
  </w:footnote>
  <w:footnote w:id="3">
    <w:p w14:paraId="098D79F2" w14:textId="5E6E3D05" w:rsidR="008E5F94" w:rsidRPr="008E5F94" w:rsidRDefault="008E5F94">
      <w:pPr>
        <w:pStyle w:val="Notedebasdepage"/>
      </w:pPr>
      <w:r>
        <w:rPr>
          <w:rStyle w:val="Appelnotedebasdep"/>
        </w:rPr>
        <w:tab/>
      </w:r>
      <w:r w:rsidRPr="008E5F94">
        <w:rPr>
          <w:rStyle w:val="Appelnotedebasdep"/>
          <w:sz w:val="20"/>
          <w:vertAlign w:val="baseline"/>
        </w:rPr>
        <w:t>**</w:t>
      </w:r>
      <w:r>
        <w:rPr>
          <w:rStyle w:val="Appelnotedebasdep"/>
          <w:sz w:val="20"/>
          <w:vertAlign w:val="baseline"/>
        </w:rPr>
        <w:tab/>
      </w:r>
      <w:r w:rsidRPr="005817F5">
        <w:t xml:space="preserve">Ancien </w:t>
      </w:r>
      <w:r w:rsidRPr="005817F5">
        <w:rPr>
          <w:b/>
        </w:rPr>
        <w:t>Groupe de travail en matière de roulement et de freinage (GRRF)</w:t>
      </w:r>
      <w:r>
        <w:rPr>
          <w:b/>
        </w:rPr>
        <w:t>.</w:t>
      </w:r>
    </w:p>
  </w:footnote>
  <w:footnote w:id="4">
    <w:p w14:paraId="039E81FC" w14:textId="49645AD7" w:rsidR="008E5F94" w:rsidRPr="008E5F94" w:rsidRDefault="008E5F94">
      <w:pPr>
        <w:pStyle w:val="Notedebasdepage"/>
      </w:pPr>
      <w:r>
        <w:rPr>
          <w:rStyle w:val="Appelnotedebasdep"/>
        </w:rPr>
        <w:tab/>
      </w:r>
      <w:r w:rsidRPr="008E5F94">
        <w:rPr>
          <w:rStyle w:val="Appelnotedebasdep"/>
          <w:sz w:val="20"/>
          <w:vertAlign w:val="baseline"/>
        </w:rPr>
        <w:t>***</w:t>
      </w:r>
      <w:r>
        <w:rPr>
          <w:rStyle w:val="Appelnotedebasdep"/>
          <w:sz w:val="20"/>
          <w:vertAlign w:val="baseline"/>
        </w:rPr>
        <w:tab/>
      </w:r>
      <w:r w:rsidRPr="00EA1AFE">
        <w:rPr>
          <w:szCs w:val="18"/>
        </w:rPr>
        <w:t>Conformément au programme de travail du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w:t>
      </w:r>
      <w:r>
        <w:rPr>
          <w:szCs w:val="18"/>
        </w:rPr>
        <w:t xml:space="preserve">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E173" w14:textId="154E703B" w:rsidR="004E2BA9" w:rsidRPr="004E2BA9" w:rsidRDefault="00DC2D16">
    <w:pPr>
      <w:pStyle w:val="En-tte"/>
    </w:pPr>
    <w:fldSimple w:instr=" TITLE  \* MERGEFORMAT ">
      <w:r w:rsidR="00897664">
        <w:t>ECE/TRANS/WP.29/GRVA/2020/10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7467D" w14:textId="5B0F086C" w:rsidR="004E2BA9" w:rsidRPr="004E2BA9" w:rsidRDefault="00DC2D16" w:rsidP="004E2BA9">
    <w:pPr>
      <w:pStyle w:val="En-tte"/>
      <w:jc w:val="right"/>
    </w:pPr>
    <w:fldSimple w:instr=" TITLE  \* MERGEFORMAT ">
      <w:r w:rsidR="00897664">
        <w:t>ECE/TRANS/WP.29/GRVA/2020/10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attachedTemplate r:id="rId1"/>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599"/>
    <w:rsid w:val="00017F94"/>
    <w:rsid w:val="00023842"/>
    <w:rsid w:val="000334F9"/>
    <w:rsid w:val="00045FEB"/>
    <w:rsid w:val="0007796D"/>
    <w:rsid w:val="00092097"/>
    <w:rsid w:val="000B7790"/>
    <w:rsid w:val="00111F2F"/>
    <w:rsid w:val="0014365E"/>
    <w:rsid w:val="00143C66"/>
    <w:rsid w:val="00176178"/>
    <w:rsid w:val="00187CF8"/>
    <w:rsid w:val="001F525A"/>
    <w:rsid w:val="00223272"/>
    <w:rsid w:val="0024779E"/>
    <w:rsid w:val="00257168"/>
    <w:rsid w:val="002744B8"/>
    <w:rsid w:val="002832AC"/>
    <w:rsid w:val="002D7C93"/>
    <w:rsid w:val="00305801"/>
    <w:rsid w:val="003916DE"/>
    <w:rsid w:val="00421996"/>
    <w:rsid w:val="00426747"/>
    <w:rsid w:val="00441C3B"/>
    <w:rsid w:val="004426B3"/>
    <w:rsid w:val="0044511A"/>
    <w:rsid w:val="00446FE5"/>
    <w:rsid w:val="00452396"/>
    <w:rsid w:val="004837D8"/>
    <w:rsid w:val="004E2BA9"/>
    <w:rsid w:val="004E2EED"/>
    <w:rsid w:val="004E468C"/>
    <w:rsid w:val="005505B7"/>
    <w:rsid w:val="00557217"/>
    <w:rsid w:val="00573BE5"/>
    <w:rsid w:val="00586ED3"/>
    <w:rsid w:val="00596420"/>
    <w:rsid w:val="00596AA9"/>
    <w:rsid w:val="006B2DCB"/>
    <w:rsid w:val="0071601D"/>
    <w:rsid w:val="007A62E6"/>
    <w:rsid w:val="007F20FA"/>
    <w:rsid w:val="0080684C"/>
    <w:rsid w:val="00853CDF"/>
    <w:rsid w:val="00871C75"/>
    <w:rsid w:val="0087613A"/>
    <w:rsid w:val="008776DC"/>
    <w:rsid w:val="00895CC5"/>
    <w:rsid w:val="00897664"/>
    <w:rsid w:val="008E5F94"/>
    <w:rsid w:val="009446C0"/>
    <w:rsid w:val="009705C8"/>
    <w:rsid w:val="009C1CF4"/>
    <w:rsid w:val="009F6B74"/>
    <w:rsid w:val="00A3029F"/>
    <w:rsid w:val="00A30353"/>
    <w:rsid w:val="00AC3823"/>
    <w:rsid w:val="00AE323C"/>
    <w:rsid w:val="00AF0CB5"/>
    <w:rsid w:val="00B00181"/>
    <w:rsid w:val="00B00B0D"/>
    <w:rsid w:val="00B27E1F"/>
    <w:rsid w:val="00B45F2E"/>
    <w:rsid w:val="00B765F7"/>
    <w:rsid w:val="00BA0CA9"/>
    <w:rsid w:val="00C02897"/>
    <w:rsid w:val="00C97039"/>
    <w:rsid w:val="00D3439C"/>
    <w:rsid w:val="00D52599"/>
    <w:rsid w:val="00DA76BC"/>
    <w:rsid w:val="00DB1831"/>
    <w:rsid w:val="00DC2D16"/>
    <w:rsid w:val="00DC7492"/>
    <w:rsid w:val="00DD3BFD"/>
    <w:rsid w:val="00DF6678"/>
    <w:rsid w:val="00E0299A"/>
    <w:rsid w:val="00E70837"/>
    <w:rsid w:val="00E85C74"/>
    <w:rsid w:val="00EA6547"/>
    <w:rsid w:val="00EF2E22"/>
    <w:rsid w:val="00F35BAF"/>
    <w:rsid w:val="00F660DF"/>
    <w:rsid w:val="00F85368"/>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E1519C2"/>
  <w15:docId w15:val="{8D566490-D471-4406-943F-25A889642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qFormat/>
    <w:rsid w:val="004E2BA9"/>
    <w:rPr>
      <w:rFonts w:ascii="Times New Roman" w:eastAsiaTheme="minorHAnsi" w:hAnsi="Times New Roman" w:cs="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cid:image004.jpg@01D56E37.2B346B90"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ECE_TRANS.dotm</Template>
  <TotalTime>0</TotalTime>
  <Pages>3</Pages>
  <Words>634</Words>
  <Characters>4441</Characters>
  <Application>Microsoft Office Word</Application>
  <DocSecurity>0</DocSecurity>
  <Lines>370</Lines>
  <Paragraphs>202</Paragraphs>
  <ScaleCrop>false</ScaleCrop>
  <HeadingPairs>
    <vt:vector size="2" baseType="variant">
      <vt:variant>
        <vt:lpstr>Titre</vt:lpstr>
      </vt:variant>
      <vt:variant>
        <vt:i4>1</vt:i4>
      </vt:variant>
    </vt:vector>
  </HeadingPairs>
  <TitlesOfParts>
    <vt:vector size="1" baseType="lpstr">
      <vt:lpstr>ECE/TRANS/WP.29/GRVA/2020/10</vt:lpstr>
    </vt:vector>
  </TitlesOfParts>
  <Company>DCM</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ECE/TRANS/WP.29/GRVA/2020/10</dc:title>
  <dc:subject/>
  <dc:creator>Maud DARICHE</dc:creator>
  <cp:keywords/>
  <cp:lastModifiedBy>Nathalie Vittoz</cp:lastModifiedBy>
  <cp:revision>3</cp:revision>
  <cp:lastPrinted>2019-12-16T10:26:00Z</cp:lastPrinted>
  <dcterms:created xsi:type="dcterms:W3CDTF">2021-03-17T11:00:00Z</dcterms:created>
  <dcterms:modified xsi:type="dcterms:W3CDTF">2021-03-17T11:01:00Z</dcterms:modified>
</cp:coreProperties>
</file>