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6D60ED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B4E037" w14:textId="77777777" w:rsidR="002D5AAC" w:rsidRDefault="002D5AAC" w:rsidP="00E917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70A724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6CECE89" w14:textId="77777777" w:rsidR="002D5AAC" w:rsidRDefault="00E9177D" w:rsidP="00E9177D">
            <w:pPr>
              <w:jc w:val="right"/>
            </w:pPr>
            <w:r w:rsidRPr="00E9177D">
              <w:rPr>
                <w:sz w:val="40"/>
              </w:rPr>
              <w:t>ECE</w:t>
            </w:r>
            <w:r>
              <w:t>/TRANS/WP.29/GRE/2021/5</w:t>
            </w:r>
          </w:p>
        </w:tc>
      </w:tr>
      <w:tr w:rsidR="002D5AAC" w:rsidRPr="00E9177D" w14:paraId="0D622AC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0473B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DCCA230" wp14:editId="2E77043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D75DD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737C358" w14:textId="77777777" w:rsidR="002D5AAC" w:rsidRDefault="00E9177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14DD052" w14:textId="77777777" w:rsidR="00E9177D" w:rsidRDefault="00E9177D" w:rsidP="00E917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February 2021</w:t>
            </w:r>
          </w:p>
          <w:p w14:paraId="513DD352" w14:textId="77777777" w:rsidR="00E9177D" w:rsidRDefault="00E9177D" w:rsidP="00E917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BE0E29B" w14:textId="77777777" w:rsidR="00E9177D" w:rsidRPr="008D53B6" w:rsidRDefault="00E9177D" w:rsidP="00E917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A0FDF4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DF639A2" w14:textId="77777777" w:rsidR="00E9177D" w:rsidRPr="00E9177D" w:rsidRDefault="00E9177D" w:rsidP="00E9177D">
      <w:pPr>
        <w:spacing w:before="120"/>
        <w:rPr>
          <w:sz w:val="28"/>
          <w:szCs w:val="28"/>
        </w:rPr>
      </w:pPr>
      <w:r w:rsidRPr="00E9177D">
        <w:rPr>
          <w:sz w:val="28"/>
          <w:szCs w:val="28"/>
        </w:rPr>
        <w:t>Комитет по внутреннему транспорту</w:t>
      </w:r>
    </w:p>
    <w:p w14:paraId="0A0DB939" w14:textId="77777777" w:rsidR="00E9177D" w:rsidRPr="00765015" w:rsidRDefault="00E9177D" w:rsidP="00E9177D">
      <w:pPr>
        <w:spacing w:before="120"/>
        <w:rPr>
          <w:b/>
          <w:sz w:val="24"/>
          <w:szCs w:val="24"/>
        </w:rPr>
      </w:pPr>
      <w:r w:rsidRPr="00765015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765015">
        <w:rPr>
          <w:b/>
          <w:bCs/>
          <w:sz w:val="24"/>
          <w:szCs w:val="24"/>
        </w:rPr>
        <w:br/>
      </w:r>
      <w:r w:rsidRPr="00765015">
        <w:rPr>
          <w:b/>
          <w:bCs/>
          <w:sz w:val="24"/>
          <w:szCs w:val="24"/>
        </w:rPr>
        <w:t>в области транспортных средств</w:t>
      </w:r>
    </w:p>
    <w:p w14:paraId="4B876A1E" w14:textId="77777777" w:rsidR="00E9177D" w:rsidRPr="00923C3D" w:rsidRDefault="00E9177D" w:rsidP="00E9177D">
      <w:pPr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 w:rsidR="00765015"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24FED365" w14:textId="77777777" w:rsidR="00E9177D" w:rsidRPr="00923C3D" w:rsidRDefault="00E9177D" w:rsidP="00E9177D">
      <w:pPr>
        <w:ind w:right="1134"/>
        <w:rPr>
          <w:b/>
        </w:rPr>
      </w:pPr>
      <w:r>
        <w:rPr>
          <w:b/>
          <w:bCs/>
        </w:rPr>
        <w:t>Восемьдесят четвертая сессия</w:t>
      </w:r>
    </w:p>
    <w:p w14:paraId="5F00A301" w14:textId="77777777" w:rsidR="00E9177D" w:rsidRPr="00923C3D" w:rsidRDefault="00E9177D" w:rsidP="00E9177D">
      <w:pPr>
        <w:ind w:right="1134"/>
      </w:pPr>
      <w:r>
        <w:t>Женева, 26–30 апреля 2021 года</w:t>
      </w:r>
    </w:p>
    <w:p w14:paraId="367A4AFC" w14:textId="77777777" w:rsidR="00E9177D" w:rsidRPr="00923C3D" w:rsidRDefault="00E9177D" w:rsidP="00E9177D">
      <w:pPr>
        <w:ind w:right="1134"/>
        <w:rPr>
          <w:bCs/>
        </w:rPr>
      </w:pPr>
      <w:r>
        <w:t>Пункт 6 a) предварительной повестки дня</w:t>
      </w:r>
    </w:p>
    <w:p w14:paraId="0C9B756D" w14:textId="77777777" w:rsidR="00E12C5F" w:rsidRDefault="00E9177D" w:rsidP="00765015">
      <w:pPr>
        <w:ind w:right="1467"/>
      </w:pPr>
      <w:r>
        <w:rPr>
          <w:b/>
          <w:bCs/>
        </w:rPr>
        <w:t xml:space="preserve">Правила № 48 ООН (установка устройств освещения </w:t>
      </w:r>
      <w:r w:rsidR="00765015">
        <w:rPr>
          <w:b/>
          <w:bCs/>
        </w:rPr>
        <w:br/>
      </w:r>
      <w:r>
        <w:rPr>
          <w:b/>
          <w:bCs/>
        </w:rPr>
        <w:t>и световой сигнализации):</w:t>
      </w:r>
      <w:r w:rsidR="00765015">
        <w:rPr>
          <w:b/>
          <w:bCs/>
        </w:rPr>
        <w:br/>
      </w:r>
      <w:r>
        <w:rPr>
          <w:b/>
          <w:bCs/>
        </w:rPr>
        <w:t>Предложения по поправкам к поправкам последних серий</w:t>
      </w:r>
    </w:p>
    <w:p w14:paraId="42F47BD6" w14:textId="77777777" w:rsidR="00E9177D" w:rsidRPr="00923C3D" w:rsidRDefault="00765015" w:rsidP="00765015">
      <w:pPr>
        <w:pStyle w:val="HChG"/>
        <w:rPr>
          <w:szCs w:val="28"/>
        </w:rPr>
      </w:pPr>
      <w:r>
        <w:tab/>
      </w:r>
      <w:r w:rsidR="00E9177D">
        <w:tab/>
        <w:t>Предложение по дополнению [16] к поправкам серии 06 к</w:t>
      </w:r>
      <w:r>
        <w:rPr>
          <w:lang w:val="en-US"/>
        </w:rPr>
        <w:t> </w:t>
      </w:r>
      <w:r w:rsidR="00E9177D">
        <w:t>Правилам № 48 ООН и дополнению [02] к поправкам серии 07 к Правилам № 48 ООН</w:t>
      </w:r>
    </w:p>
    <w:p w14:paraId="383FA526" w14:textId="77777777" w:rsidR="00E9177D" w:rsidRPr="00923C3D" w:rsidRDefault="00765015" w:rsidP="00765015">
      <w:pPr>
        <w:pStyle w:val="H1G"/>
        <w:rPr>
          <w:szCs w:val="24"/>
        </w:rPr>
      </w:pPr>
      <w:r>
        <w:tab/>
      </w:r>
      <w:r>
        <w:tab/>
      </w:r>
      <w:r w:rsidR="00E9177D">
        <w:t>Представлено экспертом от Международной группы экспертов по</w:t>
      </w:r>
      <w:r>
        <w:rPr>
          <w:lang w:val="en-US"/>
        </w:rPr>
        <w:t> </w:t>
      </w:r>
      <w:r w:rsidR="00E9177D">
        <w:t>вопросам автомобильного освещения и световой сигнализации (БРГ)</w:t>
      </w:r>
      <w:r w:rsidR="00E9177D" w:rsidRPr="00765015">
        <w:rPr>
          <w:b w:val="0"/>
          <w:bCs/>
          <w:sz w:val="20"/>
        </w:rPr>
        <w:footnoteReference w:customMarkFollows="1" w:id="1"/>
        <w:t>*</w:t>
      </w:r>
    </w:p>
    <w:p w14:paraId="7CAF6590" w14:textId="77777777" w:rsidR="00E9177D" w:rsidRDefault="00765015" w:rsidP="00E9177D">
      <w:pPr>
        <w:pStyle w:val="SingleTxtG"/>
      </w:pPr>
      <w:r>
        <w:tab/>
      </w:r>
      <w:r w:rsidR="00E9177D">
        <w:t>Воспроизведенный ниже текст был подготовлен экспертом от БРГ с целью уточнить метод определения видимой поверхности. Изменения к существующему тексту Правил ООН выделены жирным шрифтом в случае новых элементов или зачеркиванием — в случае исключенных элементов.</w:t>
      </w:r>
    </w:p>
    <w:p w14:paraId="6FD83F71" w14:textId="77777777" w:rsidR="00E9177D" w:rsidRDefault="00E9177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606D540" w14:textId="77777777" w:rsidR="00E9177D" w:rsidRPr="00923C3D" w:rsidRDefault="00E9177D" w:rsidP="00765015">
      <w:pPr>
        <w:pStyle w:val="HChG"/>
      </w:pPr>
      <w:r>
        <w:lastRenderedPageBreak/>
        <w:tab/>
        <w:t>I.</w:t>
      </w:r>
      <w:r>
        <w:tab/>
        <w:t>Предложение</w:t>
      </w:r>
    </w:p>
    <w:p w14:paraId="5F2FD42F" w14:textId="77777777" w:rsidR="00E9177D" w:rsidRPr="00923C3D" w:rsidRDefault="00E9177D" w:rsidP="00232E21">
      <w:pPr>
        <w:pStyle w:val="SingleTxtG"/>
        <w:tabs>
          <w:tab w:val="clear" w:pos="1701"/>
        </w:tabs>
        <w:ind w:left="2268" w:hanging="1134"/>
        <w:rPr>
          <w:i/>
          <w:iCs/>
        </w:rPr>
      </w:pPr>
      <w:r>
        <w:rPr>
          <w:i/>
          <w:iCs/>
        </w:rPr>
        <w:t>Пункт 3.2.5</w:t>
      </w:r>
      <w:r>
        <w:t xml:space="preserve"> изменить следующим образом:</w:t>
      </w:r>
    </w:p>
    <w:p w14:paraId="48EC0A68" w14:textId="77777777" w:rsidR="00E9177D" w:rsidRPr="00923C3D" w:rsidRDefault="00765015" w:rsidP="00232E21">
      <w:pPr>
        <w:pStyle w:val="SingleTxtG"/>
        <w:tabs>
          <w:tab w:val="clear" w:pos="1701"/>
        </w:tabs>
        <w:ind w:left="2268" w:hanging="1134"/>
        <w:rPr>
          <w:b/>
          <w:bCs/>
        </w:rPr>
      </w:pPr>
      <w:r>
        <w:t>«</w:t>
      </w:r>
      <w:r w:rsidR="00E9177D" w:rsidRPr="00923C3D">
        <w:t>3.2.5</w:t>
      </w:r>
      <w:r w:rsidR="00E9177D">
        <w:tab/>
        <w:t>указание метода, используемого для определения видимой поверхности (см. пункт 2.10.4</w:t>
      </w:r>
      <w:r w:rsidR="00E9177D" w:rsidRPr="00232E21">
        <w:t>).</w:t>
      </w:r>
    </w:p>
    <w:p w14:paraId="225810E0" w14:textId="77777777" w:rsidR="00E9177D" w:rsidRPr="00923C3D" w:rsidRDefault="00232E21" w:rsidP="00232E21">
      <w:pPr>
        <w:pStyle w:val="SingleTxtG"/>
        <w:tabs>
          <w:tab w:val="clear" w:pos="1701"/>
        </w:tabs>
        <w:ind w:left="2268" w:hanging="1134"/>
      </w:pPr>
      <w:r>
        <w:rPr>
          <w:b/>
          <w:bCs/>
        </w:rPr>
        <w:tab/>
      </w:r>
      <w:r w:rsidR="00E9177D">
        <w:rPr>
          <w:b/>
          <w:bCs/>
        </w:rPr>
        <w:t>Метод, используемый для определения видимой поверхности, указывают для каждого огня, согласно определению в пункте 2.5, и</w:t>
      </w:r>
      <w:r>
        <w:rPr>
          <w:b/>
          <w:bCs/>
        </w:rPr>
        <w:t> </w:t>
      </w:r>
      <w:r w:rsidR="00E9177D">
        <w:rPr>
          <w:b/>
          <w:bCs/>
        </w:rPr>
        <w:t>регистрируют в пункте 10.2 карточки сообщения, приведенной в приложении 1</w:t>
      </w:r>
      <w:r w:rsidR="00E9177D" w:rsidRPr="00232E21">
        <w:rPr>
          <w:b/>
          <w:bCs/>
        </w:rPr>
        <w:t>;</w:t>
      </w:r>
      <w:r w:rsidRPr="00232E21">
        <w:t>».</w:t>
      </w:r>
      <w:r w:rsidR="00E9177D">
        <w:t xml:space="preserve"> </w:t>
      </w:r>
    </w:p>
    <w:p w14:paraId="278C13BB" w14:textId="77777777" w:rsidR="00E9177D" w:rsidRPr="00923C3D" w:rsidRDefault="00E9177D" w:rsidP="00232E21">
      <w:pPr>
        <w:pStyle w:val="SingleTxtG"/>
        <w:tabs>
          <w:tab w:val="clear" w:pos="1701"/>
        </w:tabs>
        <w:ind w:left="2268" w:hanging="1134"/>
        <w:rPr>
          <w:i/>
        </w:rPr>
      </w:pPr>
      <w:r>
        <w:rPr>
          <w:i/>
          <w:iCs/>
        </w:rPr>
        <w:t>Приложение 1, пункт 10.2</w:t>
      </w:r>
      <w:r>
        <w:t xml:space="preserve"> изменить следующим образом:</w:t>
      </w:r>
    </w:p>
    <w:p w14:paraId="43DDA2CF" w14:textId="77777777" w:rsidR="00E9177D" w:rsidRPr="00923C3D" w:rsidRDefault="00232E21" w:rsidP="00232E21">
      <w:pPr>
        <w:pStyle w:val="SingleTxtG"/>
        <w:tabs>
          <w:tab w:val="clear" w:pos="1701"/>
        </w:tabs>
        <w:ind w:left="2268" w:hanging="1134"/>
      </w:pPr>
      <w:r>
        <w:t>«</w:t>
      </w:r>
      <w:r w:rsidR="00E9177D">
        <w:t>10.2</w:t>
      </w:r>
      <w:r w:rsidR="00E9177D">
        <w:tab/>
        <w:t>Метод, используемый для определения видимой поверхности:</w:t>
      </w:r>
    </w:p>
    <w:p w14:paraId="28BBA9AE" w14:textId="77777777" w:rsidR="00E9177D" w:rsidRPr="00923C3D" w:rsidRDefault="00232E21" w:rsidP="00232E21">
      <w:pPr>
        <w:pStyle w:val="SingleTxtG"/>
        <w:tabs>
          <w:tab w:val="clear" w:pos="1701"/>
        </w:tabs>
        <w:ind w:left="2268" w:hanging="1134"/>
      </w:pPr>
      <w:r>
        <w:tab/>
      </w:r>
      <w:r w:rsidR="00E9177D">
        <w:t>a)</w:t>
      </w:r>
      <w:r w:rsidR="00E9177D">
        <w:tab/>
        <w:t>граница освещающей поверхности</w:t>
      </w:r>
      <w:r w:rsidR="00E9177D">
        <w:rPr>
          <w:strike/>
          <w:vertAlign w:val="superscript"/>
        </w:rPr>
        <w:t>2</w:t>
      </w:r>
      <w:r w:rsidR="00E9177D">
        <w:rPr>
          <w:b/>
          <w:bCs/>
        </w:rPr>
        <w:t xml:space="preserve"> — используется для следующего(их) огня(ей):</w:t>
      </w:r>
    </w:p>
    <w:p w14:paraId="426940D1" w14:textId="77777777" w:rsidR="00E9177D" w:rsidRPr="00923C3D" w:rsidRDefault="00E9177D" w:rsidP="00E9177D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bCs/>
        </w:rPr>
        <w:t>…………………………………………………………………………………</w:t>
      </w:r>
    </w:p>
    <w:p w14:paraId="5AE86C23" w14:textId="77777777" w:rsidR="00E9177D" w:rsidRPr="00923C3D" w:rsidRDefault="00E9177D" w:rsidP="00E9177D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bCs/>
        </w:rPr>
        <w:t>…………………………………………………………………………………</w:t>
      </w:r>
    </w:p>
    <w:p w14:paraId="21896F3B" w14:textId="77777777" w:rsidR="00E9177D" w:rsidRPr="00923C3D" w:rsidRDefault="00E9177D" w:rsidP="00E9177D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b/>
        </w:rPr>
      </w:pPr>
      <w:r>
        <w:tab/>
      </w:r>
      <w:r>
        <w:tab/>
      </w:r>
      <w:r>
        <w:tab/>
      </w:r>
      <w:r>
        <w:rPr>
          <w:b/>
          <w:bCs/>
        </w:rPr>
        <w:t>…………………………………………………………………………………</w:t>
      </w:r>
    </w:p>
    <w:p w14:paraId="307CEF38" w14:textId="77777777" w:rsidR="00E9177D" w:rsidRPr="00923C3D" w:rsidRDefault="00E9177D" w:rsidP="00E9177D">
      <w:pPr>
        <w:autoSpaceDE w:val="0"/>
        <w:autoSpaceDN w:val="0"/>
        <w:adjustRightInd w:val="0"/>
        <w:snapToGrid w:val="0"/>
        <w:spacing w:after="120"/>
        <w:ind w:left="2268" w:right="1134"/>
        <w:jc w:val="both"/>
      </w:pPr>
      <w:r>
        <w:tab/>
      </w:r>
      <w:r>
        <w:rPr>
          <w:strike/>
        </w:rPr>
        <w:t>или</w:t>
      </w:r>
    </w:p>
    <w:p w14:paraId="43F20771" w14:textId="77777777" w:rsidR="00E9177D" w:rsidRPr="00923C3D" w:rsidRDefault="00232E21" w:rsidP="00232E21">
      <w:pPr>
        <w:pStyle w:val="SingleTxtG"/>
        <w:tabs>
          <w:tab w:val="clear" w:pos="1701"/>
        </w:tabs>
        <w:ind w:left="2268" w:hanging="1134"/>
        <w:rPr>
          <w:b/>
        </w:rPr>
      </w:pPr>
      <w:r>
        <w:tab/>
      </w:r>
      <w:r w:rsidR="00E9177D">
        <w:t>b)</w:t>
      </w:r>
      <w:r w:rsidR="00E9177D">
        <w:tab/>
        <w:t>светоизлучающая поверхность</w:t>
      </w:r>
      <w:r w:rsidR="00E9177D">
        <w:rPr>
          <w:strike/>
          <w:vertAlign w:val="superscript"/>
        </w:rPr>
        <w:t>2</w:t>
      </w:r>
      <w:r w:rsidR="00E9177D">
        <w:rPr>
          <w:b/>
          <w:bCs/>
        </w:rPr>
        <w:t xml:space="preserve"> — используется для следующего(их) огня(ей):</w:t>
      </w:r>
    </w:p>
    <w:p w14:paraId="37145A8F" w14:textId="77777777" w:rsidR="00E9177D" w:rsidRPr="008E5C33" w:rsidRDefault="00E9177D" w:rsidP="00E9177D">
      <w:pPr>
        <w:autoSpaceDE w:val="0"/>
        <w:autoSpaceDN w:val="0"/>
        <w:adjustRightInd w:val="0"/>
        <w:snapToGrid w:val="0"/>
        <w:spacing w:after="120" w:line="360" w:lineRule="auto"/>
        <w:ind w:left="1134" w:right="1134"/>
        <w:jc w:val="both"/>
      </w:pPr>
      <w:r>
        <w:tab/>
      </w:r>
      <w:r>
        <w:tab/>
      </w:r>
      <w:r>
        <w:tab/>
      </w:r>
      <w:r>
        <w:rPr>
          <w:b/>
          <w:bCs/>
        </w:rPr>
        <w:t>…………………………………………………………………………………</w:t>
      </w:r>
      <w:r>
        <w:tab/>
      </w:r>
      <w:r>
        <w:tab/>
      </w:r>
      <w:r>
        <w:tab/>
      </w:r>
      <w:r>
        <w:rPr>
          <w:b/>
          <w:bCs/>
        </w:rPr>
        <w:t>…………………………………………………………………………………</w:t>
      </w:r>
      <w:r>
        <w:tab/>
      </w:r>
      <w:r>
        <w:tab/>
      </w:r>
      <w:r>
        <w:tab/>
      </w:r>
      <w:r>
        <w:rPr>
          <w:b/>
          <w:bCs/>
        </w:rPr>
        <w:t>…………………………………………………………………………………</w:t>
      </w:r>
      <w:r>
        <w:tab/>
      </w:r>
      <w:r>
        <w:tab/>
      </w:r>
      <w:r>
        <w:tab/>
      </w:r>
      <w:r w:rsidR="00232E21">
        <w:t>»</w:t>
      </w:r>
    </w:p>
    <w:p w14:paraId="22E2F7FE" w14:textId="77777777" w:rsidR="00E9177D" w:rsidRDefault="00E9177D" w:rsidP="00232E21">
      <w:pPr>
        <w:pStyle w:val="HChG"/>
        <w:spacing w:before="240"/>
      </w:pPr>
      <w:r>
        <w:tab/>
        <w:t>II.</w:t>
      </w:r>
      <w:r>
        <w:tab/>
        <w:t>Обоснование</w:t>
      </w:r>
    </w:p>
    <w:p w14:paraId="78508F28" w14:textId="77777777" w:rsidR="00E9177D" w:rsidRPr="00923C3D" w:rsidRDefault="00232E21" w:rsidP="00232E21">
      <w:pPr>
        <w:pStyle w:val="SingleTxtG"/>
        <w:rPr>
          <w:bCs/>
        </w:rPr>
      </w:pPr>
      <w:r>
        <w:t>1.</w:t>
      </w:r>
      <w:r>
        <w:tab/>
      </w:r>
      <w:r w:rsidR="00E9177D">
        <w:t xml:space="preserve">В настоящее время для определения видимой поверхности существуют два проверенных метода. Они определены в Правилах № 48 ООН как </w:t>
      </w:r>
      <w:r>
        <w:t>«</w:t>
      </w:r>
      <w:r w:rsidR="00E9177D">
        <w:t>светоизлучающая поверхность</w:t>
      </w:r>
      <w:r>
        <w:t>»</w:t>
      </w:r>
      <w:r w:rsidR="00E9177D">
        <w:t xml:space="preserve"> и </w:t>
      </w:r>
      <w:r>
        <w:t>«</w:t>
      </w:r>
      <w:r w:rsidR="00E9177D">
        <w:t>освещающая поверхность</w:t>
      </w:r>
      <w:r>
        <w:t>»</w:t>
      </w:r>
      <w:r w:rsidR="00E9177D">
        <w:t>. Определять видимую поверхность можно с помощью обоих методов, и существуют существенные доказательства того, что оба эти метода соответствуют реальности.</w:t>
      </w:r>
    </w:p>
    <w:p w14:paraId="4590E119" w14:textId="77777777" w:rsidR="00E9177D" w:rsidRPr="00923C3D" w:rsidRDefault="00232E21" w:rsidP="00232E21">
      <w:pPr>
        <w:pStyle w:val="SingleTxtG"/>
        <w:rPr>
          <w:bCs/>
        </w:rPr>
      </w:pPr>
      <w:r>
        <w:t>2.</w:t>
      </w:r>
      <w:r>
        <w:tab/>
      </w:r>
      <w:r w:rsidR="00E9177D">
        <w:t>Для устройств освещения и световой сигнализации с прозрачным рассеивателем без дополнительной оптики лучше использовать метод светоизлучающей поверхности, а для определения видимой поверхности текстурированных (с оптикой) внешних рассеивателей более оптимальным является метод освещающей поверхности.</w:t>
      </w:r>
    </w:p>
    <w:p w14:paraId="621867C1" w14:textId="77777777" w:rsidR="00E9177D" w:rsidRPr="00923C3D" w:rsidRDefault="00232E21" w:rsidP="00232E21">
      <w:pPr>
        <w:pStyle w:val="SingleTxtG"/>
        <w:rPr>
          <w:bCs/>
        </w:rPr>
      </w:pPr>
      <w:r>
        <w:t>3.</w:t>
      </w:r>
      <w:r>
        <w:tab/>
      </w:r>
      <w:r w:rsidR="00E9177D">
        <w:t xml:space="preserve">В настоящее время из </w:t>
      </w:r>
      <w:proofErr w:type="gramStart"/>
      <w:r w:rsidR="00E9177D">
        <w:t>текста Правил</w:t>
      </w:r>
      <w:proofErr w:type="gramEnd"/>
      <w:r w:rsidR="00E9177D">
        <w:t xml:space="preserve"> № 48 ООН неясно, может ли метод, используемый для определения видимой поверхности, по-разному использоваться для различных функций. В приложении 1 лишь указаны метод a) или метод b) без ссылок на различные функции или устройства. Предложенная поправка к пункту 10.2 приложения 1 имеет целью уточнить эти положения. </w:t>
      </w:r>
    </w:p>
    <w:p w14:paraId="5D5131A0" w14:textId="77777777" w:rsidR="00E9177D" w:rsidRPr="00923C3D" w:rsidRDefault="00232E21" w:rsidP="00232E21">
      <w:pPr>
        <w:pStyle w:val="SingleTxtG"/>
        <w:rPr>
          <w:bCs/>
        </w:rPr>
      </w:pPr>
      <w:r>
        <w:t>4.</w:t>
      </w:r>
      <w:r>
        <w:tab/>
      </w:r>
      <w:r w:rsidR="00E9177D">
        <w:t xml:space="preserve">В связи с этим предлагается включить в пункт 3.2.5 дополнительное предложение, с тем чтобы предоставить изготовителю транспортного средства или его надлежащим образом уполномоченному представителю возможность определять метод определения видимой поверхности отдельно для каждой функции. </w:t>
      </w:r>
    </w:p>
    <w:p w14:paraId="0EE9B127" w14:textId="77777777" w:rsidR="00E9177D" w:rsidRDefault="00232E21" w:rsidP="00232E21">
      <w:pPr>
        <w:pStyle w:val="SingleTxtG"/>
      </w:pPr>
      <w:r>
        <w:t>5.</w:t>
      </w:r>
      <w:r>
        <w:tab/>
      </w:r>
      <w:r w:rsidR="00E9177D">
        <w:t>Согласно общему пониманию</w:t>
      </w:r>
      <w:r>
        <w:t>,</w:t>
      </w:r>
      <w:r w:rsidR="00E9177D">
        <w:t xml:space="preserve"> термин </w:t>
      </w:r>
      <w:r>
        <w:t>«</w:t>
      </w:r>
      <w:r w:rsidR="00E9177D">
        <w:t>огонь</w:t>
      </w:r>
      <w:r>
        <w:t>»</w:t>
      </w:r>
      <w:r w:rsidR="00E9177D">
        <w:t xml:space="preserve"> используется в значении </w:t>
      </w:r>
      <w:r>
        <w:t>«</w:t>
      </w:r>
      <w:r w:rsidR="00E9177D">
        <w:t>огонь (функция)</w:t>
      </w:r>
      <w:r>
        <w:t>»</w:t>
      </w:r>
      <w:r w:rsidR="00E9177D">
        <w:t xml:space="preserve">. Тем не менее было сочтено, что существующее определение </w:t>
      </w:r>
      <w:r>
        <w:t>«</w:t>
      </w:r>
      <w:r w:rsidR="00E9177D">
        <w:t>огня</w:t>
      </w:r>
      <w:r>
        <w:t>»</w:t>
      </w:r>
      <w:r w:rsidR="00E9177D">
        <w:t xml:space="preserve"> в Правилах № 48 ООН изменять нет необходимости.</w:t>
      </w:r>
    </w:p>
    <w:p w14:paraId="363DD978" w14:textId="77777777" w:rsidR="00E9177D" w:rsidRPr="00E9177D" w:rsidRDefault="00E9177D" w:rsidP="00232E21">
      <w:pPr>
        <w:pStyle w:val="SingleTxtG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177D" w:rsidRPr="00E9177D" w:rsidSect="00E9177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1B4AB" w14:textId="77777777" w:rsidR="00173C35" w:rsidRPr="00A312BC" w:rsidRDefault="00173C35" w:rsidP="00A312BC"/>
  </w:endnote>
  <w:endnote w:type="continuationSeparator" w:id="0">
    <w:p w14:paraId="50601D49" w14:textId="77777777" w:rsidR="00173C35" w:rsidRPr="00A312BC" w:rsidRDefault="00173C3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C2CF" w14:textId="77777777" w:rsidR="00E9177D" w:rsidRPr="00E9177D" w:rsidRDefault="00E9177D">
    <w:pPr>
      <w:pStyle w:val="a8"/>
    </w:pPr>
    <w:r w:rsidRPr="00E9177D">
      <w:rPr>
        <w:b/>
        <w:sz w:val="18"/>
      </w:rPr>
      <w:fldChar w:fldCharType="begin"/>
    </w:r>
    <w:r w:rsidRPr="00E9177D">
      <w:rPr>
        <w:b/>
        <w:sz w:val="18"/>
      </w:rPr>
      <w:instrText xml:space="preserve"> PAGE  \* MERGEFORMAT </w:instrText>
    </w:r>
    <w:r w:rsidRPr="00E9177D">
      <w:rPr>
        <w:b/>
        <w:sz w:val="18"/>
      </w:rPr>
      <w:fldChar w:fldCharType="separate"/>
    </w:r>
    <w:r w:rsidRPr="00E9177D">
      <w:rPr>
        <w:b/>
        <w:noProof/>
        <w:sz w:val="18"/>
      </w:rPr>
      <w:t>2</w:t>
    </w:r>
    <w:r w:rsidRPr="00E9177D">
      <w:rPr>
        <w:b/>
        <w:sz w:val="18"/>
      </w:rPr>
      <w:fldChar w:fldCharType="end"/>
    </w:r>
    <w:r>
      <w:rPr>
        <w:b/>
        <w:sz w:val="18"/>
      </w:rPr>
      <w:tab/>
    </w:r>
    <w:r>
      <w:t>GE.21-01711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326C4" w14:textId="77777777" w:rsidR="00E9177D" w:rsidRPr="00E9177D" w:rsidRDefault="00E9177D" w:rsidP="00E9177D">
    <w:pPr>
      <w:pStyle w:val="a8"/>
      <w:tabs>
        <w:tab w:val="clear" w:pos="9639"/>
        <w:tab w:val="right" w:pos="9638"/>
      </w:tabs>
      <w:rPr>
        <w:b/>
        <w:sz w:val="18"/>
      </w:rPr>
    </w:pPr>
    <w:r>
      <w:t>GE.21-01711</w:t>
    </w:r>
    <w:r>
      <w:tab/>
    </w:r>
    <w:r w:rsidRPr="00E9177D">
      <w:rPr>
        <w:b/>
        <w:sz w:val="18"/>
      </w:rPr>
      <w:fldChar w:fldCharType="begin"/>
    </w:r>
    <w:r w:rsidRPr="00E9177D">
      <w:rPr>
        <w:b/>
        <w:sz w:val="18"/>
      </w:rPr>
      <w:instrText xml:space="preserve"> PAGE  \* MERGEFORMAT </w:instrText>
    </w:r>
    <w:r w:rsidRPr="00E9177D">
      <w:rPr>
        <w:b/>
        <w:sz w:val="18"/>
      </w:rPr>
      <w:fldChar w:fldCharType="separate"/>
    </w:r>
    <w:r w:rsidRPr="00E9177D">
      <w:rPr>
        <w:b/>
        <w:noProof/>
        <w:sz w:val="18"/>
      </w:rPr>
      <w:t>3</w:t>
    </w:r>
    <w:r w:rsidRPr="00E917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25E7" w14:textId="77777777" w:rsidR="00042B72" w:rsidRPr="00E9177D" w:rsidRDefault="00E9177D" w:rsidP="00E9177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DDC7276" wp14:editId="7D1FF43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01711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7E7E476" wp14:editId="6634433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478">
      <w:t xml:space="preserve">  220221  230221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7D1A3" w14:textId="77777777" w:rsidR="00173C35" w:rsidRPr="001075E9" w:rsidRDefault="00173C3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2C7485" w14:textId="77777777" w:rsidR="00173C35" w:rsidRDefault="00173C3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E040965" w14:textId="77777777" w:rsidR="00E9177D" w:rsidRPr="00706101" w:rsidRDefault="00E9177D" w:rsidP="00E9177D">
      <w:pPr>
        <w:pStyle w:val="ad"/>
      </w:pPr>
      <w:r>
        <w:tab/>
      </w:r>
      <w:r w:rsidRPr="00765015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</w:t>
      </w:r>
      <w:bookmarkStart w:id="0" w:name="_GoBack"/>
      <w:bookmarkEnd w:id="0"/>
      <w:r>
        <w:t>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D8702" w14:textId="415465CB" w:rsidR="00E9177D" w:rsidRPr="00E9177D" w:rsidRDefault="00E9177D">
    <w:pPr>
      <w:pStyle w:val="a5"/>
    </w:pPr>
    <w:fldSimple w:instr=" TITLE  \* MERGEFORMAT ">
      <w:r w:rsidR="00FA3D43">
        <w:t>ECE/TRANS/WP.29/GRE/2021/5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ED4B0" w14:textId="5B69449A" w:rsidR="00E9177D" w:rsidRPr="00E9177D" w:rsidRDefault="00E9177D" w:rsidP="00E9177D">
    <w:pPr>
      <w:pStyle w:val="a5"/>
      <w:jc w:val="right"/>
    </w:pPr>
    <w:fldSimple w:instr=" TITLE  \* MERGEFORMAT ">
      <w:r w:rsidR="00FA3D43">
        <w:t>ECE/TRANS/WP.29/GRE/2021/5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D7136"/>
    <w:multiLevelType w:val="hybridMultilevel"/>
    <w:tmpl w:val="C87E2824"/>
    <w:lvl w:ilvl="0" w:tplc="FA7E3CA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  <w:lvlOverride w:ilvl="0">
      <w:lvl w:ilvl="0" w:tplc="FA7E3CAA">
        <w:start w:val="1"/>
        <w:numFmt w:val="decimal"/>
        <w:lvlText w:val="%1."/>
        <w:lvlJc w:val="left"/>
        <w:pPr>
          <w:ind w:left="1854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35"/>
    <w:rsid w:val="00033EE1"/>
    <w:rsid w:val="00037F39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3C35"/>
    <w:rsid w:val="00180183"/>
    <w:rsid w:val="0018024D"/>
    <w:rsid w:val="0018649F"/>
    <w:rsid w:val="00196389"/>
    <w:rsid w:val="001B3EF6"/>
    <w:rsid w:val="001C7A89"/>
    <w:rsid w:val="00232E2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5015"/>
    <w:rsid w:val="00792497"/>
    <w:rsid w:val="00806737"/>
    <w:rsid w:val="00825F8D"/>
    <w:rsid w:val="00834B71"/>
    <w:rsid w:val="00846478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77D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3D43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0E7DBF"/>
  <w15:docId w15:val="{72E645D2-8C4C-4527-8FFA-D564B555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E9177D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E9177D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E9177D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E9177D"/>
    <w:rPr>
      <w:snapToGrid w:val="0"/>
      <w:lang w:val="fr-FR" w:eastAsia="en-US"/>
    </w:rPr>
  </w:style>
  <w:style w:type="paragraph" w:styleId="af3">
    <w:name w:val="List Paragraph"/>
    <w:basedOn w:val="a"/>
    <w:uiPriority w:val="34"/>
    <w:qFormat/>
    <w:rsid w:val="00E9177D"/>
    <w:pPr>
      <w:ind w:left="720"/>
      <w:contextualSpacing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422</Words>
  <Characters>3043</Characters>
  <Application>Microsoft Office Word</Application>
  <DocSecurity>0</DocSecurity>
  <Lines>276</Lines>
  <Paragraphs>115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ECE/TRANS/WP.29/GRE/2021/5</vt:lpstr>
      <vt:lpstr>A/</vt:lpstr>
      <vt:lpstr>A/</vt:lpstr>
    </vt:vector>
  </TitlesOfParts>
  <Company>DCM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ECE/TRANS/WP.29/GRE/2021/5</dc:title>
  <dc:subject/>
  <dc:creator>Marina KOROTKOVA</dc:creator>
  <cp:keywords/>
  <cp:lastModifiedBy>Marina KOROTKOVA</cp:lastModifiedBy>
  <cp:revision>3</cp:revision>
  <cp:lastPrinted>2021-02-23T08:12:00Z</cp:lastPrinted>
  <dcterms:created xsi:type="dcterms:W3CDTF">2021-02-23T08:12:00Z</dcterms:created>
  <dcterms:modified xsi:type="dcterms:W3CDTF">2021-02-23T08:12:00Z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