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26148"/>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26148" w:rsidP="00326148">
            <w:pPr>
              <w:jc w:val="right"/>
            </w:pPr>
            <w:r w:rsidRPr="00326148">
              <w:rPr>
                <w:sz w:val="40"/>
              </w:rPr>
              <w:t>ECE</w:t>
            </w:r>
            <w:r>
              <w:t>/TRANS/WP.29/GRE/2021/2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26148" w:rsidP="00C97039">
            <w:pPr>
              <w:spacing w:before="240"/>
            </w:pPr>
            <w:r>
              <w:t>Distr. générale</w:t>
            </w:r>
          </w:p>
          <w:p w:rsidR="00326148" w:rsidRDefault="00326148" w:rsidP="00326148">
            <w:pPr>
              <w:spacing w:line="240" w:lineRule="exact"/>
            </w:pPr>
            <w:r>
              <w:t>8 février 2021</w:t>
            </w:r>
          </w:p>
          <w:p w:rsidR="00326148" w:rsidRDefault="00326148" w:rsidP="00326148">
            <w:pPr>
              <w:spacing w:line="240" w:lineRule="exact"/>
            </w:pPr>
            <w:r>
              <w:t>Français</w:t>
            </w:r>
          </w:p>
          <w:p w:rsidR="00326148" w:rsidRPr="00DB58B5" w:rsidRDefault="00326148" w:rsidP="0032614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326148">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326148" w:rsidRDefault="00326148"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26148" w:rsidRDefault="00326148" w:rsidP="00257168">
      <w:pPr>
        <w:spacing w:before="120" w:after="120" w:line="240" w:lineRule="exact"/>
        <w:rPr>
          <w:b/>
        </w:rPr>
      </w:pPr>
      <w:r>
        <w:rPr>
          <w:b/>
        </w:rPr>
        <w:t>Groupe de travail de l’éclairage et de la signalisation lumineuse</w:t>
      </w:r>
    </w:p>
    <w:p w:rsidR="00326148" w:rsidRPr="00326148" w:rsidRDefault="00326148" w:rsidP="00326148">
      <w:pPr>
        <w:spacing w:before="120" w:line="240" w:lineRule="exact"/>
        <w:rPr>
          <w:b/>
        </w:rPr>
      </w:pPr>
      <w:r w:rsidRPr="00326148">
        <w:rPr>
          <w:b/>
          <w:bCs/>
          <w:lang w:val="fr-FR"/>
        </w:rPr>
        <w:t>Quatre-vingt-quatrième session</w:t>
      </w:r>
    </w:p>
    <w:p w:rsidR="00326148" w:rsidRPr="00326148" w:rsidRDefault="00326148" w:rsidP="00326148">
      <w:pPr>
        <w:spacing w:line="240" w:lineRule="exact"/>
      </w:pPr>
      <w:r w:rsidRPr="00326148">
        <w:rPr>
          <w:lang w:val="fr-FR"/>
        </w:rPr>
        <w:t>Genève, 26-30 avril 2021</w:t>
      </w:r>
    </w:p>
    <w:p w:rsidR="00326148" w:rsidRPr="00326148" w:rsidRDefault="00326148" w:rsidP="00326148">
      <w:pPr>
        <w:spacing w:line="240" w:lineRule="exact"/>
        <w:rPr>
          <w:bCs/>
        </w:rPr>
      </w:pPr>
      <w:r w:rsidRPr="00326148">
        <w:rPr>
          <w:lang w:val="fr-FR"/>
        </w:rPr>
        <w:t>Point 6 b) de l</w:t>
      </w:r>
      <w:r>
        <w:rPr>
          <w:lang w:val="fr-FR"/>
        </w:rPr>
        <w:t>’</w:t>
      </w:r>
      <w:r w:rsidRPr="00326148">
        <w:rPr>
          <w:lang w:val="fr-FR"/>
        </w:rPr>
        <w:t>ordre du jour provisoire</w:t>
      </w:r>
    </w:p>
    <w:p w:rsidR="00326148" w:rsidRPr="00326148" w:rsidRDefault="00326148" w:rsidP="00326148">
      <w:pPr>
        <w:spacing w:line="240" w:lineRule="exact"/>
        <w:rPr>
          <w:b/>
          <w:bCs/>
        </w:rPr>
      </w:pPr>
      <w:r w:rsidRPr="00326148">
        <w:rPr>
          <w:b/>
          <w:bCs/>
          <w:lang w:val="fr-FR"/>
        </w:rPr>
        <w:t>Règlement ONU n</w:t>
      </w:r>
      <w:r w:rsidRPr="00326148">
        <w:rPr>
          <w:b/>
          <w:bCs/>
          <w:vertAlign w:val="superscript"/>
          <w:lang w:val="fr-FR"/>
        </w:rPr>
        <w:t>o</w:t>
      </w:r>
      <w:r w:rsidRPr="00326148">
        <w:rPr>
          <w:b/>
          <w:bCs/>
          <w:lang w:val="fr-FR"/>
        </w:rPr>
        <w:t xml:space="preserve"> 48 (Installation des dispositifs </w:t>
      </w:r>
      <w:r>
        <w:rPr>
          <w:b/>
          <w:bCs/>
          <w:lang w:val="fr-FR"/>
        </w:rPr>
        <w:br/>
      </w:r>
      <w:r w:rsidRPr="00326148">
        <w:rPr>
          <w:b/>
          <w:bCs/>
          <w:lang w:val="fr-FR"/>
        </w:rPr>
        <w:t>d</w:t>
      </w:r>
      <w:r>
        <w:rPr>
          <w:b/>
          <w:bCs/>
          <w:lang w:val="fr-FR"/>
        </w:rPr>
        <w:t>’</w:t>
      </w:r>
      <w:r w:rsidRPr="00326148">
        <w:rPr>
          <w:b/>
          <w:bCs/>
          <w:lang w:val="fr-FR"/>
        </w:rPr>
        <w:t>éclairage et de signalisation lumineuse)</w:t>
      </w:r>
      <w:r>
        <w:rPr>
          <w:b/>
          <w:bCs/>
          <w:lang w:val="fr-FR"/>
        </w:rPr>
        <w:t> </w:t>
      </w:r>
      <w:r w:rsidRPr="00326148">
        <w:rPr>
          <w:b/>
          <w:bCs/>
          <w:lang w:val="fr-FR"/>
        </w:rPr>
        <w:t>:</w:t>
      </w:r>
    </w:p>
    <w:p w:rsidR="00326148" w:rsidRPr="00326148" w:rsidRDefault="00326148" w:rsidP="00326148">
      <w:pPr>
        <w:spacing w:line="240" w:lineRule="exact"/>
        <w:rPr>
          <w:b/>
          <w:bCs/>
        </w:rPr>
      </w:pPr>
      <w:r w:rsidRPr="00326148">
        <w:rPr>
          <w:b/>
          <w:bCs/>
          <w:lang w:val="fr-FR"/>
        </w:rPr>
        <w:t>Propositions de nouvelle série d</w:t>
      </w:r>
      <w:r>
        <w:rPr>
          <w:b/>
          <w:bCs/>
          <w:lang w:val="fr-FR"/>
        </w:rPr>
        <w:t>’</w:t>
      </w:r>
      <w:r w:rsidRPr="00326148">
        <w:rPr>
          <w:b/>
          <w:bCs/>
          <w:lang w:val="fr-FR"/>
        </w:rPr>
        <w:t>amendements au Règlement ONU n</w:t>
      </w:r>
      <w:r w:rsidRPr="00326148">
        <w:rPr>
          <w:b/>
          <w:bCs/>
          <w:vertAlign w:val="superscript"/>
          <w:lang w:val="fr-FR"/>
        </w:rPr>
        <w:t>o </w:t>
      </w:r>
      <w:r w:rsidRPr="00326148">
        <w:rPr>
          <w:b/>
          <w:bCs/>
          <w:lang w:val="fr-FR"/>
        </w:rPr>
        <w:t>48</w:t>
      </w:r>
    </w:p>
    <w:p w:rsidR="00326148" w:rsidRPr="00326148" w:rsidRDefault="00326148" w:rsidP="00326148">
      <w:pPr>
        <w:pStyle w:val="HChG"/>
      </w:pPr>
      <w:r w:rsidRPr="00B74AC6">
        <w:rPr>
          <w:lang w:val="fr-FR"/>
        </w:rPr>
        <w:tab/>
      </w:r>
      <w:r w:rsidRPr="00B74AC6">
        <w:rPr>
          <w:lang w:val="fr-FR"/>
        </w:rPr>
        <w:tab/>
        <w:t>Proposition de nouvelle série [08] d</w:t>
      </w:r>
      <w:r>
        <w:rPr>
          <w:lang w:val="fr-FR"/>
        </w:rPr>
        <w:t>’</w:t>
      </w:r>
      <w:r w:rsidRPr="00B74AC6">
        <w:rPr>
          <w:lang w:val="fr-FR"/>
        </w:rPr>
        <w:t xml:space="preserve">amendements </w:t>
      </w:r>
      <w:r>
        <w:rPr>
          <w:lang w:val="fr-FR"/>
        </w:rPr>
        <w:br/>
      </w:r>
      <w:r w:rsidRPr="00B74AC6">
        <w:rPr>
          <w:lang w:val="fr-FR"/>
        </w:rPr>
        <w:t>au Règlement ONU n</w:t>
      </w:r>
      <w:r w:rsidRPr="00B74AC6">
        <w:rPr>
          <w:vertAlign w:val="superscript"/>
          <w:lang w:val="fr-FR"/>
        </w:rPr>
        <w:t>o </w:t>
      </w:r>
      <w:r w:rsidRPr="00B74AC6">
        <w:rPr>
          <w:lang w:val="fr-FR"/>
        </w:rPr>
        <w:t>48</w:t>
      </w:r>
    </w:p>
    <w:p w:rsidR="00326148" w:rsidRPr="00B74AC6" w:rsidRDefault="00326148" w:rsidP="00326148">
      <w:pPr>
        <w:pStyle w:val="H1G"/>
      </w:pPr>
      <w:r>
        <w:rPr>
          <w:lang w:val="fr-FR"/>
        </w:rPr>
        <w:tab/>
      </w:r>
      <w:r>
        <w:rPr>
          <w:lang w:val="fr-FR"/>
        </w:rPr>
        <w:tab/>
      </w:r>
      <w:r w:rsidRPr="00B74AC6">
        <w:rPr>
          <w:lang w:val="fr-FR"/>
        </w:rPr>
        <w:t>Communication de l</w:t>
      </w:r>
      <w:r>
        <w:rPr>
          <w:lang w:val="fr-FR"/>
        </w:rPr>
        <w:t>’</w:t>
      </w:r>
      <w:r w:rsidRPr="00B74AC6">
        <w:rPr>
          <w:lang w:val="fr-FR"/>
        </w:rPr>
        <w:t>expert du Japon</w:t>
      </w:r>
      <w:r w:rsidRPr="00326148">
        <w:rPr>
          <w:b w:val="0"/>
          <w:bCs/>
          <w:sz w:val="20"/>
          <w:lang w:val="fr-FR"/>
        </w:rPr>
        <w:footnoteReference w:customMarkFollows="1" w:id="2"/>
        <w:t>*</w:t>
      </w:r>
      <w:r w:rsidRPr="00B74AC6">
        <w:rPr>
          <w:lang w:val="fr-FR"/>
        </w:rPr>
        <w:t xml:space="preserve"> </w:t>
      </w:r>
    </w:p>
    <w:p w:rsidR="00326148" w:rsidRPr="00B74AC6" w:rsidRDefault="004A14F3" w:rsidP="004A14F3">
      <w:pPr>
        <w:pStyle w:val="SingleTxtG"/>
      </w:pPr>
      <w:r>
        <w:rPr>
          <w:lang w:val="fr-FR"/>
        </w:rPr>
        <w:tab/>
      </w:r>
      <w:r>
        <w:rPr>
          <w:lang w:val="fr-FR"/>
        </w:rPr>
        <w:tab/>
      </w:r>
      <w:r w:rsidR="00326148" w:rsidRPr="00B74AC6">
        <w:rPr>
          <w:lang w:val="fr-FR"/>
        </w:rPr>
        <w:t>Le texte ci-après, établi par l</w:t>
      </w:r>
      <w:r w:rsidR="00326148">
        <w:rPr>
          <w:lang w:val="fr-FR"/>
        </w:rPr>
        <w:t>’</w:t>
      </w:r>
      <w:r w:rsidR="00326148" w:rsidRPr="00B74AC6">
        <w:rPr>
          <w:lang w:val="fr-FR"/>
        </w:rPr>
        <w:t xml:space="preserve">expert du Japon, vise à ajouter des prescriptions relatives aux véhicules en stationnement dans le Règlement </w:t>
      </w:r>
      <w:r w:rsidR="00326148">
        <w:rPr>
          <w:lang w:val="fr-FR"/>
        </w:rPr>
        <w:t xml:space="preserve">ONU </w:t>
      </w:r>
      <w:r w:rsidR="00326148" w:rsidRPr="00B74AC6">
        <w:rPr>
          <w:lang w:val="fr-FR"/>
        </w:rPr>
        <w:t>n</w:t>
      </w:r>
      <w:r w:rsidR="00326148" w:rsidRPr="00B74AC6">
        <w:rPr>
          <w:vertAlign w:val="superscript"/>
          <w:lang w:val="fr-FR"/>
        </w:rPr>
        <w:t>o</w:t>
      </w:r>
      <w:r w:rsidR="00326148" w:rsidRPr="00B74AC6">
        <w:rPr>
          <w:lang w:val="fr-FR"/>
        </w:rPr>
        <w:t xml:space="preserve"> 48 </w:t>
      </w:r>
      <w:r w:rsidR="00326148">
        <w:rPr>
          <w:lang w:val="fr-FR"/>
        </w:rPr>
        <w:t>afin</w:t>
      </w:r>
      <w:r w:rsidR="00326148" w:rsidRPr="00B74AC6">
        <w:rPr>
          <w:lang w:val="fr-FR"/>
        </w:rPr>
        <w:t xml:space="preserve"> de réduire au maximum les risques, tels que l</w:t>
      </w:r>
      <w:r w:rsidR="00326148">
        <w:rPr>
          <w:lang w:val="fr-FR"/>
        </w:rPr>
        <w:t>’</w:t>
      </w:r>
      <w:r w:rsidR="00326148" w:rsidRPr="00B74AC6">
        <w:rPr>
          <w:lang w:val="fr-FR"/>
        </w:rPr>
        <w:t>éblouissement et la distraction, pour les autres usagers de la route. La présente proposition révisée est fondée sur le document informel GRE-83-45. Les modifications qu</w:t>
      </w:r>
      <w:r w:rsidR="00326148">
        <w:rPr>
          <w:lang w:val="fr-FR"/>
        </w:rPr>
        <w:t>’</w:t>
      </w:r>
      <w:r w:rsidR="00326148" w:rsidRPr="00B74AC6">
        <w:rPr>
          <w:lang w:val="fr-FR"/>
        </w:rPr>
        <w:t>il est proposé d</w:t>
      </w:r>
      <w:r w:rsidR="00326148">
        <w:rPr>
          <w:lang w:val="fr-FR"/>
        </w:rPr>
        <w:t>’</w:t>
      </w:r>
      <w:r w:rsidR="00326148" w:rsidRPr="00B74AC6">
        <w:rPr>
          <w:lang w:val="fr-FR"/>
        </w:rPr>
        <w:t xml:space="preserve">apporter au texte actuel du Règlement ONU figurent en caractères gras pour les ajouts et biffés pour les suppressions. </w:t>
      </w:r>
    </w:p>
    <w:p w:rsidR="00326148" w:rsidRPr="00B74AC6" w:rsidRDefault="00326148" w:rsidP="00326148">
      <w:pPr>
        <w:pStyle w:val="Default"/>
        <w:rPr>
          <w:lang w:val="fr-CH"/>
        </w:rPr>
      </w:pPr>
      <w:r w:rsidRPr="00B74AC6">
        <w:rPr>
          <w:color w:val="0070C0"/>
          <w:lang w:val="fr-CH"/>
        </w:rPr>
        <w:br w:type="page"/>
      </w:r>
    </w:p>
    <w:p w:rsidR="00326148" w:rsidRPr="00B74AC6" w:rsidRDefault="00326148" w:rsidP="00326148">
      <w:pPr>
        <w:pStyle w:val="HChG"/>
      </w:pPr>
      <w:r>
        <w:rPr>
          <w:lang w:val="fr-FR"/>
        </w:rPr>
        <w:lastRenderedPageBreak/>
        <w:tab/>
      </w:r>
      <w:r w:rsidRPr="00B74AC6">
        <w:rPr>
          <w:lang w:val="fr-FR"/>
        </w:rPr>
        <w:t>I.</w:t>
      </w:r>
      <w:r w:rsidRPr="00B74AC6">
        <w:rPr>
          <w:lang w:val="fr-FR"/>
        </w:rPr>
        <w:tab/>
        <w:t>Proposition</w:t>
      </w:r>
    </w:p>
    <w:p w:rsidR="00326148" w:rsidRPr="00B74AC6" w:rsidRDefault="00326148" w:rsidP="00326148">
      <w:pPr>
        <w:pStyle w:val="SingleTxtG"/>
        <w:rPr>
          <w:rFonts w:eastAsia="MS PMincho"/>
        </w:rPr>
      </w:pPr>
      <w:r w:rsidRPr="00326148">
        <w:rPr>
          <w:i/>
          <w:iCs/>
          <w:lang w:val="fr-FR"/>
        </w:rPr>
        <w:t>Ajouter le nouveau paragraphe 2.6.4</w:t>
      </w:r>
      <w:r w:rsidRPr="00B74AC6">
        <w:rPr>
          <w:lang w:val="fr-FR"/>
        </w:rPr>
        <w:t>, libellé comme suit</w:t>
      </w:r>
      <w:r w:rsidR="004A14F3">
        <w:rPr>
          <w:lang w:val="fr-FR"/>
        </w:rPr>
        <w:t> </w:t>
      </w:r>
      <w:r w:rsidRPr="00B74AC6">
        <w:rPr>
          <w:lang w:val="fr-FR"/>
        </w:rPr>
        <w:t>:</w:t>
      </w:r>
      <w:bookmarkStart w:id="0" w:name="_GoBack"/>
      <w:bookmarkEnd w:id="0"/>
    </w:p>
    <w:p w:rsidR="00326148" w:rsidRPr="00326148" w:rsidRDefault="00326148" w:rsidP="00326148">
      <w:pPr>
        <w:pStyle w:val="SingleTxtG"/>
        <w:ind w:left="2268" w:hanging="1134"/>
        <w:rPr>
          <w:rFonts w:eastAsia="MS PMincho"/>
        </w:rPr>
      </w:pPr>
      <w:bookmarkStart w:id="1" w:name="_Hlk65672500"/>
      <w:r w:rsidRPr="00326148">
        <w:rPr>
          <w:lang w:val="fr-FR"/>
        </w:rPr>
        <w:t>«</w:t>
      </w:r>
      <w:r w:rsidRPr="00326148">
        <w:rPr>
          <w:b/>
          <w:bCs/>
          <w:lang w:val="fr-FR"/>
        </w:rPr>
        <w:t> 2.6.4</w:t>
      </w:r>
      <w:r w:rsidRPr="00326148">
        <w:rPr>
          <w:lang w:val="fr-FR"/>
        </w:rPr>
        <w:tab/>
      </w:r>
      <w:r w:rsidR="004A14F3" w:rsidRPr="00812162">
        <w:rPr>
          <w:rFonts w:eastAsia="MS PMincho"/>
          <w:b/>
        </w:rPr>
        <w:t>“</w:t>
      </w:r>
      <w:r w:rsidRPr="00326148">
        <w:rPr>
          <w:b/>
          <w:bCs/>
          <w:i/>
          <w:iCs/>
          <w:lang w:val="fr-FR"/>
        </w:rPr>
        <w:t>Signal de réponse</w:t>
      </w:r>
      <w:r w:rsidR="004A14F3" w:rsidRPr="00812162">
        <w:rPr>
          <w:rFonts w:eastAsia="MS PMincho"/>
          <w:b/>
        </w:rPr>
        <w:t>”</w:t>
      </w:r>
      <w:r w:rsidRPr="00326148">
        <w:rPr>
          <w:b/>
          <w:bCs/>
          <w:lang w:val="fr-FR"/>
        </w:rPr>
        <w:t xml:space="preserve">, un signal émis par un véhicule en stationnement au verrouillage et au déverrouillage des </w:t>
      </w:r>
      <w:r w:rsidRPr="00184DCD">
        <w:rPr>
          <w:b/>
          <w:bCs/>
          <w:lang w:val="fr-FR"/>
        </w:rPr>
        <w:t>portes, telles que définies au</w:t>
      </w:r>
      <w:r w:rsidRPr="00326148">
        <w:rPr>
          <w:b/>
          <w:bCs/>
          <w:lang w:val="fr-FR"/>
        </w:rPr>
        <w:t xml:space="preserve"> paragraphe 2.8 du Règlement ONU </w:t>
      </w:r>
      <w:r w:rsidR="004A14F3" w:rsidRPr="004A14F3">
        <w:rPr>
          <w:rFonts w:eastAsia="MS Mincho"/>
          <w:b/>
          <w:bCs/>
          <w:lang w:val="fr-FR"/>
        </w:rPr>
        <w:t>n</w:t>
      </w:r>
      <w:r w:rsidR="004A14F3" w:rsidRPr="004A14F3">
        <w:rPr>
          <w:rFonts w:eastAsia="MS Mincho"/>
          <w:b/>
          <w:bCs/>
          <w:vertAlign w:val="superscript"/>
          <w:lang w:val="fr-FR"/>
        </w:rPr>
        <w:t>o</w:t>
      </w:r>
      <w:r w:rsidR="004A14F3">
        <w:rPr>
          <w:b/>
          <w:bCs/>
          <w:lang w:val="fr-FR"/>
        </w:rPr>
        <w:t> </w:t>
      </w:r>
      <w:r w:rsidRPr="00326148">
        <w:rPr>
          <w:b/>
          <w:bCs/>
          <w:lang w:val="fr-FR"/>
        </w:rPr>
        <w:t>11, ou dans des conditions similaires à celles-ci, déclarées par le constructeur. »</w:t>
      </w:r>
      <w:r w:rsidRPr="00326148">
        <w:rPr>
          <w:lang w:val="fr-FR"/>
        </w:rPr>
        <w:t>.</w:t>
      </w:r>
    </w:p>
    <w:bookmarkEnd w:id="1"/>
    <w:p w:rsidR="00326148" w:rsidRPr="00326148" w:rsidRDefault="00326148" w:rsidP="00326148">
      <w:pPr>
        <w:pStyle w:val="SingleTxtG"/>
      </w:pPr>
      <w:r w:rsidRPr="00326148">
        <w:rPr>
          <w:i/>
          <w:iCs/>
          <w:lang w:val="fr-FR"/>
        </w:rPr>
        <w:t>Paragraphe 5.1</w:t>
      </w:r>
      <w:r w:rsidRPr="00326148">
        <w:rPr>
          <w:lang w:val="fr-FR"/>
        </w:rPr>
        <w:t>, lire</w:t>
      </w:r>
      <w:r w:rsidR="00FE1F30">
        <w:rPr>
          <w:lang w:val="fr-FR"/>
        </w:rPr>
        <w:t> </w:t>
      </w:r>
      <w:r w:rsidRPr="00326148">
        <w:rPr>
          <w:lang w:val="fr-FR"/>
        </w:rPr>
        <w:t>:</w:t>
      </w:r>
    </w:p>
    <w:p w:rsidR="00326148" w:rsidRPr="00326148" w:rsidRDefault="00326148" w:rsidP="00326148">
      <w:pPr>
        <w:pStyle w:val="SingleTxtG"/>
        <w:ind w:left="2268" w:hanging="1134"/>
      </w:pPr>
      <w:r w:rsidRPr="00326148">
        <w:rPr>
          <w:lang w:val="fr-FR"/>
        </w:rPr>
        <w:t>« 5.1</w:t>
      </w:r>
      <w:r w:rsidRPr="00326148">
        <w:rPr>
          <w:lang w:val="fr-FR"/>
        </w:rPr>
        <w:tab/>
      </w:r>
      <w:r w:rsidRPr="00326148">
        <w:rPr>
          <w:lang w:val="fr-FR"/>
        </w:rPr>
        <w:t>Les dispositifs d</w:t>
      </w:r>
      <w:r w:rsidRPr="00326148">
        <w:rPr>
          <w:lang w:val="fr-FR"/>
        </w:rPr>
        <w:t>’</w:t>
      </w:r>
      <w:r w:rsidRPr="00326148">
        <w:rPr>
          <w:lang w:val="fr-FR"/>
        </w:rPr>
        <w:t xml:space="preserve">éclairage et de signalisation lumineuse doivent être montés de telle façon que, </w:t>
      </w:r>
      <w:r w:rsidRPr="00326148">
        <w:rPr>
          <w:b/>
          <w:bCs/>
          <w:lang w:val="fr-FR"/>
        </w:rPr>
        <w:t>en condition normale d</w:t>
      </w:r>
      <w:r w:rsidRPr="00326148">
        <w:rPr>
          <w:b/>
          <w:bCs/>
          <w:lang w:val="fr-FR"/>
        </w:rPr>
        <w:t>’</w:t>
      </w:r>
      <w:r w:rsidRPr="00326148">
        <w:rPr>
          <w:b/>
          <w:bCs/>
          <w:lang w:val="fr-FR"/>
        </w:rPr>
        <w:t>utilisation</w:t>
      </w:r>
      <w:r w:rsidRPr="00326148">
        <w:rPr>
          <w:lang w:val="fr-FR"/>
        </w:rPr>
        <w:t xml:space="preserve"> </w:t>
      </w:r>
      <w:r w:rsidRPr="00326148">
        <w:rPr>
          <w:b/>
          <w:bCs/>
          <w:lang w:val="fr-FR"/>
        </w:rPr>
        <w:t xml:space="preserve">et, si cela est précisé, lorsque le véhicule est en stationnement </w:t>
      </w:r>
      <w:r w:rsidRPr="00FE1F30">
        <w:rPr>
          <w:lang w:val="fr-FR"/>
        </w:rPr>
        <w:t>(comme défini</w:t>
      </w:r>
      <w:r w:rsidRPr="00326148">
        <w:rPr>
          <w:b/>
          <w:bCs/>
          <w:lang w:val="fr-FR"/>
        </w:rPr>
        <w:t xml:space="preserve"> </w:t>
      </w:r>
      <w:r w:rsidRPr="00326148">
        <w:rPr>
          <w:lang w:val="fr-FR"/>
        </w:rPr>
        <w:t>aux paragraphes</w:t>
      </w:r>
      <w:r w:rsidR="00FE1F30">
        <w:rPr>
          <w:lang w:val="fr-FR"/>
        </w:rPr>
        <w:t> </w:t>
      </w:r>
      <w:r w:rsidRPr="00326148">
        <w:rPr>
          <w:lang w:val="fr-FR"/>
        </w:rPr>
        <w:t>2.3.10, 2.3.10.1</w:t>
      </w:r>
      <w:r w:rsidRPr="00326148">
        <w:rPr>
          <w:b/>
          <w:bCs/>
          <w:lang w:val="fr-FR"/>
        </w:rPr>
        <w:t>,</w:t>
      </w:r>
      <w:r w:rsidRPr="00326148">
        <w:rPr>
          <w:lang w:val="fr-FR"/>
        </w:rPr>
        <w:t xml:space="preserve"> </w:t>
      </w:r>
      <w:r w:rsidRPr="00326148">
        <w:rPr>
          <w:strike/>
          <w:lang w:val="fr-FR"/>
        </w:rPr>
        <w:t>et</w:t>
      </w:r>
      <w:r w:rsidRPr="00326148">
        <w:rPr>
          <w:lang w:val="fr-FR"/>
        </w:rPr>
        <w:t xml:space="preserve"> 2.3.10.2, </w:t>
      </w:r>
      <w:r w:rsidRPr="00326148">
        <w:rPr>
          <w:b/>
          <w:bCs/>
          <w:lang w:val="fr-FR"/>
        </w:rPr>
        <w:t>2.3.11, 2.3.11.1 et 2.3.11.2)</w:t>
      </w:r>
      <w:r w:rsidRPr="00326148">
        <w:rPr>
          <w:lang w:val="fr-FR"/>
        </w:rPr>
        <w:t xml:space="preserve">, et en dépit des vibrations auxquelles ils peuvent être soumis, ils gardent les caractéristiques imposées par le présent Règlement, et que le véhicule demeure conforme aux prescriptions du présent Règlement. </w:t>
      </w:r>
      <w:r w:rsidRPr="00326148">
        <w:rPr>
          <w:b/>
          <w:bCs/>
          <w:lang w:val="fr-FR"/>
        </w:rPr>
        <w:t>Les feux dont le fonctionnement n</w:t>
      </w:r>
      <w:r w:rsidRPr="00326148">
        <w:rPr>
          <w:b/>
          <w:bCs/>
          <w:lang w:val="fr-FR"/>
        </w:rPr>
        <w:t>’</w:t>
      </w:r>
      <w:r w:rsidRPr="00326148">
        <w:rPr>
          <w:b/>
          <w:bCs/>
          <w:lang w:val="fr-FR"/>
        </w:rPr>
        <w:t>est pas prévu en stationnement dans le présent Règlement ne doivent pas être activés lorsque le véhicule est en stationnement</w:t>
      </w:r>
      <w:r w:rsidRPr="00FE1F30">
        <w:rPr>
          <w:b/>
          <w:bCs/>
          <w:lang w:val="fr-FR"/>
        </w:rPr>
        <w:t>.</w:t>
      </w:r>
      <w:r w:rsidRPr="00326148">
        <w:rPr>
          <w:lang w:val="fr-FR"/>
        </w:rPr>
        <w:t xml:space="preserve"> En particulier, les feux ne doivent pas pouvoir être déréglés par inadvertance. ».</w:t>
      </w:r>
      <w:bookmarkStart w:id="2" w:name="_Hlk62721833"/>
      <w:bookmarkEnd w:id="2"/>
    </w:p>
    <w:p w:rsidR="00326148" w:rsidRPr="00B74AC6" w:rsidRDefault="00326148" w:rsidP="00326148">
      <w:pPr>
        <w:pStyle w:val="SingleTxtG"/>
        <w:rPr>
          <w:rFonts w:eastAsia="MS PMincho"/>
        </w:rPr>
      </w:pPr>
      <w:r w:rsidRPr="00B74AC6">
        <w:rPr>
          <w:i/>
          <w:iCs/>
          <w:lang w:val="fr-FR"/>
        </w:rPr>
        <w:t>Ajouter le nouveau paragraphe 6.27</w:t>
      </w:r>
      <w:r w:rsidRPr="00B74AC6">
        <w:rPr>
          <w:lang w:val="fr-FR"/>
        </w:rPr>
        <w:t>, libellé comme suit</w:t>
      </w:r>
      <w:r w:rsidR="00FE1F30">
        <w:rPr>
          <w:lang w:val="fr-FR"/>
        </w:rPr>
        <w:t> </w:t>
      </w:r>
      <w:r w:rsidRPr="00B74AC6">
        <w:rPr>
          <w:lang w:val="fr-FR"/>
        </w:rPr>
        <w:t>:</w:t>
      </w:r>
    </w:p>
    <w:p w:rsidR="00326148" w:rsidRPr="00326148" w:rsidRDefault="00326148" w:rsidP="00326148">
      <w:pPr>
        <w:pStyle w:val="SingleTxtG"/>
        <w:ind w:left="2268" w:hanging="1134"/>
        <w:rPr>
          <w:b/>
          <w:bCs/>
        </w:rPr>
      </w:pPr>
      <w:r w:rsidRPr="00326148">
        <w:rPr>
          <w:b/>
          <w:bCs/>
          <w:lang w:val="fr-FR"/>
        </w:rPr>
        <w:t>« 6.27</w:t>
      </w:r>
      <w:r w:rsidRPr="00326148">
        <w:rPr>
          <w:b/>
          <w:bCs/>
          <w:lang w:val="fr-FR"/>
        </w:rPr>
        <w:tab/>
        <w:t>Signal de réponse</w:t>
      </w:r>
    </w:p>
    <w:p w:rsidR="00326148" w:rsidRPr="00326148" w:rsidRDefault="00326148" w:rsidP="00326148">
      <w:pPr>
        <w:pStyle w:val="SingleTxtG"/>
        <w:ind w:left="2268" w:hanging="1134"/>
        <w:rPr>
          <w:b/>
          <w:bCs/>
        </w:rPr>
      </w:pPr>
      <w:r w:rsidRPr="00326148">
        <w:rPr>
          <w:b/>
          <w:bCs/>
          <w:lang w:val="fr-FR"/>
        </w:rPr>
        <w:t>6.27.1</w:t>
      </w:r>
      <w:r w:rsidRPr="00326148">
        <w:rPr>
          <w:b/>
          <w:bCs/>
          <w:lang w:val="fr-FR"/>
        </w:rPr>
        <w:tab/>
        <w:t>Présence</w:t>
      </w:r>
    </w:p>
    <w:p w:rsidR="00326148" w:rsidRPr="00326148" w:rsidRDefault="00326148" w:rsidP="00326148">
      <w:pPr>
        <w:pStyle w:val="SingleTxtG"/>
        <w:ind w:left="2268"/>
        <w:rPr>
          <w:b/>
          <w:bCs/>
        </w:rPr>
      </w:pPr>
      <w:r w:rsidRPr="00326148">
        <w:rPr>
          <w:b/>
          <w:bCs/>
          <w:lang w:val="fr-FR"/>
        </w:rPr>
        <w:tab/>
        <w:t>Facultative</w:t>
      </w:r>
    </w:p>
    <w:p w:rsidR="00326148" w:rsidRPr="00326148" w:rsidRDefault="00326148" w:rsidP="00326148">
      <w:pPr>
        <w:pStyle w:val="SingleTxtG"/>
        <w:ind w:left="2268" w:hanging="1134"/>
        <w:rPr>
          <w:b/>
        </w:rPr>
      </w:pPr>
      <w:r w:rsidRPr="00326148">
        <w:rPr>
          <w:b/>
          <w:bCs/>
          <w:lang w:val="fr-FR"/>
        </w:rPr>
        <w:t>6.27.2</w:t>
      </w:r>
      <w:r w:rsidRPr="00326148">
        <w:rPr>
          <w:lang w:val="fr-FR"/>
        </w:rPr>
        <w:tab/>
      </w:r>
      <w:r w:rsidRPr="00326148">
        <w:rPr>
          <w:b/>
          <w:bCs/>
          <w:lang w:val="fr-FR"/>
        </w:rPr>
        <w:t>Le signal de réponse doit être conforme aux prescriptions ci</w:t>
      </w:r>
      <w:r w:rsidR="00FE1F30">
        <w:rPr>
          <w:b/>
          <w:bCs/>
          <w:lang w:val="fr-FR"/>
        </w:rPr>
        <w:t>-</w:t>
      </w:r>
      <w:r w:rsidRPr="00326148">
        <w:rPr>
          <w:b/>
          <w:bCs/>
          <w:lang w:val="fr-FR"/>
        </w:rPr>
        <w:t>après</w:t>
      </w:r>
      <w:r w:rsidR="00FE1F30">
        <w:rPr>
          <w:b/>
          <w:bCs/>
          <w:lang w:val="fr-FR"/>
        </w:rPr>
        <w:t> </w:t>
      </w:r>
      <w:r w:rsidRPr="00326148">
        <w:rPr>
          <w:b/>
          <w:bCs/>
          <w:lang w:val="fr-FR"/>
        </w:rPr>
        <w:t>:</w:t>
      </w:r>
    </w:p>
    <w:p w:rsidR="00326148" w:rsidRPr="00326148" w:rsidRDefault="00326148" w:rsidP="00326148">
      <w:pPr>
        <w:pStyle w:val="SingleTxtG"/>
        <w:ind w:left="2835" w:hanging="567"/>
        <w:rPr>
          <w:b/>
        </w:rPr>
      </w:pPr>
      <w:r w:rsidRPr="00326148">
        <w:rPr>
          <w:b/>
        </w:rPr>
        <w:t>a)</w:t>
      </w:r>
      <w:r w:rsidRPr="00326148">
        <w:rPr>
          <w:b/>
        </w:rPr>
        <w:tab/>
      </w:r>
      <w:r w:rsidRPr="00326148">
        <w:rPr>
          <w:b/>
          <w:bCs/>
          <w:lang w:val="fr-FR"/>
        </w:rPr>
        <w:t>Le signal ne doit être émis que depuis un véhicule en stationnement</w:t>
      </w:r>
      <w:r w:rsidR="00FE1F30">
        <w:rPr>
          <w:b/>
          <w:bCs/>
          <w:lang w:val="fr-FR"/>
        </w:rPr>
        <w:t> ;</w:t>
      </w:r>
    </w:p>
    <w:p w:rsidR="00326148" w:rsidRPr="00326148" w:rsidRDefault="00326148" w:rsidP="00326148">
      <w:pPr>
        <w:pStyle w:val="SingleTxtG"/>
        <w:ind w:left="2835" w:hanging="567"/>
        <w:rPr>
          <w:b/>
        </w:rPr>
      </w:pPr>
      <w:r w:rsidRPr="00326148">
        <w:rPr>
          <w:b/>
        </w:rPr>
        <w:t>b)</w:t>
      </w:r>
      <w:r w:rsidRPr="00326148">
        <w:rPr>
          <w:b/>
        </w:rPr>
        <w:tab/>
      </w:r>
      <w:r w:rsidRPr="00326148">
        <w:rPr>
          <w:b/>
          <w:bCs/>
          <w:lang w:val="fr-FR"/>
        </w:rPr>
        <w:t>La durée de la signalisation visuelle ne doit pas dépasser 3</w:t>
      </w:r>
      <w:r w:rsidR="00FE1F30">
        <w:rPr>
          <w:b/>
          <w:bCs/>
          <w:lang w:val="fr-FR"/>
        </w:rPr>
        <w:t> </w:t>
      </w:r>
      <w:r w:rsidRPr="00326148">
        <w:rPr>
          <w:b/>
          <w:bCs/>
          <w:lang w:val="fr-FR"/>
        </w:rPr>
        <w:t>secondes</w:t>
      </w:r>
      <w:r w:rsidR="00FE1F30">
        <w:rPr>
          <w:b/>
          <w:bCs/>
          <w:lang w:val="fr-FR"/>
        </w:rPr>
        <w:t> ;</w:t>
      </w:r>
    </w:p>
    <w:p w:rsidR="00326148" w:rsidRPr="00326148" w:rsidRDefault="00326148" w:rsidP="00326148">
      <w:pPr>
        <w:pStyle w:val="SingleTxtG"/>
        <w:ind w:left="2835" w:hanging="567"/>
        <w:rPr>
          <w:b/>
        </w:rPr>
      </w:pPr>
      <w:r w:rsidRPr="00326148">
        <w:rPr>
          <w:b/>
        </w:rPr>
        <w:t>c)</w:t>
      </w:r>
      <w:r w:rsidRPr="00326148">
        <w:rPr>
          <w:b/>
        </w:rPr>
        <w:tab/>
      </w:r>
      <w:r w:rsidRPr="00326148">
        <w:rPr>
          <w:b/>
          <w:bCs/>
          <w:lang w:val="fr-FR"/>
        </w:rPr>
        <w:t>Le signal doit être obtenu par le fonctionnement des feux de croisement, des feux indicateurs de direction, des feux-stop, du ou des feux de plaque arrière d</w:t>
      </w:r>
      <w:r w:rsidRPr="00326148">
        <w:rPr>
          <w:b/>
          <w:bCs/>
          <w:lang w:val="fr-FR"/>
        </w:rPr>
        <w:t>’</w:t>
      </w:r>
      <w:r w:rsidRPr="00326148">
        <w:rPr>
          <w:b/>
          <w:bCs/>
          <w:lang w:val="fr-FR"/>
        </w:rPr>
        <w:t>immatriculation, des feux de position avant, des feux de position arrière, des feux de brouillard avant, des feux de brouillard arrière, des feux de stationnement, des feux de position latéraux, des feux d</w:t>
      </w:r>
      <w:r w:rsidRPr="00326148">
        <w:rPr>
          <w:b/>
          <w:bCs/>
          <w:lang w:val="fr-FR"/>
        </w:rPr>
        <w:t>’</w:t>
      </w:r>
      <w:r w:rsidRPr="00326148">
        <w:rPr>
          <w:b/>
          <w:bCs/>
          <w:lang w:val="fr-FR"/>
        </w:rPr>
        <w:t>encombrement, des feux d</w:t>
      </w:r>
      <w:r w:rsidRPr="00326148">
        <w:rPr>
          <w:b/>
          <w:bCs/>
          <w:lang w:val="fr-FR"/>
        </w:rPr>
        <w:t>’</w:t>
      </w:r>
      <w:r w:rsidRPr="00326148">
        <w:rPr>
          <w:b/>
          <w:bCs/>
          <w:lang w:val="fr-FR"/>
        </w:rPr>
        <w:t>angle ou des feux de manœuvre, conformément aux spécifications applicables à ces feux</w:t>
      </w:r>
      <w:r w:rsidR="00FE1F30">
        <w:rPr>
          <w:b/>
          <w:bCs/>
          <w:lang w:val="fr-FR"/>
        </w:rPr>
        <w:t> </w:t>
      </w:r>
      <w:r w:rsidRPr="00326148">
        <w:rPr>
          <w:b/>
          <w:bCs/>
          <w:lang w:val="fr-FR"/>
        </w:rPr>
        <w:t>;</w:t>
      </w:r>
      <w:r w:rsidRPr="00326148">
        <w:rPr>
          <w:lang w:val="fr-FR"/>
        </w:rPr>
        <w:t xml:space="preserve"> </w:t>
      </w:r>
      <w:r w:rsidRPr="00326148">
        <w:rPr>
          <w:b/>
          <w:bCs/>
          <w:lang w:val="fr-FR"/>
        </w:rPr>
        <w:t>cependant, le signal peut être émis par des feux clignotants.</w:t>
      </w:r>
      <w:r w:rsidRPr="00326148">
        <w:rPr>
          <w:lang w:val="fr-FR"/>
        </w:rPr>
        <w:t> ».</w:t>
      </w:r>
    </w:p>
    <w:p w:rsidR="00326148" w:rsidRPr="00326148" w:rsidRDefault="00326148" w:rsidP="00326148">
      <w:pPr>
        <w:suppressAutoHyphens w:val="0"/>
        <w:spacing w:after="120" w:line="240" w:lineRule="auto"/>
        <w:ind w:left="567" w:right="1134" w:firstLine="567"/>
        <w:jc w:val="both"/>
      </w:pPr>
      <w:r w:rsidRPr="00326148">
        <w:rPr>
          <w:i/>
          <w:iCs/>
          <w:lang w:val="fr-FR"/>
        </w:rPr>
        <w:t xml:space="preserve">Ajouter le nouveau paragraphe 12.7, </w:t>
      </w:r>
      <w:r w:rsidRPr="00326148">
        <w:rPr>
          <w:lang w:val="fr-FR"/>
        </w:rPr>
        <w:t>libellé comme suit</w:t>
      </w:r>
      <w:r w:rsidR="00FE1F30">
        <w:rPr>
          <w:lang w:val="fr-FR"/>
        </w:rPr>
        <w:t> </w:t>
      </w:r>
      <w:r w:rsidRPr="00326148">
        <w:rPr>
          <w:lang w:val="fr-FR"/>
        </w:rPr>
        <w:t>:</w:t>
      </w:r>
    </w:p>
    <w:p w:rsidR="00326148" w:rsidRPr="00326148" w:rsidRDefault="00326148" w:rsidP="00326148">
      <w:pPr>
        <w:pStyle w:val="SingleTxtG"/>
        <w:ind w:left="2268" w:hanging="1134"/>
        <w:rPr>
          <w:b/>
        </w:rPr>
      </w:pPr>
      <w:r w:rsidRPr="00326148">
        <w:rPr>
          <w:lang w:val="fr-FR"/>
        </w:rPr>
        <w:t>«</w:t>
      </w:r>
      <w:r w:rsidRPr="00326148">
        <w:rPr>
          <w:b/>
          <w:bCs/>
          <w:lang w:val="fr-FR"/>
        </w:rPr>
        <w:t> [12.7</w:t>
      </w:r>
      <w:r w:rsidRPr="00326148">
        <w:rPr>
          <w:lang w:val="fr-FR"/>
        </w:rPr>
        <w:tab/>
      </w:r>
      <w:r w:rsidRPr="00326148">
        <w:rPr>
          <w:b/>
          <w:bCs/>
          <w:lang w:val="fr-FR"/>
        </w:rPr>
        <w:t>Dispositions transitoires applicables à la série [08] d</w:t>
      </w:r>
      <w:r w:rsidRPr="00326148">
        <w:rPr>
          <w:b/>
          <w:bCs/>
          <w:lang w:val="fr-FR"/>
        </w:rPr>
        <w:t>’</w:t>
      </w:r>
      <w:r w:rsidRPr="00326148">
        <w:rPr>
          <w:b/>
          <w:bCs/>
          <w:lang w:val="fr-FR"/>
        </w:rPr>
        <w:t>amendements</w:t>
      </w:r>
    </w:p>
    <w:p w:rsidR="00326148" w:rsidRPr="00326148" w:rsidRDefault="00326148" w:rsidP="00326148">
      <w:pPr>
        <w:pStyle w:val="SingleTxtG"/>
        <w:ind w:left="2268" w:hanging="1134"/>
        <w:rPr>
          <w:b/>
          <w:bCs/>
        </w:rPr>
      </w:pPr>
      <w:r w:rsidRPr="00326148">
        <w:rPr>
          <w:b/>
          <w:bCs/>
          <w:lang w:val="fr-FR"/>
        </w:rPr>
        <w:t>12.7.1</w:t>
      </w:r>
      <w:r w:rsidRPr="00326148">
        <w:rPr>
          <w:b/>
          <w:bCs/>
          <w:lang w:val="fr-FR"/>
        </w:rPr>
        <w:tab/>
        <w:t>À compter de la date officielle d</w:t>
      </w:r>
      <w:r w:rsidRPr="00326148">
        <w:rPr>
          <w:b/>
          <w:bCs/>
          <w:lang w:val="fr-FR"/>
        </w:rPr>
        <w:t>’</w:t>
      </w:r>
      <w:r w:rsidRPr="00326148">
        <w:rPr>
          <w:b/>
          <w:bCs/>
          <w:lang w:val="fr-FR"/>
        </w:rPr>
        <w:t>entrée en vigueur de la série [08] d</w:t>
      </w:r>
      <w:r w:rsidRPr="00326148">
        <w:rPr>
          <w:b/>
          <w:bCs/>
          <w:lang w:val="fr-FR"/>
        </w:rPr>
        <w:t>’</w:t>
      </w:r>
      <w:r w:rsidRPr="00326148">
        <w:rPr>
          <w:b/>
          <w:bCs/>
          <w:lang w:val="fr-FR"/>
        </w:rPr>
        <w:t>amendements, aucune Partie contractante appliquant le présent Règlement ONU ne pourra refuser d</w:t>
      </w:r>
      <w:r w:rsidRPr="00326148">
        <w:rPr>
          <w:b/>
          <w:bCs/>
          <w:lang w:val="fr-FR"/>
        </w:rPr>
        <w:t>’</w:t>
      </w:r>
      <w:r w:rsidRPr="00326148">
        <w:rPr>
          <w:b/>
          <w:bCs/>
          <w:lang w:val="fr-FR"/>
        </w:rPr>
        <w:t>accorder ou d</w:t>
      </w:r>
      <w:r w:rsidRPr="00326148">
        <w:rPr>
          <w:b/>
          <w:bCs/>
          <w:lang w:val="fr-FR"/>
        </w:rPr>
        <w:t>’</w:t>
      </w:r>
      <w:r w:rsidRPr="00326148">
        <w:rPr>
          <w:b/>
          <w:bCs/>
          <w:lang w:val="fr-FR"/>
        </w:rPr>
        <w:t>accepter une homologation de type ONU en vertu dudit Règlement tel que modifié par ladite série d</w:t>
      </w:r>
      <w:r w:rsidRPr="00326148">
        <w:rPr>
          <w:b/>
          <w:bCs/>
          <w:lang w:val="fr-FR"/>
        </w:rPr>
        <w:t>’</w:t>
      </w:r>
      <w:r w:rsidRPr="00326148">
        <w:rPr>
          <w:b/>
          <w:bCs/>
          <w:lang w:val="fr-FR"/>
        </w:rPr>
        <w:t>amendements.</w:t>
      </w:r>
    </w:p>
    <w:p w:rsidR="00326148" w:rsidRPr="00326148" w:rsidRDefault="00326148" w:rsidP="00326148">
      <w:pPr>
        <w:pStyle w:val="SingleTxtG"/>
        <w:ind w:left="2268" w:hanging="1134"/>
        <w:rPr>
          <w:b/>
          <w:bCs/>
        </w:rPr>
      </w:pPr>
      <w:r w:rsidRPr="00326148">
        <w:rPr>
          <w:b/>
          <w:bCs/>
          <w:lang w:val="fr-FR"/>
        </w:rPr>
        <w:t>12.7.2</w:t>
      </w:r>
      <w:r w:rsidRPr="00326148">
        <w:rPr>
          <w:b/>
          <w:bCs/>
          <w:lang w:val="fr-FR"/>
        </w:rPr>
        <w:tab/>
        <w:t>À compter du 1</w:t>
      </w:r>
      <w:r w:rsidRPr="00326148">
        <w:rPr>
          <w:b/>
          <w:bCs/>
          <w:vertAlign w:val="superscript"/>
          <w:lang w:val="fr-FR"/>
        </w:rPr>
        <w:t>er</w:t>
      </w:r>
      <w:r w:rsidRPr="00326148">
        <w:rPr>
          <w:b/>
          <w:bCs/>
          <w:lang w:val="fr-FR"/>
        </w:rPr>
        <w:t xml:space="preserve"> septembre [2023], les Parties contractantes appliquant le présent Règlement ONU ne seront plus tenues d</w:t>
      </w:r>
      <w:r w:rsidRPr="00326148">
        <w:rPr>
          <w:b/>
          <w:bCs/>
          <w:lang w:val="fr-FR"/>
        </w:rPr>
        <w:t>’</w:t>
      </w:r>
      <w:r w:rsidRPr="00326148">
        <w:rPr>
          <w:b/>
          <w:bCs/>
          <w:lang w:val="fr-FR"/>
        </w:rPr>
        <w:t>accepter les homologations de type ONU établies conformément aux précédentes séries d</w:t>
      </w:r>
      <w:r w:rsidRPr="00326148">
        <w:rPr>
          <w:b/>
          <w:bCs/>
          <w:lang w:val="fr-FR"/>
        </w:rPr>
        <w:t>’</w:t>
      </w:r>
      <w:r w:rsidRPr="00326148">
        <w:rPr>
          <w:b/>
          <w:bCs/>
          <w:lang w:val="fr-FR"/>
        </w:rPr>
        <w:t>amendements, délivrées pour la première fois après le 1</w:t>
      </w:r>
      <w:r w:rsidRPr="00326148">
        <w:rPr>
          <w:b/>
          <w:bCs/>
          <w:vertAlign w:val="superscript"/>
          <w:lang w:val="fr-FR"/>
        </w:rPr>
        <w:t>er</w:t>
      </w:r>
      <w:r w:rsidR="00FE1F30">
        <w:rPr>
          <w:b/>
          <w:bCs/>
          <w:lang w:val="fr-FR"/>
        </w:rPr>
        <w:t> </w:t>
      </w:r>
      <w:r w:rsidRPr="00326148">
        <w:rPr>
          <w:b/>
          <w:bCs/>
          <w:lang w:val="fr-FR"/>
        </w:rPr>
        <w:t>septembre [2023].</w:t>
      </w:r>
    </w:p>
    <w:p w:rsidR="00326148" w:rsidRPr="00326148" w:rsidRDefault="00326148" w:rsidP="00326148">
      <w:pPr>
        <w:pStyle w:val="SingleTxtG"/>
        <w:ind w:left="2268" w:hanging="1134"/>
        <w:rPr>
          <w:b/>
          <w:bCs/>
        </w:rPr>
      </w:pPr>
      <w:r w:rsidRPr="00326148">
        <w:rPr>
          <w:b/>
          <w:bCs/>
          <w:lang w:val="fr-FR"/>
        </w:rPr>
        <w:t>12.7.3</w:t>
      </w:r>
      <w:r w:rsidRPr="00326148">
        <w:rPr>
          <w:b/>
          <w:bCs/>
          <w:lang w:val="fr-FR"/>
        </w:rPr>
        <w:tab/>
        <w:t>Jusqu</w:t>
      </w:r>
      <w:r w:rsidRPr="00326148">
        <w:rPr>
          <w:b/>
          <w:bCs/>
          <w:lang w:val="fr-FR"/>
        </w:rPr>
        <w:t>’</w:t>
      </w:r>
      <w:r w:rsidRPr="00326148">
        <w:rPr>
          <w:b/>
          <w:bCs/>
          <w:lang w:val="fr-FR"/>
        </w:rPr>
        <w:t>au 1</w:t>
      </w:r>
      <w:r w:rsidRPr="00326148">
        <w:rPr>
          <w:b/>
          <w:bCs/>
          <w:vertAlign w:val="superscript"/>
          <w:lang w:val="fr-FR"/>
        </w:rPr>
        <w:t>er</w:t>
      </w:r>
      <w:r w:rsidRPr="00326148">
        <w:rPr>
          <w:b/>
          <w:bCs/>
          <w:lang w:val="fr-FR"/>
        </w:rPr>
        <w:t xml:space="preserve"> septembre [2027], les Parties contractantes appliquant le présent Règlement ONU seront tenues d</w:t>
      </w:r>
      <w:r w:rsidRPr="00326148">
        <w:rPr>
          <w:b/>
          <w:bCs/>
          <w:lang w:val="fr-FR"/>
        </w:rPr>
        <w:t>’</w:t>
      </w:r>
      <w:r w:rsidRPr="00326148">
        <w:rPr>
          <w:b/>
          <w:bCs/>
          <w:lang w:val="fr-FR"/>
        </w:rPr>
        <w:t xml:space="preserve">accepter les homologations de </w:t>
      </w:r>
      <w:r w:rsidRPr="00326148">
        <w:rPr>
          <w:b/>
          <w:bCs/>
          <w:lang w:val="fr-FR"/>
        </w:rPr>
        <w:lastRenderedPageBreak/>
        <w:t>type ONU établies conformément aux précédentes séries d</w:t>
      </w:r>
      <w:r w:rsidRPr="00326148">
        <w:rPr>
          <w:b/>
          <w:bCs/>
          <w:lang w:val="fr-FR"/>
        </w:rPr>
        <w:t>’</w:t>
      </w:r>
      <w:r w:rsidRPr="00326148">
        <w:rPr>
          <w:b/>
          <w:bCs/>
          <w:lang w:val="fr-FR"/>
        </w:rPr>
        <w:t>amendements, délivrées pour la première fois avant le 1</w:t>
      </w:r>
      <w:r w:rsidRPr="00326148">
        <w:rPr>
          <w:b/>
          <w:bCs/>
          <w:vertAlign w:val="superscript"/>
          <w:lang w:val="fr-FR"/>
        </w:rPr>
        <w:t>er</w:t>
      </w:r>
      <w:r w:rsidRPr="00326148">
        <w:rPr>
          <w:b/>
          <w:bCs/>
          <w:lang w:val="fr-FR"/>
        </w:rPr>
        <w:t xml:space="preserve"> septembre [2023].</w:t>
      </w:r>
    </w:p>
    <w:p w:rsidR="00326148" w:rsidRPr="00326148" w:rsidRDefault="00326148" w:rsidP="00326148">
      <w:pPr>
        <w:pStyle w:val="SingleTxtG"/>
        <w:ind w:left="2268" w:hanging="1134"/>
        <w:rPr>
          <w:b/>
          <w:bCs/>
        </w:rPr>
      </w:pPr>
      <w:r w:rsidRPr="00326148">
        <w:rPr>
          <w:b/>
          <w:bCs/>
          <w:lang w:val="fr-FR"/>
        </w:rPr>
        <w:t>12.7.4</w:t>
      </w:r>
      <w:r w:rsidRPr="00326148">
        <w:rPr>
          <w:b/>
          <w:bCs/>
          <w:lang w:val="fr-FR"/>
        </w:rPr>
        <w:tab/>
        <w:t>À compter du 1</w:t>
      </w:r>
      <w:r w:rsidRPr="00326148">
        <w:rPr>
          <w:b/>
          <w:bCs/>
          <w:vertAlign w:val="superscript"/>
          <w:lang w:val="fr-FR"/>
        </w:rPr>
        <w:t>er</w:t>
      </w:r>
      <w:r w:rsidRPr="00326148">
        <w:rPr>
          <w:b/>
          <w:bCs/>
          <w:lang w:val="fr-FR"/>
        </w:rPr>
        <w:t xml:space="preserve"> septembre [2027], les Parties contractantes appliquant le présent Règlement ONU ne seront plus tenues d</w:t>
      </w:r>
      <w:r w:rsidRPr="00326148">
        <w:rPr>
          <w:b/>
          <w:bCs/>
          <w:lang w:val="fr-FR"/>
        </w:rPr>
        <w:t>’</w:t>
      </w:r>
      <w:r w:rsidRPr="00326148">
        <w:rPr>
          <w:b/>
          <w:bCs/>
          <w:lang w:val="fr-FR"/>
        </w:rPr>
        <w:t>accepter les homologations de type ONU délivrées en vertu des précédentes séries d</w:t>
      </w:r>
      <w:r w:rsidRPr="00326148">
        <w:rPr>
          <w:b/>
          <w:bCs/>
          <w:lang w:val="fr-FR"/>
        </w:rPr>
        <w:t>’</w:t>
      </w:r>
      <w:r w:rsidRPr="00326148">
        <w:rPr>
          <w:b/>
          <w:bCs/>
          <w:lang w:val="fr-FR"/>
        </w:rPr>
        <w:t xml:space="preserve">amendements audit Règlement. </w:t>
      </w:r>
    </w:p>
    <w:p w:rsidR="00326148" w:rsidRPr="00326148" w:rsidRDefault="00326148" w:rsidP="00326148">
      <w:pPr>
        <w:pStyle w:val="SingleTxtG"/>
        <w:ind w:left="2268" w:hanging="1134"/>
        <w:rPr>
          <w:b/>
          <w:bCs/>
          <w:iCs/>
        </w:rPr>
      </w:pPr>
      <w:r w:rsidRPr="00326148">
        <w:rPr>
          <w:b/>
          <w:bCs/>
          <w:lang w:val="fr-FR"/>
        </w:rPr>
        <w:t>12.7.5</w:t>
      </w:r>
      <w:r w:rsidRPr="00326148">
        <w:rPr>
          <w:b/>
          <w:bCs/>
          <w:lang w:val="fr-FR"/>
        </w:rPr>
        <w:tab/>
        <w:t>Nonobstant les dispositions transitoires ci-dessus, les Parties contractantes qui commencent à appliquer le présent Règlement ONU après la date d</w:t>
      </w:r>
      <w:r w:rsidRPr="00326148">
        <w:rPr>
          <w:b/>
          <w:bCs/>
          <w:lang w:val="fr-FR"/>
        </w:rPr>
        <w:t>’</w:t>
      </w:r>
      <w:r w:rsidRPr="00326148">
        <w:rPr>
          <w:b/>
          <w:bCs/>
          <w:lang w:val="fr-FR"/>
        </w:rPr>
        <w:t>entrée en vigueur de la série d</w:t>
      </w:r>
      <w:r w:rsidRPr="00326148">
        <w:rPr>
          <w:b/>
          <w:bCs/>
          <w:lang w:val="fr-FR"/>
        </w:rPr>
        <w:t>’</w:t>
      </w:r>
      <w:r w:rsidRPr="00326148">
        <w:rPr>
          <w:b/>
          <w:bCs/>
          <w:lang w:val="fr-FR"/>
        </w:rPr>
        <w:t>amendements la plus récente ne sont pas tenues d</w:t>
      </w:r>
      <w:r w:rsidRPr="00326148">
        <w:rPr>
          <w:b/>
          <w:bCs/>
          <w:lang w:val="fr-FR"/>
        </w:rPr>
        <w:t>’</w:t>
      </w:r>
      <w:r w:rsidRPr="00326148">
        <w:rPr>
          <w:b/>
          <w:bCs/>
          <w:lang w:val="fr-FR"/>
        </w:rPr>
        <w:t>accepter les homologations de type ONU délivrées au titre de l</w:t>
      </w:r>
      <w:r w:rsidRPr="00326148">
        <w:rPr>
          <w:b/>
          <w:bCs/>
          <w:lang w:val="fr-FR"/>
        </w:rPr>
        <w:t>’</w:t>
      </w:r>
      <w:r w:rsidRPr="00326148">
        <w:rPr>
          <w:b/>
          <w:bCs/>
          <w:lang w:val="fr-FR"/>
        </w:rPr>
        <w:t>une quelconque des précédentes séries d</w:t>
      </w:r>
      <w:r w:rsidRPr="00326148">
        <w:rPr>
          <w:b/>
          <w:bCs/>
          <w:lang w:val="fr-FR"/>
        </w:rPr>
        <w:t>’</w:t>
      </w:r>
      <w:r w:rsidRPr="00326148">
        <w:rPr>
          <w:b/>
          <w:bCs/>
          <w:lang w:val="fr-FR"/>
        </w:rPr>
        <w:t>amendements audit Règlement.</w:t>
      </w:r>
    </w:p>
    <w:p w:rsidR="00326148" w:rsidRPr="00326148" w:rsidRDefault="00326148" w:rsidP="00326148">
      <w:pPr>
        <w:pStyle w:val="SingleTxtG"/>
        <w:ind w:left="2268" w:hanging="1134"/>
        <w:rPr>
          <w:b/>
          <w:bCs/>
        </w:rPr>
      </w:pPr>
      <w:r w:rsidRPr="00326148">
        <w:rPr>
          <w:b/>
          <w:bCs/>
          <w:lang w:val="fr-FR"/>
        </w:rPr>
        <w:t>12.7.6</w:t>
      </w:r>
      <w:r w:rsidRPr="00326148">
        <w:rPr>
          <w:b/>
          <w:bCs/>
          <w:lang w:val="fr-FR"/>
        </w:rPr>
        <w:tab/>
        <w:t>Nonobstant les dispositions du paragraphe 12.7.4, les Parties contractantes appliquant le présent Règlement ONU continueront d</w:t>
      </w:r>
      <w:r w:rsidRPr="00326148">
        <w:rPr>
          <w:b/>
          <w:bCs/>
          <w:lang w:val="fr-FR"/>
        </w:rPr>
        <w:t>’</w:t>
      </w:r>
      <w:r w:rsidRPr="00326148">
        <w:rPr>
          <w:b/>
          <w:bCs/>
          <w:lang w:val="fr-FR"/>
        </w:rPr>
        <w:t>accepter les homologations de type ONU accordées au titre des précédentes séries d</w:t>
      </w:r>
      <w:r w:rsidRPr="00326148">
        <w:rPr>
          <w:b/>
          <w:bCs/>
          <w:lang w:val="fr-FR"/>
        </w:rPr>
        <w:t>’</w:t>
      </w:r>
      <w:r w:rsidRPr="00326148">
        <w:rPr>
          <w:b/>
          <w:bCs/>
          <w:lang w:val="fr-FR"/>
        </w:rPr>
        <w:t>amendements audit Règlement pour les types de véhicules qui ne sont pas concernés par les modifications introduites par la série [08] d</w:t>
      </w:r>
      <w:r w:rsidRPr="00326148">
        <w:rPr>
          <w:b/>
          <w:bCs/>
          <w:lang w:val="fr-FR"/>
        </w:rPr>
        <w:t>’</w:t>
      </w:r>
      <w:r w:rsidRPr="00326148">
        <w:rPr>
          <w:b/>
          <w:bCs/>
          <w:lang w:val="fr-FR"/>
        </w:rPr>
        <w:t xml:space="preserve">amendements. </w:t>
      </w:r>
    </w:p>
    <w:p w:rsidR="00326148" w:rsidRPr="00326148" w:rsidRDefault="00326148" w:rsidP="00326148">
      <w:pPr>
        <w:pStyle w:val="SingleTxtG"/>
        <w:ind w:left="2268" w:hanging="1134"/>
        <w:rPr>
          <w:b/>
          <w:bCs/>
          <w:i/>
        </w:rPr>
      </w:pPr>
      <w:r w:rsidRPr="00326148">
        <w:rPr>
          <w:b/>
          <w:bCs/>
          <w:lang w:val="fr-FR"/>
        </w:rPr>
        <w:t>12.7.7</w:t>
      </w:r>
      <w:r w:rsidRPr="00326148">
        <w:rPr>
          <w:b/>
          <w:bCs/>
          <w:lang w:val="fr-FR"/>
        </w:rPr>
        <w:tab/>
        <w:t>Les Parties contractantes appliquant le présent Règlement ONU peuvent accorder des homologations de type ONU en vertu de l</w:t>
      </w:r>
      <w:r w:rsidRPr="00326148">
        <w:rPr>
          <w:b/>
          <w:bCs/>
          <w:lang w:val="fr-FR"/>
        </w:rPr>
        <w:t>’</w:t>
      </w:r>
      <w:r w:rsidRPr="00326148">
        <w:rPr>
          <w:b/>
          <w:bCs/>
          <w:lang w:val="fr-FR"/>
        </w:rPr>
        <w:t>une quelconque des précédentes séries d</w:t>
      </w:r>
      <w:r w:rsidRPr="00326148">
        <w:rPr>
          <w:b/>
          <w:bCs/>
          <w:lang w:val="fr-FR"/>
        </w:rPr>
        <w:t>’</w:t>
      </w:r>
      <w:r w:rsidRPr="00326148">
        <w:rPr>
          <w:b/>
          <w:bCs/>
          <w:lang w:val="fr-FR"/>
        </w:rPr>
        <w:t>amendements audit Règlement.</w:t>
      </w:r>
      <w:bookmarkStart w:id="3" w:name="_Toc338161448"/>
    </w:p>
    <w:p w:rsidR="00326148" w:rsidRPr="00326148" w:rsidRDefault="00326148" w:rsidP="00326148">
      <w:pPr>
        <w:pStyle w:val="SingleTxtG"/>
        <w:ind w:left="2268" w:hanging="1134"/>
        <w:rPr>
          <w:i/>
        </w:rPr>
      </w:pPr>
      <w:r w:rsidRPr="00326148">
        <w:rPr>
          <w:b/>
          <w:bCs/>
          <w:lang w:val="fr-FR"/>
        </w:rPr>
        <w:t>12.7.8</w:t>
      </w:r>
      <w:r w:rsidRPr="00326148">
        <w:rPr>
          <w:b/>
          <w:bCs/>
          <w:lang w:val="fr-FR"/>
        </w:rPr>
        <w:tab/>
        <w:t>Les Parties contractantes appliquant le présent Règlement ONU continueront d</w:t>
      </w:r>
      <w:r w:rsidRPr="00326148">
        <w:rPr>
          <w:b/>
          <w:bCs/>
          <w:lang w:val="fr-FR"/>
        </w:rPr>
        <w:t>’</w:t>
      </w:r>
      <w:r w:rsidRPr="00326148">
        <w:rPr>
          <w:b/>
          <w:bCs/>
          <w:lang w:val="fr-FR"/>
        </w:rPr>
        <w:t>accorder des extensions pour les homologations délivrées en vertu de l</w:t>
      </w:r>
      <w:r w:rsidRPr="00326148">
        <w:rPr>
          <w:b/>
          <w:bCs/>
          <w:lang w:val="fr-FR"/>
        </w:rPr>
        <w:t>’</w:t>
      </w:r>
      <w:r w:rsidRPr="00326148">
        <w:rPr>
          <w:b/>
          <w:bCs/>
          <w:lang w:val="fr-FR"/>
        </w:rPr>
        <w:t>une quelconque des précédentes séries d</w:t>
      </w:r>
      <w:r w:rsidRPr="00326148">
        <w:rPr>
          <w:b/>
          <w:bCs/>
          <w:lang w:val="fr-FR"/>
        </w:rPr>
        <w:t>’</w:t>
      </w:r>
      <w:r w:rsidRPr="00326148">
        <w:rPr>
          <w:b/>
          <w:bCs/>
          <w:lang w:val="fr-FR"/>
        </w:rPr>
        <w:t>amendements audit Règlement.] </w:t>
      </w:r>
      <w:r w:rsidRPr="00326148">
        <w:rPr>
          <w:lang w:val="fr-FR"/>
        </w:rPr>
        <w:t>».</w:t>
      </w:r>
    </w:p>
    <w:p w:rsidR="00326148" w:rsidRPr="00326148" w:rsidRDefault="00326148" w:rsidP="00326148">
      <w:pPr>
        <w:suppressAutoHyphens w:val="0"/>
        <w:spacing w:after="120" w:line="240" w:lineRule="auto"/>
        <w:ind w:left="567" w:right="1134" w:firstLine="567"/>
        <w:jc w:val="both"/>
      </w:pPr>
      <w:r w:rsidRPr="00326148">
        <w:rPr>
          <w:i/>
          <w:iCs/>
          <w:lang w:val="fr-FR"/>
        </w:rPr>
        <w:t>Annexe 2</w:t>
      </w:r>
      <w:r w:rsidRPr="00326148">
        <w:rPr>
          <w:lang w:val="fr-FR"/>
        </w:rPr>
        <w:t>, lire</w:t>
      </w:r>
      <w:r w:rsidR="00FE1F30">
        <w:rPr>
          <w:lang w:val="fr-FR"/>
        </w:rPr>
        <w:t> </w:t>
      </w:r>
      <w:r w:rsidRPr="00326148">
        <w:rPr>
          <w:lang w:val="fr-FR"/>
        </w:rPr>
        <w:t>:</w:t>
      </w:r>
      <w:bookmarkStart w:id="4" w:name="_Toc338161449"/>
      <w:bookmarkEnd w:id="3"/>
    </w:p>
    <w:p w:rsidR="00326148" w:rsidRPr="00326148" w:rsidRDefault="00326148" w:rsidP="00326148">
      <w:pPr>
        <w:pStyle w:val="HChG"/>
      </w:pPr>
      <w:r w:rsidRPr="00FE1F30">
        <w:rPr>
          <w:b w:val="0"/>
          <w:sz w:val="20"/>
          <w:lang w:val="fr-FR"/>
        </w:rPr>
        <w:t>«</w:t>
      </w:r>
      <w:r w:rsidRPr="001B16BD">
        <w:rPr>
          <w:b w:val="0"/>
          <w:lang w:val="fr-FR"/>
        </w:rPr>
        <w:t> </w:t>
      </w:r>
      <w:r w:rsidRPr="00B74AC6">
        <w:rPr>
          <w:lang w:val="fr-FR"/>
        </w:rPr>
        <w:t>Annexe 2</w:t>
      </w:r>
      <w:bookmarkStart w:id="5" w:name="_Toc338161477"/>
      <w:bookmarkEnd w:id="5"/>
    </w:p>
    <w:p w:rsidR="00326148" w:rsidRPr="00326148" w:rsidRDefault="00326148" w:rsidP="00326148">
      <w:pPr>
        <w:pStyle w:val="HChG"/>
      </w:pPr>
      <w:r w:rsidRPr="00B74AC6">
        <w:rPr>
          <w:lang w:val="fr-FR"/>
        </w:rPr>
        <w:tab/>
      </w:r>
      <w:r w:rsidRPr="00B74AC6">
        <w:rPr>
          <w:lang w:val="fr-FR"/>
        </w:rPr>
        <w:tab/>
        <w:t>Exemples de marques d</w:t>
      </w:r>
      <w:r>
        <w:rPr>
          <w:lang w:val="fr-FR"/>
        </w:rPr>
        <w:t>’</w:t>
      </w:r>
      <w:r w:rsidRPr="00B74AC6">
        <w:rPr>
          <w:lang w:val="fr-FR"/>
        </w:rPr>
        <w:t>homologation</w:t>
      </w:r>
      <w:bookmarkEnd w:id="4"/>
    </w:p>
    <w:p w:rsidR="00326148" w:rsidRDefault="00326148" w:rsidP="00326148">
      <w:pPr>
        <w:pStyle w:val="SingleTxtG"/>
        <w:jc w:val="left"/>
        <w:rPr>
          <w:lang w:val="fr-FR"/>
        </w:rPr>
      </w:pPr>
      <w:bookmarkStart w:id="6" w:name="_Toc338161450"/>
      <w:r w:rsidRPr="00B74AC6">
        <w:rPr>
          <w:lang w:val="fr-FR"/>
        </w:rPr>
        <w:t>Modèle A</w:t>
      </w:r>
      <w:bookmarkEnd w:id="6"/>
      <w:r>
        <w:rPr>
          <w:lang w:val="fr-FR"/>
        </w:rPr>
        <w:br/>
      </w:r>
      <w:bookmarkStart w:id="7" w:name="_Toc338161451"/>
      <w:r w:rsidRPr="00B74AC6">
        <w:rPr>
          <w:lang w:val="fr-FR"/>
        </w:rPr>
        <w:t>(</w:t>
      </w:r>
      <w:r>
        <w:rPr>
          <w:lang w:val="fr-FR"/>
        </w:rPr>
        <w:t>V</w:t>
      </w:r>
      <w:r w:rsidRPr="00B74AC6">
        <w:rPr>
          <w:lang w:val="fr-FR"/>
        </w:rPr>
        <w:t>oir par. 4.4 du présent Règlement)</w:t>
      </w:r>
      <w:bookmarkEnd w:id="7"/>
    </w:p>
    <w:p w:rsidR="00326148" w:rsidRPr="00832552" w:rsidRDefault="00326148" w:rsidP="00326148">
      <w:pPr>
        <w:tabs>
          <w:tab w:val="left" w:pos="1700"/>
          <w:tab w:val="left" w:pos="4536"/>
          <w:tab w:val="left" w:leader="dot" w:pos="8505"/>
        </w:tabs>
        <w:spacing w:after="120"/>
        <w:ind w:left="1134" w:right="1134"/>
        <w:jc w:val="both"/>
      </w:pPr>
      <w:r w:rsidRPr="00832552">
        <w:rPr>
          <w:noProof/>
          <w:lang w:val="en-US" w:eastAsia="ja-JP"/>
        </w:rPr>
        <w:drawing>
          <wp:inline distT="0" distB="0" distL="0" distR="0" wp14:anchorId="387D2642" wp14:editId="343195DB">
            <wp:extent cx="5303520" cy="1009650"/>
            <wp:effectExtent l="0" t="0" r="0" b="0"/>
            <wp:docPr id="7" name="Image 7"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ption: Description: reg-48-graph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520" cy="1009650"/>
                    </a:xfrm>
                    <a:prstGeom prst="rect">
                      <a:avLst/>
                    </a:prstGeom>
                    <a:noFill/>
                    <a:ln>
                      <a:noFill/>
                    </a:ln>
                  </pic:spPr>
                </pic:pic>
              </a:graphicData>
            </a:graphic>
          </wp:inline>
        </w:drawing>
      </w:r>
      <w:r w:rsidRPr="00832552">
        <w:rPr>
          <w:noProof/>
          <w:lang w:val="en-US" w:eastAsia="ja-JP"/>
        </w:rPr>
        <mc:AlternateContent>
          <mc:Choice Requires="wps">
            <w:drawing>
              <wp:anchor distT="0" distB="0" distL="114300" distR="114300" simplePos="0" relativeHeight="251659264" behindDoc="0" locked="0" layoutInCell="1" allowOverlap="1" wp14:anchorId="6D4ED144" wp14:editId="03BF0E53">
                <wp:simplePos x="0" y="0"/>
                <wp:positionH relativeFrom="column">
                  <wp:posOffset>3720465</wp:posOffset>
                </wp:positionH>
                <wp:positionV relativeFrom="paragraph">
                  <wp:posOffset>361022</wp:posOffset>
                </wp:positionV>
                <wp:extent cx="444500" cy="378460"/>
                <wp:effectExtent l="0" t="0" r="0" b="254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148" w:rsidRDefault="00326148" w:rsidP="00326148">
                            <w:pPr>
                              <w:rPr>
                                <w:rFonts w:ascii="Arial" w:hAnsi="Arial"/>
                                <w:b/>
                                <w:bCs/>
                                <w:sz w:val="52"/>
                                <w:szCs w:val="52"/>
                                <w:lang w:eastAsia="ja-JP"/>
                              </w:rPr>
                            </w:pPr>
                            <w:r>
                              <w:rPr>
                                <w:rFonts w:ascii="Arial" w:hAnsi="Arial"/>
                                <w:b/>
                                <w:bCs/>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ED144" id="_x0000_t202" coordsize="21600,21600" o:spt="202" path="m,l,21600r21600,l21600,xe">
                <v:stroke joinstyle="miter"/>
                <v:path gradientshapeok="t" o:connecttype="rect"/>
              </v:shapetype>
              <v:shape id="Zone de texte 6" o:spid="_x0000_s1026" type="#_x0000_t202" style="position:absolute;left:0;text-align:left;margin-left:292.95pt;margin-top:28.45pt;width: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" stroked="f">
                <v:textbox inset="0,0,0,0">
                  <w:txbxContent>
                    <w:p w:rsidR="00326148" w:rsidRDefault="00326148" w:rsidP="00326148">
                      <w:pPr>
                        <w:rPr>
                          <w:rFonts w:ascii="Arial" w:hAnsi="Arial"/>
                          <w:b/>
                          <w:bCs/>
                          <w:sz w:val="52"/>
                          <w:szCs w:val="52"/>
                          <w:lang w:eastAsia="ja-JP"/>
                        </w:rPr>
                      </w:pPr>
                      <w:r>
                        <w:rPr>
                          <w:rFonts w:ascii="Arial" w:hAnsi="Arial"/>
                          <w:b/>
                          <w:bCs/>
                          <w:sz w:val="52"/>
                          <w:szCs w:val="52"/>
                        </w:rPr>
                        <w:t>08</w:t>
                      </w:r>
                    </w:p>
                  </w:txbxContent>
                </v:textbox>
              </v:shape>
            </w:pict>
          </mc:Fallback>
        </mc:AlternateContent>
      </w:r>
    </w:p>
    <w:p w:rsidR="00326148" w:rsidRPr="00B74AC6" w:rsidRDefault="00326148" w:rsidP="00326148">
      <w:pPr>
        <w:pStyle w:val="SingleTxtG"/>
        <w:jc w:val="right"/>
      </w:pPr>
      <w:r w:rsidRPr="00B74AC6">
        <w:rPr>
          <w:lang w:val="fr-FR"/>
        </w:rPr>
        <w:tab/>
        <w:t>a = 8 mm min.</w:t>
      </w:r>
    </w:p>
    <w:p w:rsidR="00326148" w:rsidRPr="00B74AC6" w:rsidRDefault="00326148" w:rsidP="00326148">
      <w:pPr>
        <w:pStyle w:val="SingleTxtG"/>
      </w:pPr>
      <w:r>
        <w:rPr>
          <w:lang w:val="fr-FR"/>
        </w:rPr>
        <w:tab/>
      </w:r>
      <w:r w:rsidRPr="00B74AC6">
        <w:rPr>
          <w:lang w:val="fr-FR"/>
        </w:rPr>
        <w:tab/>
        <w:t>La marque d</w:t>
      </w:r>
      <w:r>
        <w:rPr>
          <w:lang w:val="fr-FR"/>
        </w:rPr>
        <w:t>’</w:t>
      </w:r>
      <w:r w:rsidRPr="00B74AC6">
        <w:rPr>
          <w:lang w:val="fr-FR"/>
        </w:rPr>
        <w:t>homologation ci-dessus, apposée sur un véhicule, indique que le type de ce véhicule a été homologué aux Pays-Bas (E4) en ce qui concerne l</w:t>
      </w:r>
      <w:r>
        <w:rPr>
          <w:lang w:val="fr-FR"/>
        </w:rPr>
        <w:t>’</w:t>
      </w:r>
      <w:r w:rsidRPr="00B74AC6">
        <w:rPr>
          <w:lang w:val="fr-FR"/>
        </w:rPr>
        <w:t>installation de dispositifs d</w:t>
      </w:r>
      <w:r>
        <w:rPr>
          <w:lang w:val="fr-FR"/>
        </w:rPr>
        <w:t>’</w:t>
      </w:r>
      <w:r w:rsidRPr="00B74AC6">
        <w:rPr>
          <w:lang w:val="fr-FR"/>
        </w:rPr>
        <w:t>éclairage et de signalisation lumineuse, en application du Règlement ONU n</w:t>
      </w:r>
      <w:r w:rsidRPr="00B74AC6">
        <w:rPr>
          <w:vertAlign w:val="superscript"/>
          <w:lang w:val="fr-FR"/>
        </w:rPr>
        <w:t>o </w:t>
      </w:r>
      <w:r w:rsidRPr="00B74AC6">
        <w:rPr>
          <w:lang w:val="fr-FR"/>
        </w:rPr>
        <w:t xml:space="preserve">48 tel que modifié par la série </w:t>
      </w:r>
      <w:r w:rsidRPr="00B74AC6">
        <w:rPr>
          <w:b/>
          <w:bCs/>
          <w:lang w:val="fr-FR"/>
        </w:rPr>
        <w:t>[08]</w:t>
      </w:r>
      <w:r w:rsidRPr="00B74AC6">
        <w:rPr>
          <w:lang w:val="fr-FR"/>
        </w:rPr>
        <w:t xml:space="preserve"> d</w:t>
      </w:r>
      <w:r>
        <w:rPr>
          <w:lang w:val="fr-FR"/>
        </w:rPr>
        <w:t>’</w:t>
      </w:r>
      <w:r w:rsidRPr="00B74AC6">
        <w:rPr>
          <w:lang w:val="fr-FR"/>
        </w:rPr>
        <w:t>amendements. Le numéro d</w:t>
      </w:r>
      <w:r>
        <w:rPr>
          <w:lang w:val="fr-FR"/>
        </w:rPr>
        <w:t>’</w:t>
      </w:r>
      <w:r w:rsidRPr="00B74AC6">
        <w:rPr>
          <w:lang w:val="fr-FR"/>
        </w:rPr>
        <w:t>homologation indique que l</w:t>
      </w:r>
      <w:r>
        <w:rPr>
          <w:lang w:val="fr-FR"/>
        </w:rPr>
        <w:t>’</w:t>
      </w:r>
      <w:r w:rsidRPr="00B74AC6">
        <w:rPr>
          <w:lang w:val="fr-FR"/>
        </w:rPr>
        <w:t>homologation a été accordée conformément aux prescriptions du Règlement ONU n</w:t>
      </w:r>
      <w:r w:rsidRPr="00B74AC6">
        <w:rPr>
          <w:vertAlign w:val="superscript"/>
          <w:lang w:val="fr-FR"/>
        </w:rPr>
        <w:t>o </w:t>
      </w:r>
      <w:r w:rsidRPr="00B74AC6">
        <w:rPr>
          <w:lang w:val="fr-FR"/>
        </w:rPr>
        <w:t>48 tel qu</w:t>
      </w:r>
      <w:r>
        <w:rPr>
          <w:lang w:val="fr-FR"/>
        </w:rPr>
        <w:t>’</w:t>
      </w:r>
      <w:r w:rsidRPr="00B74AC6">
        <w:rPr>
          <w:lang w:val="fr-FR"/>
        </w:rPr>
        <w:t xml:space="preserve">il a été modifié par la série </w:t>
      </w:r>
      <w:r w:rsidRPr="00B74AC6">
        <w:rPr>
          <w:b/>
          <w:bCs/>
          <w:lang w:val="fr-FR"/>
        </w:rPr>
        <w:t>[08]</w:t>
      </w:r>
      <w:r w:rsidRPr="00B74AC6">
        <w:rPr>
          <w:lang w:val="fr-FR"/>
        </w:rPr>
        <w:t xml:space="preserve"> d</w:t>
      </w:r>
      <w:r>
        <w:rPr>
          <w:lang w:val="fr-FR"/>
        </w:rPr>
        <w:t>’</w:t>
      </w:r>
      <w:r w:rsidRPr="00B74AC6">
        <w:rPr>
          <w:lang w:val="fr-FR"/>
        </w:rPr>
        <w:t xml:space="preserve">amendements. </w:t>
      </w:r>
    </w:p>
    <w:p w:rsidR="00326148" w:rsidRDefault="00326148" w:rsidP="00F679AD">
      <w:pPr>
        <w:pStyle w:val="SingleTxtG"/>
        <w:keepNext/>
        <w:jc w:val="left"/>
        <w:rPr>
          <w:lang w:val="fr-FR"/>
        </w:rPr>
      </w:pPr>
      <w:r w:rsidRPr="00B74AC6">
        <w:rPr>
          <w:lang w:val="fr-FR"/>
        </w:rPr>
        <w:lastRenderedPageBreak/>
        <w:t>Modèle B</w:t>
      </w:r>
      <w:r>
        <w:rPr>
          <w:lang w:val="fr-FR"/>
        </w:rPr>
        <w:br/>
      </w:r>
      <w:bookmarkStart w:id="8" w:name="_Toc338161452"/>
      <w:r w:rsidRPr="00B74AC6">
        <w:rPr>
          <w:lang w:val="fr-FR"/>
        </w:rPr>
        <w:t>(</w:t>
      </w:r>
      <w:r>
        <w:rPr>
          <w:lang w:val="fr-FR"/>
        </w:rPr>
        <w:t>V</w:t>
      </w:r>
      <w:r w:rsidRPr="00B74AC6">
        <w:rPr>
          <w:lang w:val="fr-FR"/>
        </w:rPr>
        <w:t>oir par. 4.5 du présent Règlement)</w:t>
      </w:r>
      <w:bookmarkEnd w:id="8"/>
    </w:p>
    <w:p w:rsidR="00326148" w:rsidRPr="00832552" w:rsidRDefault="00326148" w:rsidP="00326148">
      <w:pPr>
        <w:pStyle w:val="Titre1"/>
        <w:ind w:left="360"/>
        <w:jc w:val="both"/>
      </w:pPr>
      <w:r w:rsidRPr="00832552">
        <w:rPr>
          <w:noProof/>
          <w:lang w:val="en-US" w:eastAsia="ja-JP"/>
        </w:rPr>
        <mc:AlternateContent>
          <mc:Choice Requires="wps">
            <w:drawing>
              <wp:anchor distT="0" distB="0" distL="114300" distR="114300" simplePos="0" relativeHeight="251661312" behindDoc="0" locked="0" layoutInCell="1" allowOverlap="1" wp14:anchorId="36BFBA7D" wp14:editId="74622154">
                <wp:simplePos x="0" y="0"/>
                <wp:positionH relativeFrom="column">
                  <wp:posOffset>3463290</wp:posOffset>
                </wp:positionH>
                <wp:positionV relativeFrom="paragraph">
                  <wp:posOffset>130810</wp:posOffset>
                </wp:positionV>
                <wp:extent cx="414020" cy="303530"/>
                <wp:effectExtent l="0" t="0" r="5080" b="127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148" w:rsidRDefault="00326148" w:rsidP="00326148">
                            <w:pPr>
                              <w:rPr>
                                <w:rFonts w:ascii="Arial" w:hAnsi="Arial"/>
                                <w:bCs/>
                                <w:lang w:eastAsia="ja-JP"/>
                              </w:rPr>
                            </w:pPr>
                            <w:r>
                              <w:rPr>
                                <w:rFonts w:ascii="Arial" w:hAnsi="Arial"/>
                                <w:b/>
                                <w:bCs/>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FBA7D" id="Zone de texte 8" o:spid="_x0000_s1027" type="#_x0000_t202" style="position:absolute;left:0;text-align:left;margin-left:272.7pt;margin-top:10.3pt;width:32.6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" stroked="f">
                <v:textbox inset="0,0,0,0">
                  <w:txbxContent>
                    <w:p w:rsidR="00326148" w:rsidRDefault="00326148" w:rsidP="00326148">
                      <w:pPr>
                        <w:rPr>
                          <w:rFonts w:ascii="Arial" w:hAnsi="Arial"/>
                          <w:bCs/>
                          <w:lang w:eastAsia="ja-JP"/>
                        </w:rPr>
                      </w:pPr>
                      <w:r>
                        <w:rPr>
                          <w:rFonts w:ascii="Arial" w:hAnsi="Arial"/>
                          <w:b/>
                          <w:bCs/>
                          <w:sz w:val="52"/>
                          <w:szCs w:val="52"/>
                        </w:rPr>
                        <w:t>08</w:t>
                      </w:r>
                    </w:p>
                  </w:txbxContent>
                </v:textbox>
              </v:shape>
            </w:pict>
          </mc:Fallback>
        </mc:AlternateContent>
      </w:r>
      <w:r w:rsidRPr="00832552">
        <w:rPr>
          <w:noProof/>
          <w:lang w:val="en-US" w:eastAsia="ja-JP"/>
        </w:rPr>
        <w:drawing>
          <wp:inline distT="0" distB="0" distL="0" distR="0" wp14:anchorId="73A57E23" wp14:editId="2EE4F0D6">
            <wp:extent cx="5508625" cy="987425"/>
            <wp:effectExtent l="0" t="0" r="0"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8625" cy="987425"/>
                    </a:xfrm>
                    <a:prstGeom prst="rect">
                      <a:avLst/>
                    </a:prstGeom>
                    <a:noFill/>
                    <a:ln>
                      <a:noFill/>
                    </a:ln>
                  </pic:spPr>
                </pic:pic>
              </a:graphicData>
            </a:graphic>
          </wp:inline>
        </w:drawing>
      </w:r>
    </w:p>
    <w:p w:rsidR="00326148" w:rsidRPr="00326148" w:rsidRDefault="00326148" w:rsidP="00326148">
      <w:pPr>
        <w:pStyle w:val="SingleTxtG"/>
        <w:jc w:val="right"/>
      </w:pPr>
      <w:r w:rsidRPr="00326148">
        <w:rPr>
          <w:lang w:val="fr-FR"/>
        </w:rPr>
        <w:tab/>
        <w:t>a = 8 mm min.</w:t>
      </w:r>
    </w:p>
    <w:p w:rsidR="00326148" w:rsidRPr="00326148" w:rsidRDefault="00326148" w:rsidP="00326148">
      <w:pPr>
        <w:pStyle w:val="SingleTxtG"/>
        <w:rPr>
          <w:bCs/>
        </w:rPr>
      </w:pPr>
      <w:r w:rsidRPr="00326148">
        <w:rPr>
          <w:lang w:val="fr-FR"/>
        </w:rPr>
        <w:tab/>
      </w:r>
      <w:r w:rsidRPr="00326148">
        <w:rPr>
          <w:lang w:val="fr-FR"/>
        </w:rPr>
        <w:tab/>
        <w:t>La marque d</w:t>
      </w:r>
      <w:r w:rsidRPr="00326148">
        <w:rPr>
          <w:lang w:val="fr-FR"/>
        </w:rPr>
        <w:t>’</w:t>
      </w:r>
      <w:r w:rsidRPr="00326148">
        <w:rPr>
          <w:lang w:val="fr-FR"/>
        </w:rPr>
        <w:t>homologation ci-dessus, apposée sur un véhicule, indique que le type de ce véhicule a été homologué aux Pays-Bas (E4) en application du Règlement ONU n</w:t>
      </w:r>
      <w:r w:rsidRPr="00326148">
        <w:rPr>
          <w:vertAlign w:val="superscript"/>
          <w:lang w:val="fr-FR"/>
        </w:rPr>
        <w:t>o </w:t>
      </w:r>
      <w:r w:rsidRPr="00326148">
        <w:rPr>
          <w:lang w:val="fr-FR"/>
        </w:rPr>
        <w:t>48 tel qu</w:t>
      </w:r>
      <w:r w:rsidRPr="00326148">
        <w:rPr>
          <w:lang w:val="fr-FR"/>
        </w:rPr>
        <w:t>’</w:t>
      </w:r>
      <w:r w:rsidRPr="00326148">
        <w:rPr>
          <w:lang w:val="fr-FR"/>
        </w:rPr>
        <w:t xml:space="preserve">il a été modifié par la série </w:t>
      </w:r>
      <w:r w:rsidRPr="00326148">
        <w:rPr>
          <w:b/>
          <w:bCs/>
          <w:lang w:val="fr-FR"/>
        </w:rPr>
        <w:t>[08]</w:t>
      </w:r>
      <w:r w:rsidRPr="00326148">
        <w:rPr>
          <w:lang w:val="fr-FR"/>
        </w:rPr>
        <w:t xml:space="preserve"> d</w:t>
      </w:r>
      <w:r w:rsidRPr="00326148">
        <w:rPr>
          <w:lang w:val="fr-FR"/>
        </w:rPr>
        <w:t>’</w:t>
      </w:r>
      <w:r w:rsidRPr="00326148">
        <w:rPr>
          <w:lang w:val="fr-FR"/>
        </w:rPr>
        <w:t>amendements et du Règlement ONU n</w:t>
      </w:r>
      <w:r w:rsidRPr="00326148">
        <w:rPr>
          <w:vertAlign w:val="superscript"/>
          <w:lang w:val="fr-FR"/>
        </w:rPr>
        <w:t>o </w:t>
      </w:r>
      <w:r w:rsidRPr="00326148">
        <w:rPr>
          <w:lang w:val="fr-FR"/>
        </w:rPr>
        <w:t>33</w:t>
      </w:r>
      <w:r w:rsidRPr="00326148">
        <w:rPr>
          <w:vertAlign w:val="superscript"/>
          <w:lang w:val="fr-FR"/>
        </w:rPr>
        <w:t>5</w:t>
      </w:r>
      <w:r w:rsidRPr="00326148">
        <w:rPr>
          <w:lang w:val="fr-FR"/>
        </w:rPr>
        <w:t>. Le numéro d</w:t>
      </w:r>
      <w:r w:rsidRPr="00326148">
        <w:rPr>
          <w:lang w:val="fr-FR"/>
        </w:rPr>
        <w:t>’</w:t>
      </w:r>
      <w:r w:rsidRPr="00326148">
        <w:rPr>
          <w:lang w:val="fr-FR"/>
        </w:rPr>
        <w:t>homologation indique qu</w:t>
      </w:r>
      <w:r w:rsidRPr="00326148">
        <w:rPr>
          <w:lang w:val="fr-FR"/>
        </w:rPr>
        <w:t>’</w:t>
      </w:r>
      <w:r w:rsidRPr="00326148">
        <w:rPr>
          <w:lang w:val="fr-FR"/>
        </w:rPr>
        <w:t>aux dates auxquelles les homologations respectives ont été accordées, le Règlement ONU n</w:t>
      </w:r>
      <w:r w:rsidRPr="00326148">
        <w:rPr>
          <w:vertAlign w:val="superscript"/>
          <w:lang w:val="fr-FR"/>
        </w:rPr>
        <w:t>o </w:t>
      </w:r>
      <w:r w:rsidRPr="00326148">
        <w:rPr>
          <w:lang w:val="fr-FR"/>
        </w:rPr>
        <w:t xml:space="preserve">48 avait déjà été modifié par la série </w:t>
      </w:r>
      <w:r w:rsidRPr="00326148">
        <w:rPr>
          <w:b/>
          <w:bCs/>
          <w:lang w:val="fr-FR"/>
        </w:rPr>
        <w:t xml:space="preserve">[08] </w:t>
      </w:r>
      <w:r w:rsidRPr="00326148">
        <w:rPr>
          <w:lang w:val="fr-FR"/>
        </w:rPr>
        <w:t>d</w:t>
      </w:r>
      <w:r w:rsidRPr="00326148">
        <w:rPr>
          <w:lang w:val="fr-FR"/>
        </w:rPr>
        <w:t>’</w:t>
      </w:r>
      <w:r w:rsidRPr="00326148">
        <w:rPr>
          <w:lang w:val="fr-FR"/>
        </w:rPr>
        <w:t>amendements et le Règlement ONU n</w:t>
      </w:r>
      <w:r w:rsidRPr="00326148">
        <w:rPr>
          <w:vertAlign w:val="superscript"/>
          <w:lang w:val="fr-FR"/>
        </w:rPr>
        <w:t>o </w:t>
      </w:r>
      <w:r w:rsidRPr="00326148">
        <w:rPr>
          <w:lang w:val="fr-FR"/>
        </w:rPr>
        <w:t>33 était encore sous sa forme originale. ».</w:t>
      </w:r>
    </w:p>
    <w:p w:rsidR="00326148" w:rsidRPr="00B74AC6" w:rsidRDefault="00326148" w:rsidP="00326148">
      <w:pPr>
        <w:tabs>
          <w:tab w:val="left" w:pos="1700"/>
          <w:tab w:val="left" w:pos="4536"/>
          <w:tab w:val="left" w:leader="dot" w:pos="8505"/>
        </w:tabs>
        <w:spacing w:after="120" w:line="240" w:lineRule="auto"/>
        <w:ind w:left="1134" w:right="1134"/>
        <w:jc w:val="both"/>
        <w:rPr>
          <w:bCs/>
          <w:sz w:val="24"/>
          <w:szCs w:val="24"/>
        </w:rPr>
      </w:pPr>
      <w:r w:rsidRPr="00B74AC6">
        <w:rPr>
          <w:sz w:val="24"/>
          <w:szCs w:val="24"/>
          <w:lang w:val="fr-FR"/>
        </w:rPr>
        <w:t>__________</w:t>
      </w:r>
    </w:p>
    <w:p w:rsidR="00326148" w:rsidRPr="00326148" w:rsidRDefault="00326148" w:rsidP="00326148">
      <w:pPr>
        <w:pStyle w:val="SingleTxtG"/>
        <w:spacing w:line="240" w:lineRule="auto"/>
        <w:ind w:left="2268" w:hanging="850"/>
        <w:rPr>
          <w:sz w:val="18"/>
          <w:szCs w:val="18"/>
        </w:rPr>
      </w:pPr>
      <w:r w:rsidRPr="00326148">
        <w:rPr>
          <w:sz w:val="18"/>
          <w:szCs w:val="18"/>
          <w:lang w:val="fr-FR"/>
        </w:rPr>
        <w:t>5  Ce dernier numéro n</w:t>
      </w:r>
      <w:r w:rsidRPr="00326148">
        <w:rPr>
          <w:sz w:val="18"/>
          <w:szCs w:val="18"/>
          <w:lang w:val="fr-FR"/>
        </w:rPr>
        <w:t>’</w:t>
      </w:r>
      <w:r w:rsidRPr="00326148">
        <w:rPr>
          <w:sz w:val="18"/>
          <w:szCs w:val="18"/>
          <w:lang w:val="fr-FR"/>
        </w:rPr>
        <w:t>est donné qu</w:t>
      </w:r>
      <w:r w:rsidRPr="00326148">
        <w:rPr>
          <w:sz w:val="18"/>
          <w:szCs w:val="18"/>
          <w:lang w:val="fr-FR"/>
        </w:rPr>
        <w:t>’</w:t>
      </w:r>
      <w:r w:rsidRPr="00326148">
        <w:rPr>
          <w:sz w:val="18"/>
          <w:szCs w:val="18"/>
          <w:lang w:val="fr-FR"/>
        </w:rPr>
        <w:t>à titre d</w:t>
      </w:r>
      <w:r w:rsidRPr="00326148">
        <w:rPr>
          <w:sz w:val="18"/>
          <w:szCs w:val="18"/>
          <w:lang w:val="fr-FR"/>
        </w:rPr>
        <w:t>’</w:t>
      </w:r>
      <w:r w:rsidRPr="00326148">
        <w:rPr>
          <w:sz w:val="18"/>
          <w:szCs w:val="18"/>
          <w:lang w:val="fr-FR"/>
        </w:rPr>
        <w:t>exemple.</w:t>
      </w:r>
    </w:p>
    <w:p w:rsidR="00326148" w:rsidRPr="00B74AC6" w:rsidRDefault="00326148" w:rsidP="00326148">
      <w:pPr>
        <w:pStyle w:val="HChG"/>
      </w:pPr>
      <w:r>
        <w:rPr>
          <w:lang w:val="fr-FR"/>
        </w:rPr>
        <w:tab/>
      </w:r>
      <w:r w:rsidRPr="00B74AC6">
        <w:rPr>
          <w:lang w:val="fr-FR"/>
        </w:rPr>
        <w:t>II.</w:t>
      </w:r>
      <w:r w:rsidRPr="00B74AC6">
        <w:rPr>
          <w:lang w:val="fr-FR"/>
        </w:rPr>
        <w:tab/>
      </w:r>
      <w:r w:rsidRPr="00B74AC6">
        <w:rPr>
          <w:lang w:val="fr-FR"/>
        </w:rPr>
        <w:tab/>
        <w:t>Justification</w:t>
      </w:r>
    </w:p>
    <w:p w:rsidR="00326148" w:rsidRPr="00B74AC6" w:rsidRDefault="00326148" w:rsidP="00326148">
      <w:pPr>
        <w:pStyle w:val="SingleTxtG"/>
      </w:pPr>
      <w:r w:rsidRPr="00B74AC6">
        <w:rPr>
          <w:lang w:val="fr-FR"/>
        </w:rPr>
        <w:t>1.</w:t>
      </w:r>
      <w:r w:rsidRPr="00B74AC6">
        <w:rPr>
          <w:lang w:val="fr-FR"/>
        </w:rPr>
        <w:tab/>
        <w:t xml:space="preserve">La présente proposition a pour but </w:t>
      </w:r>
      <w:r>
        <w:rPr>
          <w:lang w:val="fr-FR"/>
        </w:rPr>
        <w:t>de prescrire</w:t>
      </w:r>
      <w:r w:rsidRPr="00B74AC6">
        <w:rPr>
          <w:lang w:val="fr-FR"/>
        </w:rPr>
        <w:t xml:space="preserve"> que les dispositifs d</w:t>
      </w:r>
      <w:r>
        <w:rPr>
          <w:lang w:val="fr-FR"/>
        </w:rPr>
        <w:t>’</w:t>
      </w:r>
      <w:r w:rsidRPr="00B74AC6">
        <w:rPr>
          <w:lang w:val="fr-FR"/>
        </w:rPr>
        <w:t xml:space="preserve">éclairage et de signalisation lumineuse soient activés conformément aux </w:t>
      </w:r>
      <w:r>
        <w:rPr>
          <w:lang w:val="fr-FR"/>
        </w:rPr>
        <w:t>dispositions</w:t>
      </w:r>
      <w:r w:rsidRPr="00B74AC6">
        <w:rPr>
          <w:lang w:val="fr-FR"/>
        </w:rPr>
        <w:t xml:space="preserve"> du Règlement ONU </w:t>
      </w:r>
      <w:r w:rsidR="00F679AD" w:rsidRPr="00F679AD">
        <w:rPr>
          <w:rFonts w:eastAsia="MS Mincho"/>
          <w:lang w:val="fr-FR"/>
        </w:rPr>
        <w:t>n</w:t>
      </w:r>
      <w:r w:rsidR="00F679AD" w:rsidRPr="00F679AD">
        <w:rPr>
          <w:rFonts w:eastAsia="MS Mincho"/>
          <w:vertAlign w:val="superscript"/>
          <w:lang w:val="fr-FR"/>
        </w:rPr>
        <w:t>o</w:t>
      </w:r>
      <w:r w:rsidR="00F679AD">
        <w:rPr>
          <w:lang w:val="fr-FR"/>
        </w:rPr>
        <w:t> </w:t>
      </w:r>
      <w:r w:rsidRPr="00B74AC6">
        <w:rPr>
          <w:lang w:val="fr-FR"/>
        </w:rPr>
        <w:t>48, même lorsqu</w:t>
      </w:r>
      <w:r>
        <w:rPr>
          <w:lang w:val="fr-FR"/>
        </w:rPr>
        <w:t>’</w:t>
      </w:r>
      <w:r w:rsidRPr="00B74AC6">
        <w:rPr>
          <w:lang w:val="fr-FR"/>
        </w:rPr>
        <w:t>un véhicule est en stationnement</w:t>
      </w:r>
      <w:r>
        <w:rPr>
          <w:lang w:val="fr-FR"/>
        </w:rPr>
        <w:t>.</w:t>
      </w:r>
      <w:r w:rsidRPr="00B74AC6">
        <w:rPr>
          <w:lang w:val="fr-FR"/>
        </w:rPr>
        <w:t xml:space="preserve"> </w:t>
      </w:r>
      <w:r>
        <w:rPr>
          <w:lang w:val="fr-FR"/>
        </w:rPr>
        <w:t xml:space="preserve">Pour cela, il est proposé de tenir compte des </w:t>
      </w:r>
      <w:r w:rsidRPr="00B74AC6">
        <w:rPr>
          <w:lang w:val="fr-FR"/>
        </w:rPr>
        <w:t xml:space="preserve">véhicules en stationnement dans le </w:t>
      </w:r>
      <w:r>
        <w:rPr>
          <w:lang w:val="fr-FR"/>
        </w:rPr>
        <w:t>champ d</w:t>
      </w:r>
      <w:r>
        <w:rPr>
          <w:lang w:val="fr-FR"/>
        </w:rPr>
        <w:t>’</w:t>
      </w:r>
      <w:r>
        <w:rPr>
          <w:lang w:val="fr-FR"/>
        </w:rPr>
        <w:t xml:space="preserve">application du </w:t>
      </w:r>
      <w:r w:rsidRPr="00B74AC6">
        <w:rPr>
          <w:lang w:val="fr-FR"/>
        </w:rPr>
        <w:t xml:space="preserve">Règlement </w:t>
      </w:r>
      <w:r>
        <w:rPr>
          <w:lang w:val="fr-FR"/>
        </w:rPr>
        <w:t xml:space="preserve">ONU </w:t>
      </w:r>
      <w:r w:rsidR="00F679AD" w:rsidRPr="00F679AD">
        <w:rPr>
          <w:rFonts w:eastAsia="MS Mincho"/>
          <w:lang w:val="fr-FR"/>
        </w:rPr>
        <w:t>n</w:t>
      </w:r>
      <w:r w:rsidR="00F679AD" w:rsidRPr="00F679AD">
        <w:rPr>
          <w:rFonts w:eastAsia="MS Mincho"/>
          <w:vertAlign w:val="superscript"/>
          <w:lang w:val="fr-FR"/>
        </w:rPr>
        <w:t>o</w:t>
      </w:r>
      <w:r w:rsidR="00F679AD">
        <w:rPr>
          <w:lang w:val="fr-FR"/>
        </w:rPr>
        <w:t> </w:t>
      </w:r>
      <w:r w:rsidRPr="00B74AC6">
        <w:rPr>
          <w:lang w:val="fr-FR"/>
        </w:rPr>
        <w:t>48. On estime qu</w:t>
      </w:r>
      <w:r>
        <w:rPr>
          <w:lang w:val="fr-FR"/>
        </w:rPr>
        <w:t>’</w:t>
      </w:r>
      <w:r w:rsidRPr="00B74AC6">
        <w:rPr>
          <w:lang w:val="fr-FR"/>
        </w:rPr>
        <w:t>une certaine forme de réglementation est nécessaire en raison du risque d</w:t>
      </w:r>
      <w:r>
        <w:rPr>
          <w:lang w:val="fr-FR"/>
        </w:rPr>
        <w:t>’</w:t>
      </w:r>
      <w:r w:rsidRPr="00B74AC6">
        <w:rPr>
          <w:lang w:val="fr-FR"/>
        </w:rPr>
        <w:t xml:space="preserve">éblouissement ou de distraction des autres usagers de la route que représentent, par exemple, les feux allumés </w:t>
      </w:r>
      <w:r>
        <w:rPr>
          <w:lang w:val="fr-FR"/>
        </w:rPr>
        <w:t>d</w:t>
      </w:r>
      <w:r>
        <w:rPr>
          <w:lang w:val="fr-FR"/>
        </w:rPr>
        <w:t>’</w:t>
      </w:r>
      <w:r w:rsidRPr="00B74AC6">
        <w:rPr>
          <w:lang w:val="fr-FR"/>
        </w:rPr>
        <w:t xml:space="preserve">un véhicule garé sur </w:t>
      </w:r>
      <w:r>
        <w:rPr>
          <w:lang w:val="fr-FR"/>
        </w:rPr>
        <w:t xml:space="preserve">un </w:t>
      </w:r>
      <w:r w:rsidRPr="00B74AC6">
        <w:rPr>
          <w:lang w:val="fr-FR"/>
        </w:rPr>
        <w:t>accotement.</w:t>
      </w:r>
    </w:p>
    <w:p w:rsidR="00326148" w:rsidRPr="00B74AC6" w:rsidRDefault="00326148" w:rsidP="00326148">
      <w:pPr>
        <w:pStyle w:val="SingleTxtG"/>
      </w:pPr>
      <w:r w:rsidRPr="00B74AC6">
        <w:rPr>
          <w:lang w:val="fr-FR"/>
        </w:rPr>
        <w:t>2.</w:t>
      </w:r>
      <w:r w:rsidRPr="00B74AC6">
        <w:rPr>
          <w:lang w:val="fr-FR"/>
        </w:rPr>
        <w:tab/>
      </w:r>
      <w:r>
        <w:rPr>
          <w:lang w:val="fr-FR"/>
        </w:rPr>
        <w:t>C</w:t>
      </w:r>
      <w:r w:rsidRPr="00B74AC6">
        <w:rPr>
          <w:lang w:val="fr-FR"/>
        </w:rPr>
        <w:t xml:space="preserve">ertains constructeurs ont, pour </w:t>
      </w:r>
      <w:r>
        <w:rPr>
          <w:lang w:val="fr-FR"/>
        </w:rPr>
        <w:t>la commodité</w:t>
      </w:r>
      <w:r w:rsidRPr="00B74AC6">
        <w:rPr>
          <w:lang w:val="fr-FR"/>
        </w:rPr>
        <w:t xml:space="preserve"> des utilisateurs, produit des véhicules équipés d</w:t>
      </w:r>
      <w:r>
        <w:rPr>
          <w:lang w:val="fr-FR"/>
        </w:rPr>
        <w:t>’</w:t>
      </w:r>
      <w:r w:rsidRPr="00B74AC6">
        <w:rPr>
          <w:lang w:val="fr-FR"/>
        </w:rPr>
        <w:t xml:space="preserve">une fonction qui </w:t>
      </w:r>
      <w:r>
        <w:rPr>
          <w:lang w:val="fr-FR"/>
        </w:rPr>
        <w:t xml:space="preserve">fait </w:t>
      </w:r>
      <w:r w:rsidRPr="00B74AC6">
        <w:rPr>
          <w:lang w:val="fr-FR"/>
        </w:rPr>
        <w:t xml:space="preserve">clignoter </w:t>
      </w:r>
      <w:r>
        <w:rPr>
          <w:lang w:val="fr-FR"/>
        </w:rPr>
        <w:t xml:space="preserve">les feux au </w:t>
      </w:r>
      <w:r w:rsidRPr="00B74AC6">
        <w:rPr>
          <w:lang w:val="fr-FR"/>
        </w:rPr>
        <w:t xml:space="preserve">verrouillage et </w:t>
      </w:r>
      <w:r>
        <w:rPr>
          <w:lang w:val="fr-FR"/>
        </w:rPr>
        <w:t xml:space="preserve">au </w:t>
      </w:r>
      <w:r w:rsidRPr="00B74AC6">
        <w:rPr>
          <w:lang w:val="fr-FR"/>
        </w:rPr>
        <w:t xml:space="preserve">déverrouillage des portes </w:t>
      </w:r>
      <w:r>
        <w:rPr>
          <w:lang w:val="fr-FR"/>
        </w:rPr>
        <w:t>lorsque le</w:t>
      </w:r>
      <w:r w:rsidRPr="00B74AC6">
        <w:rPr>
          <w:lang w:val="fr-FR"/>
        </w:rPr>
        <w:t xml:space="preserve"> véhicule </w:t>
      </w:r>
      <w:r>
        <w:rPr>
          <w:lang w:val="fr-FR"/>
        </w:rPr>
        <w:t xml:space="preserve">est </w:t>
      </w:r>
      <w:r w:rsidRPr="00B74AC6">
        <w:rPr>
          <w:lang w:val="fr-FR"/>
        </w:rPr>
        <w:t xml:space="preserve">en stationnement. </w:t>
      </w:r>
      <w:r>
        <w:rPr>
          <w:lang w:val="fr-FR"/>
        </w:rPr>
        <w:t xml:space="preserve">Ce type de </w:t>
      </w:r>
      <w:r w:rsidRPr="00B74AC6">
        <w:rPr>
          <w:lang w:val="fr-FR"/>
        </w:rPr>
        <w:t xml:space="preserve">fonction devrait être autorisé </w:t>
      </w:r>
      <w:r>
        <w:rPr>
          <w:lang w:val="fr-FR"/>
        </w:rPr>
        <w:t>à condition qu</w:t>
      </w:r>
      <w:r>
        <w:rPr>
          <w:lang w:val="fr-FR"/>
        </w:rPr>
        <w:t>’</w:t>
      </w:r>
      <w:r>
        <w:rPr>
          <w:lang w:val="fr-FR"/>
        </w:rPr>
        <w:t xml:space="preserve">il </w:t>
      </w:r>
      <w:r w:rsidRPr="00B74AC6">
        <w:rPr>
          <w:lang w:val="fr-FR"/>
        </w:rPr>
        <w:t>ne nuise pas à la sécurité routière.</w:t>
      </w:r>
    </w:p>
    <w:p w:rsidR="00326148" w:rsidRPr="00B74AC6" w:rsidRDefault="00326148" w:rsidP="00326148">
      <w:pPr>
        <w:pStyle w:val="SingleTxtG"/>
      </w:pPr>
      <w:r w:rsidRPr="00B74AC6">
        <w:rPr>
          <w:lang w:val="fr-FR"/>
        </w:rPr>
        <w:t>3.</w:t>
      </w:r>
      <w:r w:rsidRPr="00B74AC6">
        <w:rPr>
          <w:lang w:val="fr-FR"/>
        </w:rPr>
        <w:tab/>
        <w:t>Il est proposé de dénommer « </w:t>
      </w:r>
      <w:r w:rsidRPr="00B74AC6">
        <w:rPr>
          <w:i/>
          <w:iCs/>
          <w:lang w:val="fr-FR"/>
        </w:rPr>
        <w:t>signa</w:t>
      </w:r>
      <w:r>
        <w:rPr>
          <w:i/>
          <w:iCs/>
          <w:lang w:val="fr-FR"/>
        </w:rPr>
        <w:t>ux</w:t>
      </w:r>
      <w:r w:rsidRPr="00B74AC6">
        <w:rPr>
          <w:i/>
          <w:iCs/>
          <w:lang w:val="fr-FR"/>
        </w:rPr>
        <w:t xml:space="preserve"> de réponse</w:t>
      </w:r>
      <w:r w:rsidRPr="00B74AC6">
        <w:rPr>
          <w:lang w:val="fr-FR"/>
        </w:rPr>
        <w:t> » les dispositifs d</w:t>
      </w:r>
      <w:r>
        <w:rPr>
          <w:lang w:val="fr-FR"/>
        </w:rPr>
        <w:t>’</w:t>
      </w:r>
      <w:r w:rsidRPr="00B74AC6">
        <w:rPr>
          <w:lang w:val="fr-FR"/>
        </w:rPr>
        <w:t xml:space="preserve">éclairage et de signalisation lumineuse qui </w:t>
      </w:r>
      <w:r>
        <w:rPr>
          <w:lang w:val="fr-FR"/>
        </w:rPr>
        <w:t>se déclenchent</w:t>
      </w:r>
      <w:r w:rsidRPr="00B74AC6">
        <w:rPr>
          <w:lang w:val="fr-FR"/>
        </w:rPr>
        <w:t xml:space="preserve"> en même temps que le verrouillage </w:t>
      </w:r>
      <w:r>
        <w:rPr>
          <w:lang w:val="fr-FR"/>
        </w:rPr>
        <w:t xml:space="preserve">ou </w:t>
      </w:r>
      <w:r w:rsidRPr="00B74AC6">
        <w:rPr>
          <w:lang w:val="fr-FR"/>
        </w:rPr>
        <w:t>le déverrouillage des portes lorsque le véhicule est en stationnement, d</w:t>
      </w:r>
      <w:r>
        <w:rPr>
          <w:lang w:val="fr-FR"/>
        </w:rPr>
        <w:t>’</w:t>
      </w:r>
      <w:r w:rsidRPr="00B74AC6">
        <w:rPr>
          <w:lang w:val="fr-FR"/>
        </w:rPr>
        <w:t xml:space="preserve">énoncer les prescriptions relatives à leur fonctionnement et de les autoriser à clignoter. Les prescriptions relatives à ces </w:t>
      </w:r>
      <w:r w:rsidRPr="00B74AC6">
        <w:rPr>
          <w:i/>
          <w:iCs/>
          <w:lang w:val="fr-FR"/>
        </w:rPr>
        <w:t>signaux de réponse</w:t>
      </w:r>
      <w:r w:rsidRPr="00B74AC6">
        <w:rPr>
          <w:lang w:val="fr-FR"/>
        </w:rPr>
        <w:t xml:space="preserve"> détermineront la durée de l</w:t>
      </w:r>
      <w:r>
        <w:rPr>
          <w:lang w:val="fr-FR"/>
        </w:rPr>
        <w:t>a</w:t>
      </w:r>
      <w:r w:rsidRPr="00B74AC6">
        <w:rPr>
          <w:lang w:val="fr-FR"/>
        </w:rPr>
        <w:t xml:space="preserve"> signalisation </w:t>
      </w:r>
      <w:r>
        <w:rPr>
          <w:lang w:val="fr-FR"/>
        </w:rPr>
        <w:t>visuelle</w:t>
      </w:r>
      <w:r w:rsidRPr="00B74AC6">
        <w:rPr>
          <w:lang w:val="fr-FR"/>
        </w:rPr>
        <w:t xml:space="preserve"> et les types de dispositifs d</w:t>
      </w:r>
      <w:r>
        <w:rPr>
          <w:lang w:val="fr-FR"/>
        </w:rPr>
        <w:t>’</w:t>
      </w:r>
      <w:r w:rsidRPr="00B74AC6">
        <w:rPr>
          <w:lang w:val="fr-FR"/>
        </w:rPr>
        <w:t>éclairage ou de signalisation lumineuse pouvant être utilisés (leur intensité lumineuse maximale et leurs couleurs seront celles des dispositifs d</w:t>
      </w:r>
      <w:r>
        <w:rPr>
          <w:lang w:val="fr-FR"/>
        </w:rPr>
        <w:t>’</w:t>
      </w:r>
      <w:r w:rsidRPr="00B74AC6">
        <w:rPr>
          <w:lang w:val="fr-FR"/>
        </w:rPr>
        <w:t xml:space="preserve">éclairage ou de signalisation lumineuse </w:t>
      </w:r>
      <w:r>
        <w:rPr>
          <w:lang w:val="fr-FR"/>
        </w:rPr>
        <w:t>existants</w:t>
      </w:r>
      <w:r w:rsidRPr="00B74AC6">
        <w:rPr>
          <w:lang w:val="fr-FR"/>
        </w:rPr>
        <w:t xml:space="preserve">, </w:t>
      </w:r>
      <w:r>
        <w:rPr>
          <w:lang w:val="fr-FR"/>
        </w:rPr>
        <w:t xml:space="preserve">sachant que </w:t>
      </w:r>
      <w:r w:rsidRPr="00B74AC6">
        <w:rPr>
          <w:lang w:val="fr-FR"/>
        </w:rPr>
        <w:t xml:space="preserve">le </w:t>
      </w:r>
      <w:r>
        <w:rPr>
          <w:lang w:val="fr-FR"/>
        </w:rPr>
        <w:t xml:space="preserve">seul </w:t>
      </w:r>
      <w:r w:rsidRPr="00B74AC6">
        <w:rPr>
          <w:lang w:val="fr-FR"/>
        </w:rPr>
        <w:t xml:space="preserve">signal de réponse autorisé </w:t>
      </w:r>
      <w:r>
        <w:rPr>
          <w:lang w:val="fr-FR"/>
        </w:rPr>
        <w:t>est un clignotement</w:t>
      </w:r>
      <w:r w:rsidRPr="00B74AC6">
        <w:rPr>
          <w:lang w:val="fr-FR"/>
        </w:rPr>
        <w:t>). Le Japon</w:t>
      </w:r>
      <w:r>
        <w:rPr>
          <w:lang w:val="fr-FR"/>
        </w:rPr>
        <w:t>,</w:t>
      </w:r>
      <w:r w:rsidRPr="00B74AC6">
        <w:rPr>
          <w:lang w:val="fr-FR"/>
        </w:rPr>
        <w:t xml:space="preserve"> qui, à la demande des constructeurs, a modifié l</w:t>
      </w:r>
      <w:r>
        <w:rPr>
          <w:lang w:val="fr-FR"/>
        </w:rPr>
        <w:t>’</w:t>
      </w:r>
      <w:r w:rsidRPr="00B74AC6">
        <w:rPr>
          <w:lang w:val="fr-FR"/>
        </w:rPr>
        <w:t xml:space="preserve">année dernière sa réglementation nationale pour autoriser ces </w:t>
      </w:r>
      <w:r w:rsidRPr="00B74AC6">
        <w:rPr>
          <w:i/>
          <w:iCs/>
          <w:lang w:val="fr-FR"/>
        </w:rPr>
        <w:t xml:space="preserve">signaux de réponse, </w:t>
      </w:r>
      <w:r w:rsidRPr="00B74AC6">
        <w:rPr>
          <w:lang w:val="fr-FR"/>
        </w:rPr>
        <w:t>aimerait que le Groupe de travail de l</w:t>
      </w:r>
      <w:r>
        <w:rPr>
          <w:lang w:val="fr-FR"/>
        </w:rPr>
        <w:t>’</w:t>
      </w:r>
      <w:r w:rsidRPr="00B74AC6">
        <w:rPr>
          <w:lang w:val="fr-FR"/>
        </w:rPr>
        <w:t xml:space="preserve">éclairage et de la signalisation lumineuse examine la question </w:t>
      </w:r>
      <w:r>
        <w:rPr>
          <w:lang w:val="fr-FR"/>
        </w:rPr>
        <w:t>du point de vue</w:t>
      </w:r>
      <w:r w:rsidRPr="00B74AC6">
        <w:rPr>
          <w:lang w:val="fr-FR"/>
        </w:rPr>
        <w:t xml:space="preserve"> de la sécurité.</w:t>
      </w:r>
    </w:p>
    <w:p w:rsidR="00326148" w:rsidRPr="00B74AC6" w:rsidRDefault="00326148" w:rsidP="00326148">
      <w:pPr>
        <w:pStyle w:val="SingleTxtG"/>
      </w:pPr>
      <w:r w:rsidRPr="00B74AC6">
        <w:rPr>
          <w:lang w:val="fr-FR"/>
        </w:rPr>
        <w:t>4.</w:t>
      </w:r>
      <w:r w:rsidRPr="00B74AC6">
        <w:rPr>
          <w:lang w:val="fr-FR"/>
        </w:rPr>
        <w:tab/>
        <w:t xml:space="preserve">La durée de la signalisation </w:t>
      </w:r>
      <w:r>
        <w:rPr>
          <w:lang w:val="fr-FR"/>
        </w:rPr>
        <w:t>visuelle</w:t>
      </w:r>
      <w:r w:rsidRPr="00B74AC6">
        <w:rPr>
          <w:lang w:val="fr-FR"/>
        </w:rPr>
        <w:t xml:space="preserve"> d</w:t>
      </w:r>
      <w:r>
        <w:rPr>
          <w:lang w:val="fr-FR"/>
        </w:rPr>
        <w:t>’</w:t>
      </w:r>
      <w:r w:rsidRPr="00B74AC6">
        <w:rPr>
          <w:lang w:val="fr-FR"/>
        </w:rPr>
        <w:t>un signal de réponse ne doit pas dépasser 3</w:t>
      </w:r>
      <w:r w:rsidR="00F679AD">
        <w:rPr>
          <w:lang w:val="fr-FR"/>
        </w:rPr>
        <w:t> </w:t>
      </w:r>
      <w:r w:rsidRPr="00B74AC6">
        <w:rPr>
          <w:lang w:val="fr-FR"/>
        </w:rPr>
        <w:t>secondes, à l</w:t>
      </w:r>
      <w:r>
        <w:rPr>
          <w:lang w:val="fr-FR"/>
        </w:rPr>
        <w:t>’</w:t>
      </w:r>
      <w:r w:rsidRPr="00B74AC6">
        <w:rPr>
          <w:lang w:val="fr-FR"/>
        </w:rPr>
        <w:t>instar des témoins extérieurs d</w:t>
      </w:r>
      <w:r>
        <w:rPr>
          <w:lang w:val="fr-FR"/>
        </w:rPr>
        <w:t>’</w:t>
      </w:r>
      <w:r w:rsidRPr="00B74AC6">
        <w:rPr>
          <w:lang w:val="fr-FR"/>
        </w:rPr>
        <w:t xml:space="preserve">état des dispositifs </w:t>
      </w:r>
      <w:proofErr w:type="spellStart"/>
      <w:r w:rsidRPr="00B74AC6">
        <w:rPr>
          <w:lang w:val="fr-FR"/>
        </w:rPr>
        <w:t>antidémarrage</w:t>
      </w:r>
      <w:proofErr w:type="spellEnd"/>
      <w:r w:rsidRPr="00B74AC6">
        <w:rPr>
          <w:lang w:val="fr-FR"/>
        </w:rPr>
        <w:t>.</w:t>
      </w:r>
    </w:p>
    <w:p w:rsidR="00326148" w:rsidRPr="00B74AC6" w:rsidRDefault="00326148" w:rsidP="00326148">
      <w:pPr>
        <w:pStyle w:val="SingleTxtG"/>
      </w:pPr>
      <w:r w:rsidRPr="00B74AC6">
        <w:rPr>
          <w:lang w:val="fr-FR"/>
        </w:rPr>
        <w:t>5.</w:t>
      </w:r>
      <w:r w:rsidRPr="00B74AC6">
        <w:rPr>
          <w:lang w:val="fr-FR"/>
        </w:rPr>
        <w:tab/>
        <w:t xml:space="preserve">Les feux qui peuvent être utilisés comme </w:t>
      </w:r>
      <w:r w:rsidRPr="00B74AC6">
        <w:rPr>
          <w:i/>
          <w:iCs/>
          <w:lang w:val="fr-FR"/>
        </w:rPr>
        <w:t>signaux de réponse</w:t>
      </w:r>
      <w:r w:rsidRPr="00B74AC6">
        <w:rPr>
          <w:lang w:val="fr-FR"/>
        </w:rPr>
        <w:t xml:space="preserve"> ont été sélectionnés sur la base des demandes des fabricants. Toutefois, certains feux</w:t>
      </w:r>
      <w:r>
        <w:rPr>
          <w:lang w:val="fr-FR"/>
        </w:rPr>
        <w:t>,</w:t>
      </w:r>
      <w:r w:rsidRPr="00B74AC6">
        <w:rPr>
          <w:lang w:val="fr-FR"/>
        </w:rPr>
        <w:t xml:space="preserve"> comme les feux de marche arrière</w:t>
      </w:r>
      <w:r>
        <w:rPr>
          <w:lang w:val="fr-FR"/>
        </w:rPr>
        <w:t>,</w:t>
      </w:r>
      <w:r w:rsidRPr="00B74AC6">
        <w:rPr>
          <w:lang w:val="fr-FR"/>
        </w:rPr>
        <w:t xml:space="preserve"> ne sont pas autorisés parce qu</w:t>
      </w:r>
      <w:r>
        <w:rPr>
          <w:lang w:val="fr-FR"/>
        </w:rPr>
        <w:t>’</w:t>
      </w:r>
      <w:r w:rsidRPr="00B74AC6">
        <w:rPr>
          <w:lang w:val="fr-FR"/>
        </w:rPr>
        <w:t>ils émettent une lumière vers le haut et que leur couleur blanche est censée indiquer aux autres usagers de la route que le véhicule se déplace dans la direction de l</w:t>
      </w:r>
      <w:r>
        <w:rPr>
          <w:lang w:val="fr-FR"/>
        </w:rPr>
        <w:t>’</w:t>
      </w:r>
      <w:r w:rsidRPr="00B74AC6">
        <w:rPr>
          <w:lang w:val="fr-FR"/>
        </w:rPr>
        <w:t xml:space="preserve">éclairage, ce qui peut </w:t>
      </w:r>
      <w:r>
        <w:rPr>
          <w:lang w:val="fr-FR"/>
        </w:rPr>
        <w:t xml:space="preserve">les </w:t>
      </w:r>
      <w:r w:rsidRPr="00B74AC6">
        <w:rPr>
          <w:lang w:val="fr-FR"/>
        </w:rPr>
        <w:t>induire en erreur.</w:t>
      </w:r>
    </w:p>
    <w:p w:rsidR="00326148" w:rsidRPr="00B74AC6" w:rsidRDefault="00326148" w:rsidP="00326148">
      <w:pPr>
        <w:pStyle w:val="SingleTxtG"/>
      </w:pPr>
      <w:r w:rsidRPr="00B74AC6">
        <w:rPr>
          <w:lang w:val="fr-FR"/>
        </w:rPr>
        <w:t>6.</w:t>
      </w:r>
      <w:r w:rsidRPr="00B74AC6">
        <w:rPr>
          <w:lang w:val="fr-FR"/>
        </w:rPr>
        <w:tab/>
      </w:r>
      <w:r>
        <w:rPr>
          <w:lang w:val="fr-FR"/>
        </w:rPr>
        <w:t xml:space="preserve">Si </w:t>
      </w:r>
      <w:r w:rsidRPr="00B74AC6">
        <w:rPr>
          <w:lang w:val="fr-FR"/>
        </w:rPr>
        <w:t>des dispositifs d</w:t>
      </w:r>
      <w:r>
        <w:rPr>
          <w:lang w:val="fr-FR"/>
        </w:rPr>
        <w:t>’</w:t>
      </w:r>
      <w:r w:rsidRPr="00B74AC6">
        <w:rPr>
          <w:lang w:val="fr-FR"/>
        </w:rPr>
        <w:t xml:space="preserve">éclairage ou de signalisation lumineuse autres que les </w:t>
      </w:r>
      <w:r w:rsidRPr="00B74AC6">
        <w:rPr>
          <w:i/>
          <w:iCs/>
          <w:lang w:val="fr-FR"/>
        </w:rPr>
        <w:t>signaux de réponse</w:t>
      </w:r>
      <w:r w:rsidRPr="00B74AC6">
        <w:rPr>
          <w:lang w:val="fr-FR"/>
        </w:rPr>
        <w:t xml:space="preserve"> </w:t>
      </w:r>
      <w:r>
        <w:rPr>
          <w:lang w:val="fr-FR"/>
        </w:rPr>
        <w:t xml:space="preserve">devraient </w:t>
      </w:r>
      <w:r w:rsidRPr="00B74AC6">
        <w:rPr>
          <w:lang w:val="fr-FR"/>
        </w:rPr>
        <w:t xml:space="preserve">être </w:t>
      </w:r>
      <w:r>
        <w:rPr>
          <w:lang w:val="fr-FR"/>
        </w:rPr>
        <w:t xml:space="preserve">raisonnablement </w:t>
      </w:r>
      <w:r w:rsidRPr="00B74AC6">
        <w:rPr>
          <w:lang w:val="fr-FR"/>
        </w:rPr>
        <w:t xml:space="preserve">autorisés à clignoter lorsque le véhicule est en </w:t>
      </w:r>
      <w:r w:rsidRPr="00B74AC6">
        <w:rPr>
          <w:lang w:val="fr-FR"/>
        </w:rPr>
        <w:lastRenderedPageBreak/>
        <w:t xml:space="preserve">stationnement, il conviendrait </w:t>
      </w:r>
      <w:r>
        <w:rPr>
          <w:lang w:val="fr-FR"/>
        </w:rPr>
        <w:t>d</w:t>
      </w:r>
      <w:r>
        <w:rPr>
          <w:lang w:val="fr-FR"/>
        </w:rPr>
        <w:t>’</w:t>
      </w:r>
      <w:r>
        <w:rPr>
          <w:lang w:val="fr-FR"/>
        </w:rPr>
        <w:t>en parler</w:t>
      </w:r>
      <w:r w:rsidRPr="00B74AC6">
        <w:rPr>
          <w:lang w:val="fr-FR"/>
        </w:rPr>
        <w:t xml:space="preserve"> dans le cadre de futures dis</w:t>
      </w:r>
      <w:r>
        <w:rPr>
          <w:lang w:val="fr-FR"/>
        </w:rPr>
        <w:t>c</w:t>
      </w:r>
      <w:r w:rsidRPr="00B74AC6">
        <w:rPr>
          <w:lang w:val="fr-FR"/>
        </w:rPr>
        <w:t xml:space="preserve">ussions internationales et </w:t>
      </w:r>
      <w:r>
        <w:rPr>
          <w:lang w:val="fr-FR"/>
        </w:rPr>
        <w:t>d</w:t>
      </w:r>
      <w:r>
        <w:rPr>
          <w:lang w:val="fr-FR"/>
        </w:rPr>
        <w:t>’</w:t>
      </w:r>
      <w:r w:rsidRPr="00B74AC6">
        <w:rPr>
          <w:lang w:val="fr-FR"/>
        </w:rPr>
        <w:t xml:space="preserve">ajouter </w:t>
      </w:r>
      <w:r>
        <w:rPr>
          <w:lang w:val="fr-FR"/>
        </w:rPr>
        <w:t xml:space="preserve">ces dispositifs </w:t>
      </w:r>
      <w:r w:rsidRPr="00B74AC6">
        <w:rPr>
          <w:lang w:val="fr-FR"/>
        </w:rPr>
        <w:t>au Règlement ONU n</w:t>
      </w:r>
      <w:r w:rsidRPr="00B74AC6">
        <w:rPr>
          <w:vertAlign w:val="superscript"/>
          <w:lang w:val="fr-FR"/>
        </w:rPr>
        <w:t>o </w:t>
      </w:r>
      <w:r w:rsidRPr="00B74AC6">
        <w:rPr>
          <w:lang w:val="fr-FR"/>
        </w:rPr>
        <w:t>48.</w:t>
      </w:r>
    </w:p>
    <w:p w:rsidR="00F9573C" w:rsidRPr="00326148" w:rsidRDefault="00326148" w:rsidP="00326148">
      <w:pPr>
        <w:pStyle w:val="SingleTxtG"/>
        <w:spacing w:before="240" w:after="0"/>
        <w:jc w:val="center"/>
        <w:rPr>
          <w:u w:val="single"/>
        </w:rPr>
      </w:pPr>
      <w:r>
        <w:rPr>
          <w:u w:val="single"/>
        </w:rPr>
        <w:tab/>
      </w:r>
      <w:r>
        <w:rPr>
          <w:u w:val="single"/>
        </w:rPr>
        <w:tab/>
      </w:r>
      <w:r>
        <w:rPr>
          <w:u w:val="single"/>
        </w:rPr>
        <w:tab/>
      </w:r>
      <w:r>
        <w:rPr>
          <w:u w:val="single"/>
        </w:rPr>
        <w:tab/>
      </w:r>
    </w:p>
    <w:sectPr w:rsidR="00F9573C" w:rsidRPr="00326148" w:rsidSect="00326148">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3B5" w:rsidRDefault="004D13B5" w:rsidP="00F95C08">
      <w:pPr>
        <w:spacing w:line="240" w:lineRule="auto"/>
      </w:pPr>
    </w:p>
  </w:endnote>
  <w:endnote w:type="continuationSeparator" w:id="0">
    <w:p w:rsidR="004D13B5" w:rsidRPr="00AC3823" w:rsidRDefault="004D13B5" w:rsidP="00AC3823">
      <w:pPr>
        <w:pStyle w:val="Pieddepage"/>
      </w:pPr>
    </w:p>
  </w:endnote>
  <w:endnote w:type="continuationNotice" w:id="1">
    <w:p w:rsidR="004D13B5" w:rsidRDefault="004D13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148" w:rsidRPr="00326148" w:rsidRDefault="00326148" w:rsidP="00326148">
    <w:pPr>
      <w:pStyle w:val="Pieddepage"/>
      <w:tabs>
        <w:tab w:val="right" w:pos="9638"/>
      </w:tabs>
    </w:pPr>
    <w:r w:rsidRPr="00326148">
      <w:rPr>
        <w:b/>
        <w:sz w:val="18"/>
      </w:rPr>
      <w:fldChar w:fldCharType="begin"/>
    </w:r>
    <w:r w:rsidRPr="00326148">
      <w:rPr>
        <w:b/>
        <w:sz w:val="18"/>
      </w:rPr>
      <w:instrText xml:space="preserve"> PAGE  \* MERGEFORMAT </w:instrText>
    </w:r>
    <w:r w:rsidRPr="00326148">
      <w:rPr>
        <w:b/>
        <w:sz w:val="18"/>
      </w:rPr>
      <w:fldChar w:fldCharType="separate"/>
    </w:r>
    <w:r w:rsidRPr="00326148">
      <w:rPr>
        <w:b/>
        <w:noProof/>
        <w:sz w:val="18"/>
      </w:rPr>
      <w:t>2</w:t>
    </w:r>
    <w:r w:rsidRPr="00326148">
      <w:rPr>
        <w:b/>
        <w:sz w:val="18"/>
      </w:rPr>
      <w:fldChar w:fldCharType="end"/>
    </w:r>
    <w:r>
      <w:rPr>
        <w:b/>
        <w:sz w:val="18"/>
      </w:rPr>
      <w:tab/>
    </w:r>
    <w:r>
      <w:t>GE.21-01585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148" w:rsidRPr="00326148" w:rsidRDefault="00326148" w:rsidP="00326148">
    <w:pPr>
      <w:pStyle w:val="Pieddepage"/>
      <w:tabs>
        <w:tab w:val="right" w:pos="9638"/>
      </w:tabs>
      <w:rPr>
        <w:b/>
        <w:sz w:val="18"/>
      </w:rPr>
    </w:pPr>
    <w:r>
      <w:t>GE.21-01585</w:t>
    </w:r>
    <w:r>
      <w:tab/>
    </w:r>
    <w:r w:rsidRPr="00326148">
      <w:rPr>
        <w:b/>
        <w:sz w:val="18"/>
      </w:rPr>
      <w:fldChar w:fldCharType="begin"/>
    </w:r>
    <w:r w:rsidRPr="00326148">
      <w:rPr>
        <w:b/>
        <w:sz w:val="18"/>
      </w:rPr>
      <w:instrText xml:space="preserve"> PAGE  \* MERGEFORMAT </w:instrText>
    </w:r>
    <w:r w:rsidRPr="00326148">
      <w:rPr>
        <w:b/>
        <w:sz w:val="18"/>
      </w:rPr>
      <w:fldChar w:fldCharType="separate"/>
    </w:r>
    <w:r w:rsidRPr="00326148">
      <w:rPr>
        <w:b/>
        <w:noProof/>
        <w:sz w:val="18"/>
      </w:rPr>
      <w:t>3</w:t>
    </w:r>
    <w:r w:rsidRPr="003261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26148" w:rsidRDefault="00326148" w:rsidP="0032614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21-01585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030321    030321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3B5" w:rsidRPr="00AC3823" w:rsidRDefault="004D13B5" w:rsidP="00AC3823">
      <w:pPr>
        <w:pStyle w:val="Pieddepage"/>
        <w:tabs>
          <w:tab w:val="right" w:pos="2155"/>
        </w:tabs>
        <w:spacing w:after="80" w:line="240" w:lineRule="atLeast"/>
        <w:ind w:left="680"/>
        <w:rPr>
          <w:u w:val="single"/>
        </w:rPr>
      </w:pPr>
      <w:r>
        <w:rPr>
          <w:u w:val="single"/>
        </w:rPr>
        <w:tab/>
      </w:r>
    </w:p>
  </w:footnote>
  <w:footnote w:type="continuationSeparator" w:id="0">
    <w:p w:rsidR="004D13B5" w:rsidRPr="00AC3823" w:rsidRDefault="004D13B5" w:rsidP="00AC3823">
      <w:pPr>
        <w:pStyle w:val="Pieddepage"/>
        <w:tabs>
          <w:tab w:val="right" w:pos="2155"/>
        </w:tabs>
        <w:spacing w:after="80" w:line="240" w:lineRule="atLeast"/>
        <w:ind w:left="680"/>
        <w:rPr>
          <w:u w:val="single"/>
        </w:rPr>
      </w:pPr>
      <w:r>
        <w:rPr>
          <w:u w:val="single"/>
        </w:rPr>
        <w:tab/>
      </w:r>
    </w:p>
  </w:footnote>
  <w:footnote w:type="continuationNotice" w:id="1">
    <w:p w:rsidR="004D13B5" w:rsidRPr="00AC3823" w:rsidRDefault="004D13B5">
      <w:pPr>
        <w:spacing w:line="240" w:lineRule="auto"/>
        <w:rPr>
          <w:sz w:val="2"/>
          <w:szCs w:val="2"/>
        </w:rPr>
      </w:pPr>
    </w:p>
  </w:footnote>
  <w:footnote w:id="2">
    <w:p w:rsidR="00326148" w:rsidRPr="00F13C84" w:rsidRDefault="00326148" w:rsidP="00326148">
      <w:pPr>
        <w:pStyle w:val="Notedebasdepage"/>
      </w:pPr>
      <w:r>
        <w:rPr>
          <w:lang w:val="fr-FR"/>
        </w:rPr>
        <w:tab/>
      </w:r>
      <w:r w:rsidRPr="00326148">
        <w:rPr>
          <w:sz w:val="20"/>
          <w:lang w:val="fr-FR"/>
        </w:rPr>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148" w:rsidRPr="00326148" w:rsidRDefault="00326148">
    <w:pPr>
      <w:pStyle w:val="En-tte"/>
    </w:pPr>
    <w:fldSimple w:instr=" TITLE  \* MERGEFORMAT ">
      <w:r>
        <w:t>ECE/TRANS/WP.29/GRE/2021/2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148" w:rsidRPr="00326148" w:rsidRDefault="00326148" w:rsidP="00326148">
    <w:pPr>
      <w:pStyle w:val="En-tte"/>
      <w:jc w:val="right"/>
    </w:pPr>
    <w:fldSimple w:instr=" TITLE  \* MERGEFORMAT ">
      <w:r>
        <w:t>ECE/TRANS/WP.29/GRE/2021/2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3"/>
  </w:num>
  <w:num w:numId="18">
    <w:abstractNumId w:val="10"/>
    <w:lvlOverride w:ilvl="0">
      <w:lvl w:ilvl="0" w:tplc="BEE8785E">
        <w:start w:val="1"/>
        <w:numFmt w:val="lowerLetter"/>
        <w:lvlText w:val="%1)"/>
        <w:lvlJc w:val="left"/>
        <w:pPr>
          <w:ind w:left="1636"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B5"/>
    <w:rsid w:val="00017F94"/>
    <w:rsid w:val="00023842"/>
    <w:rsid w:val="000334F9"/>
    <w:rsid w:val="00045FEB"/>
    <w:rsid w:val="0007796D"/>
    <w:rsid w:val="000B7790"/>
    <w:rsid w:val="00111F2F"/>
    <w:rsid w:val="0014365E"/>
    <w:rsid w:val="00143C66"/>
    <w:rsid w:val="00176178"/>
    <w:rsid w:val="00184DCD"/>
    <w:rsid w:val="001F525A"/>
    <w:rsid w:val="00201148"/>
    <w:rsid w:val="00223272"/>
    <w:rsid w:val="0024779E"/>
    <w:rsid w:val="00257168"/>
    <w:rsid w:val="002744B8"/>
    <w:rsid w:val="002832AC"/>
    <w:rsid w:val="002D7C93"/>
    <w:rsid w:val="00305801"/>
    <w:rsid w:val="00326148"/>
    <w:rsid w:val="003916DE"/>
    <w:rsid w:val="0040510D"/>
    <w:rsid w:val="00421996"/>
    <w:rsid w:val="00441C3B"/>
    <w:rsid w:val="00446FE5"/>
    <w:rsid w:val="00452396"/>
    <w:rsid w:val="00477EB2"/>
    <w:rsid w:val="004837D8"/>
    <w:rsid w:val="004A14F3"/>
    <w:rsid w:val="004D13B5"/>
    <w:rsid w:val="004E2EED"/>
    <w:rsid w:val="004E468C"/>
    <w:rsid w:val="005505B7"/>
    <w:rsid w:val="00573BE5"/>
    <w:rsid w:val="00586ED3"/>
    <w:rsid w:val="00596AA9"/>
    <w:rsid w:val="0071601D"/>
    <w:rsid w:val="007A62E6"/>
    <w:rsid w:val="007E684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679AD"/>
    <w:rsid w:val="00F94664"/>
    <w:rsid w:val="00F9573C"/>
    <w:rsid w:val="00F95C08"/>
    <w:rsid w:val="00FE1F3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CD5E6F"/>
  <w15:docId w15:val="{6789BBDB-93D0-4EC4-95E5-7E3C7183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eading 1*"/>
    <w:basedOn w:val="SingleTxtG"/>
    <w:next w:val="SingleTxtG"/>
    <w:link w:val="Titre1Car"/>
    <w:qFormat/>
    <w:rsid w:val="00E0299A"/>
    <w:pPr>
      <w:keepNext/>
      <w:keepLines/>
      <w:spacing w:after="0" w:line="240" w:lineRule="auto"/>
      <w:ind w:right="0"/>
      <w:jc w:val="left"/>
      <w:outlineLvl w:val="0"/>
    </w:pPr>
  </w:style>
  <w:style w:type="paragraph" w:styleId="Titre2">
    <w:name w:val="heading 2"/>
    <w:aliases w:val="H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uiPriority w:val="99"/>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eading 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326148"/>
    <w:rPr>
      <w:rFonts w:ascii="Times New Roman" w:eastAsiaTheme="minorHAnsi" w:hAnsi="Times New Roman" w:cs="Times New Roman"/>
      <w:sz w:val="20"/>
      <w:szCs w:val="20"/>
      <w:lang w:eastAsia="en-US"/>
    </w:rPr>
  </w:style>
  <w:style w:type="paragraph" w:customStyle="1" w:styleId="Default">
    <w:name w:val="Default"/>
    <w:rsid w:val="00326148"/>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character" w:customStyle="1" w:styleId="HChGChar">
    <w:name w:val="_ H _Ch_G Char"/>
    <w:link w:val="HChG"/>
    <w:rsid w:val="00326148"/>
    <w:rPr>
      <w:rFonts w:ascii="Times New Roman" w:eastAsiaTheme="minorHAnsi" w:hAnsi="Times New Roman" w:cs="Times New Roman"/>
      <w:b/>
      <w:sz w:val="28"/>
      <w:szCs w:val="20"/>
      <w:lang w:eastAsia="en-US"/>
    </w:rPr>
  </w:style>
  <w:style w:type="paragraph" w:styleId="Paragraphedeliste">
    <w:name w:val="List Paragraph"/>
    <w:basedOn w:val="Normal"/>
    <w:uiPriority w:val="34"/>
    <w:qFormat/>
    <w:rsid w:val="00326148"/>
    <w:pPr>
      <w:kinsoku/>
      <w:overflowPunct/>
      <w:autoSpaceDE/>
      <w:autoSpaceDN/>
      <w:adjustRightInd/>
      <w:snapToGrid/>
      <w:ind w:left="720"/>
      <w:contextualSpacing/>
    </w:pPr>
    <w:rPr>
      <w:rFonts w:eastAsia="MS Mincho"/>
      <w:lang w:val="en-GB"/>
    </w:rPr>
  </w:style>
  <w:style w:type="numbering" w:styleId="111111">
    <w:name w:val="Outline List 2"/>
    <w:basedOn w:val="Aucuneliste"/>
    <w:rsid w:val="00326148"/>
    <w:pPr>
      <w:numPr>
        <w:numId w:val="17"/>
      </w:numPr>
    </w:pPr>
  </w:style>
  <w:style w:type="paragraph" w:styleId="NormalWeb">
    <w:name w:val="Normal (Web)"/>
    <w:basedOn w:val="Normal"/>
    <w:rsid w:val="00326148"/>
    <w:pPr>
      <w:kinsoku/>
      <w:overflowPunct/>
      <w:autoSpaceDE/>
      <w:autoSpaceDN/>
      <w:adjustRightInd/>
      <w:snapToGrid/>
    </w:pPr>
    <w:rPr>
      <w:rFonts w:eastAsia="MS Mincho"/>
      <w:sz w:val="24"/>
      <w:szCs w:val="24"/>
      <w:lang w:val="it-IT"/>
    </w:rPr>
  </w:style>
  <w:style w:type="character" w:customStyle="1" w:styleId="H1GChar">
    <w:name w:val="_ H_1_G Char"/>
    <w:link w:val="H1G"/>
    <w:uiPriority w:val="99"/>
    <w:rsid w:val="00326148"/>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5</Pages>
  <Words>1533</Words>
  <Characters>8220</Characters>
  <Application>Microsoft Office Word</Application>
  <DocSecurity>0</DocSecurity>
  <Lines>328</Lines>
  <Paragraphs>232</Paragraphs>
  <ScaleCrop>false</ScaleCrop>
  <HeadingPairs>
    <vt:vector size="2" baseType="variant">
      <vt:variant>
        <vt:lpstr>Titre</vt:lpstr>
      </vt:variant>
      <vt:variant>
        <vt:i4>1</vt:i4>
      </vt:variant>
    </vt:vector>
  </HeadingPairs>
  <TitlesOfParts>
    <vt:vector size="1" baseType="lpstr">
      <vt:lpstr>ECE/TRANS/WP.29/GRE/2021/2</vt:lpstr>
    </vt:vector>
  </TitlesOfParts>
  <Company>DCM</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ECE/TRANS/WP.29/GRE/2021/2</dc:title>
  <dc:subject/>
  <dc:creator>Sandrine CLERE</dc:creator>
  <cp:keywords/>
  <cp:lastModifiedBy>Sandrine CLERE</cp:lastModifiedBy>
  <cp:revision>2</cp:revision>
  <cp:lastPrinted>2014-05-14T10:59:00Z</cp:lastPrinted>
  <dcterms:created xsi:type="dcterms:W3CDTF">2021-03-03T13:35:00Z</dcterms:created>
  <dcterms:modified xsi:type="dcterms:W3CDTF">2021-03-03T13:35:00Z</dcterms:modified>
</cp:coreProperties>
</file>