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C76BC" w14:paraId="331CEBF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F60998" w14:textId="77777777" w:rsidR="002D5AAC" w:rsidRDefault="002D5AAC" w:rsidP="008C76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DAF79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5940F0" w14:textId="77777777" w:rsidR="002D5AAC" w:rsidRPr="008C76BC" w:rsidRDefault="008C76BC" w:rsidP="008C76BC">
            <w:pPr>
              <w:jc w:val="right"/>
              <w:rPr>
                <w:lang w:val="en-US"/>
              </w:rPr>
            </w:pPr>
            <w:r w:rsidRPr="008C76BC">
              <w:rPr>
                <w:sz w:val="40"/>
                <w:lang w:val="en-US"/>
              </w:rPr>
              <w:t>ECE</w:t>
            </w:r>
            <w:r w:rsidRPr="008C76BC">
              <w:rPr>
                <w:lang w:val="en-US"/>
              </w:rPr>
              <w:t>/TRANS/WP.29/GRE/2020/9/Rev.1</w:t>
            </w:r>
          </w:p>
        </w:tc>
      </w:tr>
      <w:tr w:rsidR="002D5AAC" w:rsidRPr="008C76BC" w14:paraId="10060DC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942B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9700BE" wp14:editId="2E0441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4B56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41F485" w14:textId="77777777" w:rsidR="002D5AAC" w:rsidRDefault="008C76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4E5681" w14:textId="77777777" w:rsidR="008C76BC" w:rsidRDefault="008C76BC" w:rsidP="008C7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July 2020</w:t>
            </w:r>
          </w:p>
          <w:p w14:paraId="40595194" w14:textId="77777777" w:rsidR="008C76BC" w:rsidRDefault="008C76BC" w:rsidP="008C7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9B75E1" w14:textId="77777777" w:rsidR="008C76BC" w:rsidRPr="008D53B6" w:rsidRDefault="008C76BC" w:rsidP="008C7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4B91B7" w14:textId="77777777" w:rsidR="008C76B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21EE14" w14:textId="77777777" w:rsidR="008C76BC" w:rsidRPr="008C76BC" w:rsidRDefault="008C76BC" w:rsidP="008C76BC">
      <w:pPr>
        <w:spacing w:before="120"/>
        <w:rPr>
          <w:sz w:val="28"/>
          <w:szCs w:val="28"/>
        </w:rPr>
      </w:pPr>
      <w:r w:rsidRPr="008C76BC">
        <w:rPr>
          <w:sz w:val="28"/>
          <w:szCs w:val="28"/>
        </w:rPr>
        <w:t>Комитет по внутреннему транспорту</w:t>
      </w:r>
    </w:p>
    <w:p w14:paraId="51B72B83" w14:textId="77777777" w:rsidR="008C76BC" w:rsidRPr="008C76BC" w:rsidRDefault="008C76BC" w:rsidP="008C76BC">
      <w:pPr>
        <w:spacing w:before="120"/>
        <w:rPr>
          <w:b/>
          <w:sz w:val="24"/>
          <w:szCs w:val="24"/>
        </w:rPr>
      </w:pPr>
      <w:r w:rsidRPr="008C76B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C76BC">
        <w:rPr>
          <w:b/>
          <w:bCs/>
          <w:sz w:val="24"/>
          <w:szCs w:val="24"/>
        </w:rPr>
        <w:t>в области транспортных средств</w:t>
      </w:r>
    </w:p>
    <w:p w14:paraId="7B0D2DE8" w14:textId="77777777" w:rsidR="008C76BC" w:rsidRPr="007B6E88" w:rsidRDefault="008C76BC" w:rsidP="008C76BC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43A71E02" w14:textId="77777777" w:rsidR="008C76BC" w:rsidRPr="007B6E88" w:rsidRDefault="008C76BC" w:rsidP="008C76BC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14:paraId="7D370EF6" w14:textId="77777777" w:rsidR="008C76BC" w:rsidRPr="007B6E88" w:rsidRDefault="008C76BC" w:rsidP="008C76BC">
      <w:pPr>
        <w:ind w:right="1134"/>
      </w:pPr>
      <w:r>
        <w:t>Женева, 19−23 октября 2020 года</w:t>
      </w:r>
    </w:p>
    <w:p w14:paraId="4445E436" w14:textId="77777777" w:rsidR="008C76BC" w:rsidRPr="007B6E88" w:rsidRDefault="008C76BC" w:rsidP="008C76BC">
      <w:pPr>
        <w:ind w:right="1134"/>
        <w:rPr>
          <w:bCs/>
        </w:rPr>
      </w:pPr>
      <w:r>
        <w:t>Пункт 4 b) предварительной повестки дня</w:t>
      </w:r>
    </w:p>
    <w:p w14:paraId="4850B45F" w14:textId="77777777" w:rsidR="008C76BC" w:rsidRPr="007B6E88" w:rsidRDefault="008C76BC" w:rsidP="008C76BC">
      <w:pPr>
        <w:ind w:right="1467"/>
        <w:rPr>
          <w:b/>
          <w:bCs/>
        </w:rPr>
      </w:pPr>
      <w:r>
        <w:rPr>
          <w:b/>
          <w:bCs/>
        </w:rPr>
        <w:t>Упрощение правил ООН, касающихся освещения</w:t>
      </w:r>
      <w:r>
        <w:rPr>
          <w:b/>
          <w:bCs/>
        </w:rPr>
        <w:br/>
      </w:r>
      <w:r>
        <w:rPr>
          <w:b/>
          <w:bCs/>
        </w:rPr>
        <w:t>и световой сигнализации:</w:t>
      </w:r>
      <w:r w:rsidRPr="008C76BC">
        <w:rPr>
          <w:b/>
          <w:bCs/>
        </w:rPr>
        <w:t xml:space="preserve"> </w:t>
      </w:r>
      <w:r>
        <w:rPr>
          <w:b/>
          <w:bCs/>
        </w:rPr>
        <w:t xml:space="preserve">Правила № 148 ООН </w:t>
      </w:r>
      <w:r>
        <w:rPr>
          <w:b/>
          <w:bCs/>
        </w:rPr>
        <w:br/>
      </w:r>
      <w:r>
        <w:rPr>
          <w:b/>
          <w:bCs/>
        </w:rPr>
        <w:t>(устройства световой сигнализации)</w:t>
      </w:r>
    </w:p>
    <w:p w14:paraId="5B2488A9" w14:textId="77777777" w:rsidR="008C76BC" w:rsidRPr="007B6E88" w:rsidRDefault="008C76BC" w:rsidP="008C76BC">
      <w:pPr>
        <w:pStyle w:val="HChG"/>
      </w:pPr>
      <w:r>
        <w:tab/>
      </w:r>
      <w:r>
        <w:tab/>
      </w:r>
      <w:r>
        <w:rPr>
          <w:bCs/>
        </w:rPr>
        <w:t>Пересмотренное предложение об исправлении и</w:t>
      </w:r>
      <w:r>
        <w:rPr>
          <w:bCs/>
          <w:lang w:val="en-US"/>
        </w:rPr>
        <w:t> </w:t>
      </w:r>
      <w:r>
        <w:rPr>
          <w:bCs/>
        </w:rPr>
        <w:t>уточнении текста Правил № 148 ООН</w:t>
      </w:r>
      <w:r>
        <w:t xml:space="preserve"> </w:t>
      </w:r>
    </w:p>
    <w:p w14:paraId="239BA7AB" w14:textId="77777777" w:rsidR="008C76BC" w:rsidRPr="007B6E88" w:rsidRDefault="008C76BC" w:rsidP="008C76B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6B7C0A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257C10A8" w14:textId="77777777" w:rsidR="008C76BC" w:rsidRDefault="008C76BC" w:rsidP="008C76BC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</w:t>
      </w:r>
      <w:r>
        <w:rPr>
          <w:lang w:val="en-US"/>
        </w:rPr>
        <w:t> </w:t>
      </w:r>
      <w:r>
        <w:t>по УПОС), с целью включения недостающих положений и исправления непреднамеренных ошибок, допущенных в тексте Правил № 148 ООН. Изменения к существующему тексту Правил № 148 ООН выделены жирным шрифтом в случае новых положений или зачеркиванием в случае исключенных элементов.</w:t>
      </w:r>
    </w:p>
    <w:p w14:paraId="2397C617" w14:textId="77777777" w:rsidR="008C76BC" w:rsidRDefault="008C76B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09717A8" w14:textId="77777777" w:rsidR="008C76BC" w:rsidRPr="007B6E88" w:rsidRDefault="008C76BC" w:rsidP="008C76BC">
      <w:pPr>
        <w:pStyle w:val="HChG"/>
        <w:spacing w:before="240"/>
      </w:pPr>
      <w:r>
        <w:lastRenderedPageBreak/>
        <w:tab/>
      </w:r>
      <w:r>
        <w:t>I.</w:t>
      </w:r>
      <w:r>
        <w:tab/>
      </w:r>
      <w:r>
        <w:rPr>
          <w:bCs/>
        </w:rPr>
        <w:t>Предложение</w:t>
      </w:r>
    </w:p>
    <w:p w14:paraId="0F733D75" w14:textId="77777777" w:rsidR="008C76BC" w:rsidRPr="001059AC" w:rsidRDefault="008C76BC" w:rsidP="008C76BC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1059AC">
        <w:rPr>
          <w:b w:val="0"/>
          <w:bCs/>
          <w:i/>
          <w:iCs/>
          <w:sz w:val="20"/>
        </w:rPr>
        <w:t>Пункт 4.6.1</w:t>
      </w:r>
      <w:r w:rsidRPr="001059AC">
        <w:rPr>
          <w:b w:val="0"/>
          <w:bCs/>
          <w:sz w:val="20"/>
        </w:rPr>
        <w:t xml:space="preserve"> изменить следующим образом:</w:t>
      </w:r>
    </w:p>
    <w:p w14:paraId="53097889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687B16">
        <w:rPr>
          <w:color w:val="000000" w:themeColor="text1"/>
        </w:rPr>
        <w:t>«4.6.1</w:t>
      </w:r>
      <w:r>
        <w:tab/>
        <w:t>Несрабатывание одиночного огня, имеющего более одного источника света</w:t>
      </w:r>
      <w:bookmarkStart w:id="0" w:name="_GoBack"/>
      <w:bookmarkEnd w:id="0"/>
    </w:p>
    <w:p w14:paraId="2D62011A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4.6.1.1</w:t>
      </w:r>
      <w:r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14:paraId="23D11A6A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4.6.1.2</w:t>
      </w:r>
      <w:r>
        <w:tab/>
        <w:t>В случае сбоя в работе любого из источников света в одиночном огне, содержащем более одного источника света, применяют по крайней мере одно из следующих положений:</w:t>
      </w:r>
    </w:p>
    <w:p w14:paraId="27EF116D" w14:textId="77777777" w:rsidR="008C76BC" w:rsidRPr="007B6E88" w:rsidRDefault="008C76BC" w:rsidP="008C76BC">
      <w:pPr>
        <w:spacing w:after="120"/>
        <w:ind w:left="2694" w:right="1134" w:hanging="426"/>
        <w:jc w:val="both"/>
        <w:rPr>
          <w:rFonts w:asciiTheme="majorBidi" w:hAnsiTheme="majorBidi" w:cstheme="majorBidi"/>
        </w:rPr>
      </w:pPr>
      <w:r>
        <w:t>a)</w:t>
      </w:r>
      <w:r>
        <w:tab/>
        <w:t>сила света соответствует минимальной силе света, предписанной в соответствующей таблице стандартного распределения света в пространстве, содержащейся в приложении 3; когда все источники света включены, величина максимальной силы света не должна превышаться; или</w:t>
      </w:r>
    </w:p>
    <w:p w14:paraId="197C4FED" w14:textId="77777777" w:rsidR="008C76BC" w:rsidRPr="007B6E88" w:rsidRDefault="008C76BC" w:rsidP="008C76BC">
      <w:pPr>
        <w:spacing w:after="120"/>
        <w:ind w:left="2694" w:right="1134" w:hanging="426"/>
        <w:jc w:val="both"/>
        <w:rPr>
          <w:rFonts w:asciiTheme="majorBidi" w:hAnsiTheme="majorBidi" w:cstheme="majorBidi"/>
        </w:rPr>
      </w:pPr>
      <w:r>
        <w:t>b)</w:t>
      </w:r>
      <w:r>
        <w:tab/>
        <w:t>подается сигнал, предназначенный для включения контрольного сигнала сбоя, как это указано в пунктах 6.4.8, 6.7.8, 6.9.8, 6.10.8, 6.11.8, 6.12.8, 6.13.8 и 6.18.8 Правил № 48 ООН, при условии что сила света на исходной оси составляет не менее 50</w:t>
      </w:r>
      <w:r w:rsidR="00C9059F">
        <w:t> </w:t>
      </w:r>
      <w:r>
        <w:t>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сбоя.</w:t>
      </w:r>
    </w:p>
    <w:p w14:paraId="5112FBF5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t>4.6.1.3</w:t>
      </w:r>
      <w:r>
        <w:tab/>
        <w:t xml:space="preserve">Требования пункта 4.6.1.2 не применяются к дневным ходовым огням, которые должны отвечать требованиям пункта 5.4.4. </w:t>
      </w:r>
    </w:p>
    <w:p w14:paraId="6058BD12" w14:textId="77777777" w:rsidR="008C76BC" w:rsidRPr="007B6E88" w:rsidRDefault="008C76BC" w:rsidP="008C76BC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rPr>
          <w:b/>
          <w:bCs/>
        </w:rPr>
        <w:t>Однако требования пункта 4.6.1.1 по-прежнему применимы.</w:t>
      </w:r>
    </w:p>
    <w:p w14:paraId="475A37ED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t xml:space="preserve">4.6.1.4 </w:t>
      </w:r>
      <w:r>
        <w:tab/>
        <w:t xml:space="preserve">Требования пункта 4.6.1.2 не применяются к огням указателей поворота. </w:t>
      </w:r>
      <w:r>
        <w:rPr>
          <w:b/>
          <w:bCs/>
        </w:rPr>
        <w:t>Огни указателей поворота</w:t>
      </w:r>
      <w:r>
        <w:t xml:space="preserve"> категорий 1, 1a, 1b, 2a</w:t>
      </w:r>
      <w:r>
        <w:rPr>
          <w:strike/>
        </w:rPr>
        <w:t>,</w:t>
      </w:r>
      <w:r>
        <w:t xml:space="preserve"> и 2b</w:t>
      </w:r>
      <w:r w:rsidRPr="00C9059F">
        <w:rPr>
          <w:strike/>
        </w:rPr>
        <w:t xml:space="preserve">, </w:t>
      </w:r>
      <w:r>
        <w:rPr>
          <w:strike/>
        </w:rPr>
        <w:t>11, 11a, 11b, 11c и 12,</w:t>
      </w:r>
      <w:r>
        <w:t xml:space="preserve"> должны отвечать требованиям пункта 5.6.3.</w:t>
      </w:r>
    </w:p>
    <w:p w14:paraId="6B205783" w14:textId="77777777" w:rsidR="008C76BC" w:rsidRPr="007B6E88" w:rsidRDefault="008C76BC" w:rsidP="008C76BC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rPr>
          <w:b/>
          <w:bCs/>
        </w:rPr>
        <w:t>Однако требования пункта 4.6.1.1 по-прежнему применимы.</w:t>
      </w:r>
    </w:p>
    <w:p w14:paraId="52CA2351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t xml:space="preserve">4.6.1.5 </w:t>
      </w:r>
      <w:r>
        <w:tab/>
        <w:t xml:space="preserve">Требования пункта 4.6.1.2 не применяются к фонарям освещения регистрационного знака. </w:t>
      </w:r>
    </w:p>
    <w:p w14:paraId="2FB9B577" w14:textId="77777777" w:rsidR="008C76BC" w:rsidRPr="007B6E88" w:rsidRDefault="008C76BC" w:rsidP="008C76BC">
      <w:pPr>
        <w:spacing w:after="120"/>
        <w:ind w:left="2268" w:right="1134"/>
        <w:jc w:val="both"/>
        <w:rPr>
          <w:rFonts w:asciiTheme="majorBidi" w:hAnsiTheme="majorBidi" w:cstheme="majorBidi"/>
        </w:rPr>
      </w:pPr>
      <w:r>
        <w:rPr>
          <w:b/>
          <w:bCs/>
        </w:rPr>
        <w:t>Однако требования пункта 4.6.1.1 по-прежнему применимы.</w:t>
      </w:r>
    </w:p>
    <w:p w14:paraId="0273644F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>
        <w:t>4.6.1.6</w:t>
      </w:r>
      <w:r>
        <w:tab/>
        <w:t xml:space="preserve">Требования пункта 4.6.1.2 b) не применяются к сигналам торможениям и габаритным огням транспортных средств категории L. </w:t>
      </w:r>
    </w:p>
    <w:p w14:paraId="1FDBE884" w14:textId="77777777" w:rsidR="008C76BC" w:rsidRPr="007B6E88" w:rsidRDefault="008C76BC" w:rsidP="008C76BC">
      <w:pPr>
        <w:spacing w:after="120"/>
        <w:ind w:left="2268" w:right="1134"/>
        <w:jc w:val="both"/>
      </w:pPr>
      <w:r>
        <w:rPr>
          <w:b/>
          <w:bCs/>
        </w:rPr>
        <w:t>Однако требования пункта 4.6.1.1 и пункта 4.6.1.2 а) по-прежнему применимы</w:t>
      </w:r>
      <w:r w:rsidRPr="008C76BC">
        <w:t>».</w:t>
      </w:r>
    </w:p>
    <w:p w14:paraId="5273E42D" w14:textId="77777777" w:rsidR="008C76BC" w:rsidRPr="001059AC" w:rsidRDefault="008C76BC" w:rsidP="008C76BC">
      <w:pPr>
        <w:pStyle w:val="HChG"/>
        <w:spacing w:before="0" w:after="120" w:line="240" w:lineRule="atLeast"/>
        <w:ind w:left="2268"/>
        <w:rPr>
          <w:rFonts w:eastAsia="MS Mincho"/>
          <w:b w:val="0"/>
          <w:bCs/>
          <w:i/>
          <w:sz w:val="20"/>
        </w:rPr>
      </w:pPr>
      <w:r w:rsidRPr="001059AC">
        <w:rPr>
          <w:b w:val="0"/>
          <w:bCs/>
          <w:i/>
          <w:iCs/>
          <w:sz w:val="20"/>
        </w:rPr>
        <w:t>Приложение 3, пункт 1.2</w:t>
      </w:r>
      <w:r w:rsidRPr="001059AC">
        <w:rPr>
          <w:b w:val="0"/>
          <w:bCs/>
          <w:sz w:val="20"/>
        </w:rPr>
        <w:t xml:space="preserve"> изменить следующим образом:</w:t>
      </w:r>
    </w:p>
    <w:p w14:paraId="4305631F" w14:textId="77777777" w:rsidR="008C76BC" w:rsidRPr="007B6E88" w:rsidRDefault="008C76BC" w:rsidP="008C76BC">
      <w:pPr>
        <w:spacing w:after="120"/>
        <w:ind w:left="2268" w:right="1134" w:hanging="1134"/>
        <w:jc w:val="both"/>
      </w:pPr>
      <w:r>
        <w:t>«1.2</w:t>
      </w:r>
      <w:r>
        <w:tab/>
        <w:t>В пределах поля распределения света, схематично представленного решеткой, структура светового потока должна быть в основном однородной, т.</w:t>
      </w:r>
      <w:r w:rsidR="004D6F47">
        <w:t> </w:t>
      </w:r>
      <w:r>
        <w:t>е. сила света в каждом направлении части поля, образуемой линиями решетки, должна соответствовать по крайней мере наиболее низкому минимальному значению, указанному в процентах на линиях решетки, окружающих данное направление.</w:t>
      </w:r>
    </w:p>
    <w:p w14:paraId="40B86EC2" w14:textId="77777777" w:rsidR="008C76BC" w:rsidRPr="007B6E88" w:rsidRDefault="008C76BC" w:rsidP="008C76BC">
      <w:pPr>
        <w:spacing w:after="120"/>
        <w:ind w:left="2268" w:right="1134" w:hanging="1134"/>
        <w:jc w:val="both"/>
        <w:rPr>
          <w:i/>
        </w:rPr>
      </w:pPr>
      <w:r>
        <w:tab/>
      </w:r>
      <w:r>
        <w:rPr>
          <w:b/>
          <w:bCs/>
        </w:rPr>
        <w:t>Однако, в случае задних фар, если при визуальном осмотре создается впечатление, что огонь дает в разных местах значительные колебания силы света, проводится проверка для обеспечения того, чтобы ни одна величина силы света, измеренная между двумя из указанных выше направлений измерения, не была ниже 50</w:t>
      </w:r>
      <w:r w:rsidR="004D6F47">
        <w:rPr>
          <w:b/>
          <w:bCs/>
        </w:rPr>
        <w:t> </w:t>
      </w:r>
      <w:r>
        <w:rPr>
          <w:b/>
          <w:bCs/>
        </w:rPr>
        <w:t xml:space="preserve">% </w:t>
      </w:r>
      <w:r>
        <w:rPr>
          <w:b/>
          <w:bCs/>
        </w:rPr>
        <w:lastRenderedPageBreak/>
        <w:t>наименьшей минимальной силы света из двух предписанных для этих направлений измерений</w:t>
      </w:r>
      <w:r w:rsidRPr="008C76BC">
        <w:t>».</w:t>
      </w:r>
      <w:bookmarkStart w:id="1" w:name="_Hlk26350300"/>
      <w:bookmarkEnd w:id="1"/>
    </w:p>
    <w:p w14:paraId="7E7DE1CA" w14:textId="77777777" w:rsidR="008C76BC" w:rsidRPr="007B6E88" w:rsidRDefault="008C76BC" w:rsidP="008C76BC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3E4BF001" w14:textId="77777777" w:rsidR="008C76BC" w:rsidRPr="007B6E88" w:rsidRDefault="008C76BC" w:rsidP="008C76BC">
      <w:pPr>
        <w:spacing w:after="120"/>
        <w:ind w:left="1134" w:right="1134"/>
        <w:jc w:val="both"/>
        <w:rPr>
          <w:bCs/>
        </w:rPr>
      </w:pPr>
      <w:r>
        <w:t>1.</w:t>
      </w:r>
      <w:r>
        <w:tab/>
        <w:t xml:space="preserve">Добавленный текст </w:t>
      </w:r>
      <w:r>
        <w:t>«</w:t>
      </w:r>
      <w:r>
        <w:t>Однако ...</w:t>
      </w:r>
      <w:r>
        <w:t>»</w:t>
      </w:r>
      <w:r>
        <w:t xml:space="preserve"> в пунктах 4.6.1.3–4.6.1.6 не изменяет содержания/требований правил. Он предназначен исключительно для уточнения требований в отношении положений о сбое в 4 исключениях, изложенных в пунктах</w:t>
      </w:r>
      <w:r w:rsidR="004D6F47">
        <w:t> </w:t>
      </w:r>
      <w:r>
        <w:t>4.6.1.3–4.6.1.6.</w:t>
      </w:r>
    </w:p>
    <w:p w14:paraId="02432651" w14:textId="77777777" w:rsidR="008C76BC" w:rsidRPr="007B6E88" w:rsidRDefault="008C76BC" w:rsidP="008C76BC">
      <w:pPr>
        <w:spacing w:after="120"/>
        <w:ind w:left="1134" w:right="1134"/>
        <w:jc w:val="both"/>
        <w:rPr>
          <w:bCs/>
        </w:rPr>
      </w:pPr>
      <w:r>
        <w:t>2.</w:t>
      </w:r>
      <w:r>
        <w:tab/>
        <w:t>Несмотря на то, что в этих случаях требования пункта 4.6.1.2 (частично) исключены, требования пункта 4.6.1.1 по-прежнему применимы, и было сочтено, что такое уточнение было бы полезным.</w:t>
      </w:r>
    </w:p>
    <w:p w14:paraId="65219DA2" w14:textId="77777777" w:rsidR="008C76BC" w:rsidRPr="007B6E88" w:rsidRDefault="008C76BC" w:rsidP="008C76BC">
      <w:pPr>
        <w:spacing w:after="120"/>
        <w:ind w:left="1134" w:right="1134"/>
        <w:jc w:val="both"/>
        <w:rPr>
          <w:bCs/>
        </w:rPr>
      </w:pPr>
      <w:r>
        <w:t>3.</w:t>
      </w:r>
      <w:r>
        <w:tab/>
        <w:t>В дополнение к уточнениям, содержащимся в пунктах 4.6.1.3–4.6.1.6, пункт</w:t>
      </w:r>
      <w:r>
        <w:rPr>
          <w:lang w:val="en-US"/>
        </w:rPr>
        <w:t> </w:t>
      </w:r>
      <w:r>
        <w:t>4.6.1.4 также обновляется, с тем чтобы правильно отразить существующий текст правил ООН, касающихся световой сигнализации. С принятием дополнения 17 к первоначальным сериям поправок к Правилам № 50 ООН отпала необходимость в том, чтобы огни указателей поворота категорий 11 и 12 отвечали требованиям в отношении сбоя, изложенным в пункте 7.5.1 Правил № 50 ООН.</w:t>
      </w:r>
    </w:p>
    <w:p w14:paraId="55A93023" w14:textId="77777777" w:rsidR="008C76BC" w:rsidRDefault="008C76BC" w:rsidP="008C76BC">
      <w:pPr>
        <w:spacing w:after="120"/>
        <w:ind w:left="1134" w:right="1134"/>
        <w:jc w:val="both"/>
      </w:pPr>
      <w:r>
        <w:t>4.</w:t>
      </w:r>
      <w:r>
        <w:tab/>
        <w:t>В обновленном тексте пункта 1.2 приложения 3 восстановлено дополнительное требование в отношении огней заднего хода, которое отсутствует в первоначальном тексте Правил № 148 ООН. Текст этого дополнительного пункта взят из пункта</w:t>
      </w:r>
      <w:r>
        <w:rPr>
          <w:lang w:val="en-US"/>
        </w:rPr>
        <w:t> </w:t>
      </w:r>
      <w:r>
        <w:t>2.2 приложения 3 к Правилам № 23 ООН.</w:t>
      </w:r>
    </w:p>
    <w:p w14:paraId="56A888DA" w14:textId="77777777" w:rsidR="00E12C5F" w:rsidRPr="008D53B6" w:rsidRDefault="008C76BC" w:rsidP="008C76BC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C7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6024" w14:textId="77777777" w:rsidR="00A05238" w:rsidRPr="00A312BC" w:rsidRDefault="00A05238" w:rsidP="00A312BC"/>
  </w:endnote>
  <w:endnote w:type="continuationSeparator" w:id="0">
    <w:p w14:paraId="67563CB1" w14:textId="77777777" w:rsidR="00A05238" w:rsidRPr="00A312BC" w:rsidRDefault="00A052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1A08" w14:textId="77777777" w:rsidR="008C76BC" w:rsidRPr="008C76BC" w:rsidRDefault="008C76BC">
    <w:pPr>
      <w:pStyle w:val="a8"/>
    </w:pPr>
    <w:r w:rsidRPr="008C76BC">
      <w:rPr>
        <w:b/>
        <w:sz w:val="18"/>
      </w:rPr>
      <w:fldChar w:fldCharType="begin"/>
    </w:r>
    <w:r w:rsidRPr="008C76BC">
      <w:rPr>
        <w:b/>
        <w:sz w:val="18"/>
      </w:rPr>
      <w:instrText xml:space="preserve"> PAGE  \* MERGEFORMAT </w:instrText>
    </w:r>
    <w:r w:rsidRPr="008C76BC">
      <w:rPr>
        <w:b/>
        <w:sz w:val="18"/>
      </w:rPr>
      <w:fldChar w:fldCharType="separate"/>
    </w:r>
    <w:r w:rsidRPr="008C76BC">
      <w:rPr>
        <w:b/>
        <w:noProof/>
        <w:sz w:val="18"/>
      </w:rPr>
      <w:t>2</w:t>
    </w:r>
    <w:r w:rsidRPr="008C76BC">
      <w:rPr>
        <w:b/>
        <w:sz w:val="18"/>
      </w:rPr>
      <w:fldChar w:fldCharType="end"/>
    </w:r>
    <w:r>
      <w:rPr>
        <w:b/>
        <w:sz w:val="18"/>
      </w:rPr>
      <w:tab/>
    </w:r>
    <w:r>
      <w:t>GE.20-10293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4482" w14:textId="77777777" w:rsidR="008C76BC" w:rsidRPr="008C76BC" w:rsidRDefault="008C76BC" w:rsidP="008C76BC">
    <w:pPr>
      <w:pStyle w:val="a8"/>
      <w:tabs>
        <w:tab w:val="clear" w:pos="9639"/>
        <w:tab w:val="right" w:pos="9638"/>
      </w:tabs>
      <w:rPr>
        <w:b/>
        <w:sz w:val="18"/>
      </w:rPr>
    </w:pPr>
    <w:r>
      <w:t>GE.20-10293</w:t>
    </w:r>
    <w:r>
      <w:tab/>
    </w:r>
    <w:r w:rsidRPr="008C76BC">
      <w:rPr>
        <w:b/>
        <w:sz w:val="18"/>
      </w:rPr>
      <w:fldChar w:fldCharType="begin"/>
    </w:r>
    <w:r w:rsidRPr="008C76BC">
      <w:rPr>
        <w:b/>
        <w:sz w:val="18"/>
      </w:rPr>
      <w:instrText xml:space="preserve"> PAGE  \* MERGEFORMAT </w:instrText>
    </w:r>
    <w:r w:rsidRPr="008C76BC">
      <w:rPr>
        <w:b/>
        <w:sz w:val="18"/>
      </w:rPr>
      <w:fldChar w:fldCharType="separate"/>
    </w:r>
    <w:r w:rsidRPr="008C76BC">
      <w:rPr>
        <w:b/>
        <w:noProof/>
        <w:sz w:val="18"/>
      </w:rPr>
      <w:t>3</w:t>
    </w:r>
    <w:r w:rsidRPr="008C76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6190" w14:textId="77777777" w:rsidR="00042B72" w:rsidRPr="008C76BC" w:rsidRDefault="008C76BC" w:rsidP="008C76B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D93BE3" wp14:editId="74DB4F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20-10293  (R)</w:t>
    </w:r>
    <w:r>
      <w:rPr>
        <w:lang w:val="en-US"/>
      </w:rPr>
      <w:t xml:space="preserve">  040820  120820</w:t>
    </w:r>
    <w:r>
      <w:br/>
    </w:r>
    <w:r w:rsidRPr="008C76BC">
      <w:rPr>
        <w:rFonts w:ascii="C39T30Lfz" w:hAnsi="C39T30Lfz"/>
        <w:kern w:val="14"/>
        <w:sz w:val="56"/>
      </w:rPr>
      <w:t></w:t>
    </w:r>
    <w:r w:rsidRPr="008C76BC">
      <w:rPr>
        <w:rFonts w:ascii="C39T30Lfz" w:hAnsi="C39T30Lfz"/>
        <w:kern w:val="14"/>
        <w:sz w:val="56"/>
      </w:rPr>
      <w:t></w:t>
    </w:r>
    <w:r w:rsidRPr="008C76BC">
      <w:rPr>
        <w:rFonts w:ascii="C39T30Lfz" w:hAnsi="C39T30Lfz"/>
        <w:kern w:val="14"/>
        <w:sz w:val="56"/>
      </w:rPr>
      <w:t></w:t>
    </w:r>
    <w:r w:rsidRPr="008C76BC">
      <w:rPr>
        <w:rFonts w:ascii="C39T30Lfz" w:hAnsi="C39T30Lfz"/>
        <w:kern w:val="14"/>
        <w:sz w:val="56"/>
      </w:rPr>
      <w:t></w:t>
    </w:r>
    <w:r w:rsidRPr="008C76BC">
      <w:rPr>
        <w:rFonts w:ascii="C39T30Lfz" w:hAnsi="C39T30Lfz"/>
        <w:kern w:val="14"/>
        <w:sz w:val="56"/>
      </w:rPr>
      <w:t></w:t>
    </w:r>
    <w:r w:rsidRPr="008C76BC">
      <w:rPr>
        <w:rFonts w:ascii="C39T30Lfz" w:hAnsi="C39T30Lfz"/>
        <w:kern w:val="14"/>
        <w:sz w:val="56"/>
      </w:rPr>
      <w:t></w:t>
    </w:r>
    <w:r w:rsidRPr="008C76BC">
      <w:rPr>
        <w:rFonts w:ascii="C39T30Lfz" w:hAnsi="C39T30Lfz"/>
        <w:kern w:val="14"/>
        <w:sz w:val="56"/>
      </w:rPr>
      <w:t></w:t>
    </w:r>
    <w:r w:rsidRPr="008C76BC">
      <w:rPr>
        <w:rFonts w:ascii="C39T30Lfz" w:hAnsi="C39T30Lfz"/>
        <w:kern w:val="14"/>
        <w:sz w:val="56"/>
      </w:rPr>
      <w:t></w:t>
    </w:r>
    <w:r w:rsidRPr="008C76B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1F6B8A" wp14:editId="046D58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100D" w14:textId="77777777" w:rsidR="00A05238" w:rsidRPr="001075E9" w:rsidRDefault="00A052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EF21B0" w14:textId="77777777" w:rsidR="00A05238" w:rsidRDefault="00A052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FAA84F" w14:textId="77777777" w:rsidR="008C76BC" w:rsidRPr="004876E3" w:rsidRDefault="008C76BC" w:rsidP="008C76BC">
      <w:pPr>
        <w:pStyle w:val="ad"/>
      </w:pPr>
      <w:r>
        <w:tab/>
      </w:r>
      <w:r w:rsidRPr="008C76B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D69D" w14:textId="29A0AAFD" w:rsidR="008C76BC" w:rsidRPr="008C76BC" w:rsidRDefault="008C76B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B0FE3">
      <w:t>ECE/TRANS/WP.29/GRE/2020/9/Rev.1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C676" w14:textId="2470F3BF" w:rsidR="008C76BC" w:rsidRPr="008C76BC" w:rsidRDefault="008C76BC" w:rsidP="008C76B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0FE3">
      <w:t>ECE/TRANS/WP.29/GRE/2020/9/Rev.1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583E" w14:textId="77777777" w:rsidR="008C76BC" w:rsidRDefault="008C76BC" w:rsidP="008C76B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3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ADF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6F4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732F"/>
    <w:rsid w:val="00617A43"/>
    <w:rsid w:val="006345DB"/>
    <w:rsid w:val="00640F49"/>
    <w:rsid w:val="00680D03"/>
    <w:rsid w:val="00681A10"/>
    <w:rsid w:val="00687B16"/>
    <w:rsid w:val="006A1ED8"/>
    <w:rsid w:val="006B7C0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6BC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5238"/>
    <w:rsid w:val="00A14DA8"/>
    <w:rsid w:val="00A312BC"/>
    <w:rsid w:val="00A84021"/>
    <w:rsid w:val="00A84D35"/>
    <w:rsid w:val="00A917B3"/>
    <w:rsid w:val="00AB4B51"/>
    <w:rsid w:val="00AE42A9"/>
    <w:rsid w:val="00B10CC7"/>
    <w:rsid w:val="00B36DF7"/>
    <w:rsid w:val="00B539E7"/>
    <w:rsid w:val="00B62458"/>
    <w:rsid w:val="00BB0FE3"/>
    <w:rsid w:val="00BC18B2"/>
    <w:rsid w:val="00BD33EE"/>
    <w:rsid w:val="00BE1CC7"/>
    <w:rsid w:val="00C106D6"/>
    <w:rsid w:val="00C119AE"/>
    <w:rsid w:val="00C60F0C"/>
    <w:rsid w:val="00C71E84"/>
    <w:rsid w:val="00C805C9"/>
    <w:rsid w:val="00C9059F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1ABE0"/>
  <w15:docId w15:val="{ACF06CC6-A8A7-4F28-A56B-C4E647C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C76BC"/>
    <w:rPr>
      <w:lang w:val="ru-RU" w:eastAsia="en-US"/>
    </w:rPr>
  </w:style>
  <w:style w:type="character" w:customStyle="1" w:styleId="HChGChar">
    <w:name w:val="_ H _Ch_G Char"/>
    <w:link w:val="HChG"/>
    <w:rsid w:val="008C76B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C76B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707</Words>
  <Characters>4568</Characters>
  <Application>Microsoft Office Word</Application>
  <DocSecurity>0</DocSecurity>
  <Lines>103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ECE/TRANS/WP.29/GRE/2020/9/Rev.1</vt:lpstr>
      <vt:lpstr>A/</vt:lpstr>
      <vt:lpstr>A/</vt:lpstr>
    </vt:vector>
  </TitlesOfParts>
  <Company>DCM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ECE/TRANS/WP.29/GRE/2020/9/Rev.1</dc:title>
  <dc:subject/>
  <dc:creator>Olga OVTCHINNIKOVA</dc:creator>
  <cp:keywords/>
  <cp:lastModifiedBy>Olga Ovchinnikova</cp:lastModifiedBy>
  <cp:revision>3</cp:revision>
  <cp:lastPrinted>2020-08-12T11:31:00Z</cp:lastPrinted>
  <dcterms:created xsi:type="dcterms:W3CDTF">2020-08-12T11:31:00Z</dcterms:created>
  <dcterms:modified xsi:type="dcterms:W3CDTF">2020-08-12T11:32:00Z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