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569EBAC1" w:rsidR="003F1AB4" w:rsidRPr="002C1939" w:rsidRDefault="003F1AB4" w:rsidP="003F1AB4">
            <w:pPr>
              <w:jc w:val="right"/>
            </w:pPr>
            <w:r w:rsidRPr="002C1939">
              <w:rPr>
                <w:sz w:val="40"/>
              </w:rPr>
              <w:t>ECE</w:t>
            </w:r>
            <w:r w:rsidRPr="002C1939">
              <w:t>/TRANS/WP.29/GRE/2020/9</w:t>
            </w:r>
            <w:r w:rsidR="002844A7" w:rsidRPr="002C1939">
              <w:t>/Rev.1</w:t>
            </w:r>
          </w:p>
        </w:tc>
      </w:tr>
      <w:tr w:rsidR="003F1AB4" w:rsidRPr="00525E6C"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2C1939" w:rsidRDefault="003F1AB4" w:rsidP="003F1AB4">
            <w:pPr>
              <w:spacing w:before="240" w:line="240" w:lineRule="exact"/>
            </w:pPr>
            <w:r w:rsidRPr="002C1939">
              <w:t>Distr.: General</w:t>
            </w:r>
          </w:p>
          <w:p w14:paraId="581CB256" w14:textId="04FE21F8" w:rsidR="003F1AB4" w:rsidRPr="002C1939" w:rsidRDefault="002C1939" w:rsidP="003F1AB4">
            <w:pPr>
              <w:spacing w:line="240" w:lineRule="exact"/>
            </w:pPr>
            <w:r w:rsidRPr="002C1939">
              <w:rPr>
                <w:lang w:val="en-US"/>
              </w:rPr>
              <w:t xml:space="preserve">30 July </w:t>
            </w:r>
            <w:r w:rsidR="003F1AB4" w:rsidRPr="002C1939">
              <w:rPr>
                <w:lang w:val="en-US"/>
              </w:rPr>
              <w:t>2020</w:t>
            </w:r>
          </w:p>
          <w:p w14:paraId="5FF26AE7" w14:textId="77777777" w:rsidR="003F1AB4" w:rsidRPr="002C1939" w:rsidRDefault="003F1AB4" w:rsidP="003F1AB4">
            <w:pPr>
              <w:spacing w:line="240" w:lineRule="exact"/>
            </w:pPr>
          </w:p>
          <w:p w14:paraId="71FBFBB4" w14:textId="77777777" w:rsidR="003F1AB4" w:rsidRPr="002C1939" w:rsidRDefault="003F1AB4" w:rsidP="003F1AB4">
            <w:pPr>
              <w:spacing w:line="240" w:lineRule="exact"/>
            </w:pPr>
            <w:r w:rsidRPr="002C1939">
              <w:t>Original: English</w:t>
            </w:r>
          </w:p>
        </w:tc>
      </w:tr>
    </w:tbl>
    <w:p w14:paraId="32D3E06F" w14:textId="0621038D" w:rsidR="00732AD2" w:rsidRPr="00525E6C" w:rsidRDefault="003F1AB4" w:rsidP="00732AD2">
      <w:pPr>
        <w:spacing w:before="120"/>
        <w:rPr>
          <w:b/>
          <w:sz w:val="28"/>
          <w:szCs w:val="28"/>
        </w:rPr>
      </w:pPr>
      <w:r w:rsidRPr="00525E6C">
        <w:rPr>
          <w:b/>
          <w:sz w:val="28"/>
          <w:szCs w:val="28"/>
        </w:rPr>
        <w:t xml:space="preserve"> </w:t>
      </w:r>
      <w:r w:rsidR="00732AD2"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076447AA" w14:textId="604D9410" w:rsidR="00EB70BF" w:rsidRPr="003502CB" w:rsidRDefault="00EB70BF" w:rsidP="00EB70BF">
      <w:pPr>
        <w:ind w:right="1134"/>
        <w:rPr>
          <w:b/>
        </w:rPr>
      </w:pPr>
      <w:r w:rsidRPr="003502CB">
        <w:rPr>
          <w:b/>
        </w:rPr>
        <w:t>Eighty-</w:t>
      </w:r>
      <w:r w:rsidR="006D181F" w:rsidRPr="003502CB">
        <w:rPr>
          <w:b/>
        </w:rPr>
        <w:t>third</w:t>
      </w:r>
      <w:r w:rsidRPr="003502CB">
        <w:rPr>
          <w:b/>
        </w:rPr>
        <w:t xml:space="preserve"> session</w:t>
      </w:r>
    </w:p>
    <w:p w14:paraId="2D1DEC65" w14:textId="6DCCD4FA" w:rsidR="00EB70BF" w:rsidRPr="003502CB" w:rsidRDefault="00EB70BF" w:rsidP="00EB70BF">
      <w:pPr>
        <w:ind w:right="1134"/>
      </w:pPr>
      <w:r w:rsidRPr="003502CB">
        <w:t xml:space="preserve">Geneva, </w:t>
      </w:r>
      <w:r w:rsidR="002844A7" w:rsidRPr="003502CB">
        <w:t>19</w:t>
      </w:r>
      <w:r w:rsidR="00023558">
        <w:t>–</w:t>
      </w:r>
      <w:r w:rsidR="002844A7" w:rsidRPr="003502CB">
        <w:t>23 October</w:t>
      </w:r>
      <w:r w:rsidR="006D181F" w:rsidRPr="003502CB">
        <w:t xml:space="preserve"> </w:t>
      </w:r>
      <w:r w:rsidRPr="003502CB">
        <w:t>20</w:t>
      </w:r>
      <w:r w:rsidR="006D181F" w:rsidRPr="003502CB">
        <w:t>20</w:t>
      </w:r>
    </w:p>
    <w:p w14:paraId="5B492E7A" w14:textId="036A5468" w:rsidR="00732AD2" w:rsidRPr="00525E6C" w:rsidRDefault="00732AD2" w:rsidP="00E04EC7">
      <w:pPr>
        <w:ind w:right="1134"/>
        <w:rPr>
          <w:bCs/>
        </w:rPr>
      </w:pPr>
      <w:r w:rsidRPr="002C1939">
        <w:rPr>
          <w:bCs/>
        </w:rPr>
        <w:t xml:space="preserve">Item </w:t>
      </w:r>
      <w:r w:rsidR="002C1939" w:rsidRPr="002C1939">
        <w:rPr>
          <w:bCs/>
        </w:rPr>
        <w:t>4 (b) o</w:t>
      </w:r>
      <w:r w:rsidRPr="002C1939">
        <w:rPr>
          <w:bCs/>
        </w:rPr>
        <w:t>f the provisional agenda</w:t>
      </w:r>
    </w:p>
    <w:p w14:paraId="0B5CC20D" w14:textId="77777777" w:rsidR="003F1AB4" w:rsidRDefault="00DA725B" w:rsidP="00DA725B">
      <w:pPr>
        <w:ind w:right="1467"/>
        <w:jc w:val="both"/>
        <w:rPr>
          <w:b/>
          <w:bCs/>
        </w:rPr>
      </w:pPr>
      <w:r w:rsidRPr="00DA725B">
        <w:rPr>
          <w:b/>
          <w:bCs/>
        </w:rPr>
        <w:t xml:space="preserve">Simplification of lighting and light-signalling </w:t>
      </w:r>
      <w:r w:rsidR="007E2B5F">
        <w:rPr>
          <w:b/>
          <w:bCs/>
        </w:rPr>
        <w:t xml:space="preserve">UN </w:t>
      </w:r>
      <w:r w:rsidRPr="00DA725B">
        <w:rPr>
          <w:b/>
          <w:bCs/>
        </w:rPr>
        <w:t>Regulations</w:t>
      </w:r>
      <w:r w:rsidR="003F1AB4">
        <w:rPr>
          <w:b/>
          <w:bCs/>
        </w:rPr>
        <w:t>:</w:t>
      </w:r>
    </w:p>
    <w:p w14:paraId="2188E5B9" w14:textId="3150F5E6" w:rsidR="00DA725B" w:rsidRPr="00C740F6" w:rsidRDefault="003F1AB4" w:rsidP="00DA725B">
      <w:pPr>
        <w:ind w:right="1467"/>
        <w:jc w:val="both"/>
        <w:rPr>
          <w:b/>
          <w:bCs/>
        </w:rPr>
      </w:pPr>
      <w:r w:rsidRPr="003F1AB4">
        <w:rPr>
          <w:b/>
          <w:bCs/>
        </w:rPr>
        <w:t xml:space="preserve">UN Regulation No. 148 </w:t>
      </w:r>
      <w:r w:rsidR="004D0C9D" w:rsidRPr="004D0C9D">
        <w:rPr>
          <w:b/>
          <w:bCs/>
        </w:rPr>
        <w:t>(Light-signalling devices</w:t>
      </w:r>
      <w:r w:rsidRPr="003F1AB4">
        <w:rPr>
          <w:b/>
          <w:bCs/>
        </w:rPr>
        <w:t>)</w:t>
      </w:r>
      <w:r w:rsidR="00DA725B">
        <w:rPr>
          <w:b/>
          <w:bCs/>
        </w:rPr>
        <w:t xml:space="preserve"> </w:t>
      </w:r>
    </w:p>
    <w:p w14:paraId="1BE1B729" w14:textId="7C148310" w:rsidR="00732AD2" w:rsidRPr="00525E6C" w:rsidRDefault="00732AD2" w:rsidP="003F1AB4">
      <w:pPr>
        <w:pStyle w:val="HChG"/>
      </w:pPr>
      <w:r w:rsidRPr="00525E6C">
        <w:tab/>
      </w:r>
      <w:r w:rsidRPr="00525E6C">
        <w:tab/>
      </w:r>
      <w:r w:rsidR="003502CB">
        <w:t xml:space="preserve">Revised </w:t>
      </w:r>
      <w:r w:rsidR="0057254A">
        <w:t>p</w:t>
      </w:r>
      <w:r w:rsidR="00E317C2" w:rsidRPr="008357CC">
        <w:t xml:space="preserve">roposal </w:t>
      </w:r>
      <w:r w:rsidR="00E317C2">
        <w:t xml:space="preserve">to correct </w:t>
      </w:r>
      <w:r w:rsidR="00F47C7A">
        <w:t xml:space="preserve">and clarify </w:t>
      </w:r>
      <w:r w:rsidR="00E317C2" w:rsidRPr="008357CC">
        <w:t xml:space="preserve">the </w:t>
      </w:r>
      <w:r w:rsidR="00E317C2">
        <w:t xml:space="preserve">text </w:t>
      </w:r>
      <w:r w:rsidR="00E317C2" w:rsidRPr="008357CC">
        <w:t xml:space="preserve">of </w:t>
      </w:r>
      <w:r w:rsidR="00E317C2">
        <w:t xml:space="preserve">UN </w:t>
      </w:r>
      <w:r w:rsidR="00E317C2" w:rsidRPr="008357CC">
        <w:t xml:space="preserve">Regulation </w:t>
      </w:r>
      <w:r w:rsidR="00E317C2">
        <w:t>No. 14</w:t>
      </w:r>
      <w:r w:rsidR="006D181F">
        <w:t>8</w:t>
      </w:r>
      <w:r w:rsidR="00E317C2">
        <w:t xml:space="preserve"> </w:t>
      </w:r>
    </w:p>
    <w:p w14:paraId="51369146" w14:textId="5E130A3A" w:rsidR="00E317C2" w:rsidRPr="00525E6C" w:rsidRDefault="00E317C2" w:rsidP="00E317C2">
      <w:pPr>
        <w:pStyle w:val="H1G"/>
        <w:rPr>
          <w:szCs w:val="24"/>
        </w:rPr>
      </w:pPr>
      <w:r>
        <w:tab/>
      </w:r>
      <w:r>
        <w:tab/>
      </w:r>
      <w:r w:rsidRPr="00233C38">
        <w:t>Submitted by the Informal Working Group on Simplification of Lighting and Light-Signalling Regulations</w:t>
      </w:r>
      <w:r w:rsidRPr="00DE7053">
        <w:footnoteReference w:customMarkFollows="1" w:id="2"/>
        <w:t>*</w:t>
      </w:r>
      <w:r w:rsidRPr="00525E6C">
        <w:rPr>
          <w:szCs w:val="24"/>
        </w:rPr>
        <w:t xml:space="preserve"> </w:t>
      </w:r>
    </w:p>
    <w:p w14:paraId="6CF57D06" w14:textId="2953CB0E" w:rsidR="0053129E" w:rsidRPr="003F1AB4" w:rsidRDefault="00E317C2" w:rsidP="00E317C2">
      <w:pPr>
        <w:pStyle w:val="SingleTxtG"/>
        <w:tabs>
          <w:tab w:val="left" w:pos="8505"/>
        </w:tabs>
        <w:ind w:firstLine="567"/>
        <w:rPr>
          <w:bCs/>
        </w:rPr>
      </w:pPr>
      <w:r w:rsidRPr="00856C69">
        <w:t xml:space="preserve">The text reproduced below was prepared by </w:t>
      </w:r>
      <w:r w:rsidR="003F1AB4">
        <w:t xml:space="preserve">the </w:t>
      </w:r>
      <w:r w:rsidR="003F1AB4" w:rsidRPr="003F1AB4">
        <w:t xml:space="preserve">Informal Working Group on Simplification of Lighting and Light-Signalling Regulations </w:t>
      </w:r>
      <w:r w:rsidR="003F1AB4">
        <w:t>(</w:t>
      </w:r>
      <w:r>
        <w:t>IWG SLR</w:t>
      </w:r>
      <w:r w:rsidR="003F1AB4">
        <w:t>)</w:t>
      </w:r>
      <w:r>
        <w:t xml:space="preserve"> </w:t>
      </w:r>
      <w:r w:rsidRPr="008357CC">
        <w:rPr>
          <w:lang w:val="en-US"/>
        </w:rPr>
        <w:t xml:space="preserve">with the aim to </w:t>
      </w:r>
      <w:r w:rsidR="00330095">
        <w:rPr>
          <w:lang w:val="en-US"/>
        </w:rPr>
        <w:t xml:space="preserve">insert missing text </w:t>
      </w:r>
      <w:r w:rsidR="00914903">
        <w:rPr>
          <w:lang w:val="en-US"/>
        </w:rPr>
        <w:t>and</w:t>
      </w:r>
      <w:r w:rsidR="00330095">
        <w:rPr>
          <w:lang w:val="en-US"/>
        </w:rPr>
        <w:t xml:space="preserve"> to </w:t>
      </w:r>
      <w:r>
        <w:rPr>
          <w:lang w:val="en-US"/>
        </w:rPr>
        <w:t>correct error</w:t>
      </w:r>
      <w:r w:rsidR="00B96472">
        <w:rPr>
          <w:lang w:val="en-US"/>
        </w:rPr>
        <w:t>s</w:t>
      </w:r>
      <w:r>
        <w:rPr>
          <w:lang w:val="en-US"/>
        </w:rPr>
        <w:t xml:space="preserve"> </w:t>
      </w:r>
      <w:r w:rsidR="00880BAB" w:rsidRPr="00880BAB">
        <w:t>inadvertently</w:t>
      </w:r>
      <w:r>
        <w:rPr>
          <w:lang w:val="en-US"/>
        </w:rPr>
        <w:t xml:space="preserve"> introduced in</w:t>
      </w:r>
      <w:r w:rsidRPr="008357CC">
        <w:rPr>
          <w:lang w:val="en-US"/>
        </w:rPr>
        <w:t xml:space="preserve"> </w:t>
      </w:r>
      <w:r w:rsidR="007660E7" w:rsidRPr="008357CC">
        <w:rPr>
          <w:lang w:val="en-US"/>
        </w:rPr>
        <w:t xml:space="preserve">the new </w:t>
      </w:r>
      <w:r>
        <w:rPr>
          <w:lang w:val="en-US"/>
        </w:rPr>
        <w:t xml:space="preserve">UN </w:t>
      </w:r>
      <w:r w:rsidRPr="008357CC">
        <w:rPr>
          <w:lang w:val="en-US"/>
        </w:rPr>
        <w:t>Regulation</w:t>
      </w:r>
      <w:r>
        <w:rPr>
          <w:lang w:val="en-US"/>
        </w:rPr>
        <w:t xml:space="preserve"> No. 14</w:t>
      </w:r>
      <w:r w:rsidR="006D181F">
        <w:rPr>
          <w:lang w:val="en-US"/>
        </w:rPr>
        <w:t>8.</w:t>
      </w:r>
      <w:r w:rsidRPr="008357CC">
        <w:rPr>
          <w:lang w:val="en-US"/>
        </w:rPr>
        <w:t xml:space="preserve"> The modifications to the </w:t>
      </w:r>
      <w:r w:rsidR="00330095">
        <w:rPr>
          <w:lang w:val="en-US"/>
        </w:rPr>
        <w:t xml:space="preserve">existing </w:t>
      </w:r>
      <w:r w:rsidR="006D181F" w:rsidRPr="008357CC">
        <w:rPr>
          <w:lang w:val="en-US"/>
        </w:rPr>
        <w:t xml:space="preserve">text </w:t>
      </w:r>
      <w:r w:rsidR="0048251E">
        <w:rPr>
          <w:lang w:val="en-US"/>
        </w:rPr>
        <w:t xml:space="preserve">of UN </w:t>
      </w:r>
      <w:r w:rsidR="0048251E" w:rsidRPr="008357CC">
        <w:rPr>
          <w:lang w:val="en-US"/>
        </w:rPr>
        <w:t>Regulation</w:t>
      </w:r>
      <w:r w:rsidR="0048251E">
        <w:rPr>
          <w:lang w:val="en-US"/>
        </w:rPr>
        <w:t xml:space="preserve"> No. 148</w:t>
      </w:r>
      <w:r w:rsidR="006D181F" w:rsidRPr="007D7912">
        <w:rPr>
          <w:lang w:val="en-US"/>
        </w:rPr>
        <w:t xml:space="preserve"> </w:t>
      </w:r>
      <w:r w:rsidRPr="008357CC">
        <w:rPr>
          <w:lang w:val="en-US"/>
        </w:rPr>
        <w:t xml:space="preserve">are marked in </w:t>
      </w:r>
      <w:r w:rsidRPr="003F1AB4">
        <w:rPr>
          <w:bCs/>
          <w:lang w:val="en-US"/>
        </w:rPr>
        <w:t>bold for new or strikethrough for deleted characters</w:t>
      </w:r>
      <w:r w:rsidR="00DA725B" w:rsidRPr="003F1AB4">
        <w:rPr>
          <w:bCs/>
        </w:rPr>
        <w:t>.</w:t>
      </w:r>
    </w:p>
    <w:p w14:paraId="20CA5035" w14:textId="77777777" w:rsidR="0053129E" w:rsidRPr="00525E6C" w:rsidRDefault="0053129E" w:rsidP="0053129E">
      <w:pPr>
        <w:rPr>
          <w:lang w:val="en-US"/>
        </w:rPr>
        <w:sectPr w:rsidR="0053129E" w:rsidRPr="00525E6C" w:rsidSect="003F1AB4">
          <w:footerReference w:type="even" r:id="rId9"/>
          <w:footerReference w:type="default" r:id="rId10"/>
          <w:footerReference w:type="first" r:id="rId11"/>
          <w:pgSz w:w="11906" w:h="16838" w:code="9"/>
          <w:pgMar w:top="1418" w:right="1134" w:bottom="1134" w:left="1134" w:header="851" w:footer="567" w:gutter="0"/>
          <w:cols w:space="720"/>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6B805561" w14:textId="28F48BF3" w:rsidR="006D181F" w:rsidRDefault="006D181F" w:rsidP="003F1AB4">
      <w:pPr>
        <w:pStyle w:val="HChG"/>
        <w:spacing w:before="0" w:after="120" w:line="240" w:lineRule="atLeast"/>
        <w:ind w:left="2268"/>
        <w:rPr>
          <w:b w:val="0"/>
          <w:sz w:val="20"/>
          <w:lang w:val="en-US"/>
        </w:rPr>
      </w:pPr>
      <w:r>
        <w:rPr>
          <w:rFonts w:eastAsia="MS Mincho"/>
          <w:b w:val="0"/>
          <w:i/>
          <w:sz w:val="20"/>
        </w:rPr>
        <w:t>Par</w:t>
      </w:r>
      <w:r w:rsidR="003F1AB4">
        <w:rPr>
          <w:rFonts w:eastAsia="MS Mincho"/>
          <w:b w:val="0"/>
          <w:i/>
          <w:sz w:val="20"/>
        </w:rPr>
        <w:t>agraph</w:t>
      </w:r>
      <w:r>
        <w:rPr>
          <w:rFonts w:eastAsia="MS Mincho"/>
          <w:b w:val="0"/>
          <w:i/>
          <w:sz w:val="20"/>
        </w:rPr>
        <w:t xml:space="preserve"> 4.6.1.</w:t>
      </w:r>
      <w:r w:rsidRPr="00AC3D06">
        <w:rPr>
          <w:rFonts w:eastAsia="MS Mincho"/>
          <w:b w:val="0"/>
          <w:i/>
          <w:sz w:val="20"/>
        </w:rPr>
        <w:t>,</w:t>
      </w:r>
      <w:r>
        <w:rPr>
          <w:rFonts w:eastAsia="MS Mincho"/>
          <w:b w:val="0"/>
          <w:i/>
          <w:sz w:val="20"/>
        </w:rPr>
        <w:t xml:space="preserve"> </w:t>
      </w:r>
      <w:r w:rsidRPr="00C91320">
        <w:rPr>
          <w:b w:val="0"/>
          <w:sz w:val="20"/>
          <w:lang w:val="en-US"/>
        </w:rPr>
        <w:t>amend to read:</w:t>
      </w:r>
    </w:p>
    <w:p w14:paraId="5A4B23E0" w14:textId="63B09A5B" w:rsidR="00027645" w:rsidRPr="006A4459" w:rsidRDefault="00027645" w:rsidP="00027645">
      <w:pPr>
        <w:spacing w:after="120"/>
        <w:ind w:left="2268" w:right="1134" w:hanging="1134"/>
        <w:jc w:val="both"/>
        <w:rPr>
          <w:rFonts w:asciiTheme="majorBidi" w:hAnsiTheme="majorBidi" w:cstheme="majorBidi"/>
        </w:rPr>
      </w:pPr>
      <w:r>
        <w:rPr>
          <w:rFonts w:asciiTheme="majorBidi" w:hAnsiTheme="majorBidi" w:cstheme="majorBidi"/>
        </w:rPr>
        <w:t>“</w:t>
      </w:r>
      <w:r w:rsidRPr="006A4459">
        <w:rPr>
          <w:rFonts w:asciiTheme="majorBidi" w:hAnsiTheme="majorBidi" w:cstheme="majorBidi"/>
        </w:rPr>
        <w:t xml:space="preserve">4.6.1. </w:t>
      </w:r>
      <w:r>
        <w:rPr>
          <w:rFonts w:asciiTheme="majorBidi" w:hAnsiTheme="majorBidi" w:cstheme="majorBidi"/>
        </w:rPr>
        <w:tab/>
      </w:r>
      <w:r w:rsidRPr="006A4459">
        <w:rPr>
          <w:rFonts w:asciiTheme="majorBidi" w:hAnsiTheme="majorBidi" w:cstheme="majorBidi"/>
        </w:rPr>
        <w:t>Failure of a single lamp containing more than one light source</w:t>
      </w:r>
    </w:p>
    <w:p w14:paraId="0FAC4150" w14:textId="77777777" w:rsidR="00027645" w:rsidRPr="006A4459" w:rsidRDefault="00027645" w:rsidP="00027645">
      <w:pPr>
        <w:spacing w:after="120"/>
        <w:ind w:left="2268" w:right="1134" w:hanging="1134"/>
        <w:jc w:val="both"/>
        <w:rPr>
          <w:rFonts w:asciiTheme="majorBidi" w:hAnsiTheme="majorBidi" w:cstheme="majorBidi"/>
        </w:rPr>
      </w:pPr>
      <w:r w:rsidRPr="006A4459">
        <w:rPr>
          <w:rFonts w:asciiTheme="majorBidi" w:hAnsiTheme="majorBidi" w:cstheme="majorBidi"/>
        </w:rPr>
        <w:t xml:space="preserve">4.6.1.1. </w:t>
      </w:r>
      <w:r>
        <w:rPr>
          <w:rFonts w:asciiTheme="majorBidi" w:hAnsiTheme="majorBidi" w:cstheme="majorBidi"/>
        </w:rPr>
        <w:tab/>
      </w:r>
      <w:r w:rsidRPr="006A4459">
        <w:rPr>
          <w:rFonts w:asciiTheme="majorBidi" w:hAnsiTheme="majorBidi" w:cstheme="majorBidi"/>
        </w:rPr>
        <w:t>In a single lamp containing more than one light source, a group of light sources, wired so that the failure of any one of them causes all of them to stop emitting light, shall be considered to be one light source.</w:t>
      </w:r>
    </w:p>
    <w:p w14:paraId="5E5253FB" w14:textId="77777777" w:rsidR="00027645" w:rsidRPr="006A4459" w:rsidRDefault="00027645" w:rsidP="00027645">
      <w:pPr>
        <w:spacing w:after="120"/>
        <w:ind w:left="2268" w:right="1134" w:hanging="1134"/>
        <w:jc w:val="both"/>
        <w:rPr>
          <w:rFonts w:asciiTheme="majorBidi" w:hAnsiTheme="majorBidi" w:cstheme="majorBidi"/>
        </w:rPr>
      </w:pPr>
      <w:r w:rsidRPr="006A4459">
        <w:rPr>
          <w:rFonts w:asciiTheme="majorBidi" w:hAnsiTheme="majorBidi" w:cstheme="majorBidi"/>
        </w:rPr>
        <w:t xml:space="preserve">4.6.1.2. </w:t>
      </w:r>
      <w:r>
        <w:rPr>
          <w:rFonts w:asciiTheme="majorBidi" w:hAnsiTheme="majorBidi" w:cstheme="majorBidi"/>
        </w:rPr>
        <w:tab/>
      </w:r>
      <w:r w:rsidRPr="006A4459">
        <w:rPr>
          <w:rFonts w:asciiTheme="majorBidi" w:hAnsiTheme="majorBidi" w:cstheme="majorBidi"/>
        </w:rPr>
        <w:t>In case of failure of any one light source in a single lamp containing more than one light source, at least one of the following provisions shall apply:</w:t>
      </w:r>
    </w:p>
    <w:p w14:paraId="176CADAF" w14:textId="77777777" w:rsidR="00027645" w:rsidRPr="006A4459" w:rsidRDefault="00027645" w:rsidP="00027645">
      <w:pPr>
        <w:spacing w:after="120"/>
        <w:ind w:left="2694" w:right="1134" w:hanging="426"/>
        <w:jc w:val="both"/>
        <w:rPr>
          <w:rFonts w:asciiTheme="majorBidi" w:hAnsiTheme="majorBidi" w:cstheme="majorBidi"/>
        </w:rPr>
      </w:pPr>
      <w:r w:rsidRPr="006A4459">
        <w:rPr>
          <w:rFonts w:asciiTheme="majorBidi" w:hAnsiTheme="majorBidi" w:cstheme="majorBidi"/>
        </w:rPr>
        <w:t xml:space="preserve">(a) </w:t>
      </w:r>
      <w:r>
        <w:rPr>
          <w:rFonts w:asciiTheme="majorBidi" w:hAnsiTheme="majorBidi" w:cstheme="majorBidi"/>
        </w:rPr>
        <w:tab/>
      </w:r>
      <w:r w:rsidRPr="006A4459">
        <w:rPr>
          <w:rFonts w:asciiTheme="majorBidi" w:hAnsiTheme="majorBidi" w:cstheme="majorBidi"/>
        </w:rPr>
        <w:t>The light intensity complies with the minimum intensity required in the pertinent table of standard light distribution in space as shown in Annex 3 and when all light sources are illuminated the maximum intensities shall not be exceeded; or</w:t>
      </w:r>
    </w:p>
    <w:p w14:paraId="3F4FE2D3" w14:textId="77777777" w:rsidR="00027645" w:rsidRPr="006A4459" w:rsidRDefault="00027645" w:rsidP="00027645">
      <w:pPr>
        <w:spacing w:after="120"/>
        <w:ind w:left="2694" w:right="1134" w:hanging="426"/>
        <w:jc w:val="both"/>
        <w:rPr>
          <w:rFonts w:asciiTheme="majorBidi" w:hAnsiTheme="majorBidi" w:cstheme="majorBidi"/>
        </w:rPr>
      </w:pPr>
      <w:r w:rsidRPr="006A4459">
        <w:rPr>
          <w:rFonts w:asciiTheme="majorBidi" w:hAnsiTheme="majorBidi" w:cstheme="majorBidi"/>
        </w:rPr>
        <w:t xml:space="preserve">(b) </w:t>
      </w:r>
      <w:r>
        <w:rPr>
          <w:rFonts w:asciiTheme="majorBidi" w:hAnsiTheme="majorBidi" w:cstheme="majorBidi"/>
        </w:rPr>
        <w:tab/>
      </w:r>
      <w:r w:rsidRPr="006A4459">
        <w:rPr>
          <w:rFonts w:asciiTheme="majorBidi" w:hAnsiTheme="majorBidi" w:cstheme="majorBidi"/>
        </w:rPr>
        <w:t>A signal for activation of a tell-tale indicating failure, as indicated in paragraphs 6.4.8., 6.7.8., 6.9.8, 6.10.8., 6.11.8., 6.12.8., 6.13.8. and 6.18.8. of UN Regulation No. 48, is produced, provided that the luminous intensity in the axis of reference is at least 50 per cent of the minimum intensity required. In this case a note in the communication form states that the lamp is only for use on a vehicle fitted with a tell-tale indicating failure.</w:t>
      </w:r>
    </w:p>
    <w:p w14:paraId="76BD80BB" w14:textId="2AF31E05" w:rsidR="00027645" w:rsidRDefault="00027645" w:rsidP="00027645">
      <w:pPr>
        <w:spacing w:after="120"/>
        <w:ind w:left="2268" w:right="1134" w:hanging="1134"/>
        <w:jc w:val="both"/>
        <w:rPr>
          <w:rFonts w:asciiTheme="majorBidi" w:hAnsiTheme="majorBidi" w:cstheme="majorBidi"/>
        </w:rPr>
      </w:pPr>
      <w:r w:rsidRPr="006A4459">
        <w:rPr>
          <w:rFonts w:asciiTheme="majorBidi" w:hAnsiTheme="majorBidi" w:cstheme="majorBidi"/>
        </w:rPr>
        <w:t xml:space="preserve">4.6.1.3. </w:t>
      </w:r>
      <w:r>
        <w:rPr>
          <w:rFonts w:asciiTheme="majorBidi" w:hAnsiTheme="majorBidi" w:cstheme="majorBidi"/>
        </w:rPr>
        <w:tab/>
      </w:r>
      <w:r w:rsidRPr="006A4459">
        <w:rPr>
          <w:rFonts w:asciiTheme="majorBidi" w:hAnsiTheme="majorBidi" w:cstheme="majorBidi"/>
        </w:rPr>
        <w:t>The requirements of paragraph 4.6.1.2. do not apply to daytime running lamps that shall comply with the requirements of paragraph 5.4.4.</w:t>
      </w:r>
      <w:r>
        <w:rPr>
          <w:rFonts w:asciiTheme="majorBidi" w:hAnsiTheme="majorBidi" w:cstheme="majorBidi"/>
        </w:rPr>
        <w:t xml:space="preserve"> </w:t>
      </w:r>
    </w:p>
    <w:p w14:paraId="5F007C18" w14:textId="77777777" w:rsidR="00027645" w:rsidRPr="006A4459" w:rsidRDefault="00027645" w:rsidP="00027645">
      <w:pPr>
        <w:spacing w:after="120"/>
        <w:ind w:left="2268" w:right="1134"/>
        <w:jc w:val="both"/>
        <w:rPr>
          <w:rFonts w:asciiTheme="majorBidi" w:hAnsiTheme="majorBidi" w:cstheme="majorBidi"/>
        </w:rPr>
      </w:pPr>
      <w:r w:rsidRPr="006A4459">
        <w:rPr>
          <w:rFonts w:asciiTheme="majorBidi" w:hAnsiTheme="majorBidi" w:cstheme="majorBidi"/>
          <w:b/>
          <w:bCs/>
        </w:rPr>
        <w:t>H</w:t>
      </w:r>
      <w:r w:rsidRPr="006A4459">
        <w:rPr>
          <w:b/>
          <w:bCs/>
        </w:rPr>
        <w:t>owever</w:t>
      </w:r>
      <w:r>
        <w:rPr>
          <w:b/>
          <w:bCs/>
        </w:rPr>
        <w:t>,</w:t>
      </w:r>
      <w:r w:rsidRPr="006A4459">
        <w:rPr>
          <w:b/>
          <w:bCs/>
        </w:rPr>
        <w:t xml:space="preserve"> the requirements of paragraph 4.6.1.1. are still applicable.</w:t>
      </w:r>
    </w:p>
    <w:p w14:paraId="30A58FCB" w14:textId="73C78602" w:rsidR="00027645" w:rsidRDefault="00027645" w:rsidP="00027645">
      <w:pPr>
        <w:spacing w:after="120"/>
        <w:ind w:left="2268" w:right="1134" w:hanging="1134"/>
        <w:jc w:val="both"/>
        <w:rPr>
          <w:rFonts w:asciiTheme="majorBidi" w:hAnsiTheme="majorBidi" w:cstheme="majorBidi"/>
          <w:b/>
          <w:bCs/>
        </w:rPr>
      </w:pPr>
      <w:r w:rsidRPr="006A4459">
        <w:rPr>
          <w:rFonts w:asciiTheme="majorBidi" w:hAnsiTheme="majorBidi" w:cstheme="majorBidi"/>
        </w:rPr>
        <w:t xml:space="preserve">4.6.1.4. </w:t>
      </w:r>
      <w:r>
        <w:rPr>
          <w:rFonts w:asciiTheme="majorBidi" w:hAnsiTheme="majorBidi" w:cstheme="majorBidi"/>
        </w:rPr>
        <w:tab/>
      </w:r>
      <w:r w:rsidRPr="001B4AFA">
        <w:t>The requirements of paragraph 4.6.1.2. do not apply to direction indicator lamps</w:t>
      </w:r>
      <w:r w:rsidRPr="00DD2C9A">
        <w:rPr>
          <w:b/>
        </w:rPr>
        <w:t>.</w:t>
      </w:r>
      <w:r>
        <w:rPr>
          <w:b/>
        </w:rPr>
        <w:t xml:space="preserve"> </w:t>
      </w:r>
      <w:r w:rsidRPr="00DD2C9A">
        <w:rPr>
          <w:b/>
        </w:rPr>
        <w:t xml:space="preserve">Direction indicator lamps </w:t>
      </w:r>
      <w:r w:rsidRPr="001B4AFA">
        <w:t>of category 1, 1a, 1b, 2a</w:t>
      </w:r>
      <w:r w:rsidRPr="00DD2C9A">
        <w:rPr>
          <w:strike/>
        </w:rPr>
        <w:t>,</w:t>
      </w:r>
      <w:r w:rsidRPr="00DD2C9A">
        <w:t xml:space="preserve"> </w:t>
      </w:r>
      <w:r>
        <w:t>and</w:t>
      </w:r>
      <w:r w:rsidRPr="001B4AFA">
        <w:t xml:space="preserve"> 2b</w:t>
      </w:r>
      <w:r w:rsidRPr="00DD2C9A">
        <w:rPr>
          <w:strike/>
        </w:rPr>
        <w:t xml:space="preserve">, </w:t>
      </w:r>
      <w:r w:rsidRPr="00DD2C9A">
        <w:rPr>
          <w:bCs/>
          <w:strike/>
        </w:rPr>
        <w:t>11, 11a, 11b, 11c and 12</w:t>
      </w:r>
      <w:r w:rsidRPr="00DD2C9A">
        <w:rPr>
          <w:b/>
          <w:bCs/>
          <w:strike/>
        </w:rPr>
        <w:t xml:space="preserve"> </w:t>
      </w:r>
      <w:r w:rsidRPr="00DD2C9A">
        <w:rPr>
          <w:strike/>
        </w:rPr>
        <w:t>that</w:t>
      </w:r>
      <w:r w:rsidRPr="001B4AFA">
        <w:t xml:space="preserve"> shall comply with the requirements of paragraph 5.6.3.</w:t>
      </w:r>
    </w:p>
    <w:p w14:paraId="5A8A27E0" w14:textId="77777777" w:rsidR="00027645" w:rsidRPr="006A4459" w:rsidRDefault="00027645" w:rsidP="00027645">
      <w:pPr>
        <w:spacing w:after="120"/>
        <w:ind w:left="2268" w:right="1134"/>
        <w:jc w:val="both"/>
        <w:rPr>
          <w:rFonts w:asciiTheme="majorBidi" w:hAnsiTheme="majorBidi" w:cstheme="majorBidi"/>
        </w:rPr>
      </w:pPr>
      <w:r w:rsidRPr="006A4459">
        <w:rPr>
          <w:rFonts w:asciiTheme="majorBidi" w:hAnsiTheme="majorBidi" w:cstheme="majorBidi"/>
          <w:b/>
          <w:bCs/>
        </w:rPr>
        <w:t>H</w:t>
      </w:r>
      <w:r w:rsidRPr="006A4459">
        <w:rPr>
          <w:b/>
          <w:bCs/>
        </w:rPr>
        <w:t>owever</w:t>
      </w:r>
      <w:r>
        <w:rPr>
          <w:b/>
          <w:bCs/>
        </w:rPr>
        <w:t>,</w:t>
      </w:r>
      <w:r w:rsidRPr="006A4459">
        <w:rPr>
          <w:b/>
          <w:bCs/>
        </w:rPr>
        <w:t xml:space="preserve"> the requirements of paragraph 4.6.1.1. are still applicable.</w:t>
      </w:r>
    </w:p>
    <w:p w14:paraId="0128A102" w14:textId="77777777" w:rsidR="00027645" w:rsidRDefault="00027645" w:rsidP="00027645">
      <w:pPr>
        <w:spacing w:after="120"/>
        <w:ind w:left="2268" w:right="1134" w:hanging="1134"/>
        <w:jc w:val="both"/>
        <w:rPr>
          <w:rFonts w:asciiTheme="majorBidi" w:hAnsiTheme="majorBidi" w:cstheme="majorBidi"/>
          <w:b/>
          <w:bCs/>
        </w:rPr>
      </w:pPr>
      <w:r w:rsidRPr="006A4459">
        <w:rPr>
          <w:rFonts w:asciiTheme="majorBidi" w:hAnsiTheme="majorBidi" w:cstheme="majorBidi"/>
        </w:rPr>
        <w:t xml:space="preserve">4.6.1.5. </w:t>
      </w:r>
      <w:r>
        <w:rPr>
          <w:rFonts w:asciiTheme="majorBidi" w:hAnsiTheme="majorBidi" w:cstheme="majorBidi"/>
        </w:rPr>
        <w:tab/>
      </w:r>
      <w:r w:rsidRPr="006A4459">
        <w:rPr>
          <w:rFonts w:asciiTheme="majorBidi" w:hAnsiTheme="majorBidi" w:cstheme="majorBidi"/>
        </w:rPr>
        <w:t>The requirements of paragraph 4.6.1.2. do not apply to registration plate lamps.</w:t>
      </w:r>
      <w:r w:rsidRPr="006A4459">
        <w:rPr>
          <w:rFonts w:asciiTheme="majorBidi" w:hAnsiTheme="majorBidi" w:cstheme="majorBidi"/>
          <w:b/>
          <w:bCs/>
        </w:rPr>
        <w:t xml:space="preserve"> </w:t>
      </w:r>
    </w:p>
    <w:p w14:paraId="0EB57B08" w14:textId="77777777" w:rsidR="00027645" w:rsidRPr="006A4459" w:rsidRDefault="00027645" w:rsidP="00027645">
      <w:pPr>
        <w:spacing w:after="120"/>
        <w:ind w:left="2268" w:right="1134"/>
        <w:jc w:val="both"/>
        <w:rPr>
          <w:rFonts w:asciiTheme="majorBidi" w:hAnsiTheme="majorBidi" w:cstheme="majorBidi"/>
        </w:rPr>
      </w:pPr>
      <w:r w:rsidRPr="006A4459">
        <w:rPr>
          <w:rFonts w:asciiTheme="majorBidi" w:hAnsiTheme="majorBidi" w:cstheme="majorBidi"/>
          <w:b/>
          <w:bCs/>
        </w:rPr>
        <w:t>H</w:t>
      </w:r>
      <w:r w:rsidRPr="006A4459">
        <w:rPr>
          <w:b/>
          <w:bCs/>
        </w:rPr>
        <w:t>owever</w:t>
      </w:r>
      <w:r>
        <w:rPr>
          <w:b/>
          <w:bCs/>
        </w:rPr>
        <w:t>,</w:t>
      </w:r>
      <w:r w:rsidRPr="006A4459">
        <w:rPr>
          <w:b/>
          <w:bCs/>
        </w:rPr>
        <w:t xml:space="preserve"> the requirements of paragraph 4.6.1.1. are still applicable.</w:t>
      </w:r>
    </w:p>
    <w:p w14:paraId="633DA950" w14:textId="77777777" w:rsidR="00027645" w:rsidRDefault="00027645" w:rsidP="00027645">
      <w:pPr>
        <w:spacing w:after="120"/>
        <w:ind w:left="2268" w:right="1134" w:hanging="1134"/>
        <w:jc w:val="both"/>
        <w:rPr>
          <w:rFonts w:asciiTheme="majorBidi" w:hAnsiTheme="majorBidi" w:cstheme="majorBidi"/>
          <w:b/>
          <w:bCs/>
        </w:rPr>
      </w:pPr>
      <w:r w:rsidRPr="006A4459">
        <w:rPr>
          <w:rFonts w:asciiTheme="majorBidi" w:hAnsiTheme="majorBidi" w:cstheme="majorBidi"/>
        </w:rPr>
        <w:t xml:space="preserve">4.6.1.6. </w:t>
      </w:r>
      <w:r>
        <w:rPr>
          <w:rFonts w:asciiTheme="majorBidi" w:hAnsiTheme="majorBidi" w:cstheme="majorBidi"/>
        </w:rPr>
        <w:tab/>
      </w:r>
      <w:r w:rsidRPr="006A4459">
        <w:rPr>
          <w:rFonts w:asciiTheme="majorBidi" w:hAnsiTheme="majorBidi" w:cstheme="majorBidi"/>
        </w:rPr>
        <w:t>The requirements of paragraph 4.6.1.2. (b) do not apply to stop- and position lamps for vehicles of category L.</w:t>
      </w:r>
      <w:r w:rsidRPr="006A4459">
        <w:rPr>
          <w:rFonts w:asciiTheme="majorBidi" w:hAnsiTheme="majorBidi" w:cstheme="majorBidi"/>
          <w:b/>
          <w:bCs/>
        </w:rPr>
        <w:t xml:space="preserve"> </w:t>
      </w:r>
    </w:p>
    <w:p w14:paraId="48A9C224" w14:textId="310F3102" w:rsidR="00027645" w:rsidRPr="00027645" w:rsidRDefault="00027645" w:rsidP="002C1939">
      <w:pPr>
        <w:spacing w:after="120"/>
        <w:ind w:left="2268" w:right="1134"/>
        <w:jc w:val="both"/>
        <w:rPr>
          <w:lang w:val="en-US"/>
        </w:rPr>
      </w:pPr>
      <w:r w:rsidRPr="006A4459">
        <w:rPr>
          <w:rFonts w:asciiTheme="majorBidi" w:hAnsiTheme="majorBidi" w:cstheme="majorBidi"/>
          <w:b/>
          <w:bCs/>
        </w:rPr>
        <w:t>H</w:t>
      </w:r>
      <w:r w:rsidRPr="006A4459">
        <w:rPr>
          <w:b/>
          <w:bCs/>
        </w:rPr>
        <w:t>owever</w:t>
      </w:r>
      <w:r>
        <w:rPr>
          <w:b/>
          <w:bCs/>
        </w:rPr>
        <w:t>,</w:t>
      </w:r>
      <w:r w:rsidRPr="006A4459">
        <w:rPr>
          <w:b/>
          <w:bCs/>
        </w:rPr>
        <w:t xml:space="preserve"> the requirements of paragraph 4.6.1.1. </w:t>
      </w:r>
      <w:r>
        <w:rPr>
          <w:b/>
          <w:bCs/>
        </w:rPr>
        <w:t xml:space="preserve">and paragraph 4.6.1.2. (a) </w:t>
      </w:r>
      <w:r w:rsidRPr="006A4459">
        <w:rPr>
          <w:b/>
          <w:bCs/>
        </w:rPr>
        <w:t>are still applicable.</w:t>
      </w:r>
      <w:r>
        <w:rPr>
          <w:b/>
          <w:bCs/>
        </w:rPr>
        <w:t>”</w:t>
      </w:r>
    </w:p>
    <w:p w14:paraId="478CFC3A" w14:textId="6171A8FF" w:rsidR="006D181F" w:rsidRPr="006D181F" w:rsidRDefault="006D181F" w:rsidP="003F1AB4">
      <w:pPr>
        <w:pStyle w:val="HChG"/>
        <w:spacing w:before="0" w:after="120" w:line="240" w:lineRule="atLeast"/>
        <w:ind w:left="2268"/>
        <w:rPr>
          <w:rFonts w:eastAsia="MS Mincho"/>
          <w:b w:val="0"/>
          <w:i/>
          <w:sz w:val="20"/>
        </w:rPr>
      </w:pPr>
      <w:r w:rsidRPr="006D181F">
        <w:rPr>
          <w:rFonts w:eastAsia="MS Mincho"/>
          <w:b w:val="0"/>
          <w:i/>
          <w:sz w:val="20"/>
        </w:rPr>
        <w:t xml:space="preserve">Annex 3, </w:t>
      </w:r>
      <w:r w:rsidR="003F1AB4">
        <w:rPr>
          <w:rFonts w:eastAsia="MS Mincho"/>
          <w:b w:val="0"/>
          <w:i/>
          <w:sz w:val="20"/>
        </w:rPr>
        <w:t>p</w:t>
      </w:r>
      <w:r w:rsidRPr="006D181F">
        <w:rPr>
          <w:rFonts w:eastAsia="MS Mincho"/>
          <w:b w:val="0"/>
          <w:i/>
          <w:sz w:val="20"/>
        </w:rPr>
        <w:t>ar</w:t>
      </w:r>
      <w:r w:rsidR="003F1AB4">
        <w:rPr>
          <w:rFonts w:eastAsia="MS Mincho"/>
          <w:b w:val="0"/>
          <w:i/>
          <w:sz w:val="20"/>
        </w:rPr>
        <w:t>agraph</w:t>
      </w:r>
      <w:r w:rsidRPr="006D181F">
        <w:rPr>
          <w:rFonts w:eastAsia="MS Mincho"/>
          <w:b w:val="0"/>
          <w:i/>
          <w:sz w:val="20"/>
        </w:rPr>
        <w:t xml:space="preserve"> 1.2.,</w:t>
      </w:r>
      <w:r w:rsidRPr="006D181F">
        <w:rPr>
          <w:rFonts w:eastAsia="MS Mincho"/>
          <w:b w:val="0"/>
          <w:iCs/>
          <w:sz w:val="20"/>
        </w:rPr>
        <w:t xml:space="preserve"> amend to read:</w:t>
      </w:r>
    </w:p>
    <w:p w14:paraId="06B51D82" w14:textId="77777777" w:rsidR="006D181F" w:rsidRDefault="006D181F" w:rsidP="003F1AB4">
      <w:pPr>
        <w:spacing w:after="120"/>
        <w:ind w:left="2268" w:right="1134" w:hanging="1134"/>
        <w:jc w:val="both"/>
      </w:pPr>
      <w:r>
        <w:rPr>
          <w:lang w:val="en-US"/>
        </w:rPr>
        <w:t>“</w:t>
      </w:r>
      <w:r>
        <w:t>1.2.</w:t>
      </w:r>
      <w:r>
        <w:tab/>
      </w:r>
      <w:r w:rsidRPr="004E2AF7">
        <w:t>Within the field of light distribution schematically shown as a grid, the light pattern should be substantially uniform, i.e. the light intensity in each direction of a part of the field formed by the grid lines shall meet at least the lowest minimum value being shown on the grid lines surrounding the questioned direction as a percentage.</w:t>
      </w:r>
    </w:p>
    <w:p w14:paraId="00D6E883" w14:textId="72E0A0D1" w:rsidR="007D7912" w:rsidRPr="006D181F" w:rsidRDefault="006D181F" w:rsidP="003F1AB4">
      <w:pPr>
        <w:spacing w:after="120"/>
        <w:ind w:left="2268" w:right="1134" w:hanging="1134"/>
        <w:jc w:val="both"/>
        <w:rPr>
          <w:i/>
        </w:rPr>
      </w:pPr>
      <w:r>
        <w:tab/>
      </w:r>
      <w:bookmarkStart w:id="1" w:name="_Hlk26350300"/>
      <w:r w:rsidRPr="002E34A0">
        <w:rPr>
          <w:b/>
        </w:rPr>
        <w:t>However, in the case of reversing lamps, if visual examination of a lamp appears to reveal substantial local variations of intensity, a check shall be made</w:t>
      </w:r>
      <w:r>
        <w:rPr>
          <w:b/>
        </w:rPr>
        <w:t xml:space="preserve"> </w:t>
      </w:r>
      <w:r w:rsidRPr="002E34A0">
        <w:rPr>
          <w:b/>
        </w:rPr>
        <w:t xml:space="preserve">to ensure that no intensity measured between two of the directions of measurement referred </w:t>
      </w:r>
      <w:r>
        <w:rPr>
          <w:b/>
        </w:rPr>
        <w:t>t</w:t>
      </w:r>
      <w:r w:rsidRPr="002E34A0">
        <w:rPr>
          <w:b/>
        </w:rPr>
        <w:t>o above is below 50</w:t>
      </w:r>
      <w:r>
        <w:rPr>
          <w:b/>
        </w:rPr>
        <w:t xml:space="preserve"> per cent o</w:t>
      </w:r>
      <w:r w:rsidRPr="002E34A0">
        <w:rPr>
          <w:b/>
        </w:rPr>
        <w:t>f the lower minimum intensity of the two prescribed for these directions of measurement</w:t>
      </w:r>
      <w:bookmarkEnd w:id="1"/>
      <w:r w:rsidRPr="002E34A0">
        <w:rPr>
          <w:b/>
        </w:rPr>
        <w:t>.</w:t>
      </w:r>
      <w:r>
        <w:rPr>
          <w:b/>
        </w:rPr>
        <w:t>”</w:t>
      </w:r>
    </w:p>
    <w:p w14:paraId="72ED0909" w14:textId="77777777" w:rsidR="00E933B8" w:rsidRDefault="00E933B8" w:rsidP="00E933B8">
      <w:pPr>
        <w:pStyle w:val="HChG"/>
      </w:pPr>
      <w:r w:rsidRPr="00525E6C">
        <w:lastRenderedPageBreak/>
        <w:tab/>
        <w:t>II.</w:t>
      </w:r>
      <w:r w:rsidRPr="00525E6C">
        <w:tab/>
        <w:t>Justification</w:t>
      </w:r>
    </w:p>
    <w:p w14:paraId="2889D21A" w14:textId="2ED7E183" w:rsidR="004223FF" w:rsidRPr="004223FF" w:rsidRDefault="00C92732" w:rsidP="004223FF">
      <w:pPr>
        <w:spacing w:after="120"/>
        <w:ind w:left="1134" w:right="1134"/>
        <w:jc w:val="both"/>
        <w:rPr>
          <w:bCs/>
        </w:rPr>
      </w:pPr>
      <w:r>
        <w:rPr>
          <w:bCs/>
        </w:rPr>
        <w:t>1.</w:t>
      </w:r>
      <w:r>
        <w:rPr>
          <w:bCs/>
        </w:rPr>
        <w:tab/>
      </w:r>
      <w:r w:rsidR="004223FF" w:rsidRPr="004223FF">
        <w:rPr>
          <w:bCs/>
        </w:rPr>
        <w:t xml:space="preserve">The added text </w:t>
      </w:r>
      <w:r w:rsidR="004223FF">
        <w:rPr>
          <w:bCs/>
        </w:rPr>
        <w:t xml:space="preserve">“However, …” </w:t>
      </w:r>
      <w:r w:rsidR="004223FF" w:rsidRPr="004223FF">
        <w:rPr>
          <w:bCs/>
        </w:rPr>
        <w:t>in the paragraphs 4.6.1.3. to 4.6.1.6.</w:t>
      </w:r>
      <w:r w:rsidR="004223FF">
        <w:rPr>
          <w:bCs/>
        </w:rPr>
        <w:t xml:space="preserve"> </w:t>
      </w:r>
      <w:r w:rsidR="004223FF" w:rsidRPr="004223FF">
        <w:rPr>
          <w:bCs/>
        </w:rPr>
        <w:t>does not change the content/requirements of the regulation. It is purely meant to clarify the requirements of failure provisions in the 4 exemptions as set forth in the paragraphs 4.6.1.3. to 4.6.1.6.</w:t>
      </w:r>
    </w:p>
    <w:p w14:paraId="3278223F" w14:textId="302FCDFB" w:rsidR="004223FF" w:rsidRDefault="004223FF" w:rsidP="004223FF">
      <w:pPr>
        <w:spacing w:after="120"/>
        <w:ind w:left="1134" w:right="1134"/>
        <w:jc w:val="both"/>
        <w:rPr>
          <w:bCs/>
        </w:rPr>
      </w:pPr>
      <w:r w:rsidRPr="004223FF">
        <w:rPr>
          <w:bCs/>
        </w:rPr>
        <w:t>2.</w:t>
      </w:r>
      <w:r w:rsidRPr="004223FF">
        <w:rPr>
          <w:bCs/>
        </w:rPr>
        <w:tab/>
        <w:t xml:space="preserve">Even though in these cases the requirements of paragraph 4.6.1.2. are (partially) exempted, the requirements of paragraph 4.6.1.1. are still applicable and it was </w:t>
      </w:r>
      <w:r>
        <w:rPr>
          <w:bCs/>
        </w:rPr>
        <w:t>considered</w:t>
      </w:r>
      <w:r w:rsidRPr="004223FF">
        <w:rPr>
          <w:bCs/>
        </w:rPr>
        <w:t xml:space="preserve"> that </w:t>
      </w:r>
      <w:r>
        <w:rPr>
          <w:bCs/>
        </w:rPr>
        <w:t xml:space="preserve">such </w:t>
      </w:r>
      <w:r w:rsidRPr="004223FF">
        <w:rPr>
          <w:bCs/>
        </w:rPr>
        <w:t xml:space="preserve">a clarification </w:t>
      </w:r>
      <w:r>
        <w:rPr>
          <w:bCs/>
        </w:rPr>
        <w:t xml:space="preserve">would be </w:t>
      </w:r>
      <w:r w:rsidRPr="004223FF">
        <w:rPr>
          <w:bCs/>
        </w:rPr>
        <w:t>useful.</w:t>
      </w:r>
    </w:p>
    <w:p w14:paraId="05D87ED7" w14:textId="1D4736DC" w:rsidR="0033709A" w:rsidRPr="006D181F" w:rsidRDefault="004223FF" w:rsidP="0033709A">
      <w:pPr>
        <w:spacing w:after="120"/>
        <w:ind w:left="1134" w:right="1134"/>
        <w:jc w:val="both"/>
        <w:rPr>
          <w:bCs/>
          <w:lang w:val="en-US"/>
        </w:rPr>
      </w:pPr>
      <w:r>
        <w:rPr>
          <w:bCs/>
        </w:rPr>
        <w:t>3.</w:t>
      </w:r>
      <w:r>
        <w:rPr>
          <w:bCs/>
        </w:rPr>
        <w:tab/>
        <w:t xml:space="preserve">In addition to the clarifications provided </w:t>
      </w:r>
      <w:r w:rsidRPr="004223FF">
        <w:rPr>
          <w:bCs/>
        </w:rPr>
        <w:t>in the paragraphs 4.6.1.3. to 4.6.1.6.</w:t>
      </w:r>
      <w:r>
        <w:rPr>
          <w:bCs/>
        </w:rPr>
        <w:t>, p</w:t>
      </w:r>
      <w:r w:rsidR="003F1AB4" w:rsidRPr="003F1AB4">
        <w:rPr>
          <w:bCs/>
        </w:rPr>
        <w:t>aragraph 4.6.1.4.</w:t>
      </w:r>
      <w:r w:rsidR="003F1AB4">
        <w:rPr>
          <w:bCs/>
        </w:rPr>
        <w:t xml:space="preserve"> is </w:t>
      </w:r>
      <w:r>
        <w:rPr>
          <w:bCs/>
        </w:rPr>
        <w:t xml:space="preserve">also </w:t>
      </w:r>
      <w:r w:rsidR="00E1005E" w:rsidRPr="00613A1D">
        <w:rPr>
          <w:lang w:val="en-US"/>
        </w:rPr>
        <w:t xml:space="preserve">updated to correctly reflect the </w:t>
      </w:r>
      <w:r w:rsidR="006D181F" w:rsidRPr="00613A1D">
        <w:rPr>
          <w:lang w:val="en-US"/>
        </w:rPr>
        <w:t xml:space="preserve">existing text of </w:t>
      </w:r>
      <w:r w:rsidR="003F1AB4">
        <w:rPr>
          <w:lang w:val="en-US"/>
        </w:rPr>
        <w:t xml:space="preserve">UN </w:t>
      </w:r>
      <w:r w:rsidR="006D181F" w:rsidRPr="00613A1D">
        <w:rPr>
          <w:lang w:val="en-US"/>
        </w:rPr>
        <w:t xml:space="preserve">Regulations </w:t>
      </w:r>
      <w:r w:rsidR="003F1AB4">
        <w:rPr>
          <w:lang w:val="en-US"/>
        </w:rPr>
        <w:t>on l</w:t>
      </w:r>
      <w:r w:rsidR="006D181F" w:rsidRPr="00613A1D">
        <w:rPr>
          <w:lang w:val="en-US"/>
        </w:rPr>
        <w:t>ight-</w:t>
      </w:r>
      <w:r w:rsidR="003F1AB4">
        <w:rPr>
          <w:lang w:val="en-US"/>
        </w:rPr>
        <w:t>s</w:t>
      </w:r>
      <w:r w:rsidR="006D181F" w:rsidRPr="00613A1D">
        <w:rPr>
          <w:lang w:val="en-US"/>
        </w:rPr>
        <w:t>ignal</w:t>
      </w:r>
      <w:r w:rsidR="003F1AB4">
        <w:rPr>
          <w:lang w:val="en-US"/>
        </w:rPr>
        <w:t>l</w:t>
      </w:r>
      <w:r w:rsidR="006D181F" w:rsidRPr="00613A1D">
        <w:rPr>
          <w:lang w:val="en-US"/>
        </w:rPr>
        <w:t>ing.</w:t>
      </w:r>
      <w:r w:rsidR="00DB682E" w:rsidRPr="00613A1D">
        <w:rPr>
          <w:lang w:val="en-US"/>
        </w:rPr>
        <w:t xml:space="preserve"> With Supplement 17 to the original series of amendments to </w:t>
      </w:r>
      <w:r w:rsidR="003F1AB4">
        <w:rPr>
          <w:lang w:val="en-US"/>
        </w:rPr>
        <w:t xml:space="preserve">UN </w:t>
      </w:r>
      <w:r w:rsidR="00DB682E" w:rsidRPr="00613A1D">
        <w:rPr>
          <w:lang w:val="en-US"/>
        </w:rPr>
        <w:t>Regulation No. 50, direction indicator lamps of categor</w:t>
      </w:r>
      <w:r w:rsidR="00613A1D">
        <w:rPr>
          <w:lang w:val="en-US"/>
        </w:rPr>
        <w:t>ies</w:t>
      </w:r>
      <w:r w:rsidR="00DB682E" w:rsidRPr="00613A1D">
        <w:rPr>
          <w:lang w:val="en-US"/>
        </w:rPr>
        <w:t xml:space="preserve"> 11 and 12 are no longer required to fulfill any n-1 failure requirements as stated in </w:t>
      </w:r>
      <w:r w:rsidR="003F1AB4">
        <w:rPr>
          <w:lang w:val="en-US"/>
        </w:rPr>
        <w:t xml:space="preserve">paragraph </w:t>
      </w:r>
      <w:r w:rsidR="00DB682E" w:rsidRPr="00613A1D">
        <w:rPr>
          <w:lang w:val="en-US"/>
        </w:rPr>
        <w:t>7.5.1. of UN</w:t>
      </w:r>
      <w:r w:rsidR="00613A1D">
        <w:rPr>
          <w:lang w:val="en-US"/>
        </w:rPr>
        <w:t xml:space="preserve"> </w:t>
      </w:r>
      <w:r w:rsidR="00DB682E" w:rsidRPr="00613A1D">
        <w:rPr>
          <w:lang w:val="en-US"/>
        </w:rPr>
        <w:t>Regulation No</w:t>
      </w:r>
      <w:r w:rsidR="00613A1D">
        <w:rPr>
          <w:lang w:val="en-US"/>
        </w:rPr>
        <w:t>.</w:t>
      </w:r>
      <w:r w:rsidR="00DB682E" w:rsidRPr="00613A1D">
        <w:rPr>
          <w:lang w:val="en-US"/>
        </w:rPr>
        <w:t xml:space="preserve"> 50.</w:t>
      </w:r>
    </w:p>
    <w:p w14:paraId="5D86AE48" w14:textId="700880F9" w:rsidR="0033709A" w:rsidRPr="0033709A" w:rsidRDefault="002F4E96" w:rsidP="0033709A">
      <w:pPr>
        <w:spacing w:after="120"/>
        <w:ind w:left="1134" w:right="1134"/>
        <w:jc w:val="both"/>
        <w:rPr>
          <w:bCs/>
        </w:rPr>
      </w:pPr>
      <w:r>
        <w:rPr>
          <w:bCs/>
        </w:rPr>
        <w:t>4</w:t>
      </w:r>
      <w:r w:rsidR="00C92732">
        <w:rPr>
          <w:bCs/>
        </w:rPr>
        <w:t>.</w:t>
      </w:r>
      <w:r w:rsidR="00C92732">
        <w:rPr>
          <w:bCs/>
        </w:rPr>
        <w:tab/>
      </w:r>
      <w:r w:rsidR="006D181F" w:rsidRPr="006D181F">
        <w:rPr>
          <w:bCs/>
        </w:rPr>
        <w:t xml:space="preserve">The updated text </w:t>
      </w:r>
      <w:r w:rsidR="003F1AB4">
        <w:rPr>
          <w:bCs/>
        </w:rPr>
        <w:t xml:space="preserve">of </w:t>
      </w:r>
      <w:r w:rsidR="003F1AB4" w:rsidRPr="006D181F">
        <w:rPr>
          <w:bCs/>
        </w:rPr>
        <w:t xml:space="preserve">Annex 3, </w:t>
      </w:r>
      <w:r w:rsidR="003F1AB4">
        <w:rPr>
          <w:bCs/>
        </w:rPr>
        <w:t>p</w:t>
      </w:r>
      <w:r w:rsidR="00027645">
        <w:rPr>
          <w:bCs/>
        </w:rPr>
        <w:t>a</w:t>
      </w:r>
      <w:r w:rsidR="003F1AB4">
        <w:rPr>
          <w:bCs/>
        </w:rPr>
        <w:t>r</w:t>
      </w:r>
      <w:r w:rsidR="00027645">
        <w:rPr>
          <w:bCs/>
        </w:rPr>
        <w:t>a</w:t>
      </w:r>
      <w:r w:rsidR="003F1AB4">
        <w:rPr>
          <w:bCs/>
        </w:rPr>
        <w:t xml:space="preserve">graph </w:t>
      </w:r>
      <w:r w:rsidR="003F1AB4" w:rsidRPr="006D181F">
        <w:rPr>
          <w:bCs/>
        </w:rPr>
        <w:t>1.2</w:t>
      </w:r>
      <w:r w:rsidR="003F1AB4">
        <w:rPr>
          <w:bCs/>
        </w:rPr>
        <w:t xml:space="preserve">., </w:t>
      </w:r>
      <w:r w:rsidR="006D181F" w:rsidRPr="006D181F">
        <w:rPr>
          <w:bCs/>
        </w:rPr>
        <w:t xml:space="preserve">restores an extra requirement for reversing lamps that </w:t>
      </w:r>
      <w:r w:rsidR="003F1AB4">
        <w:rPr>
          <w:bCs/>
        </w:rPr>
        <w:t xml:space="preserve">is </w:t>
      </w:r>
      <w:r w:rsidR="006D181F" w:rsidRPr="006D181F">
        <w:rPr>
          <w:bCs/>
        </w:rPr>
        <w:t xml:space="preserve">missing in the </w:t>
      </w:r>
      <w:r w:rsidR="00E1005E">
        <w:rPr>
          <w:bCs/>
        </w:rPr>
        <w:t>original t</w:t>
      </w:r>
      <w:r w:rsidR="006D181F" w:rsidRPr="006D181F">
        <w:rPr>
          <w:bCs/>
        </w:rPr>
        <w:t xml:space="preserve">ext of </w:t>
      </w:r>
      <w:r w:rsidR="00330095">
        <w:rPr>
          <w:bCs/>
        </w:rPr>
        <w:t xml:space="preserve">UN </w:t>
      </w:r>
      <w:r w:rsidR="006D181F" w:rsidRPr="006D181F">
        <w:rPr>
          <w:bCs/>
        </w:rPr>
        <w:t>Regulation No. 148</w:t>
      </w:r>
      <w:r w:rsidR="0033709A" w:rsidRPr="0033709A">
        <w:rPr>
          <w:bCs/>
        </w:rPr>
        <w:t>.</w:t>
      </w:r>
      <w:r w:rsidR="00330095">
        <w:rPr>
          <w:bCs/>
        </w:rPr>
        <w:t xml:space="preserve"> This additional paragraph is taken from UN Regulat</w:t>
      </w:r>
      <w:r w:rsidR="00E1005E">
        <w:rPr>
          <w:bCs/>
        </w:rPr>
        <w:t>i</w:t>
      </w:r>
      <w:r w:rsidR="00330095">
        <w:rPr>
          <w:bCs/>
        </w:rPr>
        <w:t xml:space="preserve">on No. 23, Annex 3, </w:t>
      </w:r>
      <w:r w:rsidR="003F1AB4">
        <w:rPr>
          <w:bCs/>
        </w:rPr>
        <w:t xml:space="preserve">paragraph </w:t>
      </w:r>
      <w:r w:rsidR="00330095">
        <w:rPr>
          <w:bCs/>
        </w:rPr>
        <w:t>2.2.</w:t>
      </w:r>
    </w:p>
    <w:p w14:paraId="481C7D55" w14:textId="3C95A2FB" w:rsidR="00E933B8" w:rsidRPr="004D0C9D" w:rsidRDefault="004D0C9D" w:rsidP="004D0C9D">
      <w:pPr>
        <w:spacing w:before="240"/>
        <w:jc w:val="center"/>
        <w:rPr>
          <w:u w:val="single"/>
        </w:rPr>
      </w:pPr>
      <w:r>
        <w:rPr>
          <w:u w:val="single"/>
        </w:rPr>
        <w:tab/>
      </w:r>
      <w:r>
        <w:rPr>
          <w:u w:val="single"/>
        </w:rPr>
        <w:tab/>
      </w:r>
      <w:r>
        <w:rPr>
          <w:u w:val="single"/>
        </w:rPr>
        <w:tab/>
      </w:r>
    </w:p>
    <w:p w14:paraId="0800F887" w14:textId="77777777" w:rsidR="00E933B8" w:rsidRPr="004D0C9D" w:rsidRDefault="00E933B8" w:rsidP="004D0C9D">
      <w:pPr>
        <w:rPr>
          <w:b/>
          <w:sz w:val="18"/>
          <w:u w:val="single"/>
          <w:lang w:eastAsia="it-IT"/>
        </w:rPr>
      </w:pPr>
    </w:p>
    <w:sectPr w:rsidR="00E933B8" w:rsidRPr="004D0C9D" w:rsidSect="003F1AB4">
      <w:headerReference w:type="even" r:id="rId12"/>
      <w:headerReference w:type="default" r:id="rId13"/>
      <w:footerReference w:type="default" r:id="rId14"/>
      <w:headerReference w:type="first" r:id="rId15"/>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81A28" w14:textId="77777777" w:rsidR="00D70022" w:rsidRDefault="00D70022"/>
  </w:endnote>
  <w:endnote w:type="continuationSeparator" w:id="0">
    <w:p w14:paraId="60780D18" w14:textId="77777777" w:rsidR="00D70022" w:rsidRDefault="00D70022"/>
  </w:endnote>
  <w:endnote w:type="continuationNotice" w:id="1">
    <w:p w14:paraId="773E57F3" w14:textId="77777777" w:rsidR="00D70022" w:rsidRDefault="00D70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C8C8" w14:textId="0D9266D0"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9A0E" w14:textId="326FB7B8" w:rsidR="00C17E51" w:rsidRDefault="00C17E51" w:rsidP="00C17E51">
    <w:pPr>
      <w:pStyle w:val="Footer"/>
    </w:pPr>
    <w:r>
      <w:rPr>
        <w:noProof/>
        <w:lang w:eastAsia="zh-CN"/>
      </w:rPr>
      <w:drawing>
        <wp:anchor distT="0" distB="0" distL="114300" distR="114300" simplePos="0" relativeHeight="251659264" behindDoc="1" locked="1" layoutInCell="1" allowOverlap="1" wp14:anchorId="0729B6D0" wp14:editId="6656FE8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E7E18B" w14:textId="2F16C257" w:rsidR="00C17E51" w:rsidRDefault="00C17E51" w:rsidP="00C17E51">
    <w:pPr>
      <w:pStyle w:val="Footer"/>
      <w:ind w:right="1134"/>
      <w:rPr>
        <w:sz w:val="20"/>
      </w:rPr>
    </w:pPr>
    <w:r>
      <w:rPr>
        <w:sz w:val="20"/>
      </w:rPr>
      <w:t>GE.20-10293(E)</w:t>
    </w:r>
  </w:p>
  <w:p w14:paraId="172A4D90" w14:textId="1A2D6F7F" w:rsidR="00C17E51" w:rsidRPr="00C17E51" w:rsidRDefault="00C17E51" w:rsidP="00C17E5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D00C760" wp14:editId="0C349951">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40995" w14:textId="77777777" w:rsidR="00D70022" w:rsidRPr="000B175B" w:rsidRDefault="00D70022" w:rsidP="000B175B">
      <w:pPr>
        <w:tabs>
          <w:tab w:val="right" w:pos="2155"/>
        </w:tabs>
        <w:spacing w:after="80"/>
        <w:ind w:left="680"/>
        <w:rPr>
          <w:u w:val="single"/>
        </w:rPr>
      </w:pPr>
      <w:r>
        <w:rPr>
          <w:u w:val="single"/>
        </w:rPr>
        <w:tab/>
      </w:r>
    </w:p>
  </w:footnote>
  <w:footnote w:type="continuationSeparator" w:id="0">
    <w:p w14:paraId="05481C0B" w14:textId="77777777" w:rsidR="00D70022" w:rsidRPr="00FC68B7" w:rsidRDefault="00D70022" w:rsidP="00FC68B7">
      <w:pPr>
        <w:tabs>
          <w:tab w:val="left" w:pos="2155"/>
        </w:tabs>
        <w:spacing w:after="80"/>
        <w:ind w:left="680"/>
        <w:rPr>
          <w:u w:val="single"/>
        </w:rPr>
      </w:pPr>
      <w:r>
        <w:rPr>
          <w:u w:val="single"/>
        </w:rPr>
        <w:tab/>
      </w:r>
    </w:p>
  </w:footnote>
  <w:footnote w:type="continuationNotice" w:id="1">
    <w:p w14:paraId="59398915" w14:textId="77777777" w:rsidR="00D70022" w:rsidRDefault="00D70022"/>
  </w:footnote>
  <w:footnote w:id="2">
    <w:p w14:paraId="26469265" w14:textId="08E3257E" w:rsidR="00E317C2" w:rsidRPr="004876E3" w:rsidRDefault="00E317C2" w:rsidP="00297676">
      <w:pPr>
        <w:pStyle w:val="FootnoteText"/>
      </w:pPr>
      <w:r w:rsidRPr="00A90EA8">
        <w:tab/>
      </w:r>
      <w:r w:rsidRPr="00297676">
        <w:rPr>
          <w:rStyle w:val="FootnoteReference"/>
          <w:sz w:val="20"/>
          <w:lang w:val="en-US"/>
        </w:rPr>
        <w:t>*</w:t>
      </w:r>
      <w:r w:rsidRPr="00297676">
        <w:rPr>
          <w:lang w:val="en-US"/>
        </w:rPr>
        <w:tab/>
      </w:r>
      <w:r w:rsidR="00297676" w:rsidRPr="00297676">
        <w:rPr>
          <w:szCs w:val="18"/>
          <w:lang w:val="en-US"/>
        </w:rPr>
        <w:t>In</w:t>
      </w:r>
      <w:r w:rsidR="00297676" w:rsidRPr="0055555E">
        <w:rPr>
          <w:szCs w:val="18"/>
          <w:lang w:val="en-US"/>
        </w:rPr>
        <w:t xml:space="preserve">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B1C1" w14:textId="237CF1C2" w:rsidR="00C740F6" w:rsidRPr="006C395D" w:rsidRDefault="00C740F6" w:rsidP="005726B5">
    <w:pPr>
      <w:pStyle w:val="Header"/>
    </w:pPr>
    <w:r w:rsidRPr="00EC151E">
      <w:t>ECE/TRANS/WP.29/GRE/20</w:t>
    </w:r>
    <w:r w:rsidR="006D181F">
      <w:t>20</w:t>
    </w:r>
    <w:r w:rsidRPr="00EC151E">
      <w:t>/</w:t>
    </w:r>
    <w:r w:rsidR="00297676" w:rsidRPr="002C1939">
      <w:t>9</w:t>
    </w:r>
    <w:r w:rsidR="004223FF" w:rsidRPr="002C1939">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647F" w14:textId="7CF2A274" w:rsidR="00C740F6" w:rsidRPr="006C395D" w:rsidRDefault="00C740F6" w:rsidP="00DA725B">
    <w:pPr>
      <w:pStyle w:val="Header"/>
      <w:jc w:val="right"/>
    </w:pPr>
    <w:r w:rsidRPr="00EC151E">
      <w:t>ECE/TRANS/WP.29/GRE/20</w:t>
    </w:r>
    <w:r w:rsidR="004223FF">
      <w:t>20</w:t>
    </w:r>
    <w:r w:rsidRPr="00EC151E">
      <w:t>/</w:t>
    </w:r>
    <w:r w:rsidR="004223FF" w:rsidRPr="002C1939">
      <w:t>9/Rev.1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2"/>
  </w:num>
  <w:num w:numId="3">
    <w:abstractNumId w:val="8"/>
  </w:num>
  <w:num w:numId="4">
    <w:abstractNumId w:val="10"/>
  </w:num>
  <w:num w:numId="5">
    <w:abstractNumId w:val="11"/>
  </w:num>
  <w:num w:numId="6">
    <w:abstractNumId w:val="3"/>
  </w:num>
  <w:num w:numId="7">
    <w:abstractNumId w:val="2"/>
  </w:num>
  <w:num w:numId="8">
    <w:abstractNumId w:val="9"/>
  </w:num>
  <w:num w:numId="9">
    <w:abstractNumId w:val="6"/>
  </w:num>
  <w:num w:numId="10">
    <w:abstractNumId w:val="7"/>
  </w:num>
  <w:num w:numId="11">
    <w:abstractNumId w:val="5"/>
  </w:num>
  <w:num w:numId="12">
    <w:abstractNumId w:val="0"/>
  </w:num>
  <w:num w:numId="13">
    <w:abstractNumId w:val="13"/>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558"/>
    <w:rsid w:val="00023BEE"/>
    <w:rsid w:val="000240E6"/>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44A"/>
    <w:rsid w:val="00345A98"/>
    <w:rsid w:val="00346885"/>
    <w:rsid w:val="00347100"/>
    <w:rsid w:val="003502CB"/>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9D"/>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0E7"/>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17E51"/>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17C2"/>
    <w:rsid w:val="00E3212D"/>
    <w:rsid w:val="00E32575"/>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2A9"/>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fillcolor="white" stroke="f">
      <v:fill color="white"/>
      <v:stroke on="f"/>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60F3-5CE4-4B04-B4FA-E8D649EE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808</Words>
  <Characters>4307</Characters>
  <Application>Microsoft Office Word</Application>
  <DocSecurity>0</DocSecurity>
  <Lines>88</Lines>
  <Paragraphs>41</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ECE/TRANS/WP.29/GRE/2020/9</vt:lpstr>
      <vt:lpstr>ECE/TRANS/WP.29/GRE/2020/9</vt:lpstr>
      <vt:lpstr>ECE/TRANS/WP.29/GRE/2019/3</vt:lpstr>
      <vt:lpstr>ECE/TRANS/WP.29/GRE/2018/49</vt:lpstr>
    </vt:vector>
  </TitlesOfParts>
  <Company>CSD</Company>
  <LinksUpToDate>false</LinksUpToDate>
  <CharactersWithSpaces>5100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ECE/TRANS/WP.29/GRE/2020/9/Rev.1</dc:title>
  <dc:subject>2010293</dc:subject>
  <dc:creator>Una Philippa GILTSOFF</dc:creator>
  <cp:keywords/>
  <dc:description/>
  <cp:lastModifiedBy>Una Philippa GILTSOFF</cp:lastModifiedBy>
  <cp:revision>2</cp:revision>
  <cp:lastPrinted>2019-01-31T15:08:00Z</cp:lastPrinted>
  <dcterms:created xsi:type="dcterms:W3CDTF">2020-07-30T09:28:00Z</dcterms:created>
  <dcterms:modified xsi:type="dcterms:W3CDTF">2020-07-30T09:28:00Z</dcterms:modified>
</cp:coreProperties>
</file>