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7D9980" w14:textId="77777777" w:rsidTr="00C97039">
        <w:trPr>
          <w:trHeight w:hRule="exact" w:val="851"/>
        </w:trPr>
        <w:tc>
          <w:tcPr>
            <w:tcW w:w="1276" w:type="dxa"/>
            <w:tcBorders>
              <w:bottom w:val="single" w:sz="4" w:space="0" w:color="auto"/>
            </w:tcBorders>
          </w:tcPr>
          <w:p w14:paraId="4F97407C" w14:textId="77777777" w:rsidR="00F35BAF" w:rsidRPr="00DB58B5" w:rsidRDefault="00F35BAF" w:rsidP="003E5696"/>
        </w:tc>
        <w:tc>
          <w:tcPr>
            <w:tcW w:w="2268" w:type="dxa"/>
            <w:tcBorders>
              <w:bottom w:val="single" w:sz="4" w:space="0" w:color="auto"/>
            </w:tcBorders>
            <w:vAlign w:val="bottom"/>
          </w:tcPr>
          <w:p w14:paraId="7891AB4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651259" w14:textId="77777777" w:rsidR="00F35BAF" w:rsidRPr="00DB58B5" w:rsidRDefault="003E5696" w:rsidP="003E5696">
            <w:pPr>
              <w:jc w:val="right"/>
            </w:pPr>
            <w:r w:rsidRPr="003E5696">
              <w:rPr>
                <w:sz w:val="40"/>
              </w:rPr>
              <w:t>ECE</w:t>
            </w:r>
            <w:r>
              <w:t>/TRANS/WP.15/2021/6</w:t>
            </w:r>
          </w:p>
        </w:tc>
      </w:tr>
      <w:tr w:rsidR="00F35BAF" w:rsidRPr="00DB58B5" w14:paraId="1147EE96" w14:textId="77777777" w:rsidTr="00C97039">
        <w:trPr>
          <w:trHeight w:hRule="exact" w:val="2835"/>
        </w:trPr>
        <w:tc>
          <w:tcPr>
            <w:tcW w:w="1276" w:type="dxa"/>
            <w:tcBorders>
              <w:top w:val="single" w:sz="4" w:space="0" w:color="auto"/>
              <w:bottom w:val="single" w:sz="12" w:space="0" w:color="auto"/>
            </w:tcBorders>
          </w:tcPr>
          <w:p w14:paraId="2C76B40B" w14:textId="77777777" w:rsidR="00F35BAF" w:rsidRPr="00DB58B5" w:rsidRDefault="00F35BAF" w:rsidP="00C97039">
            <w:pPr>
              <w:spacing w:before="120"/>
              <w:jc w:val="center"/>
            </w:pPr>
            <w:r>
              <w:rPr>
                <w:noProof/>
                <w:lang w:eastAsia="fr-CH"/>
              </w:rPr>
              <w:drawing>
                <wp:inline distT="0" distB="0" distL="0" distR="0" wp14:anchorId="2D71FC54" wp14:editId="08E9F1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E5DD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5FA60D" w14:textId="77777777" w:rsidR="00F35BAF" w:rsidRDefault="003E5696" w:rsidP="00C97039">
            <w:pPr>
              <w:spacing w:before="240"/>
            </w:pPr>
            <w:proofErr w:type="spellStart"/>
            <w:r>
              <w:t>Distr</w:t>
            </w:r>
            <w:proofErr w:type="spellEnd"/>
            <w:r>
              <w:t xml:space="preserve">. </w:t>
            </w:r>
            <w:proofErr w:type="gramStart"/>
            <w:r>
              <w:t>générale</w:t>
            </w:r>
            <w:proofErr w:type="gramEnd"/>
          </w:p>
          <w:p w14:paraId="097233BE" w14:textId="77777777" w:rsidR="003E5696" w:rsidRDefault="003E5696" w:rsidP="003E5696">
            <w:pPr>
              <w:spacing w:line="240" w:lineRule="exact"/>
            </w:pPr>
            <w:r>
              <w:t>18 février 2021</w:t>
            </w:r>
          </w:p>
          <w:p w14:paraId="7D37AC9A" w14:textId="77777777" w:rsidR="003E5696" w:rsidRDefault="003E5696" w:rsidP="003E5696">
            <w:pPr>
              <w:spacing w:line="240" w:lineRule="exact"/>
            </w:pPr>
            <w:r>
              <w:t>Français</w:t>
            </w:r>
          </w:p>
          <w:p w14:paraId="5BE59312" w14:textId="77777777" w:rsidR="003E5696" w:rsidRPr="00DB58B5" w:rsidRDefault="003E5696" w:rsidP="003E5696">
            <w:pPr>
              <w:spacing w:line="240" w:lineRule="exact"/>
            </w:pPr>
            <w:r>
              <w:t>Original : anglais</w:t>
            </w:r>
          </w:p>
        </w:tc>
      </w:tr>
    </w:tbl>
    <w:p w14:paraId="0F98AA31" w14:textId="77777777" w:rsidR="007F20FA" w:rsidRPr="000312C0" w:rsidRDefault="007F20FA" w:rsidP="007F20FA">
      <w:pPr>
        <w:spacing w:before="120"/>
        <w:rPr>
          <w:b/>
          <w:sz w:val="28"/>
          <w:szCs w:val="28"/>
        </w:rPr>
      </w:pPr>
      <w:r w:rsidRPr="000312C0">
        <w:rPr>
          <w:b/>
          <w:sz w:val="28"/>
          <w:szCs w:val="28"/>
        </w:rPr>
        <w:t>Commission économique pour l’Europe</w:t>
      </w:r>
    </w:p>
    <w:p w14:paraId="6EC5C807" w14:textId="77777777" w:rsidR="007F20FA" w:rsidRDefault="007F20FA" w:rsidP="007F20FA">
      <w:pPr>
        <w:spacing w:before="120"/>
        <w:rPr>
          <w:sz w:val="28"/>
          <w:szCs w:val="28"/>
        </w:rPr>
      </w:pPr>
      <w:r w:rsidRPr="00685843">
        <w:rPr>
          <w:sz w:val="28"/>
          <w:szCs w:val="28"/>
        </w:rPr>
        <w:t>Comité des transports intérieurs</w:t>
      </w:r>
    </w:p>
    <w:p w14:paraId="3497B785" w14:textId="77777777" w:rsidR="003E5696" w:rsidRPr="00001F5E" w:rsidRDefault="003E5696" w:rsidP="003E5696">
      <w:pPr>
        <w:spacing w:before="120"/>
        <w:ind w:right="4677"/>
        <w:rPr>
          <w:b/>
          <w:sz w:val="32"/>
          <w:szCs w:val="32"/>
        </w:rPr>
      </w:pPr>
      <w:r w:rsidRPr="00001F5E">
        <w:rPr>
          <w:b/>
          <w:bCs/>
          <w:sz w:val="24"/>
          <w:szCs w:val="24"/>
          <w:lang w:val="fr-FR"/>
        </w:rPr>
        <w:t>Groupe de travail des transports de</w:t>
      </w:r>
      <w:r>
        <w:rPr>
          <w:b/>
          <w:bCs/>
          <w:sz w:val="24"/>
          <w:szCs w:val="24"/>
          <w:lang w:val="fr-FR"/>
        </w:rPr>
        <w:t> </w:t>
      </w:r>
      <w:r w:rsidRPr="00001F5E">
        <w:rPr>
          <w:b/>
          <w:bCs/>
          <w:sz w:val="24"/>
          <w:szCs w:val="24"/>
          <w:lang w:val="fr-FR"/>
        </w:rPr>
        <w:t>marchandises dangereuses</w:t>
      </w:r>
    </w:p>
    <w:p w14:paraId="3B683046" w14:textId="77777777" w:rsidR="003E5696" w:rsidRPr="007A2C19" w:rsidRDefault="003E5696" w:rsidP="003E5696">
      <w:pPr>
        <w:spacing w:before="120"/>
        <w:ind w:right="4677"/>
        <w:rPr>
          <w:rFonts w:eastAsia="SimSun"/>
          <w:b/>
          <w:bCs/>
        </w:rPr>
      </w:pPr>
      <w:r w:rsidRPr="007A2C19">
        <w:rPr>
          <w:b/>
          <w:bCs/>
          <w:lang w:val="fr-FR"/>
        </w:rPr>
        <w:t>109</w:t>
      </w:r>
      <w:r w:rsidRPr="007A2C19">
        <w:rPr>
          <w:b/>
          <w:bCs/>
          <w:vertAlign w:val="superscript"/>
          <w:lang w:val="fr-FR"/>
        </w:rPr>
        <w:t>e</w:t>
      </w:r>
      <w:r w:rsidR="00882506" w:rsidRPr="007A2C19">
        <w:rPr>
          <w:b/>
          <w:bCs/>
          <w:lang w:val="fr-FR"/>
        </w:rPr>
        <w:t> </w:t>
      </w:r>
      <w:r w:rsidRPr="007A2C19">
        <w:rPr>
          <w:b/>
          <w:bCs/>
          <w:lang w:val="fr-FR"/>
        </w:rPr>
        <w:t>session</w:t>
      </w:r>
    </w:p>
    <w:p w14:paraId="2710C7CC" w14:textId="77777777" w:rsidR="003E5696" w:rsidRPr="00450A66" w:rsidRDefault="003E5696" w:rsidP="003E5696">
      <w:pPr>
        <w:ind w:right="4677"/>
        <w:rPr>
          <w:rFonts w:eastAsia="SimSun"/>
        </w:rPr>
      </w:pPr>
      <w:r>
        <w:rPr>
          <w:lang w:val="fr-FR"/>
        </w:rPr>
        <w:t>Genève, 3-7</w:t>
      </w:r>
      <w:r w:rsidR="00882506">
        <w:rPr>
          <w:lang w:val="fr-FR"/>
        </w:rPr>
        <w:t> </w:t>
      </w:r>
      <w:r>
        <w:rPr>
          <w:lang w:val="fr-FR"/>
        </w:rPr>
        <w:t>mai 2021</w:t>
      </w:r>
    </w:p>
    <w:p w14:paraId="49CD92D5" w14:textId="77777777" w:rsidR="003E5696" w:rsidRPr="00450A66" w:rsidRDefault="003E5696" w:rsidP="003E5696">
      <w:pPr>
        <w:ind w:right="4677"/>
      </w:pPr>
      <w:r>
        <w:rPr>
          <w:lang w:val="fr-FR"/>
        </w:rPr>
        <w:t>Point 6 de l’ordre du jour provisoire</w:t>
      </w:r>
    </w:p>
    <w:p w14:paraId="6E86D848" w14:textId="77777777" w:rsidR="003E5696" w:rsidRPr="00450A66" w:rsidRDefault="003E5696" w:rsidP="003E5696">
      <w:pPr>
        <w:ind w:right="4677"/>
        <w:rPr>
          <w:b/>
          <w:bCs/>
        </w:rPr>
      </w:pPr>
      <w:r>
        <w:rPr>
          <w:b/>
          <w:bCs/>
          <w:lang w:val="fr-FR"/>
        </w:rPr>
        <w:t>Interprétation de l’ADR</w:t>
      </w:r>
    </w:p>
    <w:p w14:paraId="4624395E" w14:textId="77777777" w:rsidR="003E5696" w:rsidRPr="00450A66" w:rsidRDefault="003E5696" w:rsidP="00882506">
      <w:pPr>
        <w:pStyle w:val="HChG"/>
      </w:pPr>
      <w:r>
        <w:rPr>
          <w:lang w:val="fr-FR"/>
        </w:rPr>
        <w:tab/>
      </w:r>
      <w:r>
        <w:rPr>
          <w:lang w:val="fr-FR"/>
        </w:rPr>
        <w:tab/>
      </w:r>
      <w:r w:rsidRPr="007A2C19">
        <w:rPr>
          <w:spacing w:val="2"/>
          <w:lang w:val="fr-FR"/>
        </w:rPr>
        <w:t>Application des prescriptions relatives à l’équipement</w:t>
      </w:r>
      <w:r>
        <w:rPr>
          <w:lang w:val="fr-FR"/>
        </w:rPr>
        <w:t xml:space="preserve"> </w:t>
      </w:r>
      <w:r w:rsidRPr="007A2C19">
        <w:rPr>
          <w:spacing w:val="-2"/>
          <w:lang w:val="fr-FR"/>
        </w:rPr>
        <w:t xml:space="preserve">électrique des véhicules conformément au 9.2.1.1 de l’ADR </w:t>
      </w:r>
      <w:r>
        <w:rPr>
          <w:lang w:val="fr-FR"/>
        </w:rPr>
        <w:t xml:space="preserve">– dispositions transitoires </w:t>
      </w:r>
    </w:p>
    <w:p w14:paraId="76B9A4AF" w14:textId="77777777" w:rsidR="003E5696" w:rsidRPr="00450A66" w:rsidRDefault="003E5696" w:rsidP="00882506">
      <w:pPr>
        <w:pStyle w:val="H1G"/>
      </w:pPr>
      <w:r>
        <w:rPr>
          <w:lang w:val="fr-FR"/>
        </w:rPr>
        <w:tab/>
      </w:r>
      <w:r>
        <w:rPr>
          <w:lang w:val="fr-FR"/>
        </w:rPr>
        <w:tab/>
        <w:t>Communication des Gouvernements des Pays-Bas et de l’Allemagne</w:t>
      </w:r>
      <w:r w:rsidRPr="007A2C19">
        <w:rPr>
          <w:b w:val="0"/>
          <w:bCs/>
          <w:position w:val="4"/>
          <w:sz w:val="20"/>
          <w:lang w:val="fr-FR"/>
        </w:rPr>
        <w:footnoteReference w:customMarkFollows="1" w:id="2"/>
        <w:sym w:font="Symbol" w:char="F02A"/>
      </w:r>
    </w:p>
    <w:p w14:paraId="4AEFD019" w14:textId="77777777" w:rsidR="00F9573C" w:rsidRDefault="003E5696" w:rsidP="00882506">
      <w:pPr>
        <w:pStyle w:val="H23G"/>
        <w:rPr>
          <w:lang w:val="fr-FR"/>
        </w:rPr>
      </w:pPr>
      <w:r>
        <w:rPr>
          <w:lang w:val="fr-FR"/>
        </w:rPr>
        <w:tab/>
      </w:r>
      <w:r>
        <w:rPr>
          <w:lang w:val="fr-FR"/>
        </w:rPr>
        <w:tab/>
        <w:t>Documents de référence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882506" w14:paraId="7C0E9B78" w14:textId="77777777" w:rsidTr="00882506">
        <w:trPr>
          <w:jc w:val="center"/>
        </w:trPr>
        <w:tc>
          <w:tcPr>
            <w:tcW w:w="9628" w:type="dxa"/>
            <w:shd w:val="clear" w:color="auto" w:fill="auto"/>
          </w:tcPr>
          <w:p w14:paraId="6D0F391A" w14:textId="77777777" w:rsidR="00882506" w:rsidRDefault="00882506">
            <w:pPr>
              <w:spacing w:before="240" w:after="120"/>
              <w:ind w:left="255"/>
              <w:rPr>
                <w:i/>
                <w:sz w:val="24"/>
              </w:rPr>
            </w:pPr>
            <w:r>
              <w:rPr>
                <w:i/>
                <w:sz w:val="24"/>
              </w:rPr>
              <w:t>Résumé</w:t>
            </w:r>
          </w:p>
        </w:tc>
      </w:tr>
      <w:tr w:rsidR="00882506" w14:paraId="625ED3D2" w14:textId="77777777" w:rsidTr="00882506">
        <w:trPr>
          <w:jc w:val="center"/>
        </w:trPr>
        <w:tc>
          <w:tcPr>
            <w:tcW w:w="9628" w:type="dxa"/>
            <w:shd w:val="clear" w:color="auto" w:fill="auto"/>
          </w:tcPr>
          <w:p w14:paraId="576F42B4" w14:textId="77777777" w:rsidR="00882506" w:rsidRDefault="00882506" w:rsidP="00882506">
            <w:pPr>
              <w:pStyle w:val="SingleTxtG"/>
              <w:ind w:left="3402" w:hanging="2268"/>
            </w:pPr>
            <w:r>
              <w:rPr>
                <w:b/>
                <w:bCs/>
                <w:lang w:val="fr-FR"/>
              </w:rPr>
              <w:t>Documents de référence</w:t>
            </w:r>
            <w:r w:rsidR="007A2C19">
              <w:rPr>
                <w:b/>
                <w:bCs/>
                <w:lang w:val="fr-FR"/>
              </w:rPr>
              <w:t> </w:t>
            </w:r>
            <w:r>
              <w:rPr>
                <w:b/>
                <w:bCs/>
                <w:lang w:val="fr-FR"/>
              </w:rPr>
              <w:t>:</w:t>
            </w:r>
            <w:r>
              <w:rPr>
                <w:lang w:val="fr-FR"/>
              </w:rPr>
              <w:t xml:space="preserve"> </w:t>
            </w:r>
            <w:r>
              <w:rPr>
                <w:lang w:val="fr-FR"/>
              </w:rPr>
              <w:tab/>
              <w:t>108</w:t>
            </w:r>
            <w:r>
              <w:rPr>
                <w:vertAlign w:val="superscript"/>
                <w:lang w:val="fr-FR"/>
              </w:rPr>
              <w:t>e</w:t>
            </w:r>
            <w:r>
              <w:rPr>
                <w:lang w:val="fr-FR"/>
              </w:rPr>
              <w:t> session du WP.15 (novembre 2020), documents informels INF.13 et INF.26</w:t>
            </w:r>
          </w:p>
        </w:tc>
      </w:tr>
      <w:tr w:rsidR="00882506" w14:paraId="3E01A594" w14:textId="77777777" w:rsidTr="00882506">
        <w:trPr>
          <w:jc w:val="center"/>
        </w:trPr>
        <w:tc>
          <w:tcPr>
            <w:tcW w:w="9628" w:type="dxa"/>
            <w:shd w:val="clear" w:color="auto" w:fill="auto"/>
          </w:tcPr>
          <w:p w14:paraId="6AF116B9" w14:textId="77777777" w:rsidR="00882506" w:rsidRDefault="00882506"/>
        </w:tc>
      </w:tr>
    </w:tbl>
    <w:p w14:paraId="6039E7AB" w14:textId="77777777" w:rsidR="00882506" w:rsidRPr="00450A66" w:rsidRDefault="00882506" w:rsidP="00882506">
      <w:pPr>
        <w:pStyle w:val="HChG"/>
        <w:spacing w:before="480"/>
      </w:pPr>
      <w:r>
        <w:rPr>
          <w:lang w:val="fr-FR"/>
        </w:rPr>
        <w:tab/>
      </w:r>
      <w:r>
        <w:rPr>
          <w:lang w:val="fr-FR"/>
        </w:rPr>
        <w:tab/>
      </w:r>
      <w:r>
        <w:rPr>
          <w:bCs/>
          <w:lang w:val="fr-FR"/>
        </w:rPr>
        <w:t>Introduction</w:t>
      </w:r>
    </w:p>
    <w:p w14:paraId="28798136" w14:textId="77777777" w:rsidR="00882506" w:rsidRPr="00450A66" w:rsidRDefault="00882506" w:rsidP="00882506">
      <w:pPr>
        <w:pStyle w:val="SingleTxtG"/>
        <w:spacing w:before="120"/>
      </w:pPr>
      <w:r>
        <w:rPr>
          <w:lang w:val="fr-FR"/>
        </w:rPr>
        <w:t>1.</w:t>
      </w:r>
      <w:r>
        <w:rPr>
          <w:lang w:val="fr-FR"/>
        </w:rPr>
        <w:tab/>
        <w:t>Pour la 108</w:t>
      </w:r>
      <w:r>
        <w:rPr>
          <w:vertAlign w:val="superscript"/>
          <w:lang w:val="fr-FR"/>
        </w:rPr>
        <w:t>e</w:t>
      </w:r>
      <w:r w:rsidR="007A2C19">
        <w:rPr>
          <w:lang w:val="fr-FR"/>
        </w:rPr>
        <w:t> </w:t>
      </w:r>
      <w:r>
        <w:rPr>
          <w:lang w:val="fr-FR"/>
        </w:rPr>
        <w:t>session du WP.15 (novembre 2020), l’Allemagne avait transmis le document informel INF.13, portant sur l’interprétation des mesures transitoires du tableau du</w:t>
      </w:r>
      <w:r w:rsidR="007A2C19">
        <w:rPr>
          <w:lang w:val="fr-FR"/>
        </w:rPr>
        <w:t> </w:t>
      </w:r>
      <w:r>
        <w:rPr>
          <w:lang w:val="fr-FR"/>
        </w:rPr>
        <w:t>9.2.1.1, en particulier pour le système électrique. En réponse aux questions soulevées par l’Allemagne, les Pays-Bas ont soumis le document informel INF.</w:t>
      </w:r>
      <w:r w:rsidR="007A2C19">
        <w:rPr>
          <w:lang w:val="fr-FR"/>
        </w:rPr>
        <w:t> </w:t>
      </w:r>
      <w:r>
        <w:rPr>
          <w:lang w:val="fr-FR"/>
        </w:rPr>
        <w:t xml:space="preserve">26. Les deux pays ont convenu d’établir </w:t>
      </w:r>
      <w:r w:rsidRPr="00C144F3">
        <w:rPr>
          <w:lang w:val="fr-FR"/>
        </w:rPr>
        <w:t xml:space="preserve">conjointement un document officiel de synthèse sur ce point </w:t>
      </w:r>
      <w:r>
        <w:rPr>
          <w:lang w:val="fr-FR"/>
        </w:rPr>
        <w:t>pour la session suivante (voir ECE/TRANS/WP.15/251, par.</w:t>
      </w:r>
      <w:r w:rsidR="007A2C19">
        <w:rPr>
          <w:lang w:val="fr-FR"/>
        </w:rPr>
        <w:t> </w:t>
      </w:r>
      <w:r>
        <w:rPr>
          <w:lang w:val="fr-FR"/>
        </w:rPr>
        <w:t>58).</w:t>
      </w:r>
    </w:p>
    <w:p w14:paraId="585EB248" w14:textId="77777777" w:rsidR="00882506" w:rsidRDefault="00882506" w:rsidP="00882506">
      <w:pPr>
        <w:pStyle w:val="HChG"/>
      </w:pPr>
      <w:r>
        <w:rPr>
          <w:lang w:val="fr-FR"/>
        </w:rPr>
        <w:tab/>
      </w:r>
      <w:r>
        <w:rPr>
          <w:lang w:val="fr-FR"/>
        </w:rPr>
        <w:tab/>
      </w:r>
      <w:r>
        <w:rPr>
          <w:bCs/>
          <w:lang w:val="fr-FR"/>
        </w:rPr>
        <w:t>Référence aux véhicules immatriculés pour la première fois après le 31</w:t>
      </w:r>
      <w:r w:rsidR="007A2C19">
        <w:rPr>
          <w:bCs/>
          <w:lang w:val="fr-FR"/>
        </w:rPr>
        <w:t> </w:t>
      </w:r>
      <w:r>
        <w:rPr>
          <w:bCs/>
          <w:lang w:val="fr-FR"/>
        </w:rPr>
        <w:t>mars 2018</w:t>
      </w:r>
      <w:r>
        <w:rPr>
          <w:lang w:val="fr-FR"/>
        </w:rPr>
        <w:t xml:space="preserve"> </w:t>
      </w:r>
    </w:p>
    <w:p w14:paraId="43EA60CD" w14:textId="77777777" w:rsidR="00882506" w:rsidRPr="00450A66" w:rsidRDefault="00882506" w:rsidP="00882506">
      <w:pPr>
        <w:spacing w:after="120"/>
        <w:ind w:left="1134" w:right="1134"/>
        <w:jc w:val="both"/>
      </w:pPr>
      <w:r>
        <w:rPr>
          <w:lang w:val="fr-FR"/>
        </w:rPr>
        <w:t>2.</w:t>
      </w:r>
      <w:r>
        <w:rPr>
          <w:lang w:val="fr-FR"/>
        </w:rPr>
        <w:tab/>
      </w:r>
      <w:r>
        <w:rPr>
          <w:b/>
          <w:bCs/>
          <w:lang w:val="fr-FR"/>
        </w:rPr>
        <w:t>Question 1 posée par l’</w:t>
      </w:r>
      <w:r w:rsidR="007A2C19">
        <w:rPr>
          <w:b/>
          <w:bCs/>
          <w:lang w:val="fr-FR"/>
        </w:rPr>
        <w:t>Allemagne</w:t>
      </w:r>
      <w:r w:rsidR="007A2C19" w:rsidRPr="007A2C19">
        <w:rPr>
          <w:lang w:val="fr-FR"/>
        </w:rPr>
        <w:t> </w:t>
      </w:r>
      <w:r w:rsidRPr="007A2C19">
        <w:rPr>
          <w:lang w:val="fr-FR"/>
        </w:rPr>
        <w:t>:</w:t>
      </w:r>
      <w:r>
        <w:rPr>
          <w:b/>
          <w:bCs/>
          <w:lang w:val="fr-FR"/>
        </w:rPr>
        <w:t xml:space="preserve"> </w:t>
      </w:r>
      <w:r>
        <w:rPr>
          <w:lang w:val="fr-FR"/>
        </w:rPr>
        <w:t xml:space="preserve">Cette disposition du tableau concernant l’équipement électrique des véhicules immatriculés </w:t>
      </w:r>
      <w:r w:rsidRPr="007A2C19">
        <w:rPr>
          <w:lang w:val="fr-FR"/>
        </w:rPr>
        <w:t>(</w:t>
      </w:r>
      <w:proofErr w:type="spellStart"/>
      <w:r>
        <w:rPr>
          <w:i/>
          <w:iCs/>
          <w:lang w:val="fr-FR"/>
        </w:rPr>
        <w:t>registered</w:t>
      </w:r>
      <w:proofErr w:type="spellEnd"/>
      <w:r w:rsidRPr="007A2C19">
        <w:rPr>
          <w:lang w:val="fr-FR"/>
        </w:rPr>
        <w:t xml:space="preserve">) </w:t>
      </w:r>
      <w:r>
        <w:rPr>
          <w:lang w:val="fr-FR"/>
        </w:rPr>
        <w:t xml:space="preserve">pour la première fois pour la </w:t>
      </w:r>
      <w:r w:rsidR="007A2C19">
        <w:rPr>
          <w:lang w:val="fr-FR"/>
        </w:rPr>
        <w:tab/>
      </w:r>
      <w:r>
        <w:rPr>
          <w:lang w:val="fr-FR"/>
        </w:rPr>
        <w:t>circulation routière en général après le 31</w:t>
      </w:r>
      <w:r w:rsidR="007A2C19">
        <w:rPr>
          <w:lang w:val="fr-FR"/>
        </w:rPr>
        <w:t> </w:t>
      </w:r>
      <w:r>
        <w:rPr>
          <w:lang w:val="fr-FR"/>
        </w:rPr>
        <w:t>mars 2018 (première immatriculation</w:t>
      </w:r>
      <w:r w:rsidRPr="007A2C19">
        <w:rPr>
          <w:lang w:val="fr-FR"/>
        </w:rPr>
        <w:t xml:space="preserve"> (</w:t>
      </w:r>
      <w:r>
        <w:rPr>
          <w:i/>
          <w:iCs/>
          <w:lang w:val="fr-FR"/>
        </w:rPr>
        <w:t>registration</w:t>
      </w:r>
      <w:r w:rsidRPr="007A2C19">
        <w:rPr>
          <w:lang w:val="fr-FR"/>
        </w:rPr>
        <w:t>)</w:t>
      </w:r>
      <w:r>
        <w:rPr>
          <w:lang w:val="fr-FR"/>
        </w:rPr>
        <w:t xml:space="preserve"> </w:t>
      </w:r>
      <w:r>
        <w:rPr>
          <w:lang w:val="fr-FR"/>
        </w:rPr>
        <w:lastRenderedPageBreak/>
        <w:t xml:space="preserve">après construction, conformément au droit de la circulation routière) </w:t>
      </w:r>
      <w:proofErr w:type="spellStart"/>
      <w:r>
        <w:rPr>
          <w:lang w:val="fr-FR"/>
        </w:rPr>
        <w:t>fait-elle</w:t>
      </w:r>
      <w:proofErr w:type="spellEnd"/>
      <w:r>
        <w:rPr>
          <w:lang w:val="fr-FR"/>
        </w:rPr>
        <w:t xml:space="preserve"> référence à l’immatriculation au sens du droit de la circulation routière</w:t>
      </w:r>
      <w:r w:rsidR="007A2C19">
        <w:rPr>
          <w:lang w:val="fr-FR"/>
        </w:rPr>
        <w:t> </w:t>
      </w:r>
      <w:r>
        <w:rPr>
          <w:lang w:val="fr-FR"/>
        </w:rPr>
        <w:t>?</w:t>
      </w:r>
    </w:p>
    <w:p w14:paraId="119080DA" w14:textId="77777777" w:rsidR="00882506" w:rsidRPr="00450A66" w:rsidRDefault="00882506" w:rsidP="00882506">
      <w:pPr>
        <w:spacing w:after="120"/>
        <w:ind w:left="1134" w:right="1134"/>
        <w:jc w:val="both"/>
      </w:pPr>
      <w:r>
        <w:rPr>
          <w:lang w:val="fr-FR"/>
        </w:rPr>
        <w:t>3.</w:t>
      </w:r>
      <w:r>
        <w:rPr>
          <w:lang w:val="fr-FR"/>
        </w:rPr>
        <w:tab/>
      </w:r>
      <w:r>
        <w:rPr>
          <w:b/>
          <w:bCs/>
          <w:lang w:val="fr-FR"/>
        </w:rPr>
        <w:t>Réponse des Pays-Bas</w:t>
      </w:r>
      <w:r w:rsidR="007A2C19" w:rsidRPr="007A2C19">
        <w:rPr>
          <w:lang w:val="fr-FR"/>
        </w:rPr>
        <w:t> </w:t>
      </w:r>
      <w:r w:rsidRPr="007A2C19">
        <w:rPr>
          <w:lang w:val="fr-FR"/>
        </w:rPr>
        <w:t>:</w:t>
      </w:r>
      <w:r>
        <w:rPr>
          <w:lang w:val="fr-FR"/>
        </w:rPr>
        <w:t xml:space="preserve"> En effet, selon les Pays-Bas, c’est l’immatriculation au sens de la circulation routière qui est visée ici.</w:t>
      </w:r>
    </w:p>
    <w:p w14:paraId="6FABDFA4" w14:textId="77777777" w:rsidR="00882506" w:rsidRDefault="00882506" w:rsidP="00882506">
      <w:pPr>
        <w:spacing w:after="120"/>
        <w:ind w:left="1134" w:right="1134"/>
        <w:jc w:val="both"/>
      </w:pPr>
      <w:r>
        <w:rPr>
          <w:lang w:val="fr-FR"/>
        </w:rPr>
        <w:t>4.</w:t>
      </w:r>
      <w:r>
        <w:rPr>
          <w:lang w:val="fr-FR"/>
        </w:rPr>
        <w:tab/>
        <w:t xml:space="preserve">Il s’agit de la date à laquelle est délivré le document officiel d’identification du véhicule, « certificat d’immatriculation » en France, </w:t>
      </w:r>
      <w:r w:rsidRPr="004D6B35">
        <w:rPr>
          <w:i/>
          <w:iCs/>
          <w:lang w:val="fr-FR"/>
        </w:rPr>
        <w:t>V5C document</w:t>
      </w:r>
      <w:r>
        <w:rPr>
          <w:lang w:val="fr-FR"/>
        </w:rPr>
        <w:t xml:space="preserve"> au Royaume-Uni ou </w:t>
      </w:r>
      <w:proofErr w:type="spellStart"/>
      <w:r>
        <w:rPr>
          <w:i/>
          <w:iCs/>
          <w:lang w:val="fr-FR"/>
        </w:rPr>
        <w:t>Kraftfahrzeugbrief</w:t>
      </w:r>
      <w:proofErr w:type="spellEnd"/>
      <w:r>
        <w:rPr>
          <w:lang w:val="fr-FR"/>
        </w:rPr>
        <w:t xml:space="preserve"> en Allemagne, après quoi le véhicule peut être utilisé sur la route.</w:t>
      </w:r>
    </w:p>
    <w:p w14:paraId="2FAF9C7A" w14:textId="77777777" w:rsidR="00882506" w:rsidRPr="00450A66" w:rsidRDefault="00882506" w:rsidP="00882506">
      <w:pPr>
        <w:spacing w:after="120"/>
        <w:ind w:left="1134" w:right="1134"/>
        <w:jc w:val="both"/>
      </w:pPr>
      <w:r>
        <w:rPr>
          <w:lang w:val="fr-FR"/>
        </w:rPr>
        <w:t>5.</w:t>
      </w:r>
      <w:r>
        <w:rPr>
          <w:lang w:val="fr-FR"/>
        </w:rPr>
        <w:tab/>
        <w:t>Chez certaines Parties contractantes, ce document n’est délivré qu’au moment du premier contrôle périodique, notamment pour les remorques. Pour en tenir compte, l’option supplémentaire «</w:t>
      </w:r>
      <w:r w:rsidR="007A2C19">
        <w:rPr>
          <w:lang w:val="fr-FR"/>
        </w:rPr>
        <w:t> </w:t>
      </w:r>
      <w:r>
        <w:rPr>
          <w:lang w:val="fr-FR"/>
        </w:rPr>
        <w:t>(ou mis en service, dans le cas où l’immatriculation n’est pas obligatoire)</w:t>
      </w:r>
      <w:r w:rsidR="007A2C19">
        <w:rPr>
          <w:lang w:val="fr-FR"/>
        </w:rPr>
        <w:t> </w:t>
      </w:r>
      <w:r>
        <w:rPr>
          <w:lang w:val="fr-FR"/>
        </w:rPr>
        <w:t>» est toujours ajoutée aux commentaires dans la dernière colonne du tableau. Il est entendu que cette formulation peut soulever des questions si le contexte n’est pas connu.</w:t>
      </w:r>
    </w:p>
    <w:p w14:paraId="7F12BE92" w14:textId="77777777" w:rsidR="00882506" w:rsidRPr="00450A66" w:rsidRDefault="00882506" w:rsidP="00882506">
      <w:pPr>
        <w:spacing w:after="120"/>
        <w:ind w:left="1134" w:right="1134"/>
        <w:jc w:val="both"/>
      </w:pPr>
      <w:r>
        <w:rPr>
          <w:lang w:val="fr-FR"/>
        </w:rPr>
        <w:t>6.</w:t>
      </w:r>
      <w:r>
        <w:rPr>
          <w:lang w:val="fr-FR"/>
        </w:rPr>
        <w:tab/>
      </w:r>
      <w:r>
        <w:rPr>
          <w:b/>
          <w:bCs/>
          <w:lang w:val="fr-FR"/>
        </w:rPr>
        <w:t>Question 2 posée par l’</w:t>
      </w:r>
      <w:r w:rsidR="007A2C19">
        <w:rPr>
          <w:b/>
          <w:bCs/>
          <w:lang w:val="fr-FR"/>
        </w:rPr>
        <w:t>Allemagne</w:t>
      </w:r>
      <w:r w:rsidR="007A2C19" w:rsidRPr="007A2C19">
        <w:rPr>
          <w:lang w:val="fr-FR"/>
        </w:rPr>
        <w:t> </w:t>
      </w:r>
      <w:r w:rsidRPr="007A2C19">
        <w:rPr>
          <w:lang w:val="fr-FR"/>
        </w:rPr>
        <w:t>:</w:t>
      </w:r>
      <w:r>
        <w:rPr>
          <w:b/>
          <w:bCs/>
          <w:lang w:val="fr-FR"/>
        </w:rPr>
        <w:t xml:space="preserve"> </w:t>
      </w:r>
      <w:r>
        <w:rPr>
          <w:lang w:val="fr-FR"/>
        </w:rPr>
        <w:t>Cette disposition du tableau concernant l’équipement électrique des véhicules s’applique-t-elle également aux véhicules immatriculés pour la première fois après le 31</w:t>
      </w:r>
      <w:r w:rsidR="00D273CB">
        <w:rPr>
          <w:lang w:val="fr-FR"/>
        </w:rPr>
        <w:t> </w:t>
      </w:r>
      <w:r>
        <w:rPr>
          <w:lang w:val="fr-FR"/>
        </w:rPr>
        <w:t>mars 2018 en tant que véhicule certifié ADR (EX/II, EX/III, AT, FL) avec un certificat d’agrément conformément à la partie 9 de l’ADR</w:t>
      </w:r>
      <w:r w:rsidR="00D273CB">
        <w:rPr>
          <w:lang w:val="fr-FR"/>
        </w:rPr>
        <w:t> </w:t>
      </w:r>
      <w:r>
        <w:rPr>
          <w:lang w:val="fr-FR"/>
        </w:rPr>
        <w:t>?</w:t>
      </w:r>
    </w:p>
    <w:p w14:paraId="0D25E778" w14:textId="77777777" w:rsidR="00882506" w:rsidRDefault="00882506" w:rsidP="00882506">
      <w:pPr>
        <w:spacing w:after="120"/>
        <w:ind w:left="1134" w:right="1134"/>
        <w:jc w:val="both"/>
      </w:pPr>
      <w:r>
        <w:rPr>
          <w:lang w:val="fr-FR"/>
        </w:rPr>
        <w:t>7.</w:t>
      </w:r>
      <w:r>
        <w:rPr>
          <w:lang w:val="fr-FR"/>
        </w:rPr>
        <w:tab/>
      </w:r>
      <w:r>
        <w:rPr>
          <w:b/>
          <w:bCs/>
          <w:lang w:val="fr-FR"/>
        </w:rPr>
        <w:t>Réponse des Pays-Bas</w:t>
      </w:r>
      <w:r w:rsidR="007A2C19" w:rsidRPr="007A2C19">
        <w:rPr>
          <w:lang w:val="fr-FR"/>
        </w:rPr>
        <w:t> </w:t>
      </w:r>
      <w:r w:rsidRPr="007A2C19">
        <w:rPr>
          <w:lang w:val="fr-FR"/>
        </w:rPr>
        <w:t>:</w:t>
      </w:r>
      <w:r>
        <w:rPr>
          <w:lang w:val="fr-FR"/>
        </w:rPr>
        <w:t xml:space="preserve"> En effet, l’application des remarques a, b et e telles que reproduites ci-dessous s’applique aux véhicules immatriculés pour la première fois au sens de la circulation routière.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2086"/>
        <w:gridCol w:w="618"/>
        <w:gridCol w:w="603"/>
        <w:gridCol w:w="452"/>
        <w:gridCol w:w="452"/>
        <w:gridCol w:w="4671"/>
      </w:tblGrid>
      <w:tr w:rsidR="00882506" w:rsidRPr="0036500F" w14:paraId="0D8B47D5" w14:textId="77777777" w:rsidTr="00D273CB">
        <w:trPr>
          <w:trHeight w:val="20"/>
          <w:tblHeader/>
        </w:trPr>
        <w:tc>
          <w:tcPr>
            <w:tcW w:w="2843" w:type="dxa"/>
            <w:gridSpan w:val="2"/>
            <w:tcBorders>
              <w:top w:val="single" w:sz="4" w:space="0" w:color="auto"/>
              <w:left w:val="single" w:sz="4" w:space="0" w:color="auto"/>
              <w:bottom w:val="single" w:sz="4" w:space="0" w:color="auto"/>
              <w:right w:val="single" w:sz="4" w:space="0" w:color="auto"/>
            </w:tcBorders>
          </w:tcPr>
          <w:p w14:paraId="022DA6F6"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p>
        </w:tc>
        <w:tc>
          <w:tcPr>
            <w:tcW w:w="2125" w:type="dxa"/>
            <w:gridSpan w:val="4"/>
            <w:tcBorders>
              <w:top w:val="single" w:sz="4" w:space="0" w:color="auto"/>
              <w:left w:val="single" w:sz="4" w:space="0" w:color="auto"/>
              <w:bottom w:val="single" w:sz="4" w:space="0" w:color="auto"/>
              <w:right w:val="single" w:sz="4" w:space="0" w:color="auto"/>
            </w:tcBorders>
            <w:hideMark/>
          </w:tcPr>
          <w:p w14:paraId="2C6ADFF8"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VÉHICULES</w:t>
            </w:r>
          </w:p>
        </w:tc>
        <w:tc>
          <w:tcPr>
            <w:tcW w:w="4671" w:type="dxa"/>
            <w:tcBorders>
              <w:top w:val="single" w:sz="4" w:space="0" w:color="auto"/>
              <w:left w:val="single" w:sz="4" w:space="0" w:color="auto"/>
              <w:bottom w:val="single" w:sz="4" w:space="0" w:color="auto"/>
              <w:right w:val="single" w:sz="4" w:space="0" w:color="auto"/>
            </w:tcBorders>
            <w:hideMark/>
          </w:tcPr>
          <w:p w14:paraId="1B1EF435"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REMARQUES</w:t>
            </w:r>
          </w:p>
        </w:tc>
      </w:tr>
      <w:tr w:rsidR="00882506" w:rsidRPr="0036500F" w14:paraId="2BD92890" w14:textId="77777777" w:rsidTr="00D273CB">
        <w:trPr>
          <w:trHeight w:val="20"/>
          <w:tblHeader/>
        </w:trPr>
        <w:tc>
          <w:tcPr>
            <w:tcW w:w="2843" w:type="dxa"/>
            <w:gridSpan w:val="2"/>
            <w:tcBorders>
              <w:top w:val="single" w:sz="4" w:space="0" w:color="auto"/>
              <w:left w:val="single" w:sz="4" w:space="0" w:color="auto"/>
              <w:bottom w:val="single" w:sz="4" w:space="0" w:color="auto"/>
              <w:right w:val="single" w:sz="4" w:space="0" w:color="auto"/>
            </w:tcBorders>
            <w:hideMark/>
          </w:tcPr>
          <w:p w14:paraId="334F8129"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SPÉCIFICATIONS TECHNIQUES</w:t>
            </w:r>
          </w:p>
        </w:tc>
        <w:tc>
          <w:tcPr>
            <w:tcW w:w="618" w:type="dxa"/>
            <w:tcBorders>
              <w:top w:val="single" w:sz="4" w:space="0" w:color="auto"/>
              <w:left w:val="single" w:sz="4" w:space="0" w:color="auto"/>
              <w:bottom w:val="single" w:sz="4" w:space="0" w:color="auto"/>
              <w:right w:val="single" w:sz="4" w:space="0" w:color="auto"/>
            </w:tcBorders>
            <w:hideMark/>
          </w:tcPr>
          <w:p w14:paraId="0C1AC003"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EX/II</w:t>
            </w:r>
          </w:p>
        </w:tc>
        <w:tc>
          <w:tcPr>
            <w:tcW w:w="603" w:type="dxa"/>
            <w:tcBorders>
              <w:top w:val="single" w:sz="4" w:space="0" w:color="auto"/>
              <w:left w:val="single" w:sz="4" w:space="0" w:color="auto"/>
              <w:bottom w:val="single" w:sz="4" w:space="0" w:color="auto"/>
              <w:right w:val="single" w:sz="4" w:space="0" w:color="auto"/>
            </w:tcBorders>
            <w:hideMark/>
          </w:tcPr>
          <w:p w14:paraId="7944FCD1"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EX/III</w:t>
            </w:r>
          </w:p>
        </w:tc>
        <w:tc>
          <w:tcPr>
            <w:tcW w:w="452" w:type="dxa"/>
            <w:tcBorders>
              <w:top w:val="single" w:sz="4" w:space="0" w:color="auto"/>
              <w:left w:val="single" w:sz="4" w:space="0" w:color="auto"/>
              <w:bottom w:val="single" w:sz="4" w:space="0" w:color="auto"/>
              <w:right w:val="single" w:sz="4" w:space="0" w:color="auto"/>
            </w:tcBorders>
            <w:hideMark/>
          </w:tcPr>
          <w:p w14:paraId="66A3D3F0"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AT</w:t>
            </w:r>
          </w:p>
        </w:tc>
        <w:tc>
          <w:tcPr>
            <w:tcW w:w="452" w:type="dxa"/>
            <w:tcBorders>
              <w:top w:val="single" w:sz="4" w:space="0" w:color="auto"/>
              <w:left w:val="single" w:sz="4" w:space="0" w:color="auto"/>
              <w:bottom w:val="single" w:sz="4" w:space="0" w:color="auto"/>
              <w:right w:val="single" w:sz="4" w:space="0" w:color="auto"/>
            </w:tcBorders>
            <w:hideMark/>
          </w:tcPr>
          <w:p w14:paraId="36067B53"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FL</w:t>
            </w:r>
          </w:p>
        </w:tc>
        <w:tc>
          <w:tcPr>
            <w:tcW w:w="4671" w:type="dxa"/>
            <w:tcBorders>
              <w:top w:val="single" w:sz="4" w:space="0" w:color="auto"/>
              <w:left w:val="single" w:sz="4" w:space="0" w:color="auto"/>
              <w:bottom w:val="single" w:sz="4" w:space="0" w:color="auto"/>
              <w:right w:val="single" w:sz="4" w:space="0" w:color="auto"/>
            </w:tcBorders>
          </w:tcPr>
          <w:p w14:paraId="31B5F087" w14:textId="77777777" w:rsidR="00882506" w:rsidRPr="0036500F" w:rsidRDefault="00882506" w:rsidP="00666E0B">
            <w:pPr>
              <w:suppressAutoHyphens w:val="0"/>
              <w:spacing w:after="60" w:line="240" w:lineRule="auto"/>
              <w:ind w:right="-142"/>
              <w:jc w:val="both"/>
              <w:rPr>
                <w:rFonts w:asciiTheme="majorBidi" w:hAnsiTheme="majorBidi" w:cstheme="majorBidi"/>
                <w:sz w:val="18"/>
                <w:szCs w:val="18"/>
              </w:rPr>
            </w:pPr>
          </w:p>
        </w:tc>
      </w:tr>
      <w:tr w:rsidR="00882506" w:rsidRPr="0036500F" w14:paraId="2E80C72F"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44F5D4A9" w14:textId="77777777" w:rsidR="00882506" w:rsidRPr="00D92AB5" w:rsidRDefault="00882506" w:rsidP="00666E0B">
            <w:pPr>
              <w:suppressAutoHyphens w:val="0"/>
              <w:spacing w:after="60" w:line="240" w:lineRule="auto"/>
              <w:jc w:val="both"/>
              <w:rPr>
                <w:rFonts w:asciiTheme="majorBidi" w:hAnsiTheme="majorBidi" w:cstheme="majorBidi"/>
                <w:b/>
                <w:bCs/>
                <w:sz w:val="18"/>
                <w:szCs w:val="18"/>
              </w:rPr>
            </w:pPr>
            <w:r w:rsidRPr="00D92AB5">
              <w:rPr>
                <w:b/>
                <w:bCs/>
                <w:lang w:val="fr-FR"/>
              </w:rPr>
              <w:t>9.2.2</w:t>
            </w:r>
          </w:p>
        </w:tc>
        <w:tc>
          <w:tcPr>
            <w:tcW w:w="2086" w:type="dxa"/>
            <w:tcBorders>
              <w:top w:val="single" w:sz="4" w:space="0" w:color="auto"/>
              <w:left w:val="single" w:sz="4" w:space="0" w:color="auto"/>
              <w:bottom w:val="single" w:sz="4" w:space="0" w:color="auto"/>
              <w:right w:val="single" w:sz="4" w:space="0" w:color="auto"/>
            </w:tcBorders>
            <w:hideMark/>
          </w:tcPr>
          <w:p w14:paraId="25EC21A6" w14:textId="77777777" w:rsidR="00882506" w:rsidRPr="0036500F" w:rsidRDefault="00882506" w:rsidP="00666E0B">
            <w:pPr>
              <w:suppressAutoHyphens w:val="0"/>
              <w:spacing w:after="60" w:line="240" w:lineRule="auto"/>
              <w:jc w:val="both"/>
              <w:rPr>
                <w:rFonts w:asciiTheme="majorBidi" w:hAnsiTheme="majorBidi" w:cstheme="majorBidi"/>
                <w:b/>
                <w:sz w:val="18"/>
                <w:szCs w:val="18"/>
              </w:rPr>
            </w:pPr>
            <w:r>
              <w:rPr>
                <w:b/>
                <w:bCs/>
                <w:lang w:val="fr-FR"/>
              </w:rPr>
              <w:t>ÉQUIPEMENT ÉLECTRIQUE</w:t>
            </w:r>
          </w:p>
        </w:tc>
        <w:tc>
          <w:tcPr>
            <w:tcW w:w="618" w:type="dxa"/>
            <w:tcBorders>
              <w:top w:val="single" w:sz="4" w:space="0" w:color="auto"/>
              <w:left w:val="single" w:sz="4" w:space="0" w:color="auto"/>
              <w:bottom w:val="single" w:sz="4" w:space="0" w:color="auto"/>
              <w:right w:val="single" w:sz="4" w:space="0" w:color="auto"/>
            </w:tcBorders>
          </w:tcPr>
          <w:p w14:paraId="6ED3B75E"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
        </w:tc>
        <w:tc>
          <w:tcPr>
            <w:tcW w:w="603" w:type="dxa"/>
            <w:tcBorders>
              <w:top w:val="single" w:sz="4" w:space="0" w:color="auto"/>
              <w:left w:val="single" w:sz="4" w:space="0" w:color="auto"/>
              <w:bottom w:val="single" w:sz="4" w:space="0" w:color="auto"/>
              <w:right w:val="single" w:sz="4" w:space="0" w:color="auto"/>
            </w:tcBorders>
          </w:tcPr>
          <w:p w14:paraId="4B2E77BA"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
        </w:tc>
        <w:tc>
          <w:tcPr>
            <w:tcW w:w="452" w:type="dxa"/>
            <w:tcBorders>
              <w:top w:val="single" w:sz="4" w:space="0" w:color="auto"/>
              <w:left w:val="single" w:sz="4" w:space="0" w:color="auto"/>
              <w:bottom w:val="single" w:sz="4" w:space="0" w:color="auto"/>
              <w:right w:val="single" w:sz="4" w:space="0" w:color="auto"/>
            </w:tcBorders>
          </w:tcPr>
          <w:p w14:paraId="50B3E7AC"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
        </w:tc>
        <w:tc>
          <w:tcPr>
            <w:tcW w:w="452" w:type="dxa"/>
            <w:tcBorders>
              <w:top w:val="single" w:sz="4" w:space="0" w:color="auto"/>
              <w:left w:val="single" w:sz="4" w:space="0" w:color="auto"/>
              <w:bottom w:val="single" w:sz="4" w:space="0" w:color="auto"/>
              <w:right w:val="single" w:sz="4" w:space="0" w:color="auto"/>
            </w:tcBorders>
          </w:tcPr>
          <w:p w14:paraId="20CB87CE"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
        </w:tc>
        <w:tc>
          <w:tcPr>
            <w:tcW w:w="4671" w:type="dxa"/>
            <w:tcBorders>
              <w:top w:val="single" w:sz="4" w:space="0" w:color="auto"/>
              <w:left w:val="single" w:sz="4" w:space="0" w:color="auto"/>
              <w:bottom w:val="single" w:sz="4" w:space="0" w:color="auto"/>
              <w:right w:val="single" w:sz="4" w:space="0" w:color="auto"/>
            </w:tcBorders>
          </w:tcPr>
          <w:p w14:paraId="3B25A6E7" w14:textId="77777777" w:rsidR="00882506" w:rsidRPr="0036500F" w:rsidRDefault="00882506" w:rsidP="00666E0B">
            <w:pPr>
              <w:suppressAutoHyphens w:val="0"/>
              <w:spacing w:after="60" w:line="240" w:lineRule="auto"/>
              <w:ind w:right="-142"/>
              <w:jc w:val="both"/>
              <w:rPr>
                <w:rFonts w:asciiTheme="majorBidi" w:hAnsiTheme="majorBidi" w:cstheme="majorBidi"/>
                <w:sz w:val="18"/>
                <w:szCs w:val="18"/>
              </w:rPr>
            </w:pPr>
          </w:p>
        </w:tc>
      </w:tr>
      <w:tr w:rsidR="00882506" w:rsidRPr="0036500F" w14:paraId="67DAB8F5"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1D6612B2"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9.2.2.1</w:t>
            </w:r>
          </w:p>
        </w:tc>
        <w:tc>
          <w:tcPr>
            <w:tcW w:w="2086" w:type="dxa"/>
            <w:tcBorders>
              <w:top w:val="single" w:sz="4" w:space="0" w:color="auto"/>
              <w:left w:val="single" w:sz="4" w:space="0" w:color="auto"/>
              <w:bottom w:val="single" w:sz="4" w:space="0" w:color="auto"/>
              <w:right w:val="single" w:sz="4" w:space="0" w:color="auto"/>
            </w:tcBorders>
            <w:hideMark/>
          </w:tcPr>
          <w:p w14:paraId="6FE7E81D"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Dispositions générales</w:t>
            </w:r>
          </w:p>
        </w:tc>
        <w:tc>
          <w:tcPr>
            <w:tcW w:w="618" w:type="dxa"/>
            <w:tcBorders>
              <w:top w:val="single" w:sz="4" w:space="0" w:color="auto"/>
              <w:left w:val="single" w:sz="4" w:space="0" w:color="auto"/>
              <w:bottom w:val="single" w:sz="4" w:space="0" w:color="auto"/>
              <w:right w:val="single" w:sz="4" w:space="0" w:color="auto"/>
            </w:tcBorders>
            <w:hideMark/>
          </w:tcPr>
          <w:p w14:paraId="2EC09C3E"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603" w:type="dxa"/>
            <w:tcBorders>
              <w:top w:val="single" w:sz="4" w:space="0" w:color="auto"/>
              <w:left w:val="single" w:sz="4" w:space="0" w:color="auto"/>
              <w:bottom w:val="single" w:sz="4" w:space="0" w:color="auto"/>
              <w:right w:val="single" w:sz="4" w:space="0" w:color="auto"/>
            </w:tcBorders>
            <w:hideMark/>
          </w:tcPr>
          <w:p w14:paraId="2E36CC2B"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074358B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3DAEA50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tcPr>
          <w:p w14:paraId="6FFD6A0F" w14:textId="77777777" w:rsidR="00882506" w:rsidRPr="0036500F" w:rsidRDefault="00882506" w:rsidP="00666E0B">
            <w:pPr>
              <w:suppressAutoHyphens w:val="0"/>
              <w:spacing w:after="60" w:line="240" w:lineRule="auto"/>
              <w:ind w:right="-142"/>
              <w:jc w:val="both"/>
              <w:rPr>
                <w:rFonts w:asciiTheme="majorBidi" w:hAnsiTheme="majorBidi" w:cstheme="majorBidi"/>
                <w:sz w:val="18"/>
                <w:szCs w:val="18"/>
              </w:rPr>
            </w:pPr>
          </w:p>
        </w:tc>
      </w:tr>
      <w:tr w:rsidR="00882506" w:rsidRPr="0036500F" w14:paraId="1F0A02D4"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4CF6846B"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9.2.2.2.1</w:t>
            </w:r>
          </w:p>
        </w:tc>
        <w:tc>
          <w:tcPr>
            <w:tcW w:w="2086" w:type="dxa"/>
            <w:tcBorders>
              <w:top w:val="single" w:sz="4" w:space="0" w:color="auto"/>
              <w:left w:val="single" w:sz="4" w:space="0" w:color="auto"/>
              <w:bottom w:val="single" w:sz="4" w:space="0" w:color="auto"/>
              <w:right w:val="single" w:sz="4" w:space="0" w:color="auto"/>
            </w:tcBorders>
            <w:hideMark/>
          </w:tcPr>
          <w:p w14:paraId="2842C88D"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Câbles</w:t>
            </w:r>
          </w:p>
        </w:tc>
        <w:tc>
          <w:tcPr>
            <w:tcW w:w="618" w:type="dxa"/>
            <w:tcBorders>
              <w:top w:val="single" w:sz="4" w:space="0" w:color="auto"/>
              <w:left w:val="single" w:sz="4" w:space="0" w:color="auto"/>
              <w:bottom w:val="single" w:sz="4" w:space="0" w:color="auto"/>
              <w:right w:val="single" w:sz="4" w:space="0" w:color="auto"/>
            </w:tcBorders>
            <w:hideMark/>
          </w:tcPr>
          <w:p w14:paraId="25148E3C"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603" w:type="dxa"/>
            <w:tcBorders>
              <w:top w:val="single" w:sz="4" w:space="0" w:color="auto"/>
              <w:left w:val="single" w:sz="4" w:space="0" w:color="auto"/>
              <w:bottom w:val="single" w:sz="4" w:space="0" w:color="auto"/>
              <w:right w:val="single" w:sz="4" w:space="0" w:color="auto"/>
            </w:tcBorders>
            <w:hideMark/>
          </w:tcPr>
          <w:p w14:paraId="20A15270"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67E466D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4049D28B"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tcPr>
          <w:p w14:paraId="6B1EFE2D" w14:textId="77777777" w:rsidR="00882506" w:rsidRPr="0036500F" w:rsidRDefault="00882506" w:rsidP="00666E0B">
            <w:pPr>
              <w:suppressAutoHyphens w:val="0"/>
              <w:spacing w:after="60" w:line="240" w:lineRule="auto"/>
              <w:ind w:right="-142"/>
              <w:jc w:val="both"/>
              <w:rPr>
                <w:rFonts w:asciiTheme="majorBidi" w:hAnsiTheme="majorBidi" w:cstheme="majorBidi"/>
                <w:sz w:val="18"/>
                <w:szCs w:val="18"/>
              </w:rPr>
            </w:pPr>
          </w:p>
        </w:tc>
      </w:tr>
      <w:tr w:rsidR="00882506" w:rsidRPr="0036500F" w14:paraId="14124DCC"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5E1B49DE"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9.2.2.2.2</w:t>
            </w:r>
          </w:p>
        </w:tc>
        <w:tc>
          <w:tcPr>
            <w:tcW w:w="2086" w:type="dxa"/>
            <w:tcBorders>
              <w:top w:val="single" w:sz="4" w:space="0" w:color="auto"/>
              <w:left w:val="single" w:sz="4" w:space="0" w:color="auto"/>
              <w:bottom w:val="single" w:sz="4" w:space="0" w:color="auto"/>
              <w:right w:val="single" w:sz="4" w:space="0" w:color="auto"/>
            </w:tcBorders>
            <w:hideMark/>
          </w:tcPr>
          <w:p w14:paraId="57EDB518"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Protection supplémentaire</w:t>
            </w:r>
          </w:p>
        </w:tc>
        <w:tc>
          <w:tcPr>
            <w:tcW w:w="618" w:type="dxa"/>
            <w:tcBorders>
              <w:top w:val="single" w:sz="4" w:space="0" w:color="auto"/>
              <w:left w:val="single" w:sz="4" w:space="0" w:color="auto"/>
              <w:bottom w:val="single" w:sz="4" w:space="0" w:color="auto"/>
              <w:right w:val="single" w:sz="4" w:space="0" w:color="auto"/>
            </w:tcBorders>
            <w:hideMark/>
          </w:tcPr>
          <w:p w14:paraId="554945B0"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r>
              <w:rPr>
                <w:vertAlign w:val="superscript"/>
                <w:lang w:val="fr-FR"/>
              </w:rPr>
              <w:t>a</w:t>
            </w:r>
          </w:p>
        </w:tc>
        <w:tc>
          <w:tcPr>
            <w:tcW w:w="603" w:type="dxa"/>
            <w:tcBorders>
              <w:top w:val="single" w:sz="4" w:space="0" w:color="auto"/>
              <w:left w:val="single" w:sz="4" w:space="0" w:color="auto"/>
              <w:bottom w:val="single" w:sz="4" w:space="0" w:color="auto"/>
              <w:right w:val="single" w:sz="4" w:space="0" w:color="auto"/>
            </w:tcBorders>
            <w:hideMark/>
          </w:tcPr>
          <w:p w14:paraId="77036752"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589FB4B1"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roofErr w:type="spellStart"/>
            <w:r>
              <w:rPr>
                <w:lang w:val="fr-FR"/>
              </w:rPr>
              <w:t>X</w:t>
            </w:r>
            <w:r>
              <w:rPr>
                <w:vertAlign w:val="superscript"/>
                <w:lang w:val="fr-FR"/>
              </w:rPr>
              <w:t>b</w:t>
            </w:r>
            <w:proofErr w:type="spellEnd"/>
          </w:p>
        </w:tc>
        <w:tc>
          <w:tcPr>
            <w:tcW w:w="452" w:type="dxa"/>
            <w:tcBorders>
              <w:top w:val="single" w:sz="4" w:space="0" w:color="auto"/>
              <w:left w:val="single" w:sz="4" w:space="0" w:color="auto"/>
              <w:bottom w:val="single" w:sz="4" w:space="0" w:color="auto"/>
              <w:right w:val="single" w:sz="4" w:space="0" w:color="auto"/>
            </w:tcBorders>
            <w:hideMark/>
          </w:tcPr>
          <w:p w14:paraId="01E3C68B"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hideMark/>
          </w:tcPr>
          <w:p w14:paraId="1A44669D" w14:textId="77777777" w:rsidR="00882506" w:rsidRPr="0036500F" w:rsidRDefault="00882506" w:rsidP="00666E0B">
            <w:pPr>
              <w:suppressAutoHyphens w:val="0"/>
              <w:spacing w:after="60" w:line="240" w:lineRule="auto"/>
              <w:ind w:left="142" w:right="118"/>
              <w:jc w:val="both"/>
              <w:rPr>
                <w:rFonts w:asciiTheme="majorBidi" w:hAnsiTheme="majorBidi" w:cstheme="majorBidi"/>
                <w:sz w:val="18"/>
                <w:szCs w:val="18"/>
              </w:rPr>
            </w:pPr>
            <w:proofErr w:type="gramStart"/>
            <w:r>
              <w:rPr>
                <w:vertAlign w:val="superscript"/>
                <w:lang w:val="fr-FR"/>
              </w:rPr>
              <w:t>a</w:t>
            </w:r>
            <w:proofErr w:type="gramEnd"/>
            <w:r>
              <w:rPr>
                <w:lang w:val="fr-FR"/>
              </w:rPr>
              <w:t xml:space="preserve"> Applicable aux véhicules d’une masse maximale supérieure à 3,5 tonnes immatriculés pour la première fois (ou mis en service, dans le cas où l’immatriculation n’est pas obligatoire) après le 31</w:t>
            </w:r>
            <w:r w:rsidR="00D273CB">
              <w:rPr>
                <w:lang w:val="fr-FR"/>
              </w:rPr>
              <w:t> </w:t>
            </w:r>
            <w:r>
              <w:rPr>
                <w:lang w:val="fr-FR"/>
              </w:rPr>
              <w:t>mars 2018.</w:t>
            </w:r>
          </w:p>
          <w:p w14:paraId="4D215DA4" w14:textId="77777777" w:rsidR="00882506" w:rsidRPr="0036500F" w:rsidRDefault="00882506" w:rsidP="00666E0B">
            <w:pPr>
              <w:suppressAutoHyphens w:val="0"/>
              <w:spacing w:after="60" w:line="240" w:lineRule="auto"/>
              <w:ind w:left="142" w:right="118"/>
              <w:jc w:val="both"/>
              <w:rPr>
                <w:rFonts w:asciiTheme="majorBidi" w:hAnsiTheme="majorBidi" w:cstheme="majorBidi"/>
                <w:sz w:val="18"/>
                <w:szCs w:val="18"/>
              </w:rPr>
            </w:pPr>
            <w:proofErr w:type="gramStart"/>
            <w:r>
              <w:rPr>
                <w:vertAlign w:val="superscript"/>
                <w:lang w:val="fr-FR"/>
              </w:rPr>
              <w:t>b</w:t>
            </w:r>
            <w:proofErr w:type="gramEnd"/>
            <w:r>
              <w:rPr>
                <w:lang w:val="fr-FR"/>
              </w:rPr>
              <w:t xml:space="preserve"> Applicable aux véhicules immatriculés pour la première fois (ou mis en service, dans le cas où l’immatriculation n’est pas obligatoire) après le 31</w:t>
            </w:r>
            <w:r w:rsidR="00D273CB">
              <w:rPr>
                <w:lang w:val="fr-FR"/>
              </w:rPr>
              <w:t> </w:t>
            </w:r>
            <w:r>
              <w:rPr>
                <w:lang w:val="fr-FR"/>
              </w:rPr>
              <w:t>mars 2018.</w:t>
            </w:r>
          </w:p>
        </w:tc>
      </w:tr>
      <w:tr w:rsidR="00882506" w:rsidRPr="0036500F" w14:paraId="59612A92"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1D3F5032"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9.2.2.3</w:t>
            </w:r>
          </w:p>
        </w:tc>
        <w:tc>
          <w:tcPr>
            <w:tcW w:w="2086" w:type="dxa"/>
            <w:tcBorders>
              <w:top w:val="single" w:sz="4" w:space="0" w:color="auto"/>
              <w:left w:val="single" w:sz="4" w:space="0" w:color="auto"/>
              <w:bottom w:val="single" w:sz="4" w:space="0" w:color="auto"/>
              <w:right w:val="single" w:sz="4" w:space="0" w:color="auto"/>
            </w:tcBorders>
            <w:hideMark/>
          </w:tcPr>
          <w:p w14:paraId="20F453C6"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Fusibles et disjoncteurs</w:t>
            </w:r>
          </w:p>
        </w:tc>
        <w:tc>
          <w:tcPr>
            <w:tcW w:w="618" w:type="dxa"/>
            <w:tcBorders>
              <w:top w:val="single" w:sz="4" w:space="0" w:color="auto"/>
              <w:left w:val="single" w:sz="4" w:space="0" w:color="auto"/>
              <w:bottom w:val="single" w:sz="4" w:space="0" w:color="auto"/>
              <w:right w:val="single" w:sz="4" w:space="0" w:color="auto"/>
            </w:tcBorders>
            <w:hideMark/>
          </w:tcPr>
          <w:p w14:paraId="583EA2F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roofErr w:type="spellStart"/>
            <w:r>
              <w:rPr>
                <w:lang w:val="fr-FR"/>
              </w:rPr>
              <w:t>X</w:t>
            </w:r>
            <w:r>
              <w:rPr>
                <w:vertAlign w:val="superscript"/>
                <w:lang w:val="fr-FR"/>
              </w:rPr>
              <w:t>b</w:t>
            </w:r>
            <w:proofErr w:type="spellEnd"/>
          </w:p>
        </w:tc>
        <w:tc>
          <w:tcPr>
            <w:tcW w:w="603" w:type="dxa"/>
            <w:tcBorders>
              <w:top w:val="single" w:sz="4" w:space="0" w:color="auto"/>
              <w:left w:val="single" w:sz="4" w:space="0" w:color="auto"/>
              <w:bottom w:val="single" w:sz="4" w:space="0" w:color="auto"/>
              <w:right w:val="single" w:sz="4" w:space="0" w:color="auto"/>
            </w:tcBorders>
            <w:hideMark/>
          </w:tcPr>
          <w:p w14:paraId="75FE442D"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368A74E0"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78B27908"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hideMark/>
          </w:tcPr>
          <w:p w14:paraId="71DA28EE" w14:textId="77777777" w:rsidR="00882506" w:rsidRPr="0036500F" w:rsidRDefault="00882506" w:rsidP="00666E0B">
            <w:pPr>
              <w:suppressAutoHyphens w:val="0"/>
              <w:spacing w:after="60" w:line="240" w:lineRule="auto"/>
              <w:ind w:left="142" w:right="118"/>
              <w:jc w:val="both"/>
              <w:rPr>
                <w:rFonts w:asciiTheme="majorBidi" w:hAnsiTheme="majorBidi" w:cstheme="majorBidi"/>
                <w:sz w:val="18"/>
                <w:szCs w:val="18"/>
              </w:rPr>
            </w:pPr>
            <w:proofErr w:type="gramStart"/>
            <w:r>
              <w:rPr>
                <w:vertAlign w:val="superscript"/>
                <w:lang w:val="fr-FR"/>
              </w:rPr>
              <w:t>b</w:t>
            </w:r>
            <w:proofErr w:type="gramEnd"/>
            <w:r>
              <w:rPr>
                <w:lang w:val="fr-FR"/>
              </w:rPr>
              <w:t xml:space="preserve"> Applicable aux véhicules immatriculés pour la première fois (ou mis en service, dans le cas où l’immatriculation n’est pas obligatoire) après le 31 mars 2018.</w:t>
            </w:r>
          </w:p>
        </w:tc>
      </w:tr>
      <w:tr w:rsidR="00882506" w:rsidRPr="0036500F" w14:paraId="6EB051E8"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7FAB0378"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9.2.2.4</w:t>
            </w:r>
          </w:p>
        </w:tc>
        <w:tc>
          <w:tcPr>
            <w:tcW w:w="2086" w:type="dxa"/>
            <w:tcBorders>
              <w:top w:val="single" w:sz="4" w:space="0" w:color="auto"/>
              <w:left w:val="single" w:sz="4" w:space="0" w:color="auto"/>
              <w:bottom w:val="single" w:sz="4" w:space="0" w:color="auto"/>
              <w:right w:val="single" w:sz="4" w:space="0" w:color="auto"/>
            </w:tcBorders>
            <w:hideMark/>
          </w:tcPr>
          <w:p w14:paraId="5EB10A07"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Batteries</w:t>
            </w:r>
          </w:p>
        </w:tc>
        <w:tc>
          <w:tcPr>
            <w:tcW w:w="618" w:type="dxa"/>
            <w:tcBorders>
              <w:top w:val="single" w:sz="4" w:space="0" w:color="auto"/>
              <w:left w:val="single" w:sz="4" w:space="0" w:color="auto"/>
              <w:bottom w:val="single" w:sz="4" w:space="0" w:color="auto"/>
              <w:right w:val="single" w:sz="4" w:space="0" w:color="auto"/>
            </w:tcBorders>
            <w:hideMark/>
          </w:tcPr>
          <w:p w14:paraId="48DA9D10"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603" w:type="dxa"/>
            <w:tcBorders>
              <w:top w:val="single" w:sz="4" w:space="0" w:color="auto"/>
              <w:left w:val="single" w:sz="4" w:space="0" w:color="auto"/>
              <w:bottom w:val="single" w:sz="4" w:space="0" w:color="auto"/>
              <w:right w:val="single" w:sz="4" w:space="0" w:color="auto"/>
            </w:tcBorders>
            <w:hideMark/>
          </w:tcPr>
          <w:p w14:paraId="05C84595"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6F2225A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0C0AED7B"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tcPr>
          <w:p w14:paraId="1A45468D" w14:textId="77777777" w:rsidR="00882506" w:rsidRPr="0036500F" w:rsidRDefault="00882506" w:rsidP="00666E0B">
            <w:pPr>
              <w:suppressAutoHyphens w:val="0"/>
              <w:spacing w:after="60" w:line="240" w:lineRule="auto"/>
              <w:ind w:right="-142"/>
              <w:jc w:val="both"/>
              <w:rPr>
                <w:rFonts w:asciiTheme="majorBidi" w:hAnsiTheme="majorBidi" w:cstheme="majorBidi"/>
                <w:sz w:val="18"/>
                <w:szCs w:val="18"/>
              </w:rPr>
            </w:pPr>
          </w:p>
        </w:tc>
      </w:tr>
      <w:tr w:rsidR="00882506" w:rsidRPr="0036500F" w14:paraId="3591BAC3"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7D432471"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9.2.2.5</w:t>
            </w:r>
          </w:p>
        </w:tc>
        <w:tc>
          <w:tcPr>
            <w:tcW w:w="2086" w:type="dxa"/>
            <w:tcBorders>
              <w:top w:val="single" w:sz="4" w:space="0" w:color="auto"/>
              <w:left w:val="single" w:sz="4" w:space="0" w:color="auto"/>
              <w:bottom w:val="single" w:sz="4" w:space="0" w:color="auto"/>
              <w:right w:val="single" w:sz="4" w:space="0" w:color="auto"/>
            </w:tcBorders>
            <w:hideMark/>
          </w:tcPr>
          <w:p w14:paraId="13DA0A4D"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Éclairage</w:t>
            </w:r>
          </w:p>
        </w:tc>
        <w:tc>
          <w:tcPr>
            <w:tcW w:w="618" w:type="dxa"/>
            <w:tcBorders>
              <w:top w:val="single" w:sz="4" w:space="0" w:color="auto"/>
              <w:left w:val="single" w:sz="4" w:space="0" w:color="auto"/>
              <w:bottom w:val="single" w:sz="4" w:space="0" w:color="auto"/>
              <w:right w:val="single" w:sz="4" w:space="0" w:color="auto"/>
            </w:tcBorders>
            <w:hideMark/>
          </w:tcPr>
          <w:p w14:paraId="2EC9DA3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603" w:type="dxa"/>
            <w:tcBorders>
              <w:top w:val="single" w:sz="4" w:space="0" w:color="auto"/>
              <w:left w:val="single" w:sz="4" w:space="0" w:color="auto"/>
              <w:bottom w:val="single" w:sz="4" w:space="0" w:color="auto"/>
              <w:right w:val="single" w:sz="4" w:space="0" w:color="auto"/>
            </w:tcBorders>
            <w:hideMark/>
          </w:tcPr>
          <w:p w14:paraId="10C4D981"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6AD8F0D1"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1F9B82A8"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tcPr>
          <w:p w14:paraId="2BF01CE8" w14:textId="77777777" w:rsidR="00882506" w:rsidRPr="0036500F" w:rsidRDefault="00882506" w:rsidP="00666E0B">
            <w:pPr>
              <w:suppressAutoHyphens w:val="0"/>
              <w:spacing w:after="60" w:line="240" w:lineRule="auto"/>
              <w:ind w:right="-142"/>
              <w:jc w:val="both"/>
              <w:rPr>
                <w:rFonts w:asciiTheme="majorBidi" w:hAnsiTheme="majorBidi" w:cstheme="majorBidi"/>
                <w:sz w:val="18"/>
                <w:szCs w:val="18"/>
              </w:rPr>
            </w:pPr>
          </w:p>
        </w:tc>
      </w:tr>
      <w:tr w:rsidR="00882506" w:rsidRPr="0036500F" w14:paraId="602F178F" w14:textId="77777777" w:rsidTr="00D273CB">
        <w:trPr>
          <w:trHeight w:val="20"/>
        </w:trPr>
        <w:tc>
          <w:tcPr>
            <w:tcW w:w="757" w:type="dxa"/>
            <w:tcBorders>
              <w:top w:val="single" w:sz="4" w:space="0" w:color="auto"/>
              <w:left w:val="single" w:sz="4" w:space="0" w:color="auto"/>
              <w:bottom w:val="single" w:sz="4" w:space="0" w:color="auto"/>
              <w:right w:val="single" w:sz="4" w:space="0" w:color="auto"/>
            </w:tcBorders>
            <w:hideMark/>
          </w:tcPr>
          <w:p w14:paraId="32B69372"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9.2.2.6</w:t>
            </w:r>
          </w:p>
        </w:tc>
        <w:tc>
          <w:tcPr>
            <w:tcW w:w="2086" w:type="dxa"/>
            <w:tcBorders>
              <w:top w:val="single" w:sz="4" w:space="0" w:color="auto"/>
              <w:left w:val="single" w:sz="4" w:space="0" w:color="auto"/>
              <w:bottom w:val="single" w:sz="4" w:space="0" w:color="auto"/>
              <w:right w:val="single" w:sz="4" w:space="0" w:color="auto"/>
            </w:tcBorders>
            <w:hideMark/>
          </w:tcPr>
          <w:p w14:paraId="214356A1" w14:textId="77777777" w:rsidR="00882506" w:rsidRPr="0036500F" w:rsidRDefault="00882506" w:rsidP="00666E0B">
            <w:pPr>
              <w:suppressAutoHyphens w:val="0"/>
              <w:spacing w:after="60" w:line="240" w:lineRule="auto"/>
              <w:jc w:val="both"/>
              <w:rPr>
                <w:rFonts w:asciiTheme="majorBidi" w:hAnsiTheme="majorBidi" w:cstheme="majorBidi"/>
                <w:sz w:val="18"/>
                <w:szCs w:val="18"/>
              </w:rPr>
            </w:pPr>
            <w:r>
              <w:rPr>
                <w:lang w:val="fr-FR"/>
              </w:rPr>
              <w:t>Connexions électriques entre les véhicules à moteur et les remorques</w:t>
            </w:r>
          </w:p>
        </w:tc>
        <w:tc>
          <w:tcPr>
            <w:tcW w:w="618" w:type="dxa"/>
            <w:tcBorders>
              <w:top w:val="single" w:sz="4" w:space="0" w:color="auto"/>
              <w:left w:val="single" w:sz="4" w:space="0" w:color="auto"/>
              <w:bottom w:val="single" w:sz="4" w:space="0" w:color="auto"/>
              <w:right w:val="single" w:sz="4" w:space="0" w:color="auto"/>
            </w:tcBorders>
            <w:hideMark/>
          </w:tcPr>
          <w:p w14:paraId="2F5F2CA4"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roofErr w:type="spellStart"/>
            <w:r>
              <w:rPr>
                <w:lang w:val="fr-FR"/>
              </w:rPr>
              <w:t>X</w:t>
            </w:r>
            <w:r>
              <w:rPr>
                <w:vertAlign w:val="superscript"/>
                <w:lang w:val="fr-FR"/>
              </w:rPr>
              <w:t>c</w:t>
            </w:r>
            <w:proofErr w:type="spellEnd"/>
          </w:p>
        </w:tc>
        <w:tc>
          <w:tcPr>
            <w:tcW w:w="603" w:type="dxa"/>
            <w:tcBorders>
              <w:top w:val="single" w:sz="4" w:space="0" w:color="auto"/>
              <w:left w:val="single" w:sz="4" w:space="0" w:color="auto"/>
              <w:bottom w:val="single" w:sz="4" w:space="0" w:color="auto"/>
              <w:right w:val="single" w:sz="4" w:space="0" w:color="auto"/>
            </w:tcBorders>
            <w:hideMark/>
          </w:tcPr>
          <w:p w14:paraId="7140545C"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52" w:type="dxa"/>
            <w:tcBorders>
              <w:top w:val="single" w:sz="4" w:space="0" w:color="auto"/>
              <w:left w:val="single" w:sz="4" w:space="0" w:color="auto"/>
              <w:bottom w:val="single" w:sz="4" w:space="0" w:color="auto"/>
              <w:right w:val="single" w:sz="4" w:space="0" w:color="auto"/>
            </w:tcBorders>
            <w:hideMark/>
          </w:tcPr>
          <w:p w14:paraId="4BF143E2"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proofErr w:type="spellStart"/>
            <w:r>
              <w:rPr>
                <w:lang w:val="fr-FR"/>
              </w:rPr>
              <w:t>X</w:t>
            </w:r>
            <w:r>
              <w:rPr>
                <w:vertAlign w:val="superscript"/>
                <w:lang w:val="fr-FR"/>
              </w:rPr>
              <w:t>b</w:t>
            </w:r>
            <w:proofErr w:type="spellEnd"/>
          </w:p>
        </w:tc>
        <w:tc>
          <w:tcPr>
            <w:tcW w:w="452" w:type="dxa"/>
            <w:tcBorders>
              <w:top w:val="single" w:sz="4" w:space="0" w:color="auto"/>
              <w:left w:val="single" w:sz="4" w:space="0" w:color="auto"/>
              <w:bottom w:val="single" w:sz="4" w:space="0" w:color="auto"/>
              <w:right w:val="single" w:sz="4" w:space="0" w:color="auto"/>
            </w:tcBorders>
            <w:hideMark/>
          </w:tcPr>
          <w:p w14:paraId="01C615B0" w14:textId="77777777" w:rsidR="00882506" w:rsidRPr="0036500F" w:rsidRDefault="00882506" w:rsidP="00666E0B">
            <w:pPr>
              <w:suppressAutoHyphens w:val="0"/>
              <w:spacing w:after="60" w:line="240" w:lineRule="auto"/>
              <w:jc w:val="center"/>
              <w:rPr>
                <w:rFonts w:asciiTheme="majorBidi" w:hAnsiTheme="majorBidi" w:cstheme="majorBidi"/>
                <w:sz w:val="18"/>
                <w:szCs w:val="18"/>
              </w:rPr>
            </w:pPr>
            <w:r>
              <w:rPr>
                <w:lang w:val="fr-FR"/>
              </w:rPr>
              <w:t>X</w:t>
            </w:r>
          </w:p>
        </w:tc>
        <w:tc>
          <w:tcPr>
            <w:tcW w:w="4671" w:type="dxa"/>
            <w:tcBorders>
              <w:top w:val="single" w:sz="4" w:space="0" w:color="auto"/>
              <w:left w:val="single" w:sz="4" w:space="0" w:color="auto"/>
              <w:bottom w:val="single" w:sz="4" w:space="0" w:color="auto"/>
              <w:right w:val="single" w:sz="4" w:space="0" w:color="auto"/>
            </w:tcBorders>
            <w:hideMark/>
          </w:tcPr>
          <w:p w14:paraId="273AB996" w14:textId="77777777" w:rsidR="00882506" w:rsidRPr="0036500F" w:rsidRDefault="00882506" w:rsidP="00666E0B">
            <w:pPr>
              <w:suppressAutoHyphens w:val="0"/>
              <w:spacing w:after="60" w:line="240" w:lineRule="auto"/>
              <w:ind w:left="142" w:right="118"/>
              <w:jc w:val="both"/>
              <w:rPr>
                <w:rFonts w:asciiTheme="majorBidi" w:hAnsiTheme="majorBidi" w:cstheme="majorBidi"/>
                <w:sz w:val="18"/>
                <w:szCs w:val="18"/>
              </w:rPr>
            </w:pPr>
            <w:proofErr w:type="gramStart"/>
            <w:r>
              <w:rPr>
                <w:vertAlign w:val="superscript"/>
                <w:lang w:val="fr-FR"/>
              </w:rPr>
              <w:t>b</w:t>
            </w:r>
            <w:proofErr w:type="gramEnd"/>
            <w:r>
              <w:rPr>
                <w:lang w:val="fr-FR"/>
              </w:rPr>
              <w:t xml:space="preserve"> Applicable aux véhicules immatriculés pour la première fois (ou mis en service, dans le cas où l’immatriculation n’est pas obligatoire) après le 31 mars 2018.</w:t>
            </w:r>
          </w:p>
          <w:p w14:paraId="12EE6F43" w14:textId="77777777" w:rsidR="00882506" w:rsidRPr="0036500F" w:rsidRDefault="00882506" w:rsidP="00666E0B">
            <w:pPr>
              <w:suppressAutoHyphens w:val="0"/>
              <w:spacing w:after="60" w:line="240" w:lineRule="auto"/>
              <w:ind w:left="142" w:right="118"/>
              <w:jc w:val="both"/>
              <w:rPr>
                <w:rFonts w:asciiTheme="majorBidi" w:hAnsiTheme="majorBidi" w:cstheme="majorBidi"/>
                <w:sz w:val="18"/>
                <w:szCs w:val="18"/>
              </w:rPr>
            </w:pPr>
            <w:proofErr w:type="gramStart"/>
            <w:r>
              <w:rPr>
                <w:vertAlign w:val="superscript"/>
                <w:lang w:val="fr-FR"/>
              </w:rPr>
              <w:t>c</w:t>
            </w:r>
            <w:proofErr w:type="gramEnd"/>
            <w:r>
              <w:rPr>
                <w:lang w:val="fr-FR"/>
              </w:rPr>
              <w:t xml:space="preserve"> Applicable aux véhicules à moteur destinés à tracter des remorques d’une masse maximale supérieure à 3,5 tonnes et aux remorques d’une masse maximale supérieure à 3,5 tonnes immatriculés pour la première fois (ou mis en service, dans le cas où l’immatriculation n’est pas obligatoire) après le 31</w:t>
            </w:r>
            <w:r w:rsidR="00D273CB">
              <w:rPr>
                <w:lang w:val="fr-FR"/>
              </w:rPr>
              <w:t> </w:t>
            </w:r>
            <w:r>
              <w:rPr>
                <w:lang w:val="fr-FR"/>
              </w:rPr>
              <w:t>mars 2018.</w:t>
            </w:r>
          </w:p>
        </w:tc>
      </w:tr>
    </w:tbl>
    <w:p w14:paraId="09A7A7F6" w14:textId="77777777" w:rsidR="00882506" w:rsidRPr="00450A66" w:rsidRDefault="00882506" w:rsidP="00882506">
      <w:pPr>
        <w:spacing w:before="120" w:after="120"/>
        <w:ind w:left="1134" w:right="1134"/>
        <w:jc w:val="both"/>
        <w:rPr>
          <w:rFonts w:eastAsia="SimSun"/>
        </w:rPr>
      </w:pPr>
      <w:r>
        <w:rPr>
          <w:lang w:val="fr-FR"/>
        </w:rPr>
        <w:t>8.</w:t>
      </w:r>
      <w:r>
        <w:rPr>
          <w:lang w:val="fr-FR"/>
        </w:rPr>
        <w:tab/>
        <w:t xml:space="preserve">Au sein du groupe de travail informel du système électrique des véhicules transportant des marchandises dangereuses, chargé de la mise à jour du chapitre 9.2, il a été estimé que le risque pour les véhicules EX/II n’était pas inférieur à celui des véhicules EX/III et que la </w:t>
      </w:r>
      <w:bookmarkStart w:id="0" w:name="_GoBack"/>
      <w:bookmarkEnd w:id="0"/>
      <w:r>
        <w:rPr>
          <w:lang w:val="fr-FR"/>
        </w:rPr>
        <w:lastRenderedPageBreak/>
        <w:t>protection supplémentaire du câblage, des fusibles et des disjoncteurs ainsi que des connexions électriques devait également s’appliquer aux véhicules EX/II.</w:t>
      </w:r>
    </w:p>
    <w:p w14:paraId="7FE34821" w14:textId="77777777" w:rsidR="00882506" w:rsidRPr="00450A66" w:rsidRDefault="00882506" w:rsidP="00882506">
      <w:pPr>
        <w:spacing w:after="120"/>
        <w:ind w:left="1134" w:right="1134"/>
        <w:jc w:val="both"/>
        <w:rPr>
          <w:rFonts w:eastAsia="SimSun"/>
        </w:rPr>
      </w:pPr>
      <w:r>
        <w:rPr>
          <w:lang w:val="fr-FR"/>
        </w:rPr>
        <w:t>9.</w:t>
      </w:r>
      <w:r>
        <w:rPr>
          <w:lang w:val="fr-FR"/>
        </w:rPr>
        <w:tab/>
        <w:t>Il a été reconnu que les véhicules EX/II étaient dans la plupart des cas des «</w:t>
      </w:r>
      <w:r w:rsidR="00D273CB">
        <w:rPr>
          <w:lang w:val="fr-FR"/>
        </w:rPr>
        <w:t> </w:t>
      </w:r>
      <w:r>
        <w:rPr>
          <w:lang w:val="fr-FR"/>
        </w:rPr>
        <w:t>fourgons</w:t>
      </w:r>
      <w:r w:rsidR="00D273CB">
        <w:rPr>
          <w:lang w:val="fr-FR"/>
        </w:rPr>
        <w:t> </w:t>
      </w:r>
      <w:r>
        <w:rPr>
          <w:lang w:val="fr-FR"/>
        </w:rPr>
        <w:t>»</w:t>
      </w:r>
      <w:r w:rsidRPr="00125019">
        <w:rPr>
          <w:lang w:val="fr-FR"/>
        </w:rPr>
        <w:t xml:space="preserve"> </w:t>
      </w:r>
      <w:r>
        <w:rPr>
          <w:lang w:val="fr-FR"/>
        </w:rPr>
        <w:t>(</w:t>
      </w:r>
      <w:r w:rsidRPr="00EB6114">
        <w:rPr>
          <w:i/>
          <w:iCs/>
          <w:lang w:val="fr-FR"/>
        </w:rPr>
        <w:t>panel van</w:t>
      </w:r>
      <w:r>
        <w:rPr>
          <w:i/>
          <w:iCs/>
          <w:lang w:val="fr-FR"/>
        </w:rPr>
        <w:t>s</w:t>
      </w:r>
      <w:r>
        <w:rPr>
          <w:lang w:val="fr-FR"/>
        </w:rPr>
        <w:t>), qui sont des véhicules construits en une seule étape, où le câblage est protégé par la carrosserie du fourgon. Étant donné que le concept de « fourgon » présente des difficultés, il a été décidé d’utiliser à la place la limite de 3,5 tonnes aux fins des traductions.</w:t>
      </w:r>
    </w:p>
    <w:p w14:paraId="4D5309EE" w14:textId="77777777" w:rsidR="00882506" w:rsidRPr="00450A66" w:rsidRDefault="00882506" w:rsidP="00882506">
      <w:pPr>
        <w:spacing w:after="120"/>
        <w:ind w:left="1134" w:right="1134"/>
        <w:jc w:val="both"/>
        <w:rPr>
          <w:rFonts w:eastAsia="SimSun"/>
        </w:rPr>
      </w:pPr>
      <w:r>
        <w:rPr>
          <w:lang w:val="fr-FR"/>
        </w:rPr>
        <w:t>10.</w:t>
      </w:r>
      <w:r>
        <w:rPr>
          <w:lang w:val="fr-FR"/>
        </w:rPr>
        <w:tab/>
        <w:t>En ce qui concerne les véhicules AT, il a été décidé de simplifier le Règlement. Les constructeurs de camions ont confirmé que le pack ADR ne faisait plus de distinction entre les véhicules FL et AT et qu’une protection</w:t>
      </w:r>
      <w:r w:rsidRPr="00125019">
        <w:rPr>
          <w:lang w:val="fr-FR"/>
        </w:rPr>
        <w:t xml:space="preserve"> </w:t>
      </w:r>
      <w:r>
        <w:rPr>
          <w:lang w:val="fr-FR"/>
        </w:rPr>
        <w:t xml:space="preserve">appropriée de type FL serait toujours fournie, ainsi que des fusibles et des disjoncteurs, de même que des connecteurs électriques appropriés pour les remorques. </w:t>
      </w:r>
    </w:p>
    <w:p w14:paraId="05B0D7B1" w14:textId="77777777" w:rsidR="00882506" w:rsidRPr="00450A66" w:rsidRDefault="00882506" w:rsidP="00882506">
      <w:pPr>
        <w:spacing w:after="120"/>
        <w:ind w:left="1134" w:right="1134"/>
        <w:jc w:val="both"/>
        <w:rPr>
          <w:rFonts w:eastAsia="SimSun"/>
        </w:rPr>
      </w:pPr>
      <w:r>
        <w:rPr>
          <w:lang w:val="fr-FR"/>
        </w:rPr>
        <w:t>11.</w:t>
      </w:r>
      <w:r>
        <w:rPr>
          <w:lang w:val="fr-FR"/>
        </w:rPr>
        <w:tab/>
        <w:t>Pour les véhicules EX/II et AT, aucune mesure transitoire n’a été introduite au 1.6.5 car ces dispositions étaient nouvelles ou introduites pour la première fois pour ces catégories. Il est possible de se demander si cela est acceptable du point de vue de la sécurité. Pour les véhicules AT, la modification implique une simplification sans conséquences financières pour les nouveaux véhicules et il a été considéré que les véhicules existants de ce type n’apportaient pas de risques inacceptables justifiant une modification.</w:t>
      </w:r>
    </w:p>
    <w:p w14:paraId="6C4F47D0" w14:textId="77777777" w:rsidR="00882506" w:rsidRPr="00450A66" w:rsidRDefault="00882506" w:rsidP="00882506">
      <w:pPr>
        <w:spacing w:after="120"/>
        <w:ind w:left="1134" w:right="1134"/>
        <w:jc w:val="both"/>
        <w:rPr>
          <w:rFonts w:eastAsia="SimSun"/>
        </w:rPr>
      </w:pPr>
      <w:r>
        <w:rPr>
          <w:lang w:val="fr-FR"/>
        </w:rPr>
        <w:t>12.</w:t>
      </w:r>
      <w:r>
        <w:rPr>
          <w:lang w:val="fr-FR"/>
        </w:rPr>
        <w:tab/>
        <w:t xml:space="preserve">La plupart des véhicules EX/II sont des fourgons dont le câblage est protégé par la carrosserie. Tous les véhicules EX/II modernes sont équipés de fusibles et de disjoncteurs et sont conformes au Règlement tels que livrés par le constructeur. La plupart des véhicules EX/II qui sont équipés pour </w:t>
      </w:r>
      <w:r w:rsidRPr="00125019">
        <w:rPr>
          <w:lang w:val="fr-FR"/>
        </w:rPr>
        <w:t>tracter</w:t>
      </w:r>
      <w:r>
        <w:rPr>
          <w:lang w:val="fr-FR"/>
        </w:rPr>
        <w:t xml:space="preserve"> des remorques possèdent des connecteurs électriques spéciaux pour les remorques légères jusqu’à 3,5 tonnes, qui sont différents de ceux des camions lourds et de leurs remorques. Pour cette raison, les véhicules jusqu’à 3,5 tonnes sont exemptés des prescriptions relatives aux connecteurs électriques du 9.2.2.6. La plupart des poids lourds sont également </w:t>
      </w:r>
      <w:r w:rsidRPr="00125019">
        <w:rPr>
          <w:lang w:val="fr-FR"/>
        </w:rPr>
        <w:t xml:space="preserve">agréés </w:t>
      </w:r>
      <w:r>
        <w:rPr>
          <w:lang w:val="fr-FR"/>
        </w:rPr>
        <w:t>EX/II, EX/III, AT et FL et ne nécessitent donc aucune autre modification pour se conformer aux prescriptions applicables aux véhicules EX/II, EX/III, AT et FL. Seul un nombre très limité de poids lourds et de remorques immatriculés pour la première fois après le 31</w:t>
      </w:r>
      <w:r w:rsidR="00D273CB">
        <w:rPr>
          <w:lang w:val="fr-FR"/>
        </w:rPr>
        <w:t> </w:t>
      </w:r>
      <w:r>
        <w:rPr>
          <w:lang w:val="fr-FR"/>
        </w:rPr>
        <w:t>mars 2018, uniquement agréés EX/II, peuvent nécessiter des modifications.</w:t>
      </w:r>
    </w:p>
    <w:p w14:paraId="3882DE57" w14:textId="77777777" w:rsidR="00882506" w:rsidRPr="00450A66" w:rsidRDefault="00882506" w:rsidP="00882506">
      <w:pPr>
        <w:spacing w:after="120"/>
        <w:ind w:left="1134" w:right="1134"/>
        <w:jc w:val="both"/>
        <w:rPr>
          <w:rFonts w:eastAsia="SimSun"/>
        </w:rPr>
      </w:pPr>
      <w:r>
        <w:rPr>
          <w:lang w:val="fr-FR"/>
        </w:rPr>
        <w:t>13.</w:t>
      </w:r>
      <w:r>
        <w:rPr>
          <w:lang w:val="fr-FR"/>
        </w:rPr>
        <w:tab/>
        <w:t>Lorsqu’un véhicule est immatriculé au sens de la circulation routière mais qu’il n’est pas utilisé immédiatement pour le transport de marchandises dangereuses, il est toujours possible de commencer à l’utiliser pour le transport de marchandises dangereuses ultérieurement à condition qu’il respecte les dispositions en vigueur au moment de l’immatriculation et qu’aucune expiration des mesures transitoires n’invalide l’agrément du véhicule pour le transport de marchandises dangereuses. Lorsqu’il est mis en service pour le transport de marchandises dangereuses, il présente le même niveau de sécurité que celui accepté pour les véhicules immatriculés en même temps et utilisés immédiatement pour les marchandises dangereuses.</w:t>
      </w:r>
    </w:p>
    <w:p w14:paraId="0F98791D" w14:textId="77777777" w:rsidR="00882506" w:rsidRPr="00450A66" w:rsidRDefault="00882506" w:rsidP="00882506">
      <w:pPr>
        <w:pStyle w:val="SingleTxtG"/>
        <w:rPr>
          <w:rFonts w:eastAsia="SimSun"/>
        </w:rPr>
      </w:pPr>
      <w:r>
        <w:rPr>
          <w:lang w:val="fr-FR"/>
        </w:rPr>
        <w:t>14.</w:t>
      </w:r>
      <w:r>
        <w:rPr>
          <w:lang w:val="fr-FR"/>
        </w:rPr>
        <w:tab/>
        <w:t>Dans la pratique, il est très difficile de modifier les véhicules, et en particulier les véhicules à moteur, d’une manière qui soit économiquement viable. Dans les rares cas où cela se produit, la plupart des véhicules à moteur sont préparés pour l’ADR par le constructeur d’origine dès le début (c’est-à-dire au moment de l’homologation au titre du Règlement ONU n</w:t>
      </w:r>
      <w:r>
        <w:rPr>
          <w:vertAlign w:val="superscript"/>
          <w:lang w:val="fr-FR"/>
        </w:rPr>
        <w:t>o</w:t>
      </w:r>
      <w:r w:rsidR="00D273CB">
        <w:rPr>
          <w:lang w:val="fr-FR"/>
        </w:rPr>
        <w:t> </w:t>
      </w:r>
      <w:r>
        <w:rPr>
          <w:lang w:val="fr-FR"/>
        </w:rPr>
        <w:t>105). La durée de vie moyenne des tracteurs pour semi-remorques, qui représentent au moins 80</w:t>
      </w:r>
      <w:r w:rsidR="00D273CB">
        <w:rPr>
          <w:lang w:val="fr-FR"/>
        </w:rPr>
        <w:t> </w:t>
      </w:r>
      <w:r>
        <w:rPr>
          <w:lang w:val="fr-FR"/>
        </w:rPr>
        <w:t>% du parc automobile conforme à l’ADR, est de sept ans. Pour les remorques, une durée de vie de 25 ans est prévue. Cependant, les organes de roulement, notamment les essieux, ainsi que les circuits électriques, ne durent pas très longtemps et sont modernisés à la pointe de la technologie une ou plusieurs fois au cours de leur vie.</w:t>
      </w:r>
    </w:p>
    <w:p w14:paraId="676B0847" w14:textId="77777777" w:rsidR="00882506" w:rsidRPr="00450A66" w:rsidRDefault="00882506" w:rsidP="00882506">
      <w:pPr>
        <w:pStyle w:val="HChG"/>
        <w:rPr>
          <w:rFonts w:eastAsia="Calibri"/>
        </w:rPr>
      </w:pPr>
      <w:r>
        <w:rPr>
          <w:lang w:val="fr-FR"/>
        </w:rPr>
        <w:tab/>
      </w:r>
      <w:r>
        <w:rPr>
          <w:lang w:val="fr-FR"/>
        </w:rPr>
        <w:tab/>
        <w:t>Mesures à prendre</w:t>
      </w:r>
    </w:p>
    <w:p w14:paraId="10297538" w14:textId="77777777" w:rsidR="00882506" w:rsidRPr="00450A66" w:rsidRDefault="00882506" w:rsidP="00882506">
      <w:pPr>
        <w:pStyle w:val="SingleTxtG"/>
      </w:pPr>
      <w:r>
        <w:rPr>
          <w:lang w:val="fr-FR"/>
        </w:rPr>
        <w:t>15.</w:t>
      </w:r>
      <w:r>
        <w:rPr>
          <w:lang w:val="fr-FR"/>
        </w:rPr>
        <w:tab/>
        <w:t>Le Groupe de travail est invité à prendre note des informations fournies.</w:t>
      </w:r>
    </w:p>
    <w:p w14:paraId="2182AEA0" w14:textId="77777777" w:rsidR="003E5696" w:rsidRPr="00882506" w:rsidRDefault="00882506" w:rsidP="00882506">
      <w:pPr>
        <w:pStyle w:val="SingleTxtG"/>
        <w:spacing w:before="240" w:after="0"/>
        <w:jc w:val="center"/>
        <w:rPr>
          <w:u w:val="single"/>
        </w:rPr>
      </w:pPr>
      <w:r>
        <w:rPr>
          <w:u w:val="single"/>
        </w:rPr>
        <w:tab/>
      </w:r>
      <w:r>
        <w:rPr>
          <w:u w:val="single"/>
        </w:rPr>
        <w:tab/>
      </w:r>
      <w:r>
        <w:rPr>
          <w:u w:val="single"/>
        </w:rPr>
        <w:tab/>
      </w:r>
      <w:r>
        <w:rPr>
          <w:u w:val="single"/>
        </w:rPr>
        <w:tab/>
      </w:r>
    </w:p>
    <w:sectPr w:rsidR="003E5696" w:rsidRPr="00882506" w:rsidSect="003E569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F118F" w14:textId="77777777" w:rsidR="006404A0" w:rsidRDefault="006404A0" w:rsidP="00F95C08">
      <w:pPr>
        <w:spacing w:line="240" w:lineRule="auto"/>
      </w:pPr>
    </w:p>
  </w:endnote>
  <w:endnote w:type="continuationSeparator" w:id="0">
    <w:p w14:paraId="5D086EE6" w14:textId="77777777" w:rsidR="006404A0" w:rsidRPr="00AC3823" w:rsidRDefault="006404A0" w:rsidP="00AC3823">
      <w:pPr>
        <w:pStyle w:val="Footer"/>
      </w:pPr>
    </w:p>
  </w:endnote>
  <w:endnote w:type="continuationNotice" w:id="1">
    <w:p w14:paraId="5785C69B" w14:textId="77777777" w:rsidR="006404A0" w:rsidRDefault="00640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6014" w14:textId="77777777" w:rsidR="003E5696" w:rsidRPr="003E5696" w:rsidRDefault="003E5696" w:rsidP="003E5696">
    <w:pPr>
      <w:pStyle w:val="Footer"/>
      <w:tabs>
        <w:tab w:val="right" w:pos="9638"/>
      </w:tabs>
    </w:pPr>
    <w:r w:rsidRPr="003E5696">
      <w:rPr>
        <w:b/>
        <w:sz w:val="18"/>
      </w:rPr>
      <w:fldChar w:fldCharType="begin"/>
    </w:r>
    <w:r w:rsidRPr="003E5696">
      <w:rPr>
        <w:b/>
        <w:sz w:val="18"/>
      </w:rPr>
      <w:instrText xml:space="preserve"> PAGE  \* MERGEFORMAT </w:instrText>
    </w:r>
    <w:r w:rsidRPr="003E5696">
      <w:rPr>
        <w:b/>
        <w:sz w:val="18"/>
      </w:rPr>
      <w:fldChar w:fldCharType="separate"/>
    </w:r>
    <w:r w:rsidRPr="003E5696">
      <w:rPr>
        <w:b/>
        <w:noProof/>
        <w:sz w:val="18"/>
      </w:rPr>
      <w:t>2</w:t>
    </w:r>
    <w:r w:rsidRPr="003E5696">
      <w:rPr>
        <w:b/>
        <w:sz w:val="18"/>
      </w:rPr>
      <w:fldChar w:fldCharType="end"/>
    </w:r>
    <w:r>
      <w:rPr>
        <w:b/>
        <w:sz w:val="18"/>
      </w:rPr>
      <w:tab/>
    </w:r>
    <w:r>
      <w:t>GE.21-02230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D843" w14:textId="77777777" w:rsidR="003E5696" w:rsidRPr="003E5696" w:rsidRDefault="003E5696" w:rsidP="003E5696">
    <w:pPr>
      <w:pStyle w:val="Footer"/>
      <w:tabs>
        <w:tab w:val="right" w:pos="9638"/>
      </w:tabs>
      <w:rPr>
        <w:b/>
        <w:sz w:val="18"/>
      </w:rPr>
    </w:pPr>
    <w:r>
      <w:t>GE.21-02230</w:t>
    </w:r>
    <w:r>
      <w:tab/>
    </w:r>
    <w:r w:rsidRPr="003E5696">
      <w:rPr>
        <w:b/>
        <w:sz w:val="18"/>
      </w:rPr>
      <w:fldChar w:fldCharType="begin"/>
    </w:r>
    <w:r w:rsidRPr="003E5696">
      <w:rPr>
        <w:b/>
        <w:sz w:val="18"/>
      </w:rPr>
      <w:instrText xml:space="preserve"> PAGE  \* MERGEFORMAT </w:instrText>
    </w:r>
    <w:r w:rsidRPr="003E5696">
      <w:rPr>
        <w:b/>
        <w:sz w:val="18"/>
      </w:rPr>
      <w:fldChar w:fldCharType="separate"/>
    </w:r>
    <w:r w:rsidRPr="003E5696">
      <w:rPr>
        <w:b/>
        <w:noProof/>
        <w:sz w:val="18"/>
      </w:rPr>
      <w:t>3</w:t>
    </w:r>
    <w:r w:rsidRPr="003E56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48B9" w14:textId="77777777" w:rsidR="007F20FA" w:rsidRPr="003E5696" w:rsidRDefault="003E5696" w:rsidP="003E569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71C4310" wp14:editId="524595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02230  (</w:t>
    </w:r>
    <w:proofErr w:type="gramEnd"/>
    <w:r>
      <w:rPr>
        <w:sz w:val="20"/>
      </w:rPr>
      <w:t>F)</w:t>
    </w:r>
    <w:r>
      <w:rPr>
        <w:noProof/>
        <w:sz w:val="20"/>
      </w:rPr>
      <w:drawing>
        <wp:anchor distT="0" distB="0" distL="114300" distR="114300" simplePos="0" relativeHeight="251660288" behindDoc="0" locked="0" layoutInCell="1" allowOverlap="1" wp14:anchorId="5280788A" wp14:editId="259D18D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C19">
      <w:rPr>
        <w:sz w:val="20"/>
      </w:rPr>
      <w:t xml:space="preserve">    030321    030321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72B6" w14:textId="77777777" w:rsidR="006404A0" w:rsidRPr="00AC3823" w:rsidRDefault="006404A0" w:rsidP="00AC3823">
      <w:pPr>
        <w:pStyle w:val="Footer"/>
        <w:tabs>
          <w:tab w:val="right" w:pos="2155"/>
        </w:tabs>
        <w:spacing w:after="80" w:line="240" w:lineRule="atLeast"/>
        <w:ind w:left="680"/>
        <w:rPr>
          <w:u w:val="single"/>
        </w:rPr>
      </w:pPr>
      <w:r>
        <w:rPr>
          <w:u w:val="single"/>
        </w:rPr>
        <w:tab/>
      </w:r>
    </w:p>
  </w:footnote>
  <w:footnote w:type="continuationSeparator" w:id="0">
    <w:p w14:paraId="4877B531" w14:textId="77777777" w:rsidR="006404A0" w:rsidRPr="00AC3823" w:rsidRDefault="006404A0" w:rsidP="00AC3823">
      <w:pPr>
        <w:pStyle w:val="Footer"/>
        <w:tabs>
          <w:tab w:val="right" w:pos="2155"/>
        </w:tabs>
        <w:spacing w:after="80" w:line="240" w:lineRule="atLeast"/>
        <w:ind w:left="680"/>
        <w:rPr>
          <w:u w:val="single"/>
        </w:rPr>
      </w:pPr>
      <w:r>
        <w:rPr>
          <w:u w:val="single"/>
        </w:rPr>
        <w:tab/>
      </w:r>
    </w:p>
  </w:footnote>
  <w:footnote w:type="continuationNotice" w:id="1">
    <w:p w14:paraId="44A11541" w14:textId="77777777" w:rsidR="006404A0" w:rsidRPr="00AC3823" w:rsidRDefault="006404A0">
      <w:pPr>
        <w:spacing w:line="240" w:lineRule="auto"/>
        <w:rPr>
          <w:sz w:val="2"/>
          <w:szCs w:val="2"/>
        </w:rPr>
      </w:pPr>
    </w:p>
  </w:footnote>
  <w:footnote w:id="2">
    <w:p w14:paraId="16CF516B" w14:textId="77777777" w:rsidR="003E5696" w:rsidRDefault="007A2C19" w:rsidP="007A2C19">
      <w:pPr>
        <w:pStyle w:val="FootnoteText"/>
      </w:pPr>
      <w:r>
        <w:rPr>
          <w:position w:val="2"/>
          <w:szCs w:val="18"/>
          <w:lang w:val="fr-FR"/>
        </w:rPr>
        <w:tab/>
      </w:r>
      <w:r w:rsidR="003E5696" w:rsidRPr="007A2C19">
        <w:rPr>
          <w:rStyle w:val="FootnoteReference"/>
          <w:position w:val="2"/>
          <w:sz w:val="20"/>
          <w:vertAlign w:val="baseline"/>
          <w:lang w:val="fr-FR"/>
        </w:rPr>
        <w:sym w:font="Symbol" w:char="F02A"/>
      </w:r>
      <w:r w:rsidR="003E5696" w:rsidRPr="007A2C19">
        <w:rPr>
          <w:sz w:val="20"/>
          <w:lang w:val="fr-FR"/>
        </w:rPr>
        <w:tab/>
      </w:r>
      <w:r>
        <w:rPr>
          <w:lang w:val="fr-FR"/>
        </w:rPr>
        <w:tab/>
      </w:r>
      <w:r w:rsidR="003E5696">
        <w:rPr>
          <w:lang w:val="fr-FR"/>
        </w:rPr>
        <w:t>A/75/6 (</w:t>
      </w:r>
      <w:proofErr w:type="spellStart"/>
      <w:r w:rsidR="003E5696" w:rsidRPr="007A2C19">
        <w:t>sect</w:t>
      </w:r>
      <w:proofErr w:type="spellEnd"/>
      <w:r w:rsidR="003E5696">
        <w:rPr>
          <w:lang w:val="fr-FR"/>
        </w:rPr>
        <w:t>.</w:t>
      </w:r>
      <w:r>
        <w:rPr>
          <w:lang w:val="fr-FR"/>
        </w:rPr>
        <w:t> </w:t>
      </w:r>
      <w:r w:rsidR="003E5696">
        <w:rPr>
          <w:lang w:val="fr-FR"/>
        </w:rPr>
        <w:t>20), par.</w:t>
      </w:r>
      <w:r>
        <w:rPr>
          <w:lang w:val="fr-FR"/>
        </w:rPr>
        <w:t> </w:t>
      </w:r>
      <w:r w:rsidR="003E5696">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FD39" w14:textId="77777777" w:rsidR="003E5696" w:rsidRPr="003E5696" w:rsidRDefault="001019EA">
    <w:pPr>
      <w:pStyle w:val="Header"/>
    </w:pPr>
    <w:fldSimple w:instr=" TITLE  \* MERGEFORMAT ">
      <w:r>
        <w:t>ECE/TRANS/WP.15/2021/6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96BF" w14:textId="77777777" w:rsidR="003E5696" w:rsidRPr="003E5696" w:rsidRDefault="001019EA" w:rsidP="003E5696">
    <w:pPr>
      <w:pStyle w:val="Header"/>
      <w:jc w:val="right"/>
    </w:pPr>
    <w:fldSimple w:instr=" TITLE  \* MERGEFORMAT ">
      <w:r>
        <w:t>ECE/TRANS/WP.15/2021/6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A0"/>
    <w:rsid w:val="00017F94"/>
    <w:rsid w:val="00023842"/>
    <w:rsid w:val="000334F9"/>
    <w:rsid w:val="00045FEB"/>
    <w:rsid w:val="0007796D"/>
    <w:rsid w:val="000B7790"/>
    <w:rsid w:val="001019EA"/>
    <w:rsid w:val="00111F2F"/>
    <w:rsid w:val="0014365E"/>
    <w:rsid w:val="00143C66"/>
    <w:rsid w:val="00166898"/>
    <w:rsid w:val="00176178"/>
    <w:rsid w:val="001F525A"/>
    <w:rsid w:val="00201148"/>
    <w:rsid w:val="00223272"/>
    <w:rsid w:val="0024779E"/>
    <w:rsid w:val="00257168"/>
    <w:rsid w:val="002744B8"/>
    <w:rsid w:val="002832AC"/>
    <w:rsid w:val="002D7C93"/>
    <w:rsid w:val="00305801"/>
    <w:rsid w:val="003916DE"/>
    <w:rsid w:val="003E5696"/>
    <w:rsid w:val="003F0FE6"/>
    <w:rsid w:val="00421996"/>
    <w:rsid w:val="00441C3B"/>
    <w:rsid w:val="00446FE5"/>
    <w:rsid w:val="00452396"/>
    <w:rsid w:val="00477EB2"/>
    <w:rsid w:val="004837D8"/>
    <w:rsid w:val="004E2EED"/>
    <w:rsid w:val="004E468C"/>
    <w:rsid w:val="005505B7"/>
    <w:rsid w:val="00573BE5"/>
    <w:rsid w:val="00586ED3"/>
    <w:rsid w:val="00596AA9"/>
    <w:rsid w:val="006404A0"/>
    <w:rsid w:val="0070393E"/>
    <w:rsid w:val="0071601D"/>
    <w:rsid w:val="007A2C19"/>
    <w:rsid w:val="007A62E6"/>
    <w:rsid w:val="007F20FA"/>
    <w:rsid w:val="0080684C"/>
    <w:rsid w:val="00871C75"/>
    <w:rsid w:val="008776DC"/>
    <w:rsid w:val="00882506"/>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273CB"/>
    <w:rsid w:val="00D3439C"/>
    <w:rsid w:val="00D7622E"/>
    <w:rsid w:val="00D92AB5"/>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8ABED"/>
  <w15:docId w15:val="{FAAD1594-8B5D-43F5-BC37-A59A2426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3E5696"/>
    <w:rPr>
      <w:rFonts w:ascii="Times New Roman" w:eastAsiaTheme="minorHAnsi" w:hAnsi="Times New Roman" w:cs="Times New Roman"/>
      <w:b/>
      <w:sz w:val="28"/>
      <w:szCs w:val="20"/>
      <w:lang w:eastAsia="en-US"/>
    </w:rPr>
  </w:style>
  <w:style w:type="character" w:customStyle="1" w:styleId="H1GChar">
    <w:name w:val="_ H_1_G Char"/>
    <w:link w:val="H1G"/>
    <w:qFormat/>
    <w:rsid w:val="003E5696"/>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88250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67010-9A4F-4B68-9943-2115062E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35D6E-CB3D-4333-A5A8-7DC551D8B85E}">
  <ds:schemaRefs>
    <ds:schemaRef ds:uri="http://schemas.microsoft.com/sharepoint/v3/contenttype/forms"/>
  </ds:schemaRefs>
</ds:datastoreItem>
</file>

<file path=customXml/itemProps3.xml><?xml version="1.0" encoding="utf-8"?>
<ds:datastoreItem xmlns:ds="http://schemas.openxmlformats.org/officeDocument/2006/customXml" ds:itemID="{14055347-135B-401F-891E-E7BAB7535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ECE/TRANS/WP.15/2021/6</vt:lpstr>
    </vt:vector>
  </TitlesOfParts>
  <Company>DCM</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ECE/TRANS/WP.15/2021/6</dc:title>
  <dc:subject/>
  <dc:creator>Fabienne CRELIER</dc:creator>
  <cp:keywords/>
  <cp:lastModifiedBy>Christine Barrio-Champeau</cp:lastModifiedBy>
  <cp:revision>2</cp:revision>
  <cp:lastPrinted>2021-03-03T10:39:00Z</cp:lastPrinted>
  <dcterms:created xsi:type="dcterms:W3CDTF">2021-03-03T19:17:00Z</dcterms:created>
  <dcterms:modified xsi:type="dcterms:W3CDTF">2021-03-03T19:17:00Z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