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6837D22" w14:textId="77777777" w:rsidTr="00387CD4">
        <w:trPr>
          <w:trHeight w:hRule="exact" w:val="851"/>
        </w:trPr>
        <w:tc>
          <w:tcPr>
            <w:tcW w:w="142" w:type="dxa"/>
            <w:tcBorders>
              <w:bottom w:val="single" w:sz="4" w:space="0" w:color="auto"/>
            </w:tcBorders>
          </w:tcPr>
          <w:p w14:paraId="6E784865" w14:textId="77777777" w:rsidR="002D5AAC" w:rsidRDefault="002D5AAC" w:rsidP="00D8199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7E4B4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1A6437" w14:textId="77777777" w:rsidR="002D5AAC" w:rsidRDefault="00D81990" w:rsidP="00D81990">
            <w:pPr>
              <w:jc w:val="right"/>
            </w:pPr>
            <w:r w:rsidRPr="00D81990">
              <w:rPr>
                <w:sz w:val="40"/>
              </w:rPr>
              <w:t>ECE</w:t>
            </w:r>
            <w:r>
              <w:t>/TRANS/WP.15/2021/5</w:t>
            </w:r>
          </w:p>
        </w:tc>
      </w:tr>
      <w:tr w:rsidR="002D5AAC" w:rsidRPr="00B2377A" w14:paraId="3722DCDF" w14:textId="77777777" w:rsidTr="00387CD4">
        <w:trPr>
          <w:trHeight w:hRule="exact" w:val="2835"/>
        </w:trPr>
        <w:tc>
          <w:tcPr>
            <w:tcW w:w="1280" w:type="dxa"/>
            <w:gridSpan w:val="2"/>
            <w:tcBorders>
              <w:top w:val="single" w:sz="4" w:space="0" w:color="auto"/>
              <w:bottom w:val="single" w:sz="12" w:space="0" w:color="auto"/>
            </w:tcBorders>
          </w:tcPr>
          <w:p w14:paraId="7D642B15" w14:textId="77777777" w:rsidR="002D5AAC" w:rsidRDefault="002E5067" w:rsidP="00387CD4">
            <w:pPr>
              <w:spacing w:before="120"/>
              <w:jc w:val="center"/>
            </w:pPr>
            <w:r>
              <w:rPr>
                <w:noProof/>
                <w:lang w:val="fr-CH" w:eastAsia="fr-CH"/>
              </w:rPr>
              <w:drawing>
                <wp:inline distT="0" distB="0" distL="0" distR="0" wp14:anchorId="0F7E54D9" wp14:editId="7C89C81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6D5CB8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ECC58A" w14:textId="77777777" w:rsidR="002D5AAC" w:rsidRDefault="00D81990" w:rsidP="00387CD4">
            <w:pPr>
              <w:spacing w:before="240"/>
              <w:rPr>
                <w:lang w:val="en-US"/>
              </w:rPr>
            </w:pPr>
            <w:r>
              <w:rPr>
                <w:lang w:val="en-US"/>
              </w:rPr>
              <w:t>Distr.: General</w:t>
            </w:r>
          </w:p>
          <w:p w14:paraId="60632961" w14:textId="77777777" w:rsidR="00D81990" w:rsidRDefault="00D81990" w:rsidP="00D81990">
            <w:pPr>
              <w:spacing w:line="240" w:lineRule="exact"/>
              <w:rPr>
                <w:lang w:val="en-US"/>
              </w:rPr>
            </w:pPr>
            <w:r>
              <w:rPr>
                <w:lang w:val="en-US"/>
              </w:rPr>
              <w:t>18 February 2021</w:t>
            </w:r>
          </w:p>
          <w:p w14:paraId="57375DCE" w14:textId="77777777" w:rsidR="00D81990" w:rsidRDefault="00D81990" w:rsidP="00D81990">
            <w:pPr>
              <w:spacing w:line="240" w:lineRule="exact"/>
              <w:rPr>
                <w:lang w:val="en-US"/>
              </w:rPr>
            </w:pPr>
            <w:r>
              <w:rPr>
                <w:lang w:val="en-US"/>
              </w:rPr>
              <w:t>Russian</w:t>
            </w:r>
          </w:p>
          <w:p w14:paraId="02169370" w14:textId="77777777" w:rsidR="00D81990" w:rsidRPr="008D53B6" w:rsidRDefault="00D81990" w:rsidP="00D81990">
            <w:pPr>
              <w:spacing w:line="240" w:lineRule="exact"/>
              <w:rPr>
                <w:lang w:val="en-US"/>
              </w:rPr>
            </w:pPr>
            <w:r>
              <w:rPr>
                <w:lang w:val="en-US"/>
              </w:rPr>
              <w:t>Original: English</w:t>
            </w:r>
          </w:p>
        </w:tc>
      </w:tr>
    </w:tbl>
    <w:p w14:paraId="4F801EC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12A430B" w14:textId="77777777" w:rsidR="00381067" w:rsidRPr="00C705FC" w:rsidRDefault="00381067" w:rsidP="00381067">
      <w:pPr>
        <w:spacing w:before="120"/>
        <w:rPr>
          <w:sz w:val="28"/>
          <w:szCs w:val="28"/>
        </w:rPr>
      </w:pPr>
      <w:r w:rsidRPr="00C705FC">
        <w:rPr>
          <w:sz w:val="28"/>
          <w:szCs w:val="28"/>
        </w:rPr>
        <w:t>Комитет по внутреннему транспорту</w:t>
      </w:r>
    </w:p>
    <w:p w14:paraId="4D5AA2AF" w14:textId="77777777" w:rsidR="00381067" w:rsidRPr="00C705FC" w:rsidRDefault="00381067" w:rsidP="00381067">
      <w:pPr>
        <w:spacing w:before="120"/>
        <w:rPr>
          <w:b/>
          <w:sz w:val="24"/>
          <w:szCs w:val="24"/>
        </w:rPr>
      </w:pPr>
      <w:r w:rsidRPr="00C705FC">
        <w:rPr>
          <w:b/>
          <w:bCs/>
          <w:sz w:val="24"/>
          <w:szCs w:val="24"/>
        </w:rPr>
        <w:t xml:space="preserve">Рабочая группа по перевозкам </w:t>
      </w:r>
      <w:r>
        <w:rPr>
          <w:b/>
          <w:bCs/>
          <w:sz w:val="24"/>
          <w:szCs w:val="24"/>
        </w:rPr>
        <w:br/>
      </w:r>
      <w:r w:rsidRPr="00C705FC">
        <w:rPr>
          <w:b/>
          <w:bCs/>
          <w:sz w:val="24"/>
          <w:szCs w:val="24"/>
        </w:rPr>
        <w:t>опасных грузов</w:t>
      </w:r>
    </w:p>
    <w:p w14:paraId="291FFB6D" w14:textId="77777777" w:rsidR="00381067" w:rsidRPr="00C705FC" w:rsidRDefault="00381067" w:rsidP="00381067">
      <w:pPr>
        <w:spacing w:before="120"/>
        <w:rPr>
          <w:b/>
        </w:rPr>
      </w:pPr>
      <w:r>
        <w:rPr>
          <w:b/>
          <w:bCs/>
        </w:rPr>
        <w:t>Сто девятая сессия</w:t>
      </w:r>
    </w:p>
    <w:p w14:paraId="4AFD6076" w14:textId="77777777" w:rsidR="00381067" w:rsidRPr="00C705FC" w:rsidRDefault="00381067" w:rsidP="00381067">
      <w:r>
        <w:t>Женева, 3–7 мая 2021 года</w:t>
      </w:r>
    </w:p>
    <w:p w14:paraId="756A5CDD" w14:textId="77777777" w:rsidR="00381067" w:rsidRDefault="00381067" w:rsidP="00381067">
      <w:pPr>
        <w:autoSpaceDE w:val="0"/>
        <w:autoSpaceDN w:val="0"/>
        <w:adjustRightInd w:val="0"/>
      </w:pPr>
      <w:r>
        <w:t>Пункт 5 b) предварительной повестки дня</w:t>
      </w:r>
    </w:p>
    <w:p w14:paraId="0C798DDD" w14:textId="77777777" w:rsidR="00381067" w:rsidRPr="00A05DCA" w:rsidRDefault="00381067" w:rsidP="00381067">
      <w:pPr>
        <w:autoSpaceDE w:val="0"/>
        <w:autoSpaceDN w:val="0"/>
        <w:adjustRightInd w:val="0"/>
        <w:rPr>
          <w:b/>
          <w:bCs/>
        </w:rPr>
      </w:pPr>
      <w:r w:rsidRPr="00A05DCA">
        <w:rPr>
          <w:b/>
          <w:bCs/>
        </w:rPr>
        <w:t xml:space="preserve">Предложения о внесении поправок </w:t>
      </w:r>
      <w:r>
        <w:rPr>
          <w:b/>
          <w:bCs/>
        </w:rPr>
        <w:br/>
      </w:r>
      <w:r w:rsidRPr="00A05DCA">
        <w:rPr>
          <w:b/>
          <w:bCs/>
        </w:rPr>
        <w:t>в приложения А и В к ДОПОГ:</w:t>
      </w:r>
    </w:p>
    <w:p w14:paraId="2E440944" w14:textId="77777777" w:rsidR="00381067" w:rsidRPr="00A05DCA" w:rsidRDefault="00381067" w:rsidP="00381067">
      <w:pPr>
        <w:autoSpaceDE w:val="0"/>
        <w:autoSpaceDN w:val="0"/>
        <w:adjustRightInd w:val="0"/>
        <w:rPr>
          <w:b/>
          <w:bCs/>
        </w:rPr>
      </w:pPr>
      <w:r w:rsidRPr="00A05DCA">
        <w:rPr>
          <w:b/>
          <w:bCs/>
        </w:rPr>
        <w:t>различные предложения</w:t>
      </w:r>
    </w:p>
    <w:p w14:paraId="03242F1A" w14:textId="77777777" w:rsidR="00381067" w:rsidRPr="00A05DCA" w:rsidRDefault="00381067" w:rsidP="00381067">
      <w:pPr>
        <w:pStyle w:val="HChG"/>
      </w:pPr>
      <w:r>
        <w:tab/>
      </w:r>
      <w:r>
        <w:tab/>
      </w:r>
      <w:r w:rsidRPr="00A05DCA">
        <w:t>Ссылки на компетентные органы в</w:t>
      </w:r>
      <w:r>
        <w:t xml:space="preserve"> </w:t>
      </w:r>
      <w:r w:rsidRPr="00A05DCA">
        <w:t>частях 8 и 9</w:t>
      </w:r>
    </w:p>
    <w:p w14:paraId="1E2FB12B" w14:textId="77777777" w:rsidR="00381067" w:rsidRPr="00A05DCA" w:rsidRDefault="00381067" w:rsidP="00381067">
      <w:pPr>
        <w:pStyle w:val="H1G"/>
      </w:pPr>
      <w:r>
        <w:tab/>
      </w:r>
      <w:r>
        <w:tab/>
      </w:r>
      <w:r w:rsidRPr="00A05DCA">
        <w:t>Записка секретариата</w:t>
      </w:r>
      <w:r w:rsidRPr="00381067">
        <w:rPr>
          <w:b w:val="0"/>
          <w:bCs/>
          <w:sz w:val="20"/>
        </w:rPr>
        <w:footnoteReference w:customMarkFollows="1" w:id="1"/>
        <w:sym w:font="Symbol" w:char="F02A"/>
      </w:r>
    </w:p>
    <w:p w14:paraId="26AC855C" w14:textId="77777777" w:rsidR="00381067" w:rsidRPr="00C705FC" w:rsidRDefault="00381067" w:rsidP="00381067">
      <w:pPr>
        <w:pStyle w:val="HChG"/>
      </w:pPr>
      <w:r>
        <w:tab/>
      </w:r>
      <w:r>
        <w:tab/>
        <w:t>Введение</w:t>
      </w:r>
    </w:p>
    <w:p w14:paraId="4384D085" w14:textId="77777777" w:rsidR="00381067" w:rsidRPr="00C705FC" w:rsidRDefault="00381067" w:rsidP="00381067">
      <w:pPr>
        <w:pStyle w:val="SingleTxtG"/>
        <w:rPr>
          <w:rFonts w:eastAsia="SimSun"/>
        </w:rPr>
      </w:pPr>
      <w:r>
        <w:t>1.</w:t>
      </w:r>
      <w:r>
        <w:tab/>
        <w:t>На своей сто седьмой сессии Рабочая группа</w:t>
      </w:r>
      <w:r w:rsidRPr="008B2148">
        <w:t xml:space="preserve"> </w:t>
      </w:r>
      <w:r>
        <w:t>рассмотрела ссылки на компетентные органы, содержащиеся в частях 8 и 9 ДОПОГ, на основе документа ECE/TRANS/WP.15/2019/23, подготовленного секретариатом, и поручила секретариату представить новый документ с учетом полученных замечаний.</w:t>
      </w:r>
    </w:p>
    <w:p w14:paraId="59405DB3" w14:textId="77777777" w:rsidR="00381067" w:rsidRPr="00C705FC" w:rsidRDefault="00381067" w:rsidP="00381067">
      <w:pPr>
        <w:pStyle w:val="SingleTxtG"/>
        <w:rPr>
          <w:rFonts w:eastAsia="SimSun"/>
        </w:rPr>
      </w:pPr>
      <w:r>
        <w:t>2.</w:t>
      </w:r>
      <w:r>
        <w:tab/>
        <w:t>Обновленные таблицы приведены в приложении к настоящему документу, а</w:t>
      </w:r>
      <w:r>
        <w:rPr>
          <w:lang w:val="en-US"/>
        </w:rPr>
        <w:t> </w:t>
      </w:r>
      <w:r>
        <w:t>подробная дополнительная информация приводится ниже.</w:t>
      </w:r>
    </w:p>
    <w:p w14:paraId="15577EA3" w14:textId="77777777" w:rsidR="00381067" w:rsidRPr="00C705FC" w:rsidRDefault="00381067" w:rsidP="00381067">
      <w:pPr>
        <w:pStyle w:val="HChG"/>
      </w:pPr>
      <w:r>
        <w:tab/>
      </w:r>
      <w:r>
        <w:tab/>
      </w:r>
      <w:r>
        <w:rPr>
          <w:bCs/>
        </w:rPr>
        <w:t>Пункты, в которых четко определен «компетентный орган»</w:t>
      </w:r>
    </w:p>
    <w:p w14:paraId="58A1E830" w14:textId="77777777" w:rsidR="00381067" w:rsidRPr="00C705FC" w:rsidRDefault="00381067" w:rsidP="00381067">
      <w:pPr>
        <w:pStyle w:val="SingleTxtG"/>
        <w:rPr>
          <w:rFonts w:eastAsia="SimSun"/>
        </w:rPr>
      </w:pPr>
      <w:r>
        <w:t>3.</w:t>
      </w:r>
      <w:r>
        <w:tab/>
        <w:t>После обсуждения выступившие делегации подтвердили, что ссылки на «компетентный орган» в пунктах 8.1.2.2 с), 8.6.2, 8.6.3.1, 9.1.2.2, 9.1.3.1 и 9.1.3.2 являются достаточно четкими и понятными и не создают проблемы с толкованием. В этих пунктах «компетентный орган» четко определен либо в самих пунктах, либо в пунктах, на которые даются перекрестные ссылки.</w:t>
      </w:r>
    </w:p>
    <w:p w14:paraId="56556363" w14:textId="77777777" w:rsidR="00381067" w:rsidRPr="00C705FC" w:rsidRDefault="00381067" w:rsidP="00381067">
      <w:pPr>
        <w:pStyle w:val="SingleTxtG"/>
        <w:rPr>
          <w:rFonts w:eastAsia="SimSun"/>
        </w:rPr>
      </w:pPr>
      <w:r>
        <w:t>4.</w:t>
      </w:r>
      <w:r>
        <w:tab/>
        <w:t xml:space="preserve">Рабочая группа, возможно, пожелает подтвердить, что для уточнения сферы охвата термина «компетентный орган» в эти пункты не требуется вносить никаких изменений. </w:t>
      </w:r>
    </w:p>
    <w:p w14:paraId="24D2A0A9" w14:textId="77777777" w:rsidR="00381067" w:rsidRPr="00C705FC" w:rsidRDefault="00381067" w:rsidP="00381067">
      <w:pPr>
        <w:pStyle w:val="SingleTxtG"/>
        <w:rPr>
          <w:rFonts w:eastAsia="SimSun"/>
        </w:rPr>
      </w:pPr>
      <w:r>
        <w:t>5.</w:t>
      </w:r>
      <w:r>
        <w:tab/>
        <w:t xml:space="preserve">В пункте 8.6.3.1 сделана ссылка на пункт 1.7.4.2, в котором четко определен порядок утверждения специальных условий. По мнению некоторых делегаций, ссылка </w:t>
      </w:r>
      <w:r>
        <w:lastRenderedPageBreak/>
        <w:t>на «компетентный орган» в пункте 8.6.3.1 является излишней, и ее можно было бы исключить.</w:t>
      </w:r>
    </w:p>
    <w:p w14:paraId="3F6A491D" w14:textId="77777777" w:rsidR="00381067" w:rsidRPr="00A05DCA" w:rsidRDefault="00381067" w:rsidP="00381067">
      <w:pPr>
        <w:pStyle w:val="H1G"/>
      </w:pPr>
      <w:r>
        <w:tab/>
      </w:r>
      <w:r>
        <w:tab/>
      </w:r>
      <w:r>
        <w:rPr>
          <w:bCs/>
        </w:rPr>
        <w:t>Предложение 1</w:t>
      </w:r>
    </w:p>
    <w:p w14:paraId="6B83AF94" w14:textId="30C95DA7" w:rsidR="00381067" w:rsidRPr="00D94E7F" w:rsidRDefault="00381067" w:rsidP="00381067">
      <w:pPr>
        <w:pStyle w:val="SingleTxtG"/>
      </w:pPr>
      <w:r>
        <w:t>6.</w:t>
      </w:r>
      <w:r>
        <w:tab/>
        <w:t>В пункте 8.6.3.1 заменить «утвержденных компетентным(и) органом(ами) на</w:t>
      </w:r>
      <w:r w:rsidR="00B2377A">
        <w:rPr>
          <w:lang w:val="en-US"/>
        </w:rPr>
        <w:t> </w:t>
      </w:r>
      <w:r>
        <w:t>основе пункта 1.7.4.2» на «в соответствии с пунктом 1.7.4.2».</w:t>
      </w:r>
    </w:p>
    <w:p w14:paraId="35F3BCFF" w14:textId="77777777" w:rsidR="00381067" w:rsidRPr="00C705FC" w:rsidRDefault="00381067" w:rsidP="005A23D7">
      <w:pPr>
        <w:pStyle w:val="HChG"/>
        <w:rPr>
          <w:rFonts w:eastAsia="SimSun"/>
        </w:rPr>
      </w:pPr>
      <w:r>
        <w:tab/>
      </w:r>
      <w:r>
        <w:tab/>
        <w:t>Предусмотренный в пункте 8.1.4.4 маркировочный знак, указывающий на соответствие стандарту, признанному компетентным органом</w:t>
      </w:r>
    </w:p>
    <w:p w14:paraId="62A662C5" w14:textId="77777777" w:rsidR="00381067" w:rsidRPr="00C705FC" w:rsidRDefault="00381067" w:rsidP="00381067">
      <w:pPr>
        <w:pStyle w:val="SingleTxtG"/>
      </w:pPr>
      <w:r>
        <w:t>7.</w:t>
      </w:r>
      <w:r>
        <w:tab/>
        <w:t xml:space="preserve">В отношении предусмотренного в пункте 8.1.4.4 маркировочного знака, указывающего на соответствие стандарту, признанному компетентным органом, были высказаны различные мнения. Оказалось, что в разных странах применяются разные правила, касающиеся сферы охвата и характера этого маркировочного знака. Договаривающимся сторонам предлагается представить </w:t>
      </w:r>
      <w:r>
        <w:rPr>
          <w:rFonts w:eastAsia="Calibri" w:cs="Arial"/>
          <w:szCs w:val="22"/>
        </w:rPr>
        <w:t>з</w:t>
      </w:r>
      <w:r w:rsidRPr="00C059A3">
        <w:rPr>
          <w:rFonts w:eastAsia="Calibri" w:cs="Arial"/>
          <w:szCs w:val="22"/>
        </w:rPr>
        <w:t>амечания</w:t>
      </w:r>
      <w:r>
        <w:t xml:space="preserve"> и примеры того, как требования пункта 8.1.4.4 в отношении маркировки выполняются на практике в их странах.</w:t>
      </w:r>
    </w:p>
    <w:p w14:paraId="2427FB21" w14:textId="77777777" w:rsidR="00381067" w:rsidRPr="00C705FC" w:rsidRDefault="00381067" w:rsidP="005A23D7">
      <w:pPr>
        <w:pStyle w:val="HChG"/>
      </w:pPr>
      <w:r>
        <w:tab/>
      </w:r>
      <w:r>
        <w:tab/>
        <w:t>Ссылки на компетентный орган в главе 8.2</w:t>
      </w:r>
    </w:p>
    <w:p w14:paraId="2CD9F97B" w14:textId="77777777" w:rsidR="00381067" w:rsidRPr="00C705FC" w:rsidRDefault="00381067" w:rsidP="00381067">
      <w:pPr>
        <w:pStyle w:val="SingleTxtG"/>
      </w:pPr>
      <w:r>
        <w:t>8.</w:t>
      </w:r>
      <w:r>
        <w:tab/>
        <w:t xml:space="preserve">После обсуждения большинство согласилось с тем, что под </w:t>
      </w:r>
      <w:r w:rsidR="005A23D7">
        <w:t>«</w:t>
      </w:r>
      <w:r>
        <w:t>компетентным органом</w:t>
      </w:r>
      <w:r w:rsidR="005A23D7">
        <w:t>»</w:t>
      </w:r>
      <w:r>
        <w:t xml:space="preserve"> в главе 8.2 имеется в виду компетентный орган страны, в которой проводятся подготовка и экзамены. Было также решено, что текст не нуждается в дальнейшем уточнении. Рабочая группа, возможно, пожелает подтвердить это толкование.</w:t>
      </w:r>
    </w:p>
    <w:p w14:paraId="4144AB04" w14:textId="77777777" w:rsidR="00381067" w:rsidRPr="00C705FC" w:rsidRDefault="00381067" w:rsidP="005A23D7">
      <w:pPr>
        <w:pStyle w:val="HChG"/>
      </w:pPr>
      <w:r>
        <w:tab/>
      </w:r>
      <w:r>
        <w:tab/>
        <w:t xml:space="preserve">Ссылки на компетентный орган в главе 8.5, </w:t>
      </w:r>
      <w:bookmarkStart w:id="0" w:name="_Hlk64835283"/>
      <w:r>
        <w:t>дополнительное требовани</w:t>
      </w:r>
      <w:bookmarkEnd w:id="0"/>
      <w:r>
        <w:t>е S1</w:t>
      </w:r>
    </w:p>
    <w:p w14:paraId="02618F4D" w14:textId="77777777" w:rsidR="00381067" w:rsidRPr="00C705FC" w:rsidRDefault="00381067" w:rsidP="00381067">
      <w:pPr>
        <w:pStyle w:val="SingleTxtG"/>
      </w:pPr>
      <w:r>
        <w:t>9.</w:t>
      </w:r>
      <w:r>
        <w:tab/>
        <w:t xml:space="preserve">После обсуждения большинство согласилось с тем, что под </w:t>
      </w:r>
      <w:r w:rsidR="005A23D7">
        <w:t>«</w:t>
      </w:r>
      <w:r>
        <w:t>компетентным органом</w:t>
      </w:r>
      <w:r w:rsidR="005A23D7">
        <w:t>»</w:t>
      </w:r>
      <w:r>
        <w:t xml:space="preserve"> в дополнительном требовании S1 имеется в виду компетентный орган стран, в которых осуществляется перевозка, погрузка или разгрузка. Было также решено, что текст не нуждается в дальнейшем уточнении. Рабочая группа, возможно, пожелает подтвердить это толкование.</w:t>
      </w:r>
    </w:p>
    <w:p w14:paraId="73C31E17" w14:textId="77777777" w:rsidR="00381067" w:rsidRPr="00C705FC" w:rsidRDefault="00381067" w:rsidP="005A23D7">
      <w:pPr>
        <w:pStyle w:val="HChG"/>
      </w:pPr>
      <w:r>
        <w:tab/>
      </w:r>
      <w:r>
        <w:tab/>
        <w:t>Ссылки на компетентный орган в главе 8.5, S8 и S9</w:t>
      </w:r>
    </w:p>
    <w:p w14:paraId="1F663D24" w14:textId="77777777" w:rsidR="00381067" w:rsidRPr="00C705FC" w:rsidRDefault="00381067" w:rsidP="00381067">
      <w:pPr>
        <w:pStyle w:val="SingleTxtG"/>
      </w:pPr>
      <w:r>
        <w:t>10.</w:t>
      </w:r>
      <w:r>
        <w:tab/>
        <w:t xml:space="preserve">Некоторые делегации высказали предположение о том, что под </w:t>
      </w:r>
      <w:r w:rsidR="005A23D7">
        <w:t>«</w:t>
      </w:r>
      <w:r>
        <w:t>компетентным органом</w:t>
      </w:r>
      <w:r w:rsidR="005A23D7">
        <w:t>»</w:t>
      </w:r>
      <w:r>
        <w:t xml:space="preserve"> в дополнительных требованиях S8 и S9 могут иметься в виду местные органы власти, а не предусмотренный в ДОПОГ компетентный орган, обладающий компетенцией по выполнению требований ДОПОГ. Если Рабочая группа согласится с таким толкованием, то, возможно, было бы целесообразно внести изменения в текст для его уточнения.</w:t>
      </w:r>
    </w:p>
    <w:p w14:paraId="30443DF5" w14:textId="77777777" w:rsidR="00381067" w:rsidRPr="00C705FC" w:rsidRDefault="00381067" w:rsidP="005A23D7">
      <w:pPr>
        <w:pStyle w:val="H1G"/>
      </w:pPr>
      <w:r>
        <w:tab/>
      </w:r>
      <w:r>
        <w:tab/>
        <w:t>Предложение 2</w:t>
      </w:r>
    </w:p>
    <w:p w14:paraId="4509BC77" w14:textId="77777777" w:rsidR="00381067" w:rsidRPr="00C705FC" w:rsidRDefault="00381067" w:rsidP="00381067">
      <w:pPr>
        <w:pStyle w:val="SingleTxtG"/>
      </w:pPr>
      <w:r>
        <w:t>11.</w:t>
      </w:r>
      <w:r>
        <w:tab/>
        <w:t xml:space="preserve">В дополнительных требованиях S8 и S9 главы 8.5 заменить </w:t>
      </w:r>
      <w:r w:rsidR="005A23D7">
        <w:t>«</w:t>
      </w:r>
      <w:r>
        <w:t>компетентных органов</w:t>
      </w:r>
      <w:r w:rsidR="005A23D7">
        <w:t>»</w:t>
      </w:r>
      <w:r>
        <w:t xml:space="preserve"> на </w:t>
      </w:r>
      <w:r w:rsidR="005A23D7">
        <w:t>«</w:t>
      </w:r>
      <w:r>
        <w:t>местных органов власти</w:t>
      </w:r>
      <w:r w:rsidR="005A23D7">
        <w:t>»</w:t>
      </w:r>
      <w:r>
        <w:t>.</w:t>
      </w:r>
    </w:p>
    <w:p w14:paraId="2190009E" w14:textId="77777777" w:rsidR="00381067" w:rsidRPr="00C705FC" w:rsidRDefault="00381067" w:rsidP="005A23D7">
      <w:pPr>
        <w:pStyle w:val="HChG"/>
      </w:pPr>
      <w:bookmarkStart w:id="1" w:name="_GoBack"/>
      <w:bookmarkEnd w:id="1"/>
      <w:r>
        <w:lastRenderedPageBreak/>
        <w:tab/>
      </w:r>
      <w:r>
        <w:tab/>
        <w:t>Ссылки на компетентный орган в главе 8.5,</w:t>
      </w:r>
      <w:r w:rsidRPr="00F005FF">
        <w:t xml:space="preserve"> </w:t>
      </w:r>
      <w:r>
        <w:t>S16 и S21</w:t>
      </w:r>
    </w:p>
    <w:p w14:paraId="2C7469A4" w14:textId="25ACAEFB" w:rsidR="00381067" w:rsidRPr="00C705FC" w:rsidRDefault="00381067" w:rsidP="00381067">
      <w:pPr>
        <w:pStyle w:val="SingleTxtG"/>
      </w:pPr>
      <w:r>
        <w:t>12.</w:t>
      </w:r>
      <w:r>
        <w:tab/>
        <w:t xml:space="preserve">Рабочая группа согласилась с тем, что под </w:t>
      </w:r>
      <w:r w:rsidR="005A23D7">
        <w:t>«</w:t>
      </w:r>
      <w:r>
        <w:t>компетентным органом</w:t>
      </w:r>
      <w:r w:rsidR="005A23D7">
        <w:t>»</w:t>
      </w:r>
      <w:r>
        <w:t xml:space="preserve"> в</w:t>
      </w:r>
      <w:r w:rsidR="00B2377A">
        <w:rPr>
          <w:lang w:val="en-US"/>
        </w:rPr>
        <w:t> </w:t>
      </w:r>
      <w:r>
        <w:t>дополнительных требованиях S16 и S21 имеются в виду компетентные органы стран, в которых осуществляется перевозка. Было также решено, что текст не нуждается в дальнейшем уточнении. Рабочая группа, возможно, пожелает подтвердить это толкование.</w:t>
      </w:r>
    </w:p>
    <w:p w14:paraId="090593EB" w14:textId="77777777" w:rsidR="00381067" w:rsidRPr="00C705FC" w:rsidRDefault="00381067" w:rsidP="005A23D7">
      <w:pPr>
        <w:pStyle w:val="HChG"/>
      </w:pPr>
      <w:r>
        <w:tab/>
      </w:r>
      <w:r>
        <w:tab/>
        <w:t>Ссылки на компетентный орган в подразделе 9.1.2.1</w:t>
      </w:r>
    </w:p>
    <w:p w14:paraId="360861F5" w14:textId="77777777" w:rsidR="00381067" w:rsidRPr="00C705FC" w:rsidRDefault="00381067" w:rsidP="00381067">
      <w:pPr>
        <w:pStyle w:val="SingleTxtG"/>
      </w:pPr>
      <w:r>
        <w:t>13.</w:t>
      </w:r>
      <w:r>
        <w:tab/>
        <w:t xml:space="preserve">В документе ECE/TRANS/WP.15/2019/23 содержится предложение заменить слова </w:t>
      </w:r>
      <w:r w:rsidR="005A23D7">
        <w:t>«</w:t>
      </w:r>
      <w:r>
        <w:t>компетентный орган</w:t>
      </w:r>
      <w:r w:rsidR="005A23D7">
        <w:t>»</w:t>
      </w:r>
      <w:r>
        <w:t xml:space="preserve"> в первом случае их употребления словами </w:t>
      </w:r>
      <w:r w:rsidR="005A23D7">
        <w:t>«</w:t>
      </w:r>
      <w:r>
        <w:t>компетентный орган страны утверждения</w:t>
      </w:r>
      <w:r w:rsidR="005A23D7">
        <w:t>»</w:t>
      </w:r>
      <w:r>
        <w:t xml:space="preserve"> или </w:t>
      </w:r>
      <w:r w:rsidR="005A23D7">
        <w:t>«</w:t>
      </w:r>
      <w:r>
        <w:t>компетентный орган страны регистрации</w:t>
      </w:r>
      <w:r w:rsidR="005A23D7">
        <w:t>»</w:t>
      </w:r>
      <w:r>
        <w:t xml:space="preserve">. Консенсуса по этому вопросу достигнуто не было. По мнению некоторых делегаций, добавление слов </w:t>
      </w:r>
      <w:r w:rsidR="005A23D7">
        <w:t>«</w:t>
      </w:r>
      <w:r>
        <w:t>страны регистрации</w:t>
      </w:r>
      <w:r w:rsidR="005A23D7">
        <w:t>»</w:t>
      </w:r>
      <w:r>
        <w:t xml:space="preserve"> могло бы внести ясность в текст. Другие делегации отметили, что в некоторых странах для некоторых прицепов регистрация не требуется. Рабочая группа, возможно, пожелает продолжить это обсуждение.</w:t>
      </w:r>
    </w:p>
    <w:p w14:paraId="7AA2C7B2" w14:textId="77777777" w:rsidR="00381067" w:rsidRPr="00C705FC" w:rsidRDefault="00381067" w:rsidP="005A23D7">
      <w:pPr>
        <w:pStyle w:val="HChG"/>
      </w:pPr>
      <w:r>
        <w:tab/>
      </w:r>
      <w:r>
        <w:tab/>
        <w:t>Ссылки на компетентный орган в подразделе 9.1.2.2</w:t>
      </w:r>
    </w:p>
    <w:p w14:paraId="51D3F3BF" w14:textId="3C15360F" w:rsidR="00381067" w:rsidRDefault="00381067" w:rsidP="00381067">
      <w:pPr>
        <w:pStyle w:val="SingleTxtG"/>
      </w:pPr>
      <w:r>
        <w:t>14.</w:t>
      </w:r>
      <w:r>
        <w:tab/>
        <w:t>После обсуждения было решено, что в этом подразделе речь идет о</w:t>
      </w:r>
      <w:r w:rsidR="00B2377A">
        <w:rPr>
          <w:lang w:val="en-US"/>
        </w:rPr>
        <w:t> </w:t>
      </w:r>
      <w:r>
        <w:t>компетентном органе в соответствии с Правилами № 105 ООН. Было также решено, что текст не нуждается в дальнейшем уточнении. Рабочая группа, возможно, пожелает подтвердить это толкование.</w:t>
      </w:r>
    </w:p>
    <w:p w14:paraId="4B3AB86F" w14:textId="77777777" w:rsidR="00752930" w:rsidRDefault="00752930" w:rsidP="00D9145B">
      <w:pPr>
        <w:sectPr w:rsidR="00752930" w:rsidSect="00D8199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14:paraId="26C25032" w14:textId="77777777" w:rsidR="00752930" w:rsidRPr="007F1286" w:rsidRDefault="00752930" w:rsidP="00752930">
      <w:pPr>
        <w:pStyle w:val="HChG"/>
      </w:pPr>
      <w:r w:rsidRPr="007F1286">
        <w:lastRenderedPageBreak/>
        <w:t>Приложение</w:t>
      </w:r>
    </w:p>
    <w:p w14:paraId="078B47CA" w14:textId="77777777" w:rsidR="00752930" w:rsidRPr="007F1286" w:rsidRDefault="00752930" w:rsidP="00752930">
      <w:pPr>
        <w:pStyle w:val="HChG"/>
      </w:pPr>
      <w:r w:rsidRPr="007F1286">
        <w:t>Часть 8</w:t>
      </w:r>
    </w:p>
    <w:tbl>
      <w:tblPr>
        <w:tblStyle w:val="TableGrid"/>
        <w:tblW w:w="14017"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7624"/>
        <w:gridCol w:w="4592"/>
      </w:tblGrid>
      <w:tr w:rsidR="00752930" w:rsidRPr="00752930" w14:paraId="5672DDD8" w14:textId="77777777" w:rsidTr="00752930">
        <w:trPr>
          <w:tblHeader/>
        </w:trPr>
        <w:tc>
          <w:tcPr>
            <w:tcW w:w="1801" w:type="dxa"/>
            <w:tcBorders>
              <w:top w:val="single" w:sz="4" w:space="0" w:color="auto"/>
              <w:bottom w:val="single" w:sz="12" w:space="0" w:color="auto"/>
            </w:tcBorders>
            <w:shd w:val="clear" w:color="auto" w:fill="auto"/>
            <w:vAlign w:val="bottom"/>
          </w:tcPr>
          <w:p w14:paraId="054DB7A6" w14:textId="77777777" w:rsidR="00752930" w:rsidRPr="00752930" w:rsidRDefault="00752930" w:rsidP="005B75A8">
            <w:pPr>
              <w:spacing w:before="80" w:after="80" w:line="200" w:lineRule="exact"/>
              <w:ind w:right="113"/>
              <w:rPr>
                <w:i/>
                <w:sz w:val="16"/>
                <w:szCs w:val="16"/>
              </w:rPr>
            </w:pPr>
            <w:r w:rsidRPr="00752930">
              <w:rPr>
                <w:i/>
                <w:iCs/>
                <w:sz w:val="16"/>
                <w:szCs w:val="16"/>
              </w:rPr>
              <w:t>Пункт</w:t>
            </w:r>
          </w:p>
        </w:tc>
        <w:tc>
          <w:tcPr>
            <w:tcW w:w="7624" w:type="dxa"/>
            <w:tcBorders>
              <w:top w:val="single" w:sz="4" w:space="0" w:color="auto"/>
              <w:bottom w:val="single" w:sz="12" w:space="0" w:color="auto"/>
            </w:tcBorders>
            <w:shd w:val="clear" w:color="auto" w:fill="auto"/>
            <w:vAlign w:val="bottom"/>
          </w:tcPr>
          <w:p w14:paraId="118B15AD" w14:textId="77777777" w:rsidR="00752930" w:rsidRPr="00752930" w:rsidRDefault="00752930" w:rsidP="005B75A8">
            <w:pPr>
              <w:spacing w:before="80" w:after="80" w:line="200" w:lineRule="exact"/>
              <w:ind w:right="113"/>
              <w:rPr>
                <w:i/>
                <w:sz w:val="16"/>
                <w:szCs w:val="16"/>
              </w:rPr>
            </w:pPr>
            <w:r w:rsidRPr="00752930">
              <w:rPr>
                <w:i/>
                <w:iCs/>
                <w:sz w:val="16"/>
                <w:szCs w:val="16"/>
              </w:rPr>
              <w:t>Текст (ДОПОГ 2021 года)</w:t>
            </w:r>
          </w:p>
        </w:tc>
        <w:tc>
          <w:tcPr>
            <w:tcW w:w="4592" w:type="dxa"/>
            <w:tcBorders>
              <w:top w:val="single" w:sz="4" w:space="0" w:color="auto"/>
              <w:bottom w:val="single" w:sz="12" w:space="0" w:color="auto"/>
            </w:tcBorders>
            <w:shd w:val="clear" w:color="auto" w:fill="auto"/>
            <w:vAlign w:val="bottom"/>
          </w:tcPr>
          <w:p w14:paraId="1FCB546F" w14:textId="77777777" w:rsidR="00752930" w:rsidRPr="00752930" w:rsidRDefault="00752930" w:rsidP="005B75A8">
            <w:pPr>
              <w:spacing w:before="80" w:after="80" w:line="200" w:lineRule="exact"/>
              <w:ind w:right="113"/>
              <w:rPr>
                <w:i/>
                <w:sz w:val="16"/>
                <w:szCs w:val="16"/>
              </w:rPr>
            </w:pPr>
            <w:r w:rsidRPr="00752930">
              <w:rPr>
                <w:rFonts w:eastAsia="Calibri" w:cs="Arial"/>
                <w:i/>
                <w:iCs/>
                <w:sz w:val="16"/>
                <w:szCs w:val="16"/>
              </w:rPr>
              <w:t>Замечания</w:t>
            </w:r>
          </w:p>
        </w:tc>
      </w:tr>
      <w:tr w:rsidR="00752930" w:rsidRPr="005E5574" w14:paraId="27C707FD" w14:textId="77777777" w:rsidTr="00752930">
        <w:trPr>
          <w:trHeight w:hRule="exact" w:val="113"/>
          <w:tblHeader/>
        </w:trPr>
        <w:tc>
          <w:tcPr>
            <w:tcW w:w="1801" w:type="dxa"/>
            <w:tcBorders>
              <w:top w:val="single" w:sz="12" w:space="0" w:color="auto"/>
            </w:tcBorders>
            <w:shd w:val="clear" w:color="auto" w:fill="auto"/>
            <w:vAlign w:val="bottom"/>
          </w:tcPr>
          <w:p w14:paraId="0FB5982A" w14:textId="77777777" w:rsidR="00752930" w:rsidRPr="005E5574" w:rsidRDefault="00752930" w:rsidP="005B75A8">
            <w:pPr>
              <w:spacing w:before="80" w:after="80" w:line="200" w:lineRule="exact"/>
              <w:ind w:right="113"/>
              <w:rPr>
                <w:i/>
                <w:sz w:val="16"/>
              </w:rPr>
            </w:pPr>
          </w:p>
        </w:tc>
        <w:tc>
          <w:tcPr>
            <w:tcW w:w="7624" w:type="dxa"/>
            <w:tcBorders>
              <w:top w:val="single" w:sz="12" w:space="0" w:color="auto"/>
            </w:tcBorders>
            <w:shd w:val="clear" w:color="auto" w:fill="auto"/>
            <w:vAlign w:val="bottom"/>
          </w:tcPr>
          <w:p w14:paraId="449B3DED" w14:textId="77777777" w:rsidR="00752930" w:rsidRPr="005E5574" w:rsidRDefault="00752930" w:rsidP="005B75A8">
            <w:pPr>
              <w:spacing w:before="80" w:after="80" w:line="200" w:lineRule="exact"/>
              <w:ind w:right="113"/>
              <w:rPr>
                <w:i/>
                <w:sz w:val="16"/>
              </w:rPr>
            </w:pPr>
          </w:p>
        </w:tc>
        <w:tc>
          <w:tcPr>
            <w:tcW w:w="4592" w:type="dxa"/>
            <w:tcBorders>
              <w:top w:val="single" w:sz="12" w:space="0" w:color="auto"/>
            </w:tcBorders>
            <w:shd w:val="clear" w:color="auto" w:fill="auto"/>
            <w:vAlign w:val="bottom"/>
          </w:tcPr>
          <w:p w14:paraId="12A38F8E" w14:textId="77777777" w:rsidR="00752930" w:rsidRPr="005E5574" w:rsidRDefault="00752930" w:rsidP="005B75A8">
            <w:pPr>
              <w:spacing w:before="80" w:after="80" w:line="200" w:lineRule="exact"/>
              <w:ind w:right="113"/>
              <w:rPr>
                <w:i/>
                <w:sz w:val="16"/>
              </w:rPr>
            </w:pPr>
          </w:p>
        </w:tc>
      </w:tr>
      <w:tr w:rsidR="00752930" w:rsidRPr="005E5574" w14:paraId="7A2EC600" w14:textId="77777777" w:rsidTr="00752930">
        <w:tc>
          <w:tcPr>
            <w:tcW w:w="1801" w:type="dxa"/>
            <w:shd w:val="clear" w:color="auto" w:fill="auto"/>
          </w:tcPr>
          <w:p w14:paraId="198A40BE" w14:textId="77777777" w:rsidR="00752930" w:rsidRPr="005E5574" w:rsidRDefault="00752930" w:rsidP="005B75A8">
            <w:pPr>
              <w:spacing w:before="40" w:after="120"/>
              <w:ind w:right="113"/>
            </w:pPr>
            <w:r>
              <w:t>8.1.2.2</w:t>
            </w:r>
          </w:p>
        </w:tc>
        <w:tc>
          <w:tcPr>
            <w:tcW w:w="7624" w:type="dxa"/>
            <w:shd w:val="clear" w:color="auto" w:fill="auto"/>
          </w:tcPr>
          <w:p w14:paraId="67E2659B" w14:textId="77777777" w:rsidR="00752930" w:rsidRPr="00C705FC" w:rsidRDefault="00752930" w:rsidP="005B75A8">
            <w:pPr>
              <w:spacing w:before="40" w:after="120"/>
              <w:ind w:right="113"/>
            </w:pPr>
            <w:r>
              <w:t>На транспортной единице должны также находиться следующие документы, если положения ДОПОГ требуют их составления:</w:t>
            </w:r>
          </w:p>
          <w:p w14:paraId="7360C811" w14:textId="77777777" w:rsidR="00752930" w:rsidRPr="00C705FC" w:rsidRDefault="00752930" w:rsidP="005B75A8">
            <w:pPr>
              <w:spacing w:before="40" w:after="120"/>
              <w:ind w:right="113"/>
            </w:pPr>
            <w:r>
              <w:t>[…]</w:t>
            </w:r>
          </w:p>
          <w:p w14:paraId="62E82F6E" w14:textId="77777777" w:rsidR="00752930" w:rsidRPr="00C705FC" w:rsidRDefault="00752930" w:rsidP="005B75A8">
            <w:pPr>
              <w:spacing w:before="40" w:after="120"/>
              <w:ind w:right="113"/>
            </w:pPr>
            <w:r>
              <w:t>с)</w:t>
            </w:r>
            <w:r>
              <w:tab/>
              <w:t xml:space="preserve">копия утверждения, выданного </w:t>
            </w:r>
            <w:r w:rsidRPr="007F1286">
              <w:rPr>
                <w:b/>
                <w:bCs/>
              </w:rPr>
              <w:t>компетентным органом</w:t>
            </w:r>
            <w:r>
              <w:t xml:space="preserve">, когда это требуется </w:t>
            </w:r>
            <w:r w:rsidR="00776007">
              <w:br/>
            </w:r>
            <w:r>
              <w:t>в соответствии с пунктами 5.4.1.2.1 с) или d) или 5.4.1.2.3.3.</w:t>
            </w:r>
          </w:p>
        </w:tc>
        <w:tc>
          <w:tcPr>
            <w:tcW w:w="4592" w:type="dxa"/>
            <w:shd w:val="clear" w:color="auto" w:fill="auto"/>
          </w:tcPr>
          <w:p w14:paraId="00708786" w14:textId="77777777" w:rsidR="00752930" w:rsidRPr="00C705FC" w:rsidRDefault="00752930" w:rsidP="005B75A8">
            <w:pPr>
              <w:spacing w:before="40" w:after="120"/>
              <w:ind w:right="113"/>
            </w:pPr>
            <w:r w:rsidRPr="007F1286">
              <w:rPr>
                <w:rFonts w:eastAsia="Calibri" w:cs="Arial"/>
              </w:rPr>
              <w:t>В пункте 5.4.1.2.1 с) содержится ссылка на компетент</w:t>
            </w:r>
            <w:r>
              <w:t>ный орган, определенный в P101.</w:t>
            </w:r>
          </w:p>
          <w:p w14:paraId="780BDD1E" w14:textId="77777777" w:rsidR="00752930" w:rsidRPr="005E5574" w:rsidRDefault="00752930" w:rsidP="005B75A8">
            <w:pPr>
              <w:spacing w:before="40" w:after="120"/>
              <w:ind w:right="113"/>
            </w:pPr>
            <w:r>
              <w:t>Поправки не нужны.</w:t>
            </w:r>
          </w:p>
        </w:tc>
      </w:tr>
      <w:tr w:rsidR="00752930" w:rsidRPr="00CE5C6A" w14:paraId="672E6CC8" w14:textId="77777777" w:rsidTr="00752930">
        <w:tc>
          <w:tcPr>
            <w:tcW w:w="1801" w:type="dxa"/>
            <w:shd w:val="clear" w:color="auto" w:fill="auto"/>
          </w:tcPr>
          <w:p w14:paraId="6F6EEE59" w14:textId="77777777" w:rsidR="00752930" w:rsidRPr="005E5574" w:rsidRDefault="00752930" w:rsidP="005B75A8">
            <w:pPr>
              <w:spacing w:before="40" w:after="120"/>
              <w:ind w:right="113"/>
            </w:pPr>
            <w:r>
              <w:t>8.1.4.4</w:t>
            </w:r>
          </w:p>
        </w:tc>
        <w:tc>
          <w:tcPr>
            <w:tcW w:w="7624" w:type="dxa"/>
            <w:shd w:val="clear" w:color="auto" w:fill="auto"/>
          </w:tcPr>
          <w:p w14:paraId="0DBAD262" w14:textId="77777777" w:rsidR="00752930" w:rsidRPr="00C705FC" w:rsidRDefault="00752930" w:rsidP="005B75A8">
            <w:pPr>
              <w:spacing w:before="40" w:after="120"/>
              <w:ind w:right="113"/>
            </w:pPr>
            <w:r>
              <w:t xml:space="preserve">Огнетушители должны подвергаться проверкам в соответствии с утвержденными национальными стандартами, с тем чтобы гарантировать их функциональную надежность. Они должны иметь маркировочный знак, указывающий на соответствие стандарту, признанному </w:t>
            </w:r>
            <w:r w:rsidRPr="007F1286">
              <w:rPr>
                <w:b/>
                <w:bCs/>
              </w:rPr>
              <w:t>компетентным органом</w:t>
            </w:r>
            <w:r>
              <w:t>, и маркировочный знак, указывающий дату (месяц, год) следующей проверки или истечения максимально допустимого срока службы, в зависимости от конкретного случая.</w:t>
            </w:r>
          </w:p>
        </w:tc>
        <w:tc>
          <w:tcPr>
            <w:tcW w:w="4592" w:type="dxa"/>
            <w:shd w:val="clear" w:color="auto" w:fill="auto"/>
          </w:tcPr>
          <w:p w14:paraId="5325AB6E" w14:textId="77777777" w:rsidR="00752930" w:rsidRPr="00C705FC" w:rsidRDefault="00752930" w:rsidP="005B75A8">
            <w:pPr>
              <w:spacing w:before="40" w:after="120"/>
              <w:ind w:right="113"/>
            </w:pPr>
            <w:r>
              <w:t xml:space="preserve">Договаривающимся сторонам предлагается представить </w:t>
            </w:r>
            <w:r>
              <w:rPr>
                <w:rFonts w:eastAsia="Calibri" w:cs="Arial"/>
              </w:rPr>
              <w:t>з</w:t>
            </w:r>
            <w:r w:rsidRPr="00C059A3">
              <w:rPr>
                <w:rFonts w:eastAsia="Calibri" w:cs="Arial"/>
              </w:rPr>
              <w:t>амечания</w:t>
            </w:r>
            <w:r>
              <w:t xml:space="preserve"> и примеры того, как требования пункта 8.1.4.4 в отношении маркировки выполняются на практике в их странах.</w:t>
            </w:r>
          </w:p>
        </w:tc>
      </w:tr>
      <w:tr w:rsidR="00752930" w:rsidRPr="00CE5C6A" w14:paraId="012BE053" w14:textId="77777777" w:rsidTr="00752930">
        <w:tc>
          <w:tcPr>
            <w:tcW w:w="1801" w:type="dxa"/>
            <w:shd w:val="clear" w:color="auto" w:fill="auto"/>
          </w:tcPr>
          <w:p w14:paraId="7B101BFB" w14:textId="77777777" w:rsidR="00752930" w:rsidRPr="00C705FC" w:rsidRDefault="00752930" w:rsidP="005B75A8">
            <w:pPr>
              <w:spacing w:before="40" w:after="120"/>
              <w:ind w:right="113"/>
            </w:pPr>
            <w:r>
              <w:t>8.2.1.1 и ссылки в последующих пунктах главы 8.2</w:t>
            </w:r>
          </w:p>
        </w:tc>
        <w:tc>
          <w:tcPr>
            <w:tcW w:w="7624" w:type="dxa"/>
            <w:shd w:val="clear" w:color="auto" w:fill="auto"/>
          </w:tcPr>
          <w:p w14:paraId="340E5888" w14:textId="77777777" w:rsidR="00752930" w:rsidRPr="00D94E7F" w:rsidRDefault="00752930" w:rsidP="005B75A8">
            <w:pPr>
              <w:spacing w:before="40" w:after="120"/>
              <w:ind w:right="113"/>
            </w:pPr>
            <w:r>
              <w:t>Водители транспортных средств, перевозящих опасные грузы, должны иметь свидетельство, выданное</w:t>
            </w:r>
            <w:r w:rsidRPr="007F1286">
              <w:rPr>
                <w:b/>
                <w:bCs/>
              </w:rPr>
              <w:t xml:space="preserve"> компетентным органом</w:t>
            </w:r>
            <w:r>
              <w:t xml:space="preserve"> и удостоверяющее, что они </w:t>
            </w:r>
            <w:r w:rsidR="00776007">
              <w:br/>
            </w:r>
            <w:r>
              <w:t xml:space="preserve">прошли курс подготовки и сдали экзамен на знание специальных требований, </w:t>
            </w:r>
            <w:r w:rsidR="00776007">
              <w:br/>
            </w:r>
            <w:r>
              <w:t>которые должны выполняться при перевозке опасных грузов.</w:t>
            </w:r>
          </w:p>
        </w:tc>
        <w:tc>
          <w:tcPr>
            <w:tcW w:w="4592" w:type="dxa"/>
            <w:shd w:val="clear" w:color="auto" w:fill="auto"/>
          </w:tcPr>
          <w:p w14:paraId="2567260F" w14:textId="77777777" w:rsidR="00752930" w:rsidRPr="00C705FC" w:rsidRDefault="00752930" w:rsidP="005B75A8">
            <w:pPr>
              <w:spacing w:before="40" w:after="120"/>
              <w:ind w:right="113"/>
            </w:pPr>
            <w:r>
              <w:t>Ссылка на компетентный орган страны, в которой проводятся подготовка и экзамены.</w:t>
            </w:r>
          </w:p>
        </w:tc>
      </w:tr>
      <w:tr w:rsidR="00752930" w:rsidRPr="00CE5C6A" w14:paraId="716ADE93" w14:textId="77777777" w:rsidTr="00752930">
        <w:tc>
          <w:tcPr>
            <w:tcW w:w="1801" w:type="dxa"/>
            <w:shd w:val="clear" w:color="auto" w:fill="auto"/>
          </w:tcPr>
          <w:p w14:paraId="0B497F96" w14:textId="77777777" w:rsidR="00752930" w:rsidRPr="005E5574" w:rsidRDefault="00752930" w:rsidP="005B75A8">
            <w:pPr>
              <w:spacing w:before="40" w:after="120"/>
              <w:ind w:right="113"/>
            </w:pPr>
            <w:r>
              <w:t>Глава 8.5, дополнительное требование S1</w:t>
            </w:r>
          </w:p>
        </w:tc>
        <w:tc>
          <w:tcPr>
            <w:tcW w:w="7624" w:type="dxa"/>
            <w:shd w:val="clear" w:color="auto" w:fill="auto"/>
          </w:tcPr>
          <w:p w14:paraId="1DB05026" w14:textId="77777777" w:rsidR="00752930" w:rsidRPr="00C705FC" w:rsidRDefault="00752930" w:rsidP="005B75A8">
            <w:pPr>
              <w:spacing w:before="40" w:after="120"/>
              <w:ind w:right="113"/>
            </w:pPr>
            <w:r>
              <w:t>…</w:t>
            </w:r>
          </w:p>
          <w:p w14:paraId="0FFF78B1" w14:textId="77777777" w:rsidR="00752930" w:rsidRPr="00C705FC" w:rsidRDefault="00752930" w:rsidP="005B75A8">
            <w:pPr>
              <w:spacing w:before="40" w:after="120"/>
              <w:ind w:right="113"/>
            </w:pPr>
            <w:r>
              <w:t>2)</w:t>
            </w:r>
            <w:r>
              <w:tab/>
              <w:t xml:space="preserve">Уполномоченное лицо </w:t>
            </w:r>
          </w:p>
          <w:p w14:paraId="56C5E6F1" w14:textId="77777777" w:rsidR="00752930" w:rsidRPr="00C705FC" w:rsidRDefault="00752930" w:rsidP="005B75A8">
            <w:pPr>
              <w:spacing w:before="40" w:after="120"/>
              <w:ind w:right="113"/>
            </w:pPr>
            <w:r>
              <w:tab/>
              <w:t>Если это предусматривается национальными правилами,</w:t>
            </w:r>
            <w:r w:rsidRPr="007F1286">
              <w:t xml:space="preserve"> </w:t>
            </w:r>
            <w:r w:rsidRPr="007F1286">
              <w:rPr>
                <w:b/>
                <w:bCs/>
              </w:rPr>
              <w:t>компетентный орган</w:t>
            </w:r>
            <w:r>
              <w:t xml:space="preserve"> страны, являющейся Договаривающейся стороной ДОПОГ, может потребовать присутствия на транспортном средстве за счет перевозчика уполномоченного лица.</w:t>
            </w:r>
          </w:p>
          <w:p w14:paraId="01399C6F" w14:textId="77777777" w:rsidR="00752930" w:rsidRPr="00C705FC" w:rsidRDefault="00752930" w:rsidP="005B75A8">
            <w:pPr>
              <w:spacing w:before="40" w:after="120"/>
              <w:ind w:right="113"/>
            </w:pPr>
            <w:r>
              <w:t>…</w:t>
            </w:r>
          </w:p>
          <w:p w14:paraId="1A330746" w14:textId="77777777" w:rsidR="00752930" w:rsidRPr="00C705FC" w:rsidRDefault="00752930" w:rsidP="005B75A8">
            <w:pPr>
              <w:spacing w:before="40" w:after="120"/>
              <w:ind w:right="113"/>
            </w:pPr>
            <w:r>
              <w:t>4)</w:t>
            </w:r>
            <w:r>
              <w:tab/>
              <w:t>Места погрузки и разгрузки</w:t>
            </w:r>
          </w:p>
          <w:p w14:paraId="32AABDB5" w14:textId="77777777" w:rsidR="00752930" w:rsidRPr="00C705FC" w:rsidRDefault="00752930" w:rsidP="005B75A8">
            <w:pPr>
              <w:spacing w:before="40" w:after="120"/>
              <w:ind w:right="113"/>
            </w:pPr>
            <w:r>
              <w:tab/>
              <w:t xml:space="preserve">a) </w:t>
            </w:r>
            <w:r>
              <w:tab/>
              <w:t xml:space="preserve">Запрещается осуществлять погрузку и разгрузку веществ и изделий класса 1 в месте общего пользования в застроенном районе без специального разрешения </w:t>
            </w:r>
            <w:r w:rsidRPr="008719BF">
              <w:rPr>
                <w:b/>
                <w:bCs/>
              </w:rPr>
              <w:t>компетентных органов</w:t>
            </w:r>
            <w:r>
              <w:t>.</w:t>
            </w:r>
          </w:p>
          <w:p w14:paraId="5B3C8D59" w14:textId="77777777" w:rsidR="00752930" w:rsidRPr="00C705FC" w:rsidRDefault="00752930" w:rsidP="005B75A8">
            <w:pPr>
              <w:spacing w:before="40" w:after="120"/>
              <w:ind w:right="113"/>
            </w:pPr>
            <w:r>
              <w:lastRenderedPageBreak/>
              <w:tab/>
              <w:t>b)</w:t>
            </w:r>
            <w:r>
              <w:tab/>
              <w:t xml:space="preserve">Запрещается осуществлять погрузку и разгрузку веществ и изделий класса 1 в месте общего пользования вне застроенного района без предварительного уведомления о том </w:t>
            </w:r>
            <w:r w:rsidRPr="008719BF">
              <w:rPr>
                <w:b/>
                <w:bCs/>
              </w:rPr>
              <w:t>компетентных органов</w:t>
            </w:r>
            <w:r>
              <w:t>, за исключением случаев, когда эти операции срочно необходимы по соображениям безопасности.</w:t>
            </w:r>
          </w:p>
          <w:p w14:paraId="3D07878E" w14:textId="77777777" w:rsidR="00752930" w:rsidRPr="00C705FC" w:rsidRDefault="00752930" w:rsidP="005B75A8">
            <w:pPr>
              <w:spacing w:before="40" w:after="120"/>
              <w:ind w:right="113"/>
            </w:pPr>
            <w:r>
              <w:t>…</w:t>
            </w:r>
          </w:p>
          <w:p w14:paraId="64E82A40" w14:textId="77777777" w:rsidR="00752930" w:rsidRPr="00C705FC" w:rsidRDefault="00752930" w:rsidP="005B75A8">
            <w:pPr>
              <w:spacing w:before="40" w:after="120"/>
              <w:ind w:right="113"/>
            </w:pPr>
            <w:r>
              <w:t>5)</w:t>
            </w:r>
            <w:r>
              <w:tab/>
              <w:t xml:space="preserve">Автоколонны </w:t>
            </w:r>
          </w:p>
          <w:p w14:paraId="39A9C705" w14:textId="77777777" w:rsidR="00752930" w:rsidRPr="00C705FC" w:rsidRDefault="00752930" w:rsidP="005B75A8">
            <w:pPr>
              <w:spacing w:before="40" w:after="120"/>
              <w:ind w:right="113"/>
            </w:pPr>
            <w:r>
              <w:tab/>
              <w:t>…</w:t>
            </w:r>
          </w:p>
          <w:p w14:paraId="4144E8A0" w14:textId="77777777" w:rsidR="00752930" w:rsidRPr="00C705FC" w:rsidRDefault="00752930" w:rsidP="005B75A8">
            <w:pPr>
              <w:spacing w:before="40" w:after="120"/>
              <w:ind w:right="113"/>
            </w:pPr>
            <w:r>
              <w:tab/>
              <w:t>b)</w:t>
            </w:r>
            <w:r>
              <w:tab/>
            </w:r>
            <w:r w:rsidRPr="008719BF">
              <w:rPr>
                <w:b/>
                <w:bCs/>
              </w:rPr>
              <w:t>Компетентный орган</w:t>
            </w:r>
            <w:r>
              <w:t xml:space="preserve"> может устанавливать правила, касающиеся порядка следования автоколонн или их состава.</w:t>
            </w:r>
          </w:p>
          <w:p w14:paraId="0B9D2BDA" w14:textId="77777777" w:rsidR="00752930" w:rsidRPr="00C705FC" w:rsidRDefault="00752930" w:rsidP="005B75A8">
            <w:pPr>
              <w:spacing w:before="40" w:after="120"/>
              <w:ind w:right="113"/>
            </w:pPr>
            <w:r>
              <w:t>6)</w:t>
            </w:r>
            <w:r>
              <w:tab/>
              <w:t xml:space="preserve">Наблюдение за транспортными средствами </w:t>
            </w:r>
          </w:p>
          <w:p w14:paraId="27A808FD" w14:textId="77777777" w:rsidR="00752930" w:rsidRPr="00C705FC" w:rsidRDefault="00752930" w:rsidP="005B75A8">
            <w:pPr>
              <w:spacing w:before="40" w:after="120"/>
              <w:ind w:right="113"/>
            </w:pPr>
            <w:r>
              <w:tab/>
              <w:t>…</w:t>
            </w:r>
          </w:p>
          <w:p w14:paraId="746D8DA0" w14:textId="77777777" w:rsidR="00752930" w:rsidRPr="00C705FC" w:rsidRDefault="00752930" w:rsidP="005B75A8">
            <w:pPr>
              <w:spacing w:before="40" w:after="120"/>
              <w:ind w:right="113"/>
            </w:pPr>
            <w:r>
              <w:tab/>
              <w:t>Кроме того, за этими веществами и изделиями, когда на них распространяются положения раздела 1.10.3, должно осуществляться постоянное наблюдение в соответствии с планом обеспечения безопасности, предусмотренным в подразделе</w:t>
            </w:r>
            <w:r w:rsidR="00776007">
              <w:t> </w:t>
            </w:r>
            <w:r>
              <w:t xml:space="preserve">1.10.3.2, с тем чтобы предотвратить любое злонамеренное действие и предупредить водителя и </w:t>
            </w:r>
            <w:r w:rsidRPr="008719BF">
              <w:rPr>
                <w:b/>
                <w:bCs/>
              </w:rPr>
              <w:t>компетентные органы</w:t>
            </w:r>
            <w:r>
              <w:t xml:space="preserve"> об опасности в случае потери груза или пожара.</w:t>
            </w:r>
          </w:p>
        </w:tc>
        <w:tc>
          <w:tcPr>
            <w:tcW w:w="4592" w:type="dxa"/>
            <w:shd w:val="clear" w:color="auto" w:fill="auto"/>
          </w:tcPr>
          <w:p w14:paraId="29DF2A6A" w14:textId="77777777" w:rsidR="00752930" w:rsidRPr="00C705FC" w:rsidRDefault="00752930" w:rsidP="005B75A8">
            <w:pPr>
              <w:spacing w:before="40" w:after="120"/>
              <w:ind w:right="113"/>
            </w:pPr>
            <w:r>
              <w:lastRenderedPageBreak/>
              <w:t>Ссылка на компетентный орган стран, в которых осуществляется перевозка, погрузка или разгрузка.</w:t>
            </w:r>
          </w:p>
        </w:tc>
      </w:tr>
      <w:tr w:rsidR="00752930" w:rsidRPr="00CE5C6A" w14:paraId="06EA998D" w14:textId="77777777" w:rsidTr="00752930">
        <w:tc>
          <w:tcPr>
            <w:tcW w:w="1801" w:type="dxa"/>
            <w:shd w:val="clear" w:color="auto" w:fill="auto"/>
          </w:tcPr>
          <w:p w14:paraId="2BE9A4D7" w14:textId="77777777" w:rsidR="00752930" w:rsidRPr="005E5574" w:rsidRDefault="00752930" w:rsidP="005B75A8">
            <w:pPr>
              <w:spacing w:before="40" w:after="120"/>
              <w:ind w:right="113"/>
            </w:pPr>
            <w:r>
              <w:t>Глава 8.5, S8 и S9</w:t>
            </w:r>
          </w:p>
        </w:tc>
        <w:tc>
          <w:tcPr>
            <w:tcW w:w="7624" w:type="dxa"/>
            <w:shd w:val="clear" w:color="auto" w:fill="auto"/>
          </w:tcPr>
          <w:p w14:paraId="3D659443" w14:textId="77777777" w:rsidR="00752930" w:rsidRPr="00C705FC" w:rsidRDefault="00752930" w:rsidP="005B75A8">
            <w:pPr>
              <w:spacing w:before="40" w:after="120"/>
              <w:ind w:right="113"/>
              <w:rPr>
                <w:b/>
                <w:bCs/>
              </w:rPr>
            </w:pPr>
            <w:r>
              <w:t>S8</w:t>
            </w:r>
            <w:r>
              <w:tab/>
              <w:t xml:space="preserve">Если на транспортной единице перевозится более 2000 кг этих веществ, то надлежит, по возможности, не делать остановок для целей технического обслуживания вблизи населенных пунктов или мест скопления людей. Длительная остановка вблизи таких мест допускается только с согласия </w:t>
            </w:r>
            <w:r w:rsidRPr="008719BF">
              <w:rPr>
                <w:b/>
                <w:bCs/>
              </w:rPr>
              <w:t>компетентных органов</w:t>
            </w:r>
            <w:r>
              <w:t>.</w:t>
            </w:r>
          </w:p>
          <w:p w14:paraId="7CF5A51A" w14:textId="4E7310AC" w:rsidR="00752930" w:rsidRPr="00C705FC" w:rsidRDefault="00752930" w:rsidP="005B75A8">
            <w:pPr>
              <w:spacing w:before="40" w:after="120"/>
              <w:ind w:right="113"/>
            </w:pPr>
            <w:r>
              <w:t>S</w:t>
            </w:r>
            <w:r w:rsidR="00B2377A" w:rsidRPr="00B2377A">
              <w:t>8</w:t>
            </w:r>
            <w:r>
              <w:tab/>
              <w:t xml:space="preserve">При перевозке этих веществ надлежит, по возможности, не делать остановок для целей технического обслуживания вблизи населенных пунктов или мест скопления людей. Длительная остановка вблизи таких мест допускается только с согласия </w:t>
            </w:r>
            <w:r w:rsidRPr="008719BF">
              <w:rPr>
                <w:b/>
                <w:bCs/>
              </w:rPr>
              <w:t>компетентных органов</w:t>
            </w:r>
            <w:r>
              <w:t>.</w:t>
            </w:r>
          </w:p>
        </w:tc>
        <w:tc>
          <w:tcPr>
            <w:tcW w:w="4592" w:type="dxa"/>
            <w:shd w:val="clear" w:color="auto" w:fill="auto"/>
          </w:tcPr>
          <w:p w14:paraId="76CBE3AF" w14:textId="77777777" w:rsidR="00752930" w:rsidRPr="008719BF" w:rsidRDefault="00752930" w:rsidP="005B75A8">
            <w:pPr>
              <w:spacing w:before="40" w:after="120"/>
              <w:ind w:right="113"/>
            </w:pPr>
            <w:r w:rsidRPr="008719BF">
              <w:rPr>
                <w:rFonts w:eastAsia="Calibri" w:cs="Arial"/>
              </w:rPr>
              <w:t xml:space="preserve">Ссылка на </w:t>
            </w:r>
            <w:r>
              <w:t xml:space="preserve">местные органы власти. </w:t>
            </w:r>
          </w:p>
        </w:tc>
      </w:tr>
      <w:tr w:rsidR="00752930" w:rsidRPr="00CE5C6A" w14:paraId="2781939C" w14:textId="77777777" w:rsidTr="00752930">
        <w:tc>
          <w:tcPr>
            <w:tcW w:w="1801" w:type="dxa"/>
            <w:shd w:val="clear" w:color="auto" w:fill="auto"/>
          </w:tcPr>
          <w:p w14:paraId="71117C21" w14:textId="77777777" w:rsidR="00752930" w:rsidRPr="005E5574" w:rsidRDefault="00752930" w:rsidP="005B75A8">
            <w:pPr>
              <w:spacing w:before="40" w:after="120"/>
              <w:ind w:right="113"/>
            </w:pPr>
            <w:r>
              <w:t xml:space="preserve">Глава 8.5, S16 </w:t>
            </w:r>
            <w:r w:rsidR="00776007">
              <w:br/>
            </w:r>
            <w:r>
              <w:t>и S21</w:t>
            </w:r>
          </w:p>
        </w:tc>
        <w:tc>
          <w:tcPr>
            <w:tcW w:w="7624" w:type="dxa"/>
            <w:shd w:val="clear" w:color="auto" w:fill="auto"/>
          </w:tcPr>
          <w:p w14:paraId="46D3E9E3" w14:textId="77777777" w:rsidR="00752930" w:rsidRPr="00C705FC" w:rsidRDefault="00752930" w:rsidP="005B75A8">
            <w:pPr>
              <w:spacing w:before="40" w:after="120"/>
              <w:ind w:right="113"/>
            </w:pPr>
            <w:r>
              <w:t>S16</w:t>
            </w:r>
            <w:r>
              <w:tab/>
              <w:t xml:space="preserve">...Кроме того, транспортные средства, перевозящие более 500 кг этих веществ, когда на них распространяются положения раздела 1.10.3, должны постоянно находиться под наблюдением в соответствии с планом обеспечения безопасности, предусмотренным в подразделе 1.10.3.2, с тем чтобы предотвратить любые злонамеренные действия и предупредить водителя и </w:t>
            </w:r>
            <w:r>
              <w:rPr>
                <w:b/>
                <w:bCs/>
              </w:rPr>
              <w:t>компетентные органы</w:t>
            </w:r>
            <w:r>
              <w:t xml:space="preserve"> в случае потери груза или пожара.</w:t>
            </w:r>
          </w:p>
          <w:p w14:paraId="4AC07285" w14:textId="77777777" w:rsidR="00752930" w:rsidRPr="00C705FC" w:rsidRDefault="00752930" w:rsidP="005B75A8">
            <w:pPr>
              <w:spacing w:before="40" w:after="120"/>
              <w:ind w:right="113"/>
            </w:pPr>
            <w:r>
              <w:lastRenderedPageBreak/>
              <w:t>S21</w:t>
            </w:r>
            <w:r>
              <w:tab/>
              <w:t>…Кроме того, за этими грузами должно осуществляться — в тех случаях, когда на них распространяются положения раздела 1.10.3, — постоянное наблюдение в соответствии с планом обеспечения безопасности, предусмотренным в подразделе</w:t>
            </w:r>
            <w:r w:rsidR="00776007">
              <w:rPr>
                <w:lang w:val="en-US"/>
              </w:rPr>
              <w:t> </w:t>
            </w:r>
            <w:r>
              <w:t xml:space="preserve">1.10.3.2, с тем чтобы предотвратить любые злонамеренные действия и предупредить водителя и </w:t>
            </w:r>
            <w:r>
              <w:rPr>
                <w:b/>
                <w:bCs/>
              </w:rPr>
              <w:t>компетентные органы</w:t>
            </w:r>
            <w:r>
              <w:t xml:space="preserve"> в случае потери груза или пожара.</w:t>
            </w:r>
          </w:p>
        </w:tc>
        <w:tc>
          <w:tcPr>
            <w:tcW w:w="4592" w:type="dxa"/>
            <w:shd w:val="clear" w:color="auto" w:fill="auto"/>
          </w:tcPr>
          <w:p w14:paraId="53F635FA" w14:textId="77777777" w:rsidR="00752930" w:rsidRPr="00C705FC" w:rsidRDefault="00752930" w:rsidP="005B75A8">
            <w:pPr>
              <w:spacing w:before="40" w:after="120"/>
              <w:ind w:right="113"/>
            </w:pPr>
            <w:r>
              <w:lastRenderedPageBreak/>
              <w:t>Ссылка на компетентный орган стран, в которых осуществляется перевозка.</w:t>
            </w:r>
          </w:p>
        </w:tc>
      </w:tr>
      <w:tr w:rsidR="00752930" w:rsidRPr="00CE5C6A" w14:paraId="10AD1844" w14:textId="77777777" w:rsidTr="00752930">
        <w:tc>
          <w:tcPr>
            <w:tcW w:w="1801" w:type="dxa"/>
            <w:shd w:val="clear" w:color="auto" w:fill="auto"/>
          </w:tcPr>
          <w:p w14:paraId="31088EB5" w14:textId="77777777" w:rsidR="00752930" w:rsidRPr="005E5574" w:rsidRDefault="00752930" w:rsidP="005B75A8">
            <w:pPr>
              <w:spacing w:before="40" w:after="120"/>
              <w:ind w:right="113"/>
            </w:pPr>
            <w:r>
              <w:t>8.6.2</w:t>
            </w:r>
          </w:p>
        </w:tc>
        <w:tc>
          <w:tcPr>
            <w:tcW w:w="7624" w:type="dxa"/>
            <w:shd w:val="clear" w:color="auto" w:fill="auto"/>
          </w:tcPr>
          <w:p w14:paraId="305770B9" w14:textId="77777777" w:rsidR="00752930" w:rsidRPr="00C705FC" w:rsidRDefault="00752930" w:rsidP="005B75A8">
            <w:pPr>
              <w:spacing w:before="40" w:after="120"/>
              <w:ind w:right="113"/>
            </w:pPr>
            <w:r>
              <w:t xml:space="preserve">Категория туннелей, к которой </w:t>
            </w:r>
            <w:r>
              <w:rPr>
                <w:b/>
                <w:bCs/>
              </w:rPr>
              <w:t>компетентным органом</w:t>
            </w:r>
            <w:r>
              <w:t xml:space="preserve"> в соответствии с пунктом</w:t>
            </w:r>
            <w:r w:rsidR="00776007">
              <w:rPr>
                <w:lang w:val="en-US"/>
              </w:rPr>
              <w:t> </w:t>
            </w:r>
            <w:r>
              <w:t>1.9.5.1 отнесен данный автодорожный туннель с целью ограничения проезда транспортных единиц, перевозящих опасные грузы, должна указываться с помощью дорожных знаков и сигналов следующим образом:</w:t>
            </w:r>
          </w:p>
        </w:tc>
        <w:tc>
          <w:tcPr>
            <w:tcW w:w="4592" w:type="dxa"/>
            <w:shd w:val="clear" w:color="auto" w:fill="auto"/>
          </w:tcPr>
          <w:p w14:paraId="258C412D" w14:textId="73F850CF" w:rsidR="00752930" w:rsidRPr="00C705FC" w:rsidRDefault="00752930" w:rsidP="005B75A8">
            <w:pPr>
              <w:spacing w:before="40" w:after="120"/>
              <w:ind w:right="113"/>
            </w:pPr>
            <w:r>
              <w:t xml:space="preserve">Ссылка на компетентный орган страны </w:t>
            </w:r>
            <w:r w:rsidR="00641D73">
              <w:rPr>
                <w:rFonts w:cs="Times New Roman"/>
              </w:rPr>
              <w:t>⸺</w:t>
            </w:r>
            <w:r>
              <w:t xml:space="preserve"> Договаривающейся стороны ДОПОГ, ответственный за классификацию туннелей в пределах своей юрисдикции в соответствии с пунктом 1.9.5.1.</w:t>
            </w:r>
          </w:p>
        </w:tc>
      </w:tr>
      <w:tr w:rsidR="00776007" w:rsidRPr="008B2148" w14:paraId="2D9E4E74" w14:textId="77777777" w:rsidTr="00752930">
        <w:tc>
          <w:tcPr>
            <w:tcW w:w="1801" w:type="dxa"/>
            <w:tcBorders>
              <w:bottom w:val="single" w:sz="12" w:space="0" w:color="auto"/>
            </w:tcBorders>
            <w:shd w:val="clear" w:color="auto" w:fill="auto"/>
          </w:tcPr>
          <w:p w14:paraId="5B88B607" w14:textId="77777777" w:rsidR="00776007" w:rsidRPr="005E5574" w:rsidRDefault="00776007" w:rsidP="00776007">
            <w:pPr>
              <w:spacing w:before="40" w:after="120"/>
              <w:ind w:right="113"/>
            </w:pPr>
            <w:r>
              <w:t>8.6.3.1</w:t>
            </w:r>
          </w:p>
        </w:tc>
        <w:tc>
          <w:tcPr>
            <w:tcW w:w="7624" w:type="dxa"/>
            <w:tcBorders>
              <w:bottom w:val="single" w:sz="12" w:space="0" w:color="auto"/>
            </w:tcBorders>
            <w:shd w:val="clear" w:color="auto" w:fill="auto"/>
          </w:tcPr>
          <w:p w14:paraId="26BC15C4" w14:textId="77777777" w:rsidR="00776007" w:rsidRPr="00C705FC" w:rsidRDefault="00776007" w:rsidP="00776007">
            <w:pPr>
              <w:spacing w:before="40" w:after="120"/>
              <w:ind w:right="113"/>
            </w:pPr>
            <w:r>
              <w:t xml:space="preserve">...Когда вместо одного из кодов ограничений проезда через туннели указан знак «(–)», на опасные грузы не распространяются никакие ограничения на проезд через туннели; в случае опасных грузов, отнесенных к № ООН 2919 и 3331, ограничения на проезд через туннели могут, однако, являться частью специальных условий, утвержденных </w:t>
            </w:r>
            <w:r>
              <w:rPr>
                <w:b/>
                <w:bCs/>
              </w:rPr>
              <w:t>компетентным(и) органом(ами)</w:t>
            </w:r>
            <w:r>
              <w:t xml:space="preserve"> на основе пункта 1.7.4.2.</w:t>
            </w:r>
          </w:p>
        </w:tc>
        <w:tc>
          <w:tcPr>
            <w:tcW w:w="4592" w:type="dxa"/>
            <w:tcBorders>
              <w:bottom w:val="single" w:sz="12" w:space="0" w:color="auto"/>
            </w:tcBorders>
            <w:shd w:val="clear" w:color="auto" w:fill="auto"/>
          </w:tcPr>
          <w:p w14:paraId="189BD746" w14:textId="77777777" w:rsidR="00776007" w:rsidRPr="00C705FC" w:rsidRDefault="00776007" w:rsidP="00776007">
            <w:pPr>
              <w:spacing w:before="40" w:after="120"/>
              <w:ind w:right="113"/>
            </w:pPr>
            <w:r>
              <w:t>Ссылка на компетентный орган, определенный в пункте 1.7.4.2. Данная ссылка на компетентный орган является излишней.</w:t>
            </w:r>
          </w:p>
        </w:tc>
      </w:tr>
    </w:tbl>
    <w:p w14:paraId="2D34908F" w14:textId="77777777" w:rsidR="00776007" w:rsidRDefault="00776007" w:rsidP="00752930"/>
    <w:p w14:paraId="549A7E50" w14:textId="77777777" w:rsidR="00776007" w:rsidRDefault="00776007">
      <w:pPr>
        <w:suppressAutoHyphens w:val="0"/>
        <w:spacing w:line="240" w:lineRule="auto"/>
      </w:pPr>
      <w:r>
        <w:br w:type="page"/>
      </w:r>
    </w:p>
    <w:p w14:paraId="45EC9E07" w14:textId="77777777" w:rsidR="00752930" w:rsidRPr="0038792D" w:rsidRDefault="00752930" w:rsidP="00776007">
      <w:pPr>
        <w:pStyle w:val="HChG"/>
      </w:pPr>
      <w:r w:rsidRPr="0038792D">
        <w:lastRenderedPageBreak/>
        <w:t>Часть 9</w:t>
      </w:r>
    </w:p>
    <w:tbl>
      <w:tblPr>
        <w:tblStyle w:val="TableGrid"/>
        <w:tblW w:w="14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577"/>
        <w:gridCol w:w="4592"/>
      </w:tblGrid>
      <w:tr w:rsidR="00752930" w:rsidRPr="00776007" w14:paraId="056DF6E7" w14:textId="77777777" w:rsidTr="00776007">
        <w:trPr>
          <w:tblHeader/>
        </w:trPr>
        <w:tc>
          <w:tcPr>
            <w:tcW w:w="1890" w:type="dxa"/>
            <w:tcBorders>
              <w:top w:val="single" w:sz="4" w:space="0" w:color="auto"/>
              <w:bottom w:val="single" w:sz="12" w:space="0" w:color="auto"/>
            </w:tcBorders>
            <w:shd w:val="clear" w:color="auto" w:fill="auto"/>
            <w:vAlign w:val="bottom"/>
          </w:tcPr>
          <w:p w14:paraId="217739A7" w14:textId="77777777" w:rsidR="00752930" w:rsidRPr="00776007" w:rsidRDefault="00752930" w:rsidP="005B75A8">
            <w:pPr>
              <w:spacing w:before="80" w:after="80" w:line="200" w:lineRule="exact"/>
              <w:ind w:right="113"/>
              <w:rPr>
                <w:i/>
                <w:sz w:val="16"/>
                <w:szCs w:val="16"/>
              </w:rPr>
            </w:pPr>
            <w:r w:rsidRPr="00776007">
              <w:rPr>
                <w:i/>
                <w:iCs/>
                <w:sz w:val="16"/>
                <w:szCs w:val="16"/>
              </w:rPr>
              <w:t>Пункт</w:t>
            </w:r>
          </w:p>
        </w:tc>
        <w:tc>
          <w:tcPr>
            <w:tcW w:w="7577" w:type="dxa"/>
            <w:tcBorders>
              <w:top w:val="single" w:sz="4" w:space="0" w:color="auto"/>
              <w:bottom w:val="single" w:sz="12" w:space="0" w:color="auto"/>
            </w:tcBorders>
            <w:shd w:val="clear" w:color="auto" w:fill="auto"/>
            <w:vAlign w:val="bottom"/>
          </w:tcPr>
          <w:p w14:paraId="75EB7D9A" w14:textId="77777777" w:rsidR="00752930" w:rsidRPr="00776007" w:rsidRDefault="00752930" w:rsidP="005B75A8">
            <w:pPr>
              <w:spacing w:before="80" w:after="80" w:line="200" w:lineRule="exact"/>
              <w:ind w:right="113"/>
              <w:rPr>
                <w:i/>
                <w:sz w:val="16"/>
                <w:szCs w:val="16"/>
              </w:rPr>
            </w:pPr>
            <w:r w:rsidRPr="00776007">
              <w:rPr>
                <w:i/>
                <w:iCs/>
                <w:sz w:val="16"/>
                <w:szCs w:val="16"/>
              </w:rPr>
              <w:t>Текст (ДОПОГ 2021 года)</w:t>
            </w:r>
          </w:p>
        </w:tc>
        <w:tc>
          <w:tcPr>
            <w:tcW w:w="4592" w:type="dxa"/>
            <w:tcBorders>
              <w:top w:val="single" w:sz="4" w:space="0" w:color="auto"/>
              <w:bottom w:val="single" w:sz="12" w:space="0" w:color="auto"/>
            </w:tcBorders>
            <w:shd w:val="clear" w:color="auto" w:fill="auto"/>
            <w:vAlign w:val="bottom"/>
          </w:tcPr>
          <w:p w14:paraId="663E7727" w14:textId="77777777" w:rsidR="00752930" w:rsidRPr="00776007" w:rsidRDefault="00752930" w:rsidP="005B75A8">
            <w:pPr>
              <w:spacing w:before="80" w:after="80" w:line="200" w:lineRule="exact"/>
              <w:ind w:right="113"/>
              <w:rPr>
                <w:i/>
                <w:iCs/>
                <w:sz w:val="16"/>
                <w:szCs w:val="16"/>
              </w:rPr>
            </w:pPr>
            <w:r w:rsidRPr="00776007">
              <w:rPr>
                <w:rFonts w:eastAsia="Calibri" w:cs="Arial"/>
                <w:i/>
                <w:iCs/>
                <w:sz w:val="16"/>
                <w:szCs w:val="16"/>
              </w:rPr>
              <w:t>Замечания</w:t>
            </w:r>
          </w:p>
        </w:tc>
      </w:tr>
      <w:tr w:rsidR="00752930" w:rsidRPr="005E5574" w14:paraId="059DA80B" w14:textId="77777777" w:rsidTr="00776007">
        <w:trPr>
          <w:trHeight w:hRule="exact" w:val="113"/>
          <w:tblHeader/>
        </w:trPr>
        <w:tc>
          <w:tcPr>
            <w:tcW w:w="1890" w:type="dxa"/>
            <w:tcBorders>
              <w:top w:val="single" w:sz="12" w:space="0" w:color="auto"/>
            </w:tcBorders>
            <w:shd w:val="clear" w:color="auto" w:fill="auto"/>
            <w:vAlign w:val="bottom"/>
          </w:tcPr>
          <w:p w14:paraId="66A5A653" w14:textId="77777777" w:rsidR="00752930" w:rsidRPr="005E5574" w:rsidRDefault="00752930" w:rsidP="005B75A8">
            <w:pPr>
              <w:spacing w:before="80" w:after="80" w:line="200" w:lineRule="exact"/>
              <w:ind w:right="113"/>
              <w:rPr>
                <w:i/>
                <w:sz w:val="16"/>
              </w:rPr>
            </w:pPr>
          </w:p>
        </w:tc>
        <w:tc>
          <w:tcPr>
            <w:tcW w:w="7577" w:type="dxa"/>
            <w:tcBorders>
              <w:top w:val="single" w:sz="12" w:space="0" w:color="auto"/>
            </w:tcBorders>
            <w:shd w:val="clear" w:color="auto" w:fill="auto"/>
            <w:vAlign w:val="bottom"/>
          </w:tcPr>
          <w:p w14:paraId="7BEAB702" w14:textId="77777777" w:rsidR="00752930" w:rsidRPr="005E5574" w:rsidRDefault="00752930" w:rsidP="005B75A8">
            <w:pPr>
              <w:spacing w:before="80" w:after="80" w:line="200" w:lineRule="exact"/>
              <w:ind w:right="113"/>
              <w:rPr>
                <w:i/>
                <w:sz w:val="16"/>
              </w:rPr>
            </w:pPr>
          </w:p>
        </w:tc>
        <w:tc>
          <w:tcPr>
            <w:tcW w:w="4592" w:type="dxa"/>
            <w:tcBorders>
              <w:top w:val="single" w:sz="12" w:space="0" w:color="auto"/>
            </w:tcBorders>
            <w:shd w:val="clear" w:color="auto" w:fill="auto"/>
            <w:vAlign w:val="bottom"/>
          </w:tcPr>
          <w:p w14:paraId="767BC767" w14:textId="77777777" w:rsidR="00752930" w:rsidRPr="005E5574" w:rsidRDefault="00752930" w:rsidP="005B75A8">
            <w:pPr>
              <w:spacing w:before="80" w:after="80" w:line="200" w:lineRule="exact"/>
              <w:ind w:right="113"/>
              <w:rPr>
                <w:i/>
                <w:sz w:val="16"/>
              </w:rPr>
            </w:pPr>
          </w:p>
        </w:tc>
      </w:tr>
      <w:tr w:rsidR="00752930" w:rsidRPr="005E5574" w14:paraId="4F0B5033" w14:textId="77777777" w:rsidTr="00776007">
        <w:tc>
          <w:tcPr>
            <w:tcW w:w="1890" w:type="dxa"/>
            <w:shd w:val="clear" w:color="auto" w:fill="auto"/>
          </w:tcPr>
          <w:p w14:paraId="0C445796" w14:textId="77777777" w:rsidR="00752930" w:rsidRPr="00C705FC" w:rsidRDefault="00752930" w:rsidP="005B75A8">
            <w:pPr>
              <w:spacing w:before="40" w:after="120"/>
              <w:ind w:right="113"/>
            </w:pPr>
            <w:r>
              <w:t xml:space="preserve">9.1.1.2, определение </w:t>
            </w:r>
            <w:r w:rsidR="00776007">
              <w:t>«</w:t>
            </w:r>
            <w:r>
              <w:t>Допущение к перевозке в режиме ДОПОГ</w:t>
            </w:r>
            <w:r w:rsidR="00776007">
              <w:t>»</w:t>
            </w:r>
          </w:p>
        </w:tc>
        <w:tc>
          <w:tcPr>
            <w:tcW w:w="7577" w:type="dxa"/>
            <w:shd w:val="clear" w:color="auto" w:fill="auto"/>
          </w:tcPr>
          <w:p w14:paraId="34E0C1B3" w14:textId="77777777" w:rsidR="00752930" w:rsidRPr="00C705FC" w:rsidRDefault="00776007" w:rsidP="005B75A8">
            <w:pPr>
              <w:spacing w:before="40" w:after="120"/>
              <w:ind w:right="113"/>
            </w:pPr>
            <w:r>
              <w:t>«</w:t>
            </w:r>
            <w:r w:rsidR="00752930" w:rsidRPr="0068311C">
              <w:rPr>
                <w:i/>
                <w:iCs/>
              </w:rPr>
              <w:t>Допущение к перевозке в режиме ДОПОГ</w:t>
            </w:r>
            <w:r>
              <w:t>»</w:t>
            </w:r>
            <w:r w:rsidR="00752930">
              <w:t xml:space="preserve"> означает подтверждение </w:t>
            </w:r>
            <w:r w:rsidR="00752930">
              <w:rPr>
                <w:b/>
                <w:bCs/>
              </w:rPr>
              <w:t>компетентным органом какой-либо Договаривающейся стороны</w:t>
            </w:r>
            <w:r w:rsidR="00752930">
              <w:t xml:space="preserve"> того, что отдельное транспортное средство, предназначенное для перевозки опасных грузов, удовлетворяет соответствующим техническим требованиям настоящей части как транспортное средство EX/II, EX/III, FL или AT или как MEMU.</w:t>
            </w:r>
          </w:p>
        </w:tc>
        <w:tc>
          <w:tcPr>
            <w:tcW w:w="4592" w:type="dxa"/>
            <w:shd w:val="clear" w:color="auto" w:fill="auto"/>
          </w:tcPr>
          <w:p w14:paraId="2D73D050" w14:textId="77777777" w:rsidR="00752930" w:rsidRPr="005E5574" w:rsidRDefault="00752930" w:rsidP="005B75A8">
            <w:pPr>
              <w:spacing w:before="40" w:after="120"/>
              <w:ind w:right="113"/>
            </w:pPr>
            <w:r>
              <w:t>Определен.</w:t>
            </w:r>
          </w:p>
        </w:tc>
      </w:tr>
      <w:tr w:rsidR="00752930" w:rsidRPr="005E5574" w14:paraId="05A03890" w14:textId="77777777" w:rsidTr="00776007">
        <w:tc>
          <w:tcPr>
            <w:tcW w:w="1890" w:type="dxa"/>
            <w:shd w:val="clear" w:color="auto" w:fill="auto"/>
          </w:tcPr>
          <w:p w14:paraId="001084C8" w14:textId="77777777" w:rsidR="00752930" w:rsidRPr="005E5574" w:rsidRDefault="00752930" w:rsidP="005B75A8">
            <w:pPr>
              <w:spacing w:before="40" w:after="120"/>
              <w:ind w:right="113"/>
            </w:pPr>
            <w:r>
              <w:t>9.1.2.1</w:t>
            </w:r>
          </w:p>
        </w:tc>
        <w:tc>
          <w:tcPr>
            <w:tcW w:w="7577" w:type="dxa"/>
            <w:shd w:val="clear" w:color="auto" w:fill="auto"/>
          </w:tcPr>
          <w:p w14:paraId="14C28E60" w14:textId="77777777" w:rsidR="00752930" w:rsidRPr="00C705FC" w:rsidRDefault="00752930" w:rsidP="005B75A8">
            <w:pPr>
              <w:spacing w:before="40" w:after="120"/>
              <w:ind w:right="113"/>
            </w:pPr>
            <w:r>
              <w:t xml:space="preserve">...Каждое укомплектованное или доукомплектованное транспортное средство </w:t>
            </w:r>
            <w:r w:rsidR="00776007">
              <w:br/>
            </w:r>
            <w:r>
              <w:t xml:space="preserve">должно подвергаться первому техническому осмотру </w:t>
            </w:r>
            <w:r>
              <w:rPr>
                <w:b/>
                <w:bCs/>
              </w:rPr>
              <w:t>компетентным органом</w:t>
            </w:r>
            <w:r>
              <w:t xml:space="preserve"> согласно административным требованиям настоящей главы с целью его проверки на соответствие применимым техническим требованиям глав 9.2–9.8.</w:t>
            </w:r>
          </w:p>
          <w:p w14:paraId="06DCC8AE" w14:textId="77777777" w:rsidR="00752930" w:rsidRPr="00C705FC" w:rsidRDefault="00752930" w:rsidP="005B75A8">
            <w:pPr>
              <w:spacing w:before="40" w:after="120"/>
              <w:ind w:right="113"/>
            </w:pPr>
            <w:r>
              <w:rPr>
                <w:b/>
                <w:bCs/>
              </w:rPr>
              <w:t>Компетентный орган</w:t>
            </w:r>
            <w:r>
              <w:t xml:space="preserve"> может освободить от требования в отношении первого </w:t>
            </w:r>
            <w:r w:rsidR="00776007">
              <w:br/>
            </w:r>
            <w:r>
              <w:t>осмотра тягача для полуприцепа, тип которого официально утвержден согласно подразделу</w:t>
            </w:r>
            <w:r w:rsidR="00776007">
              <w:t> </w:t>
            </w:r>
            <w:r>
              <w:t xml:space="preserve">9.1.2.2 и на который изготовителем, его должным образом уполномоченным представителем или организацией, признанной </w:t>
            </w:r>
            <w:r>
              <w:rPr>
                <w:b/>
                <w:bCs/>
              </w:rPr>
              <w:t>компетентным органом</w:t>
            </w:r>
            <w:r>
              <w:t>, выдана декларация о соответствии требованиям главы 9.2…</w:t>
            </w:r>
          </w:p>
        </w:tc>
        <w:tc>
          <w:tcPr>
            <w:tcW w:w="4592" w:type="dxa"/>
            <w:shd w:val="clear" w:color="auto" w:fill="auto"/>
          </w:tcPr>
          <w:p w14:paraId="5F0B6723" w14:textId="77777777" w:rsidR="00752930" w:rsidRPr="00C705FC" w:rsidRDefault="00752930" w:rsidP="005B75A8">
            <w:pPr>
              <w:spacing w:before="40" w:after="120"/>
              <w:ind w:right="113"/>
            </w:pPr>
            <w:r>
              <w:t>Страны допущения/Cтраны регистрации?</w:t>
            </w:r>
          </w:p>
          <w:p w14:paraId="53808CA3" w14:textId="77777777" w:rsidR="00752930" w:rsidRPr="005E5574" w:rsidRDefault="00752930" w:rsidP="005B75A8">
            <w:pPr>
              <w:spacing w:before="40" w:after="120"/>
              <w:ind w:right="113"/>
            </w:pPr>
            <w:r>
              <w:t>Нет консенсуса. Необходимо дальнейшее обсуждение.</w:t>
            </w:r>
          </w:p>
        </w:tc>
      </w:tr>
      <w:tr w:rsidR="00752930" w:rsidRPr="00CE5C6A" w14:paraId="3883B31D" w14:textId="77777777" w:rsidTr="00776007">
        <w:tc>
          <w:tcPr>
            <w:tcW w:w="1890" w:type="dxa"/>
            <w:shd w:val="clear" w:color="auto" w:fill="auto"/>
          </w:tcPr>
          <w:p w14:paraId="6EA69CA4" w14:textId="77777777" w:rsidR="00752930" w:rsidRPr="005E5574" w:rsidRDefault="00752930" w:rsidP="005B75A8">
            <w:pPr>
              <w:spacing w:before="40" w:after="120"/>
              <w:ind w:right="113"/>
            </w:pPr>
            <w:r>
              <w:t>9.1.2.2</w:t>
            </w:r>
          </w:p>
        </w:tc>
        <w:tc>
          <w:tcPr>
            <w:tcW w:w="7577" w:type="dxa"/>
            <w:shd w:val="clear" w:color="auto" w:fill="auto"/>
          </w:tcPr>
          <w:p w14:paraId="08D41F7D" w14:textId="77777777" w:rsidR="00752930" w:rsidRPr="00C705FC" w:rsidRDefault="00752930" w:rsidP="005B75A8">
            <w:pPr>
              <w:spacing w:before="40" w:after="120"/>
              <w:ind w:right="113"/>
            </w:pPr>
            <w:r>
              <w:t>По просьбе изготовителя транспортного средства или его должным образом уполномоченного представителя тип транспортных средств, для которых требуется допущение к перевозке в режиме ДОПОГ в соответствии с подразделом 9.1.2.1, может быть официально утвержден</w:t>
            </w:r>
            <w:r>
              <w:rPr>
                <w:b/>
                <w:bCs/>
              </w:rPr>
              <w:t xml:space="preserve"> компетентным органом</w:t>
            </w:r>
            <w:r>
              <w:t xml:space="preserve">. Соответствующие технические требования главы 9.2 считаются выполненными, если свидетельство об официальном утверждении типа было выдано </w:t>
            </w:r>
            <w:r>
              <w:rPr>
                <w:b/>
                <w:bCs/>
              </w:rPr>
              <w:t>компетентным органом</w:t>
            </w:r>
            <w:r>
              <w:t xml:space="preserve"> в соответствии с Правилами</w:t>
            </w:r>
            <w:r w:rsidR="00776007">
              <w:t> </w:t>
            </w:r>
            <w:r>
              <w:t>№ 105 ООН</w:t>
            </w:r>
            <w:r>
              <w:rPr>
                <w:vertAlign w:val="superscript"/>
              </w:rPr>
              <w:t>2</w:t>
            </w:r>
            <w:r>
              <w:t xml:space="preserve"> при условии, что технические требования указанных Правил соответствуют требованиям главы 9.2 настоящей части и что никакая модификация транспортного средства не ставит под сомнение действительность свидетельства. В</w:t>
            </w:r>
            <w:r w:rsidR="00776007">
              <w:t> </w:t>
            </w:r>
            <w:r>
              <w:t>случае MEMU знак официального утверждения типа, проставленный в соответствии с Правилами № 105 ООН, может идентифицировать транспортное средство либо как MEMU, либо как EX/III. MEMU должны обозначаться как таковые только в свидетельстве о допущении, выдаваемом в соответствии с разделом 9.1.3.</w:t>
            </w:r>
          </w:p>
        </w:tc>
        <w:tc>
          <w:tcPr>
            <w:tcW w:w="4592" w:type="dxa"/>
            <w:shd w:val="clear" w:color="auto" w:fill="auto"/>
          </w:tcPr>
          <w:p w14:paraId="4CC8C511" w14:textId="77777777" w:rsidR="00752930" w:rsidRPr="00C705FC" w:rsidRDefault="00752930" w:rsidP="005B75A8">
            <w:pPr>
              <w:spacing w:before="40" w:after="120"/>
              <w:ind w:right="113"/>
            </w:pPr>
            <w:r>
              <w:t>Компетентный орган в соответствии с Правилами</w:t>
            </w:r>
            <w:r w:rsidR="00776007">
              <w:t> </w:t>
            </w:r>
            <w:r>
              <w:t xml:space="preserve">№ 105 ООН. </w:t>
            </w:r>
          </w:p>
          <w:p w14:paraId="4D3D0207" w14:textId="77777777" w:rsidR="00752930" w:rsidRPr="00C705FC" w:rsidRDefault="00752930" w:rsidP="005B75A8">
            <w:pPr>
              <w:spacing w:before="40" w:after="120"/>
              <w:ind w:right="113"/>
            </w:pPr>
          </w:p>
        </w:tc>
      </w:tr>
      <w:tr w:rsidR="00752930" w:rsidRPr="005E5574" w14:paraId="1FA3FEF5" w14:textId="77777777" w:rsidTr="00776007">
        <w:tc>
          <w:tcPr>
            <w:tcW w:w="1890" w:type="dxa"/>
            <w:shd w:val="clear" w:color="auto" w:fill="auto"/>
          </w:tcPr>
          <w:p w14:paraId="2F7B40F1" w14:textId="77777777" w:rsidR="00752930" w:rsidRPr="005E5574" w:rsidRDefault="00752930" w:rsidP="00776007">
            <w:pPr>
              <w:pageBreakBefore/>
              <w:spacing w:before="40" w:after="120"/>
              <w:ind w:right="113"/>
            </w:pPr>
            <w:r>
              <w:lastRenderedPageBreak/>
              <w:t>9.1.3.1</w:t>
            </w:r>
          </w:p>
        </w:tc>
        <w:tc>
          <w:tcPr>
            <w:tcW w:w="7577" w:type="dxa"/>
            <w:shd w:val="clear" w:color="auto" w:fill="auto"/>
          </w:tcPr>
          <w:p w14:paraId="26773C7D" w14:textId="77777777" w:rsidR="00752930" w:rsidRPr="00C705FC" w:rsidRDefault="00752930" w:rsidP="00776007">
            <w:pPr>
              <w:pageBreakBefore/>
              <w:spacing w:before="40" w:after="120"/>
              <w:ind w:right="113"/>
            </w:pPr>
            <w:r>
              <w:t>Соответствие транспортных средств EX/II, EX/III, FL и AT и MEMU требованиям настоящей части подтверждается свидетельством о допущении к перевозке (свидетельство о допущении к перевозке в режиме ДОПОГ)</w:t>
            </w:r>
            <w:r>
              <w:rPr>
                <w:vertAlign w:val="superscript"/>
              </w:rPr>
              <w:t>4</w:t>
            </w:r>
            <w:r>
              <w:t xml:space="preserve">, выдаваемым </w:t>
            </w:r>
            <w:r>
              <w:rPr>
                <w:b/>
                <w:bCs/>
              </w:rPr>
              <w:t>компетентным органом страны регистрации</w:t>
            </w:r>
            <w:r>
              <w:t xml:space="preserve"> на каждое транспортное средство, которое успешно прошло технический осмотр или на которое была выдана декларация о соответствии требованиям главы 9.2 согласно подразделу 9.1.2.1.</w:t>
            </w:r>
          </w:p>
        </w:tc>
        <w:tc>
          <w:tcPr>
            <w:tcW w:w="4592" w:type="dxa"/>
            <w:shd w:val="clear" w:color="auto" w:fill="auto"/>
          </w:tcPr>
          <w:p w14:paraId="47584035" w14:textId="77777777" w:rsidR="00752930" w:rsidRPr="005E5574" w:rsidRDefault="00752930" w:rsidP="00776007">
            <w:pPr>
              <w:pageBreakBefore/>
              <w:spacing w:before="40" w:after="120"/>
              <w:ind w:right="113"/>
            </w:pPr>
            <w:r>
              <w:t>Определен.</w:t>
            </w:r>
          </w:p>
        </w:tc>
      </w:tr>
      <w:tr w:rsidR="00752930" w:rsidRPr="005E5574" w14:paraId="72F29B62" w14:textId="77777777" w:rsidTr="00776007">
        <w:tc>
          <w:tcPr>
            <w:tcW w:w="1890" w:type="dxa"/>
            <w:tcBorders>
              <w:bottom w:val="single" w:sz="12" w:space="0" w:color="auto"/>
            </w:tcBorders>
            <w:shd w:val="clear" w:color="auto" w:fill="auto"/>
          </w:tcPr>
          <w:p w14:paraId="7178BE57" w14:textId="77777777" w:rsidR="00752930" w:rsidRPr="005E5574" w:rsidRDefault="00752930" w:rsidP="005B75A8">
            <w:pPr>
              <w:spacing w:before="40" w:after="120"/>
              <w:ind w:right="113"/>
            </w:pPr>
            <w:r>
              <w:t>9.1.3.2</w:t>
            </w:r>
          </w:p>
        </w:tc>
        <w:tc>
          <w:tcPr>
            <w:tcW w:w="7577" w:type="dxa"/>
            <w:tcBorders>
              <w:bottom w:val="single" w:sz="12" w:space="0" w:color="auto"/>
            </w:tcBorders>
            <w:shd w:val="clear" w:color="auto" w:fill="auto"/>
          </w:tcPr>
          <w:p w14:paraId="402AF86E" w14:textId="77777777" w:rsidR="00752930" w:rsidRPr="00C705FC" w:rsidRDefault="00752930" w:rsidP="005B75A8">
            <w:pPr>
              <w:spacing w:before="40" w:after="120"/>
              <w:ind w:right="113"/>
            </w:pPr>
            <w:r>
              <w:t xml:space="preserve">Свидетельство о допущении к перевозке, выданное </w:t>
            </w:r>
            <w:r>
              <w:rPr>
                <w:b/>
                <w:bCs/>
              </w:rPr>
              <w:t>компетентным органом одной Договаривающейся стороны</w:t>
            </w:r>
            <w:r>
              <w:t xml:space="preserve"> на транспортное средство, зарегистрированное на территории этой Договаривающейся стороны, признается в течение срока его действия </w:t>
            </w:r>
            <w:r>
              <w:rPr>
                <w:b/>
                <w:bCs/>
              </w:rPr>
              <w:t>компетентными органами других Договаривающихся сторон</w:t>
            </w:r>
            <w:r>
              <w:t>.</w:t>
            </w:r>
          </w:p>
        </w:tc>
        <w:tc>
          <w:tcPr>
            <w:tcW w:w="4592" w:type="dxa"/>
            <w:tcBorders>
              <w:bottom w:val="single" w:sz="12" w:space="0" w:color="auto"/>
            </w:tcBorders>
            <w:shd w:val="clear" w:color="auto" w:fill="auto"/>
          </w:tcPr>
          <w:p w14:paraId="4B89724C" w14:textId="77777777" w:rsidR="00752930" w:rsidRPr="005E5574" w:rsidRDefault="00752930" w:rsidP="005B75A8">
            <w:pPr>
              <w:spacing w:before="40" w:after="120"/>
              <w:ind w:right="113"/>
            </w:pPr>
            <w:r>
              <w:t>Определен.</w:t>
            </w:r>
          </w:p>
        </w:tc>
      </w:tr>
    </w:tbl>
    <w:p w14:paraId="603FED45" w14:textId="77777777" w:rsidR="00752930" w:rsidRPr="00776007" w:rsidRDefault="00776007" w:rsidP="00776007">
      <w:pPr>
        <w:spacing w:before="240"/>
        <w:jc w:val="center"/>
        <w:rPr>
          <w:u w:val="single"/>
        </w:rPr>
      </w:pPr>
      <w:r>
        <w:rPr>
          <w:u w:val="single"/>
        </w:rPr>
        <w:tab/>
      </w:r>
      <w:r>
        <w:rPr>
          <w:u w:val="single"/>
        </w:rPr>
        <w:tab/>
      </w:r>
      <w:r>
        <w:rPr>
          <w:u w:val="single"/>
        </w:rPr>
        <w:tab/>
      </w:r>
    </w:p>
    <w:sectPr w:rsidR="00752930" w:rsidRPr="00776007" w:rsidSect="00752930">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194D" w14:textId="77777777" w:rsidR="00972339" w:rsidRPr="00A312BC" w:rsidRDefault="00972339" w:rsidP="00A312BC"/>
  </w:endnote>
  <w:endnote w:type="continuationSeparator" w:id="0">
    <w:p w14:paraId="5C7DA2A0" w14:textId="77777777" w:rsidR="00972339" w:rsidRPr="00A312BC" w:rsidRDefault="009723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2E75" w14:textId="77777777" w:rsidR="00D81990" w:rsidRPr="00D81990" w:rsidRDefault="00D81990">
    <w:pPr>
      <w:pStyle w:val="Footer"/>
    </w:pPr>
    <w:r w:rsidRPr="00D81990">
      <w:rPr>
        <w:b/>
        <w:sz w:val="18"/>
      </w:rPr>
      <w:fldChar w:fldCharType="begin"/>
    </w:r>
    <w:r w:rsidRPr="00D81990">
      <w:rPr>
        <w:b/>
        <w:sz w:val="18"/>
      </w:rPr>
      <w:instrText xml:space="preserve"> PAGE  \* MERGEFORMAT </w:instrText>
    </w:r>
    <w:r w:rsidRPr="00D81990">
      <w:rPr>
        <w:b/>
        <w:sz w:val="18"/>
      </w:rPr>
      <w:fldChar w:fldCharType="separate"/>
    </w:r>
    <w:r w:rsidRPr="00D81990">
      <w:rPr>
        <w:b/>
        <w:noProof/>
        <w:sz w:val="18"/>
      </w:rPr>
      <w:t>2</w:t>
    </w:r>
    <w:r w:rsidRPr="00D81990">
      <w:rPr>
        <w:b/>
        <w:sz w:val="18"/>
      </w:rPr>
      <w:fldChar w:fldCharType="end"/>
    </w:r>
    <w:r>
      <w:rPr>
        <w:b/>
        <w:sz w:val="18"/>
      </w:rPr>
      <w:tab/>
    </w:r>
    <w:r>
      <w:t>GE.21-02226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5751" w14:textId="77777777" w:rsidR="00D81990" w:rsidRPr="00D81990" w:rsidRDefault="00D81990" w:rsidP="00D81990">
    <w:pPr>
      <w:pStyle w:val="Footer"/>
      <w:tabs>
        <w:tab w:val="clear" w:pos="9639"/>
        <w:tab w:val="right" w:pos="9638"/>
      </w:tabs>
      <w:rPr>
        <w:b/>
        <w:sz w:val="18"/>
      </w:rPr>
    </w:pPr>
    <w:r>
      <w:t>GE.21-02226</w:t>
    </w:r>
    <w:r>
      <w:tab/>
    </w:r>
    <w:r w:rsidRPr="00D81990">
      <w:rPr>
        <w:b/>
        <w:sz w:val="18"/>
      </w:rPr>
      <w:fldChar w:fldCharType="begin"/>
    </w:r>
    <w:r w:rsidRPr="00D81990">
      <w:rPr>
        <w:b/>
        <w:sz w:val="18"/>
      </w:rPr>
      <w:instrText xml:space="preserve"> PAGE  \* MERGEFORMAT </w:instrText>
    </w:r>
    <w:r w:rsidRPr="00D81990">
      <w:rPr>
        <w:b/>
        <w:sz w:val="18"/>
      </w:rPr>
      <w:fldChar w:fldCharType="separate"/>
    </w:r>
    <w:r w:rsidRPr="00D81990">
      <w:rPr>
        <w:b/>
        <w:noProof/>
        <w:sz w:val="18"/>
      </w:rPr>
      <w:t>3</w:t>
    </w:r>
    <w:r w:rsidRPr="00D81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3525" w14:textId="555A9F3C" w:rsidR="00042B72" w:rsidRPr="00CF179C" w:rsidRDefault="00D81990" w:rsidP="00D8199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EC0E589" wp14:editId="59328CB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21-02226  (R)</w:t>
    </w:r>
    <w:r>
      <w:rPr>
        <w:noProof/>
      </w:rPr>
      <w:drawing>
        <wp:anchor distT="0" distB="0" distL="114300" distR="114300" simplePos="0" relativeHeight="251659264" behindDoc="0" locked="0" layoutInCell="1" allowOverlap="1" wp14:anchorId="034C2691" wp14:editId="1B70280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9C">
      <w:rPr>
        <w:lang w:val="en-US"/>
      </w:rPr>
      <w:t xml:space="preserve">  220221  </w:t>
    </w:r>
    <w:r w:rsidR="00B2377A">
      <w:rPr>
        <w:lang w:val="en-US"/>
      </w:rPr>
      <w:t>0103</w:t>
    </w:r>
    <w:r w:rsidR="00CF179C">
      <w:rPr>
        <w:lang w:val="en-US"/>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82A4" w14:textId="77777777" w:rsidR="00752930" w:rsidRPr="00752930" w:rsidRDefault="00752930" w:rsidP="00752930">
    <w:pPr>
      <w:pStyle w:val="Footer"/>
    </w:pPr>
    <w:r>
      <w:rPr>
        <w:noProof/>
      </w:rPr>
      <mc:AlternateContent>
        <mc:Choice Requires="wps">
          <w:drawing>
            <wp:anchor distT="0" distB="0" distL="114300" distR="114300" simplePos="0" relativeHeight="251663360" behindDoc="0" locked="0" layoutInCell="1" allowOverlap="1" wp14:anchorId="11B8001E" wp14:editId="5AE94B66">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69A3808" w14:textId="77777777" w:rsidR="00752930" w:rsidRPr="00D81990" w:rsidRDefault="00752930" w:rsidP="00752930">
                          <w:pPr>
                            <w:pStyle w:val="Footer"/>
                          </w:pPr>
                          <w:r w:rsidRPr="00D81990">
                            <w:rPr>
                              <w:b/>
                              <w:sz w:val="18"/>
                            </w:rPr>
                            <w:fldChar w:fldCharType="begin"/>
                          </w:r>
                          <w:r w:rsidRPr="00D81990">
                            <w:rPr>
                              <w:b/>
                              <w:sz w:val="18"/>
                            </w:rPr>
                            <w:instrText xml:space="preserve"> PAGE  \* MERGEFORMAT </w:instrText>
                          </w:r>
                          <w:r w:rsidRPr="00D81990">
                            <w:rPr>
                              <w:b/>
                              <w:sz w:val="18"/>
                            </w:rPr>
                            <w:fldChar w:fldCharType="separate"/>
                          </w:r>
                          <w:r>
                            <w:rPr>
                              <w:b/>
                              <w:sz w:val="18"/>
                            </w:rPr>
                            <w:t>6</w:t>
                          </w:r>
                          <w:r w:rsidRPr="00D81990">
                            <w:rPr>
                              <w:b/>
                              <w:sz w:val="18"/>
                            </w:rPr>
                            <w:fldChar w:fldCharType="end"/>
                          </w:r>
                          <w:r>
                            <w:rPr>
                              <w:b/>
                              <w:sz w:val="18"/>
                            </w:rPr>
                            <w:tab/>
                          </w:r>
                          <w:r>
                            <w:t>GE.21-02226</w:t>
                          </w:r>
                        </w:p>
                        <w:p w14:paraId="1564844B" w14:textId="77777777" w:rsidR="00752930" w:rsidRDefault="007529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B8001E"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769A3808" w14:textId="77777777" w:rsidR="00752930" w:rsidRPr="00D81990" w:rsidRDefault="00752930" w:rsidP="00752930">
                    <w:pPr>
                      <w:pStyle w:val="a8"/>
                    </w:pPr>
                    <w:r w:rsidRPr="00D81990">
                      <w:rPr>
                        <w:b/>
                        <w:sz w:val="18"/>
                      </w:rPr>
                      <w:fldChar w:fldCharType="begin"/>
                    </w:r>
                    <w:r w:rsidRPr="00D81990">
                      <w:rPr>
                        <w:b/>
                        <w:sz w:val="18"/>
                      </w:rPr>
                      <w:instrText xml:space="preserve"> PAGE  \* MERGEFORMAT </w:instrText>
                    </w:r>
                    <w:r w:rsidRPr="00D81990">
                      <w:rPr>
                        <w:b/>
                        <w:sz w:val="18"/>
                      </w:rPr>
                      <w:fldChar w:fldCharType="separate"/>
                    </w:r>
                    <w:r>
                      <w:rPr>
                        <w:b/>
                        <w:sz w:val="18"/>
                      </w:rPr>
                      <w:t>6</w:t>
                    </w:r>
                    <w:r w:rsidRPr="00D81990">
                      <w:rPr>
                        <w:b/>
                        <w:sz w:val="18"/>
                      </w:rPr>
                      <w:fldChar w:fldCharType="end"/>
                    </w:r>
                    <w:r>
                      <w:rPr>
                        <w:b/>
                        <w:sz w:val="18"/>
                      </w:rPr>
                      <w:tab/>
                    </w:r>
                    <w:r>
                      <w:t>GE.21-02226</w:t>
                    </w:r>
                  </w:p>
                  <w:p w14:paraId="1564844B" w14:textId="77777777" w:rsidR="00752930" w:rsidRDefault="0075293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37C7" w14:textId="77777777" w:rsidR="00752930" w:rsidRPr="00752930" w:rsidRDefault="00752930" w:rsidP="00752930">
    <w:pPr>
      <w:pStyle w:val="Footer"/>
    </w:pPr>
    <w:r>
      <w:rPr>
        <w:noProof/>
      </w:rPr>
      <mc:AlternateContent>
        <mc:Choice Requires="wps">
          <w:drawing>
            <wp:anchor distT="0" distB="0" distL="114300" distR="114300" simplePos="0" relativeHeight="251661312" behindDoc="0" locked="0" layoutInCell="1" allowOverlap="1" wp14:anchorId="42FE7EDB" wp14:editId="38555DD8">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AD0761" w14:textId="77777777" w:rsidR="00752930" w:rsidRPr="00D81990" w:rsidRDefault="00752930" w:rsidP="00752930">
                          <w:pPr>
                            <w:pStyle w:val="Footer"/>
                            <w:tabs>
                              <w:tab w:val="clear" w:pos="9639"/>
                              <w:tab w:val="right" w:pos="9638"/>
                            </w:tabs>
                            <w:rPr>
                              <w:b/>
                              <w:sz w:val="18"/>
                            </w:rPr>
                          </w:pPr>
                          <w:r>
                            <w:t>GE.21-02226</w:t>
                          </w:r>
                          <w:r>
                            <w:tab/>
                          </w:r>
                          <w:r w:rsidRPr="00D81990">
                            <w:rPr>
                              <w:b/>
                              <w:sz w:val="18"/>
                            </w:rPr>
                            <w:fldChar w:fldCharType="begin"/>
                          </w:r>
                          <w:r w:rsidRPr="00D81990">
                            <w:rPr>
                              <w:b/>
                              <w:sz w:val="18"/>
                            </w:rPr>
                            <w:instrText xml:space="preserve"> PAGE  \* MERGEFORMAT </w:instrText>
                          </w:r>
                          <w:r w:rsidRPr="00D81990">
                            <w:rPr>
                              <w:b/>
                              <w:sz w:val="18"/>
                            </w:rPr>
                            <w:fldChar w:fldCharType="separate"/>
                          </w:r>
                          <w:r>
                            <w:rPr>
                              <w:b/>
                              <w:sz w:val="18"/>
                            </w:rPr>
                            <w:t>5</w:t>
                          </w:r>
                          <w:r w:rsidRPr="00D81990">
                            <w:rPr>
                              <w:b/>
                              <w:sz w:val="18"/>
                            </w:rPr>
                            <w:fldChar w:fldCharType="end"/>
                          </w:r>
                        </w:p>
                        <w:p w14:paraId="4E00BDAC" w14:textId="77777777" w:rsidR="00752930" w:rsidRDefault="007529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FE7EDB"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nX5V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09AD0761" w14:textId="77777777" w:rsidR="00752930" w:rsidRPr="00D81990" w:rsidRDefault="00752930" w:rsidP="00752930">
                    <w:pPr>
                      <w:pStyle w:val="a8"/>
                      <w:tabs>
                        <w:tab w:val="clear" w:pos="9639"/>
                        <w:tab w:val="right" w:pos="9638"/>
                      </w:tabs>
                      <w:rPr>
                        <w:b/>
                        <w:sz w:val="18"/>
                      </w:rPr>
                    </w:pPr>
                    <w:r>
                      <w:t>GE.21-02226</w:t>
                    </w:r>
                    <w:r>
                      <w:tab/>
                    </w:r>
                    <w:r w:rsidRPr="00D81990">
                      <w:rPr>
                        <w:b/>
                        <w:sz w:val="18"/>
                      </w:rPr>
                      <w:fldChar w:fldCharType="begin"/>
                    </w:r>
                    <w:r w:rsidRPr="00D81990">
                      <w:rPr>
                        <w:b/>
                        <w:sz w:val="18"/>
                      </w:rPr>
                      <w:instrText xml:space="preserve"> PAGE  \* MERGEFORMAT </w:instrText>
                    </w:r>
                    <w:r w:rsidRPr="00D81990">
                      <w:rPr>
                        <w:b/>
                        <w:sz w:val="18"/>
                      </w:rPr>
                      <w:fldChar w:fldCharType="separate"/>
                    </w:r>
                    <w:r>
                      <w:rPr>
                        <w:b/>
                        <w:sz w:val="18"/>
                      </w:rPr>
                      <w:t>5</w:t>
                    </w:r>
                    <w:r w:rsidRPr="00D81990">
                      <w:rPr>
                        <w:b/>
                        <w:sz w:val="18"/>
                      </w:rPr>
                      <w:fldChar w:fldCharType="end"/>
                    </w:r>
                  </w:p>
                  <w:p w14:paraId="4E00BDAC" w14:textId="77777777" w:rsidR="00752930" w:rsidRDefault="0075293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C48" w14:textId="77777777" w:rsidR="00972339" w:rsidRPr="001075E9" w:rsidRDefault="00972339" w:rsidP="001075E9">
      <w:pPr>
        <w:tabs>
          <w:tab w:val="right" w:pos="2155"/>
        </w:tabs>
        <w:spacing w:after="80" w:line="240" w:lineRule="auto"/>
        <w:ind w:left="680"/>
        <w:rPr>
          <w:u w:val="single"/>
        </w:rPr>
      </w:pPr>
      <w:r>
        <w:rPr>
          <w:u w:val="single"/>
        </w:rPr>
        <w:tab/>
      </w:r>
    </w:p>
  </w:footnote>
  <w:footnote w:type="continuationSeparator" w:id="0">
    <w:p w14:paraId="5F4F8CFE" w14:textId="77777777" w:rsidR="00972339" w:rsidRDefault="00972339" w:rsidP="00407B78">
      <w:pPr>
        <w:tabs>
          <w:tab w:val="right" w:pos="2155"/>
        </w:tabs>
        <w:spacing w:after="80"/>
        <w:ind w:left="680"/>
        <w:rPr>
          <w:u w:val="single"/>
        </w:rPr>
      </w:pPr>
      <w:r>
        <w:rPr>
          <w:u w:val="single"/>
        </w:rPr>
        <w:tab/>
      </w:r>
    </w:p>
  </w:footnote>
  <w:footnote w:id="1">
    <w:p w14:paraId="4F029495" w14:textId="77777777" w:rsidR="00381067" w:rsidRDefault="00381067" w:rsidP="00381067">
      <w:pPr>
        <w:pStyle w:val="FootnoteText"/>
      </w:pPr>
      <w:r>
        <w:rPr>
          <w:sz w:val="20"/>
        </w:rPr>
        <w:tab/>
      </w:r>
      <w:r w:rsidRPr="00381067">
        <w:rPr>
          <w:rStyle w:val="FootnoteReference"/>
          <w:sz w:val="20"/>
          <w:vertAlign w:val="baseline"/>
        </w:rPr>
        <w:sym w:font="Symbol" w:char="F02A"/>
      </w:r>
      <w:r>
        <w:tab/>
      </w:r>
      <w:r>
        <w:tab/>
        <w:t>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207E" w14:textId="776C9037" w:rsidR="00D81990" w:rsidRPr="00D81990" w:rsidRDefault="00EF3188">
    <w:pPr>
      <w:pStyle w:val="Header"/>
    </w:pPr>
    <w:fldSimple w:instr=" TITLE  \* MERGEFORMAT ">
      <w:r>
        <w:t>ECE/TRANS/WP.15/2021/5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D168" w14:textId="732AB737" w:rsidR="00D81990" w:rsidRPr="00D81990" w:rsidRDefault="00EF3188" w:rsidP="00D81990">
    <w:pPr>
      <w:pStyle w:val="Header"/>
      <w:jc w:val="right"/>
    </w:pPr>
    <w:fldSimple w:instr=" TITLE  \* MERGEFORMAT ">
      <w:r>
        <w:t>ECE/TRANS/WP.15/2021/5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7B1C" w14:textId="77777777" w:rsidR="00752930" w:rsidRPr="00752930" w:rsidRDefault="00752930" w:rsidP="00752930">
    <w:r>
      <w:rPr>
        <w:noProof/>
      </w:rPr>
      <mc:AlternateContent>
        <mc:Choice Requires="wps">
          <w:drawing>
            <wp:anchor distT="0" distB="0" distL="114300" distR="114300" simplePos="0" relativeHeight="251662336" behindDoc="0" locked="0" layoutInCell="1" allowOverlap="1" wp14:anchorId="35FC5C17" wp14:editId="2D65B68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3910936" w14:textId="169E7D84" w:rsidR="00752930" w:rsidRPr="00D81990" w:rsidRDefault="00FF1684" w:rsidP="00752930">
                          <w:pPr>
                            <w:pStyle w:val="Header"/>
                          </w:pPr>
                          <w:r>
                            <w:fldChar w:fldCharType="begin"/>
                          </w:r>
                          <w:r>
                            <w:instrText xml:space="preserve"> TITLE  \* MERGEFORMAT </w:instrText>
                          </w:r>
                          <w:r>
                            <w:fldChar w:fldCharType="separate"/>
                          </w:r>
                          <w:r w:rsidR="00EF3188">
                            <w:t>ECE/TRANS/WP.15/2021/5</w:t>
                          </w:r>
                          <w:r>
                            <w:fldChar w:fldCharType="end"/>
                          </w:r>
                        </w:p>
                        <w:p w14:paraId="6E1B1F00" w14:textId="77777777" w:rsidR="00752930" w:rsidRDefault="007529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FC5C17"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03910936" w14:textId="169E7D84" w:rsidR="00752930" w:rsidRPr="00D81990" w:rsidRDefault="00752930" w:rsidP="00752930">
                    <w:pPr>
                      <w:pStyle w:val="a5"/>
                    </w:pPr>
                    <w:fldSimple w:instr=" TITLE  \* MERGEFORMAT ">
                      <w:r w:rsidR="00EF3188">
                        <w:t>ECE/TRANS/WP.15/2021/5</w:t>
                      </w:r>
                    </w:fldSimple>
                  </w:p>
                  <w:p w14:paraId="6E1B1F00" w14:textId="77777777" w:rsidR="00752930" w:rsidRDefault="0075293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961B" w14:textId="77777777" w:rsidR="00752930" w:rsidRPr="00752930" w:rsidRDefault="00752930" w:rsidP="00752930">
    <w:r>
      <w:rPr>
        <w:noProof/>
      </w:rPr>
      <mc:AlternateContent>
        <mc:Choice Requires="wps">
          <w:drawing>
            <wp:anchor distT="0" distB="0" distL="114300" distR="114300" simplePos="0" relativeHeight="251660288" behindDoc="0" locked="0" layoutInCell="1" allowOverlap="1" wp14:anchorId="3218EAAF" wp14:editId="00EFFC8B">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DAB550" w14:textId="54490F11" w:rsidR="00752930" w:rsidRPr="00D81990" w:rsidRDefault="00FF1684" w:rsidP="00752930">
                          <w:pPr>
                            <w:pStyle w:val="Header"/>
                            <w:jc w:val="right"/>
                          </w:pPr>
                          <w:r>
                            <w:fldChar w:fldCharType="begin"/>
                          </w:r>
                          <w:r>
                            <w:instrText xml:space="preserve"> TITLE  \* MERGEFORMAT </w:instrText>
                          </w:r>
                          <w:r>
                            <w:fldChar w:fldCharType="separate"/>
                          </w:r>
                          <w:r w:rsidR="00EF3188">
                            <w:t>ECE/TRANS/WP.15/2021/5</w:t>
                          </w:r>
                          <w:r>
                            <w:fldChar w:fldCharType="end"/>
                          </w:r>
                        </w:p>
                        <w:p w14:paraId="036A8134" w14:textId="77777777" w:rsidR="00752930" w:rsidRDefault="0075293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18EAAF"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AFjYRq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0ADAB550" w14:textId="54490F11" w:rsidR="00752930" w:rsidRPr="00D81990" w:rsidRDefault="00752930" w:rsidP="00752930">
                    <w:pPr>
                      <w:pStyle w:val="a5"/>
                      <w:jc w:val="right"/>
                    </w:pPr>
                    <w:fldSimple w:instr=" TITLE  \* MERGEFORMAT ">
                      <w:r w:rsidR="00EF3188">
                        <w:t>ECE/TRANS/WP.15/2021/5</w:t>
                      </w:r>
                    </w:fldSimple>
                  </w:p>
                  <w:p w14:paraId="036A8134" w14:textId="77777777" w:rsidR="00752930" w:rsidRDefault="0075293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3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067"/>
    <w:rsid w:val="00381C24"/>
    <w:rsid w:val="00387CD4"/>
    <w:rsid w:val="003958D0"/>
    <w:rsid w:val="003A0D43"/>
    <w:rsid w:val="003A48CE"/>
    <w:rsid w:val="003B00E5"/>
    <w:rsid w:val="003E0B46"/>
    <w:rsid w:val="00403DA4"/>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A23D7"/>
    <w:rsid w:val="005C2616"/>
    <w:rsid w:val="005D7914"/>
    <w:rsid w:val="005E2B41"/>
    <w:rsid w:val="005F0B42"/>
    <w:rsid w:val="00617A43"/>
    <w:rsid w:val="006345DB"/>
    <w:rsid w:val="00640F49"/>
    <w:rsid w:val="00641D73"/>
    <w:rsid w:val="00680D03"/>
    <w:rsid w:val="00681A10"/>
    <w:rsid w:val="0068311C"/>
    <w:rsid w:val="006A1ED8"/>
    <w:rsid w:val="006C1433"/>
    <w:rsid w:val="006C2031"/>
    <w:rsid w:val="006D461A"/>
    <w:rsid w:val="006F35EE"/>
    <w:rsid w:val="007021FF"/>
    <w:rsid w:val="00712895"/>
    <w:rsid w:val="00734ACB"/>
    <w:rsid w:val="00752930"/>
    <w:rsid w:val="00757357"/>
    <w:rsid w:val="00776007"/>
    <w:rsid w:val="00792497"/>
    <w:rsid w:val="00806737"/>
    <w:rsid w:val="00825F8D"/>
    <w:rsid w:val="00834B71"/>
    <w:rsid w:val="0086445C"/>
    <w:rsid w:val="00894693"/>
    <w:rsid w:val="008A08D7"/>
    <w:rsid w:val="008A37C8"/>
    <w:rsid w:val="008B6909"/>
    <w:rsid w:val="008C0912"/>
    <w:rsid w:val="008D53B6"/>
    <w:rsid w:val="008F7609"/>
    <w:rsid w:val="00906890"/>
    <w:rsid w:val="00911BE4"/>
    <w:rsid w:val="00951972"/>
    <w:rsid w:val="009608F3"/>
    <w:rsid w:val="00972339"/>
    <w:rsid w:val="009A24AC"/>
    <w:rsid w:val="009C59D7"/>
    <w:rsid w:val="009C6FE6"/>
    <w:rsid w:val="009D7E7D"/>
    <w:rsid w:val="00A14DA8"/>
    <w:rsid w:val="00A312BC"/>
    <w:rsid w:val="00A40F14"/>
    <w:rsid w:val="00A84021"/>
    <w:rsid w:val="00A84D35"/>
    <w:rsid w:val="00A917B3"/>
    <w:rsid w:val="00AB4B51"/>
    <w:rsid w:val="00B10CC7"/>
    <w:rsid w:val="00B2377A"/>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1FAD"/>
    <w:rsid w:val="00CE5A1A"/>
    <w:rsid w:val="00CF179C"/>
    <w:rsid w:val="00CF55F6"/>
    <w:rsid w:val="00D33D63"/>
    <w:rsid w:val="00D5253A"/>
    <w:rsid w:val="00D81990"/>
    <w:rsid w:val="00D873A8"/>
    <w:rsid w:val="00D90028"/>
    <w:rsid w:val="00D90138"/>
    <w:rsid w:val="00D9145B"/>
    <w:rsid w:val="00DD78D1"/>
    <w:rsid w:val="00DE32CD"/>
    <w:rsid w:val="00DF0CB0"/>
    <w:rsid w:val="00DF5767"/>
    <w:rsid w:val="00DF71B9"/>
    <w:rsid w:val="00E12C5F"/>
    <w:rsid w:val="00E73F76"/>
    <w:rsid w:val="00EA2C9F"/>
    <w:rsid w:val="00EA420E"/>
    <w:rsid w:val="00ED0BDA"/>
    <w:rsid w:val="00EE142A"/>
    <w:rsid w:val="00EE7CD5"/>
    <w:rsid w:val="00EF1360"/>
    <w:rsid w:val="00EF3188"/>
    <w:rsid w:val="00EF3220"/>
    <w:rsid w:val="00F2523A"/>
    <w:rsid w:val="00F43903"/>
    <w:rsid w:val="00F94155"/>
    <w:rsid w:val="00F9783F"/>
    <w:rsid w:val="00FD2EF7"/>
    <w:rsid w:val="00FE447E"/>
    <w:rsid w:val="00FF168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7DAB0"/>
  <w15:docId w15:val="{F3419F6C-CEF4-455E-A694-78D94E09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381067"/>
    <w:rPr>
      <w:lang w:val="ru-RU" w:eastAsia="en-US"/>
    </w:rPr>
  </w:style>
  <w:style w:type="paragraph" w:customStyle="1" w:styleId="ParNoG">
    <w:name w:val="_ParNo_G"/>
    <w:basedOn w:val="SingleTxtG"/>
    <w:qFormat/>
    <w:rsid w:val="00381067"/>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4A2E6-06BC-49D6-A717-EEA39A43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E4ED3-1D6B-446D-A72D-765F93E66F13}">
  <ds:schemaRefs>
    <ds:schemaRef ds:uri="http://schemas.microsoft.com/sharepoint/v3/contenttype/forms"/>
  </ds:schemaRefs>
</ds:datastoreItem>
</file>

<file path=customXml/itemProps3.xml><?xml version="1.0" encoding="utf-8"?>
<ds:datastoreItem xmlns:ds="http://schemas.openxmlformats.org/officeDocument/2006/customXml" ds:itemID="{4A6B1E82-EEE9-4B3C-8807-4CBD64C79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11439</Characters>
  <Application>Microsoft Office Word</Application>
  <DocSecurity>0</DocSecurity>
  <Lines>95</Lines>
  <Paragraphs>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ECE/TRANS/WP.15/2021/5</vt:lpstr>
      <vt:lpstr>A/</vt:lpstr>
      <vt:lpstr>A/</vt:lpstr>
    </vt:vector>
  </TitlesOfParts>
  <Company>DCM</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ECE/TRANS/WP.15/2021/5</dc:title>
  <dc:subject/>
  <dc:creator>Ekaterina SALYNSKAYA</dc:creator>
  <cp:keywords/>
  <cp:lastModifiedBy>Christine Barrio-Champeau</cp:lastModifiedBy>
  <cp:revision>2</cp:revision>
  <cp:lastPrinted>2021-03-01T16:31:00Z</cp:lastPrinted>
  <dcterms:created xsi:type="dcterms:W3CDTF">2021-03-05T16:15:00Z</dcterms:created>
  <dcterms:modified xsi:type="dcterms:W3CDTF">2021-03-05T16:15:00Z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