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85ACF94" w14:textId="77777777" w:rsidTr="00B20551">
        <w:trPr>
          <w:cantSplit/>
          <w:trHeight w:hRule="exact" w:val="851"/>
        </w:trPr>
        <w:tc>
          <w:tcPr>
            <w:tcW w:w="1276" w:type="dxa"/>
            <w:tcBorders>
              <w:bottom w:val="single" w:sz="4" w:space="0" w:color="auto"/>
            </w:tcBorders>
            <w:vAlign w:val="bottom"/>
          </w:tcPr>
          <w:p w14:paraId="293EB590" w14:textId="77777777" w:rsidR="009E6CB7" w:rsidRDefault="009E6CB7" w:rsidP="00B20551">
            <w:pPr>
              <w:spacing w:after="80"/>
            </w:pPr>
          </w:p>
        </w:tc>
        <w:tc>
          <w:tcPr>
            <w:tcW w:w="2268" w:type="dxa"/>
            <w:tcBorders>
              <w:bottom w:val="single" w:sz="4" w:space="0" w:color="auto"/>
            </w:tcBorders>
            <w:vAlign w:val="bottom"/>
          </w:tcPr>
          <w:p w14:paraId="65C820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98116F7" w14:textId="5ACABE91" w:rsidR="009E6CB7" w:rsidRPr="00D47EEA" w:rsidRDefault="00E54775" w:rsidP="00E54775">
            <w:pPr>
              <w:jc w:val="right"/>
            </w:pPr>
            <w:r w:rsidRPr="00E54775">
              <w:rPr>
                <w:sz w:val="40"/>
              </w:rPr>
              <w:t>ECE</w:t>
            </w:r>
            <w:r>
              <w:t>/TRANS/WP.15/2021/5</w:t>
            </w:r>
          </w:p>
        </w:tc>
      </w:tr>
      <w:tr w:rsidR="009E6CB7" w14:paraId="141F87A3" w14:textId="77777777" w:rsidTr="00B20551">
        <w:trPr>
          <w:cantSplit/>
          <w:trHeight w:hRule="exact" w:val="2835"/>
        </w:trPr>
        <w:tc>
          <w:tcPr>
            <w:tcW w:w="1276" w:type="dxa"/>
            <w:tcBorders>
              <w:top w:val="single" w:sz="4" w:space="0" w:color="auto"/>
              <w:bottom w:val="single" w:sz="12" w:space="0" w:color="auto"/>
            </w:tcBorders>
          </w:tcPr>
          <w:p w14:paraId="4EDA5667" w14:textId="77777777" w:rsidR="009E6CB7" w:rsidRDefault="00686A48" w:rsidP="00B20551">
            <w:pPr>
              <w:spacing w:before="120"/>
            </w:pPr>
            <w:r>
              <w:rPr>
                <w:noProof/>
                <w:lang w:val="fr-CH" w:eastAsia="fr-CH"/>
              </w:rPr>
              <w:drawing>
                <wp:inline distT="0" distB="0" distL="0" distR="0" wp14:anchorId="4A3F8F66" wp14:editId="036D1A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318E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A58A5B" w14:textId="77777777" w:rsidR="009E6CB7" w:rsidRDefault="00E54775" w:rsidP="00E54775">
            <w:pPr>
              <w:spacing w:before="240" w:line="240" w:lineRule="exact"/>
            </w:pPr>
            <w:r>
              <w:t>Distr.: General</w:t>
            </w:r>
          </w:p>
          <w:p w14:paraId="47927F43" w14:textId="6F08452C" w:rsidR="00E54775" w:rsidRDefault="00BE37A9" w:rsidP="00E54775">
            <w:pPr>
              <w:spacing w:line="240" w:lineRule="exact"/>
            </w:pPr>
            <w:r>
              <w:t>18</w:t>
            </w:r>
            <w:r w:rsidR="00E54775">
              <w:t xml:space="preserve"> February 2021</w:t>
            </w:r>
          </w:p>
          <w:p w14:paraId="7549E742" w14:textId="77777777" w:rsidR="00E54775" w:rsidRDefault="00E54775" w:rsidP="00E54775">
            <w:pPr>
              <w:spacing w:line="240" w:lineRule="exact"/>
            </w:pPr>
          </w:p>
          <w:p w14:paraId="6D2734BF" w14:textId="2F39B3E8" w:rsidR="00E54775" w:rsidRDefault="00E54775" w:rsidP="00E54775">
            <w:pPr>
              <w:spacing w:line="240" w:lineRule="exact"/>
            </w:pPr>
            <w:r>
              <w:t>Original: English</w:t>
            </w:r>
          </w:p>
        </w:tc>
      </w:tr>
    </w:tbl>
    <w:p w14:paraId="2AE161DE" w14:textId="77777777" w:rsidR="003F7571" w:rsidRDefault="003F7571" w:rsidP="00C411EB">
      <w:pPr>
        <w:spacing w:before="120"/>
        <w:rPr>
          <w:b/>
          <w:sz w:val="28"/>
          <w:szCs w:val="28"/>
        </w:rPr>
      </w:pPr>
      <w:r>
        <w:rPr>
          <w:b/>
          <w:sz w:val="28"/>
          <w:szCs w:val="28"/>
        </w:rPr>
        <w:t>Economic Commission for Europe</w:t>
      </w:r>
    </w:p>
    <w:p w14:paraId="237458B8" w14:textId="77777777" w:rsidR="003F7571" w:rsidRDefault="003F7571" w:rsidP="00C411EB">
      <w:pPr>
        <w:spacing w:before="120"/>
        <w:rPr>
          <w:sz w:val="28"/>
          <w:szCs w:val="28"/>
        </w:rPr>
      </w:pPr>
      <w:r>
        <w:rPr>
          <w:sz w:val="28"/>
          <w:szCs w:val="28"/>
        </w:rPr>
        <w:t>Inland Transport Committee</w:t>
      </w:r>
    </w:p>
    <w:p w14:paraId="417C40DE" w14:textId="77777777" w:rsidR="003F7571" w:rsidRPr="001330DE" w:rsidRDefault="003F7571" w:rsidP="00C411EB">
      <w:pPr>
        <w:spacing w:before="120"/>
        <w:rPr>
          <w:b/>
          <w:sz w:val="24"/>
          <w:szCs w:val="24"/>
        </w:rPr>
      </w:pPr>
      <w:r>
        <w:rPr>
          <w:b/>
          <w:sz w:val="24"/>
          <w:szCs w:val="24"/>
        </w:rPr>
        <w:t xml:space="preserve">Working Party on the Transport </w:t>
      </w:r>
      <w:r w:rsidRPr="001330DE">
        <w:rPr>
          <w:b/>
          <w:sz w:val="24"/>
          <w:szCs w:val="24"/>
        </w:rPr>
        <w:t>of Dangerous Goods</w:t>
      </w:r>
    </w:p>
    <w:p w14:paraId="60B8ACCE" w14:textId="77777777" w:rsidR="00805AA2" w:rsidRDefault="00805AA2" w:rsidP="00805AA2">
      <w:pPr>
        <w:spacing w:before="120"/>
        <w:rPr>
          <w:b/>
        </w:rPr>
      </w:pPr>
      <w:r>
        <w:rPr>
          <w:b/>
        </w:rPr>
        <w:t>109th session</w:t>
      </w:r>
    </w:p>
    <w:p w14:paraId="27CA3BF2" w14:textId="77777777" w:rsidR="00805AA2" w:rsidRDefault="00805AA2" w:rsidP="00805AA2">
      <w:r>
        <w:t>Geneva, 3-7 May 2021</w:t>
      </w:r>
    </w:p>
    <w:p w14:paraId="146A75FA" w14:textId="77777777" w:rsidR="00805AA2" w:rsidRPr="0079029A" w:rsidRDefault="00805AA2" w:rsidP="00805AA2">
      <w:pPr>
        <w:autoSpaceDE w:val="0"/>
        <w:autoSpaceDN w:val="0"/>
        <w:adjustRightInd w:val="0"/>
        <w:rPr>
          <w:b/>
          <w:bCs/>
        </w:rPr>
      </w:pPr>
      <w:r>
        <w:t>Item 5 (b) of the provisional agenda</w:t>
      </w:r>
      <w:bookmarkStart w:id="0" w:name="_GoBack"/>
      <w:bookmarkEnd w:id="0"/>
      <w:r>
        <w:br/>
      </w:r>
      <w:r w:rsidRPr="0079029A">
        <w:rPr>
          <w:b/>
          <w:bCs/>
        </w:rPr>
        <w:t>Proposals for amendments to annexes A and B of ADR</w:t>
      </w:r>
      <w:r>
        <w:rPr>
          <w:b/>
          <w:bCs/>
        </w:rPr>
        <w:t>:</w:t>
      </w:r>
      <w:r>
        <w:rPr>
          <w:b/>
          <w:bCs/>
        </w:rPr>
        <w:br/>
        <w:t>miscellaneous proposals</w:t>
      </w:r>
    </w:p>
    <w:p w14:paraId="533CC119" w14:textId="6DB6EF03" w:rsidR="00805AA2" w:rsidRPr="00A87535" w:rsidRDefault="00805AA2" w:rsidP="00805AA2">
      <w:pPr>
        <w:keepNext/>
        <w:keepLines/>
        <w:tabs>
          <w:tab w:val="right" w:pos="851"/>
        </w:tabs>
        <w:spacing w:before="360" w:after="240" w:line="300" w:lineRule="exact"/>
        <w:ind w:left="1134" w:right="1134" w:hanging="1134"/>
        <w:rPr>
          <w:b/>
          <w:sz w:val="28"/>
          <w:lang w:eastAsia="en-US"/>
        </w:rPr>
      </w:pPr>
      <w:r w:rsidRPr="00A87535">
        <w:rPr>
          <w:b/>
          <w:sz w:val="28"/>
          <w:lang w:eastAsia="en-US"/>
        </w:rPr>
        <w:tab/>
      </w:r>
      <w:r w:rsidRPr="00A87535">
        <w:rPr>
          <w:b/>
          <w:sz w:val="28"/>
          <w:lang w:eastAsia="en-US"/>
        </w:rPr>
        <w:tab/>
      </w:r>
      <w:r>
        <w:rPr>
          <w:b/>
          <w:sz w:val="28"/>
          <w:lang w:eastAsia="en-US"/>
        </w:rPr>
        <w:t>R</w:t>
      </w:r>
      <w:r w:rsidRPr="00805AA2">
        <w:rPr>
          <w:b/>
          <w:sz w:val="28"/>
          <w:lang w:eastAsia="en-US"/>
        </w:rPr>
        <w:t>eferences to competent authorities in Parts 8 and 9</w:t>
      </w:r>
    </w:p>
    <w:p w14:paraId="5CC8CEA5" w14:textId="77777777" w:rsidR="00805AA2" w:rsidRPr="00C22823" w:rsidRDefault="00805AA2" w:rsidP="00805AA2">
      <w:pPr>
        <w:tabs>
          <w:tab w:val="right" w:pos="851"/>
        </w:tabs>
        <w:spacing w:before="360" w:after="240" w:line="270" w:lineRule="exact"/>
        <w:ind w:left="1134" w:right="1134" w:hanging="1134"/>
        <w:rPr>
          <w:b/>
          <w:sz w:val="24"/>
        </w:rPr>
      </w:pPr>
      <w:r w:rsidRPr="00C22823">
        <w:tab/>
      </w:r>
      <w:r w:rsidRPr="00C22823">
        <w:tab/>
      </w:r>
      <w:r w:rsidRPr="00C22823">
        <w:rPr>
          <w:b/>
          <w:sz w:val="24"/>
        </w:rPr>
        <w:t>Note by the secretariat</w:t>
      </w:r>
      <w:r w:rsidRPr="00C22823">
        <w:rPr>
          <w:b/>
          <w:vertAlign w:val="superscript"/>
        </w:rPr>
        <w:footnoteReference w:customMarkFollows="1" w:id="2"/>
        <w:sym w:font="Symbol" w:char="F02A"/>
      </w:r>
    </w:p>
    <w:p w14:paraId="473D8CE4" w14:textId="41D41F41" w:rsidR="003F7571" w:rsidRDefault="00805AA2" w:rsidP="00805AA2">
      <w:pPr>
        <w:pStyle w:val="HChG"/>
      </w:pPr>
      <w:r>
        <w:tab/>
      </w:r>
      <w:r>
        <w:tab/>
        <w:t>Introduction</w:t>
      </w:r>
    </w:p>
    <w:p w14:paraId="03B1FC71" w14:textId="5A4A500A" w:rsidR="0043742A" w:rsidRDefault="00510DA9" w:rsidP="00510DA9">
      <w:pPr>
        <w:pStyle w:val="SingleTxtG"/>
        <w:rPr>
          <w:rFonts w:eastAsia="SimSun"/>
          <w:lang w:eastAsia="zh-CN"/>
        </w:rPr>
      </w:pPr>
      <w:r>
        <w:rPr>
          <w:rFonts w:eastAsia="SimSun"/>
          <w:lang w:eastAsia="zh-CN"/>
        </w:rPr>
        <w:t>1.</w:t>
      </w:r>
      <w:r>
        <w:rPr>
          <w:rFonts w:eastAsia="SimSun"/>
          <w:lang w:eastAsia="zh-CN"/>
        </w:rPr>
        <w:tab/>
      </w:r>
      <w:r w:rsidR="006D4CB5">
        <w:rPr>
          <w:rFonts w:eastAsia="SimSun"/>
          <w:lang w:eastAsia="zh-CN"/>
        </w:rPr>
        <w:t>At it</w:t>
      </w:r>
      <w:r w:rsidR="00DE054A">
        <w:rPr>
          <w:rFonts w:eastAsia="SimSun"/>
          <w:lang w:eastAsia="zh-CN"/>
        </w:rPr>
        <w:t>s</w:t>
      </w:r>
      <w:r w:rsidR="006D4CB5">
        <w:rPr>
          <w:rFonts w:eastAsia="SimSun"/>
          <w:lang w:eastAsia="zh-CN"/>
        </w:rPr>
        <w:t xml:space="preserve"> 107th session, the </w:t>
      </w:r>
      <w:r w:rsidR="006D4CB5" w:rsidRPr="003F7571">
        <w:rPr>
          <w:rFonts w:eastAsia="SimSun"/>
          <w:lang w:eastAsia="zh-CN"/>
        </w:rPr>
        <w:t>Working Party considered the references to competent authorities in Parts 8 and 9 of ADR</w:t>
      </w:r>
      <w:r w:rsidR="006D4CB5">
        <w:rPr>
          <w:rFonts w:eastAsia="SimSun"/>
          <w:lang w:eastAsia="zh-CN"/>
        </w:rPr>
        <w:t xml:space="preserve"> on the basis </w:t>
      </w:r>
      <w:r w:rsidR="00DE054A">
        <w:rPr>
          <w:rFonts w:eastAsia="SimSun"/>
          <w:lang w:eastAsia="zh-CN"/>
        </w:rPr>
        <w:t xml:space="preserve">of document </w:t>
      </w:r>
      <w:r w:rsidR="00DE054A" w:rsidRPr="003F7571">
        <w:rPr>
          <w:rFonts w:eastAsia="SimSun"/>
          <w:lang w:eastAsia="zh-CN"/>
        </w:rPr>
        <w:t>ECE/TRANS/WP.15/2019/23</w:t>
      </w:r>
      <w:r w:rsidR="00DE054A">
        <w:rPr>
          <w:rFonts w:eastAsia="SimSun"/>
          <w:lang w:eastAsia="zh-CN"/>
        </w:rPr>
        <w:t xml:space="preserve"> prepared by the secretariat</w:t>
      </w:r>
      <w:r w:rsidR="003A146D">
        <w:rPr>
          <w:rFonts w:eastAsia="SimSun"/>
          <w:lang w:eastAsia="zh-CN"/>
        </w:rPr>
        <w:t xml:space="preserve"> and </w:t>
      </w:r>
      <w:r w:rsidR="003A146D" w:rsidRPr="003A146D">
        <w:rPr>
          <w:rFonts w:eastAsia="SimSun"/>
          <w:lang w:eastAsia="zh-CN"/>
        </w:rPr>
        <w:t>requested the secretariat to submit a new document taking into account the comments received.</w:t>
      </w:r>
    </w:p>
    <w:p w14:paraId="6FED668C" w14:textId="7A72F88E" w:rsidR="007E1E26" w:rsidRDefault="007E1E26" w:rsidP="00510DA9">
      <w:pPr>
        <w:pStyle w:val="SingleTxtG"/>
        <w:rPr>
          <w:rFonts w:eastAsia="SimSun"/>
          <w:lang w:eastAsia="zh-CN"/>
        </w:rPr>
      </w:pPr>
      <w:r>
        <w:rPr>
          <w:rFonts w:eastAsia="SimSun"/>
          <w:lang w:eastAsia="zh-CN"/>
        </w:rPr>
        <w:t>2.</w:t>
      </w:r>
      <w:r>
        <w:rPr>
          <w:rFonts w:eastAsia="SimSun"/>
          <w:lang w:eastAsia="zh-CN"/>
        </w:rPr>
        <w:tab/>
      </w:r>
      <w:r w:rsidR="00B6441B">
        <w:rPr>
          <w:rFonts w:eastAsia="SimSun"/>
          <w:lang w:eastAsia="zh-CN"/>
        </w:rPr>
        <w:t>U</w:t>
      </w:r>
      <w:r>
        <w:rPr>
          <w:rFonts w:eastAsia="SimSun"/>
          <w:lang w:eastAsia="zh-CN"/>
        </w:rPr>
        <w:t>pdated table</w:t>
      </w:r>
      <w:r w:rsidR="00B6441B">
        <w:rPr>
          <w:rFonts w:eastAsia="SimSun"/>
          <w:lang w:eastAsia="zh-CN"/>
        </w:rPr>
        <w:t>s</w:t>
      </w:r>
      <w:r>
        <w:rPr>
          <w:rFonts w:eastAsia="SimSun"/>
          <w:lang w:eastAsia="zh-CN"/>
        </w:rPr>
        <w:t xml:space="preserve"> </w:t>
      </w:r>
      <w:r w:rsidR="00B6441B">
        <w:rPr>
          <w:rFonts w:eastAsia="SimSun"/>
          <w:lang w:eastAsia="zh-CN"/>
        </w:rPr>
        <w:t>are</w:t>
      </w:r>
      <w:r>
        <w:rPr>
          <w:rFonts w:eastAsia="SimSun"/>
          <w:lang w:eastAsia="zh-CN"/>
        </w:rPr>
        <w:t xml:space="preserve"> provided in Annex </w:t>
      </w:r>
      <w:r w:rsidR="005477D0">
        <w:rPr>
          <w:rFonts w:eastAsia="SimSun"/>
          <w:lang w:eastAsia="zh-CN"/>
        </w:rPr>
        <w:t xml:space="preserve">of this document </w:t>
      </w:r>
      <w:r>
        <w:rPr>
          <w:rFonts w:eastAsia="SimSun"/>
          <w:lang w:eastAsia="zh-CN"/>
        </w:rPr>
        <w:t>and detailed</w:t>
      </w:r>
      <w:r w:rsidR="007163A7">
        <w:rPr>
          <w:rFonts w:eastAsia="SimSun"/>
          <w:lang w:eastAsia="zh-CN"/>
        </w:rPr>
        <w:t xml:space="preserve"> additional</w:t>
      </w:r>
      <w:r>
        <w:rPr>
          <w:rFonts w:eastAsia="SimSun"/>
          <w:lang w:eastAsia="zh-CN"/>
        </w:rPr>
        <w:t xml:space="preserve"> information is given hereafter.</w:t>
      </w:r>
    </w:p>
    <w:p w14:paraId="26F090C7" w14:textId="5C9292AC" w:rsidR="00543DA4" w:rsidRDefault="008F43E7" w:rsidP="008F43E7">
      <w:pPr>
        <w:pStyle w:val="HChG"/>
      </w:pPr>
      <w:r>
        <w:tab/>
      </w:r>
      <w:r>
        <w:tab/>
      </w:r>
      <w:r w:rsidR="00BA3698">
        <w:t xml:space="preserve">Paragraphs in which </w:t>
      </w:r>
      <w:r w:rsidR="00BA3698">
        <w:rPr>
          <w:rFonts w:eastAsia="SimSun"/>
          <w:lang w:eastAsia="zh-CN"/>
        </w:rPr>
        <w:t>“competent authority”</w:t>
      </w:r>
      <w:r w:rsidR="00BA3698">
        <w:rPr>
          <w:rFonts w:eastAsia="SimSun"/>
          <w:lang w:eastAsia="zh-CN"/>
        </w:rPr>
        <w:t xml:space="preserve"> is explicitly defined</w:t>
      </w:r>
    </w:p>
    <w:p w14:paraId="6B2C02F4" w14:textId="17947C04" w:rsidR="00543DA4" w:rsidRDefault="00015734" w:rsidP="00543DA4">
      <w:pPr>
        <w:pStyle w:val="SingleTxtG"/>
        <w:rPr>
          <w:rFonts w:eastAsia="SimSun"/>
          <w:lang w:eastAsia="zh-CN"/>
        </w:rPr>
      </w:pPr>
      <w:r>
        <w:t xml:space="preserve"> </w:t>
      </w:r>
      <w:r w:rsidR="005477D0">
        <w:rPr>
          <w:rFonts w:eastAsia="SimSun"/>
          <w:lang w:eastAsia="zh-CN"/>
        </w:rPr>
        <w:t>3</w:t>
      </w:r>
      <w:r w:rsidR="00543DA4">
        <w:rPr>
          <w:rFonts w:eastAsia="SimSun"/>
          <w:lang w:eastAsia="zh-CN"/>
        </w:rPr>
        <w:t>.</w:t>
      </w:r>
      <w:r w:rsidR="00543DA4">
        <w:rPr>
          <w:rFonts w:eastAsia="SimSun"/>
          <w:lang w:eastAsia="zh-CN"/>
        </w:rPr>
        <w:tab/>
        <w:t xml:space="preserve">After discussion, the </w:t>
      </w:r>
      <w:r w:rsidR="0053584C">
        <w:rPr>
          <w:rFonts w:eastAsia="SimSun"/>
          <w:lang w:eastAsia="zh-CN"/>
        </w:rPr>
        <w:t xml:space="preserve">delegations who spoke confirmed that the references to “competent authority” in </w:t>
      </w:r>
      <w:r w:rsidR="00063015">
        <w:rPr>
          <w:rFonts w:eastAsia="SimSun"/>
          <w:lang w:eastAsia="zh-CN"/>
        </w:rPr>
        <w:t>8.1.2.2 (c)</w:t>
      </w:r>
      <w:r w:rsidR="007B075E">
        <w:rPr>
          <w:rFonts w:eastAsia="SimSun"/>
          <w:lang w:eastAsia="zh-CN"/>
        </w:rPr>
        <w:t xml:space="preserve">, </w:t>
      </w:r>
      <w:r w:rsidR="00DD0019">
        <w:rPr>
          <w:rFonts w:eastAsia="SimSun"/>
          <w:lang w:eastAsia="zh-CN"/>
        </w:rPr>
        <w:t>8.6.2</w:t>
      </w:r>
      <w:r w:rsidR="005C1163">
        <w:rPr>
          <w:rFonts w:eastAsia="SimSun"/>
          <w:lang w:eastAsia="zh-CN"/>
        </w:rPr>
        <w:t xml:space="preserve">, </w:t>
      </w:r>
      <w:r w:rsidR="007B075E">
        <w:rPr>
          <w:rFonts w:eastAsia="SimSun"/>
          <w:lang w:eastAsia="zh-CN"/>
        </w:rPr>
        <w:t>8.6.3.1</w:t>
      </w:r>
      <w:r w:rsidR="00AC2264">
        <w:rPr>
          <w:rFonts w:eastAsia="SimSun"/>
          <w:lang w:eastAsia="zh-CN"/>
        </w:rPr>
        <w:t>,</w:t>
      </w:r>
      <w:r w:rsidR="005C1163">
        <w:rPr>
          <w:rFonts w:eastAsia="SimSun"/>
          <w:lang w:eastAsia="zh-CN"/>
        </w:rPr>
        <w:t xml:space="preserve"> 9.1.2.2</w:t>
      </w:r>
      <w:r w:rsidR="00AC2264">
        <w:rPr>
          <w:rFonts w:eastAsia="SimSun"/>
          <w:lang w:eastAsia="zh-CN"/>
        </w:rPr>
        <w:t>, 9.1.3.1 and 9.1.3.2</w:t>
      </w:r>
      <w:r w:rsidR="00DD0019">
        <w:rPr>
          <w:rFonts w:eastAsia="SimSun"/>
          <w:lang w:eastAsia="zh-CN"/>
        </w:rPr>
        <w:t xml:space="preserve"> </w:t>
      </w:r>
      <w:r w:rsidR="00B36940">
        <w:rPr>
          <w:rFonts w:eastAsia="SimSun"/>
          <w:lang w:eastAsia="zh-CN"/>
        </w:rPr>
        <w:t xml:space="preserve">were </w:t>
      </w:r>
      <w:r w:rsidR="00090016">
        <w:rPr>
          <w:rFonts w:eastAsia="SimSun"/>
          <w:lang w:eastAsia="zh-CN"/>
        </w:rPr>
        <w:t xml:space="preserve">sufficiently </w:t>
      </w:r>
      <w:r w:rsidR="007E4CAB" w:rsidRPr="007E4CAB">
        <w:rPr>
          <w:rFonts w:eastAsia="SimSun"/>
          <w:lang w:eastAsia="zh-CN"/>
        </w:rPr>
        <w:t>clear and understandable</w:t>
      </w:r>
      <w:r w:rsidR="007E4CAB">
        <w:rPr>
          <w:rFonts w:eastAsia="SimSun"/>
          <w:lang w:eastAsia="zh-CN"/>
        </w:rPr>
        <w:t xml:space="preserve"> and did not pose a problem of interpretation. </w:t>
      </w:r>
      <w:r w:rsidR="00115B77">
        <w:rPr>
          <w:rFonts w:eastAsia="SimSun"/>
          <w:lang w:eastAsia="zh-CN"/>
        </w:rPr>
        <w:t>In these paragraphs, “competent authority” is explicitly defined</w:t>
      </w:r>
      <w:r w:rsidR="0026292C">
        <w:rPr>
          <w:rFonts w:eastAsia="SimSun"/>
          <w:lang w:eastAsia="zh-CN"/>
        </w:rPr>
        <w:t xml:space="preserve"> </w:t>
      </w:r>
      <w:r w:rsidR="00555177">
        <w:rPr>
          <w:rFonts w:eastAsia="SimSun"/>
          <w:lang w:eastAsia="zh-CN"/>
        </w:rPr>
        <w:t>either in the paragraphs themselves of in paragraphs cross-referenced.</w:t>
      </w:r>
    </w:p>
    <w:p w14:paraId="67157CE5" w14:textId="113D3F51" w:rsidR="00063015" w:rsidRDefault="005477D0" w:rsidP="00543DA4">
      <w:pPr>
        <w:pStyle w:val="SingleTxtG"/>
        <w:rPr>
          <w:rFonts w:eastAsia="SimSun"/>
          <w:lang w:eastAsia="zh-CN"/>
        </w:rPr>
      </w:pPr>
      <w:r>
        <w:rPr>
          <w:rFonts w:eastAsia="SimSun"/>
          <w:lang w:eastAsia="zh-CN"/>
        </w:rPr>
        <w:t>4</w:t>
      </w:r>
      <w:r w:rsidR="00063015">
        <w:rPr>
          <w:rFonts w:eastAsia="SimSun"/>
          <w:lang w:eastAsia="zh-CN"/>
        </w:rPr>
        <w:t>.</w:t>
      </w:r>
      <w:r w:rsidR="00063015">
        <w:rPr>
          <w:rFonts w:eastAsia="SimSun"/>
          <w:lang w:eastAsia="zh-CN"/>
        </w:rPr>
        <w:tab/>
      </w:r>
      <w:r w:rsidR="00DD0019">
        <w:rPr>
          <w:rFonts w:eastAsia="SimSun"/>
          <w:lang w:eastAsia="zh-CN"/>
        </w:rPr>
        <w:t>T</w:t>
      </w:r>
      <w:r w:rsidR="00063015">
        <w:rPr>
          <w:rFonts w:eastAsia="SimSun"/>
          <w:lang w:eastAsia="zh-CN"/>
        </w:rPr>
        <w:t xml:space="preserve">he Working Party may wish to confirm that no amendment is needed to clarify the scope of the term “competent authority” in these paragraphs. </w:t>
      </w:r>
    </w:p>
    <w:p w14:paraId="2A20AFBA" w14:textId="62CF58E4" w:rsidR="007B075E" w:rsidRDefault="005477D0" w:rsidP="00543DA4">
      <w:pPr>
        <w:pStyle w:val="SingleTxtG"/>
        <w:rPr>
          <w:rFonts w:eastAsia="SimSun"/>
          <w:lang w:eastAsia="zh-CN"/>
        </w:rPr>
      </w:pPr>
      <w:r>
        <w:rPr>
          <w:rFonts w:eastAsia="SimSun"/>
          <w:lang w:eastAsia="zh-CN"/>
        </w:rPr>
        <w:t>5</w:t>
      </w:r>
      <w:r w:rsidR="007B075E">
        <w:rPr>
          <w:rFonts w:eastAsia="SimSun"/>
          <w:lang w:eastAsia="zh-CN"/>
        </w:rPr>
        <w:t>.</w:t>
      </w:r>
      <w:r w:rsidR="007B075E">
        <w:rPr>
          <w:rFonts w:eastAsia="SimSun"/>
          <w:lang w:eastAsia="zh-CN"/>
        </w:rPr>
        <w:tab/>
        <w:t xml:space="preserve">8.6.3.1 refers </w:t>
      </w:r>
      <w:r w:rsidR="00D975D6">
        <w:rPr>
          <w:rFonts w:eastAsia="SimSun"/>
          <w:lang w:eastAsia="zh-CN"/>
        </w:rPr>
        <w:t xml:space="preserve">to 1.7.4.2 which </w:t>
      </w:r>
      <w:r w:rsidR="00D975D6" w:rsidRPr="00D975D6">
        <w:rPr>
          <w:rFonts w:eastAsia="SimSun"/>
          <w:lang w:eastAsia="zh-CN"/>
        </w:rPr>
        <w:t xml:space="preserve">clearly defines how the special arrangement is issued. </w:t>
      </w:r>
      <w:r w:rsidR="00D975D6">
        <w:rPr>
          <w:rFonts w:eastAsia="SimSun"/>
          <w:lang w:eastAsia="zh-CN"/>
        </w:rPr>
        <w:t>Some delegations felt that th</w:t>
      </w:r>
      <w:r w:rsidR="00D975D6" w:rsidRPr="00D975D6">
        <w:rPr>
          <w:rFonts w:eastAsia="SimSun"/>
          <w:lang w:eastAsia="zh-CN"/>
        </w:rPr>
        <w:t xml:space="preserve">e reference to </w:t>
      </w:r>
      <w:r w:rsidR="00D975D6">
        <w:rPr>
          <w:rFonts w:eastAsia="SimSun"/>
          <w:lang w:eastAsia="zh-CN"/>
        </w:rPr>
        <w:t>“</w:t>
      </w:r>
      <w:r w:rsidR="00D975D6" w:rsidRPr="00D975D6">
        <w:rPr>
          <w:rFonts w:eastAsia="SimSun"/>
          <w:lang w:eastAsia="zh-CN"/>
        </w:rPr>
        <w:t>competent authority</w:t>
      </w:r>
      <w:r w:rsidR="00D975D6">
        <w:rPr>
          <w:rFonts w:eastAsia="SimSun"/>
          <w:lang w:eastAsia="zh-CN"/>
        </w:rPr>
        <w:t xml:space="preserve">” was superfluous </w:t>
      </w:r>
      <w:r w:rsidR="008623F6">
        <w:rPr>
          <w:rFonts w:eastAsia="SimSun"/>
          <w:lang w:eastAsia="zh-CN"/>
        </w:rPr>
        <w:t>in 8.6.3.1 and</w:t>
      </w:r>
      <w:r w:rsidR="00D975D6" w:rsidRPr="00D975D6">
        <w:rPr>
          <w:rFonts w:eastAsia="SimSun"/>
          <w:lang w:eastAsia="zh-CN"/>
        </w:rPr>
        <w:t xml:space="preserve"> could be deleted.</w:t>
      </w:r>
    </w:p>
    <w:p w14:paraId="3D14D79E" w14:textId="531AE10D" w:rsidR="008623F6" w:rsidRDefault="008623F6" w:rsidP="008623F6">
      <w:pPr>
        <w:pStyle w:val="H1G"/>
      </w:pPr>
      <w:r>
        <w:lastRenderedPageBreak/>
        <w:tab/>
      </w:r>
      <w:r>
        <w:tab/>
        <w:t>Proposal</w:t>
      </w:r>
      <w:r w:rsidR="00AC2EA2">
        <w:t xml:space="preserve"> 1</w:t>
      </w:r>
    </w:p>
    <w:p w14:paraId="63A08F34" w14:textId="0F8BFBD0" w:rsidR="008623F6" w:rsidRDefault="006E5D89" w:rsidP="008623F6">
      <w:pPr>
        <w:pStyle w:val="SingleTxtG"/>
      </w:pPr>
      <w:r>
        <w:t>6.</w:t>
      </w:r>
      <w:r>
        <w:tab/>
      </w:r>
      <w:r w:rsidR="008623F6">
        <w:t xml:space="preserve">In </w:t>
      </w:r>
      <w:r w:rsidR="008623F6">
        <w:t>8.6.3.1</w:t>
      </w:r>
      <w:r w:rsidR="008623F6">
        <w:t>, replace “</w:t>
      </w:r>
      <w:r w:rsidR="00AC2EA2" w:rsidRPr="00AC2EA2">
        <w:t>approved by the competent authority(</w:t>
      </w:r>
      <w:proofErr w:type="spellStart"/>
      <w:r w:rsidR="00AC2EA2" w:rsidRPr="00AC2EA2">
        <w:t>ies</w:t>
      </w:r>
      <w:proofErr w:type="spellEnd"/>
      <w:r w:rsidR="00AC2EA2" w:rsidRPr="00AC2EA2">
        <w:t xml:space="preserve">) </w:t>
      </w:r>
      <w:proofErr w:type="gramStart"/>
      <w:r w:rsidR="00AC2EA2" w:rsidRPr="00AC2EA2">
        <w:t>on the basis of</w:t>
      </w:r>
      <w:proofErr w:type="gramEnd"/>
      <w:r w:rsidR="00AC2EA2" w:rsidRPr="00AC2EA2">
        <w:t xml:space="preserve"> 1.7.4.2</w:t>
      </w:r>
      <w:r w:rsidR="008623F6">
        <w:t>” by “</w:t>
      </w:r>
      <w:r w:rsidR="00AC2EA2">
        <w:t>in accordance with 1.7.4.2.</w:t>
      </w:r>
      <w:r w:rsidR="008623F6">
        <w:t>”.</w:t>
      </w:r>
    </w:p>
    <w:p w14:paraId="1A216176" w14:textId="026F2259" w:rsidR="00AF7A2B" w:rsidRDefault="00AF7A2B" w:rsidP="00AF7A2B">
      <w:pPr>
        <w:pStyle w:val="HChG"/>
        <w:rPr>
          <w:rFonts w:eastAsia="SimSun"/>
          <w:lang w:eastAsia="zh-CN"/>
        </w:rPr>
      </w:pPr>
      <w:r>
        <w:rPr>
          <w:rFonts w:eastAsia="SimSun"/>
          <w:lang w:eastAsia="zh-CN"/>
        </w:rPr>
        <w:tab/>
      </w:r>
      <w:r>
        <w:rPr>
          <w:rFonts w:eastAsia="SimSun"/>
          <w:lang w:eastAsia="zh-CN"/>
        </w:rPr>
        <w:tab/>
        <w:t xml:space="preserve">Mark of compliance </w:t>
      </w:r>
      <w:r w:rsidRPr="00041B7F">
        <w:t>with a standard recognized by a competent authority</w:t>
      </w:r>
      <w:r>
        <w:t xml:space="preserve"> required in 8.1.4.4</w:t>
      </w:r>
    </w:p>
    <w:p w14:paraId="5C0CBACB" w14:textId="0484A461" w:rsidR="00555177" w:rsidRDefault="006E5D89" w:rsidP="00AF7A2B">
      <w:pPr>
        <w:pStyle w:val="SingleTxtG"/>
      </w:pPr>
      <w:r>
        <w:rPr>
          <w:rFonts w:eastAsia="SimSun"/>
          <w:lang w:eastAsia="zh-CN"/>
        </w:rPr>
        <w:t>7.</w:t>
      </w:r>
      <w:r>
        <w:rPr>
          <w:rFonts w:eastAsia="SimSun"/>
          <w:lang w:eastAsia="zh-CN"/>
        </w:rPr>
        <w:tab/>
      </w:r>
      <w:r w:rsidR="008C1C4D" w:rsidRPr="008C1C4D">
        <w:rPr>
          <w:rFonts w:eastAsia="SimSun"/>
          <w:lang w:eastAsia="zh-CN"/>
        </w:rPr>
        <w:t>Different views</w:t>
      </w:r>
      <w:r w:rsidR="006910DF">
        <w:rPr>
          <w:rFonts w:eastAsia="SimSun"/>
          <w:lang w:eastAsia="zh-CN"/>
        </w:rPr>
        <w:t xml:space="preserve"> were expressed as regards </w:t>
      </w:r>
      <w:r w:rsidR="00E225B3">
        <w:rPr>
          <w:rFonts w:eastAsia="SimSun"/>
          <w:lang w:eastAsia="zh-CN"/>
        </w:rPr>
        <w:t xml:space="preserve">the mark of compliance </w:t>
      </w:r>
      <w:r w:rsidR="00DE29DF" w:rsidRPr="00041B7F">
        <w:t>with a standard recognized by a competent authority</w:t>
      </w:r>
      <w:r w:rsidR="00DE29DF">
        <w:t xml:space="preserve"> required in 8.1.4.4. It appeared that </w:t>
      </w:r>
      <w:r w:rsidR="00BB1947">
        <w:t xml:space="preserve">different rules applied from one country to another </w:t>
      </w:r>
      <w:r w:rsidR="00AF7A2B">
        <w:t>regarding</w:t>
      </w:r>
      <w:r w:rsidR="00BB1947">
        <w:t xml:space="preserve"> </w:t>
      </w:r>
      <w:r w:rsidR="00EA0CB4">
        <w:t xml:space="preserve">the scope and </w:t>
      </w:r>
      <w:r w:rsidR="00AF7A2B">
        <w:t xml:space="preserve">nature of this mark. </w:t>
      </w:r>
      <w:r w:rsidR="006910DF">
        <w:t>Contracting parties are invited to provide comments and examples on how this the marking requirements of 8.1.4.4 are implemented in practice in their countries.</w:t>
      </w:r>
    </w:p>
    <w:p w14:paraId="0FA50B17" w14:textId="77777777" w:rsidR="007163A7" w:rsidRDefault="007163A7" w:rsidP="007163A7">
      <w:pPr>
        <w:pStyle w:val="HChG"/>
      </w:pPr>
      <w:r>
        <w:tab/>
      </w:r>
      <w:r>
        <w:tab/>
        <w:t>References to competent authority in Chapter 8.2</w:t>
      </w:r>
    </w:p>
    <w:p w14:paraId="49A7358A" w14:textId="08D4BC6C" w:rsidR="007163A7" w:rsidRDefault="006E5D89" w:rsidP="007163A7">
      <w:pPr>
        <w:pStyle w:val="SingleTxtG"/>
      </w:pPr>
      <w:r>
        <w:t>8.</w:t>
      </w:r>
      <w:r>
        <w:tab/>
      </w:r>
      <w:r w:rsidR="007163A7">
        <w:t xml:space="preserve">After discussion, the majority agreed that “competent authority” in Chapter 8.2 </w:t>
      </w:r>
      <w:r>
        <w:t>referred</w:t>
      </w:r>
      <w:r w:rsidR="007163A7">
        <w:t xml:space="preserve"> to </w:t>
      </w:r>
      <w:r w:rsidR="007163A7" w:rsidRPr="00AE1F0F">
        <w:t>the competent authority of the country where the training and examinations take place</w:t>
      </w:r>
      <w:r w:rsidR="007163A7">
        <w:t xml:space="preserve">. </w:t>
      </w:r>
      <w:r w:rsidR="00DD0019">
        <w:t xml:space="preserve">It was also agreed that the text did not need further clarification. </w:t>
      </w:r>
      <w:r w:rsidR="007163A7">
        <w:t>The Working Party may wish to confirm this interpretation.</w:t>
      </w:r>
    </w:p>
    <w:p w14:paraId="124038FB" w14:textId="015A1D93" w:rsidR="007163A7" w:rsidRDefault="007163A7" w:rsidP="007163A7">
      <w:pPr>
        <w:pStyle w:val="HChG"/>
      </w:pPr>
      <w:r>
        <w:tab/>
      </w:r>
      <w:r>
        <w:tab/>
        <w:t xml:space="preserve">References to competent authority in Chapter 8.5, </w:t>
      </w:r>
      <w:r w:rsidRPr="00B05804">
        <w:t>additional requirement S1</w:t>
      </w:r>
    </w:p>
    <w:p w14:paraId="44D6AEE1" w14:textId="3831C65E" w:rsidR="007163A7" w:rsidRDefault="006E5D89" w:rsidP="007163A7">
      <w:pPr>
        <w:pStyle w:val="SingleTxtG"/>
      </w:pPr>
      <w:r>
        <w:t>9.</w:t>
      </w:r>
      <w:r>
        <w:tab/>
      </w:r>
      <w:r w:rsidR="007163A7">
        <w:t xml:space="preserve">After discussion, the majority agreed that “competent authority” in </w:t>
      </w:r>
      <w:r w:rsidR="007163A7" w:rsidRPr="00B05804">
        <w:t>additional requirement S1</w:t>
      </w:r>
      <w:r w:rsidR="007163A7">
        <w:t xml:space="preserve"> </w:t>
      </w:r>
      <w:r>
        <w:t xml:space="preserve">referred </w:t>
      </w:r>
      <w:r w:rsidR="007163A7">
        <w:t xml:space="preserve">to </w:t>
      </w:r>
      <w:r w:rsidR="007163A7" w:rsidRPr="00AE1F0F">
        <w:t xml:space="preserve">the competent authority of the </w:t>
      </w:r>
      <w:r w:rsidR="007163A7">
        <w:t xml:space="preserve">countries where the carriage, loading or unloading takes place. </w:t>
      </w:r>
      <w:r w:rsidR="00DD0019">
        <w:t xml:space="preserve">It was also agreed that the text did not need further clarification. </w:t>
      </w:r>
      <w:r w:rsidR="007163A7">
        <w:t>The Working Party may wish to confirm this interpretation.</w:t>
      </w:r>
    </w:p>
    <w:p w14:paraId="0551ADD8" w14:textId="2D087868" w:rsidR="00CF0312" w:rsidRDefault="00CF0312" w:rsidP="00CF0312">
      <w:pPr>
        <w:pStyle w:val="HChG"/>
      </w:pPr>
      <w:r>
        <w:tab/>
      </w:r>
      <w:r>
        <w:tab/>
        <w:t xml:space="preserve">References to competent authority in Chapter 8.5, </w:t>
      </w:r>
      <w:r w:rsidRPr="00B05804">
        <w:t>S</w:t>
      </w:r>
      <w:r>
        <w:t>8 and S9</w:t>
      </w:r>
    </w:p>
    <w:p w14:paraId="2986E327" w14:textId="0E4A3C00" w:rsidR="00CF0312" w:rsidRDefault="006E5D89" w:rsidP="00CF0312">
      <w:pPr>
        <w:pStyle w:val="SingleTxtG"/>
      </w:pPr>
      <w:r>
        <w:t>10.</w:t>
      </w:r>
      <w:r>
        <w:tab/>
      </w:r>
      <w:r w:rsidR="00CF0312">
        <w:t xml:space="preserve">Some delegations suggested that </w:t>
      </w:r>
      <w:r w:rsidR="00CF0312">
        <w:t>“competent authority”</w:t>
      </w:r>
      <w:r w:rsidR="004B6008">
        <w:t xml:space="preserve"> in </w:t>
      </w:r>
      <w:r>
        <w:t>S8 and S9</w:t>
      </w:r>
      <w:r w:rsidR="004B6008">
        <w:t xml:space="preserve"> might refer to </w:t>
      </w:r>
      <w:r w:rsidR="00483995">
        <w:t xml:space="preserve">local authorities but not to </w:t>
      </w:r>
      <w:r w:rsidR="004023A7">
        <w:t xml:space="preserve">ADR competent authority in the sense of competent for the implementation of ADR requirements. </w:t>
      </w:r>
      <w:r w:rsidR="002C0162">
        <w:t xml:space="preserve">Should the Working Party </w:t>
      </w:r>
      <w:r w:rsidR="008F487E">
        <w:t>agree</w:t>
      </w:r>
      <w:r w:rsidR="002C0162">
        <w:t xml:space="preserve"> with this interpretation, it might be appropriate to amend the text for clarification.</w:t>
      </w:r>
    </w:p>
    <w:p w14:paraId="394A90A9" w14:textId="189AAFA5" w:rsidR="002C0162" w:rsidRDefault="002C0162" w:rsidP="002C0162">
      <w:pPr>
        <w:pStyle w:val="H1G"/>
      </w:pPr>
      <w:r>
        <w:tab/>
      </w:r>
      <w:r>
        <w:tab/>
        <w:t>Proposal</w:t>
      </w:r>
      <w:r w:rsidR="00AC2EA2">
        <w:t xml:space="preserve"> 2</w:t>
      </w:r>
    </w:p>
    <w:p w14:paraId="5E09155C" w14:textId="56CAAE4A" w:rsidR="002C0162" w:rsidRDefault="006E5D89" w:rsidP="002C0162">
      <w:pPr>
        <w:pStyle w:val="SingleTxtG"/>
      </w:pPr>
      <w:r>
        <w:t>11.</w:t>
      </w:r>
      <w:r>
        <w:tab/>
      </w:r>
      <w:r w:rsidR="002C0162">
        <w:t xml:space="preserve">In </w:t>
      </w:r>
      <w:r w:rsidR="00DB25AE">
        <w:t>S8 and S9 in Chapter 8.5, replace “</w:t>
      </w:r>
      <w:r w:rsidR="00461F66">
        <w:t>competent authorities” by “local authorities”.</w:t>
      </w:r>
    </w:p>
    <w:p w14:paraId="21BF39BC" w14:textId="684105D9" w:rsidR="000B4D0D" w:rsidRDefault="000B4D0D" w:rsidP="000B4D0D">
      <w:pPr>
        <w:pStyle w:val="HChG"/>
      </w:pPr>
      <w:r>
        <w:tab/>
      </w:r>
      <w:r>
        <w:tab/>
        <w:t xml:space="preserve">References to competent authority in Chapter 8.5, </w:t>
      </w:r>
      <w:r w:rsidRPr="00B05804">
        <w:t>S</w:t>
      </w:r>
      <w:r w:rsidR="008F487E">
        <w:t>16</w:t>
      </w:r>
      <w:r>
        <w:t xml:space="preserve"> and S</w:t>
      </w:r>
      <w:r w:rsidR="008F487E">
        <w:t>21</w:t>
      </w:r>
    </w:p>
    <w:p w14:paraId="40169CB7" w14:textId="35AE4C20" w:rsidR="000B4D0D" w:rsidRDefault="006E5D89" w:rsidP="000B4D0D">
      <w:pPr>
        <w:pStyle w:val="SingleTxtG"/>
      </w:pPr>
      <w:r>
        <w:t>12.</w:t>
      </w:r>
      <w:r>
        <w:tab/>
      </w:r>
      <w:r w:rsidR="008F487E">
        <w:t xml:space="preserve">The </w:t>
      </w:r>
      <w:r w:rsidR="001F7D10">
        <w:t>Working Party</w:t>
      </w:r>
      <w:r w:rsidR="008F487E">
        <w:t xml:space="preserve"> agreed</w:t>
      </w:r>
      <w:r w:rsidR="000B4D0D">
        <w:t xml:space="preserve"> that “competent authority” in </w:t>
      </w:r>
      <w:r w:rsidR="008F487E">
        <w:t xml:space="preserve">S16 and S21 </w:t>
      </w:r>
      <w:r>
        <w:t>referred</w:t>
      </w:r>
      <w:r w:rsidR="008F487E">
        <w:t xml:space="preserve"> to </w:t>
      </w:r>
      <w:r w:rsidR="003D48D9">
        <w:t>competent authorities of</w:t>
      </w:r>
      <w:r w:rsidR="003D48D9" w:rsidRPr="003D48D9">
        <w:t xml:space="preserve"> the countries where the carriage takes place</w:t>
      </w:r>
      <w:r w:rsidR="003D48D9">
        <w:t xml:space="preserve">. </w:t>
      </w:r>
      <w:r w:rsidR="007A2E85">
        <w:t xml:space="preserve">It was also agreed that the text did not need further clarification. </w:t>
      </w:r>
      <w:r w:rsidR="003D48D9" w:rsidRPr="003D48D9">
        <w:t xml:space="preserve"> </w:t>
      </w:r>
      <w:r w:rsidR="007A2E85">
        <w:t>The Working Party may wish to confirm this interpretation.</w:t>
      </w:r>
    </w:p>
    <w:p w14:paraId="7FFADF0D" w14:textId="6A16A701" w:rsidR="00E141D7" w:rsidRDefault="00E141D7" w:rsidP="00E141D7">
      <w:pPr>
        <w:pStyle w:val="HChG"/>
      </w:pPr>
      <w:r>
        <w:tab/>
      </w:r>
      <w:r>
        <w:tab/>
        <w:t xml:space="preserve">References to competent authority in </w:t>
      </w:r>
      <w:r>
        <w:t>9.1.2.1</w:t>
      </w:r>
    </w:p>
    <w:p w14:paraId="76A048D4" w14:textId="4F265A19" w:rsidR="009E0991" w:rsidRPr="009E0991" w:rsidRDefault="006E5D89" w:rsidP="009E0991">
      <w:pPr>
        <w:pStyle w:val="SingleTxtG"/>
      </w:pPr>
      <w:r>
        <w:rPr>
          <w:rFonts w:eastAsia="SimSun"/>
          <w:lang w:eastAsia="zh-CN"/>
        </w:rPr>
        <w:t>13.</w:t>
      </w:r>
      <w:r>
        <w:rPr>
          <w:rFonts w:eastAsia="SimSun"/>
          <w:lang w:eastAsia="zh-CN"/>
        </w:rPr>
        <w:tab/>
      </w:r>
      <w:r w:rsidR="003D0709" w:rsidRPr="003F7571">
        <w:rPr>
          <w:rFonts w:eastAsia="SimSun"/>
          <w:lang w:eastAsia="zh-CN"/>
        </w:rPr>
        <w:t>ECE/TRANS/WP.15/2019/23</w:t>
      </w:r>
      <w:r w:rsidR="003D0709">
        <w:rPr>
          <w:rFonts w:eastAsia="SimSun"/>
          <w:lang w:eastAsia="zh-CN"/>
        </w:rPr>
        <w:t xml:space="preserve"> contained a proposal to </w:t>
      </w:r>
      <w:r w:rsidR="00CA6750">
        <w:rPr>
          <w:rFonts w:eastAsia="SimSun"/>
          <w:lang w:eastAsia="zh-CN"/>
        </w:rPr>
        <w:t xml:space="preserve">replace the first </w:t>
      </w:r>
      <w:r w:rsidR="00F5655B">
        <w:rPr>
          <w:rFonts w:eastAsia="SimSun"/>
          <w:lang w:eastAsia="zh-CN"/>
        </w:rPr>
        <w:t>occurrence</w:t>
      </w:r>
      <w:r w:rsidR="00CA6750">
        <w:rPr>
          <w:rFonts w:eastAsia="SimSun"/>
          <w:lang w:eastAsia="zh-CN"/>
        </w:rPr>
        <w:t xml:space="preserve"> of “competent authority” by</w:t>
      </w:r>
      <w:r w:rsidR="003D0709">
        <w:rPr>
          <w:rFonts w:eastAsia="SimSun"/>
          <w:lang w:eastAsia="zh-CN"/>
        </w:rPr>
        <w:t xml:space="preserve"> either </w:t>
      </w:r>
      <w:r w:rsidR="00CA6750">
        <w:rPr>
          <w:rFonts w:eastAsia="SimSun"/>
          <w:lang w:eastAsia="zh-CN"/>
        </w:rPr>
        <w:t>“competent authority</w:t>
      </w:r>
      <w:r w:rsidR="00CA6750" w:rsidRPr="00CA6750">
        <w:rPr>
          <w:rFonts w:eastAsia="SimSun"/>
          <w:lang w:eastAsia="zh-CN"/>
        </w:rPr>
        <w:t xml:space="preserve"> </w:t>
      </w:r>
      <w:r w:rsidR="00CA6750">
        <w:rPr>
          <w:rFonts w:eastAsia="SimSun"/>
          <w:lang w:eastAsia="zh-CN"/>
        </w:rPr>
        <w:t>o</w:t>
      </w:r>
      <w:r w:rsidR="00CA6750" w:rsidRPr="00CA6750">
        <w:rPr>
          <w:rFonts w:eastAsia="SimSun"/>
          <w:lang w:eastAsia="zh-CN"/>
        </w:rPr>
        <w:t>f the country of approval</w:t>
      </w:r>
      <w:r w:rsidR="00CA6750">
        <w:rPr>
          <w:rFonts w:eastAsia="SimSun"/>
          <w:lang w:eastAsia="zh-CN"/>
        </w:rPr>
        <w:t>” or “</w:t>
      </w:r>
      <w:r w:rsidR="00CA6750">
        <w:rPr>
          <w:rFonts w:eastAsia="SimSun"/>
          <w:lang w:eastAsia="zh-CN"/>
        </w:rPr>
        <w:t>competent authority</w:t>
      </w:r>
      <w:r w:rsidR="00CA6750" w:rsidRPr="00CA6750">
        <w:rPr>
          <w:rFonts w:eastAsia="SimSun"/>
          <w:lang w:eastAsia="zh-CN"/>
        </w:rPr>
        <w:t xml:space="preserve"> </w:t>
      </w:r>
      <w:r w:rsidR="00B775C6">
        <w:rPr>
          <w:rFonts w:eastAsia="SimSun"/>
          <w:lang w:eastAsia="zh-CN"/>
        </w:rPr>
        <w:t>o</w:t>
      </w:r>
      <w:r w:rsidR="00CA6750" w:rsidRPr="00CA6750">
        <w:rPr>
          <w:rFonts w:eastAsia="SimSun"/>
          <w:lang w:eastAsia="zh-CN"/>
        </w:rPr>
        <w:t>f the country of registration</w:t>
      </w:r>
      <w:r w:rsidR="00B775C6">
        <w:rPr>
          <w:rFonts w:eastAsia="SimSun"/>
          <w:lang w:eastAsia="zh-CN"/>
        </w:rPr>
        <w:t xml:space="preserve">”. There was no consensus on this. Some </w:t>
      </w:r>
      <w:r w:rsidR="00B775C6">
        <w:rPr>
          <w:rFonts w:eastAsia="SimSun"/>
          <w:lang w:eastAsia="zh-CN"/>
        </w:rPr>
        <w:lastRenderedPageBreak/>
        <w:t xml:space="preserve">delegations </w:t>
      </w:r>
      <w:r w:rsidR="00331466">
        <w:rPr>
          <w:rFonts w:eastAsia="SimSun"/>
          <w:lang w:eastAsia="zh-CN"/>
        </w:rPr>
        <w:t xml:space="preserve">thought that the addition of “country of registration” could clarify the text. Others </w:t>
      </w:r>
      <w:r w:rsidR="00AA09D9">
        <w:rPr>
          <w:rFonts w:eastAsia="SimSun"/>
          <w:lang w:eastAsia="zh-CN"/>
        </w:rPr>
        <w:t>noted</w:t>
      </w:r>
      <w:r w:rsidR="00331466">
        <w:rPr>
          <w:rFonts w:eastAsia="SimSun"/>
          <w:lang w:eastAsia="zh-CN"/>
        </w:rPr>
        <w:t xml:space="preserve"> that</w:t>
      </w:r>
      <w:r w:rsidR="00F5655B">
        <w:rPr>
          <w:rFonts w:eastAsia="SimSun"/>
          <w:lang w:eastAsia="zh-CN"/>
        </w:rPr>
        <w:t>,</w:t>
      </w:r>
      <w:r w:rsidR="00331466">
        <w:rPr>
          <w:rFonts w:eastAsia="SimSun"/>
          <w:lang w:eastAsia="zh-CN"/>
        </w:rPr>
        <w:t xml:space="preserve"> in some countries</w:t>
      </w:r>
      <w:r w:rsidR="00F5655B">
        <w:rPr>
          <w:rFonts w:eastAsia="SimSun"/>
          <w:lang w:eastAsia="zh-CN"/>
        </w:rPr>
        <w:t>,</w:t>
      </w:r>
      <w:r w:rsidR="00331466">
        <w:rPr>
          <w:rFonts w:eastAsia="SimSun"/>
          <w:lang w:eastAsia="zh-CN"/>
        </w:rPr>
        <w:t xml:space="preserve"> </w:t>
      </w:r>
      <w:r w:rsidR="00F5655B">
        <w:rPr>
          <w:rFonts w:eastAsia="SimSun"/>
          <w:lang w:eastAsia="zh-CN"/>
        </w:rPr>
        <w:t>registration was not required for some trailers. The Working Party may wish to continue this discussion.</w:t>
      </w:r>
    </w:p>
    <w:p w14:paraId="20AE4474" w14:textId="7C81BE2D" w:rsidR="005923C2" w:rsidRDefault="005923C2" w:rsidP="005923C2">
      <w:pPr>
        <w:pStyle w:val="HChG"/>
      </w:pPr>
      <w:r>
        <w:tab/>
      </w:r>
      <w:r>
        <w:tab/>
        <w:t>References to competent authority in 9.1.2.</w:t>
      </w:r>
      <w:r>
        <w:t>2</w:t>
      </w:r>
    </w:p>
    <w:p w14:paraId="3C9A3675" w14:textId="3EAE2A82" w:rsidR="005923C2" w:rsidRDefault="00AA09D9" w:rsidP="005923C2">
      <w:pPr>
        <w:pStyle w:val="SingleTxtG"/>
      </w:pPr>
      <w:r>
        <w:t>14.</w:t>
      </w:r>
      <w:r>
        <w:tab/>
      </w:r>
      <w:r w:rsidR="005923C2">
        <w:t xml:space="preserve">After discussion, it was agreed that this </w:t>
      </w:r>
      <w:r w:rsidR="005477D0">
        <w:t>paragraph referred to the c</w:t>
      </w:r>
      <w:r w:rsidR="005923C2">
        <w:t xml:space="preserve">ompetent authority in accordance with UN Regulation No. 105. </w:t>
      </w:r>
      <w:r w:rsidR="005477D0">
        <w:t>It was also agreed that the text did not need further clarification. The Working Party may wish to confirm this interpretation.</w:t>
      </w:r>
    </w:p>
    <w:p w14:paraId="30012B69" w14:textId="37EB1717" w:rsidR="007E1E26" w:rsidRDefault="007E1E26">
      <w:pPr>
        <w:suppressAutoHyphens w:val="0"/>
        <w:spacing w:line="240" w:lineRule="auto"/>
      </w:pPr>
      <w:r>
        <w:br w:type="page"/>
      </w:r>
    </w:p>
    <w:p w14:paraId="7DFA1B16" w14:textId="77777777" w:rsidR="00BC3362" w:rsidRDefault="00BC3362" w:rsidP="00C411EB">
      <w:pPr>
        <w:sectPr w:rsidR="00BC3362" w:rsidSect="00E5477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pPr>
    </w:p>
    <w:p w14:paraId="50E18CD2" w14:textId="372078DD" w:rsidR="00BC3362" w:rsidRDefault="00BC3362">
      <w:pPr>
        <w:suppressAutoHyphens w:val="0"/>
        <w:spacing w:line="240" w:lineRule="auto"/>
      </w:pPr>
    </w:p>
    <w:p w14:paraId="44055647" w14:textId="77777777" w:rsidR="00FC0BFB" w:rsidRPr="00FC0BFB" w:rsidRDefault="00FC0BFB" w:rsidP="00FC0BFB">
      <w:pPr>
        <w:keepNext/>
        <w:keepLines/>
        <w:tabs>
          <w:tab w:val="right" w:pos="851"/>
        </w:tabs>
        <w:spacing w:before="360" w:after="240" w:line="300" w:lineRule="exact"/>
        <w:ind w:left="1134" w:right="1134" w:hanging="1134"/>
        <w:rPr>
          <w:b/>
          <w:sz w:val="28"/>
          <w:lang w:eastAsia="en-US"/>
        </w:rPr>
      </w:pPr>
      <w:r w:rsidRPr="00FC0BFB">
        <w:rPr>
          <w:b/>
          <w:sz w:val="28"/>
          <w:lang w:eastAsia="en-US"/>
        </w:rPr>
        <w:t>Annex</w:t>
      </w:r>
    </w:p>
    <w:p w14:paraId="1BCBB651" w14:textId="3E294E5A" w:rsidR="00FC0BFB" w:rsidRDefault="00FC0BFB" w:rsidP="00FC0BFB">
      <w:pPr>
        <w:keepNext/>
        <w:keepLines/>
        <w:tabs>
          <w:tab w:val="right" w:pos="851"/>
        </w:tabs>
        <w:spacing w:before="360" w:after="240" w:line="270" w:lineRule="exact"/>
        <w:ind w:left="1134" w:right="1134" w:hanging="1134"/>
        <w:rPr>
          <w:b/>
          <w:sz w:val="24"/>
          <w:lang w:eastAsia="en-US"/>
        </w:rPr>
      </w:pPr>
      <w:r w:rsidRPr="00FC0BFB">
        <w:rPr>
          <w:b/>
          <w:sz w:val="24"/>
          <w:lang w:eastAsia="en-US"/>
        </w:rPr>
        <w:t>Part 8</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624"/>
        <w:gridCol w:w="4592"/>
      </w:tblGrid>
      <w:tr w:rsidR="005E5574" w:rsidRPr="005E5574" w14:paraId="15B9C887" w14:textId="77777777" w:rsidTr="005E5574">
        <w:tc>
          <w:tcPr>
            <w:tcW w:w="1560" w:type="dxa"/>
            <w:tcBorders>
              <w:top w:val="single" w:sz="4" w:space="0" w:color="auto"/>
              <w:bottom w:val="single" w:sz="12" w:space="0" w:color="auto"/>
            </w:tcBorders>
            <w:shd w:val="clear" w:color="auto" w:fill="auto"/>
            <w:vAlign w:val="bottom"/>
          </w:tcPr>
          <w:p w14:paraId="6C0BA3B9" w14:textId="2429E183" w:rsidR="005E5574" w:rsidRPr="005E5574" w:rsidRDefault="005E5574" w:rsidP="005E5574">
            <w:pPr>
              <w:spacing w:before="80" w:after="80" w:line="200" w:lineRule="exact"/>
              <w:ind w:right="113"/>
              <w:rPr>
                <w:i/>
                <w:sz w:val="16"/>
              </w:rPr>
            </w:pPr>
            <w:r w:rsidRPr="005E5574">
              <w:rPr>
                <w:i/>
                <w:sz w:val="16"/>
              </w:rPr>
              <w:t>Paragraph</w:t>
            </w:r>
          </w:p>
        </w:tc>
        <w:tc>
          <w:tcPr>
            <w:tcW w:w="7624" w:type="dxa"/>
            <w:tcBorders>
              <w:top w:val="single" w:sz="4" w:space="0" w:color="auto"/>
              <w:bottom w:val="single" w:sz="12" w:space="0" w:color="auto"/>
            </w:tcBorders>
            <w:shd w:val="clear" w:color="auto" w:fill="auto"/>
            <w:vAlign w:val="bottom"/>
          </w:tcPr>
          <w:p w14:paraId="1594D091" w14:textId="3C836615" w:rsidR="005E5574" w:rsidRPr="005E5574" w:rsidRDefault="005E5574" w:rsidP="005E5574">
            <w:pPr>
              <w:spacing w:before="80" w:after="80" w:line="200" w:lineRule="exact"/>
              <w:ind w:right="113"/>
              <w:rPr>
                <w:i/>
                <w:sz w:val="16"/>
              </w:rPr>
            </w:pPr>
            <w:r w:rsidRPr="005E5574">
              <w:rPr>
                <w:i/>
                <w:sz w:val="16"/>
              </w:rPr>
              <w:t>Text</w:t>
            </w:r>
            <w:r>
              <w:rPr>
                <w:i/>
                <w:sz w:val="16"/>
              </w:rPr>
              <w:t xml:space="preserve"> (ADR 2021)</w:t>
            </w:r>
          </w:p>
        </w:tc>
        <w:tc>
          <w:tcPr>
            <w:tcW w:w="4592" w:type="dxa"/>
            <w:tcBorders>
              <w:top w:val="single" w:sz="4" w:space="0" w:color="auto"/>
              <w:bottom w:val="single" w:sz="12" w:space="0" w:color="auto"/>
            </w:tcBorders>
            <w:shd w:val="clear" w:color="auto" w:fill="auto"/>
            <w:vAlign w:val="bottom"/>
          </w:tcPr>
          <w:p w14:paraId="091214EF" w14:textId="203B079F" w:rsidR="005E5574" w:rsidRPr="005E5574" w:rsidRDefault="005E5574" w:rsidP="005E5574">
            <w:pPr>
              <w:spacing w:before="80" w:after="80" w:line="200" w:lineRule="exact"/>
              <w:ind w:right="113"/>
              <w:rPr>
                <w:i/>
                <w:sz w:val="16"/>
              </w:rPr>
            </w:pPr>
            <w:r>
              <w:rPr>
                <w:i/>
                <w:sz w:val="16"/>
              </w:rPr>
              <w:t>Comments</w:t>
            </w:r>
          </w:p>
        </w:tc>
      </w:tr>
      <w:tr w:rsidR="005E5574" w:rsidRPr="005E5574" w14:paraId="2871A589" w14:textId="77777777" w:rsidTr="005E5574">
        <w:trPr>
          <w:trHeight w:hRule="exact" w:val="113"/>
        </w:trPr>
        <w:tc>
          <w:tcPr>
            <w:tcW w:w="1560" w:type="dxa"/>
            <w:tcBorders>
              <w:top w:val="single" w:sz="12" w:space="0" w:color="auto"/>
            </w:tcBorders>
            <w:shd w:val="clear" w:color="auto" w:fill="auto"/>
            <w:vAlign w:val="bottom"/>
          </w:tcPr>
          <w:p w14:paraId="00AECA5B" w14:textId="77777777" w:rsidR="005E5574" w:rsidRPr="005E5574" w:rsidRDefault="005E5574" w:rsidP="005E5574">
            <w:pPr>
              <w:spacing w:before="80" w:after="80" w:line="200" w:lineRule="exact"/>
              <w:ind w:right="113"/>
              <w:rPr>
                <w:i/>
                <w:sz w:val="16"/>
              </w:rPr>
            </w:pPr>
          </w:p>
        </w:tc>
        <w:tc>
          <w:tcPr>
            <w:tcW w:w="7624" w:type="dxa"/>
            <w:tcBorders>
              <w:top w:val="single" w:sz="12" w:space="0" w:color="auto"/>
            </w:tcBorders>
            <w:shd w:val="clear" w:color="auto" w:fill="auto"/>
            <w:vAlign w:val="bottom"/>
          </w:tcPr>
          <w:p w14:paraId="4C95C054" w14:textId="77777777" w:rsidR="005E5574" w:rsidRPr="005E5574" w:rsidRDefault="005E5574" w:rsidP="005E5574">
            <w:pPr>
              <w:spacing w:before="80" w:after="80" w:line="200" w:lineRule="exact"/>
              <w:ind w:right="113"/>
              <w:rPr>
                <w:i/>
                <w:sz w:val="16"/>
              </w:rPr>
            </w:pPr>
          </w:p>
        </w:tc>
        <w:tc>
          <w:tcPr>
            <w:tcW w:w="4592" w:type="dxa"/>
            <w:tcBorders>
              <w:top w:val="single" w:sz="12" w:space="0" w:color="auto"/>
            </w:tcBorders>
            <w:shd w:val="clear" w:color="auto" w:fill="auto"/>
            <w:vAlign w:val="bottom"/>
          </w:tcPr>
          <w:p w14:paraId="280023FF" w14:textId="77777777" w:rsidR="005E5574" w:rsidRPr="005E5574" w:rsidRDefault="005E5574" w:rsidP="005E5574">
            <w:pPr>
              <w:spacing w:before="80" w:after="80" w:line="200" w:lineRule="exact"/>
              <w:ind w:right="113"/>
              <w:rPr>
                <w:i/>
                <w:sz w:val="16"/>
              </w:rPr>
            </w:pPr>
          </w:p>
        </w:tc>
      </w:tr>
      <w:tr w:rsidR="005E5574" w:rsidRPr="005E5574" w14:paraId="189A56AC" w14:textId="77777777" w:rsidTr="005E5574">
        <w:tc>
          <w:tcPr>
            <w:tcW w:w="1560" w:type="dxa"/>
            <w:shd w:val="clear" w:color="auto" w:fill="auto"/>
          </w:tcPr>
          <w:p w14:paraId="134EA342" w14:textId="3CA4C0C3" w:rsidR="005E5574" w:rsidRPr="005E5574" w:rsidRDefault="005E5574" w:rsidP="005E5574">
            <w:pPr>
              <w:spacing w:before="40" w:after="120"/>
              <w:ind w:right="113"/>
            </w:pPr>
            <w:r>
              <w:t>8.1.2.2</w:t>
            </w:r>
          </w:p>
        </w:tc>
        <w:tc>
          <w:tcPr>
            <w:tcW w:w="7624" w:type="dxa"/>
            <w:shd w:val="clear" w:color="auto" w:fill="auto"/>
          </w:tcPr>
          <w:p w14:paraId="2329DC2C" w14:textId="77777777" w:rsidR="005E5574" w:rsidRDefault="005E5574" w:rsidP="005E5574">
            <w:pPr>
              <w:spacing w:before="40" w:after="120"/>
              <w:ind w:right="113"/>
            </w:pPr>
            <w:r>
              <w:t>Where the provisions of ADR require the following documents to be drawn up, they shall likewise be carried on the transport unit:</w:t>
            </w:r>
          </w:p>
          <w:p w14:paraId="17F04746" w14:textId="77777777" w:rsidR="005E5574" w:rsidRDefault="005E5574" w:rsidP="005E5574">
            <w:pPr>
              <w:spacing w:before="40" w:after="120"/>
              <w:ind w:right="113"/>
            </w:pPr>
            <w:r>
              <w:t>[…]</w:t>
            </w:r>
          </w:p>
          <w:p w14:paraId="4AD9E801" w14:textId="77EB0040" w:rsidR="005E5574" w:rsidRPr="005E5574" w:rsidRDefault="005E5574" w:rsidP="005E5574">
            <w:pPr>
              <w:spacing w:before="40" w:after="120"/>
              <w:ind w:right="113"/>
            </w:pPr>
            <w:r>
              <w:t>(c)</w:t>
            </w:r>
            <w:r>
              <w:tab/>
              <w:t xml:space="preserve">A copy of the </w:t>
            </w:r>
            <w:r w:rsidRPr="005E5574">
              <w:rPr>
                <w:b/>
                <w:bCs/>
              </w:rPr>
              <w:t>competent authority</w:t>
            </w:r>
            <w:r>
              <w:t xml:space="preserve"> approval, when required in 5.4.1.2.1 (c) or (d) or 5.4.1.2.3.3.</w:t>
            </w:r>
          </w:p>
        </w:tc>
        <w:tc>
          <w:tcPr>
            <w:tcW w:w="4592" w:type="dxa"/>
            <w:shd w:val="clear" w:color="auto" w:fill="auto"/>
          </w:tcPr>
          <w:p w14:paraId="44703F0C" w14:textId="39DA023D" w:rsidR="005E5574" w:rsidRDefault="005E5574" w:rsidP="005E5574">
            <w:pPr>
              <w:spacing w:before="40" w:after="120"/>
              <w:ind w:right="113"/>
            </w:pPr>
            <w:r>
              <w:t>5.4.1.2.1 (c) refers to the competent authority defined in P101.</w:t>
            </w:r>
          </w:p>
          <w:p w14:paraId="24A63DB7" w14:textId="212F97A9" w:rsidR="005E5574" w:rsidRPr="005E5574" w:rsidRDefault="005E5574" w:rsidP="005E5574">
            <w:pPr>
              <w:spacing w:before="40" w:after="120"/>
              <w:ind w:right="113"/>
            </w:pPr>
            <w:r>
              <w:t>No amendment needed.</w:t>
            </w:r>
          </w:p>
        </w:tc>
      </w:tr>
      <w:tr w:rsidR="005E5574" w:rsidRPr="005E5574" w14:paraId="17BE663F" w14:textId="77777777" w:rsidTr="005E5574">
        <w:tc>
          <w:tcPr>
            <w:tcW w:w="1560" w:type="dxa"/>
            <w:shd w:val="clear" w:color="auto" w:fill="auto"/>
          </w:tcPr>
          <w:p w14:paraId="73FBB902" w14:textId="0909F08C" w:rsidR="005E5574" w:rsidRPr="005E5574" w:rsidRDefault="005E5574" w:rsidP="005E5574">
            <w:pPr>
              <w:spacing w:before="40" w:after="120"/>
              <w:ind w:right="113"/>
            </w:pPr>
            <w:r>
              <w:t>8.1.4.4</w:t>
            </w:r>
          </w:p>
        </w:tc>
        <w:tc>
          <w:tcPr>
            <w:tcW w:w="7624" w:type="dxa"/>
            <w:shd w:val="clear" w:color="auto" w:fill="auto"/>
          </w:tcPr>
          <w:p w14:paraId="1AF5683B" w14:textId="1B2E3520" w:rsidR="005E5574" w:rsidRPr="005E5574" w:rsidRDefault="005E5574" w:rsidP="005E5574">
            <w:pPr>
              <w:spacing w:before="40" w:after="120"/>
              <w:ind w:right="113"/>
            </w:pPr>
            <w:r w:rsidRPr="005E5574">
              <w:t xml:space="preserve">The fire extinguishers shall be subjected to inspections in accordance with authorized national standards in order to guarantee their functional safety. They shall bear a mark of compliance with a standard recognized by a </w:t>
            </w:r>
            <w:r w:rsidRPr="005E5574">
              <w:rPr>
                <w:b/>
                <w:bCs/>
              </w:rPr>
              <w:t>competent authority</w:t>
            </w:r>
            <w:r w:rsidRPr="005E5574">
              <w:t xml:space="preserve"> and a mark indicating the date (month, year) of the next inspection or of the maximum permissible period of use, as applicable.</w:t>
            </w:r>
          </w:p>
        </w:tc>
        <w:tc>
          <w:tcPr>
            <w:tcW w:w="4592" w:type="dxa"/>
            <w:shd w:val="clear" w:color="auto" w:fill="auto"/>
          </w:tcPr>
          <w:p w14:paraId="53AC657E" w14:textId="6CE1275D" w:rsidR="005E5574" w:rsidRPr="005E5574" w:rsidRDefault="005E5574" w:rsidP="005E5574">
            <w:pPr>
              <w:spacing w:before="40" w:after="120"/>
              <w:ind w:right="113"/>
            </w:pPr>
            <w:r>
              <w:t xml:space="preserve">Contracting parties are invited to provide comments </w:t>
            </w:r>
            <w:r w:rsidR="006910DF">
              <w:t xml:space="preserve">and examples </w:t>
            </w:r>
            <w:r>
              <w:t xml:space="preserve">on </w:t>
            </w:r>
            <w:r w:rsidR="00322868">
              <w:t xml:space="preserve">how this </w:t>
            </w:r>
            <w:r w:rsidR="006910DF">
              <w:t>the marking requirements of 8.1.4.4 are</w:t>
            </w:r>
            <w:r w:rsidR="00322868">
              <w:t xml:space="preserve"> implemented in practice</w:t>
            </w:r>
            <w:r w:rsidR="008C1C4D">
              <w:t xml:space="preserve"> in their countries.</w:t>
            </w:r>
          </w:p>
        </w:tc>
      </w:tr>
      <w:tr w:rsidR="005E5574" w:rsidRPr="005E5574" w14:paraId="0736A383" w14:textId="77777777" w:rsidTr="005E5574">
        <w:tc>
          <w:tcPr>
            <w:tcW w:w="1560" w:type="dxa"/>
            <w:shd w:val="clear" w:color="auto" w:fill="auto"/>
          </w:tcPr>
          <w:p w14:paraId="7E653FB2" w14:textId="68C5D9B8" w:rsidR="005E5574" w:rsidRPr="005E5574" w:rsidRDefault="00AA2489" w:rsidP="005E5574">
            <w:pPr>
              <w:spacing w:before="40" w:after="120"/>
              <w:ind w:right="113"/>
            </w:pPr>
            <w:r>
              <w:t>8.2.1.1</w:t>
            </w:r>
            <w:r w:rsidR="00AE1F0F">
              <w:t xml:space="preserve"> and references in subsequent paragraphs in Chapter 8.2</w:t>
            </w:r>
          </w:p>
        </w:tc>
        <w:tc>
          <w:tcPr>
            <w:tcW w:w="7624" w:type="dxa"/>
            <w:shd w:val="clear" w:color="auto" w:fill="auto"/>
          </w:tcPr>
          <w:p w14:paraId="0D499471" w14:textId="6D7DB6F3" w:rsidR="005E5574" w:rsidRPr="005E5574" w:rsidRDefault="00AA2489" w:rsidP="005E5574">
            <w:pPr>
              <w:spacing w:before="40" w:after="120"/>
              <w:ind w:right="113"/>
            </w:pPr>
            <w:r w:rsidRPr="00AA2489">
              <w:t xml:space="preserve">Drivers of vehicles carrying dangerous goods shall hold a certificate issued by the </w:t>
            </w:r>
            <w:r w:rsidRPr="00AA2489">
              <w:rPr>
                <w:b/>
                <w:bCs/>
              </w:rPr>
              <w:t>competent authority</w:t>
            </w:r>
            <w:r w:rsidRPr="00AA2489">
              <w:t xml:space="preserve"> stating that they have participated in a training course and passed an examination on the </w:t>
            </w:r>
            <w:proofErr w:type="gramStart"/>
            <w:r w:rsidRPr="00AA2489">
              <w:t>particular requirements</w:t>
            </w:r>
            <w:proofErr w:type="gramEnd"/>
            <w:r w:rsidRPr="00AA2489">
              <w:t xml:space="preserve"> that have to be met during carriage of dangerous goods.</w:t>
            </w:r>
          </w:p>
        </w:tc>
        <w:tc>
          <w:tcPr>
            <w:tcW w:w="4592" w:type="dxa"/>
            <w:shd w:val="clear" w:color="auto" w:fill="auto"/>
          </w:tcPr>
          <w:p w14:paraId="5AD0616E" w14:textId="131728D3" w:rsidR="005E5574" w:rsidRPr="005E5574" w:rsidRDefault="00AE1F0F" w:rsidP="005E5574">
            <w:pPr>
              <w:spacing w:before="40" w:after="120"/>
              <w:ind w:right="113"/>
            </w:pPr>
            <w:r>
              <w:t xml:space="preserve">Refers to </w:t>
            </w:r>
            <w:r w:rsidRPr="00AE1F0F">
              <w:t>the competent authority of the country where the training and examinations take place</w:t>
            </w:r>
            <w:r>
              <w:t>.</w:t>
            </w:r>
          </w:p>
        </w:tc>
      </w:tr>
      <w:tr w:rsidR="005E5574" w:rsidRPr="005E5574" w14:paraId="372E3E59" w14:textId="77777777" w:rsidTr="005E5574">
        <w:tc>
          <w:tcPr>
            <w:tcW w:w="1560" w:type="dxa"/>
            <w:shd w:val="clear" w:color="auto" w:fill="auto"/>
          </w:tcPr>
          <w:p w14:paraId="562B974E" w14:textId="003420E2" w:rsidR="005E5574" w:rsidRPr="005E5574" w:rsidRDefault="00B05804" w:rsidP="005E5574">
            <w:pPr>
              <w:spacing w:before="40" w:after="120"/>
              <w:ind w:right="113"/>
            </w:pPr>
            <w:r>
              <w:t xml:space="preserve">Chapter 8.5, </w:t>
            </w:r>
            <w:r w:rsidRPr="00B05804">
              <w:t>additional requirement S1</w:t>
            </w:r>
          </w:p>
        </w:tc>
        <w:tc>
          <w:tcPr>
            <w:tcW w:w="7624" w:type="dxa"/>
            <w:shd w:val="clear" w:color="auto" w:fill="auto"/>
          </w:tcPr>
          <w:p w14:paraId="50BDA4BF" w14:textId="44586855" w:rsidR="004020EF" w:rsidRDefault="004020EF" w:rsidP="004020EF">
            <w:pPr>
              <w:spacing w:before="40" w:after="120"/>
              <w:ind w:right="113"/>
            </w:pPr>
            <w:r>
              <w:t>…</w:t>
            </w:r>
          </w:p>
          <w:p w14:paraId="7E038438" w14:textId="4A62F0D3" w:rsidR="004020EF" w:rsidRDefault="004020EF" w:rsidP="004020EF">
            <w:pPr>
              <w:spacing w:before="40" w:after="120"/>
              <w:ind w:right="113"/>
            </w:pPr>
            <w:r>
              <w:t>(2)</w:t>
            </w:r>
            <w:r>
              <w:tab/>
              <w:t xml:space="preserve">Approved official </w:t>
            </w:r>
          </w:p>
          <w:p w14:paraId="446E1B96" w14:textId="77777777" w:rsidR="005E5574" w:rsidRDefault="004020EF" w:rsidP="004020EF">
            <w:pPr>
              <w:spacing w:before="40" w:after="120"/>
              <w:ind w:right="113"/>
            </w:pPr>
            <w:r>
              <w:tab/>
              <w:t xml:space="preserve">If the national regulations so provide, the </w:t>
            </w:r>
            <w:r w:rsidRPr="009B5348">
              <w:rPr>
                <w:b/>
                <w:bCs/>
              </w:rPr>
              <w:t>competent authority</w:t>
            </w:r>
            <w:r>
              <w:t xml:space="preserve"> of a country contracting party to ADR may require an approved official to be carried in the vehicle at the carrier's expense.</w:t>
            </w:r>
          </w:p>
          <w:p w14:paraId="5FD6ECC2" w14:textId="77777777" w:rsidR="004020EF" w:rsidRDefault="004020EF" w:rsidP="004020EF">
            <w:pPr>
              <w:spacing w:before="40" w:after="120"/>
              <w:ind w:right="113"/>
            </w:pPr>
            <w:r>
              <w:t>…</w:t>
            </w:r>
          </w:p>
          <w:p w14:paraId="720700F4" w14:textId="77777777" w:rsidR="002D0617" w:rsidRDefault="002D0617" w:rsidP="002D0617">
            <w:pPr>
              <w:spacing w:before="40" w:after="120"/>
              <w:ind w:right="113"/>
            </w:pPr>
            <w:r>
              <w:t>(4)</w:t>
            </w:r>
            <w:r>
              <w:tab/>
              <w:t>Places of loading and unloading</w:t>
            </w:r>
          </w:p>
          <w:p w14:paraId="11BC88AE" w14:textId="4F046820" w:rsidR="002D0617" w:rsidRDefault="002D0617" w:rsidP="002D0617">
            <w:pPr>
              <w:spacing w:before="40" w:after="120"/>
              <w:ind w:right="113"/>
            </w:pPr>
            <w:r>
              <w:lastRenderedPageBreak/>
              <w:tab/>
              <w:t xml:space="preserve">(a) </w:t>
            </w:r>
            <w:r>
              <w:tab/>
              <w:t xml:space="preserve">Loading or unloading of substances and articles of Class 1 shall not take place in a public place in a built-up area without special permission from the </w:t>
            </w:r>
            <w:r w:rsidRPr="009B5348">
              <w:rPr>
                <w:b/>
                <w:bCs/>
              </w:rPr>
              <w:t>competent authorities</w:t>
            </w:r>
            <w:r>
              <w:t>;</w:t>
            </w:r>
          </w:p>
          <w:p w14:paraId="47D3DEE9" w14:textId="77777777" w:rsidR="004020EF" w:rsidRDefault="002D0617" w:rsidP="002D0617">
            <w:pPr>
              <w:spacing w:before="40" w:after="120"/>
              <w:ind w:right="113"/>
            </w:pPr>
            <w:r>
              <w:tab/>
              <w:t>(b)</w:t>
            </w:r>
            <w:r>
              <w:tab/>
              <w:t xml:space="preserve">Loading or unloading of substances and articles of Class 1 in a public space elsewhere than in a built-up area without prior notice thereof having been given to the </w:t>
            </w:r>
            <w:r w:rsidRPr="009B5348">
              <w:rPr>
                <w:b/>
                <w:bCs/>
              </w:rPr>
              <w:t>competent authorities</w:t>
            </w:r>
            <w:r>
              <w:t xml:space="preserve"> shall be prohibited, unless operations are urgently necessary for reasons of safety;</w:t>
            </w:r>
          </w:p>
          <w:p w14:paraId="60B01DAC" w14:textId="77777777" w:rsidR="002D0617" w:rsidRDefault="002D0617" w:rsidP="002D0617">
            <w:pPr>
              <w:spacing w:before="40" w:after="120"/>
              <w:ind w:right="113"/>
            </w:pPr>
            <w:r>
              <w:t>…</w:t>
            </w:r>
          </w:p>
          <w:p w14:paraId="7ADE0F80" w14:textId="77777777" w:rsidR="00CB6373" w:rsidRDefault="00CB6373" w:rsidP="00CB6373">
            <w:pPr>
              <w:spacing w:before="40" w:after="120"/>
              <w:ind w:right="113"/>
            </w:pPr>
            <w:r>
              <w:t>(5)</w:t>
            </w:r>
            <w:r>
              <w:tab/>
              <w:t xml:space="preserve">Convoys </w:t>
            </w:r>
          </w:p>
          <w:p w14:paraId="34059664" w14:textId="1835294D" w:rsidR="00CB6373" w:rsidRDefault="00CB6373" w:rsidP="00CB6373">
            <w:pPr>
              <w:spacing w:before="40" w:after="120"/>
              <w:ind w:right="113"/>
            </w:pPr>
            <w:r>
              <w:tab/>
            </w:r>
            <w:r w:rsidR="009B5348">
              <w:t>…</w:t>
            </w:r>
          </w:p>
          <w:p w14:paraId="745BDEB1" w14:textId="77777777" w:rsidR="007A2E85" w:rsidRDefault="00CB6373" w:rsidP="007A2E85">
            <w:pPr>
              <w:spacing w:before="40" w:after="120"/>
              <w:ind w:right="113"/>
            </w:pPr>
            <w:r>
              <w:tab/>
              <w:t>(b)</w:t>
            </w:r>
            <w:r>
              <w:tab/>
              <w:t xml:space="preserve">The </w:t>
            </w:r>
            <w:r w:rsidRPr="009B5348">
              <w:rPr>
                <w:b/>
                <w:bCs/>
              </w:rPr>
              <w:t>competent authority</w:t>
            </w:r>
            <w:r>
              <w:t xml:space="preserve"> may lay down rules for the order or composition of convoys.</w:t>
            </w:r>
          </w:p>
          <w:p w14:paraId="1D5DC95E" w14:textId="7F6C2F34" w:rsidR="007A2E85" w:rsidRDefault="007A2E85" w:rsidP="007A2E85">
            <w:pPr>
              <w:spacing w:before="40" w:after="120"/>
              <w:ind w:right="113"/>
            </w:pPr>
            <w:r>
              <w:t>(6)</w:t>
            </w:r>
            <w:r>
              <w:tab/>
              <w:t xml:space="preserve">Supervision of vehicles </w:t>
            </w:r>
          </w:p>
          <w:p w14:paraId="3202DAFD" w14:textId="77777777" w:rsidR="007A2E85" w:rsidRDefault="007A2E85" w:rsidP="007A2E85">
            <w:pPr>
              <w:spacing w:before="40" w:after="120"/>
              <w:ind w:right="113"/>
            </w:pPr>
            <w:r>
              <w:tab/>
              <w:t>…</w:t>
            </w:r>
          </w:p>
          <w:p w14:paraId="61586672" w14:textId="3297EC76" w:rsidR="002D0617" w:rsidRPr="005E5574" w:rsidRDefault="007A2E85" w:rsidP="007A2E85">
            <w:pPr>
              <w:spacing w:before="40" w:after="120"/>
              <w:ind w:right="113"/>
            </w:pPr>
            <w:r>
              <w:tab/>
              <w:t xml:space="preserve">In addition, these substances and articles, when subject to the provisions in 1.10.3, shall be supervised in accordance with the security plan in 1.10.3.2 at all times to prevent any malicious act and to alert the driver and the </w:t>
            </w:r>
            <w:r w:rsidRPr="009B5348">
              <w:rPr>
                <w:b/>
                <w:bCs/>
              </w:rPr>
              <w:t>competent authorities</w:t>
            </w:r>
            <w:r>
              <w:t xml:space="preserve"> in the event of loss or fire.</w:t>
            </w:r>
          </w:p>
        </w:tc>
        <w:tc>
          <w:tcPr>
            <w:tcW w:w="4592" w:type="dxa"/>
            <w:shd w:val="clear" w:color="auto" w:fill="auto"/>
          </w:tcPr>
          <w:p w14:paraId="175F1ED3" w14:textId="6C558EBB" w:rsidR="005E5574" w:rsidRPr="005E5574" w:rsidRDefault="007163A7" w:rsidP="007163A7">
            <w:pPr>
              <w:spacing w:before="40" w:after="120"/>
              <w:ind w:right="113"/>
            </w:pPr>
            <w:r>
              <w:lastRenderedPageBreak/>
              <w:t xml:space="preserve">Refers to </w:t>
            </w:r>
            <w:r w:rsidRPr="00AE1F0F">
              <w:t xml:space="preserve">the competent authority of the </w:t>
            </w:r>
            <w:r w:rsidR="009B5348">
              <w:t>countries where the carriage, loading or unloading takes place</w:t>
            </w:r>
            <w:r>
              <w:t>.</w:t>
            </w:r>
          </w:p>
        </w:tc>
      </w:tr>
      <w:tr w:rsidR="005E5574" w:rsidRPr="005E5574" w14:paraId="186B3C45" w14:textId="77777777" w:rsidTr="005E5574">
        <w:tc>
          <w:tcPr>
            <w:tcW w:w="1560" w:type="dxa"/>
            <w:shd w:val="clear" w:color="auto" w:fill="auto"/>
          </w:tcPr>
          <w:p w14:paraId="041AB0EE" w14:textId="77777777" w:rsidR="005E5574" w:rsidRPr="005E5574" w:rsidRDefault="005E5574" w:rsidP="005E5574">
            <w:pPr>
              <w:spacing w:before="40" w:after="120"/>
              <w:ind w:right="113"/>
            </w:pPr>
          </w:p>
        </w:tc>
        <w:tc>
          <w:tcPr>
            <w:tcW w:w="7624" w:type="dxa"/>
            <w:shd w:val="clear" w:color="auto" w:fill="auto"/>
          </w:tcPr>
          <w:p w14:paraId="0F0250B6" w14:textId="2FE5C906" w:rsidR="005E5574" w:rsidRPr="005E5574" w:rsidRDefault="005E5574" w:rsidP="009B5348">
            <w:pPr>
              <w:spacing w:before="40" w:after="120"/>
              <w:ind w:right="113"/>
            </w:pPr>
          </w:p>
        </w:tc>
        <w:tc>
          <w:tcPr>
            <w:tcW w:w="4592" w:type="dxa"/>
            <w:shd w:val="clear" w:color="auto" w:fill="auto"/>
          </w:tcPr>
          <w:p w14:paraId="66DF1D12" w14:textId="77777777" w:rsidR="005E5574" w:rsidRPr="005E5574" w:rsidRDefault="005E5574" w:rsidP="005E5574">
            <w:pPr>
              <w:spacing w:before="40" w:after="120"/>
              <w:ind w:right="113"/>
            </w:pPr>
          </w:p>
        </w:tc>
      </w:tr>
      <w:tr w:rsidR="005E5574" w:rsidRPr="005E5574" w14:paraId="0A0F6A7A" w14:textId="77777777" w:rsidTr="005E5574">
        <w:tc>
          <w:tcPr>
            <w:tcW w:w="1560" w:type="dxa"/>
            <w:shd w:val="clear" w:color="auto" w:fill="auto"/>
          </w:tcPr>
          <w:p w14:paraId="64F3D8CA" w14:textId="4E8B6C78" w:rsidR="005E5574" w:rsidRPr="005E5574" w:rsidRDefault="005B6D1D" w:rsidP="005E5574">
            <w:pPr>
              <w:spacing w:before="40" w:after="120"/>
              <w:ind w:right="113"/>
            </w:pPr>
            <w:r w:rsidRPr="005B6D1D">
              <w:t>Chapter 8.5, S8</w:t>
            </w:r>
            <w:r>
              <w:t xml:space="preserve"> and S9</w:t>
            </w:r>
          </w:p>
        </w:tc>
        <w:tc>
          <w:tcPr>
            <w:tcW w:w="7624" w:type="dxa"/>
            <w:shd w:val="clear" w:color="auto" w:fill="auto"/>
          </w:tcPr>
          <w:p w14:paraId="5242F180" w14:textId="77777777" w:rsidR="005E5574" w:rsidRDefault="009A5BFF" w:rsidP="005E5574">
            <w:pPr>
              <w:spacing w:before="40" w:after="120"/>
              <w:ind w:right="113"/>
              <w:rPr>
                <w:b/>
                <w:bCs/>
              </w:rPr>
            </w:pPr>
            <w:r>
              <w:t>S8</w:t>
            </w:r>
            <w:r>
              <w:tab/>
            </w:r>
            <w:r w:rsidRPr="00041B7F">
              <w:t xml:space="preserve">When a transport unit is loaded with more than 2 000 kg of these substances, stops for service requirements shall as far as possible not be made near inhabited places or frequented places. A longer stop near such places is permissible only with the consent of the </w:t>
            </w:r>
            <w:r w:rsidRPr="009A5BFF">
              <w:rPr>
                <w:b/>
                <w:bCs/>
              </w:rPr>
              <w:t>competent authorities.</w:t>
            </w:r>
          </w:p>
          <w:p w14:paraId="79D0A049" w14:textId="4667399D" w:rsidR="009A5BFF" w:rsidRPr="005E5574" w:rsidRDefault="005F0FC9" w:rsidP="005E5574">
            <w:pPr>
              <w:spacing w:before="40" w:after="120"/>
              <w:ind w:right="113"/>
            </w:pPr>
            <w:r>
              <w:t>S8</w:t>
            </w:r>
            <w:r>
              <w:tab/>
            </w:r>
            <w:r w:rsidRPr="005F0FC9">
              <w:t xml:space="preserve">During the carriage of these substances, stops for service requirements shall as far as possible not be made near inhabited places or frequented places. A longer stop near such places is permissible only with the consent of the </w:t>
            </w:r>
            <w:r w:rsidRPr="005F0FC9">
              <w:rPr>
                <w:b/>
                <w:bCs/>
              </w:rPr>
              <w:t>competent authorities</w:t>
            </w:r>
            <w:r w:rsidRPr="005F0FC9">
              <w:t>.</w:t>
            </w:r>
          </w:p>
        </w:tc>
        <w:tc>
          <w:tcPr>
            <w:tcW w:w="4592" w:type="dxa"/>
            <w:shd w:val="clear" w:color="auto" w:fill="auto"/>
          </w:tcPr>
          <w:p w14:paraId="53A207BB" w14:textId="61EBBB03" w:rsidR="005E5574" w:rsidRPr="005E5574" w:rsidRDefault="00461F66" w:rsidP="005E5574">
            <w:pPr>
              <w:spacing w:before="40" w:after="120"/>
              <w:ind w:right="113"/>
            </w:pPr>
            <w:r>
              <w:t xml:space="preserve">Refers to local authorities. </w:t>
            </w:r>
          </w:p>
        </w:tc>
      </w:tr>
      <w:tr w:rsidR="005E5574" w:rsidRPr="005E5574" w14:paraId="3C1CC6DF" w14:textId="77777777" w:rsidTr="005E5574">
        <w:tc>
          <w:tcPr>
            <w:tcW w:w="1560" w:type="dxa"/>
            <w:shd w:val="clear" w:color="auto" w:fill="auto"/>
          </w:tcPr>
          <w:p w14:paraId="0C74801F" w14:textId="42C0B5E8" w:rsidR="005E5574" w:rsidRPr="005E5574" w:rsidRDefault="007A2E85" w:rsidP="005E5574">
            <w:pPr>
              <w:spacing w:before="40" w:after="120"/>
              <w:ind w:right="113"/>
            </w:pPr>
            <w:r>
              <w:t>Chapter 8.5, S16 and S21</w:t>
            </w:r>
          </w:p>
        </w:tc>
        <w:tc>
          <w:tcPr>
            <w:tcW w:w="7624" w:type="dxa"/>
            <w:shd w:val="clear" w:color="auto" w:fill="auto"/>
          </w:tcPr>
          <w:p w14:paraId="1406655F" w14:textId="77777777" w:rsidR="005E5574" w:rsidRDefault="00EC3E48" w:rsidP="005E5574">
            <w:pPr>
              <w:spacing w:before="40" w:after="120"/>
              <w:ind w:right="113"/>
            </w:pPr>
            <w:r>
              <w:t>S16</w:t>
            </w:r>
            <w:r>
              <w:tab/>
            </w:r>
            <w:r>
              <w:t>…</w:t>
            </w:r>
            <w:r w:rsidR="0076025E">
              <w:t xml:space="preserve"> </w:t>
            </w:r>
            <w:r w:rsidR="0076025E" w:rsidRPr="0076025E">
              <w:t xml:space="preserve">In addition, vehicles carrying more than 500 kg of these substances, when subject to the provisions in 1.10.3, shall be supervised in accordance with the security plan in 1.10.3.2 at all times to prevent any malicious act and to alert the driver and </w:t>
            </w:r>
            <w:r w:rsidR="0076025E" w:rsidRPr="00C569B8">
              <w:rPr>
                <w:b/>
                <w:bCs/>
              </w:rPr>
              <w:t>competent authorities</w:t>
            </w:r>
            <w:r w:rsidR="0076025E" w:rsidRPr="0076025E">
              <w:t xml:space="preserve"> in the event of loss or fire.</w:t>
            </w:r>
          </w:p>
          <w:p w14:paraId="6C63E8C5" w14:textId="483C8ED5" w:rsidR="0076025E" w:rsidRPr="005E5574" w:rsidRDefault="00C569B8" w:rsidP="005E5574">
            <w:pPr>
              <w:spacing w:before="40" w:after="120"/>
              <w:ind w:right="113"/>
            </w:pPr>
            <w:r>
              <w:t>S21</w:t>
            </w:r>
            <w:r>
              <w:tab/>
            </w:r>
            <w:r>
              <w:t xml:space="preserve">… </w:t>
            </w:r>
            <w:r w:rsidRPr="00C569B8">
              <w:t xml:space="preserve">In addition, these goods, when subject to the provisions in 1.10.3, shall be supervised in accordance with the security plan in 1.10.3.2 at all times to prevent any </w:t>
            </w:r>
            <w:r w:rsidRPr="00C569B8">
              <w:lastRenderedPageBreak/>
              <w:t xml:space="preserve">malicious act and to alert the driver and the </w:t>
            </w:r>
            <w:r w:rsidRPr="00C569B8">
              <w:rPr>
                <w:b/>
                <w:bCs/>
              </w:rPr>
              <w:t>competent authorities</w:t>
            </w:r>
            <w:r w:rsidRPr="00C569B8">
              <w:t xml:space="preserve"> in the event of loss or fire.</w:t>
            </w:r>
          </w:p>
        </w:tc>
        <w:tc>
          <w:tcPr>
            <w:tcW w:w="4592" w:type="dxa"/>
            <w:shd w:val="clear" w:color="auto" w:fill="auto"/>
          </w:tcPr>
          <w:p w14:paraId="4FE5C0A8" w14:textId="232EC48F" w:rsidR="005E5574" w:rsidRPr="005E5574" w:rsidRDefault="007A2E85" w:rsidP="005E5574">
            <w:pPr>
              <w:spacing w:before="40" w:after="120"/>
              <w:ind w:right="113"/>
            </w:pPr>
            <w:r>
              <w:lastRenderedPageBreak/>
              <w:t xml:space="preserve">Refers to </w:t>
            </w:r>
            <w:r w:rsidRPr="00AE1F0F">
              <w:t xml:space="preserve">the competent authority of the </w:t>
            </w:r>
            <w:r>
              <w:t>countries</w:t>
            </w:r>
            <w:r>
              <w:t xml:space="preserve"> </w:t>
            </w:r>
            <w:r w:rsidRPr="007A2E85">
              <w:t>where the carriage takes place</w:t>
            </w:r>
            <w:r>
              <w:t>.</w:t>
            </w:r>
          </w:p>
        </w:tc>
      </w:tr>
      <w:tr w:rsidR="005E5574" w:rsidRPr="005E5574" w14:paraId="7B3663C1" w14:textId="77777777" w:rsidTr="005E5574">
        <w:tc>
          <w:tcPr>
            <w:tcW w:w="1560" w:type="dxa"/>
            <w:shd w:val="clear" w:color="auto" w:fill="auto"/>
          </w:tcPr>
          <w:p w14:paraId="37062AAF" w14:textId="581126FE" w:rsidR="005E5574" w:rsidRPr="005E5574" w:rsidRDefault="00C569B8" w:rsidP="005E5574">
            <w:pPr>
              <w:spacing w:before="40" w:after="120"/>
              <w:ind w:right="113"/>
            </w:pPr>
            <w:r>
              <w:t>8.6.2</w:t>
            </w:r>
          </w:p>
        </w:tc>
        <w:tc>
          <w:tcPr>
            <w:tcW w:w="7624" w:type="dxa"/>
            <w:shd w:val="clear" w:color="auto" w:fill="auto"/>
          </w:tcPr>
          <w:p w14:paraId="02A054F8" w14:textId="70FEC7B7" w:rsidR="005E5574" w:rsidRPr="005E5574" w:rsidRDefault="00AC4479" w:rsidP="005E5574">
            <w:pPr>
              <w:spacing w:before="40" w:after="120"/>
              <w:ind w:right="113"/>
            </w:pPr>
            <w:r w:rsidRPr="00AC4479">
              <w:t xml:space="preserve">The tunnel category, assigned in accordance with 1.9.5.1 by the </w:t>
            </w:r>
            <w:r w:rsidRPr="00AC4479">
              <w:rPr>
                <w:b/>
                <w:bCs/>
              </w:rPr>
              <w:t>competent authority</w:t>
            </w:r>
            <w:r w:rsidRPr="00AC4479">
              <w:t xml:space="preserve"> to a given road tunnel for the purpose of restricting the passage of transport units carrying dangerous goods, shall be indicated as follows by means of road signs and signals:</w:t>
            </w:r>
          </w:p>
        </w:tc>
        <w:tc>
          <w:tcPr>
            <w:tcW w:w="4592" w:type="dxa"/>
            <w:shd w:val="clear" w:color="auto" w:fill="auto"/>
          </w:tcPr>
          <w:p w14:paraId="5BE855F4" w14:textId="5C7A774B" w:rsidR="005E5574" w:rsidRPr="005E5574" w:rsidRDefault="00C569B8" w:rsidP="005E5574">
            <w:pPr>
              <w:spacing w:before="40" w:after="120"/>
              <w:ind w:right="113"/>
            </w:pPr>
            <w:r w:rsidRPr="00C569B8">
              <w:t>Refers to the competent authority of a country contracting Party to ADR responsible for the categorization of tunnels within its jurisdiction in accordance with 1.9.5.1.</w:t>
            </w:r>
          </w:p>
        </w:tc>
      </w:tr>
      <w:tr w:rsidR="005E5574" w:rsidRPr="005E5574" w14:paraId="0B4476C2" w14:textId="77777777" w:rsidTr="005E5574">
        <w:tc>
          <w:tcPr>
            <w:tcW w:w="1560" w:type="dxa"/>
            <w:shd w:val="clear" w:color="auto" w:fill="auto"/>
          </w:tcPr>
          <w:p w14:paraId="709DEC74" w14:textId="202D4979" w:rsidR="005E5574" w:rsidRPr="005E5574" w:rsidRDefault="00DD0019" w:rsidP="005E5574">
            <w:pPr>
              <w:spacing w:before="40" w:after="120"/>
              <w:ind w:right="113"/>
            </w:pPr>
            <w:r w:rsidRPr="00FC0BFB">
              <w:rPr>
                <w:sz w:val="18"/>
                <w:szCs w:val="18"/>
                <w:lang w:eastAsia="en-US"/>
              </w:rPr>
              <w:t>8.6.3.1</w:t>
            </w:r>
          </w:p>
        </w:tc>
        <w:tc>
          <w:tcPr>
            <w:tcW w:w="7624" w:type="dxa"/>
            <w:shd w:val="clear" w:color="auto" w:fill="auto"/>
          </w:tcPr>
          <w:p w14:paraId="75851C64" w14:textId="13453FC4" w:rsidR="005E5574" w:rsidRPr="005E5574" w:rsidRDefault="00067D74" w:rsidP="005E5574">
            <w:pPr>
              <w:spacing w:before="40" w:after="120"/>
              <w:ind w:right="113"/>
            </w:pPr>
            <w:r>
              <w:t>…</w:t>
            </w:r>
            <w:r w:rsidRPr="00067D74">
              <w:t xml:space="preserve">When ‘(─)’ is indicated instead of one of the tunnel restriction codes, the dangerous goods are not subject to any tunnel restriction; for the dangerous goods assigned to UN Nos. 2919 and 3331, restrictions to the passage through tunnels may, however, be part of the special arrangement approved by the </w:t>
            </w:r>
            <w:r w:rsidRPr="00067D74">
              <w:rPr>
                <w:b/>
                <w:bCs/>
              </w:rPr>
              <w:t>competent authority(</w:t>
            </w:r>
            <w:proofErr w:type="spellStart"/>
            <w:r w:rsidRPr="00067D74">
              <w:rPr>
                <w:b/>
                <w:bCs/>
              </w:rPr>
              <w:t>ies</w:t>
            </w:r>
            <w:proofErr w:type="spellEnd"/>
            <w:r w:rsidRPr="00067D74">
              <w:rPr>
                <w:b/>
                <w:bCs/>
              </w:rPr>
              <w:t>)</w:t>
            </w:r>
            <w:r w:rsidRPr="00067D74">
              <w:t xml:space="preserve"> on the basis of 1.7.4.2.</w:t>
            </w:r>
          </w:p>
        </w:tc>
        <w:tc>
          <w:tcPr>
            <w:tcW w:w="4592" w:type="dxa"/>
            <w:shd w:val="clear" w:color="auto" w:fill="auto"/>
          </w:tcPr>
          <w:p w14:paraId="0E9F2B15" w14:textId="1EDD4FAA" w:rsidR="005E5574" w:rsidRPr="005E5574" w:rsidRDefault="00067D74" w:rsidP="005E5574">
            <w:pPr>
              <w:spacing w:before="40" w:after="120"/>
              <w:ind w:right="113"/>
            </w:pPr>
            <w:r>
              <w:t>R</w:t>
            </w:r>
            <w:r>
              <w:t>efers to the competent authority defined</w:t>
            </w:r>
            <w:r>
              <w:t xml:space="preserve"> in 1.7.4.2.</w:t>
            </w:r>
            <w:r w:rsidR="00986791">
              <w:t xml:space="preserve"> The reference to competent authority is superfluous.</w:t>
            </w:r>
          </w:p>
        </w:tc>
      </w:tr>
      <w:tr w:rsidR="005E5574" w:rsidRPr="005E5574" w14:paraId="111553D6" w14:textId="77777777" w:rsidTr="005E5574">
        <w:tc>
          <w:tcPr>
            <w:tcW w:w="1560" w:type="dxa"/>
            <w:tcBorders>
              <w:bottom w:val="single" w:sz="12" w:space="0" w:color="auto"/>
            </w:tcBorders>
            <w:shd w:val="clear" w:color="auto" w:fill="auto"/>
          </w:tcPr>
          <w:p w14:paraId="68AA95BC" w14:textId="77777777" w:rsidR="005E5574" w:rsidRPr="005E5574" w:rsidRDefault="005E5574" w:rsidP="005E5574">
            <w:pPr>
              <w:spacing w:before="40" w:after="120"/>
              <w:ind w:right="113"/>
            </w:pPr>
          </w:p>
        </w:tc>
        <w:tc>
          <w:tcPr>
            <w:tcW w:w="7624" w:type="dxa"/>
            <w:tcBorders>
              <w:bottom w:val="single" w:sz="12" w:space="0" w:color="auto"/>
            </w:tcBorders>
            <w:shd w:val="clear" w:color="auto" w:fill="auto"/>
          </w:tcPr>
          <w:p w14:paraId="733F3691" w14:textId="77777777" w:rsidR="005E5574" w:rsidRPr="005E5574" w:rsidRDefault="005E5574" w:rsidP="005E5574">
            <w:pPr>
              <w:spacing w:before="40" w:after="120"/>
              <w:ind w:right="113"/>
            </w:pPr>
          </w:p>
        </w:tc>
        <w:tc>
          <w:tcPr>
            <w:tcW w:w="4592" w:type="dxa"/>
            <w:tcBorders>
              <w:bottom w:val="single" w:sz="12" w:space="0" w:color="auto"/>
            </w:tcBorders>
            <w:shd w:val="clear" w:color="auto" w:fill="auto"/>
          </w:tcPr>
          <w:p w14:paraId="5B1D60BF" w14:textId="77777777" w:rsidR="005E5574" w:rsidRPr="005E5574" w:rsidRDefault="005E5574" w:rsidP="005E5574">
            <w:pPr>
              <w:spacing w:before="40" w:after="120"/>
              <w:ind w:right="113"/>
            </w:pPr>
          </w:p>
        </w:tc>
      </w:tr>
    </w:tbl>
    <w:p w14:paraId="51AFA5CA" w14:textId="5A782114" w:rsidR="005E5574" w:rsidRPr="005E5574" w:rsidRDefault="005E5574" w:rsidP="005E5574"/>
    <w:p w14:paraId="341B999C" w14:textId="2DB3E21E" w:rsidR="00FC0BFB" w:rsidRDefault="00FC0BFB" w:rsidP="00FC0BFB">
      <w:pPr>
        <w:keepNext/>
        <w:keepLines/>
        <w:tabs>
          <w:tab w:val="right" w:pos="851"/>
        </w:tabs>
        <w:spacing w:before="360" w:after="240" w:line="270" w:lineRule="exact"/>
        <w:ind w:left="1134" w:right="1134" w:hanging="1134"/>
        <w:rPr>
          <w:b/>
          <w:sz w:val="24"/>
          <w:lang w:eastAsia="en-US"/>
        </w:rPr>
      </w:pPr>
      <w:r w:rsidRPr="00FC0BFB">
        <w:rPr>
          <w:b/>
          <w:sz w:val="24"/>
          <w:lang w:eastAsia="en-US"/>
        </w:rPr>
        <w:br w:type="page"/>
      </w:r>
      <w:r w:rsidRPr="00FC0BFB">
        <w:rPr>
          <w:b/>
          <w:sz w:val="24"/>
          <w:lang w:eastAsia="en-US"/>
        </w:rPr>
        <w:lastRenderedPageBreak/>
        <w:t>Part 9</w:t>
      </w:r>
    </w:p>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624"/>
        <w:gridCol w:w="4592"/>
      </w:tblGrid>
      <w:tr w:rsidR="00B6441B" w:rsidRPr="005E5574" w14:paraId="5CE9E3C4" w14:textId="77777777" w:rsidTr="00E16957">
        <w:tc>
          <w:tcPr>
            <w:tcW w:w="1560" w:type="dxa"/>
            <w:tcBorders>
              <w:top w:val="single" w:sz="4" w:space="0" w:color="auto"/>
              <w:bottom w:val="single" w:sz="12" w:space="0" w:color="auto"/>
            </w:tcBorders>
            <w:shd w:val="clear" w:color="auto" w:fill="auto"/>
            <w:vAlign w:val="bottom"/>
          </w:tcPr>
          <w:p w14:paraId="0A79F5CE" w14:textId="77777777" w:rsidR="00B6441B" w:rsidRPr="005E5574" w:rsidRDefault="00B6441B" w:rsidP="00E16957">
            <w:pPr>
              <w:spacing w:before="80" w:after="80" w:line="200" w:lineRule="exact"/>
              <w:ind w:right="113"/>
              <w:rPr>
                <w:i/>
                <w:sz w:val="16"/>
              </w:rPr>
            </w:pPr>
            <w:r w:rsidRPr="005E5574">
              <w:rPr>
                <w:i/>
                <w:sz w:val="16"/>
              </w:rPr>
              <w:t>Paragraph</w:t>
            </w:r>
          </w:p>
        </w:tc>
        <w:tc>
          <w:tcPr>
            <w:tcW w:w="7624" w:type="dxa"/>
            <w:tcBorders>
              <w:top w:val="single" w:sz="4" w:space="0" w:color="auto"/>
              <w:bottom w:val="single" w:sz="12" w:space="0" w:color="auto"/>
            </w:tcBorders>
            <w:shd w:val="clear" w:color="auto" w:fill="auto"/>
            <w:vAlign w:val="bottom"/>
          </w:tcPr>
          <w:p w14:paraId="03D796B0" w14:textId="77777777" w:rsidR="00B6441B" w:rsidRPr="005E5574" w:rsidRDefault="00B6441B" w:rsidP="00E16957">
            <w:pPr>
              <w:spacing w:before="80" w:after="80" w:line="200" w:lineRule="exact"/>
              <w:ind w:right="113"/>
              <w:rPr>
                <w:i/>
                <w:sz w:val="16"/>
              </w:rPr>
            </w:pPr>
            <w:r w:rsidRPr="005E5574">
              <w:rPr>
                <w:i/>
                <w:sz w:val="16"/>
              </w:rPr>
              <w:t>Text</w:t>
            </w:r>
            <w:r>
              <w:rPr>
                <w:i/>
                <w:sz w:val="16"/>
              </w:rPr>
              <w:t xml:space="preserve"> (ADR 2021)</w:t>
            </w:r>
          </w:p>
        </w:tc>
        <w:tc>
          <w:tcPr>
            <w:tcW w:w="4592" w:type="dxa"/>
            <w:tcBorders>
              <w:top w:val="single" w:sz="4" w:space="0" w:color="auto"/>
              <w:bottom w:val="single" w:sz="12" w:space="0" w:color="auto"/>
            </w:tcBorders>
            <w:shd w:val="clear" w:color="auto" w:fill="auto"/>
            <w:vAlign w:val="bottom"/>
          </w:tcPr>
          <w:p w14:paraId="00BC8FEB" w14:textId="77777777" w:rsidR="00B6441B" w:rsidRPr="005E5574" w:rsidRDefault="00B6441B" w:rsidP="00E16957">
            <w:pPr>
              <w:spacing w:before="80" w:after="80" w:line="200" w:lineRule="exact"/>
              <w:ind w:right="113"/>
              <w:rPr>
                <w:i/>
                <w:sz w:val="16"/>
              </w:rPr>
            </w:pPr>
            <w:r>
              <w:rPr>
                <w:i/>
                <w:sz w:val="16"/>
              </w:rPr>
              <w:t>Comments</w:t>
            </w:r>
          </w:p>
        </w:tc>
      </w:tr>
      <w:tr w:rsidR="00B6441B" w:rsidRPr="005E5574" w14:paraId="06DC7B49" w14:textId="77777777" w:rsidTr="00E16957">
        <w:trPr>
          <w:trHeight w:hRule="exact" w:val="113"/>
        </w:trPr>
        <w:tc>
          <w:tcPr>
            <w:tcW w:w="1560" w:type="dxa"/>
            <w:tcBorders>
              <w:top w:val="single" w:sz="12" w:space="0" w:color="auto"/>
            </w:tcBorders>
            <w:shd w:val="clear" w:color="auto" w:fill="auto"/>
            <w:vAlign w:val="bottom"/>
          </w:tcPr>
          <w:p w14:paraId="13D3B54B" w14:textId="77777777" w:rsidR="00B6441B" w:rsidRPr="005E5574" w:rsidRDefault="00B6441B" w:rsidP="00E16957">
            <w:pPr>
              <w:spacing w:before="80" w:after="80" w:line="200" w:lineRule="exact"/>
              <w:ind w:right="113"/>
              <w:rPr>
                <w:i/>
                <w:sz w:val="16"/>
              </w:rPr>
            </w:pPr>
          </w:p>
        </w:tc>
        <w:tc>
          <w:tcPr>
            <w:tcW w:w="7624" w:type="dxa"/>
            <w:tcBorders>
              <w:top w:val="single" w:sz="12" w:space="0" w:color="auto"/>
            </w:tcBorders>
            <w:shd w:val="clear" w:color="auto" w:fill="auto"/>
            <w:vAlign w:val="bottom"/>
          </w:tcPr>
          <w:p w14:paraId="3BDEAA14" w14:textId="77777777" w:rsidR="00B6441B" w:rsidRPr="005E5574" w:rsidRDefault="00B6441B" w:rsidP="00E16957">
            <w:pPr>
              <w:spacing w:before="80" w:after="80" w:line="200" w:lineRule="exact"/>
              <w:ind w:right="113"/>
              <w:rPr>
                <w:i/>
                <w:sz w:val="16"/>
              </w:rPr>
            </w:pPr>
          </w:p>
        </w:tc>
        <w:tc>
          <w:tcPr>
            <w:tcW w:w="4592" w:type="dxa"/>
            <w:tcBorders>
              <w:top w:val="single" w:sz="12" w:space="0" w:color="auto"/>
            </w:tcBorders>
            <w:shd w:val="clear" w:color="auto" w:fill="auto"/>
            <w:vAlign w:val="bottom"/>
          </w:tcPr>
          <w:p w14:paraId="682FA511" w14:textId="77777777" w:rsidR="00B6441B" w:rsidRPr="005E5574" w:rsidRDefault="00B6441B" w:rsidP="00E16957">
            <w:pPr>
              <w:spacing w:before="80" w:after="80" w:line="200" w:lineRule="exact"/>
              <w:ind w:right="113"/>
              <w:rPr>
                <w:i/>
                <w:sz w:val="16"/>
              </w:rPr>
            </w:pPr>
          </w:p>
        </w:tc>
      </w:tr>
      <w:tr w:rsidR="00B6441B" w:rsidRPr="005E5574" w14:paraId="78807B83" w14:textId="77777777" w:rsidTr="00E16957">
        <w:tc>
          <w:tcPr>
            <w:tcW w:w="1560" w:type="dxa"/>
            <w:shd w:val="clear" w:color="auto" w:fill="auto"/>
          </w:tcPr>
          <w:p w14:paraId="53724788" w14:textId="69F1D6CC" w:rsidR="00B6441B" w:rsidRPr="005E5574" w:rsidRDefault="00A66CCD" w:rsidP="00E16957">
            <w:pPr>
              <w:spacing w:before="40" w:after="120"/>
              <w:ind w:right="113"/>
            </w:pPr>
            <w:r w:rsidRPr="00A66CCD">
              <w:t>9.1.1.2</w:t>
            </w:r>
            <w:r w:rsidR="001163FF">
              <w:t>, definition of ADR approval</w:t>
            </w:r>
          </w:p>
        </w:tc>
        <w:tc>
          <w:tcPr>
            <w:tcW w:w="7624" w:type="dxa"/>
            <w:shd w:val="clear" w:color="auto" w:fill="auto"/>
          </w:tcPr>
          <w:p w14:paraId="2BD1238F" w14:textId="443FD766" w:rsidR="00B6441B" w:rsidRPr="005E5574" w:rsidRDefault="00240E81" w:rsidP="00E16957">
            <w:pPr>
              <w:spacing w:before="40" w:after="120"/>
              <w:ind w:right="113"/>
            </w:pPr>
            <w:r w:rsidRPr="00240E81">
              <w:rPr>
                <w:i/>
                <w:iCs/>
              </w:rPr>
              <w:t>"ADR approval"</w:t>
            </w:r>
            <w:r w:rsidRPr="00240E81">
              <w:t xml:space="preserve"> means certification by a </w:t>
            </w:r>
            <w:r w:rsidRPr="00240E81">
              <w:rPr>
                <w:b/>
                <w:bCs/>
              </w:rPr>
              <w:t>competent authority of a Contracting Party</w:t>
            </w:r>
            <w:r w:rsidRPr="00240E81">
              <w:t xml:space="preserve"> that a single vehicle intended for the carriage of dangerous goods satisfies the relevant technical requirements of this Part as an EX/II, EX/III, FL or AT vehicle or as a MEMU.</w:t>
            </w:r>
          </w:p>
        </w:tc>
        <w:tc>
          <w:tcPr>
            <w:tcW w:w="4592" w:type="dxa"/>
            <w:shd w:val="clear" w:color="auto" w:fill="auto"/>
          </w:tcPr>
          <w:p w14:paraId="765A1264" w14:textId="029E8E0B" w:rsidR="00B6441B" w:rsidRPr="005E5574" w:rsidRDefault="007B3B8E" w:rsidP="00E16957">
            <w:pPr>
              <w:spacing w:before="40" w:after="120"/>
              <w:ind w:right="113"/>
            </w:pPr>
            <w:r>
              <w:t>Defined.</w:t>
            </w:r>
          </w:p>
        </w:tc>
      </w:tr>
      <w:tr w:rsidR="00B6441B" w:rsidRPr="005E5574" w14:paraId="2C507A40" w14:textId="77777777" w:rsidTr="00E16957">
        <w:tc>
          <w:tcPr>
            <w:tcW w:w="1560" w:type="dxa"/>
            <w:shd w:val="clear" w:color="auto" w:fill="auto"/>
          </w:tcPr>
          <w:p w14:paraId="740F5416" w14:textId="3CAE94FF" w:rsidR="00B6441B" w:rsidRPr="005E5574" w:rsidRDefault="007B3B8E" w:rsidP="00E16957">
            <w:pPr>
              <w:spacing w:before="40" w:after="120"/>
              <w:ind w:right="113"/>
            </w:pPr>
            <w:r w:rsidRPr="007B3B8E">
              <w:t>9.1.2.1</w:t>
            </w:r>
          </w:p>
        </w:tc>
        <w:tc>
          <w:tcPr>
            <w:tcW w:w="7624" w:type="dxa"/>
            <w:shd w:val="clear" w:color="auto" w:fill="auto"/>
          </w:tcPr>
          <w:p w14:paraId="3412A33F" w14:textId="760EAD8B" w:rsidR="002A7202" w:rsidRDefault="00346238" w:rsidP="00DF7223">
            <w:pPr>
              <w:spacing w:before="40" w:after="120"/>
              <w:ind w:right="113"/>
            </w:pPr>
            <w:r>
              <w:t>…</w:t>
            </w:r>
            <w:r w:rsidR="00DF7223">
              <w:t xml:space="preserve"> </w:t>
            </w:r>
            <w:r w:rsidR="002A7202">
              <w:t xml:space="preserve">Every complete or completed vehicle shall be subjected to a first inspection by the </w:t>
            </w:r>
            <w:r w:rsidR="002A7202" w:rsidRPr="002A7202">
              <w:rPr>
                <w:b/>
                <w:bCs/>
              </w:rPr>
              <w:t xml:space="preserve">competent authority </w:t>
            </w:r>
            <w:r w:rsidR="002A7202">
              <w:t>in accordance with the administrative requirements of this Chapter to verify conformity with the relevant technical requirements of Chapters 9.2 to 9.8.</w:t>
            </w:r>
          </w:p>
          <w:p w14:paraId="0B19C7CE" w14:textId="057A0B94" w:rsidR="002A7202" w:rsidRPr="005E5574" w:rsidRDefault="002A7202" w:rsidP="00E141D7">
            <w:pPr>
              <w:spacing w:before="40" w:after="120"/>
              <w:ind w:right="113"/>
            </w:pPr>
            <w:r>
              <w:t xml:space="preserve">The </w:t>
            </w:r>
            <w:r w:rsidRPr="002A7202">
              <w:rPr>
                <w:b/>
                <w:bCs/>
              </w:rPr>
              <w:t>competent authority</w:t>
            </w:r>
            <w:r>
              <w:t xml:space="preserve"> may waive the first inspection for a tractor for a semi-trailer type approved in accordance with 9.1.2.2 for which the manufacturer, his duly accredited representative or a body recognised by the </w:t>
            </w:r>
            <w:r w:rsidRPr="002A7202">
              <w:rPr>
                <w:b/>
                <w:bCs/>
              </w:rPr>
              <w:t>competent authority</w:t>
            </w:r>
            <w:r>
              <w:t xml:space="preserve"> has issued a declaration of conformity with the requirements of Chapter 9.2</w:t>
            </w:r>
            <w:r w:rsidR="00E141D7">
              <w:t>…</w:t>
            </w:r>
          </w:p>
        </w:tc>
        <w:tc>
          <w:tcPr>
            <w:tcW w:w="4592" w:type="dxa"/>
            <w:shd w:val="clear" w:color="auto" w:fill="auto"/>
          </w:tcPr>
          <w:p w14:paraId="140C4451" w14:textId="77777777" w:rsidR="003D0709" w:rsidRDefault="003D0709" w:rsidP="003D0709">
            <w:pPr>
              <w:spacing w:before="40" w:after="120"/>
              <w:ind w:right="113"/>
            </w:pPr>
            <w:r>
              <w:t>Of the country of approval / Of the country of registration?</w:t>
            </w:r>
          </w:p>
          <w:p w14:paraId="7712EE64" w14:textId="35A58DC0" w:rsidR="00B6441B" w:rsidRPr="005E5574" w:rsidRDefault="003D0709" w:rsidP="003D0709">
            <w:pPr>
              <w:spacing w:before="40" w:after="120"/>
              <w:ind w:right="113"/>
            </w:pPr>
            <w:r>
              <w:t>No consensus. Further discussion needed.</w:t>
            </w:r>
          </w:p>
        </w:tc>
      </w:tr>
      <w:tr w:rsidR="00B6441B" w:rsidRPr="005E5574" w14:paraId="3265CF38" w14:textId="77777777" w:rsidTr="00E16957">
        <w:tc>
          <w:tcPr>
            <w:tcW w:w="1560" w:type="dxa"/>
            <w:shd w:val="clear" w:color="auto" w:fill="auto"/>
          </w:tcPr>
          <w:p w14:paraId="266EAFE9" w14:textId="5AC47398" w:rsidR="00B6441B" w:rsidRPr="005E5574" w:rsidRDefault="003103E4" w:rsidP="00E16957">
            <w:pPr>
              <w:spacing w:before="40" w:after="120"/>
              <w:ind w:right="113"/>
            </w:pPr>
            <w:r>
              <w:t>9.1.2.2</w:t>
            </w:r>
          </w:p>
        </w:tc>
        <w:tc>
          <w:tcPr>
            <w:tcW w:w="7624" w:type="dxa"/>
            <w:shd w:val="clear" w:color="auto" w:fill="auto"/>
          </w:tcPr>
          <w:p w14:paraId="7F5F3C22" w14:textId="104EADA0" w:rsidR="00B6441B" w:rsidRPr="005E5574" w:rsidRDefault="00B51C17" w:rsidP="00E16957">
            <w:pPr>
              <w:spacing w:before="40" w:after="120"/>
              <w:ind w:right="113"/>
            </w:pPr>
            <w:r w:rsidRPr="00B51C17">
              <w:t xml:space="preserve">At the request of the vehicle manufacturer or his duly accredited representative, vehicles subject to ADR approval according to 9.1.2.1 may be type-approved by a </w:t>
            </w:r>
            <w:r w:rsidRPr="00B51C17">
              <w:rPr>
                <w:b/>
                <w:bCs/>
              </w:rPr>
              <w:t>competent authority</w:t>
            </w:r>
            <w:r w:rsidRPr="00B51C17">
              <w:t xml:space="preserve">. The relevant technical requirements of Chapter 9.2 shall be considered to be fulfilled if a type approval certificate has been issued by a </w:t>
            </w:r>
            <w:r w:rsidRPr="00B51C17">
              <w:rPr>
                <w:b/>
                <w:bCs/>
              </w:rPr>
              <w:t>competent authority</w:t>
            </w:r>
            <w:r w:rsidRPr="00B51C17">
              <w:t xml:space="preserve"> in accordance with UN Regulation No. 105</w:t>
            </w:r>
            <w:r w:rsidRPr="00B51C17">
              <w:rPr>
                <w:vertAlign w:val="superscript"/>
              </w:rPr>
              <w:t>2</w:t>
            </w:r>
            <w:r w:rsidRPr="00B51C17">
              <w:t xml:space="preserve"> provided that the technical requirements of the said Regulation correspond to those of Chapter 9.2 of this Part and provided that no modification of the vehicle alters its validity. In the case of MEMUs, the type approval mark affixed in accordance with UN Regulation No. 105 may identify the vehicle as either MEMU or EX/III. MEMUs need only be identified as such on the certificate of approval issued in accordance with 9.1.3.</w:t>
            </w:r>
          </w:p>
        </w:tc>
        <w:tc>
          <w:tcPr>
            <w:tcW w:w="4592" w:type="dxa"/>
            <w:shd w:val="clear" w:color="auto" w:fill="auto"/>
          </w:tcPr>
          <w:p w14:paraId="1931E201" w14:textId="224EF31D" w:rsidR="005923C2" w:rsidRPr="005E5574" w:rsidRDefault="005923C2" w:rsidP="005923C2">
            <w:pPr>
              <w:spacing w:before="40" w:after="120"/>
              <w:ind w:right="113"/>
            </w:pPr>
            <w:r>
              <w:t xml:space="preserve">Competent authority in accordance with UN Regulation No. 105. </w:t>
            </w:r>
          </w:p>
          <w:p w14:paraId="0392D0ED" w14:textId="3522985F" w:rsidR="00B6441B" w:rsidRPr="005E5574" w:rsidRDefault="00B6441B" w:rsidP="005923C2">
            <w:pPr>
              <w:spacing w:before="40" w:after="120"/>
              <w:ind w:right="113"/>
            </w:pPr>
          </w:p>
        </w:tc>
      </w:tr>
      <w:tr w:rsidR="00B6441B" w:rsidRPr="005E5574" w14:paraId="12C51FAD" w14:textId="77777777" w:rsidTr="00E16957">
        <w:tc>
          <w:tcPr>
            <w:tcW w:w="1560" w:type="dxa"/>
            <w:shd w:val="clear" w:color="auto" w:fill="auto"/>
          </w:tcPr>
          <w:p w14:paraId="06CB56E3" w14:textId="0CBDBF55" w:rsidR="00B6441B" w:rsidRPr="005E5574" w:rsidRDefault="0087396E" w:rsidP="00E16957">
            <w:pPr>
              <w:spacing w:before="40" w:after="120"/>
              <w:ind w:right="113"/>
            </w:pPr>
            <w:r>
              <w:t>9.1.3.1</w:t>
            </w:r>
          </w:p>
        </w:tc>
        <w:tc>
          <w:tcPr>
            <w:tcW w:w="7624" w:type="dxa"/>
            <w:shd w:val="clear" w:color="auto" w:fill="auto"/>
          </w:tcPr>
          <w:p w14:paraId="3696AEAA" w14:textId="71DD185C" w:rsidR="00B6441B" w:rsidRPr="005E5574" w:rsidRDefault="00D84B40" w:rsidP="00E16957">
            <w:pPr>
              <w:spacing w:before="40" w:after="120"/>
              <w:ind w:right="113"/>
            </w:pPr>
            <w:r w:rsidRPr="00D84B40">
              <w:t>Conformity of EX/II, EX/III, FL and AT vehicles and MEMUs with the requirements of this Part is subject to a certificate of approval (certificate of ADR approval)</w:t>
            </w:r>
            <w:r w:rsidRPr="00D84B40">
              <w:rPr>
                <w:vertAlign w:val="superscript"/>
              </w:rPr>
              <w:t>4</w:t>
            </w:r>
            <w:r w:rsidRPr="00D84B40">
              <w:t xml:space="preserve"> issued by the </w:t>
            </w:r>
            <w:r w:rsidRPr="00722A02">
              <w:rPr>
                <w:b/>
                <w:bCs/>
              </w:rPr>
              <w:t>competent authority of the country of registration</w:t>
            </w:r>
            <w:r w:rsidRPr="00D84B40">
              <w:t xml:space="preserve"> for each vehicle whose inspection yields satisfactory results or has resulted in the issue of a declaration of conformity with the requirements of Chapter 9.2 in accordance with 9.1.2.1.</w:t>
            </w:r>
          </w:p>
        </w:tc>
        <w:tc>
          <w:tcPr>
            <w:tcW w:w="4592" w:type="dxa"/>
            <w:shd w:val="clear" w:color="auto" w:fill="auto"/>
          </w:tcPr>
          <w:p w14:paraId="4DB779B6" w14:textId="2EEC3A81" w:rsidR="00B6441B" w:rsidRPr="005E5574" w:rsidRDefault="00722A02" w:rsidP="00E16957">
            <w:pPr>
              <w:spacing w:before="40" w:after="120"/>
              <w:ind w:right="113"/>
            </w:pPr>
            <w:r>
              <w:t>Defined.</w:t>
            </w:r>
          </w:p>
        </w:tc>
      </w:tr>
      <w:tr w:rsidR="00DF7223" w:rsidRPr="005E5574" w14:paraId="12EA8962" w14:textId="77777777" w:rsidTr="00E16957">
        <w:tc>
          <w:tcPr>
            <w:tcW w:w="1560" w:type="dxa"/>
            <w:tcBorders>
              <w:bottom w:val="single" w:sz="12" w:space="0" w:color="auto"/>
            </w:tcBorders>
            <w:shd w:val="clear" w:color="auto" w:fill="auto"/>
          </w:tcPr>
          <w:p w14:paraId="451F8FEC" w14:textId="03F103DD" w:rsidR="00DF7223" w:rsidRPr="005E5574" w:rsidRDefault="00DF7223" w:rsidP="00DF7223">
            <w:pPr>
              <w:spacing w:before="40" w:after="120"/>
              <w:ind w:right="113"/>
            </w:pPr>
            <w:r>
              <w:t>9.1.3.2</w:t>
            </w:r>
          </w:p>
        </w:tc>
        <w:tc>
          <w:tcPr>
            <w:tcW w:w="7624" w:type="dxa"/>
            <w:tcBorders>
              <w:bottom w:val="single" w:sz="12" w:space="0" w:color="auto"/>
            </w:tcBorders>
            <w:shd w:val="clear" w:color="auto" w:fill="auto"/>
          </w:tcPr>
          <w:p w14:paraId="66E13C54" w14:textId="502DDE92" w:rsidR="00DF7223" w:rsidRPr="005E5574" w:rsidRDefault="00DF7223" w:rsidP="00DF7223">
            <w:pPr>
              <w:spacing w:before="40" w:after="120"/>
              <w:ind w:right="113"/>
            </w:pPr>
            <w:r w:rsidRPr="00722A02">
              <w:t xml:space="preserve">A certificate of approval issued by the </w:t>
            </w:r>
            <w:r w:rsidRPr="00722A02">
              <w:rPr>
                <w:b/>
                <w:bCs/>
              </w:rPr>
              <w:t>competent authority of one Contracting Party</w:t>
            </w:r>
            <w:r w:rsidRPr="00722A02">
              <w:t xml:space="preserve"> for a vehicle registered in the territory of that Contracting Party shall be accepted, so long as its validity continues, by the </w:t>
            </w:r>
            <w:r w:rsidRPr="00722A02">
              <w:rPr>
                <w:b/>
                <w:bCs/>
              </w:rPr>
              <w:t>competent authorities of the other Contracting Parties</w:t>
            </w:r>
            <w:r w:rsidRPr="00722A02">
              <w:t>.</w:t>
            </w:r>
          </w:p>
        </w:tc>
        <w:tc>
          <w:tcPr>
            <w:tcW w:w="4592" w:type="dxa"/>
            <w:tcBorders>
              <w:bottom w:val="single" w:sz="12" w:space="0" w:color="auto"/>
            </w:tcBorders>
            <w:shd w:val="clear" w:color="auto" w:fill="auto"/>
          </w:tcPr>
          <w:p w14:paraId="69D45C6C" w14:textId="0AC0641B" w:rsidR="00DF7223" w:rsidRPr="005E5574" w:rsidRDefault="00DF7223" w:rsidP="00DF7223">
            <w:pPr>
              <w:spacing w:before="40" w:after="120"/>
              <w:ind w:right="113"/>
            </w:pPr>
            <w:r>
              <w:t>Defined.</w:t>
            </w:r>
          </w:p>
        </w:tc>
      </w:tr>
    </w:tbl>
    <w:p w14:paraId="27502E12" w14:textId="77777777" w:rsidR="00FC0BFB" w:rsidRPr="00FC0BFB" w:rsidRDefault="00FC0BFB" w:rsidP="00FC0BFB">
      <w:pPr>
        <w:spacing w:before="240"/>
        <w:ind w:left="1134" w:right="1134"/>
        <w:jc w:val="center"/>
        <w:rPr>
          <w:lang w:val="fr-CA" w:eastAsia="en-US"/>
        </w:rPr>
      </w:pPr>
      <w:r w:rsidRPr="00FC0BFB">
        <w:rPr>
          <w:u w:val="single"/>
          <w:lang w:val="fr-CA" w:eastAsia="en-US"/>
        </w:rPr>
        <w:tab/>
      </w:r>
      <w:r w:rsidRPr="00FC0BFB">
        <w:rPr>
          <w:u w:val="single"/>
          <w:lang w:val="fr-CA" w:eastAsia="en-US"/>
        </w:rPr>
        <w:tab/>
      </w:r>
      <w:r w:rsidRPr="00FC0BFB">
        <w:rPr>
          <w:u w:val="single"/>
          <w:lang w:val="fr-CA" w:eastAsia="en-US"/>
        </w:rPr>
        <w:tab/>
      </w:r>
    </w:p>
    <w:p w14:paraId="03E4F540" w14:textId="77777777" w:rsidR="007E1E26" w:rsidRPr="00E54775" w:rsidRDefault="007E1E26" w:rsidP="00BC3362"/>
    <w:sectPr w:rsidR="007E1E26" w:rsidRPr="00E54775" w:rsidSect="00BC3362">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77C7" w14:textId="77777777" w:rsidR="00135599" w:rsidRDefault="00135599"/>
  </w:endnote>
  <w:endnote w:type="continuationSeparator" w:id="0">
    <w:p w14:paraId="02F48A9C" w14:textId="77777777" w:rsidR="00135599" w:rsidRDefault="00135599"/>
  </w:endnote>
  <w:endnote w:type="continuationNotice" w:id="1">
    <w:p w14:paraId="25BA2DF4" w14:textId="77777777" w:rsidR="00135599" w:rsidRDefault="0013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7C32" w14:textId="538D4A9B" w:rsidR="00E54775" w:rsidRPr="00E54775" w:rsidRDefault="00E54775" w:rsidP="00E54775">
    <w:pPr>
      <w:pStyle w:val="Footer"/>
      <w:tabs>
        <w:tab w:val="right" w:pos="9638"/>
      </w:tabs>
      <w:rPr>
        <w:sz w:val="18"/>
      </w:rPr>
    </w:pPr>
    <w:r w:rsidRPr="00E54775">
      <w:rPr>
        <w:b/>
        <w:sz w:val="18"/>
      </w:rPr>
      <w:fldChar w:fldCharType="begin"/>
    </w:r>
    <w:r w:rsidRPr="00E54775">
      <w:rPr>
        <w:b/>
        <w:sz w:val="18"/>
      </w:rPr>
      <w:instrText xml:space="preserve"> PAGE  \* MERGEFORMAT </w:instrText>
    </w:r>
    <w:r w:rsidRPr="00E54775">
      <w:rPr>
        <w:b/>
        <w:sz w:val="18"/>
      </w:rPr>
      <w:fldChar w:fldCharType="separate"/>
    </w:r>
    <w:r w:rsidRPr="00E54775">
      <w:rPr>
        <w:b/>
        <w:noProof/>
        <w:sz w:val="18"/>
      </w:rPr>
      <w:t>2</w:t>
    </w:r>
    <w:r w:rsidRPr="00E547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5AD1" w14:textId="71A976AF" w:rsidR="00E54775" w:rsidRPr="00E54775" w:rsidRDefault="00E54775" w:rsidP="00E54775">
    <w:pPr>
      <w:pStyle w:val="Footer"/>
      <w:tabs>
        <w:tab w:val="right" w:pos="9638"/>
      </w:tabs>
      <w:rPr>
        <w:b/>
        <w:sz w:val="18"/>
      </w:rPr>
    </w:pPr>
    <w:r>
      <w:tab/>
    </w:r>
    <w:r w:rsidRPr="00E54775">
      <w:rPr>
        <w:b/>
        <w:sz w:val="18"/>
      </w:rPr>
      <w:fldChar w:fldCharType="begin"/>
    </w:r>
    <w:r w:rsidRPr="00E54775">
      <w:rPr>
        <w:b/>
        <w:sz w:val="18"/>
      </w:rPr>
      <w:instrText xml:space="preserve"> PAGE  \* MERGEFORMAT </w:instrText>
    </w:r>
    <w:r w:rsidRPr="00E54775">
      <w:rPr>
        <w:b/>
        <w:sz w:val="18"/>
      </w:rPr>
      <w:fldChar w:fldCharType="separate"/>
    </w:r>
    <w:r w:rsidRPr="00E54775">
      <w:rPr>
        <w:b/>
        <w:noProof/>
        <w:sz w:val="18"/>
      </w:rPr>
      <w:t>3</w:t>
    </w:r>
    <w:r w:rsidRPr="00E547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EC1B" w14:textId="3C577F09" w:rsidR="00BC3362" w:rsidRPr="00BC3362" w:rsidRDefault="00BC3362" w:rsidP="00BC3362">
    <w:pPr>
      <w:pStyle w:val="Footer"/>
    </w:pPr>
    <w:r>
      <w:rPr>
        <w:noProof/>
      </w:rPr>
      <mc:AlternateContent>
        <mc:Choice Requires="wps">
          <w:drawing>
            <wp:anchor distT="0" distB="0" distL="114300" distR="114300" simplePos="0" relativeHeight="251662336" behindDoc="0" locked="0" layoutInCell="1" allowOverlap="1" wp14:anchorId="03B15537" wp14:editId="2FA3B9ED">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52C6A0" w14:textId="77777777" w:rsidR="00BC3362" w:rsidRPr="00E54775" w:rsidRDefault="00BC3362" w:rsidP="00BC3362">
                          <w:pPr>
                            <w:pStyle w:val="Footer"/>
                            <w:tabs>
                              <w:tab w:val="right" w:pos="9638"/>
                            </w:tabs>
                            <w:rPr>
                              <w:sz w:val="18"/>
                            </w:rPr>
                          </w:pPr>
                          <w:r w:rsidRPr="00E54775">
                            <w:rPr>
                              <w:b/>
                              <w:sz w:val="18"/>
                            </w:rPr>
                            <w:fldChar w:fldCharType="begin"/>
                          </w:r>
                          <w:r w:rsidRPr="00E54775">
                            <w:rPr>
                              <w:b/>
                              <w:sz w:val="18"/>
                            </w:rPr>
                            <w:instrText xml:space="preserve"> PAGE  \* MERGEFORMAT </w:instrText>
                          </w:r>
                          <w:r w:rsidRPr="00E54775">
                            <w:rPr>
                              <w:b/>
                              <w:sz w:val="18"/>
                            </w:rPr>
                            <w:fldChar w:fldCharType="separate"/>
                          </w:r>
                          <w:r>
                            <w:rPr>
                              <w:b/>
                              <w:sz w:val="18"/>
                            </w:rPr>
                            <w:t>4</w:t>
                          </w:r>
                          <w:r w:rsidRPr="00E54775">
                            <w:rPr>
                              <w:b/>
                              <w:sz w:val="18"/>
                            </w:rPr>
                            <w:fldChar w:fldCharType="end"/>
                          </w:r>
                          <w:r>
                            <w:rPr>
                              <w:sz w:val="18"/>
                            </w:rPr>
                            <w:tab/>
                          </w:r>
                        </w:p>
                        <w:p w14:paraId="156A07B7" w14:textId="77777777" w:rsidR="00BC3362" w:rsidRDefault="00BC33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B15537" id="_x0000_t202" coordsize="21600,21600" o:spt="202" path="m,l,21600r21600,l21600,xe">
              <v:stroke joinstyle="miter"/>
              <v:path gradientshapeok="t" o:connecttype="rect"/>
            </v:shapetype>
            <v:shape id="Text Box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652C6A0" w14:textId="77777777" w:rsidR="00BC3362" w:rsidRPr="00E54775" w:rsidRDefault="00BC3362" w:rsidP="00BC3362">
                    <w:pPr>
                      <w:pStyle w:val="Footer"/>
                      <w:tabs>
                        <w:tab w:val="right" w:pos="9638"/>
                      </w:tabs>
                      <w:rPr>
                        <w:sz w:val="18"/>
                      </w:rPr>
                    </w:pPr>
                    <w:r w:rsidRPr="00E54775">
                      <w:rPr>
                        <w:b/>
                        <w:sz w:val="18"/>
                      </w:rPr>
                      <w:fldChar w:fldCharType="begin"/>
                    </w:r>
                    <w:r w:rsidRPr="00E54775">
                      <w:rPr>
                        <w:b/>
                        <w:sz w:val="18"/>
                      </w:rPr>
                      <w:instrText xml:space="preserve"> PAGE  \* MERGEFORMAT </w:instrText>
                    </w:r>
                    <w:r w:rsidRPr="00E54775">
                      <w:rPr>
                        <w:b/>
                        <w:sz w:val="18"/>
                      </w:rPr>
                      <w:fldChar w:fldCharType="separate"/>
                    </w:r>
                    <w:r>
                      <w:rPr>
                        <w:b/>
                        <w:sz w:val="18"/>
                      </w:rPr>
                      <w:t>4</w:t>
                    </w:r>
                    <w:r w:rsidRPr="00E54775">
                      <w:rPr>
                        <w:b/>
                        <w:sz w:val="18"/>
                      </w:rPr>
                      <w:fldChar w:fldCharType="end"/>
                    </w:r>
                    <w:r>
                      <w:rPr>
                        <w:sz w:val="18"/>
                      </w:rPr>
                      <w:tab/>
                    </w:r>
                  </w:p>
                  <w:p w14:paraId="156A07B7" w14:textId="77777777" w:rsidR="00BC3362" w:rsidRDefault="00BC3362"/>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C6E3" w14:textId="412A2BD9" w:rsidR="00BC3362" w:rsidRPr="00BC3362" w:rsidRDefault="00BC3362" w:rsidP="00BC3362">
    <w:pPr>
      <w:pStyle w:val="Footer"/>
    </w:pPr>
    <w:r>
      <w:rPr>
        <w:noProof/>
      </w:rPr>
      <mc:AlternateContent>
        <mc:Choice Requires="wps">
          <w:drawing>
            <wp:anchor distT="0" distB="0" distL="114300" distR="114300" simplePos="0" relativeHeight="251660288" behindDoc="0" locked="0" layoutInCell="1" allowOverlap="1" wp14:anchorId="09E0ECE4" wp14:editId="5F822B16">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F5C1D1" w14:textId="77777777" w:rsidR="00BC3362" w:rsidRPr="00E54775" w:rsidRDefault="00BC3362" w:rsidP="00BC3362">
                          <w:pPr>
                            <w:pStyle w:val="Footer"/>
                            <w:tabs>
                              <w:tab w:val="right" w:pos="9638"/>
                            </w:tabs>
                            <w:rPr>
                              <w:b/>
                              <w:sz w:val="18"/>
                            </w:rPr>
                          </w:pPr>
                          <w:r>
                            <w:tab/>
                          </w:r>
                          <w:r w:rsidRPr="00E54775">
                            <w:rPr>
                              <w:b/>
                              <w:sz w:val="18"/>
                            </w:rPr>
                            <w:fldChar w:fldCharType="begin"/>
                          </w:r>
                          <w:r w:rsidRPr="00E54775">
                            <w:rPr>
                              <w:b/>
                              <w:sz w:val="18"/>
                            </w:rPr>
                            <w:instrText xml:space="preserve"> PAGE  \* MERGEFORMAT </w:instrText>
                          </w:r>
                          <w:r w:rsidRPr="00E54775">
                            <w:rPr>
                              <w:b/>
                              <w:sz w:val="18"/>
                            </w:rPr>
                            <w:fldChar w:fldCharType="separate"/>
                          </w:r>
                          <w:r>
                            <w:rPr>
                              <w:b/>
                              <w:sz w:val="18"/>
                            </w:rPr>
                            <w:t>3</w:t>
                          </w:r>
                          <w:r w:rsidRPr="00E54775">
                            <w:rPr>
                              <w:b/>
                              <w:sz w:val="18"/>
                            </w:rPr>
                            <w:fldChar w:fldCharType="end"/>
                          </w:r>
                        </w:p>
                        <w:p w14:paraId="0FBE628B" w14:textId="77777777" w:rsidR="00BC3362" w:rsidRDefault="00BC33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E0ECE4" id="_x0000_t202" coordsize="21600,21600" o:spt="202" path="m,l,21600r21600,l21600,xe">
              <v:stroke joinstyle="miter"/>
              <v:path gradientshapeok="t" o:connecttype="rect"/>
            </v:shapetype>
            <v:shape id="Text Box 3"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hiQIAACs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H4cKtKRZc3XABD0PGxCc&#10;ummR7y2F+EAelEe9WON4j6M2jKT4KEnRsP/+J33yL2U6UQVWCA36tiWPmswXC44CMo6CH4X1KNht&#10;d8WY1RQPhFNZxAUfzSjWnrsnbPcyRYGJrEImpUS0QbyKwyLjdVB6ucxO2CpH8daunErQiRtpLo/9&#10;E3l3ZFYEJ+94XC6avyLY4JtuWl5uI9dtZt9LF4/txkZm/hxfj7TyP/9nr5c3bvED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664XYYkCAAArBQAADgAAAAAAAAAAAAAAAAAuAgAAZHJzL2Uyb0RvYy54bWxQSwECLQAUAAYACAAA&#10;ACEAkl4qvNsAAAAIAQAADwAAAAAAAAAAAAAAAADjBAAAZHJzL2Rvd25yZXYueG1sUEsFBgAAAAAE&#10;AAQA8wAAAOsFAAAAAA==&#10;" fillcolor="#4f81bd [3204]" stroked="f" strokeweight=".5pt">
              <v:fill opacity="0"/>
              <v:stroke joinstyle="round"/>
              <v:textbox style="layout-flow:vertical" inset="0,0,0,0">
                <w:txbxContent>
                  <w:p w14:paraId="4BF5C1D1" w14:textId="77777777" w:rsidR="00BC3362" w:rsidRPr="00E54775" w:rsidRDefault="00BC3362" w:rsidP="00BC3362">
                    <w:pPr>
                      <w:pStyle w:val="Footer"/>
                      <w:tabs>
                        <w:tab w:val="right" w:pos="9638"/>
                      </w:tabs>
                      <w:rPr>
                        <w:b/>
                        <w:sz w:val="18"/>
                      </w:rPr>
                    </w:pPr>
                    <w:r>
                      <w:tab/>
                    </w:r>
                    <w:r w:rsidRPr="00E54775">
                      <w:rPr>
                        <w:b/>
                        <w:sz w:val="18"/>
                      </w:rPr>
                      <w:fldChar w:fldCharType="begin"/>
                    </w:r>
                    <w:r w:rsidRPr="00E54775">
                      <w:rPr>
                        <w:b/>
                        <w:sz w:val="18"/>
                      </w:rPr>
                      <w:instrText xml:space="preserve"> PAGE  \* MERGEFORMAT </w:instrText>
                    </w:r>
                    <w:r w:rsidRPr="00E54775">
                      <w:rPr>
                        <w:b/>
                        <w:sz w:val="18"/>
                      </w:rPr>
                      <w:fldChar w:fldCharType="separate"/>
                    </w:r>
                    <w:r>
                      <w:rPr>
                        <w:b/>
                        <w:sz w:val="18"/>
                      </w:rPr>
                      <w:t>3</w:t>
                    </w:r>
                    <w:r w:rsidRPr="00E54775">
                      <w:rPr>
                        <w:b/>
                        <w:sz w:val="18"/>
                      </w:rPr>
                      <w:fldChar w:fldCharType="end"/>
                    </w:r>
                  </w:p>
                  <w:p w14:paraId="0FBE628B" w14:textId="77777777" w:rsidR="00BC3362" w:rsidRDefault="00BC336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CBE6" w14:textId="77777777" w:rsidR="00135599" w:rsidRPr="000B175B" w:rsidRDefault="00135599" w:rsidP="000B175B">
      <w:pPr>
        <w:tabs>
          <w:tab w:val="right" w:pos="2155"/>
        </w:tabs>
        <w:spacing w:after="80"/>
        <w:ind w:left="680"/>
        <w:rPr>
          <w:u w:val="single"/>
        </w:rPr>
      </w:pPr>
      <w:r>
        <w:rPr>
          <w:u w:val="single"/>
        </w:rPr>
        <w:tab/>
      </w:r>
    </w:p>
  </w:footnote>
  <w:footnote w:type="continuationSeparator" w:id="0">
    <w:p w14:paraId="4CEA9F01" w14:textId="77777777" w:rsidR="00135599" w:rsidRPr="00FC68B7" w:rsidRDefault="00135599" w:rsidP="00FC68B7">
      <w:pPr>
        <w:tabs>
          <w:tab w:val="left" w:pos="2155"/>
        </w:tabs>
        <w:spacing w:after="80"/>
        <w:ind w:left="680"/>
        <w:rPr>
          <w:u w:val="single"/>
        </w:rPr>
      </w:pPr>
      <w:r>
        <w:rPr>
          <w:u w:val="single"/>
        </w:rPr>
        <w:tab/>
      </w:r>
    </w:p>
  </w:footnote>
  <w:footnote w:type="continuationNotice" w:id="1">
    <w:p w14:paraId="1A13EBCE" w14:textId="77777777" w:rsidR="00135599" w:rsidRDefault="00135599"/>
  </w:footnote>
  <w:footnote w:id="2">
    <w:p w14:paraId="1EAC85BB" w14:textId="77777777" w:rsidR="00805AA2" w:rsidRDefault="00805AA2" w:rsidP="00805AA2">
      <w:pPr>
        <w:pStyle w:val="FootnoteText"/>
        <w:tabs>
          <w:tab w:val="left" w:pos="720"/>
        </w:tabs>
        <w:ind w:left="1418" w:right="1260" w:hanging="284"/>
        <w:jc w:val="both"/>
      </w:pPr>
      <w:r>
        <w:rPr>
          <w:rStyle w:val="FootnoteReference"/>
          <w:sz w:val="20"/>
        </w:rPr>
        <w:sym w:font="Symbol" w:char="F02A"/>
      </w:r>
      <w:r>
        <w:tab/>
      </w:r>
      <w:r w:rsidRPr="003B34DC">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831" w14:textId="2D1360C8" w:rsidR="00E54775" w:rsidRPr="00E54775" w:rsidRDefault="00135599">
    <w:pPr>
      <w:pStyle w:val="Header"/>
    </w:pPr>
    <w:r>
      <w:fldChar w:fldCharType="begin"/>
    </w:r>
    <w:r>
      <w:instrText xml:space="preserve"> TITLE  \* MERGEFORMAT </w:instrText>
    </w:r>
    <w:r>
      <w:fldChar w:fldCharType="separate"/>
    </w:r>
    <w:r w:rsidR="00E54775">
      <w:t>ECE/TRANS/WP.15/2021/5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1F78" w14:textId="75A11572" w:rsidR="00E54775" w:rsidRPr="00E54775" w:rsidRDefault="00135599" w:rsidP="00E54775">
    <w:pPr>
      <w:pStyle w:val="Header"/>
      <w:jc w:val="right"/>
    </w:pPr>
    <w:r>
      <w:fldChar w:fldCharType="begin"/>
    </w:r>
    <w:r>
      <w:instrText xml:space="preserve"> TITLE  \* MERGEFORMAT </w:instrText>
    </w:r>
    <w:r>
      <w:fldChar w:fldCharType="separate"/>
    </w:r>
    <w:r w:rsidR="00E54775">
      <w:t>ECE/TRANS/WP.15/2021/5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D695" w14:textId="40C7D708" w:rsidR="00BC3362" w:rsidRPr="00BC3362" w:rsidRDefault="00BC3362" w:rsidP="00BC3362">
    <w:r>
      <w:rPr>
        <w:noProof/>
      </w:rPr>
      <mc:AlternateContent>
        <mc:Choice Requires="wps">
          <w:drawing>
            <wp:anchor distT="0" distB="0" distL="114300" distR="114300" simplePos="0" relativeHeight="251661312" behindDoc="0" locked="0" layoutInCell="1" allowOverlap="1" wp14:anchorId="4D9124AC" wp14:editId="27A29C78">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FA68302" w14:textId="77777777" w:rsidR="00BC3362" w:rsidRPr="00E54775" w:rsidRDefault="00135599" w:rsidP="00BC3362">
                          <w:pPr>
                            <w:pStyle w:val="Header"/>
                          </w:pPr>
                          <w:r>
                            <w:fldChar w:fldCharType="begin"/>
                          </w:r>
                          <w:r>
                            <w:instrText xml:space="preserve"> TITLE  \* MERGEFORMAT </w:instrText>
                          </w:r>
                          <w:r>
                            <w:fldChar w:fldCharType="separate"/>
                          </w:r>
                          <w:r w:rsidR="00BC3362">
                            <w:t>ECE/TRANS/WP.15/2021/5</w:t>
                          </w:r>
                          <w:r>
                            <w:fldChar w:fldCharType="end"/>
                          </w:r>
                        </w:p>
                        <w:p w14:paraId="70446204" w14:textId="77777777" w:rsidR="00BC3362" w:rsidRDefault="00BC33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9124AC" id="_x0000_t202" coordsize="21600,21600" o:spt="202" path="m,l,21600r21600,l21600,xe">
              <v:stroke joinstyle="miter"/>
              <v:path gradientshapeok="t" o:connecttype="rect"/>
            </v:shapetype>
            <v:shape id="Text Box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4FA68302" w14:textId="77777777" w:rsidR="00BC3362" w:rsidRPr="00E54775" w:rsidRDefault="00135599" w:rsidP="00BC3362">
                    <w:pPr>
                      <w:pStyle w:val="Header"/>
                    </w:pPr>
                    <w:r>
                      <w:fldChar w:fldCharType="begin"/>
                    </w:r>
                    <w:r>
                      <w:instrText xml:space="preserve"> TITLE  \* MERGEFORMAT </w:instrText>
                    </w:r>
                    <w:r>
                      <w:fldChar w:fldCharType="separate"/>
                    </w:r>
                    <w:r w:rsidR="00BC3362">
                      <w:t>ECE/TRANS/WP.15/2021/5</w:t>
                    </w:r>
                    <w:r>
                      <w:fldChar w:fldCharType="end"/>
                    </w:r>
                  </w:p>
                  <w:p w14:paraId="70446204" w14:textId="77777777" w:rsidR="00BC3362" w:rsidRDefault="00BC336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728C" w14:textId="73846549" w:rsidR="00BC3362" w:rsidRPr="00BC3362" w:rsidRDefault="00BC3362" w:rsidP="00BC3362">
    <w:r>
      <w:rPr>
        <w:noProof/>
      </w:rPr>
      <mc:AlternateContent>
        <mc:Choice Requires="wps">
          <w:drawing>
            <wp:anchor distT="0" distB="0" distL="114300" distR="114300" simplePos="0" relativeHeight="251659264" behindDoc="0" locked="0" layoutInCell="1" allowOverlap="1" wp14:anchorId="392E9F8D" wp14:editId="4473FB3B">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5DBADA" w14:textId="77777777" w:rsidR="00BC3362" w:rsidRPr="00E54775" w:rsidRDefault="00135599" w:rsidP="00BC3362">
                          <w:pPr>
                            <w:pStyle w:val="Header"/>
                            <w:jc w:val="right"/>
                          </w:pPr>
                          <w:r>
                            <w:fldChar w:fldCharType="begin"/>
                          </w:r>
                          <w:r>
                            <w:instrText xml:space="preserve"> TITLE  \* MERGEFORMAT </w:instrText>
                          </w:r>
                          <w:r>
                            <w:fldChar w:fldCharType="separate"/>
                          </w:r>
                          <w:r w:rsidR="00BC3362">
                            <w:t>ECE/TRANS/WP.15/2021/5</w:t>
                          </w:r>
                          <w:r>
                            <w:fldChar w:fldCharType="end"/>
                          </w:r>
                        </w:p>
                        <w:p w14:paraId="44780083" w14:textId="77777777" w:rsidR="00BC3362" w:rsidRDefault="00BC336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2E9F8D" id="_x0000_t202" coordsize="21600,21600" o:spt="202" path="m,l,21600r21600,l21600,xe">
              <v:stroke joinstyle="miter"/>
              <v:path gradientshapeok="t" o:connecttype="rect"/>
            </v:shapetype>
            <v:shape id="Text Box 2"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zccfbI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375DBADA" w14:textId="77777777" w:rsidR="00BC3362" w:rsidRPr="00E54775" w:rsidRDefault="00135599" w:rsidP="00BC3362">
                    <w:pPr>
                      <w:pStyle w:val="Header"/>
                      <w:jc w:val="right"/>
                    </w:pPr>
                    <w:r>
                      <w:fldChar w:fldCharType="begin"/>
                    </w:r>
                    <w:r>
                      <w:instrText xml:space="preserve"> TITLE  \* MERGEFORMAT </w:instrText>
                    </w:r>
                    <w:r>
                      <w:fldChar w:fldCharType="separate"/>
                    </w:r>
                    <w:r w:rsidR="00BC3362">
                      <w:t>ECE/TRANS/WP.15/2021/5</w:t>
                    </w:r>
                    <w:r>
                      <w:fldChar w:fldCharType="end"/>
                    </w:r>
                  </w:p>
                  <w:p w14:paraId="44780083" w14:textId="77777777" w:rsidR="00BC3362" w:rsidRDefault="00BC3362"/>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75"/>
    <w:rsid w:val="00002A7D"/>
    <w:rsid w:val="000038A8"/>
    <w:rsid w:val="00006790"/>
    <w:rsid w:val="00015734"/>
    <w:rsid w:val="00027624"/>
    <w:rsid w:val="00050F6B"/>
    <w:rsid w:val="00063015"/>
    <w:rsid w:val="000678CD"/>
    <w:rsid w:val="00067D74"/>
    <w:rsid w:val="00072C8C"/>
    <w:rsid w:val="00081CE0"/>
    <w:rsid w:val="00084D30"/>
    <w:rsid w:val="00090016"/>
    <w:rsid w:val="00090320"/>
    <w:rsid w:val="000931C0"/>
    <w:rsid w:val="0009732C"/>
    <w:rsid w:val="000A01F9"/>
    <w:rsid w:val="000A2E09"/>
    <w:rsid w:val="000B175B"/>
    <w:rsid w:val="000B3A0F"/>
    <w:rsid w:val="000B4D0D"/>
    <w:rsid w:val="000E0415"/>
    <w:rsid w:val="000F7715"/>
    <w:rsid w:val="00103428"/>
    <w:rsid w:val="00115B77"/>
    <w:rsid w:val="001163FF"/>
    <w:rsid w:val="00135599"/>
    <w:rsid w:val="00156B99"/>
    <w:rsid w:val="00166124"/>
    <w:rsid w:val="00184DDA"/>
    <w:rsid w:val="001900CD"/>
    <w:rsid w:val="001943FF"/>
    <w:rsid w:val="001A0452"/>
    <w:rsid w:val="001B4B04"/>
    <w:rsid w:val="001B5875"/>
    <w:rsid w:val="001C4B9C"/>
    <w:rsid w:val="001C6663"/>
    <w:rsid w:val="001C7895"/>
    <w:rsid w:val="001D26DF"/>
    <w:rsid w:val="001F1599"/>
    <w:rsid w:val="001F19C4"/>
    <w:rsid w:val="001F7D10"/>
    <w:rsid w:val="002043F0"/>
    <w:rsid w:val="00211E0B"/>
    <w:rsid w:val="00225C53"/>
    <w:rsid w:val="00232575"/>
    <w:rsid w:val="00240E81"/>
    <w:rsid w:val="00247258"/>
    <w:rsid w:val="00257CAC"/>
    <w:rsid w:val="0026292C"/>
    <w:rsid w:val="00264441"/>
    <w:rsid w:val="0027237A"/>
    <w:rsid w:val="00272B82"/>
    <w:rsid w:val="002974E9"/>
    <w:rsid w:val="002A7202"/>
    <w:rsid w:val="002A7F94"/>
    <w:rsid w:val="002B109A"/>
    <w:rsid w:val="002C0162"/>
    <w:rsid w:val="002C6D45"/>
    <w:rsid w:val="002D0617"/>
    <w:rsid w:val="002D09D2"/>
    <w:rsid w:val="002D6E53"/>
    <w:rsid w:val="002D777B"/>
    <w:rsid w:val="002F046D"/>
    <w:rsid w:val="002F3023"/>
    <w:rsid w:val="00301764"/>
    <w:rsid w:val="003103E4"/>
    <w:rsid w:val="00322868"/>
    <w:rsid w:val="003229D8"/>
    <w:rsid w:val="00331466"/>
    <w:rsid w:val="00332D49"/>
    <w:rsid w:val="00336C97"/>
    <w:rsid w:val="00337F88"/>
    <w:rsid w:val="00342432"/>
    <w:rsid w:val="00345A59"/>
    <w:rsid w:val="00346238"/>
    <w:rsid w:val="0035223F"/>
    <w:rsid w:val="00352D4B"/>
    <w:rsid w:val="0035638C"/>
    <w:rsid w:val="003A146D"/>
    <w:rsid w:val="003A46BB"/>
    <w:rsid w:val="003A4EC7"/>
    <w:rsid w:val="003A7295"/>
    <w:rsid w:val="003B1F60"/>
    <w:rsid w:val="003B34DC"/>
    <w:rsid w:val="003C2CC4"/>
    <w:rsid w:val="003D0709"/>
    <w:rsid w:val="003D48D9"/>
    <w:rsid w:val="003D4B23"/>
    <w:rsid w:val="003E278A"/>
    <w:rsid w:val="003F7571"/>
    <w:rsid w:val="004020EF"/>
    <w:rsid w:val="004023A7"/>
    <w:rsid w:val="00413520"/>
    <w:rsid w:val="004325CB"/>
    <w:rsid w:val="0043742A"/>
    <w:rsid w:val="00440A07"/>
    <w:rsid w:val="00461F66"/>
    <w:rsid w:val="00462880"/>
    <w:rsid w:val="00476F24"/>
    <w:rsid w:val="00483995"/>
    <w:rsid w:val="004B6008"/>
    <w:rsid w:val="004C55B0"/>
    <w:rsid w:val="004F6BA0"/>
    <w:rsid w:val="00503BEA"/>
    <w:rsid w:val="00510DA9"/>
    <w:rsid w:val="00533616"/>
    <w:rsid w:val="0053584C"/>
    <w:rsid w:val="00535ABA"/>
    <w:rsid w:val="0053768B"/>
    <w:rsid w:val="005420F2"/>
    <w:rsid w:val="0054285C"/>
    <w:rsid w:val="00543DA4"/>
    <w:rsid w:val="005477D0"/>
    <w:rsid w:val="00555177"/>
    <w:rsid w:val="00584173"/>
    <w:rsid w:val="005923C2"/>
    <w:rsid w:val="00595520"/>
    <w:rsid w:val="005A44B9"/>
    <w:rsid w:val="005B1BA0"/>
    <w:rsid w:val="005B3DB3"/>
    <w:rsid w:val="005B6D1D"/>
    <w:rsid w:val="005C1163"/>
    <w:rsid w:val="005D15CA"/>
    <w:rsid w:val="005D7969"/>
    <w:rsid w:val="005E5574"/>
    <w:rsid w:val="005F08DF"/>
    <w:rsid w:val="005F0FC9"/>
    <w:rsid w:val="005F3066"/>
    <w:rsid w:val="005F3E61"/>
    <w:rsid w:val="00604DDD"/>
    <w:rsid w:val="006115CC"/>
    <w:rsid w:val="00611FC4"/>
    <w:rsid w:val="006176FB"/>
    <w:rsid w:val="00630FCB"/>
    <w:rsid w:val="00640B26"/>
    <w:rsid w:val="0065766B"/>
    <w:rsid w:val="006770B2"/>
    <w:rsid w:val="00686A48"/>
    <w:rsid w:val="00686E2D"/>
    <w:rsid w:val="006910DF"/>
    <w:rsid w:val="006940E1"/>
    <w:rsid w:val="006A060C"/>
    <w:rsid w:val="006A3C72"/>
    <w:rsid w:val="006A7392"/>
    <w:rsid w:val="006B03A1"/>
    <w:rsid w:val="006B67D9"/>
    <w:rsid w:val="006C0ED6"/>
    <w:rsid w:val="006C5535"/>
    <w:rsid w:val="006D0589"/>
    <w:rsid w:val="006D4CB5"/>
    <w:rsid w:val="006E564B"/>
    <w:rsid w:val="006E5D89"/>
    <w:rsid w:val="006E7154"/>
    <w:rsid w:val="007003CD"/>
    <w:rsid w:val="0070701E"/>
    <w:rsid w:val="007163A7"/>
    <w:rsid w:val="00722A02"/>
    <w:rsid w:val="0072632A"/>
    <w:rsid w:val="007358E8"/>
    <w:rsid w:val="00736ECE"/>
    <w:rsid w:val="0074533B"/>
    <w:rsid w:val="0076025E"/>
    <w:rsid w:val="007643BC"/>
    <w:rsid w:val="00780C68"/>
    <w:rsid w:val="007959FE"/>
    <w:rsid w:val="007A0CF1"/>
    <w:rsid w:val="007A2E85"/>
    <w:rsid w:val="007A478E"/>
    <w:rsid w:val="007B075E"/>
    <w:rsid w:val="007B3B8E"/>
    <w:rsid w:val="007B6BA5"/>
    <w:rsid w:val="007C3390"/>
    <w:rsid w:val="007C42D8"/>
    <w:rsid w:val="007C4F4B"/>
    <w:rsid w:val="007D7362"/>
    <w:rsid w:val="007E1E26"/>
    <w:rsid w:val="007E4CAB"/>
    <w:rsid w:val="007F5CE2"/>
    <w:rsid w:val="007F6611"/>
    <w:rsid w:val="00800522"/>
    <w:rsid w:val="00805AA2"/>
    <w:rsid w:val="00810BAC"/>
    <w:rsid w:val="008175E9"/>
    <w:rsid w:val="008242D7"/>
    <w:rsid w:val="0082577B"/>
    <w:rsid w:val="008272DD"/>
    <w:rsid w:val="008623F6"/>
    <w:rsid w:val="00866893"/>
    <w:rsid w:val="00866F02"/>
    <w:rsid w:val="00867D18"/>
    <w:rsid w:val="00871F9A"/>
    <w:rsid w:val="00871FD5"/>
    <w:rsid w:val="0087396E"/>
    <w:rsid w:val="0088172E"/>
    <w:rsid w:val="00881EFA"/>
    <w:rsid w:val="008879CB"/>
    <w:rsid w:val="008979B1"/>
    <w:rsid w:val="008A6B25"/>
    <w:rsid w:val="008A6C4F"/>
    <w:rsid w:val="008A77AE"/>
    <w:rsid w:val="008B389E"/>
    <w:rsid w:val="008C1C4D"/>
    <w:rsid w:val="008D045E"/>
    <w:rsid w:val="008D3F25"/>
    <w:rsid w:val="008D4D82"/>
    <w:rsid w:val="008E0E46"/>
    <w:rsid w:val="008E7116"/>
    <w:rsid w:val="008F143B"/>
    <w:rsid w:val="008F3882"/>
    <w:rsid w:val="008F43E7"/>
    <w:rsid w:val="008F487E"/>
    <w:rsid w:val="008F4B7C"/>
    <w:rsid w:val="00926E47"/>
    <w:rsid w:val="00947162"/>
    <w:rsid w:val="009610D0"/>
    <w:rsid w:val="0096375C"/>
    <w:rsid w:val="009662E6"/>
    <w:rsid w:val="0097095E"/>
    <w:rsid w:val="009813BA"/>
    <w:rsid w:val="0098592B"/>
    <w:rsid w:val="00985FC4"/>
    <w:rsid w:val="00986791"/>
    <w:rsid w:val="00990766"/>
    <w:rsid w:val="00991261"/>
    <w:rsid w:val="009964C4"/>
    <w:rsid w:val="009A5BFF"/>
    <w:rsid w:val="009A7B81"/>
    <w:rsid w:val="009B5348"/>
    <w:rsid w:val="009D01C0"/>
    <w:rsid w:val="009D6A08"/>
    <w:rsid w:val="009E0991"/>
    <w:rsid w:val="009E0A16"/>
    <w:rsid w:val="009E6CB7"/>
    <w:rsid w:val="009E7970"/>
    <w:rsid w:val="009F2EAC"/>
    <w:rsid w:val="009F57E3"/>
    <w:rsid w:val="00A10F4F"/>
    <w:rsid w:val="00A11067"/>
    <w:rsid w:val="00A1704A"/>
    <w:rsid w:val="00A425EB"/>
    <w:rsid w:val="00A66CCD"/>
    <w:rsid w:val="00A72F22"/>
    <w:rsid w:val="00A733BC"/>
    <w:rsid w:val="00A748A6"/>
    <w:rsid w:val="00A76A69"/>
    <w:rsid w:val="00A879A4"/>
    <w:rsid w:val="00AA09D9"/>
    <w:rsid w:val="00AA0FF8"/>
    <w:rsid w:val="00AA2489"/>
    <w:rsid w:val="00AC0F2C"/>
    <w:rsid w:val="00AC2264"/>
    <w:rsid w:val="00AC2EA2"/>
    <w:rsid w:val="00AC4479"/>
    <w:rsid w:val="00AC502A"/>
    <w:rsid w:val="00AE1F0F"/>
    <w:rsid w:val="00AF58C1"/>
    <w:rsid w:val="00AF7A2B"/>
    <w:rsid w:val="00B04A3F"/>
    <w:rsid w:val="00B05804"/>
    <w:rsid w:val="00B06643"/>
    <w:rsid w:val="00B15055"/>
    <w:rsid w:val="00B20551"/>
    <w:rsid w:val="00B30179"/>
    <w:rsid w:val="00B33FC7"/>
    <w:rsid w:val="00B36940"/>
    <w:rsid w:val="00B37B15"/>
    <w:rsid w:val="00B45C02"/>
    <w:rsid w:val="00B51C17"/>
    <w:rsid w:val="00B61FF8"/>
    <w:rsid w:val="00B6441B"/>
    <w:rsid w:val="00B70B63"/>
    <w:rsid w:val="00B72A1E"/>
    <w:rsid w:val="00B775C6"/>
    <w:rsid w:val="00B81E12"/>
    <w:rsid w:val="00BA339B"/>
    <w:rsid w:val="00BA3698"/>
    <w:rsid w:val="00BB1947"/>
    <w:rsid w:val="00BB23CC"/>
    <w:rsid w:val="00BC1E7E"/>
    <w:rsid w:val="00BC3362"/>
    <w:rsid w:val="00BC74E9"/>
    <w:rsid w:val="00BE36A9"/>
    <w:rsid w:val="00BE37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69B8"/>
    <w:rsid w:val="00C745C3"/>
    <w:rsid w:val="00C978F5"/>
    <w:rsid w:val="00CA24A4"/>
    <w:rsid w:val="00CA6750"/>
    <w:rsid w:val="00CB348D"/>
    <w:rsid w:val="00CB6373"/>
    <w:rsid w:val="00CD46F5"/>
    <w:rsid w:val="00CE4A8F"/>
    <w:rsid w:val="00CE78F6"/>
    <w:rsid w:val="00CF0312"/>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4B40"/>
    <w:rsid w:val="00D975D6"/>
    <w:rsid w:val="00D978C6"/>
    <w:rsid w:val="00DA0956"/>
    <w:rsid w:val="00DA357F"/>
    <w:rsid w:val="00DA3E12"/>
    <w:rsid w:val="00DB25AE"/>
    <w:rsid w:val="00DC18AD"/>
    <w:rsid w:val="00DD0019"/>
    <w:rsid w:val="00DE054A"/>
    <w:rsid w:val="00DE29DF"/>
    <w:rsid w:val="00DF7223"/>
    <w:rsid w:val="00DF7CAE"/>
    <w:rsid w:val="00E141D7"/>
    <w:rsid w:val="00E225B3"/>
    <w:rsid w:val="00E423C0"/>
    <w:rsid w:val="00E54775"/>
    <w:rsid w:val="00E6414C"/>
    <w:rsid w:val="00E7260F"/>
    <w:rsid w:val="00E8702D"/>
    <w:rsid w:val="00E905F4"/>
    <w:rsid w:val="00E916A9"/>
    <w:rsid w:val="00E916DE"/>
    <w:rsid w:val="00E925AD"/>
    <w:rsid w:val="00E96630"/>
    <w:rsid w:val="00EA0CB4"/>
    <w:rsid w:val="00EC3E48"/>
    <w:rsid w:val="00ED18DC"/>
    <w:rsid w:val="00ED6201"/>
    <w:rsid w:val="00ED7A2A"/>
    <w:rsid w:val="00EF1D7F"/>
    <w:rsid w:val="00F0137E"/>
    <w:rsid w:val="00F21786"/>
    <w:rsid w:val="00F359B8"/>
    <w:rsid w:val="00F3742B"/>
    <w:rsid w:val="00F41FDB"/>
    <w:rsid w:val="00F50596"/>
    <w:rsid w:val="00F5655B"/>
    <w:rsid w:val="00F56D63"/>
    <w:rsid w:val="00F609A9"/>
    <w:rsid w:val="00F80C99"/>
    <w:rsid w:val="00F842DD"/>
    <w:rsid w:val="00F867EC"/>
    <w:rsid w:val="00F91B2B"/>
    <w:rsid w:val="00FC03CD"/>
    <w:rsid w:val="00FC0646"/>
    <w:rsid w:val="00FC0BF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6B3C"/>
  <w15:docId w15:val="{1D8F40B3-F547-45B7-AD83-4D5BA106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805AA2"/>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94749">
      <w:bodyDiv w:val="1"/>
      <w:marLeft w:val="0"/>
      <w:marRight w:val="0"/>
      <w:marTop w:val="0"/>
      <w:marBottom w:val="0"/>
      <w:divBdr>
        <w:top w:val="none" w:sz="0" w:space="0" w:color="auto"/>
        <w:left w:val="none" w:sz="0" w:space="0" w:color="auto"/>
        <w:bottom w:val="none" w:sz="0" w:space="0" w:color="auto"/>
        <w:right w:val="none" w:sz="0" w:space="0" w:color="auto"/>
      </w:divBdr>
      <w:divsChild>
        <w:div w:id="1066610725">
          <w:marLeft w:val="0"/>
          <w:marRight w:val="0"/>
          <w:marTop w:val="0"/>
          <w:marBottom w:val="0"/>
          <w:divBdr>
            <w:top w:val="none" w:sz="0" w:space="0" w:color="auto"/>
            <w:left w:val="none" w:sz="0" w:space="0" w:color="auto"/>
            <w:bottom w:val="none" w:sz="0" w:space="0" w:color="auto"/>
            <w:right w:val="none" w:sz="0" w:space="0" w:color="auto"/>
          </w:divBdr>
          <w:divsChild>
            <w:div w:id="1379015163">
              <w:marLeft w:val="0"/>
              <w:marRight w:val="0"/>
              <w:marTop w:val="0"/>
              <w:marBottom w:val="0"/>
              <w:divBdr>
                <w:top w:val="none" w:sz="0" w:space="0" w:color="auto"/>
                <w:left w:val="none" w:sz="0" w:space="0" w:color="auto"/>
                <w:bottom w:val="none" w:sz="0" w:space="0" w:color="auto"/>
                <w:right w:val="none" w:sz="0" w:space="0" w:color="auto"/>
              </w:divBdr>
            </w:div>
          </w:divsChild>
        </w:div>
        <w:div w:id="953366310">
          <w:marLeft w:val="0"/>
          <w:marRight w:val="0"/>
          <w:marTop w:val="0"/>
          <w:marBottom w:val="0"/>
          <w:divBdr>
            <w:top w:val="none" w:sz="0" w:space="0" w:color="auto"/>
            <w:left w:val="none" w:sz="0" w:space="0" w:color="auto"/>
            <w:bottom w:val="none" w:sz="0" w:space="0" w:color="auto"/>
            <w:right w:val="none" w:sz="0" w:space="0" w:color="auto"/>
          </w:divBdr>
          <w:divsChild>
            <w:div w:id="1884242843">
              <w:marLeft w:val="-240"/>
              <w:marRight w:val="-240"/>
              <w:marTop w:val="0"/>
              <w:marBottom w:val="0"/>
              <w:divBdr>
                <w:top w:val="none" w:sz="0" w:space="0" w:color="auto"/>
                <w:left w:val="none" w:sz="0" w:space="0" w:color="auto"/>
                <w:bottom w:val="none" w:sz="0" w:space="0" w:color="auto"/>
                <w:right w:val="none" w:sz="0" w:space="0" w:color="auto"/>
              </w:divBdr>
              <w:divsChild>
                <w:div w:id="2130859357">
                  <w:marLeft w:val="0"/>
                  <w:marRight w:val="0"/>
                  <w:marTop w:val="0"/>
                  <w:marBottom w:val="0"/>
                  <w:divBdr>
                    <w:top w:val="none" w:sz="0" w:space="0" w:color="auto"/>
                    <w:left w:val="none" w:sz="0" w:space="0" w:color="auto"/>
                    <w:bottom w:val="none" w:sz="0" w:space="0" w:color="auto"/>
                    <w:right w:val="none" w:sz="0" w:space="0" w:color="auto"/>
                  </w:divBdr>
                  <w:divsChild>
                    <w:div w:id="3759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E057-20CD-44F4-85BE-91B648BAC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F1A25-1359-4906-A803-EBF82C2BF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BFA67-2F26-49BE-8A41-4CD4A9383EDB}">
  <ds:schemaRefs>
    <ds:schemaRef ds:uri="http://schemas.microsoft.com/sharepoint/v3/contenttype/forms"/>
  </ds:schemaRefs>
</ds:datastoreItem>
</file>

<file path=customXml/itemProps4.xml><?xml version="1.0" encoding="utf-8"?>
<ds:datastoreItem xmlns:ds="http://schemas.openxmlformats.org/officeDocument/2006/customXml" ds:itemID="{E3B2395B-E666-4CEF-B289-24E72865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180</TotalTime>
  <Pages>7</Pages>
  <Words>1834</Words>
  <Characters>10456</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ECE/TRANS/WP.15/2021/5</dc:title>
  <dc:creator>Christine Barrio-Champeau</dc:creator>
  <cp:lastModifiedBy>Editorial</cp:lastModifiedBy>
  <cp:revision>108</cp:revision>
  <cp:lastPrinted>2009-02-18T09:36:00Z</cp:lastPrinted>
  <dcterms:created xsi:type="dcterms:W3CDTF">2021-02-03T14:11:00Z</dcterms:created>
  <dcterms:modified xsi:type="dcterms:W3CDTF">2021-02-18T10:28:00Z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