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59CD185" w14:textId="77777777" w:rsidTr="00C97039">
        <w:trPr>
          <w:trHeight w:hRule="exact" w:val="851"/>
        </w:trPr>
        <w:tc>
          <w:tcPr>
            <w:tcW w:w="1276" w:type="dxa"/>
            <w:tcBorders>
              <w:bottom w:val="single" w:sz="4" w:space="0" w:color="auto"/>
            </w:tcBorders>
          </w:tcPr>
          <w:p w14:paraId="6BB08EFC" w14:textId="77777777" w:rsidR="00F35BAF" w:rsidRPr="00DB58B5" w:rsidRDefault="00F35BAF" w:rsidP="00086F2F"/>
        </w:tc>
        <w:tc>
          <w:tcPr>
            <w:tcW w:w="2268" w:type="dxa"/>
            <w:tcBorders>
              <w:bottom w:val="single" w:sz="4" w:space="0" w:color="auto"/>
            </w:tcBorders>
            <w:vAlign w:val="bottom"/>
          </w:tcPr>
          <w:p w14:paraId="6F6A525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CE55939" w14:textId="77777777" w:rsidR="00F35BAF" w:rsidRPr="00DB58B5" w:rsidRDefault="00086F2F" w:rsidP="00086F2F">
            <w:pPr>
              <w:jc w:val="right"/>
            </w:pPr>
            <w:r w:rsidRPr="00086F2F">
              <w:rPr>
                <w:sz w:val="40"/>
              </w:rPr>
              <w:t>ECE</w:t>
            </w:r>
            <w:r>
              <w:t>/TRANS/WP.29/GRSP/2021/9</w:t>
            </w:r>
          </w:p>
        </w:tc>
      </w:tr>
      <w:tr w:rsidR="00F35BAF" w:rsidRPr="00DB58B5" w14:paraId="12A5C149" w14:textId="77777777" w:rsidTr="00C97039">
        <w:trPr>
          <w:trHeight w:hRule="exact" w:val="2835"/>
        </w:trPr>
        <w:tc>
          <w:tcPr>
            <w:tcW w:w="1276" w:type="dxa"/>
            <w:tcBorders>
              <w:top w:val="single" w:sz="4" w:space="0" w:color="auto"/>
              <w:bottom w:val="single" w:sz="12" w:space="0" w:color="auto"/>
            </w:tcBorders>
          </w:tcPr>
          <w:p w14:paraId="4C1ED826" w14:textId="77777777" w:rsidR="00F35BAF" w:rsidRPr="00DB58B5" w:rsidRDefault="00F35BAF" w:rsidP="00C97039">
            <w:pPr>
              <w:spacing w:before="120"/>
              <w:jc w:val="center"/>
            </w:pPr>
            <w:r>
              <w:rPr>
                <w:noProof/>
                <w:lang w:eastAsia="fr-CH"/>
              </w:rPr>
              <w:drawing>
                <wp:inline distT="0" distB="0" distL="0" distR="0" wp14:anchorId="581A984F" wp14:editId="0F51F6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56F4C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0FA7C38" w14:textId="77777777" w:rsidR="00F35BAF" w:rsidRDefault="00086F2F" w:rsidP="00C97039">
            <w:pPr>
              <w:spacing w:before="240"/>
            </w:pPr>
            <w:r>
              <w:t>Distr. générale</w:t>
            </w:r>
          </w:p>
          <w:p w14:paraId="047C5414" w14:textId="77777777" w:rsidR="00086F2F" w:rsidRDefault="00086F2F" w:rsidP="00086F2F">
            <w:pPr>
              <w:spacing w:line="240" w:lineRule="exact"/>
            </w:pPr>
            <w:r>
              <w:t>2 mars 2021</w:t>
            </w:r>
          </w:p>
          <w:p w14:paraId="30B22DAD" w14:textId="77777777" w:rsidR="00086F2F" w:rsidRDefault="00086F2F" w:rsidP="00086F2F">
            <w:pPr>
              <w:spacing w:line="240" w:lineRule="exact"/>
            </w:pPr>
            <w:r>
              <w:t>Français</w:t>
            </w:r>
          </w:p>
          <w:p w14:paraId="3E8F1858" w14:textId="77777777" w:rsidR="00086F2F" w:rsidRPr="00DB58B5" w:rsidRDefault="00086F2F" w:rsidP="00086F2F">
            <w:pPr>
              <w:spacing w:line="240" w:lineRule="exact"/>
            </w:pPr>
            <w:r>
              <w:t>Original : anglais</w:t>
            </w:r>
          </w:p>
        </w:tc>
      </w:tr>
    </w:tbl>
    <w:p w14:paraId="7BF4D4C6" w14:textId="77777777" w:rsidR="007F20FA" w:rsidRPr="000312C0" w:rsidRDefault="007F20FA" w:rsidP="007F20FA">
      <w:pPr>
        <w:spacing w:before="120"/>
        <w:rPr>
          <w:b/>
          <w:sz w:val="28"/>
          <w:szCs w:val="28"/>
        </w:rPr>
      </w:pPr>
      <w:r w:rsidRPr="000312C0">
        <w:rPr>
          <w:b/>
          <w:sz w:val="28"/>
          <w:szCs w:val="28"/>
        </w:rPr>
        <w:t>Commission économique pour l’Europe</w:t>
      </w:r>
    </w:p>
    <w:p w14:paraId="7A93A62A" w14:textId="77777777" w:rsidR="007F20FA" w:rsidRDefault="007F20FA" w:rsidP="007F20FA">
      <w:pPr>
        <w:spacing w:before="120"/>
        <w:rPr>
          <w:sz w:val="28"/>
          <w:szCs w:val="28"/>
        </w:rPr>
      </w:pPr>
      <w:r w:rsidRPr="00685843">
        <w:rPr>
          <w:sz w:val="28"/>
          <w:szCs w:val="28"/>
        </w:rPr>
        <w:t>Comité des transports intérieurs</w:t>
      </w:r>
    </w:p>
    <w:p w14:paraId="0D5A8B61" w14:textId="77777777" w:rsidR="00086F2F" w:rsidRPr="00E23BB8" w:rsidRDefault="00086F2F" w:rsidP="00E23BB8">
      <w:pPr>
        <w:spacing w:before="120"/>
        <w:rPr>
          <w:b/>
          <w:sz w:val="24"/>
          <w:szCs w:val="24"/>
          <w:lang w:val="fr-FR"/>
        </w:rPr>
      </w:pPr>
      <w:r w:rsidRPr="00E23BB8">
        <w:rPr>
          <w:b/>
          <w:bCs/>
          <w:sz w:val="24"/>
          <w:szCs w:val="24"/>
          <w:lang w:val="fr-FR"/>
        </w:rPr>
        <w:t xml:space="preserve">Forum mondial de l’harmonisation des Règlements </w:t>
      </w:r>
      <w:r w:rsidR="00E23BB8">
        <w:rPr>
          <w:b/>
          <w:bCs/>
          <w:sz w:val="24"/>
          <w:szCs w:val="24"/>
          <w:lang w:val="fr-FR"/>
        </w:rPr>
        <w:br/>
      </w:r>
      <w:r w:rsidRPr="00E23BB8">
        <w:rPr>
          <w:b/>
          <w:bCs/>
          <w:sz w:val="24"/>
          <w:szCs w:val="24"/>
          <w:lang w:val="fr-FR"/>
        </w:rPr>
        <w:t>concernant les véhicules</w:t>
      </w:r>
    </w:p>
    <w:p w14:paraId="65A1ADED" w14:textId="77777777" w:rsidR="00086F2F" w:rsidRPr="002E1AB7" w:rsidRDefault="00086F2F" w:rsidP="00E23BB8">
      <w:pPr>
        <w:spacing w:before="120"/>
        <w:rPr>
          <w:b/>
          <w:lang w:val="fr-FR"/>
        </w:rPr>
      </w:pPr>
      <w:r>
        <w:rPr>
          <w:b/>
          <w:bCs/>
          <w:lang w:val="fr-FR"/>
        </w:rPr>
        <w:t>Groupe de travail de la sécurité passive</w:t>
      </w:r>
    </w:p>
    <w:p w14:paraId="069A44F4" w14:textId="77777777" w:rsidR="00086F2F" w:rsidRPr="002E1AB7" w:rsidRDefault="00086F2F" w:rsidP="00E23BB8">
      <w:pPr>
        <w:spacing w:before="120"/>
        <w:rPr>
          <w:b/>
          <w:lang w:val="fr-FR"/>
        </w:rPr>
      </w:pPr>
      <w:r>
        <w:rPr>
          <w:b/>
          <w:bCs/>
          <w:lang w:val="fr-FR"/>
        </w:rPr>
        <w:t>Soixante-neuvième session</w:t>
      </w:r>
      <w:r>
        <w:rPr>
          <w:lang w:val="fr-FR"/>
        </w:rPr>
        <w:t xml:space="preserve"> </w:t>
      </w:r>
    </w:p>
    <w:p w14:paraId="6753EEAC" w14:textId="77777777" w:rsidR="00086F2F" w:rsidRPr="002E1AB7" w:rsidRDefault="00086F2F" w:rsidP="00086F2F">
      <w:pPr>
        <w:rPr>
          <w:bCs/>
          <w:lang w:val="fr-FR"/>
        </w:rPr>
      </w:pPr>
      <w:r>
        <w:rPr>
          <w:lang w:val="fr-FR"/>
        </w:rPr>
        <w:t>Genève, 17-21 mai 2021</w:t>
      </w:r>
    </w:p>
    <w:p w14:paraId="19F838DE" w14:textId="77777777" w:rsidR="00086F2F" w:rsidRPr="002E1AB7" w:rsidRDefault="00086F2F" w:rsidP="00086F2F">
      <w:pPr>
        <w:rPr>
          <w:bCs/>
          <w:lang w:val="fr-FR"/>
        </w:rPr>
      </w:pPr>
      <w:r>
        <w:rPr>
          <w:lang w:val="fr-FR"/>
        </w:rPr>
        <w:t>Point 6 de l’ordre du jour provisoire</w:t>
      </w:r>
    </w:p>
    <w:p w14:paraId="62AA6434" w14:textId="77777777" w:rsidR="00086F2F" w:rsidRPr="002E1AB7" w:rsidRDefault="00086F2F" w:rsidP="00086F2F">
      <w:pPr>
        <w:rPr>
          <w:b/>
          <w:lang w:val="fr-FR"/>
        </w:rPr>
      </w:pPr>
      <w:r>
        <w:rPr>
          <w:b/>
          <w:bCs/>
          <w:lang w:val="fr-FR"/>
        </w:rPr>
        <w:t>Règlement ONU</w:t>
      </w:r>
      <w:r w:rsidR="00E23BB8">
        <w:rPr>
          <w:b/>
          <w:bCs/>
          <w:lang w:val="fr-FR"/>
        </w:rPr>
        <w:t xml:space="preserve"> </w:t>
      </w:r>
      <w:r>
        <w:rPr>
          <w:b/>
          <w:bCs/>
          <w:lang w:val="fr-FR"/>
        </w:rPr>
        <w:t>n</w:t>
      </w:r>
      <w:r>
        <w:rPr>
          <w:b/>
          <w:bCs/>
          <w:vertAlign w:val="superscript"/>
          <w:lang w:val="fr-FR"/>
        </w:rPr>
        <w:t>o</w:t>
      </w:r>
      <w:r>
        <w:rPr>
          <w:b/>
          <w:bCs/>
          <w:lang w:val="fr-FR"/>
        </w:rPr>
        <w:t> 14 (Ancrages des ceintures de sécurité)</w:t>
      </w:r>
    </w:p>
    <w:p w14:paraId="3DD30AA3" w14:textId="77777777" w:rsidR="00086F2F" w:rsidRPr="002E1AB7" w:rsidRDefault="00086F2F" w:rsidP="00E23BB8">
      <w:pPr>
        <w:pStyle w:val="HChG"/>
        <w:rPr>
          <w:lang w:val="fr-FR"/>
        </w:rPr>
      </w:pPr>
      <w:r>
        <w:rPr>
          <w:lang w:val="fr-FR"/>
        </w:rPr>
        <w:tab/>
      </w:r>
      <w:r>
        <w:rPr>
          <w:lang w:val="fr-FR"/>
        </w:rPr>
        <w:tab/>
        <w:t xml:space="preserve">Proposition de complément 9 à la série 07 d’amendements, </w:t>
      </w:r>
      <w:r>
        <w:rPr>
          <w:lang w:val="fr-FR"/>
        </w:rPr>
        <w:br/>
        <w:t xml:space="preserve">de complément 1 à la série 08 d’amendements </w:t>
      </w:r>
      <w:r w:rsidR="00E23BB8">
        <w:rPr>
          <w:lang w:val="fr-FR"/>
        </w:rPr>
        <w:br/>
      </w:r>
      <w:r>
        <w:rPr>
          <w:lang w:val="fr-FR"/>
        </w:rPr>
        <w:t xml:space="preserve">et de complément 2 à la série 09 d’amendements </w:t>
      </w:r>
      <w:r>
        <w:rPr>
          <w:lang w:val="fr-FR"/>
        </w:rPr>
        <w:br/>
        <w:t>au Règlement ONU n</w:t>
      </w:r>
      <w:r>
        <w:rPr>
          <w:vertAlign w:val="superscript"/>
          <w:lang w:val="fr-FR"/>
        </w:rPr>
        <w:t>o</w:t>
      </w:r>
      <w:r>
        <w:rPr>
          <w:lang w:val="fr-FR"/>
        </w:rPr>
        <w:t> 14 (Ancrages des ceintures de sécurité)</w:t>
      </w:r>
    </w:p>
    <w:p w14:paraId="644BF0B2" w14:textId="77777777" w:rsidR="00086F2F" w:rsidRPr="002E1AB7" w:rsidRDefault="00E23BB8" w:rsidP="00E23BB8">
      <w:pPr>
        <w:pStyle w:val="H1G"/>
        <w:rPr>
          <w:lang w:val="fr-FR"/>
        </w:rPr>
      </w:pPr>
      <w:r>
        <w:rPr>
          <w:lang w:val="fr-FR"/>
        </w:rPr>
        <w:tab/>
      </w:r>
      <w:r>
        <w:rPr>
          <w:lang w:val="fr-FR"/>
        </w:rPr>
        <w:tab/>
      </w:r>
      <w:r w:rsidR="00086F2F">
        <w:rPr>
          <w:lang w:val="fr-FR"/>
        </w:rPr>
        <w:t>Communication des experts des Pays-Bas et de l’Allemagne</w:t>
      </w:r>
      <w:r w:rsidR="00086F2F" w:rsidRPr="00E23BB8">
        <w:rPr>
          <w:b w:val="0"/>
          <w:bCs/>
          <w:sz w:val="20"/>
          <w:lang w:val="fr-FR"/>
        </w:rPr>
        <w:footnoteReference w:customMarkFollows="1" w:id="2"/>
        <w:t xml:space="preserve">* </w:t>
      </w:r>
    </w:p>
    <w:p w14:paraId="505DC291" w14:textId="77777777" w:rsidR="00086F2F" w:rsidRPr="002E1AB7" w:rsidRDefault="00086F2F" w:rsidP="00E23BB8">
      <w:pPr>
        <w:pStyle w:val="SingleTxtG"/>
        <w:ind w:firstLine="567"/>
        <w:rPr>
          <w:lang w:val="fr-FR"/>
        </w:rPr>
      </w:pPr>
      <w:r>
        <w:rPr>
          <w:lang w:val="fr-FR"/>
        </w:rPr>
        <w:t>Le texte ci-après, établi par les experts des Pays-Bas et de l’Allemagne, vise à corriger une incohérence à l’appendice 1 de l’annexe 6, concernant le nombre minimum d’ancrages inférieurs pour les strapontins. Les modifications qu’il est proposé d’apporter au texte actuel du Règlement ONU figurent en caractères gras pour les ajouts et biffés pour les suppressions.</w:t>
      </w:r>
    </w:p>
    <w:p w14:paraId="37FE0FB7" w14:textId="77777777" w:rsidR="00086F2F" w:rsidRDefault="00086F2F" w:rsidP="00086F2F">
      <w:pPr>
        <w:rPr>
          <w:b/>
          <w:sz w:val="28"/>
          <w:lang w:val="fr-FR"/>
        </w:rPr>
      </w:pPr>
      <w:r>
        <w:rPr>
          <w:lang w:val="fr-FR"/>
        </w:rPr>
        <w:br w:type="page"/>
      </w:r>
    </w:p>
    <w:p w14:paraId="28ADAD8F" w14:textId="77777777" w:rsidR="00086F2F" w:rsidRPr="002E1AB7" w:rsidRDefault="00086F2F" w:rsidP="00E23BB8">
      <w:pPr>
        <w:pStyle w:val="HChG"/>
        <w:rPr>
          <w:lang w:val="fr-FR"/>
        </w:rPr>
      </w:pPr>
      <w:r>
        <w:rPr>
          <w:lang w:val="fr-FR"/>
        </w:rPr>
        <w:lastRenderedPageBreak/>
        <w:tab/>
        <w:t>I.</w:t>
      </w:r>
      <w:r>
        <w:rPr>
          <w:lang w:val="fr-FR"/>
        </w:rPr>
        <w:tab/>
        <w:t>Proposition</w:t>
      </w:r>
    </w:p>
    <w:p w14:paraId="29E804C4" w14:textId="77777777" w:rsidR="00086F2F" w:rsidRPr="002E1AB7" w:rsidRDefault="00086F2F" w:rsidP="00E23BB8">
      <w:pPr>
        <w:pStyle w:val="SingleTxtG"/>
        <w:rPr>
          <w:lang w:val="fr-FR"/>
        </w:rPr>
      </w:pPr>
      <w:r w:rsidRPr="00E23BB8">
        <w:rPr>
          <w:i/>
          <w:iCs/>
          <w:lang w:val="fr-FR"/>
        </w:rPr>
        <w:t>Annexe 6, appendice 1</w:t>
      </w:r>
      <w:r>
        <w:rPr>
          <w:lang w:val="fr-FR"/>
        </w:rPr>
        <w:t>, lire :</w:t>
      </w:r>
    </w:p>
    <w:p w14:paraId="450BA76C" w14:textId="77777777" w:rsidR="00086F2F" w:rsidRPr="002E1AB7" w:rsidRDefault="00086F2F" w:rsidP="00E23BB8">
      <w:pPr>
        <w:pStyle w:val="HChG"/>
        <w:rPr>
          <w:lang w:val="fr-FR"/>
        </w:rPr>
      </w:pPr>
      <w:r w:rsidRPr="00E23BB8">
        <w:rPr>
          <w:b w:val="0"/>
          <w:bCs/>
          <w:sz w:val="20"/>
          <w:lang w:val="fr-FR"/>
        </w:rPr>
        <w:t>« </w:t>
      </w:r>
      <w:r>
        <w:rPr>
          <w:lang w:val="fr-FR"/>
        </w:rPr>
        <w:t>Annexe 6</w:t>
      </w:r>
      <w:r w:rsidR="00E23BB8">
        <w:rPr>
          <w:lang w:val="fr-FR"/>
        </w:rPr>
        <w:t xml:space="preserve"> </w:t>
      </w:r>
      <w:r>
        <w:rPr>
          <w:lang w:val="fr-FR"/>
        </w:rPr>
        <w:t>− Appendice 1</w:t>
      </w:r>
    </w:p>
    <w:p w14:paraId="6B22BA5D" w14:textId="77777777" w:rsidR="00086F2F" w:rsidRPr="002E1AB7" w:rsidRDefault="00086F2F" w:rsidP="00E23BB8">
      <w:pPr>
        <w:pStyle w:val="H1G"/>
        <w:rPr>
          <w:lang w:val="fr-FR"/>
        </w:rPr>
      </w:pPr>
      <w:r>
        <w:rPr>
          <w:lang w:val="fr-FR"/>
        </w:rPr>
        <w:tab/>
      </w:r>
      <w:r>
        <w:rPr>
          <w:lang w:val="fr-FR"/>
        </w:rPr>
        <w:tab/>
        <w:t>Emplacement des ancrages inférieurs</w:t>
      </w:r>
      <w:r w:rsidR="00E23BB8">
        <w:rPr>
          <w:lang w:val="fr-FR"/>
        </w:rPr>
        <w:t xml:space="preserve"> </w:t>
      </w:r>
      <w:r>
        <w:rPr>
          <w:lang w:val="fr-FR"/>
        </w:rPr>
        <w:t>− prescriptions concernant seulement les angles</w:t>
      </w:r>
    </w:p>
    <w:tbl>
      <w:tblPr>
        <w:tblW w:w="7372" w:type="dxa"/>
        <w:tblInd w:w="1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081"/>
        <w:gridCol w:w="2686"/>
        <w:gridCol w:w="1843"/>
        <w:gridCol w:w="1762"/>
      </w:tblGrid>
      <w:tr w:rsidR="00086F2F" w:rsidRPr="00800AF0" w14:paraId="6B507622" w14:textId="77777777" w:rsidTr="00E23BB8">
        <w:trPr>
          <w:tblHeader/>
        </w:trPr>
        <w:tc>
          <w:tcPr>
            <w:tcW w:w="3767" w:type="dxa"/>
            <w:gridSpan w:val="2"/>
            <w:tcBorders>
              <w:bottom w:val="single" w:sz="12" w:space="0" w:color="auto"/>
            </w:tcBorders>
            <w:shd w:val="clear" w:color="auto" w:fill="auto"/>
            <w:vAlign w:val="bottom"/>
          </w:tcPr>
          <w:p w14:paraId="2E5483B6" w14:textId="77777777" w:rsidR="00086F2F" w:rsidRPr="00800AF0" w:rsidRDefault="00086F2F" w:rsidP="00E23BB8">
            <w:pPr>
              <w:spacing w:before="80" w:after="80" w:line="200" w:lineRule="exact"/>
              <w:rPr>
                <w:i/>
                <w:sz w:val="16"/>
                <w:szCs w:val="16"/>
              </w:rPr>
            </w:pPr>
            <w:r w:rsidRPr="00800AF0">
              <w:rPr>
                <w:i/>
                <w:iCs/>
                <w:sz w:val="16"/>
                <w:szCs w:val="16"/>
                <w:lang w:val="fr-FR"/>
              </w:rPr>
              <w:t>Siège</w:t>
            </w:r>
          </w:p>
        </w:tc>
        <w:tc>
          <w:tcPr>
            <w:tcW w:w="1843" w:type="dxa"/>
            <w:tcBorders>
              <w:bottom w:val="single" w:sz="12" w:space="0" w:color="auto"/>
            </w:tcBorders>
            <w:shd w:val="clear" w:color="auto" w:fill="auto"/>
            <w:vAlign w:val="bottom"/>
          </w:tcPr>
          <w:p w14:paraId="7B4DB5C1" w14:textId="77777777" w:rsidR="00086F2F" w:rsidRPr="00800AF0" w:rsidRDefault="00086F2F" w:rsidP="00E23BB8">
            <w:pPr>
              <w:spacing w:before="80" w:after="80" w:line="200" w:lineRule="exact"/>
              <w:rPr>
                <w:i/>
                <w:sz w:val="16"/>
                <w:szCs w:val="16"/>
              </w:rPr>
            </w:pPr>
            <w:r w:rsidRPr="00800AF0">
              <w:rPr>
                <w:i/>
                <w:iCs/>
                <w:sz w:val="16"/>
                <w:szCs w:val="16"/>
                <w:lang w:val="fr-FR"/>
              </w:rPr>
              <w:t>M</w:t>
            </w:r>
            <w:r w:rsidRPr="00800AF0">
              <w:rPr>
                <w:i/>
                <w:iCs/>
                <w:sz w:val="16"/>
                <w:szCs w:val="16"/>
                <w:vertAlign w:val="subscript"/>
                <w:lang w:val="fr-FR"/>
              </w:rPr>
              <w:t>1</w:t>
            </w:r>
          </w:p>
        </w:tc>
        <w:tc>
          <w:tcPr>
            <w:tcW w:w="1762" w:type="dxa"/>
            <w:tcBorders>
              <w:bottom w:val="single" w:sz="12" w:space="0" w:color="auto"/>
            </w:tcBorders>
            <w:shd w:val="clear" w:color="auto" w:fill="auto"/>
            <w:vAlign w:val="bottom"/>
          </w:tcPr>
          <w:p w14:paraId="6F42A8BE" w14:textId="77777777" w:rsidR="00086F2F" w:rsidRPr="00800AF0" w:rsidRDefault="00086F2F" w:rsidP="00E23BB8">
            <w:pPr>
              <w:spacing w:before="80" w:after="80" w:line="200" w:lineRule="exact"/>
              <w:rPr>
                <w:i/>
                <w:sz w:val="16"/>
                <w:szCs w:val="16"/>
              </w:rPr>
            </w:pPr>
            <w:r w:rsidRPr="00800AF0">
              <w:rPr>
                <w:i/>
                <w:iCs/>
                <w:sz w:val="16"/>
                <w:szCs w:val="16"/>
                <w:lang w:val="fr-FR"/>
              </w:rPr>
              <w:t>Autres que M</w:t>
            </w:r>
            <w:r w:rsidRPr="00800AF0">
              <w:rPr>
                <w:i/>
                <w:iCs/>
                <w:sz w:val="16"/>
                <w:szCs w:val="16"/>
                <w:vertAlign w:val="subscript"/>
                <w:lang w:val="fr-FR"/>
              </w:rPr>
              <w:t>1</w:t>
            </w:r>
          </w:p>
        </w:tc>
      </w:tr>
      <w:tr w:rsidR="00086F2F" w:rsidRPr="00800AF0" w14:paraId="1404A91F" w14:textId="77777777" w:rsidTr="00E23BB8">
        <w:tblPrEx>
          <w:tblCellMar>
            <w:left w:w="81" w:type="dxa"/>
            <w:right w:w="81" w:type="dxa"/>
          </w:tblCellMar>
        </w:tblPrEx>
        <w:tc>
          <w:tcPr>
            <w:tcW w:w="1081" w:type="dxa"/>
            <w:vMerge w:val="restart"/>
            <w:tcBorders>
              <w:top w:val="single" w:sz="12" w:space="0" w:color="auto"/>
            </w:tcBorders>
            <w:shd w:val="clear" w:color="auto" w:fill="auto"/>
          </w:tcPr>
          <w:p w14:paraId="08D0F2F6" w14:textId="77777777" w:rsidR="00086F2F" w:rsidRPr="00E23BB8" w:rsidRDefault="00086F2F" w:rsidP="00E23BB8">
            <w:pPr>
              <w:spacing w:before="60" w:after="60" w:line="220" w:lineRule="atLeast"/>
              <w:rPr>
                <w:sz w:val="18"/>
                <w:szCs w:val="18"/>
              </w:rPr>
            </w:pPr>
            <w:r w:rsidRPr="00E23BB8">
              <w:rPr>
                <w:sz w:val="18"/>
                <w:szCs w:val="18"/>
                <w:lang w:val="fr-FR"/>
              </w:rPr>
              <w:t>À l’avant*</w:t>
            </w:r>
          </w:p>
        </w:tc>
        <w:tc>
          <w:tcPr>
            <w:tcW w:w="2686" w:type="dxa"/>
            <w:tcBorders>
              <w:top w:val="single" w:sz="12" w:space="0" w:color="auto"/>
            </w:tcBorders>
            <w:shd w:val="clear" w:color="auto" w:fill="auto"/>
          </w:tcPr>
          <w:p w14:paraId="53057D8A" w14:textId="77777777" w:rsidR="00086F2F" w:rsidRPr="00E23BB8" w:rsidRDefault="00086F2F" w:rsidP="00E23BB8">
            <w:pPr>
              <w:spacing w:before="60" w:after="60" w:line="220" w:lineRule="atLeast"/>
              <w:rPr>
                <w:sz w:val="18"/>
                <w:szCs w:val="18"/>
              </w:rPr>
            </w:pPr>
            <w:r w:rsidRPr="00E23BB8">
              <w:rPr>
                <w:sz w:val="18"/>
                <w:szCs w:val="18"/>
                <w:lang w:val="fr-FR"/>
              </w:rPr>
              <w:t>côté boucle (α</w:t>
            </w:r>
            <w:r w:rsidRPr="00E23BB8">
              <w:rPr>
                <w:sz w:val="18"/>
                <w:szCs w:val="18"/>
                <w:vertAlign w:val="subscript"/>
                <w:lang w:val="fr-FR"/>
              </w:rPr>
              <w:t>2</w:t>
            </w:r>
            <w:r w:rsidRPr="00E23BB8">
              <w:rPr>
                <w:sz w:val="18"/>
                <w:szCs w:val="18"/>
                <w:lang w:val="fr-FR"/>
              </w:rPr>
              <w:t>)</w:t>
            </w:r>
          </w:p>
        </w:tc>
        <w:tc>
          <w:tcPr>
            <w:tcW w:w="1843" w:type="dxa"/>
            <w:tcBorders>
              <w:top w:val="single" w:sz="12" w:space="0" w:color="auto"/>
            </w:tcBorders>
            <w:shd w:val="clear" w:color="auto" w:fill="auto"/>
          </w:tcPr>
          <w:p w14:paraId="14ADFD7D" w14:textId="77777777" w:rsidR="00086F2F" w:rsidRPr="00E23BB8" w:rsidRDefault="00086F2F" w:rsidP="00E23BB8">
            <w:pPr>
              <w:spacing w:before="60" w:after="60" w:line="220" w:lineRule="atLeast"/>
              <w:rPr>
                <w:sz w:val="18"/>
                <w:szCs w:val="18"/>
              </w:rPr>
            </w:pPr>
            <w:r w:rsidRPr="00E23BB8">
              <w:rPr>
                <w:sz w:val="18"/>
                <w:szCs w:val="18"/>
                <w:lang w:val="fr-FR"/>
              </w:rPr>
              <w:t>45° - 80°</w:t>
            </w:r>
          </w:p>
        </w:tc>
        <w:tc>
          <w:tcPr>
            <w:tcW w:w="1762" w:type="dxa"/>
            <w:tcBorders>
              <w:top w:val="single" w:sz="12" w:space="0" w:color="auto"/>
            </w:tcBorders>
            <w:shd w:val="clear" w:color="auto" w:fill="auto"/>
            <w:vAlign w:val="bottom"/>
          </w:tcPr>
          <w:p w14:paraId="71E25C87" w14:textId="77777777" w:rsidR="00086F2F" w:rsidRPr="00E23BB8" w:rsidRDefault="00086F2F" w:rsidP="00E23BB8">
            <w:pPr>
              <w:spacing w:before="60" w:after="60" w:line="220" w:lineRule="atLeast"/>
              <w:rPr>
                <w:sz w:val="18"/>
                <w:szCs w:val="18"/>
              </w:rPr>
            </w:pPr>
            <w:r w:rsidRPr="00E23BB8">
              <w:rPr>
                <w:sz w:val="18"/>
                <w:szCs w:val="18"/>
                <w:lang w:val="fr-FR"/>
              </w:rPr>
              <w:t>30° - 80°</w:t>
            </w:r>
          </w:p>
        </w:tc>
      </w:tr>
      <w:tr w:rsidR="00086F2F" w:rsidRPr="00800AF0" w14:paraId="0E4B96FE" w14:textId="77777777" w:rsidTr="00E23BB8">
        <w:tblPrEx>
          <w:tblCellMar>
            <w:left w:w="81" w:type="dxa"/>
            <w:right w:w="81" w:type="dxa"/>
          </w:tblCellMar>
        </w:tblPrEx>
        <w:tc>
          <w:tcPr>
            <w:tcW w:w="1081" w:type="dxa"/>
            <w:vMerge/>
            <w:shd w:val="clear" w:color="auto" w:fill="auto"/>
          </w:tcPr>
          <w:p w14:paraId="11D8CA54" w14:textId="77777777" w:rsidR="00086F2F" w:rsidRPr="00E23BB8" w:rsidRDefault="00086F2F" w:rsidP="00E23BB8">
            <w:pPr>
              <w:spacing w:before="60" w:after="60" w:line="220" w:lineRule="atLeast"/>
              <w:rPr>
                <w:sz w:val="18"/>
                <w:szCs w:val="18"/>
              </w:rPr>
            </w:pPr>
          </w:p>
        </w:tc>
        <w:tc>
          <w:tcPr>
            <w:tcW w:w="2686" w:type="dxa"/>
            <w:shd w:val="clear" w:color="auto" w:fill="auto"/>
          </w:tcPr>
          <w:p w14:paraId="44D6B79B" w14:textId="77777777" w:rsidR="00086F2F" w:rsidRPr="00E23BB8" w:rsidRDefault="00086F2F" w:rsidP="00E23BB8">
            <w:pPr>
              <w:spacing w:before="60" w:after="60" w:line="220" w:lineRule="atLeast"/>
              <w:rPr>
                <w:sz w:val="18"/>
                <w:szCs w:val="18"/>
                <w:lang w:val="fr-FR"/>
              </w:rPr>
            </w:pPr>
            <w:r w:rsidRPr="00E23BB8">
              <w:rPr>
                <w:sz w:val="18"/>
                <w:szCs w:val="18"/>
                <w:lang w:val="fr-FR"/>
              </w:rPr>
              <w:t>autre que côté boucle (α</w:t>
            </w:r>
            <w:r w:rsidRPr="00E23BB8">
              <w:rPr>
                <w:sz w:val="18"/>
                <w:szCs w:val="18"/>
                <w:vertAlign w:val="subscript"/>
                <w:lang w:val="fr-FR"/>
              </w:rPr>
              <w:t>1</w:t>
            </w:r>
            <w:r w:rsidRPr="00E23BB8">
              <w:rPr>
                <w:sz w:val="18"/>
                <w:szCs w:val="18"/>
                <w:lang w:val="fr-FR"/>
              </w:rPr>
              <w:t>)</w:t>
            </w:r>
          </w:p>
        </w:tc>
        <w:tc>
          <w:tcPr>
            <w:tcW w:w="1843" w:type="dxa"/>
            <w:shd w:val="clear" w:color="auto" w:fill="auto"/>
          </w:tcPr>
          <w:p w14:paraId="7C4E8CE5" w14:textId="77777777" w:rsidR="00086F2F" w:rsidRPr="00E23BB8" w:rsidRDefault="00086F2F" w:rsidP="00E23BB8">
            <w:pPr>
              <w:spacing w:before="60" w:after="60" w:line="220" w:lineRule="atLeast"/>
              <w:rPr>
                <w:sz w:val="18"/>
                <w:szCs w:val="18"/>
              </w:rPr>
            </w:pPr>
            <w:r w:rsidRPr="00E23BB8">
              <w:rPr>
                <w:sz w:val="18"/>
                <w:szCs w:val="18"/>
                <w:lang w:val="fr-FR"/>
              </w:rPr>
              <w:t>30° - 80°</w:t>
            </w:r>
          </w:p>
        </w:tc>
        <w:tc>
          <w:tcPr>
            <w:tcW w:w="1762" w:type="dxa"/>
            <w:shd w:val="clear" w:color="auto" w:fill="auto"/>
            <w:vAlign w:val="bottom"/>
          </w:tcPr>
          <w:p w14:paraId="6C803A5B" w14:textId="77777777" w:rsidR="00086F2F" w:rsidRPr="00E23BB8" w:rsidRDefault="00086F2F" w:rsidP="00E23BB8">
            <w:pPr>
              <w:spacing w:before="60" w:after="60" w:line="220" w:lineRule="atLeast"/>
              <w:rPr>
                <w:sz w:val="18"/>
                <w:szCs w:val="18"/>
              </w:rPr>
            </w:pPr>
            <w:r w:rsidRPr="00E23BB8">
              <w:rPr>
                <w:sz w:val="18"/>
                <w:szCs w:val="18"/>
                <w:lang w:val="fr-FR"/>
              </w:rPr>
              <w:t>30° - 80°</w:t>
            </w:r>
          </w:p>
        </w:tc>
      </w:tr>
      <w:tr w:rsidR="00086F2F" w:rsidRPr="00800AF0" w14:paraId="2E5C1912" w14:textId="77777777" w:rsidTr="00E23BB8">
        <w:tblPrEx>
          <w:tblCellMar>
            <w:left w:w="81" w:type="dxa"/>
            <w:right w:w="81" w:type="dxa"/>
          </w:tblCellMar>
        </w:tblPrEx>
        <w:tc>
          <w:tcPr>
            <w:tcW w:w="1081" w:type="dxa"/>
            <w:vMerge/>
            <w:shd w:val="clear" w:color="auto" w:fill="auto"/>
          </w:tcPr>
          <w:p w14:paraId="04EC5157" w14:textId="77777777" w:rsidR="00086F2F" w:rsidRPr="00E23BB8" w:rsidRDefault="00086F2F" w:rsidP="00E23BB8">
            <w:pPr>
              <w:spacing w:before="60" w:after="60" w:line="220" w:lineRule="atLeast"/>
              <w:rPr>
                <w:sz w:val="18"/>
                <w:szCs w:val="18"/>
              </w:rPr>
            </w:pPr>
          </w:p>
        </w:tc>
        <w:tc>
          <w:tcPr>
            <w:tcW w:w="2686" w:type="dxa"/>
            <w:shd w:val="clear" w:color="auto" w:fill="auto"/>
          </w:tcPr>
          <w:p w14:paraId="78F91985" w14:textId="77777777" w:rsidR="00086F2F" w:rsidRPr="00E23BB8" w:rsidRDefault="00086F2F" w:rsidP="00E23BB8">
            <w:pPr>
              <w:spacing w:before="60" w:after="60" w:line="220" w:lineRule="atLeast"/>
              <w:rPr>
                <w:sz w:val="18"/>
                <w:szCs w:val="18"/>
              </w:rPr>
            </w:pPr>
            <w:r w:rsidRPr="00E23BB8">
              <w:rPr>
                <w:sz w:val="18"/>
                <w:szCs w:val="18"/>
                <w:lang w:val="fr-FR"/>
              </w:rPr>
              <w:t>constante d’angle</w:t>
            </w:r>
          </w:p>
        </w:tc>
        <w:tc>
          <w:tcPr>
            <w:tcW w:w="1843" w:type="dxa"/>
            <w:shd w:val="clear" w:color="auto" w:fill="auto"/>
          </w:tcPr>
          <w:p w14:paraId="0754F5E3" w14:textId="77777777" w:rsidR="00086F2F" w:rsidRPr="00E23BB8" w:rsidRDefault="00086F2F" w:rsidP="00E23BB8">
            <w:pPr>
              <w:spacing w:before="60" w:after="60" w:line="220" w:lineRule="atLeast"/>
              <w:rPr>
                <w:sz w:val="18"/>
                <w:szCs w:val="18"/>
              </w:rPr>
            </w:pPr>
            <w:r w:rsidRPr="00E23BB8">
              <w:rPr>
                <w:sz w:val="18"/>
                <w:szCs w:val="18"/>
                <w:lang w:val="fr-FR"/>
              </w:rPr>
              <w:t>50° - 70°</w:t>
            </w:r>
          </w:p>
        </w:tc>
        <w:tc>
          <w:tcPr>
            <w:tcW w:w="1762" w:type="dxa"/>
            <w:shd w:val="clear" w:color="auto" w:fill="auto"/>
            <w:vAlign w:val="bottom"/>
          </w:tcPr>
          <w:p w14:paraId="6169AE99" w14:textId="77777777" w:rsidR="00086F2F" w:rsidRPr="00E23BB8" w:rsidRDefault="00086F2F" w:rsidP="00E23BB8">
            <w:pPr>
              <w:spacing w:before="60" w:after="60" w:line="220" w:lineRule="atLeast"/>
              <w:rPr>
                <w:sz w:val="18"/>
                <w:szCs w:val="18"/>
              </w:rPr>
            </w:pPr>
            <w:r w:rsidRPr="00E23BB8">
              <w:rPr>
                <w:sz w:val="18"/>
                <w:szCs w:val="18"/>
                <w:lang w:val="fr-FR"/>
              </w:rPr>
              <w:t>50° - 70°</w:t>
            </w:r>
          </w:p>
        </w:tc>
      </w:tr>
      <w:tr w:rsidR="00086F2F" w:rsidRPr="00800AF0" w14:paraId="5D6F5277" w14:textId="77777777" w:rsidTr="00E23BB8">
        <w:tblPrEx>
          <w:tblCellMar>
            <w:left w:w="81" w:type="dxa"/>
            <w:right w:w="81" w:type="dxa"/>
          </w:tblCellMar>
        </w:tblPrEx>
        <w:tc>
          <w:tcPr>
            <w:tcW w:w="1081" w:type="dxa"/>
            <w:vMerge/>
            <w:shd w:val="clear" w:color="auto" w:fill="auto"/>
          </w:tcPr>
          <w:p w14:paraId="1E3A9A30" w14:textId="77777777" w:rsidR="00086F2F" w:rsidRPr="00E23BB8" w:rsidRDefault="00086F2F" w:rsidP="00E23BB8">
            <w:pPr>
              <w:spacing w:before="60" w:after="60" w:line="220" w:lineRule="atLeast"/>
              <w:rPr>
                <w:sz w:val="18"/>
                <w:szCs w:val="18"/>
              </w:rPr>
            </w:pPr>
          </w:p>
        </w:tc>
        <w:tc>
          <w:tcPr>
            <w:tcW w:w="2686" w:type="dxa"/>
            <w:shd w:val="clear" w:color="auto" w:fill="auto"/>
          </w:tcPr>
          <w:p w14:paraId="4939E453" w14:textId="77777777" w:rsidR="00086F2F" w:rsidRPr="00E23BB8" w:rsidRDefault="00086F2F" w:rsidP="00E23BB8">
            <w:pPr>
              <w:spacing w:before="60" w:after="60" w:line="220" w:lineRule="atLeast"/>
              <w:rPr>
                <w:sz w:val="18"/>
                <w:szCs w:val="18"/>
              </w:rPr>
            </w:pPr>
            <w:r w:rsidRPr="00E23BB8">
              <w:rPr>
                <w:sz w:val="18"/>
                <w:szCs w:val="18"/>
                <w:lang w:val="fr-FR"/>
              </w:rPr>
              <w:t>banquette − côté boucle (α</w:t>
            </w:r>
            <w:r w:rsidRPr="00E23BB8">
              <w:rPr>
                <w:sz w:val="18"/>
                <w:szCs w:val="18"/>
                <w:vertAlign w:val="subscript"/>
                <w:lang w:val="fr-FR"/>
              </w:rPr>
              <w:t>2</w:t>
            </w:r>
            <w:r w:rsidRPr="00E23BB8">
              <w:rPr>
                <w:sz w:val="18"/>
                <w:szCs w:val="18"/>
                <w:lang w:val="fr-FR"/>
              </w:rPr>
              <w:t>)</w:t>
            </w:r>
          </w:p>
        </w:tc>
        <w:tc>
          <w:tcPr>
            <w:tcW w:w="1843" w:type="dxa"/>
            <w:shd w:val="clear" w:color="auto" w:fill="auto"/>
          </w:tcPr>
          <w:p w14:paraId="4CF92988" w14:textId="77777777" w:rsidR="00086F2F" w:rsidRPr="00E23BB8" w:rsidRDefault="00086F2F" w:rsidP="00E23BB8">
            <w:pPr>
              <w:spacing w:before="60" w:after="60" w:line="220" w:lineRule="atLeast"/>
              <w:rPr>
                <w:sz w:val="18"/>
                <w:szCs w:val="18"/>
              </w:rPr>
            </w:pPr>
            <w:r w:rsidRPr="00E23BB8">
              <w:rPr>
                <w:sz w:val="18"/>
                <w:szCs w:val="18"/>
                <w:lang w:val="fr-FR"/>
              </w:rPr>
              <w:t>45° - 80°</w:t>
            </w:r>
          </w:p>
        </w:tc>
        <w:tc>
          <w:tcPr>
            <w:tcW w:w="1762" w:type="dxa"/>
            <w:shd w:val="clear" w:color="auto" w:fill="auto"/>
            <w:vAlign w:val="bottom"/>
          </w:tcPr>
          <w:p w14:paraId="0DBB1708" w14:textId="77777777" w:rsidR="00086F2F" w:rsidRPr="00E23BB8" w:rsidRDefault="00086F2F" w:rsidP="00E23BB8">
            <w:pPr>
              <w:spacing w:before="60" w:after="60" w:line="220" w:lineRule="atLeast"/>
              <w:rPr>
                <w:sz w:val="18"/>
                <w:szCs w:val="18"/>
              </w:rPr>
            </w:pPr>
            <w:r w:rsidRPr="00E23BB8">
              <w:rPr>
                <w:sz w:val="18"/>
                <w:szCs w:val="18"/>
                <w:lang w:val="fr-FR"/>
              </w:rPr>
              <w:t>20° - 80°</w:t>
            </w:r>
          </w:p>
        </w:tc>
      </w:tr>
      <w:tr w:rsidR="00086F2F" w:rsidRPr="00800AF0" w14:paraId="5F0F0B66" w14:textId="77777777" w:rsidTr="00E23BB8">
        <w:tblPrEx>
          <w:tblCellMar>
            <w:left w:w="81" w:type="dxa"/>
            <w:right w:w="81" w:type="dxa"/>
          </w:tblCellMar>
        </w:tblPrEx>
        <w:tc>
          <w:tcPr>
            <w:tcW w:w="1081" w:type="dxa"/>
            <w:vMerge/>
            <w:shd w:val="clear" w:color="auto" w:fill="auto"/>
          </w:tcPr>
          <w:p w14:paraId="12BB80CA" w14:textId="77777777" w:rsidR="00086F2F" w:rsidRPr="00E23BB8" w:rsidRDefault="00086F2F" w:rsidP="00E23BB8">
            <w:pPr>
              <w:spacing w:before="60" w:after="60" w:line="220" w:lineRule="atLeast"/>
              <w:rPr>
                <w:sz w:val="18"/>
                <w:szCs w:val="18"/>
              </w:rPr>
            </w:pPr>
          </w:p>
        </w:tc>
        <w:tc>
          <w:tcPr>
            <w:tcW w:w="2686" w:type="dxa"/>
            <w:shd w:val="clear" w:color="auto" w:fill="auto"/>
          </w:tcPr>
          <w:p w14:paraId="3E488BE4" w14:textId="77777777" w:rsidR="00086F2F" w:rsidRPr="00E23BB8" w:rsidRDefault="00086F2F" w:rsidP="00E23BB8">
            <w:pPr>
              <w:spacing w:before="60" w:after="60" w:line="220" w:lineRule="atLeast"/>
              <w:rPr>
                <w:sz w:val="18"/>
                <w:szCs w:val="18"/>
                <w:lang w:val="fr-FR"/>
              </w:rPr>
            </w:pPr>
            <w:r w:rsidRPr="00E23BB8">
              <w:rPr>
                <w:sz w:val="18"/>
                <w:szCs w:val="18"/>
                <w:lang w:val="fr-FR"/>
              </w:rPr>
              <w:t>banquette − autre que côté boucle (α</w:t>
            </w:r>
            <w:r w:rsidRPr="00E23BB8">
              <w:rPr>
                <w:sz w:val="18"/>
                <w:szCs w:val="18"/>
                <w:vertAlign w:val="subscript"/>
                <w:lang w:val="fr-FR"/>
              </w:rPr>
              <w:t>1</w:t>
            </w:r>
            <w:r w:rsidRPr="00E23BB8">
              <w:rPr>
                <w:sz w:val="18"/>
                <w:szCs w:val="18"/>
                <w:lang w:val="fr-FR"/>
              </w:rPr>
              <w:t xml:space="preserve">) </w:t>
            </w:r>
          </w:p>
        </w:tc>
        <w:tc>
          <w:tcPr>
            <w:tcW w:w="1843" w:type="dxa"/>
            <w:shd w:val="clear" w:color="auto" w:fill="auto"/>
          </w:tcPr>
          <w:p w14:paraId="002B80C0" w14:textId="77777777" w:rsidR="00086F2F" w:rsidRPr="00E23BB8" w:rsidRDefault="00086F2F" w:rsidP="00E23BB8">
            <w:pPr>
              <w:spacing w:before="60" w:after="60" w:line="220" w:lineRule="atLeast"/>
              <w:rPr>
                <w:sz w:val="18"/>
                <w:szCs w:val="18"/>
              </w:rPr>
            </w:pPr>
            <w:r w:rsidRPr="00E23BB8">
              <w:rPr>
                <w:sz w:val="18"/>
                <w:szCs w:val="18"/>
                <w:lang w:val="fr-FR"/>
              </w:rPr>
              <w:t>30° - 80°</w:t>
            </w:r>
          </w:p>
        </w:tc>
        <w:tc>
          <w:tcPr>
            <w:tcW w:w="1762" w:type="dxa"/>
            <w:shd w:val="clear" w:color="auto" w:fill="auto"/>
            <w:vAlign w:val="bottom"/>
          </w:tcPr>
          <w:p w14:paraId="1FF6EDD7" w14:textId="77777777" w:rsidR="00086F2F" w:rsidRPr="00E23BB8" w:rsidRDefault="00086F2F" w:rsidP="00E23BB8">
            <w:pPr>
              <w:spacing w:before="60" w:after="60" w:line="220" w:lineRule="atLeast"/>
              <w:rPr>
                <w:sz w:val="18"/>
                <w:szCs w:val="18"/>
              </w:rPr>
            </w:pPr>
            <w:r w:rsidRPr="00E23BB8">
              <w:rPr>
                <w:sz w:val="18"/>
                <w:szCs w:val="18"/>
                <w:lang w:val="fr-FR"/>
              </w:rPr>
              <w:t>20° - 80°</w:t>
            </w:r>
          </w:p>
        </w:tc>
      </w:tr>
      <w:tr w:rsidR="00086F2F" w:rsidRPr="00800AF0" w14:paraId="527F06F6" w14:textId="77777777" w:rsidTr="00E23BB8">
        <w:tblPrEx>
          <w:tblCellMar>
            <w:left w:w="81" w:type="dxa"/>
            <w:right w:w="81" w:type="dxa"/>
          </w:tblCellMar>
        </w:tblPrEx>
        <w:tc>
          <w:tcPr>
            <w:tcW w:w="1081" w:type="dxa"/>
            <w:vMerge/>
            <w:shd w:val="clear" w:color="auto" w:fill="auto"/>
          </w:tcPr>
          <w:p w14:paraId="5F353C6B" w14:textId="77777777" w:rsidR="00086F2F" w:rsidRPr="00E23BB8" w:rsidRDefault="00086F2F" w:rsidP="00E23BB8">
            <w:pPr>
              <w:spacing w:before="60" w:after="60" w:line="220" w:lineRule="atLeast"/>
              <w:rPr>
                <w:sz w:val="18"/>
                <w:szCs w:val="18"/>
              </w:rPr>
            </w:pPr>
          </w:p>
        </w:tc>
        <w:tc>
          <w:tcPr>
            <w:tcW w:w="2686" w:type="dxa"/>
            <w:shd w:val="clear" w:color="auto" w:fill="auto"/>
          </w:tcPr>
          <w:p w14:paraId="185BB216" w14:textId="77777777" w:rsidR="00086F2F" w:rsidRPr="00E23BB8" w:rsidRDefault="00086F2F" w:rsidP="00E23BB8">
            <w:pPr>
              <w:spacing w:before="60" w:after="60" w:line="220" w:lineRule="atLeast"/>
              <w:rPr>
                <w:sz w:val="18"/>
                <w:szCs w:val="18"/>
                <w:lang w:val="fr-FR"/>
              </w:rPr>
            </w:pPr>
            <w:r w:rsidRPr="00E23BB8">
              <w:rPr>
                <w:sz w:val="18"/>
                <w:szCs w:val="18"/>
                <w:lang w:val="fr-FR"/>
              </w:rPr>
              <w:t xml:space="preserve">siège réglable avec angle du dossier &lt; 20° </w:t>
            </w:r>
          </w:p>
        </w:tc>
        <w:tc>
          <w:tcPr>
            <w:tcW w:w="1843" w:type="dxa"/>
            <w:shd w:val="clear" w:color="auto" w:fill="auto"/>
          </w:tcPr>
          <w:p w14:paraId="10CBA7F9" w14:textId="77777777" w:rsidR="00086F2F" w:rsidRPr="00E23BB8" w:rsidRDefault="00086F2F" w:rsidP="00E23BB8">
            <w:pPr>
              <w:spacing w:before="60" w:after="60" w:line="220" w:lineRule="atLeast"/>
              <w:rPr>
                <w:sz w:val="18"/>
                <w:szCs w:val="18"/>
              </w:rPr>
            </w:pPr>
            <w:r w:rsidRPr="00E23BB8">
              <w:rPr>
                <w:sz w:val="18"/>
                <w:szCs w:val="18"/>
                <w:lang w:val="fr-FR"/>
              </w:rPr>
              <w:t>45° - 80° (α</w:t>
            </w:r>
            <w:r w:rsidRPr="00E23BB8">
              <w:rPr>
                <w:sz w:val="18"/>
                <w:szCs w:val="18"/>
                <w:vertAlign w:val="subscript"/>
                <w:lang w:val="fr-FR"/>
              </w:rPr>
              <w:t>2</w:t>
            </w:r>
            <w:r w:rsidRPr="00E23BB8">
              <w:rPr>
                <w:sz w:val="18"/>
                <w:szCs w:val="18"/>
                <w:lang w:val="fr-FR"/>
              </w:rPr>
              <w:t>)*</w:t>
            </w:r>
          </w:p>
          <w:p w14:paraId="6FF7B4D9" w14:textId="77777777" w:rsidR="00086F2F" w:rsidRPr="00E23BB8" w:rsidRDefault="00086F2F" w:rsidP="00E23BB8">
            <w:pPr>
              <w:spacing w:before="60" w:after="60" w:line="220" w:lineRule="atLeast"/>
              <w:rPr>
                <w:sz w:val="18"/>
                <w:szCs w:val="18"/>
              </w:rPr>
            </w:pPr>
            <w:r w:rsidRPr="00E23BB8">
              <w:rPr>
                <w:sz w:val="18"/>
                <w:szCs w:val="18"/>
                <w:lang w:val="fr-FR"/>
              </w:rPr>
              <w:t>20° - 80° (α</w:t>
            </w:r>
            <w:r w:rsidRPr="00E23BB8">
              <w:rPr>
                <w:sz w:val="18"/>
                <w:szCs w:val="18"/>
                <w:vertAlign w:val="subscript"/>
                <w:lang w:val="fr-FR"/>
              </w:rPr>
              <w:t>1</w:t>
            </w:r>
            <w:r w:rsidRPr="00E23BB8">
              <w:rPr>
                <w:sz w:val="18"/>
                <w:szCs w:val="18"/>
                <w:lang w:val="fr-FR"/>
              </w:rPr>
              <w:t>)*</w:t>
            </w:r>
          </w:p>
        </w:tc>
        <w:tc>
          <w:tcPr>
            <w:tcW w:w="1762" w:type="dxa"/>
            <w:shd w:val="clear" w:color="auto" w:fill="auto"/>
            <w:vAlign w:val="bottom"/>
          </w:tcPr>
          <w:p w14:paraId="0CE1EE48" w14:textId="77777777" w:rsidR="00086F2F" w:rsidRPr="00E23BB8" w:rsidRDefault="00086F2F" w:rsidP="00E23BB8">
            <w:pPr>
              <w:spacing w:before="60" w:after="60" w:line="220" w:lineRule="atLeast"/>
              <w:rPr>
                <w:sz w:val="18"/>
                <w:szCs w:val="18"/>
              </w:rPr>
            </w:pPr>
            <w:r w:rsidRPr="00E23BB8">
              <w:rPr>
                <w:sz w:val="18"/>
                <w:szCs w:val="18"/>
                <w:lang w:val="fr-FR"/>
              </w:rPr>
              <w:t>20° - 80°</w:t>
            </w:r>
          </w:p>
        </w:tc>
      </w:tr>
      <w:tr w:rsidR="00086F2F" w:rsidRPr="00800AF0" w14:paraId="174051BD" w14:textId="77777777" w:rsidTr="00E23BB8">
        <w:tblPrEx>
          <w:tblCellMar>
            <w:left w:w="81" w:type="dxa"/>
            <w:right w:w="81" w:type="dxa"/>
          </w:tblCellMar>
        </w:tblPrEx>
        <w:tc>
          <w:tcPr>
            <w:tcW w:w="1081" w:type="dxa"/>
            <w:tcBorders>
              <w:bottom w:val="single" w:sz="4" w:space="0" w:color="auto"/>
            </w:tcBorders>
            <w:shd w:val="clear" w:color="auto" w:fill="auto"/>
          </w:tcPr>
          <w:p w14:paraId="6E3AFE28" w14:textId="77777777" w:rsidR="00086F2F" w:rsidRPr="00E23BB8" w:rsidRDefault="00086F2F" w:rsidP="00E23BB8">
            <w:pPr>
              <w:spacing w:before="60" w:after="60" w:line="220" w:lineRule="atLeast"/>
              <w:rPr>
                <w:sz w:val="18"/>
                <w:szCs w:val="18"/>
              </w:rPr>
            </w:pPr>
            <w:r w:rsidRPr="00E23BB8">
              <w:rPr>
                <w:sz w:val="18"/>
                <w:szCs w:val="18"/>
                <w:lang w:val="fr-FR"/>
              </w:rPr>
              <w:t>À l’arrière</w:t>
            </w:r>
            <w:r w:rsidRPr="00E23BB8">
              <w:rPr>
                <w:sz w:val="18"/>
                <w:szCs w:val="18"/>
                <w:vertAlign w:val="superscript"/>
                <w:lang w:val="fr-FR"/>
              </w:rPr>
              <w:t>≠</w:t>
            </w:r>
          </w:p>
        </w:tc>
        <w:tc>
          <w:tcPr>
            <w:tcW w:w="2686" w:type="dxa"/>
            <w:tcBorders>
              <w:bottom w:val="single" w:sz="4" w:space="0" w:color="auto"/>
            </w:tcBorders>
            <w:shd w:val="clear" w:color="auto" w:fill="auto"/>
          </w:tcPr>
          <w:p w14:paraId="683528DC" w14:textId="77777777" w:rsidR="00086F2F" w:rsidRPr="00E23BB8" w:rsidRDefault="00086F2F" w:rsidP="00E23BB8">
            <w:pPr>
              <w:spacing w:before="60" w:after="60" w:line="220" w:lineRule="atLeast"/>
              <w:rPr>
                <w:sz w:val="18"/>
                <w:szCs w:val="18"/>
              </w:rPr>
            </w:pPr>
          </w:p>
        </w:tc>
        <w:tc>
          <w:tcPr>
            <w:tcW w:w="1843" w:type="dxa"/>
            <w:tcBorders>
              <w:bottom w:val="single" w:sz="4" w:space="0" w:color="auto"/>
            </w:tcBorders>
            <w:shd w:val="clear" w:color="auto" w:fill="auto"/>
          </w:tcPr>
          <w:p w14:paraId="5A6D6227" w14:textId="77777777" w:rsidR="00086F2F" w:rsidRPr="00E23BB8" w:rsidRDefault="00086F2F" w:rsidP="00E23BB8">
            <w:pPr>
              <w:spacing w:before="60" w:after="60" w:line="220" w:lineRule="atLeast"/>
              <w:rPr>
                <w:sz w:val="18"/>
                <w:szCs w:val="18"/>
              </w:rPr>
            </w:pPr>
            <w:r w:rsidRPr="00E23BB8">
              <w:rPr>
                <w:sz w:val="18"/>
                <w:szCs w:val="18"/>
                <w:lang w:val="fr-FR"/>
              </w:rPr>
              <w:t>30° - 80°</w:t>
            </w:r>
          </w:p>
        </w:tc>
        <w:tc>
          <w:tcPr>
            <w:tcW w:w="1762" w:type="dxa"/>
            <w:tcBorders>
              <w:bottom w:val="single" w:sz="4" w:space="0" w:color="auto"/>
            </w:tcBorders>
            <w:shd w:val="clear" w:color="auto" w:fill="auto"/>
            <w:vAlign w:val="bottom"/>
          </w:tcPr>
          <w:p w14:paraId="315B5107" w14:textId="77777777" w:rsidR="00086F2F" w:rsidRPr="00E23BB8" w:rsidRDefault="00086F2F" w:rsidP="00E23BB8">
            <w:pPr>
              <w:spacing w:before="60" w:after="60" w:line="220" w:lineRule="atLeast"/>
              <w:rPr>
                <w:sz w:val="18"/>
                <w:szCs w:val="18"/>
              </w:rPr>
            </w:pPr>
            <w:r w:rsidRPr="00E23BB8">
              <w:rPr>
                <w:sz w:val="18"/>
                <w:szCs w:val="18"/>
                <w:lang w:val="fr-FR"/>
              </w:rPr>
              <w:t>20° - 80°</w:t>
            </w:r>
            <w:r w:rsidRPr="00E23BB8">
              <w:rPr>
                <w:sz w:val="18"/>
                <w:szCs w:val="18"/>
                <w:vertAlign w:val="superscript"/>
                <w:lang w:val="fr-FR"/>
              </w:rPr>
              <w:t>Ψ</w:t>
            </w:r>
          </w:p>
        </w:tc>
      </w:tr>
      <w:tr w:rsidR="00086F2F" w:rsidRPr="004504C0" w14:paraId="14CA880E" w14:textId="77777777" w:rsidTr="00E23BB8">
        <w:tblPrEx>
          <w:tblCellMar>
            <w:left w:w="81" w:type="dxa"/>
            <w:right w:w="81" w:type="dxa"/>
          </w:tblCellMar>
        </w:tblPrEx>
        <w:tc>
          <w:tcPr>
            <w:tcW w:w="1081" w:type="dxa"/>
            <w:tcBorders>
              <w:bottom w:val="single" w:sz="12" w:space="0" w:color="auto"/>
            </w:tcBorders>
            <w:shd w:val="clear" w:color="auto" w:fill="auto"/>
          </w:tcPr>
          <w:p w14:paraId="198C6B1F" w14:textId="77777777" w:rsidR="00086F2F" w:rsidRPr="00E23BB8" w:rsidRDefault="00086F2F" w:rsidP="00E23BB8">
            <w:pPr>
              <w:spacing w:before="60" w:after="60" w:line="220" w:lineRule="atLeast"/>
              <w:rPr>
                <w:strike/>
                <w:sz w:val="18"/>
                <w:szCs w:val="18"/>
              </w:rPr>
            </w:pPr>
            <w:r w:rsidRPr="00E23BB8">
              <w:rPr>
                <w:strike/>
                <w:sz w:val="18"/>
                <w:szCs w:val="18"/>
                <w:lang w:val="fr-FR"/>
              </w:rPr>
              <w:t>Strapontins</w:t>
            </w:r>
          </w:p>
        </w:tc>
        <w:tc>
          <w:tcPr>
            <w:tcW w:w="6291" w:type="dxa"/>
            <w:gridSpan w:val="3"/>
            <w:tcBorders>
              <w:bottom w:val="single" w:sz="12" w:space="0" w:color="auto"/>
            </w:tcBorders>
            <w:shd w:val="clear" w:color="auto" w:fill="auto"/>
          </w:tcPr>
          <w:p w14:paraId="3AF6453A" w14:textId="77777777" w:rsidR="00086F2F" w:rsidRPr="00E23BB8" w:rsidRDefault="00086F2F" w:rsidP="00E23BB8">
            <w:pPr>
              <w:spacing w:before="60" w:after="60" w:line="220" w:lineRule="atLeast"/>
              <w:rPr>
                <w:strike/>
                <w:sz w:val="18"/>
                <w:szCs w:val="18"/>
                <w:lang w:val="fr-FR"/>
              </w:rPr>
            </w:pPr>
            <w:r w:rsidRPr="00E23BB8">
              <w:rPr>
                <w:strike/>
                <w:sz w:val="18"/>
                <w:szCs w:val="18"/>
                <w:lang w:val="fr-FR"/>
              </w:rPr>
              <w:t>Il n’est pas prescrit d’ancrages de ceinture.</w:t>
            </w:r>
            <w:r w:rsidRPr="00E23BB8">
              <w:rPr>
                <w:sz w:val="18"/>
                <w:szCs w:val="18"/>
                <w:lang w:val="fr-FR"/>
              </w:rPr>
              <w:t xml:space="preserve"> </w:t>
            </w:r>
            <w:r w:rsidRPr="00E23BB8">
              <w:rPr>
                <w:strike/>
                <w:sz w:val="18"/>
                <w:szCs w:val="18"/>
                <w:lang w:val="fr-FR"/>
              </w:rPr>
              <w:t>Si des ancrages sont installés : voir les prescriptions en matière d’angle à l’avant et à l’arrière.</w:t>
            </w:r>
          </w:p>
        </w:tc>
      </w:tr>
      <w:tr w:rsidR="00086F2F" w:rsidRPr="004504C0" w14:paraId="16F30561" w14:textId="77777777" w:rsidTr="00E23BB8">
        <w:tblPrEx>
          <w:tblBorders>
            <w:top w:val="none" w:sz="0" w:space="0" w:color="auto"/>
            <w:left w:val="none" w:sz="0" w:space="0" w:color="auto"/>
            <w:right w:val="none" w:sz="0" w:space="0" w:color="auto"/>
            <w:insideH w:val="none" w:sz="0" w:space="0" w:color="auto"/>
            <w:insideV w:val="none" w:sz="0" w:space="0" w:color="auto"/>
          </w:tblBorders>
          <w:tblCellMar>
            <w:left w:w="81" w:type="dxa"/>
            <w:right w:w="81" w:type="dxa"/>
          </w:tblCellMar>
        </w:tblPrEx>
        <w:tc>
          <w:tcPr>
            <w:tcW w:w="7372" w:type="dxa"/>
            <w:gridSpan w:val="4"/>
            <w:tcBorders>
              <w:top w:val="single" w:sz="12" w:space="0" w:color="auto"/>
            </w:tcBorders>
            <w:shd w:val="clear" w:color="auto" w:fill="auto"/>
          </w:tcPr>
          <w:p w14:paraId="38D24D97" w14:textId="77777777" w:rsidR="00086F2F" w:rsidRPr="00800AF0" w:rsidRDefault="00086F2F" w:rsidP="00F02992">
            <w:pPr>
              <w:rPr>
                <w:sz w:val="18"/>
                <w:szCs w:val="18"/>
                <w:lang w:val="fr-FR"/>
              </w:rPr>
            </w:pPr>
            <w:r w:rsidRPr="00800AF0">
              <w:rPr>
                <w:i/>
                <w:iCs/>
                <w:sz w:val="18"/>
                <w:szCs w:val="18"/>
                <w:lang w:val="fr-FR"/>
              </w:rPr>
              <w:t>Notes </w:t>
            </w:r>
            <w:r w:rsidRPr="00800AF0">
              <w:rPr>
                <w:sz w:val="18"/>
                <w:szCs w:val="18"/>
                <w:lang w:val="fr-FR"/>
              </w:rPr>
              <w:t>:</w:t>
            </w:r>
          </w:p>
          <w:p w14:paraId="76F75EC9" w14:textId="77777777" w:rsidR="00086F2F" w:rsidRPr="00800AF0" w:rsidRDefault="00086F2F" w:rsidP="00F02992">
            <w:pPr>
              <w:rPr>
                <w:sz w:val="18"/>
                <w:szCs w:val="18"/>
                <w:lang w:val="fr-FR"/>
              </w:rPr>
            </w:pPr>
            <w:r w:rsidRPr="00800AF0">
              <w:rPr>
                <w:sz w:val="18"/>
                <w:szCs w:val="18"/>
                <w:lang w:val="fr-FR"/>
              </w:rPr>
              <w:t>≠</w:t>
            </w:r>
            <w:r w:rsidRPr="00800AF0">
              <w:rPr>
                <w:sz w:val="18"/>
                <w:szCs w:val="18"/>
                <w:lang w:val="fr-FR"/>
              </w:rPr>
              <w:tab/>
              <w:t>Emplacements latéraux et centraux.</w:t>
            </w:r>
          </w:p>
          <w:p w14:paraId="0AFC496C" w14:textId="77777777" w:rsidR="00086F2F" w:rsidRPr="00800AF0" w:rsidRDefault="00086F2F" w:rsidP="00F02992">
            <w:pPr>
              <w:rPr>
                <w:sz w:val="18"/>
                <w:szCs w:val="18"/>
                <w:lang w:val="fr-FR"/>
              </w:rPr>
            </w:pPr>
            <w:r w:rsidRPr="00800AF0">
              <w:rPr>
                <w:sz w:val="18"/>
                <w:szCs w:val="18"/>
                <w:lang w:val="fr-FR"/>
              </w:rPr>
              <w:t>*</w:t>
            </w:r>
            <w:r w:rsidRPr="00800AF0">
              <w:rPr>
                <w:sz w:val="18"/>
                <w:szCs w:val="18"/>
                <w:lang w:val="fr-FR"/>
              </w:rPr>
              <w:tab/>
              <w:t>Si l</w:t>
            </w:r>
            <w:r>
              <w:rPr>
                <w:sz w:val="18"/>
                <w:szCs w:val="18"/>
                <w:lang w:val="fr-FR"/>
              </w:rPr>
              <w:t>’</w:t>
            </w:r>
            <w:r w:rsidRPr="00800AF0">
              <w:rPr>
                <w:sz w:val="18"/>
                <w:szCs w:val="18"/>
                <w:lang w:val="fr-FR"/>
              </w:rPr>
              <w:t>angle n</w:t>
            </w:r>
            <w:r>
              <w:rPr>
                <w:sz w:val="18"/>
                <w:szCs w:val="18"/>
                <w:lang w:val="fr-FR"/>
              </w:rPr>
              <w:t>’</w:t>
            </w:r>
            <w:r w:rsidRPr="00800AF0">
              <w:rPr>
                <w:sz w:val="18"/>
                <w:szCs w:val="18"/>
                <w:lang w:val="fr-FR"/>
              </w:rPr>
              <w:t>est pas constant, voir le paragraphe 5.4.2.1.</w:t>
            </w:r>
          </w:p>
          <w:p w14:paraId="0B996637" w14:textId="77777777" w:rsidR="00086F2F" w:rsidRPr="00800AF0" w:rsidRDefault="00086F2F" w:rsidP="00F02992">
            <w:pPr>
              <w:rPr>
                <w:sz w:val="18"/>
                <w:szCs w:val="18"/>
                <w:lang w:val="fr-FR"/>
              </w:rPr>
            </w:pPr>
            <w:r w:rsidRPr="00800AF0">
              <w:rPr>
                <w:sz w:val="18"/>
                <w:szCs w:val="18"/>
                <w:lang w:val="fr-FR"/>
              </w:rPr>
              <w:t>Ψ</w:t>
            </w:r>
            <w:r w:rsidRPr="00800AF0">
              <w:rPr>
                <w:sz w:val="18"/>
                <w:szCs w:val="18"/>
                <w:lang w:val="fr-FR"/>
              </w:rPr>
              <w:tab/>
              <w:t>45° - 90° dans le cas des sièges installés sur les véhicules des catégories M</w:t>
            </w:r>
            <w:r w:rsidRPr="00800AF0">
              <w:rPr>
                <w:sz w:val="18"/>
                <w:szCs w:val="18"/>
                <w:vertAlign w:val="subscript"/>
                <w:lang w:val="fr-FR"/>
              </w:rPr>
              <w:t>2</w:t>
            </w:r>
            <w:r w:rsidRPr="00800AF0">
              <w:rPr>
                <w:sz w:val="18"/>
                <w:szCs w:val="18"/>
                <w:lang w:val="fr-FR"/>
              </w:rPr>
              <w:t xml:space="preserve"> et M</w:t>
            </w:r>
            <w:r w:rsidRPr="00800AF0">
              <w:rPr>
                <w:sz w:val="18"/>
                <w:szCs w:val="18"/>
                <w:vertAlign w:val="subscript"/>
                <w:lang w:val="fr-FR"/>
              </w:rPr>
              <w:t>3</w:t>
            </w:r>
            <w:r w:rsidRPr="00800AF0">
              <w:rPr>
                <w:sz w:val="18"/>
                <w:szCs w:val="18"/>
                <w:lang w:val="fr-FR"/>
              </w:rPr>
              <w:t>.</w:t>
            </w:r>
            <w:r w:rsidRPr="00800AF0">
              <w:rPr>
                <w:lang w:val="fr-FR"/>
              </w:rPr>
              <w:t> ».</w:t>
            </w:r>
          </w:p>
        </w:tc>
      </w:tr>
    </w:tbl>
    <w:p w14:paraId="042212F7" w14:textId="77777777" w:rsidR="00086F2F" w:rsidRPr="002E1AB7" w:rsidRDefault="00E23BB8" w:rsidP="00E23BB8">
      <w:pPr>
        <w:pStyle w:val="HChG"/>
        <w:rPr>
          <w:lang w:val="fr-FR"/>
        </w:rPr>
      </w:pPr>
      <w:r>
        <w:rPr>
          <w:lang w:val="fr-FR"/>
        </w:rPr>
        <w:tab/>
      </w:r>
      <w:r w:rsidR="00086F2F">
        <w:rPr>
          <w:lang w:val="fr-FR"/>
        </w:rPr>
        <w:t>II.</w:t>
      </w:r>
      <w:r w:rsidR="00086F2F">
        <w:rPr>
          <w:lang w:val="fr-FR"/>
        </w:rPr>
        <w:tab/>
      </w:r>
      <w:r w:rsidR="00086F2F">
        <w:rPr>
          <w:lang w:val="fr-FR"/>
        </w:rPr>
        <w:tab/>
        <w:t>Justification</w:t>
      </w:r>
    </w:p>
    <w:p w14:paraId="2A3E2E1A" w14:textId="77777777" w:rsidR="00086F2F" w:rsidRPr="002E1AB7" w:rsidRDefault="00086F2F" w:rsidP="00E23BB8">
      <w:pPr>
        <w:pStyle w:val="SingleTxtG"/>
        <w:keepNext/>
        <w:rPr>
          <w:rFonts w:eastAsia="Yu Mincho"/>
          <w:snapToGrid w:val="0"/>
          <w:lang w:val="fr-FR"/>
        </w:rPr>
      </w:pPr>
      <w:r w:rsidRPr="004504C0">
        <w:rPr>
          <w:lang w:val="fr-FR"/>
        </w:rPr>
        <w:t>1</w:t>
      </w:r>
      <w:r>
        <w:rPr>
          <w:lang w:val="fr-FR"/>
        </w:rPr>
        <w:t>.</w:t>
      </w:r>
      <w:r>
        <w:rPr>
          <w:lang w:val="fr-FR"/>
        </w:rPr>
        <w:tab/>
        <w:t>Dans la série 06 d’amendements au Règlement ONU n</w:t>
      </w:r>
      <w:r>
        <w:rPr>
          <w:vertAlign w:val="superscript"/>
          <w:lang w:val="fr-FR"/>
        </w:rPr>
        <w:t>o</w:t>
      </w:r>
      <w:r>
        <w:rPr>
          <w:lang w:val="fr-FR"/>
        </w:rPr>
        <w:t> 14, le paragraphe 5.3.6 se lit comme suit :</w:t>
      </w:r>
    </w:p>
    <w:p w14:paraId="2E7B60E8" w14:textId="77777777" w:rsidR="00086F2F" w:rsidRPr="002E1AB7" w:rsidRDefault="00086F2F" w:rsidP="00E23BB8">
      <w:pPr>
        <w:pStyle w:val="SingleTxtG"/>
        <w:ind w:left="1701" w:hanging="567"/>
        <w:rPr>
          <w:rFonts w:eastAsia="Yu Mincho"/>
          <w:snapToGrid w:val="0"/>
          <w:lang w:val="fr-FR"/>
        </w:rPr>
      </w:pPr>
      <w:r>
        <w:rPr>
          <w:lang w:val="fr-FR"/>
        </w:rPr>
        <w:t>« 5.3.6</w:t>
      </w:r>
      <w:r>
        <w:rPr>
          <w:lang w:val="fr-FR"/>
        </w:rPr>
        <w:tab/>
        <w:t>Pour les strapontins ou les places assises destinées à être utilisées seulement lorsque le véhicule est à l’arrêt, ainsi que pour les sièges de tout véhicule qui ne sont pas visés par les paragraphes</w:t>
      </w:r>
      <w:r w:rsidR="00E23BB8">
        <w:rPr>
          <w:lang w:val="fr-FR"/>
        </w:rPr>
        <w:t> </w:t>
      </w:r>
      <w:r>
        <w:rPr>
          <w:lang w:val="fr-FR"/>
        </w:rPr>
        <w:t>5.3.1 à 5.3.4, il n’est pas prescrit d’ancrages. Toutefois, si le véhicule comporte des ancrages pour de telles places, lesdits ancrages doivent satisfaire aux dispositions du présent Règlement. Deux ancrages inférieurs suffisent dans ce cas. ».</w:t>
      </w:r>
    </w:p>
    <w:p w14:paraId="4E41665E" w14:textId="77777777" w:rsidR="00086F2F" w:rsidRPr="002E1AB7" w:rsidRDefault="00086F2F" w:rsidP="00E23BB8">
      <w:pPr>
        <w:pStyle w:val="SingleTxtG"/>
        <w:keepNext/>
        <w:rPr>
          <w:rFonts w:eastAsia="Yu Mincho"/>
          <w:snapToGrid w:val="0"/>
          <w:lang w:val="fr-FR"/>
        </w:rPr>
      </w:pPr>
      <w:r>
        <w:rPr>
          <w:lang w:val="fr-FR"/>
        </w:rPr>
        <w:t>2.</w:t>
      </w:r>
      <w:r>
        <w:rPr>
          <w:lang w:val="fr-FR"/>
        </w:rPr>
        <w:tab/>
        <w:t>Dans la série 07 d’amendements au Règlement ONU n</w:t>
      </w:r>
      <w:r>
        <w:rPr>
          <w:vertAlign w:val="superscript"/>
          <w:lang w:val="fr-FR"/>
        </w:rPr>
        <w:t>o</w:t>
      </w:r>
      <w:r>
        <w:rPr>
          <w:lang w:val="fr-FR"/>
        </w:rPr>
        <w:t> 14, ce paragraphe a été modifié comme suit :</w:t>
      </w:r>
    </w:p>
    <w:p w14:paraId="3E0105EE" w14:textId="77777777" w:rsidR="00086F2F" w:rsidRPr="002E1AB7" w:rsidRDefault="00086F2F" w:rsidP="00E23BB8">
      <w:pPr>
        <w:pStyle w:val="SingleTxtG"/>
        <w:ind w:left="1701" w:hanging="567"/>
        <w:rPr>
          <w:rFonts w:eastAsia="Yu Mincho"/>
          <w:snapToGrid w:val="0"/>
          <w:lang w:val="fr-FR"/>
        </w:rPr>
      </w:pPr>
      <w:r>
        <w:rPr>
          <w:lang w:val="fr-FR"/>
        </w:rPr>
        <w:t>« 5.3.6</w:t>
      </w:r>
      <w:r>
        <w:rPr>
          <w:lang w:val="fr-FR"/>
        </w:rPr>
        <w:tab/>
        <w:t>Pour les sièges ou les places assises destinés à être utilisés seulement lorsque le véhicule est à l’arrêt, ainsi que pour les sièges de tout véhicule qui ne sont pas visés par les paragraphes 5.3.1 à 5.3.4, il n’est pas prescrit d’ancrages de ceintures. Toutefois, si le véhicule comporte des ancrages pour de telles places, lesdits ancrages doivent satisfaire aux dispositions du présent Règlement. (Tout ancrage destiné uniquement à être utilisé en association avec une ceinture pour personne handicapée ou tout autre système de retenue tel que ceux visés à l’annexe 8 du Règlement n</w:t>
      </w:r>
      <w:r>
        <w:rPr>
          <w:vertAlign w:val="superscript"/>
          <w:lang w:val="fr-FR"/>
        </w:rPr>
        <w:t>o</w:t>
      </w:r>
      <w:r>
        <w:rPr>
          <w:lang w:val="fr-FR"/>
        </w:rPr>
        <w:t> 107, série 02 d’amendements, n’a pas à satisfaire aux prescriptions du présent Règlement.) ».</w:t>
      </w:r>
    </w:p>
    <w:p w14:paraId="484D56E0" w14:textId="77777777" w:rsidR="00086F2F" w:rsidRPr="002E1AB7" w:rsidRDefault="00086F2F" w:rsidP="00E23BB8">
      <w:pPr>
        <w:pStyle w:val="SingleTxtG"/>
        <w:rPr>
          <w:rFonts w:eastAsia="Yu Mincho"/>
          <w:snapToGrid w:val="0"/>
          <w:lang w:val="fr-FR"/>
        </w:rPr>
      </w:pPr>
      <w:r>
        <w:rPr>
          <w:lang w:val="fr-FR"/>
        </w:rPr>
        <w:t>3.</w:t>
      </w:r>
      <w:r>
        <w:rPr>
          <w:lang w:val="fr-FR"/>
        </w:rPr>
        <w:tab/>
        <w:t>Il n’y a plus de dispositions spéciales applicables aux strapontins, en dehors des sièges ou des places assises destinés à être utilisés seulement lorsque le véhicule est à l’arrêt.</w:t>
      </w:r>
    </w:p>
    <w:p w14:paraId="5A0A99ED" w14:textId="77777777" w:rsidR="00086F2F" w:rsidRPr="002E1AB7" w:rsidRDefault="00086F2F" w:rsidP="00E23BB8">
      <w:pPr>
        <w:pStyle w:val="SingleTxtG"/>
        <w:rPr>
          <w:rFonts w:eastAsia="Yu Mincho"/>
          <w:snapToGrid w:val="0"/>
          <w:lang w:val="fr-FR"/>
        </w:rPr>
      </w:pPr>
      <w:r>
        <w:rPr>
          <w:lang w:val="fr-FR"/>
        </w:rPr>
        <w:lastRenderedPageBreak/>
        <w:t>4.</w:t>
      </w:r>
      <w:r>
        <w:rPr>
          <w:lang w:val="fr-FR"/>
        </w:rPr>
        <w:tab/>
        <w:t>Le tableau figurant à l’appendice 1 de l’annexe 6 ne sert pas à indiquer les prescriptions relatives au nombre d’ancrages obligatoires, mais à indiquer celles qui concernent les angles pour les ancrages inférieurs uniquement.</w:t>
      </w:r>
    </w:p>
    <w:p w14:paraId="63C00F08" w14:textId="77777777" w:rsidR="00086F2F" w:rsidRDefault="00086F2F" w:rsidP="00E23BB8">
      <w:pPr>
        <w:pStyle w:val="SingleTxtG"/>
        <w:rPr>
          <w:lang w:val="fr-FR"/>
        </w:rPr>
      </w:pPr>
      <w:r>
        <w:rPr>
          <w:lang w:val="fr-FR"/>
        </w:rPr>
        <w:t>5.</w:t>
      </w:r>
      <w:r>
        <w:rPr>
          <w:lang w:val="fr-FR"/>
        </w:rPr>
        <w:tab/>
        <w:t>Ce tableau n’a toutefois pas été mis à jour lorsque la série 07 d’amendements au Règlement ONU n</w:t>
      </w:r>
      <w:r>
        <w:rPr>
          <w:vertAlign w:val="superscript"/>
          <w:lang w:val="fr-FR"/>
        </w:rPr>
        <w:t>o</w:t>
      </w:r>
      <w:r>
        <w:rPr>
          <w:lang w:val="fr-FR"/>
        </w:rPr>
        <w:t> 14 a été adoptée, ce qui a été source de confusion. La présente proposition vise à corriger cette incohérence.</w:t>
      </w:r>
    </w:p>
    <w:p w14:paraId="5A0DA25C" w14:textId="77777777" w:rsidR="00E23BB8" w:rsidRPr="00E23BB8" w:rsidRDefault="00E23BB8" w:rsidP="00E23BB8">
      <w:pPr>
        <w:pStyle w:val="SingleTxtG"/>
        <w:spacing w:before="240" w:after="0"/>
        <w:jc w:val="center"/>
        <w:rPr>
          <w:snapToGrid w:val="0"/>
          <w:u w:val="single"/>
          <w:lang w:val="fr-FR"/>
        </w:rPr>
      </w:pPr>
      <w:bookmarkStart w:id="0" w:name="_GoBack"/>
      <w:bookmarkEnd w:id="0"/>
      <w:r>
        <w:rPr>
          <w:snapToGrid w:val="0"/>
          <w:u w:val="single"/>
          <w:lang w:val="fr-FR"/>
        </w:rPr>
        <w:tab/>
      </w:r>
      <w:r>
        <w:rPr>
          <w:snapToGrid w:val="0"/>
          <w:u w:val="single"/>
          <w:lang w:val="fr-FR"/>
        </w:rPr>
        <w:tab/>
      </w:r>
      <w:r>
        <w:rPr>
          <w:snapToGrid w:val="0"/>
          <w:u w:val="single"/>
          <w:lang w:val="fr-FR"/>
        </w:rPr>
        <w:tab/>
      </w:r>
      <w:r>
        <w:rPr>
          <w:snapToGrid w:val="0"/>
          <w:u w:val="single"/>
          <w:lang w:val="fr-FR"/>
        </w:rPr>
        <w:tab/>
      </w:r>
    </w:p>
    <w:sectPr w:rsidR="00E23BB8" w:rsidRPr="00E23BB8" w:rsidSect="00086F2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FED4F" w14:textId="77777777" w:rsidR="005117F0" w:rsidRDefault="005117F0" w:rsidP="00F95C08">
      <w:pPr>
        <w:spacing w:line="240" w:lineRule="auto"/>
      </w:pPr>
    </w:p>
  </w:endnote>
  <w:endnote w:type="continuationSeparator" w:id="0">
    <w:p w14:paraId="5ABBE85A" w14:textId="77777777" w:rsidR="005117F0" w:rsidRPr="00AC3823" w:rsidRDefault="005117F0" w:rsidP="00AC3823">
      <w:pPr>
        <w:pStyle w:val="Pieddepage"/>
      </w:pPr>
    </w:p>
  </w:endnote>
  <w:endnote w:type="continuationNotice" w:id="1">
    <w:p w14:paraId="6E52E7E7" w14:textId="77777777" w:rsidR="005117F0" w:rsidRDefault="005117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8D39" w14:textId="77777777" w:rsidR="00086F2F" w:rsidRPr="00086F2F" w:rsidRDefault="00086F2F" w:rsidP="00086F2F">
    <w:pPr>
      <w:pStyle w:val="Pieddepage"/>
      <w:tabs>
        <w:tab w:val="right" w:pos="9638"/>
      </w:tabs>
    </w:pPr>
    <w:r w:rsidRPr="00086F2F">
      <w:rPr>
        <w:b/>
        <w:sz w:val="18"/>
      </w:rPr>
      <w:fldChar w:fldCharType="begin"/>
    </w:r>
    <w:r w:rsidRPr="00086F2F">
      <w:rPr>
        <w:b/>
        <w:sz w:val="18"/>
      </w:rPr>
      <w:instrText xml:space="preserve"> PAGE  \* MERGEFORMAT </w:instrText>
    </w:r>
    <w:r w:rsidRPr="00086F2F">
      <w:rPr>
        <w:b/>
        <w:sz w:val="18"/>
      </w:rPr>
      <w:fldChar w:fldCharType="separate"/>
    </w:r>
    <w:r w:rsidRPr="00086F2F">
      <w:rPr>
        <w:b/>
        <w:noProof/>
        <w:sz w:val="18"/>
      </w:rPr>
      <w:t>2</w:t>
    </w:r>
    <w:r w:rsidRPr="00086F2F">
      <w:rPr>
        <w:b/>
        <w:sz w:val="18"/>
      </w:rPr>
      <w:fldChar w:fldCharType="end"/>
    </w:r>
    <w:r>
      <w:rPr>
        <w:b/>
        <w:sz w:val="18"/>
      </w:rPr>
      <w:tab/>
    </w:r>
    <w:r>
      <w:t>GE.21-02885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7728" w14:textId="77777777" w:rsidR="00086F2F" w:rsidRPr="00086F2F" w:rsidRDefault="00086F2F" w:rsidP="00086F2F">
    <w:pPr>
      <w:pStyle w:val="Pieddepage"/>
      <w:tabs>
        <w:tab w:val="right" w:pos="9638"/>
      </w:tabs>
      <w:rPr>
        <w:b/>
        <w:sz w:val="18"/>
      </w:rPr>
    </w:pPr>
    <w:r>
      <w:t>GE.21-02885</w:t>
    </w:r>
    <w:r>
      <w:tab/>
    </w:r>
    <w:r w:rsidRPr="00086F2F">
      <w:rPr>
        <w:b/>
        <w:sz w:val="18"/>
      </w:rPr>
      <w:fldChar w:fldCharType="begin"/>
    </w:r>
    <w:r w:rsidRPr="00086F2F">
      <w:rPr>
        <w:b/>
        <w:sz w:val="18"/>
      </w:rPr>
      <w:instrText xml:space="preserve"> PAGE  \* MERGEFORMAT </w:instrText>
    </w:r>
    <w:r w:rsidRPr="00086F2F">
      <w:rPr>
        <w:b/>
        <w:sz w:val="18"/>
      </w:rPr>
      <w:fldChar w:fldCharType="separate"/>
    </w:r>
    <w:r w:rsidRPr="00086F2F">
      <w:rPr>
        <w:b/>
        <w:noProof/>
        <w:sz w:val="18"/>
      </w:rPr>
      <w:t>3</w:t>
    </w:r>
    <w:r w:rsidRPr="00086F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3A9E" w14:textId="77777777" w:rsidR="007F20FA" w:rsidRPr="00086F2F" w:rsidRDefault="00086F2F" w:rsidP="00086F2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B608460" wp14:editId="40C347B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21-02885  (F)</w:t>
    </w:r>
    <w:r>
      <w:rPr>
        <w:noProof/>
        <w:sz w:val="20"/>
      </w:rPr>
      <w:drawing>
        <wp:anchor distT="0" distB="0" distL="114300" distR="114300" simplePos="0" relativeHeight="251660288" behindDoc="0" locked="0" layoutInCell="1" allowOverlap="1" wp14:anchorId="365049B0" wp14:editId="4127C0B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100321    110321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A2337" w14:textId="77777777" w:rsidR="005117F0" w:rsidRPr="00AC3823" w:rsidRDefault="005117F0" w:rsidP="00AC3823">
      <w:pPr>
        <w:pStyle w:val="Pieddepage"/>
        <w:tabs>
          <w:tab w:val="right" w:pos="2155"/>
        </w:tabs>
        <w:spacing w:after="80" w:line="240" w:lineRule="atLeast"/>
        <w:ind w:left="680"/>
        <w:rPr>
          <w:u w:val="single"/>
        </w:rPr>
      </w:pPr>
      <w:r>
        <w:rPr>
          <w:u w:val="single"/>
        </w:rPr>
        <w:tab/>
      </w:r>
    </w:p>
  </w:footnote>
  <w:footnote w:type="continuationSeparator" w:id="0">
    <w:p w14:paraId="4E48D444" w14:textId="77777777" w:rsidR="005117F0" w:rsidRPr="00AC3823" w:rsidRDefault="005117F0" w:rsidP="00AC3823">
      <w:pPr>
        <w:pStyle w:val="Pieddepage"/>
        <w:tabs>
          <w:tab w:val="right" w:pos="2155"/>
        </w:tabs>
        <w:spacing w:after="80" w:line="240" w:lineRule="atLeast"/>
        <w:ind w:left="680"/>
        <w:rPr>
          <w:u w:val="single"/>
        </w:rPr>
      </w:pPr>
      <w:r>
        <w:rPr>
          <w:u w:val="single"/>
        </w:rPr>
        <w:tab/>
      </w:r>
    </w:p>
  </w:footnote>
  <w:footnote w:type="continuationNotice" w:id="1">
    <w:p w14:paraId="44DA05BD" w14:textId="77777777" w:rsidR="005117F0" w:rsidRPr="00AC3823" w:rsidRDefault="005117F0">
      <w:pPr>
        <w:spacing w:line="240" w:lineRule="auto"/>
        <w:rPr>
          <w:sz w:val="2"/>
          <w:szCs w:val="2"/>
        </w:rPr>
      </w:pPr>
    </w:p>
  </w:footnote>
  <w:footnote w:id="2">
    <w:p w14:paraId="2D197D9B" w14:textId="77777777" w:rsidR="00086F2F" w:rsidRPr="002E1AB7" w:rsidRDefault="00086F2F" w:rsidP="00086F2F">
      <w:pPr>
        <w:pStyle w:val="Notedebasdepage"/>
        <w:rPr>
          <w:lang w:val="fr-FR"/>
        </w:rPr>
      </w:pPr>
      <w:r w:rsidRPr="00E23BB8">
        <w:rPr>
          <w:sz w:val="20"/>
          <w:lang w:val="fr-FR"/>
        </w:rPr>
        <w:tab/>
        <w:t>*</w:t>
      </w:r>
      <w:r w:rsidRPr="00E23BB8">
        <w:rPr>
          <w:sz w:val="20"/>
          <w:lang w:val="fr-FR"/>
        </w:rPr>
        <w:tab/>
      </w:r>
      <w:r>
        <w:rPr>
          <w:lang w:val="fr-FR"/>
        </w:rPr>
        <w:t xml:space="preserve">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86141" w14:textId="36F810E3" w:rsidR="00086F2F" w:rsidRPr="00086F2F" w:rsidRDefault="00086F2F">
    <w:pPr>
      <w:pStyle w:val="En-tte"/>
    </w:pPr>
    <w:fldSimple w:instr=" TITLE  \* MERGEFORMAT ">
      <w:r w:rsidR="00BD46AD">
        <w:t>ECE/TRANS/WP.29/GRSP/2021/9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F3092" w14:textId="2B6E661B" w:rsidR="00086F2F" w:rsidRPr="00086F2F" w:rsidRDefault="00086F2F" w:rsidP="00086F2F">
    <w:pPr>
      <w:pStyle w:val="En-tte"/>
      <w:jc w:val="right"/>
    </w:pPr>
    <w:fldSimple w:instr=" TITLE  \* MERGEFORMAT ">
      <w:r w:rsidR="00BD46AD">
        <w:t>ECE/TRANS/WP.29/GRSP/2021/9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F0"/>
    <w:rsid w:val="00017F94"/>
    <w:rsid w:val="00023842"/>
    <w:rsid w:val="000334F9"/>
    <w:rsid w:val="00045FEB"/>
    <w:rsid w:val="0007796D"/>
    <w:rsid w:val="00086F2F"/>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117F0"/>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D46AD"/>
    <w:rsid w:val="00C02897"/>
    <w:rsid w:val="00C97039"/>
    <w:rsid w:val="00D3439C"/>
    <w:rsid w:val="00D7622E"/>
    <w:rsid w:val="00DB1831"/>
    <w:rsid w:val="00DD3BFD"/>
    <w:rsid w:val="00DF6678"/>
    <w:rsid w:val="00E0299A"/>
    <w:rsid w:val="00E23BB8"/>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7FD93D"/>
  <w15:docId w15:val="{A0024B09-BBF2-4C13-BBBB-B487DD33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4</TotalTime>
  <Pages>3</Pages>
  <Words>501</Words>
  <Characters>3509</Characters>
  <Application>Microsoft Office Word</Application>
  <DocSecurity>0</DocSecurity>
  <Lines>292</Lines>
  <Paragraphs>160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ECE/TRANS/WP.29/GRSP/2021/9</dc:title>
  <dc:subject/>
  <dc:creator>Christine CHAUTAGNAT</dc:creator>
  <cp:keywords/>
  <cp:lastModifiedBy>Christine Chautagnat</cp:lastModifiedBy>
  <cp:revision>3</cp:revision>
  <cp:lastPrinted>2021-03-11T09:01:00Z</cp:lastPrinted>
  <dcterms:created xsi:type="dcterms:W3CDTF">2021-03-11T09:01:00Z</dcterms:created>
  <dcterms:modified xsi:type="dcterms:W3CDTF">2021-03-11T09:02:00Z</dcterms:modified>
</cp:coreProperties>
</file>