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910B6" w:rsidRPr="005910B6" w14:paraId="7FD7A049" w14:textId="77777777" w:rsidTr="00C97039">
        <w:trPr>
          <w:trHeight w:hRule="exact" w:val="851"/>
        </w:trPr>
        <w:tc>
          <w:tcPr>
            <w:tcW w:w="1276" w:type="dxa"/>
            <w:tcBorders>
              <w:bottom w:val="single" w:sz="4" w:space="0" w:color="auto"/>
            </w:tcBorders>
          </w:tcPr>
          <w:p w14:paraId="34DE1D79" w14:textId="77777777" w:rsidR="00F35BAF" w:rsidRPr="005910B6" w:rsidRDefault="00F35BAF" w:rsidP="00B02E81"/>
        </w:tc>
        <w:tc>
          <w:tcPr>
            <w:tcW w:w="2268" w:type="dxa"/>
            <w:tcBorders>
              <w:bottom w:val="single" w:sz="4" w:space="0" w:color="auto"/>
            </w:tcBorders>
            <w:vAlign w:val="bottom"/>
          </w:tcPr>
          <w:p w14:paraId="481D779C" w14:textId="77777777" w:rsidR="00F35BAF" w:rsidRPr="005910B6" w:rsidRDefault="00F35BAF" w:rsidP="00C97039">
            <w:pPr>
              <w:spacing w:after="80" w:line="300" w:lineRule="exact"/>
              <w:rPr>
                <w:sz w:val="28"/>
              </w:rPr>
            </w:pPr>
            <w:r w:rsidRPr="005910B6">
              <w:rPr>
                <w:sz w:val="28"/>
              </w:rPr>
              <w:t>Nations Unies</w:t>
            </w:r>
          </w:p>
        </w:tc>
        <w:tc>
          <w:tcPr>
            <w:tcW w:w="6095" w:type="dxa"/>
            <w:gridSpan w:val="2"/>
            <w:tcBorders>
              <w:bottom w:val="single" w:sz="4" w:space="0" w:color="auto"/>
            </w:tcBorders>
            <w:vAlign w:val="bottom"/>
          </w:tcPr>
          <w:p w14:paraId="2D826E8B" w14:textId="77777777" w:rsidR="00F35BAF" w:rsidRPr="005910B6" w:rsidRDefault="00B02E81" w:rsidP="00B02E81">
            <w:pPr>
              <w:jc w:val="right"/>
            </w:pPr>
            <w:r w:rsidRPr="005910B6">
              <w:rPr>
                <w:sz w:val="40"/>
              </w:rPr>
              <w:t>ECE</w:t>
            </w:r>
            <w:r w:rsidRPr="005910B6">
              <w:t>/TRANS/WP.29/GRSP/2021/4</w:t>
            </w:r>
          </w:p>
        </w:tc>
      </w:tr>
      <w:tr w:rsidR="005910B6" w:rsidRPr="005910B6" w14:paraId="04A15906" w14:textId="77777777" w:rsidTr="00C97039">
        <w:trPr>
          <w:trHeight w:hRule="exact" w:val="2835"/>
        </w:trPr>
        <w:tc>
          <w:tcPr>
            <w:tcW w:w="1276" w:type="dxa"/>
            <w:tcBorders>
              <w:top w:val="single" w:sz="4" w:space="0" w:color="auto"/>
              <w:bottom w:val="single" w:sz="12" w:space="0" w:color="auto"/>
            </w:tcBorders>
          </w:tcPr>
          <w:p w14:paraId="0E2D0FE7" w14:textId="77777777" w:rsidR="00F35BAF" w:rsidRPr="005910B6" w:rsidRDefault="00F35BAF" w:rsidP="00C97039">
            <w:pPr>
              <w:spacing w:before="120"/>
              <w:jc w:val="center"/>
            </w:pPr>
            <w:r w:rsidRPr="005910B6">
              <w:rPr>
                <w:noProof/>
                <w:lang w:eastAsia="fr-CH"/>
              </w:rPr>
              <w:drawing>
                <wp:inline distT="0" distB="0" distL="0" distR="0" wp14:anchorId="64554305" wp14:editId="35F90D5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C7BC4C" w14:textId="77777777" w:rsidR="00F35BAF" w:rsidRPr="005910B6" w:rsidRDefault="00F35BAF" w:rsidP="00C97039">
            <w:pPr>
              <w:spacing w:before="120" w:line="420" w:lineRule="exact"/>
              <w:rPr>
                <w:b/>
                <w:sz w:val="40"/>
                <w:szCs w:val="40"/>
              </w:rPr>
            </w:pPr>
            <w:r w:rsidRPr="005910B6">
              <w:rPr>
                <w:b/>
                <w:sz w:val="40"/>
                <w:szCs w:val="40"/>
              </w:rPr>
              <w:t>Conseil économique et social</w:t>
            </w:r>
          </w:p>
        </w:tc>
        <w:tc>
          <w:tcPr>
            <w:tcW w:w="2835" w:type="dxa"/>
            <w:tcBorders>
              <w:top w:val="single" w:sz="4" w:space="0" w:color="auto"/>
              <w:bottom w:val="single" w:sz="12" w:space="0" w:color="auto"/>
            </w:tcBorders>
          </w:tcPr>
          <w:p w14:paraId="168FB655" w14:textId="77777777" w:rsidR="00F35BAF" w:rsidRPr="005910B6" w:rsidRDefault="00B02E81" w:rsidP="00C97039">
            <w:pPr>
              <w:spacing w:before="240"/>
            </w:pPr>
            <w:r w:rsidRPr="005910B6">
              <w:t>Distr. générale</w:t>
            </w:r>
          </w:p>
          <w:p w14:paraId="2252A523" w14:textId="77777777" w:rsidR="00B02E81" w:rsidRPr="005910B6" w:rsidRDefault="00B02E81" w:rsidP="00B02E81">
            <w:pPr>
              <w:spacing w:line="240" w:lineRule="exact"/>
            </w:pPr>
            <w:r w:rsidRPr="005910B6">
              <w:t>2 mars 2021</w:t>
            </w:r>
          </w:p>
          <w:p w14:paraId="5795E36A" w14:textId="77777777" w:rsidR="00B02E81" w:rsidRPr="005910B6" w:rsidRDefault="00B02E81" w:rsidP="00B02E81">
            <w:pPr>
              <w:spacing w:line="240" w:lineRule="exact"/>
            </w:pPr>
            <w:r w:rsidRPr="005910B6">
              <w:t>Français</w:t>
            </w:r>
          </w:p>
          <w:p w14:paraId="2C424016" w14:textId="77777777" w:rsidR="00B02E81" w:rsidRPr="005910B6" w:rsidRDefault="00B02E81" w:rsidP="00B02E81">
            <w:pPr>
              <w:spacing w:line="240" w:lineRule="exact"/>
            </w:pPr>
            <w:r w:rsidRPr="005910B6">
              <w:t>Original : anglais</w:t>
            </w:r>
          </w:p>
        </w:tc>
      </w:tr>
    </w:tbl>
    <w:p w14:paraId="3CE0E42A" w14:textId="77777777" w:rsidR="007F20FA" w:rsidRPr="005910B6" w:rsidRDefault="007F20FA" w:rsidP="007F20FA">
      <w:pPr>
        <w:spacing w:before="120"/>
        <w:rPr>
          <w:b/>
          <w:sz w:val="28"/>
          <w:szCs w:val="28"/>
        </w:rPr>
      </w:pPr>
      <w:r w:rsidRPr="005910B6">
        <w:rPr>
          <w:b/>
          <w:sz w:val="28"/>
          <w:szCs w:val="28"/>
        </w:rPr>
        <w:t>Commission économique pour l’Europe</w:t>
      </w:r>
    </w:p>
    <w:p w14:paraId="1A9E06D0" w14:textId="77777777" w:rsidR="007F20FA" w:rsidRPr="005910B6" w:rsidRDefault="007F20FA" w:rsidP="007F20FA">
      <w:pPr>
        <w:spacing w:before="120"/>
        <w:rPr>
          <w:sz w:val="28"/>
          <w:szCs w:val="28"/>
        </w:rPr>
      </w:pPr>
      <w:r w:rsidRPr="005910B6">
        <w:rPr>
          <w:sz w:val="28"/>
          <w:szCs w:val="28"/>
        </w:rPr>
        <w:t>Comité des transports intérieurs</w:t>
      </w:r>
    </w:p>
    <w:p w14:paraId="3B780E16" w14:textId="77777777" w:rsidR="00B02E81" w:rsidRPr="005910B6" w:rsidRDefault="00B02E81" w:rsidP="005910B6">
      <w:pPr>
        <w:spacing w:before="120"/>
        <w:rPr>
          <w:b/>
          <w:bCs/>
          <w:sz w:val="24"/>
          <w:szCs w:val="24"/>
        </w:rPr>
      </w:pPr>
      <w:r w:rsidRPr="005910B6">
        <w:rPr>
          <w:b/>
          <w:bCs/>
          <w:sz w:val="24"/>
          <w:szCs w:val="24"/>
          <w:lang w:val="fr-FR"/>
        </w:rPr>
        <w:t xml:space="preserve">Forum mondial de l’harmonisation des Règlements </w:t>
      </w:r>
      <w:r w:rsidR="005910B6">
        <w:rPr>
          <w:b/>
          <w:bCs/>
          <w:sz w:val="24"/>
          <w:szCs w:val="24"/>
          <w:lang w:val="fr-FR"/>
        </w:rPr>
        <w:br/>
      </w:r>
      <w:r w:rsidRPr="005910B6">
        <w:rPr>
          <w:b/>
          <w:bCs/>
          <w:sz w:val="24"/>
          <w:szCs w:val="24"/>
          <w:lang w:val="fr-FR"/>
        </w:rPr>
        <w:t>concernant les véhicules</w:t>
      </w:r>
    </w:p>
    <w:p w14:paraId="07C1487F" w14:textId="77777777" w:rsidR="00B02E81" w:rsidRPr="005910B6" w:rsidRDefault="00B02E81" w:rsidP="005910B6">
      <w:pPr>
        <w:spacing w:before="120"/>
        <w:rPr>
          <w:b/>
          <w:bCs/>
        </w:rPr>
      </w:pPr>
      <w:r w:rsidRPr="005910B6">
        <w:rPr>
          <w:b/>
          <w:bCs/>
          <w:lang w:val="fr-FR"/>
        </w:rPr>
        <w:t>Groupe de travail de la sécurité passive</w:t>
      </w:r>
    </w:p>
    <w:p w14:paraId="1D06F632" w14:textId="77777777" w:rsidR="00B02E81" w:rsidRPr="005910B6" w:rsidRDefault="00B02E81" w:rsidP="005910B6">
      <w:pPr>
        <w:spacing w:before="120"/>
        <w:rPr>
          <w:b/>
          <w:bCs/>
        </w:rPr>
      </w:pPr>
      <w:r w:rsidRPr="005910B6">
        <w:rPr>
          <w:b/>
          <w:bCs/>
          <w:lang w:val="fr-FR"/>
        </w:rPr>
        <w:t>Soixante-neuvième session</w:t>
      </w:r>
    </w:p>
    <w:p w14:paraId="2F1FAFA3" w14:textId="77777777" w:rsidR="00B02E81" w:rsidRPr="005910B6" w:rsidRDefault="00B02E81" w:rsidP="00B02E81">
      <w:r w:rsidRPr="005910B6">
        <w:rPr>
          <w:lang w:val="fr-FR"/>
        </w:rPr>
        <w:t>Genève, 17-21 mai 2021</w:t>
      </w:r>
    </w:p>
    <w:p w14:paraId="6DA1C106" w14:textId="77777777" w:rsidR="00B02E81" w:rsidRPr="005910B6" w:rsidRDefault="00B02E81" w:rsidP="00B02E81">
      <w:r w:rsidRPr="005910B6">
        <w:rPr>
          <w:lang w:val="fr-FR"/>
        </w:rPr>
        <w:t>Point 12 de l’ordre du jour provisoire</w:t>
      </w:r>
    </w:p>
    <w:p w14:paraId="717707F3" w14:textId="77777777" w:rsidR="00B02E81" w:rsidRPr="005910B6" w:rsidRDefault="00B02E81" w:rsidP="00B02E81">
      <w:pPr>
        <w:rPr>
          <w:b/>
          <w:bCs/>
        </w:rPr>
      </w:pPr>
      <w:r w:rsidRPr="005910B6">
        <w:rPr>
          <w:b/>
          <w:bCs/>
          <w:lang w:val="fr-FR"/>
        </w:rPr>
        <w:t>Règlement ONU n</w:t>
      </w:r>
      <w:r w:rsidRPr="005910B6">
        <w:rPr>
          <w:b/>
          <w:bCs/>
          <w:vertAlign w:val="superscript"/>
          <w:lang w:val="fr-FR"/>
        </w:rPr>
        <w:t>o</w:t>
      </w:r>
      <w:r w:rsidRPr="005910B6">
        <w:rPr>
          <w:b/>
          <w:bCs/>
          <w:lang w:val="fr-FR"/>
        </w:rPr>
        <w:t> 129 (Systèmes améliorés de retenue pour enfants)</w:t>
      </w:r>
    </w:p>
    <w:p w14:paraId="7E78F062" w14:textId="77777777" w:rsidR="00B02E81" w:rsidRPr="005910B6" w:rsidRDefault="00B02E81" w:rsidP="005910B6">
      <w:pPr>
        <w:pStyle w:val="HChG"/>
      </w:pPr>
      <w:r w:rsidRPr="005910B6">
        <w:rPr>
          <w:lang w:val="fr-FR"/>
        </w:rPr>
        <w:tab/>
      </w:r>
      <w:r w:rsidRPr="005910B6">
        <w:rPr>
          <w:lang w:val="fr-FR"/>
        </w:rPr>
        <w:tab/>
        <w:t>Proposition de projet de complément 8 à la série 01 d’amendements au Règlement ONU n</w:t>
      </w:r>
      <w:r w:rsidRPr="005910B6">
        <w:rPr>
          <w:vertAlign w:val="superscript"/>
          <w:lang w:val="fr-FR"/>
        </w:rPr>
        <w:t>o</w:t>
      </w:r>
      <w:r w:rsidRPr="005910B6">
        <w:rPr>
          <w:lang w:val="fr-FR"/>
        </w:rPr>
        <w:t xml:space="preserve"> 129 </w:t>
      </w:r>
      <w:r w:rsidR="005910B6">
        <w:rPr>
          <w:lang w:val="fr-FR"/>
        </w:rPr>
        <w:br/>
      </w:r>
      <w:r w:rsidRPr="005910B6">
        <w:rPr>
          <w:lang w:val="fr-FR"/>
        </w:rPr>
        <w:t>(Systèmes améliorés de retenue pour enfants)</w:t>
      </w:r>
    </w:p>
    <w:p w14:paraId="00AACA3B" w14:textId="77777777" w:rsidR="00B02E81" w:rsidRPr="005910B6" w:rsidRDefault="00B02E81" w:rsidP="005910B6">
      <w:pPr>
        <w:pStyle w:val="H1G"/>
      </w:pPr>
      <w:r w:rsidRPr="005910B6">
        <w:rPr>
          <w:lang w:val="fr-FR"/>
        </w:rPr>
        <w:tab/>
      </w:r>
      <w:r w:rsidRPr="005910B6">
        <w:rPr>
          <w:lang w:val="fr-FR"/>
        </w:rPr>
        <w:tab/>
        <w:t>Communication de l’expert de l’Espagne</w:t>
      </w:r>
      <w:r w:rsidRPr="005910B6">
        <w:rPr>
          <w:rStyle w:val="Appelnotedebasdep"/>
          <w:b w:val="0"/>
          <w:bCs/>
          <w:sz w:val="20"/>
          <w:vertAlign w:val="baseline"/>
          <w:lang w:val="fr-FR"/>
        </w:rPr>
        <w:footnoteReference w:customMarkFollows="1" w:id="2"/>
        <w:t>*</w:t>
      </w:r>
    </w:p>
    <w:p w14:paraId="331CD8D4" w14:textId="77777777" w:rsidR="00B02E81" w:rsidRPr="005910B6" w:rsidRDefault="00B02E81" w:rsidP="005910B6">
      <w:pPr>
        <w:pStyle w:val="SingleTxtG"/>
        <w:ind w:firstLine="567"/>
      </w:pPr>
      <w:r w:rsidRPr="005910B6">
        <w:rPr>
          <w:lang w:val="fr-FR"/>
        </w:rPr>
        <w:tab/>
        <w:t xml:space="preserve">Le texte ci-après a été établi par l’expert de l’Espagne au nom du Groupe des services </w:t>
      </w:r>
      <w:r w:rsidRPr="005910B6">
        <w:t>techniques</w:t>
      </w:r>
      <w:r w:rsidRPr="005910B6">
        <w:rPr>
          <w:lang w:val="fr-FR"/>
        </w:rPr>
        <w:t xml:space="preserve"> du Règlement ONU n</w:t>
      </w:r>
      <w:r w:rsidRPr="005910B6">
        <w:rPr>
          <w:vertAlign w:val="superscript"/>
          <w:lang w:val="fr-FR"/>
        </w:rPr>
        <w:t>o</w:t>
      </w:r>
      <w:r w:rsidRPr="005910B6">
        <w:rPr>
          <w:lang w:val="fr-FR"/>
        </w:rPr>
        <w:t> 129. Les modifications qu’il est proposé d’apporter au texte actuel du Règlement ONU figurent en caractères gras pour les ajouts et biffés pour les suppressions.</w:t>
      </w:r>
    </w:p>
    <w:p w14:paraId="74B71AF9" w14:textId="77777777" w:rsidR="00B02E81" w:rsidRPr="005910B6" w:rsidRDefault="00B02E81" w:rsidP="00B02E81">
      <w:pPr>
        <w:pStyle w:val="SingleTxtG"/>
      </w:pPr>
      <w:r w:rsidRPr="005910B6">
        <w:br w:type="page"/>
      </w:r>
    </w:p>
    <w:p w14:paraId="2F92C59F" w14:textId="77777777" w:rsidR="00B02E81" w:rsidRPr="005910B6" w:rsidRDefault="005910B6" w:rsidP="005910B6">
      <w:pPr>
        <w:pStyle w:val="HChG"/>
      </w:pPr>
      <w:r>
        <w:rPr>
          <w:lang w:val="fr-FR"/>
        </w:rPr>
        <w:lastRenderedPageBreak/>
        <w:tab/>
      </w:r>
      <w:r w:rsidR="00B02E81" w:rsidRPr="005910B6">
        <w:rPr>
          <w:lang w:val="fr-FR"/>
        </w:rPr>
        <w:t>I.</w:t>
      </w:r>
      <w:r w:rsidR="00B02E81" w:rsidRPr="005910B6">
        <w:rPr>
          <w:lang w:val="fr-FR"/>
        </w:rPr>
        <w:tab/>
        <w:t>Proposition</w:t>
      </w:r>
    </w:p>
    <w:p w14:paraId="2CB42A12" w14:textId="77777777" w:rsidR="00B02E81" w:rsidRPr="005910B6" w:rsidRDefault="00B02E81" w:rsidP="005910B6">
      <w:pPr>
        <w:pStyle w:val="SingleTxtG"/>
        <w:keepNext/>
        <w:rPr>
          <w:iCs/>
        </w:rPr>
      </w:pPr>
      <w:r w:rsidRPr="005910B6">
        <w:rPr>
          <w:i/>
          <w:iCs/>
          <w:lang w:val="fr-FR"/>
        </w:rPr>
        <w:t>Paragraphe 7.1.3</w:t>
      </w:r>
      <w:r w:rsidRPr="005910B6">
        <w:rPr>
          <w:lang w:val="fr-FR"/>
        </w:rPr>
        <w:t>, lire</w:t>
      </w:r>
      <w:r w:rsidR="005910B6">
        <w:rPr>
          <w:lang w:val="fr-FR"/>
        </w:rPr>
        <w:t> </w:t>
      </w:r>
      <w:r w:rsidRPr="005910B6">
        <w:rPr>
          <w:lang w:val="fr-FR"/>
        </w:rPr>
        <w:t>:</w:t>
      </w:r>
    </w:p>
    <w:p w14:paraId="16BECF0E" w14:textId="77777777" w:rsidR="00B02E81" w:rsidRPr="005910B6" w:rsidRDefault="00B02E81" w:rsidP="005910B6">
      <w:pPr>
        <w:keepNext/>
        <w:tabs>
          <w:tab w:val="left" w:pos="2268"/>
          <w:tab w:val="left" w:pos="2800"/>
        </w:tabs>
        <w:kinsoku/>
        <w:overflowPunct/>
        <w:autoSpaceDE/>
        <w:autoSpaceDN/>
        <w:adjustRightInd/>
        <w:snapToGrid/>
        <w:spacing w:after="120"/>
        <w:ind w:left="2268" w:right="1134" w:hanging="1134"/>
        <w:jc w:val="both"/>
      </w:pPr>
      <w:r w:rsidRPr="005910B6">
        <w:rPr>
          <w:lang w:val="fr-FR"/>
        </w:rPr>
        <w:t>« 7.1.3</w:t>
      </w:r>
      <w:r w:rsidR="005910B6">
        <w:rPr>
          <w:lang w:val="fr-FR"/>
        </w:rPr>
        <w:tab/>
      </w:r>
      <w:r w:rsidRPr="005910B6">
        <w:rPr>
          <w:lang w:val="fr-FR"/>
        </w:rPr>
        <w:t>Essais dynamiques de choc avant, arrière et latéral</w:t>
      </w:r>
      <w:r w:rsidR="005910B6">
        <w:rPr>
          <w:lang w:val="fr-FR"/>
        </w:rPr>
        <w:t> </w:t>
      </w:r>
      <w:r w:rsidRPr="005910B6">
        <w:rPr>
          <w:lang w:val="fr-FR"/>
        </w:rPr>
        <w:t>:</w:t>
      </w:r>
    </w:p>
    <w:p w14:paraId="311A0FBF" w14:textId="77777777" w:rsidR="00B02E81" w:rsidRPr="005910B6" w:rsidRDefault="00B02E81" w:rsidP="005910B6">
      <w:pPr>
        <w:kinsoku/>
        <w:overflowPunct/>
        <w:autoSpaceDE/>
        <w:autoSpaceDN/>
        <w:adjustRightInd/>
        <w:snapToGrid/>
        <w:spacing w:after="120"/>
        <w:ind w:left="2835" w:right="1134" w:hanging="567"/>
        <w:jc w:val="both"/>
        <w:rPr>
          <w:b/>
          <w:bCs/>
        </w:rPr>
      </w:pPr>
      <w:r w:rsidRPr="005910B6">
        <w:rPr>
          <w:lang w:val="fr-FR"/>
        </w:rPr>
        <w:t>a)</w:t>
      </w:r>
      <w:r w:rsidRPr="005910B6">
        <w:rPr>
          <w:lang w:val="fr-FR"/>
        </w:rPr>
        <w:tab/>
        <w:t xml:space="preserve">L’essai de choc avant doit être effectué sur </w:t>
      </w:r>
      <w:r w:rsidRPr="005910B6">
        <w:rPr>
          <w:strike/>
          <w:lang w:val="fr-FR"/>
        </w:rPr>
        <w:t>les dispositifs améliorés de retenue pour enfants du type « i-Size » (dispositifs améliorés de retenue pour enfants ISOFIX universels intégraux) et sur les dispositifs améliorés ISOFIX spécifiques à un véhicule ;</w:t>
      </w:r>
      <w:r w:rsidRPr="005910B6">
        <w:rPr>
          <w:lang w:val="fr-FR"/>
        </w:rPr>
        <w:t xml:space="preserve"> </w:t>
      </w:r>
      <w:r w:rsidRPr="005910B6">
        <w:rPr>
          <w:b/>
          <w:bCs/>
          <w:lang w:val="fr-FR"/>
        </w:rPr>
        <w:t>tous les systèmes améliorés de retenue pour enfants visés par le présent Règlement.</w:t>
      </w:r>
    </w:p>
    <w:p w14:paraId="4FDAED0D" w14:textId="77777777" w:rsidR="00B02E81" w:rsidRPr="005910B6" w:rsidRDefault="00B02E81" w:rsidP="005910B6">
      <w:pPr>
        <w:kinsoku/>
        <w:overflowPunct/>
        <w:autoSpaceDE/>
        <w:autoSpaceDN/>
        <w:adjustRightInd/>
        <w:snapToGrid/>
        <w:spacing w:after="120"/>
        <w:ind w:left="2835" w:right="1134" w:hanging="567"/>
        <w:jc w:val="both"/>
        <w:rPr>
          <w:strike/>
        </w:rPr>
      </w:pPr>
      <w:r w:rsidRPr="005910B6">
        <w:rPr>
          <w:lang w:val="fr-FR"/>
        </w:rPr>
        <w:t>b)</w:t>
      </w:r>
      <w:r w:rsidRPr="005910B6">
        <w:rPr>
          <w:lang w:val="fr-FR"/>
        </w:rPr>
        <w:tab/>
      </w:r>
      <w:r w:rsidRPr="005910B6">
        <w:rPr>
          <w:strike/>
          <w:lang w:val="fr-FR"/>
        </w:rPr>
        <w:t>L’essai de choc arrière doit être effectué sur les dispositifs améliorés de retenue pour enfants i-Size et les dispositifs améliorés ISOFIX spécifiques à un véhicule faisant face vers l’arrière et faisant face vers le côté ;</w:t>
      </w:r>
      <w:r w:rsidRPr="005910B6">
        <w:rPr>
          <w:lang w:val="fr-FR"/>
        </w:rPr>
        <w:t xml:space="preserve"> </w:t>
      </w:r>
    </w:p>
    <w:p w14:paraId="1CC4DD52" w14:textId="77777777" w:rsidR="00B02E81" w:rsidRPr="005910B6" w:rsidRDefault="00B02E81" w:rsidP="005910B6">
      <w:pPr>
        <w:pStyle w:val="SingleTxtG"/>
        <w:ind w:left="2835"/>
        <w:rPr>
          <w:b/>
          <w:bCs/>
        </w:rPr>
      </w:pPr>
      <w:r w:rsidRPr="005910B6">
        <w:rPr>
          <w:b/>
          <w:bCs/>
          <w:lang w:val="fr-FR"/>
        </w:rPr>
        <w:tab/>
        <w:t>Les essais de choc latéral doivent être effectués sur tous les systèmes améliorés de retenue pour enfants visés par le présent Règlement, à l’exception des systèmes améliorés de retenue pour enfants intégrés.</w:t>
      </w:r>
    </w:p>
    <w:p w14:paraId="476B6536" w14:textId="77777777" w:rsidR="00B02E81" w:rsidRPr="005910B6" w:rsidRDefault="00B02E81" w:rsidP="005910B6">
      <w:pPr>
        <w:kinsoku/>
        <w:overflowPunct/>
        <w:autoSpaceDE/>
        <w:autoSpaceDN/>
        <w:adjustRightInd/>
        <w:snapToGrid/>
        <w:spacing w:after="120"/>
        <w:ind w:left="2835" w:right="1134" w:hanging="567"/>
        <w:jc w:val="both"/>
      </w:pPr>
      <w:r w:rsidRPr="005910B6">
        <w:rPr>
          <w:lang w:val="fr-FR"/>
        </w:rPr>
        <w:t>c)</w:t>
      </w:r>
      <w:r w:rsidRPr="005910B6">
        <w:rPr>
          <w:lang w:val="fr-FR"/>
        </w:rPr>
        <w:tab/>
      </w:r>
      <w:r w:rsidRPr="005910B6">
        <w:rPr>
          <w:strike/>
          <w:lang w:val="fr-FR"/>
        </w:rPr>
        <w:t>Les essais de choc latéral ne sont effectués que sur banquette d’essai s’agissant des dispositifs améliorés ISOFIX de retenue pour enfants universels et intégraux « i-Size » et des dispositifs améliorés ISOFIX spécifiques à un véhicule ;</w:t>
      </w:r>
    </w:p>
    <w:p w14:paraId="7E169AF6" w14:textId="77777777" w:rsidR="00B02E81" w:rsidRPr="005910B6" w:rsidRDefault="00B02E81" w:rsidP="005910B6">
      <w:pPr>
        <w:pStyle w:val="SingleTxtG"/>
        <w:ind w:left="2835"/>
        <w:rPr>
          <w:b/>
          <w:bCs/>
          <w:lang w:val="fr-FR"/>
        </w:rPr>
      </w:pPr>
      <w:r w:rsidRPr="005910B6">
        <w:rPr>
          <w:b/>
          <w:bCs/>
          <w:lang w:val="fr-FR"/>
        </w:rPr>
        <w:tab/>
        <w:t>Les essais de choc arrière doivent être effectués sur tous les systèmes améliorés de retenue pour enfants faisant face vers l’arrière et vers le côté visés par le présent Règlement.</w:t>
      </w:r>
    </w:p>
    <w:p w14:paraId="4443C11C" w14:textId="77777777" w:rsidR="00B02E81" w:rsidRPr="005910B6" w:rsidRDefault="00B02E81" w:rsidP="005910B6">
      <w:pPr>
        <w:kinsoku/>
        <w:overflowPunct/>
        <w:autoSpaceDE/>
        <w:autoSpaceDN/>
        <w:adjustRightInd/>
        <w:snapToGrid/>
        <w:spacing w:after="120"/>
        <w:ind w:left="2835" w:right="1134" w:hanging="567"/>
        <w:jc w:val="both"/>
      </w:pPr>
      <w:r w:rsidRPr="005910B6">
        <w:rPr>
          <w:lang w:val="fr-FR"/>
        </w:rPr>
        <w:t>d)</w:t>
      </w:r>
      <w:r w:rsidRPr="005910B6">
        <w:rPr>
          <w:lang w:val="fr-FR"/>
        </w:rPr>
        <w:tab/>
      </w:r>
      <w:r w:rsidRPr="005910B6">
        <w:rPr>
          <w:strike/>
          <w:lang w:val="fr-FR"/>
        </w:rPr>
        <w:t>Le DARE doit être soumis à l’essai dans sa position d’utilisation la plus verticale.</w:t>
      </w:r>
      <w:r w:rsidRPr="005910B6">
        <w:rPr>
          <w:lang w:val="fr-FR"/>
        </w:rPr>
        <w:t xml:space="preserve"> </w:t>
      </w:r>
      <w:r w:rsidRPr="005910B6">
        <w:rPr>
          <w:strike/>
          <w:lang w:val="fr-FR"/>
        </w:rPr>
        <w:t>Cette position doit être choisie même si elle sort du gabarit du siège du véhicule.</w:t>
      </w:r>
      <w:r w:rsidRPr="005910B6">
        <w:rPr>
          <w:lang w:val="fr-FR"/>
        </w:rPr>
        <w:t xml:space="preserve"> </w:t>
      </w:r>
      <w:r w:rsidRPr="005910B6">
        <w:rPr>
          <w:strike/>
          <w:lang w:val="fr-FR"/>
        </w:rPr>
        <w:t>Toutefois, si des positions en largeur sortent de ce gabarit, il faut pour l’essai de choc latéral régler les amortisseurs de choc latéraux dans une position qui tienne encore dans le gabarit du siège du véhicule ;</w:t>
      </w:r>
    </w:p>
    <w:p w14:paraId="76541ED1" w14:textId="77777777" w:rsidR="00B02E81" w:rsidRPr="005910B6" w:rsidRDefault="00B02E81" w:rsidP="005910B6">
      <w:pPr>
        <w:pStyle w:val="SingleTxtG"/>
        <w:ind w:left="2835"/>
        <w:rPr>
          <w:b/>
          <w:bCs/>
          <w:lang w:val="fr-FR"/>
        </w:rPr>
      </w:pPr>
      <w:r w:rsidRPr="005910B6">
        <w:rPr>
          <w:b/>
          <w:bCs/>
          <w:lang w:val="fr-FR"/>
        </w:rPr>
        <w:t>Les essais de choc frontal et de choc arrière doivent être effectués sur la banquette d’essai (chariot plus siège normalisé) ou dans la carrosserie du véhicule, conformément au tableau</w:t>
      </w:r>
      <w:r w:rsidR="005910B6">
        <w:rPr>
          <w:b/>
          <w:bCs/>
          <w:lang w:val="fr-FR"/>
        </w:rPr>
        <w:t> </w:t>
      </w:r>
      <w:r w:rsidRPr="005910B6">
        <w:rPr>
          <w:b/>
          <w:bCs/>
          <w:lang w:val="fr-FR"/>
        </w:rPr>
        <w:t>4 du paragraphe</w:t>
      </w:r>
      <w:r w:rsidR="005910B6">
        <w:rPr>
          <w:b/>
          <w:bCs/>
          <w:lang w:val="fr-FR"/>
        </w:rPr>
        <w:t> </w:t>
      </w:r>
      <w:r w:rsidRPr="005910B6">
        <w:rPr>
          <w:b/>
          <w:bCs/>
          <w:lang w:val="fr-FR"/>
        </w:rPr>
        <w:t>6.6.4.1, ou encore dans un véhicule complet conformément au paragraphe</w:t>
      </w:r>
      <w:r w:rsidR="005910B6">
        <w:rPr>
          <w:b/>
          <w:bCs/>
          <w:lang w:val="fr-FR"/>
        </w:rPr>
        <w:t> </w:t>
      </w:r>
      <w:r w:rsidRPr="005910B6">
        <w:rPr>
          <w:b/>
          <w:bCs/>
          <w:lang w:val="fr-FR"/>
        </w:rPr>
        <w:t>7.1.3.3. Les essais de choc latéral doivent être effectués sur la banquette d’essai uniquement, conformément au tableau 4 du paragraphe</w:t>
      </w:r>
      <w:r w:rsidR="005910B6">
        <w:rPr>
          <w:b/>
          <w:bCs/>
          <w:lang w:val="fr-FR"/>
        </w:rPr>
        <w:t> </w:t>
      </w:r>
      <w:r w:rsidRPr="005910B6">
        <w:rPr>
          <w:b/>
          <w:bCs/>
          <w:lang w:val="fr-FR"/>
        </w:rPr>
        <w:t>6.6.4.1.</w:t>
      </w:r>
    </w:p>
    <w:p w14:paraId="142F3B5A" w14:textId="77777777" w:rsidR="00B02E81" w:rsidRPr="005910B6" w:rsidRDefault="00B02E81" w:rsidP="005910B6">
      <w:pPr>
        <w:kinsoku/>
        <w:overflowPunct/>
        <w:autoSpaceDE/>
        <w:autoSpaceDN/>
        <w:adjustRightInd/>
        <w:snapToGrid/>
        <w:spacing w:after="120"/>
        <w:ind w:left="2835" w:right="1134" w:hanging="567"/>
        <w:jc w:val="both"/>
      </w:pPr>
      <w:r w:rsidRPr="005910B6">
        <w:rPr>
          <w:lang w:val="fr-FR"/>
        </w:rPr>
        <w:t>e)</w:t>
      </w:r>
      <w:r w:rsidRPr="005910B6">
        <w:rPr>
          <w:lang w:val="fr-FR"/>
        </w:rPr>
        <w:tab/>
      </w:r>
      <w:r w:rsidRPr="005910B6">
        <w:rPr>
          <w:strike/>
          <w:lang w:val="fr-FR"/>
        </w:rPr>
        <w:t>Les essais de choc latéral doivent être effectués dans cette/ces configuration(s) ;</w:t>
      </w:r>
    </w:p>
    <w:p w14:paraId="7304B63F" w14:textId="77777777" w:rsidR="00B02E81" w:rsidRPr="005910B6" w:rsidRDefault="00B02E81" w:rsidP="005910B6">
      <w:pPr>
        <w:pStyle w:val="SingleTxtG"/>
        <w:ind w:left="2835"/>
        <w:rPr>
          <w:b/>
          <w:bCs/>
          <w:lang w:val="fr-FR"/>
        </w:rPr>
      </w:pPr>
      <w:r w:rsidRPr="005910B6">
        <w:rPr>
          <w:b/>
          <w:bCs/>
          <w:lang w:val="fr-FR"/>
        </w:rPr>
        <w:t xml:space="preserve">Pour les essais de choc latéral, les systèmes améliorés de retenue pour enfants doivent être placés dans leur position d’utilisation la plus verticale. Cette position doit être choisie même si elle sort du gabarit du siège du véhicule. </w:t>
      </w:r>
    </w:p>
    <w:p w14:paraId="16D084D4" w14:textId="77777777" w:rsidR="00B02E81" w:rsidRPr="005910B6" w:rsidRDefault="00B02E81" w:rsidP="005910B6">
      <w:pPr>
        <w:pStyle w:val="SingleTxtG"/>
        <w:ind w:left="2835"/>
        <w:rPr>
          <w:b/>
          <w:bCs/>
          <w:lang w:val="fr-FR"/>
        </w:rPr>
      </w:pPr>
      <w:r w:rsidRPr="005910B6">
        <w:rPr>
          <w:b/>
          <w:bCs/>
          <w:lang w:val="fr-FR"/>
        </w:rPr>
        <w:t xml:space="preserve">En ce qui concerne les systèmes améliorés de retenue pour enfants qui s’adaptent à tous les gabarits de siège de véhicule dont les amortisseurs de choc latéraux peuvent être ajustés en dehors du gabarit, il faut régler lesdits amortisseurs dans une position en largeur qui tienne encore à l’intérieur du gabarit. </w:t>
      </w:r>
    </w:p>
    <w:p w14:paraId="588468E5" w14:textId="77777777" w:rsidR="00B02E81" w:rsidRPr="005910B6" w:rsidRDefault="00B02E81" w:rsidP="005910B6">
      <w:pPr>
        <w:pStyle w:val="SingleTxtG"/>
        <w:ind w:left="2835"/>
        <w:rPr>
          <w:b/>
          <w:bCs/>
          <w:lang w:val="fr-FR"/>
        </w:rPr>
      </w:pPr>
      <w:bookmarkStart w:id="0" w:name="_Hlk63777002"/>
      <w:r w:rsidRPr="005910B6">
        <w:rPr>
          <w:b/>
          <w:bCs/>
          <w:lang w:val="fr-FR"/>
        </w:rPr>
        <w:t>En ce qui concerne les systèmes améliorés de retenue pour enfants qui ne s’adaptent à aucun gabarit de siège de véhicule, un essai de choc latéral doit être effectué pour chaque véhicule répertorié.</w:t>
      </w:r>
    </w:p>
    <w:p w14:paraId="6AB8F5A7" w14:textId="77777777" w:rsidR="00B02E81" w:rsidRPr="005910B6" w:rsidRDefault="00B02E81" w:rsidP="005910B6">
      <w:pPr>
        <w:pStyle w:val="SingleTxtG"/>
        <w:ind w:left="2835"/>
        <w:rPr>
          <w:b/>
          <w:bCs/>
        </w:rPr>
      </w:pPr>
      <w:r w:rsidRPr="005910B6">
        <w:rPr>
          <w:b/>
          <w:bCs/>
          <w:lang w:val="fr-FR"/>
        </w:rPr>
        <w:lastRenderedPageBreak/>
        <w:t>Pour chaque essai, la position initiale du panneau de portière utilisé pour l’essai de choc latéral par rapport à la banquette d’essai doit être réglée compte tenu de la distance minimale entre le panneau et le centre de la place assise, comme indiqué à la figure 3.</w:t>
      </w:r>
    </w:p>
    <w:p w14:paraId="54B4E70D" w14:textId="77777777" w:rsidR="00B02E81" w:rsidRPr="005910B6" w:rsidRDefault="00B02E81" w:rsidP="005910B6">
      <w:pPr>
        <w:pStyle w:val="Titre1"/>
        <w:rPr>
          <w:lang w:val="fr-FR"/>
        </w:rPr>
      </w:pPr>
      <w:r w:rsidRPr="005910B6">
        <w:rPr>
          <w:lang w:val="fr-FR"/>
        </w:rPr>
        <w:t>Figure 3</w:t>
      </w:r>
    </w:p>
    <w:p w14:paraId="3B10C054" w14:textId="77777777" w:rsidR="00B02E81" w:rsidRDefault="00B02E81" w:rsidP="005910B6">
      <w:pPr>
        <w:pStyle w:val="Titre1"/>
        <w:rPr>
          <w:b/>
          <w:bCs/>
          <w:lang w:val="fr-FR"/>
        </w:rPr>
      </w:pPr>
      <w:r w:rsidRPr="005910B6">
        <w:rPr>
          <w:b/>
          <w:bCs/>
          <w:lang w:val="fr-FR"/>
        </w:rPr>
        <w:t>Distance minimale pour le choc latéral</w:t>
      </w:r>
    </w:p>
    <w:p w14:paraId="0CAF31DB" w14:textId="77777777" w:rsidR="005910B6" w:rsidRDefault="005910B6" w:rsidP="005910B6">
      <w:pPr>
        <w:ind w:left="1134"/>
        <w:rPr>
          <w:lang w:val="fr-FR"/>
        </w:rPr>
      </w:pPr>
      <w:r>
        <w:rPr>
          <w:noProof/>
          <w:lang w:val="fr-FR"/>
        </w:rPr>
        <mc:AlternateContent>
          <mc:Choice Requires="wps">
            <w:drawing>
              <wp:anchor distT="0" distB="0" distL="114300" distR="114300" simplePos="0" relativeHeight="251664384" behindDoc="0" locked="0" layoutInCell="1" allowOverlap="1" wp14:anchorId="0C0DC09D" wp14:editId="06A30DB2">
                <wp:simplePos x="0" y="0"/>
                <wp:positionH relativeFrom="column">
                  <wp:posOffset>2884468</wp:posOffset>
                </wp:positionH>
                <wp:positionV relativeFrom="paragraph">
                  <wp:posOffset>1113985</wp:posOffset>
                </wp:positionV>
                <wp:extent cx="937998" cy="158750"/>
                <wp:effectExtent l="8573" t="0" r="4127" b="4128"/>
                <wp:wrapNone/>
                <wp:docPr id="9" name="Zone de texte 9"/>
                <wp:cNvGraphicFramePr/>
                <a:graphic xmlns:a="http://schemas.openxmlformats.org/drawingml/2006/main">
                  <a:graphicData uri="http://schemas.microsoft.com/office/word/2010/wordprocessingShape">
                    <wps:wsp>
                      <wps:cNvSpPr txBox="1"/>
                      <wps:spPr>
                        <a:xfrm rot="16200000">
                          <a:off x="0" y="0"/>
                          <a:ext cx="937998" cy="158750"/>
                        </a:xfrm>
                        <a:prstGeom prst="rect">
                          <a:avLst/>
                        </a:prstGeom>
                        <a:solidFill>
                          <a:sysClr val="window" lastClr="FFFFFF"/>
                        </a:solidFill>
                        <a:ln w="6350">
                          <a:noFill/>
                        </a:ln>
                      </wps:spPr>
                      <wps:txbx>
                        <w:txbxContent>
                          <w:p w14:paraId="3E90BDDA" w14:textId="77777777" w:rsidR="005910B6" w:rsidRPr="0007702E" w:rsidRDefault="005910B6" w:rsidP="005910B6">
                            <w:pPr>
                              <w:rPr>
                                <w:sz w:val="16"/>
                                <w:szCs w:val="16"/>
                              </w:rPr>
                            </w:pPr>
                            <w:r>
                              <w:rPr>
                                <w:sz w:val="16"/>
                                <w:szCs w:val="16"/>
                              </w:rPr>
                              <w:t>Panneau de portière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DC09D" id="_x0000_t202" coordsize="21600,21600" o:spt="202" path="m,l,21600r21600,l21600,xe">
                <v:stroke joinstyle="miter"/>
                <v:path gradientshapeok="t" o:connecttype="rect"/>
              </v:shapetype>
              <v:shape id="Zone de texte 9" o:spid="_x0000_s1026" type="#_x0000_t202" style="position:absolute;left:0;text-align:left;margin-left:227.1pt;margin-top:87.7pt;width:73.85pt;height:1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" fillcolor="window" stroked="f" strokeweight=".5pt">
                <v:textbox inset="0,0,0,0">
                  <w:txbxContent>
                    <w:p w14:paraId="3E90BDDA" w14:textId="77777777" w:rsidR="005910B6" w:rsidRPr="0007702E" w:rsidRDefault="005910B6" w:rsidP="005910B6">
                      <w:pPr>
                        <w:rPr>
                          <w:sz w:val="16"/>
                          <w:szCs w:val="16"/>
                        </w:rPr>
                      </w:pPr>
                      <w:r>
                        <w:rPr>
                          <w:sz w:val="16"/>
                          <w:szCs w:val="16"/>
                        </w:rPr>
                        <w:t>Panneau de portière</w:t>
                      </w:r>
                    </w:p>
                  </w:txbxContent>
                </v:textbox>
              </v:shape>
            </w:pict>
          </mc:Fallback>
        </mc:AlternateContent>
      </w:r>
      <w:r>
        <w:rPr>
          <w:noProof/>
          <w:lang w:val="fr-FR"/>
        </w:rPr>
        <mc:AlternateContent>
          <mc:Choice Requires="wps">
            <w:drawing>
              <wp:anchor distT="0" distB="0" distL="114300" distR="114300" simplePos="0" relativeHeight="251663360" behindDoc="0" locked="0" layoutInCell="1" allowOverlap="1" wp14:anchorId="38512428" wp14:editId="1BE4D8BE">
                <wp:simplePos x="0" y="0"/>
                <wp:positionH relativeFrom="column">
                  <wp:posOffset>2128888</wp:posOffset>
                </wp:positionH>
                <wp:positionV relativeFrom="paragraph">
                  <wp:posOffset>386162</wp:posOffset>
                </wp:positionV>
                <wp:extent cx="802312" cy="15893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802312" cy="158935"/>
                        </a:xfrm>
                        <a:prstGeom prst="rect">
                          <a:avLst/>
                        </a:prstGeom>
                        <a:solidFill>
                          <a:sysClr val="window" lastClr="FFFFFF"/>
                        </a:solidFill>
                        <a:ln w="6350">
                          <a:noFill/>
                        </a:ln>
                      </wps:spPr>
                      <wps:txbx>
                        <w:txbxContent>
                          <w:p w14:paraId="3AADFF01" w14:textId="77777777" w:rsidR="005910B6" w:rsidRPr="0007702E" w:rsidRDefault="005910B6" w:rsidP="005910B6">
                            <w:pPr>
                              <w:rPr>
                                <w:sz w:val="16"/>
                                <w:szCs w:val="16"/>
                              </w:rPr>
                            </w:pPr>
                            <w:r w:rsidRPr="0007702E">
                              <w:rPr>
                                <w:sz w:val="16"/>
                                <w:szCs w:val="16"/>
                              </w:rPr>
                              <w:t>Distance minimale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12428" id="Zone de texte 8" o:spid="_x0000_s1027" type="#_x0000_t202" style="position:absolute;left:0;text-align:left;margin-left:167.65pt;margin-top:30.4pt;width:63.15pt;height: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" fillcolor="window" stroked="f" strokeweight=".5pt">
                <v:textbox inset="0,0,0,0">
                  <w:txbxContent>
                    <w:p w14:paraId="3AADFF01" w14:textId="77777777" w:rsidR="005910B6" w:rsidRPr="0007702E" w:rsidRDefault="005910B6" w:rsidP="005910B6">
                      <w:pPr>
                        <w:rPr>
                          <w:sz w:val="16"/>
                          <w:szCs w:val="16"/>
                        </w:rPr>
                      </w:pPr>
                      <w:r w:rsidRPr="0007702E">
                        <w:rPr>
                          <w:sz w:val="16"/>
                          <w:szCs w:val="16"/>
                        </w:rPr>
                        <w:t>Distance minimale</w:t>
                      </w:r>
                    </w:p>
                  </w:txbxContent>
                </v:textbox>
              </v:shape>
            </w:pict>
          </mc:Fallback>
        </mc:AlternateContent>
      </w:r>
      <w:r>
        <w:rPr>
          <w:noProof/>
          <w:lang w:val="fr-FR"/>
        </w:rPr>
        <w:drawing>
          <wp:inline distT="0" distB="0" distL="0" distR="0" wp14:anchorId="355BAC11" wp14:editId="18E4E71D">
            <wp:extent cx="3030220" cy="22555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220" cy="2255520"/>
                    </a:xfrm>
                    <a:prstGeom prst="rect">
                      <a:avLst/>
                    </a:prstGeom>
                    <a:noFill/>
                  </pic:spPr>
                </pic:pic>
              </a:graphicData>
            </a:graphic>
          </wp:inline>
        </w:drawing>
      </w:r>
    </w:p>
    <w:bookmarkEnd w:id="0"/>
    <w:p w14:paraId="38186225" w14:textId="77777777" w:rsidR="00B02E81" w:rsidRPr="005910B6" w:rsidRDefault="00B02E81" w:rsidP="005910B6">
      <w:pPr>
        <w:kinsoku/>
        <w:overflowPunct/>
        <w:autoSpaceDE/>
        <w:autoSpaceDN/>
        <w:adjustRightInd/>
        <w:snapToGrid/>
        <w:spacing w:after="120"/>
        <w:ind w:left="2835" w:right="1134" w:hanging="567"/>
        <w:jc w:val="both"/>
      </w:pPr>
      <w:r w:rsidRPr="005910B6">
        <w:rPr>
          <w:lang w:val="fr-FR"/>
        </w:rPr>
        <w:t>f)</w:t>
      </w:r>
      <w:r w:rsidRPr="005910B6">
        <w:rPr>
          <w:lang w:val="fr-FR"/>
        </w:rPr>
        <w:tab/>
        <w:t xml:space="preserve">En ce qui concerne les chocs avant et arrière, les essais doivent être effectués dans les conditions suivantes : le </w:t>
      </w:r>
      <w:r w:rsidRPr="005910B6">
        <w:rPr>
          <w:strike/>
          <w:lang w:val="fr-FR"/>
        </w:rPr>
        <w:t>DARE</w:t>
      </w:r>
      <w:r w:rsidRPr="005910B6">
        <w:rPr>
          <w:lang w:val="fr-FR"/>
        </w:rPr>
        <w:t xml:space="preserve"> </w:t>
      </w:r>
      <w:r w:rsidRPr="005910B6">
        <w:rPr>
          <w:b/>
          <w:bCs/>
          <w:lang w:val="fr-FR"/>
        </w:rPr>
        <w:t xml:space="preserve">système amélioré de retenue pour enfants </w:t>
      </w:r>
      <w:r w:rsidRPr="005910B6">
        <w:rPr>
          <w:lang w:val="fr-FR"/>
        </w:rPr>
        <w:t xml:space="preserve">est ajusté à la taille du ou des mannequins choisis pour couvrir toute la gamme de tailles, et placé dans la position la plus </w:t>
      </w:r>
      <w:r w:rsidRPr="005910B6">
        <w:rPr>
          <w:strike/>
          <w:lang w:val="fr-FR"/>
        </w:rPr>
        <w:t xml:space="preserve">défavorable pour le mannequin en question compte tenu de l’orientation du choc ; </w:t>
      </w:r>
      <w:r w:rsidRPr="005910B6">
        <w:rPr>
          <w:b/>
          <w:bCs/>
          <w:lang w:val="fr-FR"/>
        </w:rPr>
        <w:t>verticale et dans la position la plus inclinée pour chaque mannequin et chaque orientation de choc</w:t>
      </w:r>
      <w:r w:rsidRPr="005910B6">
        <w:rPr>
          <w:lang w:val="fr-FR"/>
        </w:rPr>
        <w:t xml:space="preserve">. </w:t>
      </w:r>
    </w:p>
    <w:p w14:paraId="1A79F924" w14:textId="77777777" w:rsidR="00B02E81" w:rsidRPr="00EF5E42" w:rsidRDefault="00B02E81" w:rsidP="00EF5E42">
      <w:pPr>
        <w:pStyle w:val="SingleTxtG"/>
        <w:ind w:left="2835"/>
        <w:rPr>
          <w:b/>
          <w:bCs/>
        </w:rPr>
      </w:pPr>
      <w:r w:rsidRPr="00EF5E42">
        <w:rPr>
          <w:b/>
          <w:bCs/>
        </w:rPr>
        <w:t>En ce qui concerne les positions qui ne sont pas représentées dans les configurations précédentes, le service technique peut mettre le système amélioré de retenue pour enfants à l’essai à condition que la position définie tienne dans le gabarit de siège de véhicule.</w:t>
      </w:r>
    </w:p>
    <w:p w14:paraId="5457896F" w14:textId="77777777" w:rsidR="00B02E81" w:rsidRPr="005910B6" w:rsidRDefault="00B02E81" w:rsidP="005910B6">
      <w:pPr>
        <w:kinsoku/>
        <w:overflowPunct/>
        <w:autoSpaceDE/>
        <w:autoSpaceDN/>
        <w:adjustRightInd/>
        <w:snapToGrid/>
        <w:spacing w:after="120"/>
        <w:ind w:left="2835" w:right="1134" w:hanging="567"/>
        <w:jc w:val="both"/>
      </w:pPr>
      <w:r w:rsidRPr="005910B6">
        <w:rPr>
          <w:lang w:val="fr-FR"/>
        </w:rPr>
        <w:t>g)</w:t>
      </w:r>
      <w:r w:rsidRPr="005910B6">
        <w:rPr>
          <w:lang w:val="fr-FR"/>
        </w:rPr>
        <w:tab/>
      </w:r>
      <w:r w:rsidRPr="00EF5E42">
        <w:rPr>
          <w:b/>
          <w:bCs/>
          <w:lang w:val="fr-FR"/>
        </w:rPr>
        <w:t>Pour les essais de choc avant, arrière et latéral</w:t>
      </w:r>
      <w:r w:rsidRPr="005910B6">
        <w:rPr>
          <w:lang w:val="fr-FR"/>
        </w:rPr>
        <w:t xml:space="preserve">, </w:t>
      </w:r>
      <w:r w:rsidRPr="005910B6">
        <w:rPr>
          <w:strike/>
          <w:lang w:val="fr-FR"/>
        </w:rPr>
        <w:t>S</w:t>
      </w:r>
      <w:r w:rsidRPr="00EF5E42">
        <w:rPr>
          <w:b/>
          <w:bCs/>
          <w:lang w:val="fr-FR"/>
        </w:rPr>
        <w:t>s</w:t>
      </w:r>
      <w:r w:rsidRPr="005910B6">
        <w:rPr>
          <w:lang w:val="fr-FR"/>
        </w:rPr>
        <w:t xml:space="preserve">i le dossier du siège est équipé d’un dispositif antiretour, ce dispositif doit rester dans le </w:t>
      </w:r>
      <w:r w:rsidRPr="00EF5E42">
        <w:rPr>
          <w:b/>
          <w:bCs/>
          <w:lang w:val="fr-FR"/>
        </w:rPr>
        <w:t>gabarit du véhicule</w:t>
      </w:r>
      <w:r w:rsidRPr="005910B6">
        <w:rPr>
          <w:lang w:val="fr-FR"/>
        </w:rPr>
        <w:t xml:space="preserve"> dans une position donnée, mais peut en sortir dans la position de réglage prévue dans le manuel d’utilisation. ».</w:t>
      </w:r>
    </w:p>
    <w:p w14:paraId="3D40395F" w14:textId="77777777" w:rsidR="00B02E81" w:rsidRPr="005910B6" w:rsidRDefault="00B02E81" w:rsidP="005910B6">
      <w:pPr>
        <w:pStyle w:val="SingleTxtG"/>
        <w:keepNext/>
        <w:rPr>
          <w:iCs/>
        </w:rPr>
      </w:pPr>
      <w:r w:rsidRPr="005910B6">
        <w:rPr>
          <w:i/>
          <w:iCs/>
          <w:lang w:val="fr-FR"/>
        </w:rPr>
        <w:t>Paragraphe 7.2.8,</w:t>
      </w:r>
      <w:r w:rsidRPr="005910B6">
        <w:rPr>
          <w:lang w:val="fr-FR"/>
        </w:rPr>
        <w:t xml:space="preserve"> lire</w:t>
      </w:r>
      <w:r w:rsidR="00EF5E42">
        <w:rPr>
          <w:lang w:val="fr-FR"/>
        </w:rPr>
        <w:t> </w:t>
      </w:r>
      <w:r w:rsidRPr="005910B6">
        <w:rPr>
          <w:lang w:val="fr-FR"/>
        </w:rPr>
        <w:t>:</w:t>
      </w:r>
    </w:p>
    <w:p w14:paraId="63E5C761" w14:textId="77777777" w:rsidR="00B02E81" w:rsidRPr="005910B6" w:rsidRDefault="00B02E81" w:rsidP="005910B6">
      <w:pPr>
        <w:keepNext/>
        <w:tabs>
          <w:tab w:val="left" w:pos="2268"/>
          <w:tab w:val="left" w:pos="2800"/>
        </w:tabs>
        <w:kinsoku/>
        <w:overflowPunct/>
        <w:autoSpaceDE/>
        <w:autoSpaceDN/>
        <w:adjustRightInd/>
        <w:snapToGrid/>
        <w:spacing w:after="120"/>
        <w:ind w:left="2268" w:right="1134" w:hanging="1134"/>
        <w:jc w:val="both"/>
      </w:pPr>
      <w:r w:rsidRPr="005910B6">
        <w:rPr>
          <w:lang w:val="fr-FR"/>
        </w:rPr>
        <w:t>« 7.2.8</w:t>
      </w:r>
      <w:r w:rsidRPr="005910B6">
        <w:rPr>
          <w:lang w:val="fr-FR"/>
        </w:rPr>
        <w:tab/>
        <w:t xml:space="preserve">S’il comporte un bouton d’ouverture, le siège complet, ou le composant équipé d’attaches ISOFIX (embase ISOFIX, par exemple), est fixé rigidement sur un banc d’essai de telle manière que les attaches ISOFIX soient alignées verticalement comme le montre la figure </w:t>
      </w:r>
      <w:r w:rsidRPr="005910B6">
        <w:rPr>
          <w:strike/>
          <w:lang w:val="fr-FR"/>
        </w:rPr>
        <w:t>3</w:t>
      </w:r>
      <w:r w:rsidRPr="005910B6">
        <w:rPr>
          <w:lang w:val="fr-FR"/>
        </w:rPr>
        <w:t xml:space="preserve"> </w:t>
      </w:r>
      <w:r w:rsidRPr="00EF5E42">
        <w:rPr>
          <w:b/>
          <w:bCs/>
          <w:lang w:val="fr-FR"/>
        </w:rPr>
        <w:t>4</w:t>
      </w:r>
      <w:r w:rsidRPr="005910B6">
        <w:rPr>
          <w:lang w:val="fr-FR"/>
        </w:rPr>
        <w:t>. Un barreau de 6</w:t>
      </w:r>
      <w:r w:rsidR="00EF5E42">
        <w:rPr>
          <w:lang w:val="fr-FR"/>
        </w:rPr>
        <w:t> </w:t>
      </w:r>
      <w:r w:rsidRPr="005910B6">
        <w:rPr>
          <w:lang w:val="fr-FR"/>
        </w:rPr>
        <w:t>mm de diamètre et de 350 mm de longueur doit être fixé aux attaches ISOFIX. Une masse de 5</w:t>
      </w:r>
      <w:r w:rsidR="00EF5E42">
        <w:rPr>
          <w:lang w:val="fr-FR"/>
        </w:rPr>
        <w:t> </w:t>
      </w:r>
      <w:r w:rsidRPr="005910B6">
        <w:rPr>
          <w:lang w:val="fr-FR"/>
        </w:rPr>
        <w:t>kg doit être attachée aux extrémités du barreau. ».</w:t>
      </w:r>
    </w:p>
    <w:p w14:paraId="011EB43A" w14:textId="77777777" w:rsidR="00B02E81" w:rsidRPr="005910B6" w:rsidRDefault="00B02E81" w:rsidP="005910B6">
      <w:pPr>
        <w:pStyle w:val="SingleTxtG"/>
        <w:keepNext/>
        <w:rPr>
          <w:iCs/>
        </w:rPr>
      </w:pPr>
      <w:r w:rsidRPr="005910B6">
        <w:rPr>
          <w:i/>
          <w:iCs/>
          <w:lang w:val="fr-FR"/>
        </w:rPr>
        <w:t>Paragraphe 7.2.8.5, la figure 3</w:t>
      </w:r>
      <w:r w:rsidRPr="005910B6">
        <w:rPr>
          <w:lang w:val="fr-FR"/>
        </w:rPr>
        <w:t xml:space="preserve"> devient la figure 4.</w:t>
      </w:r>
    </w:p>
    <w:p w14:paraId="11F4BC56" w14:textId="77777777" w:rsidR="00B02E81" w:rsidRPr="005910B6" w:rsidRDefault="00EF5E42" w:rsidP="00EF5E42">
      <w:pPr>
        <w:pStyle w:val="HChG"/>
      </w:pPr>
      <w:r>
        <w:rPr>
          <w:lang w:val="fr-FR"/>
        </w:rPr>
        <w:tab/>
      </w:r>
      <w:r w:rsidR="00B02E81" w:rsidRPr="005910B6">
        <w:rPr>
          <w:lang w:val="fr-FR"/>
        </w:rPr>
        <w:t>II.</w:t>
      </w:r>
      <w:r w:rsidR="00B02E81" w:rsidRPr="005910B6">
        <w:rPr>
          <w:lang w:val="fr-FR"/>
        </w:rPr>
        <w:tab/>
        <w:t>Justification</w:t>
      </w:r>
    </w:p>
    <w:p w14:paraId="74E9E99C" w14:textId="77777777" w:rsidR="00B02E81" w:rsidRDefault="00B02E81" w:rsidP="00EF5E42">
      <w:pPr>
        <w:pStyle w:val="SingleTxtG"/>
        <w:ind w:firstLine="567"/>
        <w:rPr>
          <w:lang w:val="fr-FR"/>
        </w:rPr>
      </w:pPr>
      <w:r w:rsidRPr="005910B6">
        <w:rPr>
          <w:lang w:val="fr-FR"/>
        </w:rPr>
        <w:tab/>
        <w:t>Le paragraphe</w:t>
      </w:r>
      <w:r w:rsidR="00EF5E42">
        <w:rPr>
          <w:lang w:val="fr-FR"/>
        </w:rPr>
        <w:t> </w:t>
      </w:r>
      <w:r w:rsidRPr="005910B6">
        <w:rPr>
          <w:lang w:val="fr-FR"/>
        </w:rPr>
        <w:t>7.1.3 a trait aux configurations d’essai à appliquer dans le cadre du processus d’homologation de type. La présente proposition précise les procédures des essais dynamiques pour les systèmes améliorés de retenue pour enfants. Elle indique les configurations à tester et a pour but de clarifier les essais que les services techniques doivent effectuer de façon systématique.</w:t>
      </w:r>
    </w:p>
    <w:p w14:paraId="4CB3FE1E" w14:textId="77777777" w:rsidR="00EF5E42" w:rsidRPr="00EF5E42" w:rsidRDefault="00EF5E42" w:rsidP="00EF5E42">
      <w:pPr>
        <w:pStyle w:val="SingleTxtG"/>
        <w:spacing w:before="240" w:after="0"/>
        <w:jc w:val="center"/>
        <w:rPr>
          <w:u w:val="single"/>
        </w:rPr>
      </w:pPr>
      <w:r>
        <w:rPr>
          <w:u w:val="single"/>
        </w:rPr>
        <w:tab/>
      </w:r>
      <w:bookmarkStart w:id="1" w:name="_GoBack"/>
      <w:bookmarkEnd w:id="1"/>
      <w:r>
        <w:rPr>
          <w:u w:val="single"/>
        </w:rPr>
        <w:tab/>
      </w:r>
      <w:r>
        <w:rPr>
          <w:u w:val="single"/>
        </w:rPr>
        <w:tab/>
      </w:r>
      <w:r>
        <w:rPr>
          <w:u w:val="single"/>
        </w:rPr>
        <w:tab/>
      </w:r>
    </w:p>
    <w:sectPr w:rsidR="00EF5E42" w:rsidRPr="00EF5E42" w:rsidSect="00B02E8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92C45" w14:textId="77777777" w:rsidR="008B53BC" w:rsidRDefault="008B53BC" w:rsidP="00F95C08">
      <w:pPr>
        <w:spacing w:line="240" w:lineRule="auto"/>
      </w:pPr>
    </w:p>
  </w:endnote>
  <w:endnote w:type="continuationSeparator" w:id="0">
    <w:p w14:paraId="698E8887" w14:textId="77777777" w:rsidR="008B53BC" w:rsidRPr="00AC3823" w:rsidRDefault="008B53BC" w:rsidP="00AC3823">
      <w:pPr>
        <w:pStyle w:val="Pieddepage"/>
      </w:pPr>
    </w:p>
  </w:endnote>
  <w:endnote w:type="continuationNotice" w:id="1">
    <w:p w14:paraId="74532690" w14:textId="77777777" w:rsidR="008B53BC" w:rsidRDefault="008B53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7C8DA" w14:textId="77777777" w:rsidR="00B02E81" w:rsidRPr="00B02E81" w:rsidRDefault="00B02E81" w:rsidP="00B02E81">
    <w:pPr>
      <w:pStyle w:val="Pieddepage"/>
      <w:tabs>
        <w:tab w:val="right" w:pos="9638"/>
      </w:tabs>
    </w:pPr>
    <w:r w:rsidRPr="00B02E81">
      <w:rPr>
        <w:b/>
        <w:sz w:val="18"/>
      </w:rPr>
      <w:fldChar w:fldCharType="begin"/>
    </w:r>
    <w:r w:rsidRPr="00B02E81">
      <w:rPr>
        <w:b/>
        <w:sz w:val="18"/>
      </w:rPr>
      <w:instrText xml:space="preserve"> PAGE  \* MERGEFORMAT </w:instrText>
    </w:r>
    <w:r w:rsidRPr="00B02E81">
      <w:rPr>
        <w:b/>
        <w:sz w:val="18"/>
      </w:rPr>
      <w:fldChar w:fldCharType="separate"/>
    </w:r>
    <w:r w:rsidRPr="00B02E81">
      <w:rPr>
        <w:b/>
        <w:noProof/>
        <w:sz w:val="18"/>
      </w:rPr>
      <w:t>2</w:t>
    </w:r>
    <w:r w:rsidRPr="00B02E81">
      <w:rPr>
        <w:b/>
        <w:sz w:val="18"/>
      </w:rPr>
      <w:fldChar w:fldCharType="end"/>
    </w:r>
    <w:r>
      <w:rPr>
        <w:b/>
        <w:sz w:val="18"/>
      </w:rPr>
      <w:tab/>
    </w:r>
    <w:r>
      <w:t>GE.21-02854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1115" w14:textId="77777777" w:rsidR="00B02E81" w:rsidRPr="00B02E81" w:rsidRDefault="00B02E81" w:rsidP="00B02E81">
    <w:pPr>
      <w:pStyle w:val="Pieddepage"/>
      <w:tabs>
        <w:tab w:val="right" w:pos="9638"/>
      </w:tabs>
      <w:rPr>
        <w:b/>
        <w:sz w:val="18"/>
      </w:rPr>
    </w:pPr>
    <w:r>
      <w:t>GE.21-02854</w:t>
    </w:r>
    <w:r>
      <w:tab/>
    </w:r>
    <w:r w:rsidRPr="00B02E81">
      <w:rPr>
        <w:b/>
        <w:sz w:val="18"/>
      </w:rPr>
      <w:fldChar w:fldCharType="begin"/>
    </w:r>
    <w:r w:rsidRPr="00B02E81">
      <w:rPr>
        <w:b/>
        <w:sz w:val="18"/>
      </w:rPr>
      <w:instrText xml:space="preserve"> PAGE  \* MERGEFORMAT </w:instrText>
    </w:r>
    <w:r w:rsidRPr="00B02E81">
      <w:rPr>
        <w:b/>
        <w:sz w:val="18"/>
      </w:rPr>
      <w:fldChar w:fldCharType="separate"/>
    </w:r>
    <w:r w:rsidRPr="00B02E81">
      <w:rPr>
        <w:b/>
        <w:noProof/>
        <w:sz w:val="18"/>
      </w:rPr>
      <w:t>3</w:t>
    </w:r>
    <w:r w:rsidRPr="00B02E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E63C" w14:textId="77777777" w:rsidR="007F20FA" w:rsidRPr="00B02E81" w:rsidRDefault="00B02E81" w:rsidP="00B02E8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A06DADE" wp14:editId="0407539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21-02854  (F)</w:t>
    </w:r>
    <w:r>
      <w:rPr>
        <w:noProof/>
        <w:sz w:val="20"/>
      </w:rPr>
      <w:drawing>
        <wp:anchor distT="0" distB="0" distL="114300" distR="114300" simplePos="0" relativeHeight="251660288" behindDoc="0" locked="0" layoutInCell="1" allowOverlap="1" wp14:anchorId="3BC4BD5E" wp14:editId="05A18C7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0B6">
      <w:rPr>
        <w:sz w:val="20"/>
      </w:rPr>
      <w:t xml:space="preserve">    090321    110321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2FC55" w14:textId="77777777" w:rsidR="008B53BC" w:rsidRPr="00AC3823" w:rsidRDefault="008B53BC" w:rsidP="00AC3823">
      <w:pPr>
        <w:pStyle w:val="Pieddepage"/>
        <w:tabs>
          <w:tab w:val="right" w:pos="2155"/>
        </w:tabs>
        <w:spacing w:after="80" w:line="240" w:lineRule="atLeast"/>
        <w:ind w:left="680"/>
        <w:rPr>
          <w:u w:val="single"/>
        </w:rPr>
      </w:pPr>
      <w:r>
        <w:rPr>
          <w:u w:val="single"/>
        </w:rPr>
        <w:tab/>
      </w:r>
    </w:p>
  </w:footnote>
  <w:footnote w:type="continuationSeparator" w:id="0">
    <w:p w14:paraId="7CCA1377" w14:textId="77777777" w:rsidR="008B53BC" w:rsidRPr="00AC3823" w:rsidRDefault="008B53BC" w:rsidP="00AC3823">
      <w:pPr>
        <w:pStyle w:val="Pieddepage"/>
        <w:tabs>
          <w:tab w:val="right" w:pos="2155"/>
        </w:tabs>
        <w:spacing w:after="80" w:line="240" w:lineRule="atLeast"/>
        <w:ind w:left="680"/>
        <w:rPr>
          <w:u w:val="single"/>
        </w:rPr>
      </w:pPr>
      <w:r>
        <w:rPr>
          <w:u w:val="single"/>
        </w:rPr>
        <w:tab/>
      </w:r>
    </w:p>
  </w:footnote>
  <w:footnote w:type="continuationNotice" w:id="1">
    <w:p w14:paraId="5D1DE86B" w14:textId="77777777" w:rsidR="008B53BC" w:rsidRPr="00AC3823" w:rsidRDefault="008B53BC">
      <w:pPr>
        <w:spacing w:line="240" w:lineRule="auto"/>
        <w:rPr>
          <w:sz w:val="2"/>
          <w:szCs w:val="2"/>
        </w:rPr>
      </w:pPr>
    </w:p>
  </w:footnote>
  <w:footnote w:id="2">
    <w:p w14:paraId="2196E92E" w14:textId="77777777" w:rsidR="00B02E81" w:rsidRPr="002C4EF2" w:rsidRDefault="00B02E81" w:rsidP="00B02E81">
      <w:pPr>
        <w:pStyle w:val="Notedebasdepage"/>
      </w:pPr>
      <w:r w:rsidRPr="005910B6">
        <w:rPr>
          <w:sz w:val="20"/>
          <w:lang w:val="fr-FR"/>
        </w:rPr>
        <w:tab/>
        <w:t>*</w:t>
      </w:r>
      <w:r w:rsidRPr="005910B6">
        <w:rPr>
          <w:sz w:val="20"/>
          <w:lang w:val="fr-FR"/>
        </w:rPr>
        <w:tab/>
      </w:r>
      <w:r>
        <w:rPr>
          <w:lang w:val="fr-FR"/>
        </w:rPr>
        <w:t>Conformément au programme de travail du Comité des transports intérieurs pour 2021 tel qu’il figure dans le projet de budget-programme pour 2021 (A/75/6 (Sect.</w:t>
      </w:r>
      <w:r w:rsidR="005910B6">
        <w:rPr>
          <w:lang w:val="fr-FR"/>
        </w:rPr>
        <w:t> </w:t>
      </w:r>
      <w:r>
        <w:rPr>
          <w:lang w:val="fr-FR"/>
        </w:rPr>
        <w:t>20), par.</w:t>
      </w:r>
      <w:r w:rsidR="005910B6">
        <w:rPr>
          <w:lang w:val="fr-FR"/>
        </w:rPr>
        <w:t> </w:t>
      </w:r>
      <w:r>
        <w:rPr>
          <w:lang w:val="fr-FR"/>
        </w:rPr>
        <w:t>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19D58" w14:textId="391A133A" w:rsidR="00B02E81" w:rsidRPr="00B02E81" w:rsidRDefault="00B02E81">
    <w:pPr>
      <w:pStyle w:val="En-tte"/>
    </w:pPr>
    <w:fldSimple w:instr=" TITLE  \* MERGEFORMAT ">
      <w:r w:rsidR="00EB3285">
        <w:t>ECE/TRANS/WP.29/GRSP/2021/4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D0C7" w14:textId="673566DB" w:rsidR="00B02E81" w:rsidRPr="00B02E81" w:rsidRDefault="00B02E81" w:rsidP="00B02E81">
    <w:pPr>
      <w:pStyle w:val="En-tte"/>
      <w:jc w:val="right"/>
    </w:pPr>
    <w:fldSimple w:instr=" TITLE  \* MERGEFORMAT ">
      <w:r w:rsidR="00EB3285">
        <w:t>ECE/TRANS/WP.29/GRSP/2021/4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BC"/>
    <w:rsid w:val="00017F94"/>
    <w:rsid w:val="00023842"/>
    <w:rsid w:val="000334F9"/>
    <w:rsid w:val="00045FEB"/>
    <w:rsid w:val="0007796D"/>
    <w:rsid w:val="000A025B"/>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10B6"/>
    <w:rsid w:val="00596AA9"/>
    <w:rsid w:val="0071601D"/>
    <w:rsid w:val="007A62E6"/>
    <w:rsid w:val="007F20FA"/>
    <w:rsid w:val="0080684C"/>
    <w:rsid w:val="00871C75"/>
    <w:rsid w:val="008776DC"/>
    <w:rsid w:val="008B53BC"/>
    <w:rsid w:val="008D5EF9"/>
    <w:rsid w:val="009446C0"/>
    <w:rsid w:val="009705C8"/>
    <w:rsid w:val="009C1CF4"/>
    <w:rsid w:val="009F6B74"/>
    <w:rsid w:val="00A3029F"/>
    <w:rsid w:val="00A30353"/>
    <w:rsid w:val="00AC3823"/>
    <w:rsid w:val="00AE323C"/>
    <w:rsid w:val="00AF0CB5"/>
    <w:rsid w:val="00B00181"/>
    <w:rsid w:val="00B00B0D"/>
    <w:rsid w:val="00B02E81"/>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B3285"/>
    <w:rsid w:val="00ED7237"/>
    <w:rsid w:val="00EF2E22"/>
    <w:rsid w:val="00EF5E4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05A731"/>
  <w15:docId w15:val="{A5BF6DAF-7492-46B5-AD49-B19273CD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769</Words>
  <Characters>5386</Characters>
  <Application>Microsoft Office Word</Application>
  <DocSecurity>0</DocSecurity>
  <Lines>448</Lines>
  <Paragraphs>246</Paragraphs>
  <ScaleCrop>false</ScaleCrop>
  <HeadingPairs>
    <vt:vector size="2" baseType="variant">
      <vt:variant>
        <vt:lpstr>Titre</vt:lpstr>
      </vt:variant>
      <vt:variant>
        <vt:i4>1</vt:i4>
      </vt:variant>
    </vt:vector>
  </HeadingPairs>
  <TitlesOfParts>
    <vt:vector size="1" baseType="lpstr">
      <vt:lpstr>ECE/TRANS/WP.29/GRSP/2021/4</vt:lpstr>
    </vt:vector>
  </TitlesOfParts>
  <Company>DCM</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ECE/TRANS/WP.29/GRSP/2021/4</dc:title>
  <dc:subject/>
  <dc:creator>Christine CHAUTAGNAT</dc:creator>
  <cp:keywords/>
  <cp:lastModifiedBy>Christine Chautagnat</cp:lastModifiedBy>
  <cp:revision>3</cp:revision>
  <cp:lastPrinted>2021-03-11T10:16:00Z</cp:lastPrinted>
  <dcterms:created xsi:type="dcterms:W3CDTF">2021-03-11T10:16:00Z</dcterms:created>
  <dcterms:modified xsi:type="dcterms:W3CDTF">2021-03-11T10:17:00Z</dcterms:modified>
</cp:coreProperties>
</file>