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5E05E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83F045" w14:textId="77777777" w:rsidR="00F35BAF" w:rsidRPr="00DB58B5" w:rsidRDefault="00F35BAF" w:rsidP="00A6151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A53F6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7E8FC3" w14:textId="77777777" w:rsidR="00F35BAF" w:rsidRPr="00DB58B5" w:rsidRDefault="00A61515" w:rsidP="00A61515">
            <w:pPr>
              <w:jc w:val="right"/>
            </w:pPr>
            <w:r w:rsidRPr="00A61515">
              <w:rPr>
                <w:sz w:val="40"/>
              </w:rPr>
              <w:t>ECE</w:t>
            </w:r>
            <w:r>
              <w:t>/TRANS/WP.29/GRPE/2021/19</w:t>
            </w:r>
          </w:p>
        </w:tc>
      </w:tr>
      <w:tr w:rsidR="00F35BAF" w:rsidRPr="00DB58B5" w14:paraId="0D9D77B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557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BA7BFB6" wp14:editId="5D7267A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7DB6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C5188D" w14:textId="77777777" w:rsidR="00F35BAF" w:rsidRDefault="00A61515" w:rsidP="00C97039">
            <w:pPr>
              <w:spacing w:before="240"/>
            </w:pPr>
            <w:r>
              <w:t>Distr. générale</w:t>
            </w:r>
          </w:p>
          <w:p w14:paraId="474BC39F" w14:textId="77777777" w:rsidR="00A61515" w:rsidRDefault="00A61515" w:rsidP="00A61515">
            <w:pPr>
              <w:spacing w:line="240" w:lineRule="exact"/>
            </w:pPr>
            <w:r>
              <w:t>17 mars 2021</w:t>
            </w:r>
          </w:p>
          <w:p w14:paraId="409C81E7" w14:textId="77777777" w:rsidR="00A61515" w:rsidRDefault="00A61515" w:rsidP="00A61515">
            <w:pPr>
              <w:spacing w:line="240" w:lineRule="exact"/>
            </w:pPr>
            <w:r>
              <w:t>Français</w:t>
            </w:r>
          </w:p>
          <w:p w14:paraId="4F305E46" w14:textId="77777777" w:rsidR="00A61515" w:rsidRPr="00DB58B5" w:rsidRDefault="00A61515" w:rsidP="00A61515">
            <w:pPr>
              <w:spacing w:line="240" w:lineRule="exact"/>
            </w:pPr>
            <w:r>
              <w:t>Original : anglais</w:t>
            </w:r>
          </w:p>
        </w:tc>
      </w:tr>
    </w:tbl>
    <w:p w14:paraId="6D06DB4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6151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B183D2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BEE6705" w14:textId="77777777" w:rsidR="00A61515" w:rsidRPr="004A1096" w:rsidRDefault="00A61515" w:rsidP="00A61515">
      <w:pPr>
        <w:spacing w:before="120"/>
        <w:ind w:right="1134"/>
        <w:rPr>
          <w:b/>
          <w:sz w:val="24"/>
          <w:szCs w:val="24"/>
        </w:rPr>
      </w:pPr>
      <w:r w:rsidRPr="004A1096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4A1096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4A1096">
        <w:rPr>
          <w:b/>
          <w:bCs/>
          <w:sz w:val="24"/>
          <w:szCs w:val="24"/>
          <w:lang w:val="fr-FR"/>
        </w:rPr>
        <w:t>concernant les véhicules</w:t>
      </w:r>
    </w:p>
    <w:p w14:paraId="73F2F598" w14:textId="77777777" w:rsidR="00A61515" w:rsidRPr="00A61515" w:rsidRDefault="00A61515" w:rsidP="00A61515">
      <w:pPr>
        <w:tabs>
          <w:tab w:val="left" w:pos="567"/>
          <w:tab w:val="left" w:pos="1134"/>
        </w:tabs>
        <w:spacing w:before="120" w:after="120"/>
        <w:ind w:right="1134"/>
        <w:rPr>
          <w:rFonts w:eastAsia="MS Mincho"/>
          <w:b/>
          <w:bCs/>
        </w:rPr>
      </w:pPr>
      <w:r w:rsidRPr="00A61515">
        <w:rPr>
          <w:b/>
          <w:bCs/>
          <w:lang w:val="fr-FR"/>
        </w:rPr>
        <w:t>Groupe de travail de la pollution et de l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énergie</w:t>
      </w:r>
    </w:p>
    <w:p w14:paraId="4AC4ACB2" w14:textId="77777777" w:rsidR="00A61515" w:rsidRPr="00A61515" w:rsidRDefault="00A61515" w:rsidP="00A61515">
      <w:pPr>
        <w:ind w:right="1134"/>
        <w:rPr>
          <w:rFonts w:eastAsia="MS Mincho"/>
          <w:b/>
        </w:rPr>
      </w:pPr>
      <w:r w:rsidRPr="00A61515">
        <w:rPr>
          <w:b/>
          <w:bCs/>
          <w:lang w:val="fr-FR"/>
        </w:rPr>
        <w:t>Quatre-vingt-troisième session</w:t>
      </w:r>
    </w:p>
    <w:p w14:paraId="762218D4" w14:textId="77777777" w:rsidR="00A61515" w:rsidRPr="00A61515" w:rsidRDefault="00A61515" w:rsidP="00A61515">
      <w:pPr>
        <w:ind w:right="1134"/>
      </w:pPr>
      <w:r w:rsidRPr="00A61515">
        <w:rPr>
          <w:lang w:val="fr-FR"/>
        </w:rPr>
        <w:t>Genève, 1</w:t>
      </w:r>
      <w:r w:rsidRPr="00A61515">
        <w:rPr>
          <w:vertAlign w:val="superscript"/>
          <w:lang w:val="fr-FR"/>
        </w:rPr>
        <w:t>er</w:t>
      </w:r>
      <w:r w:rsidRPr="00A61515">
        <w:rPr>
          <w:lang w:val="fr-FR"/>
        </w:rPr>
        <w:t>-4 juin 2021</w:t>
      </w:r>
    </w:p>
    <w:p w14:paraId="151F7A00" w14:textId="77777777" w:rsidR="00A61515" w:rsidRPr="00A61515" w:rsidRDefault="00A61515" w:rsidP="00A61515">
      <w:pPr>
        <w:ind w:right="1134"/>
      </w:pPr>
      <w:r w:rsidRPr="00A61515">
        <w:rPr>
          <w:lang w:val="fr-FR"/>
        </w:rPr>
        <w:t>Point 10 de l</w:t>
      </w:r>
      <w:r w:rsidRPr="00A61515">
        <w:rPr>
          <w:lang w:val="fr-FR"/>
        </w:rPr>
        <w:t>’</w:t>
      </w:r>
      <w:r w:rsidRPr="00A61515">
        <w:rPr>
          <w:lang w:val="fr-FR"/>
        </w:rPr>
        <w:t>ordre du jour provisoire</w:t>
      </w:r>
    </w:p>
    <w:p w14:paraId="73980493" w14:textId="77777777" w:rsidR="00A61515" w:rsidRPr="00A61515" w:rsidRDefault="00A61515" w:rsidP="00A61515">
      <w:pPr>
        <w:ind w:right="1134"/>
      </w:pPr>
      <w:r w:rsidRPr="00A61515">
        <w:rPr>
          <w:b/>
          <w:bCs/>
          <w:lang w:val="fr-FR"/>
        </w:rPr>
        <w:t>Résolution mutuelle n</w:t>
      </w:r>
      <w:r w:rsidRPr="00A61515">
        <w:rPr>
          <w:b/>
          <w:bCs/>
          <w:vertAlign w:val="superscript"/>
          <w:lang w:val="fr-FR"/>
        </w:rPr>
        <w:t>o </w:t>
      </w:r>
      <w:r w:rsidRPr="00A61515">
        <w:rPr>
          <w:b/>
          <w:bCs/>
          <w:lang w:val="fr-FR"/>
        </w:rPr>
        <w:t>2 (R.M.2)</w:t>
      </w:r>
    </w:p>
    <w:p w14:paraId="29F46C8C" w14:textId="77777777" w:rsidR="00A61515" w:rsidRPr="00A61515" w:rsidRDefault="00A61515" w:rsidP="00A61515">
      <w:pPr>
        <w:pStyle w:val="HChG"/>
        <w:rPr>
          <w:rFonts w:eastAsia="MS Mincho"/>
        </w:rPr>
      </w:pPr>
      <w:r w:rsidRPr="00A61515">
        <w:rPr>
          <w:lang w:val="fr-FR"/>
        </w:rPr>
        <w:tab/>
      </w:r>
      <w:r w:rsidRPr="00A61515">
        <w:rPr>
          <w:lang w:val="fr-FR"/>
        </w:rPr>
        <w:tab/>
        <w:t xml:space="preserve">Proposition de nouvel amendement à la Résolution </w:t>
      </w:r>
      <w:r>
        <w:rPr>
          <w:lang w:val="fr-FR"/>
        </w:rPr>
        <w:br/>
      </w:r>
      <w:r w:rsidRPr="00A61515">
        <w:rPr>
          <w:lang w:val="fr-FR"/>
        </w:rPr>
        <w:t>mutuelle n</w:t>
      </w:r>
      <w:r w:rsidRPr="00A61515">
        <w:rPr>
          <w:vertAlign w:val="superscript"/>
          <w:lang w:val="fr-FR"/>
        </w:rPr>
        <w:t>o </w:t>
      </w:r>
      <w:r w:rsidRPr="00A61515">
        <w:rPr>
          <w:lang w:val="fr-FR"/>
        </w:rPr>
        <w:t>2</w:t>
      </w:r>
    </w:p>
    <w:p w14:paraId="20F4F521" w14:textId="77777777" w:rsidR="00A61515" w:rsidRPr="004A1096" w:rsidRDefault="00A61515" w:rsidP="00A61515">
      <w:pPr>
        <w:pStyle w:val="H1G"/>
      </w:pPr>
      <w:r w:rsidRPr="004A1096">
        <w:rPr>
          <w:lang w:val="fr-FR"/>
        </w:rPr>
        <w:tab/>
      </w:r>
      <w:r w:rsidRPr="004A1096">
        <w:rPr>
          <w:lang w:val="fr-FR"/>
        </w:rPr>
        <w:tab/>
        <w:t>Communication de l</w:t>
      </w:r>
      <w:r>
        <w:rPr>
          <w:lang w:val="fr-FR"/>
        </w:rPr>
        <w:t>’</w:t>
      </w:r>
      <w:r w:rsidRPr="004A1096">
        <w:rPr>
          <w:lang w:val="fr-FR"/>
        </w:rPr>
        <w:t>expert de l</w:t>
      </w:r>
      <w:r>
        <w:rPr>
          <w:lang w:val="fr-FR"/>
        </w:rPr>
        <w:t>’</w:t>
      </w:r>
      <w:r w:rsidRPr="004A1096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4A1096">
        <w:rPr>
          <w:lang w:val="fr-FR"/>
        </w:rPr>
        <w:t>des constructeurs d</w:t>
      </w:r>
      <w:r>
        <w:rPr>
          <w:lang w:val="fr-FR"/>
        </w:rPr>
        <w:t>’</w:t>
      </w:r>
      <w:r w:rsidRPr="004A1096">
        <w:rPr>
          <w:lang w:val="fr-FR"/>
        </w:rPr>
        <w:t>automobiles</w:t>
      </w:r>
      <w:r w:rsidRPr="00A61515">
        <w:rPr>
          <w:rStyle w:val="Appelnotedebasdep"/>
          <w:sz w:val="20"/>
          <w:vertAlign w:val="baseline"/>
        </w:rPr>
        <w:footnoteReference w:customMarkFollows="1" w:id="2"/>
        <w:t>*</w:t>
      </w:r>
    </w:p>
    <w:p w14:paraId="706CA44A" w14:textId="77777777" w:rsidR="00A61515" w:rsidRPr="004A1096" w:rsidRDefault="00A61515" w:rsidP="00A61515">
      <w:pPr>
        <w:pStyle w:val="SingleTxtG"/>
        <w:ind w:firstLine="567"/>
      </w:pPr>
      <w:r w:rsidRPr="004A1096">
        <w:rPr>
          <w:lang w:val="fr-FR"/>
        </w:rPr>
        <w:tab/>
        <w:t>Le texte ci-après a été établi par le secrétariat à la demande du GRPE à sa 82</w:t>
      </w:r>
      <w:r w:rsidRPr="004A1096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4A1096">
        <w:rPr>
          <w:lang w:val="fr-FR"/>
        </w:rPr>
        <w:t>session (ECE/TRANS/WP.29/GRPE/82, par.</w:t>
      </w:r>
      <w:r>
        <w:rPr>
          <w:lang w:val="fr-FR"/>
        </w:rPr>
        <w:t> </w:t>
      </w:r>
      <w:r w:rsidRPr="004A1096">
        <w:rPr>
          <w:lang w:val="fr-FR"/>
        </w:rPr>
        <w:t>56). Il</w:t>
      </w:r>
      <w:r w:rsidR="0075022D">
        <w:rPr>
          <w:lang w:val="fr-FR"/>
        </w:rPr>
        <w:t xml:space="preserve"> </w:t>
      </w:r>
      <w:r>
        <w:rPr>
          <w:lang w:val="fr-FR"/>
        </w:rPr>
        <w:t>s</w:t>
      </w:r>
      <w:r>
        <w:rPr>
          <w:lang w:val="fr-FR"/>
        </w:rPr>
        <w:t>’</w:t>
      </w:r>
      <w:r>
        <w:rPr>
          <w:lang w:val="fr-FR"/>
        </w:rPr>
        <w:t>agit d</w:t>
      </w:r>
      <w:r>
        <w:rPr>
          <w:lang w:val="fr-FR"/>
        </w:rPr>
        <w:t>’</w:t>
      </w:r>
      <w:r w:rsidRPr="004A1096">
        <w:rPr>
          <w:lang w:val="fr-FR"/>
        </w:rPr>
        <w:t>une proposition de nouvel amendement à la Résolution mutuelle n</w:t>
      </w:r>
      <w:r w:rsidRPr="004A1096">
        <w:rPr>
          <w:vertAlign w:val="superscript"/>
          <w:lang w:val="fr-FR"/>
        </w:rPr>
        <w:t>o</w:t>
      </w:r>
      <w:r w:rsidRPr="00A61515">
        <w:rPr>
          <w:lang w:val="fr-FR"/>
        </w:rPr>
        <w:t> </w:t>
      </w:r>
      <w:r w:rsidRPr="004A1096">
        <w:rPr>
          <w:lang w:val="fr-FR"/>
        </w:rPr>
        <w:t>2 de l</w:t>
      </w:r>
      <w:r>
        <w:rPr>
          <w:lang w:val="fr-FR"/>
        </w:rPr>
        <w:t>’</w:t>
      </w:r>
      <w:r w:rsidRPr="004A1096">
        <w:rPr>
          <w:lang w:val="fr-FR"/>
        </w:rPr>
        <w:t>Accord de 1958 et de l</w:t>
      </w:r>
      <w:r>
        <w:rPr>
          <w:lang w:val="fr-FR"/>
        </w:rPr>
        <w:t>’</w:t>
      </w:r>
      <w:r w:rsidRPr="004A1096">
        <w:rPr>
          <w:lang w:val="fr-FR"/>
        </w:rPr>
        <w:t>Accord de 1998 contenant des définitions des systèmes de propulsion des véhicules. Il est soumis au Groupe de travail de la pollution et de l</w:t>
      </w:r>
      <w:r>
        <w:rPr>
          <w:lang w:val="fr-FR"/>
        </w:rPr>
        <w:t>’</w:t>
      </w:r>
      <w:r w:rsidRPr="004A1096">
        <w:rPr>
          <w:lang w:val="fr-FR"/>
        </w:rPr>
        <w:t>énergie pour examen à sa 83</w:t>
      </w:r>
      <w:r w:rsidRPr="004A1096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4A1096">
        <w:rPr>
          <w:lang w:val="fr-FR"/>
        </w:rPr>
        <w:t>session. Les modifications qu</w:t>
      </w:r>
      <w:r>
        <w:rPr>
          <w:lang w:val="fr-FR"/>
        </w:rPr>
        <w:t>’</w:t>
      </w:r>
      <w:r w:rsidRPr="004A1096">
        <w:rPr>
          <w:lang w:val="fr-FR"/>
        </w:rPr>
        <w:t>il est proposé d</w:t>
      </w:r>
      <w:r>
        <w:rPr>
          <w:lang w:val="fr-FR"/>
        </w:rPr>
        <w:t>’</w:t>
      </w:r>
      <w:r w:rsidRPr="004A1096">
        <w:rPr>
          <w:lang w:val="fr-FR"/>
        </w:rPr>
        <w:t>apporter au texte actuel figurent en caractères gras pour les ajouts et biffés pour les suppressions.</w:t>
      </w:r>
    </w:p>
    <w:p w14:paraId="12E798A8" w14:textId="77777777" w:rsidR="00A61515" w:rsidRPr="004A1096" w:rsidRDefault="00A61515" w:rsidP="00A61515">
      <w:pPr>
        <w:spacing w:before="240" w:after="60"/>
        <w:ind w:left="1134" w:right="1134"/>
        <w:outlineLvl w:val="0"/>
        <w:rPr>
          <w:sz w:val="24"/>
          <w:szCs w:val="24"/>
        </w:rPr>
      </w:pPr>
      <w:r w:rsidRPr="004A1096">
        <w:rPr>
          <w:rFonts w:eastAsia="MS Mincho"/>
          <w:b/>
          <w:bCs/>
          <w:kern w:val="28"/>
          <w:sz w:val="24"/>
          <w:szCs w:val="24"/>
        </w:rPr>
        <w:br w:type="page"/>
      </w:r>
    </w:p>
    <w:p w14:paraId="59D81C8D" w14:textId="77777777" w:rsidR="00A61515" w:rsidRPr="004A1096" w:rsidRDefault="00A61515" w:rsidP="00A61515">
      <w:pPr>
        <w:pStyle w:val="HChG"/>
        <w:rPr>
          <w:rFonts w:eastAsia="MS Mincho"/>
        </w:rPr>
      </w:pPr>
      <w:r>
        <w:rPr>
          <w:lang w:val="fr-FR"/>
        </w:rPr>
        <w:lastRenderedPageBreak/>
        <w:tab/>
      </w:r>
      <w:r w:rsidRPr="004A1096">
        <w:rPr>
          <w:lang w:val="fr-FR"/>
        </w:rPr>
        <w:t>I.</w:t>
      </w:r>
      <w:r w:rsidRPr="004A1096">
        <w:rPr>
          <w:lang w:val="fr-FR"/>
        </w:rPr>
        <w:tab/>
        <w:t>Proposition</w:t>
      </w:r>
    </w:p>
    <w:p w14:paraId="52CC3DEA" w14:textId="77777777" w:rsidR="00A61515" w:rsidRPr="004A1096" w:rsidRDefault="00A61515" w:rsidP="00A61515">
      <w:pPr>
        <w:pStyle w:val="SingleTxtG"/>
      </w:pPr>
      <w:r w:rsidRPr="00A61515">
        <w:rPr>
          <w:i/>
          <w:iCs/>
          <w:lang w:val="fr-FR"/>
        </w:rPr>
        <w:t>Section B</w:t>
      </w:r>
      <w:r w:rsidRPr="004A1096">
        <w:rPr>
          <w:lang w:val="fr-FR"/>
        </w:rPr>
        <w:t>,</w:t>
      </w:r>
    </w:p>
    <w:p w14:paraId="00701B0B" w14:textId="77777777" w:rsidR="00A61515" w:rsidRPr="00A61515" w:rsidRDefault="00A61515" w:rsidP="00A61515">
      <w:pPr>
        <w:pStyle w:val="SingleTxtG"/>
      </w:pPr>
      <w:r w:rsidRPr="00A61515">
        <w:rPr>
          <w:i/>
          <w:iCs/>
        </w:rPr>
        <w:t>Paragraphe </w:t>
      </w:r>
      <w:r w:rsidRPr="00A61515">
        <w:rPr>
          <w:i/>
          <w:iCs/>
        </w:rPr>
        <w:t>1</w:t>
      </w:r>
      <w:r w:rsidRPr="00A61515">
        <w:t>, lire</w:t>
      </w:r>
      <w:r>
        <w:t> </w:t>
      </w:r>
      <w:r w:rsidRPr="00A61515">
        <w:t>:</w:t>
      </w:r>
    </w:p>
    <w:p w14:paraId="67CA3116" w14:textId="77777777" w:rsidR="00A61515" w:rsidRPr="004A1096" w:rsidRDefault="00A61515" w:rsidP="00A61515">
      <w:pPr>
        <w:pStyle w:val="SingleTxtG"/>
        <w:ind w:left="2268" w:hanging="1134"/>
      </w:pPr>
      <w:r>
        <w:rPr>
          <w:lang w:val="fr-FR"/>
        </w:rPr>
        <w:t>« </w:t>
      </w:r>
      <w:r w:rsidRPr="004A1096">
        <w:rPr>
          <w:lang w:val="fr-FR"/>
        </w:rPr>
        <w:t>1</w:t>
      </w:r>
      <w:r>
        <w:rPr>
          <w:lang w:val="fr-FR"/>
        </w:rPr>
        <w:t>.</w:t>
      </w:r>
      <w:r w:rsidRPr="004A1096">
        <w:rPr>
          <w:lang w:val="fr-FR"/>
        </w:rPr>
        <w:tab/>
      </w:r>
      <w:r w:rsidRPr="00A61515">
        <w:t>“</w:t>
      </w:r>
      <w:r w:rsidRPr="004A1096">
        <w:rPr>
          <w:i/>
          <w:iCs/>
          <w:lang w:val="fr-FR"/>
        </w:rPr>
        <w:t>Chaîne de traction</w:t>
      </w:r>
      <w:r w:rsidRPr="00A61515">
        <w:t>”</w:t>
      </w:r>
      <w:r w:rsidRPr="00A61515">
        <w:rPr>
          <w:lang w:val="fr-FR"/>
        </w:rPr>
        <w:t> </w:t>
      </w:r>
      <w:r w:rsidRPr="004A1096">
        <w:rPr>
          <w:lang w:val="fr-FR"/>
        </w:rPr>
        <w:t>: sur un véhicule, ensemble du ou des systèmes de stockage de l</w:t>
      </w:r>
      <w:r>
        <w:rPr>
          <w:lang w:val="fr-FR"/>
        </w:rPr>
        <w:t>’</w:t>
      </w:r>
      <w:r w:rsidRPr="004A1096">
        <w:rPr>
          <w:lang w:val="fr-FR"/>
        </w:rPr>
        <w:t>énergie de propulsion, du ou des convertisseurs de l</w:t>
      </w:r>
      <w:r>
        <w:rPr>
          <w:lang w:val="fr-FR"/>
        </w:rPr>
        <w:t>’</w:t>
      </w:r>
      <w:r w:rsidRPr="004A1096">
        <w:rPr>
          <w:lang w:val="fr-FR"/>
        </w:rPr>
        <w:t xml:space="preserve">énergie de propulsion </w:t>
      </w:r>
      <w:r w:rsidRPr="004A1096">
        <w:rPr>
          <w:b/>
          <w:bCs/>
          <w:lang w:val="fr-FR"/>
        </w:rPr>
        <w:t>et</w:t>
      </w:r>
      <w:r w:rsidRPr="004A1096">
        <w:rPr>
          <w:lang w:val="fr-FR"/>
        </w:rPr>
        <w:t xml:space="preserve"> du ou des groupes motopropulseurs, y compris les dispositifs périphériques, servant à fournir de l</w:t>
      </w:r>
      <w:r>
        <w:rPr>
          <w:lang w:val="fr-FR"/>
        </w:rPr>
        <w:t>’</w:t>
      </w:r>
      <w:r w:rsidRPr="004A1096">
        <w:rPr>
          <w:lang w:val="fr-FR"/>
        </w:rPr>
        <w:t>énergie mécanique aux roues aux fins de la propulsion du véhicule</w:t>
      </w:r>
      <w:r>
        <w:rPr>
          <w:lang w:val="fr-FR"/>
        </w:rPr>
        <w:t> ; ».</w:t>
      </w:r>
    </w:p>
    <w:p w14:paraId="52CA0CC2" w14:textId="77777777" w:rsidR="00A61515" w:rsidRPr="004A1096" w:rsidRDefault="00A61515" w:rsidP="00A61515">
      <w:pPr>
        <w:pStyle w:val="SingleTxtG"/>
      </w:pPr>
      <w:r w:rsidRPr="00A61515">
        <w:rPr>
          <w:i/>
          <w:iCs/>
          <w:lang w:val="fr-FR"/>
        </w:rPr>
        <w:t>Paragraphe </w:t>
      </w:r>
      <w:r w:rsidRPr="00A61515">
        <w:rPr>
          <w:i/>
          <w:iCs/>
          <w:lang w:val="fr-FR"/>
        </w:rPr>
        <w:t>1.1</w:t>
      </w:r>
      <w:r w:rsidRPr="004A1096">
        <w:rPr>
          <w:lang w:val="fr-FR"/>
        </w:rPr>
        <w:t>, lire</w:t>
      </w:r>
      <w:r>
        <w:rPr>
          <w:lang w:val="fr-FR"/>
        </w:rPr>
        <w:t> </w:t>
      </w:r>
      <w:r w:rsidRPr="004A1096">
        <w:rPr>
          <w:lang w:val="fr-FR"/>
        </w:rPr>
        <w:t>:</w:t>
      </w:r>
    </w:p>
    <w:p w14:paraId="2C5845C5" w14:textId="77777777" w:rsidR="00A61515" w:rsidRPr="00A61515" w:rsidRDefault="00A61515" w:rsidP="00A61515">
      <w:pPr>
        <w:pStyle w:val="SingleTxtG"/>
        <w:ind w:left="2268" w:hanging="1134"/>
      </w:pPr>
      <w:r w:rsidRPr="00A61515">
        <w:rPr>
          <w:lang w:val="fr-FR"/>
        </w:rPr>
        <w:t>« 1.1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Système de stockage de l</w:t>
      </w:r>
      <w:r w:rsidRPr="00A61515">
        <w:rPr>
          <w:i/>
          <w:iCs/>
          <w:lang w:val="fr-FR"/>
        </w:rPr>
        <w:t>’</w:t>
      </w:r>
      <w:r w:rsidRPr="00A61515">
        <w:rPr>
          <w:i/>
          <w:iCs/>
          <w:lang w:val="fr-FR"/>
        </w:rPr>
        <w:t>énergie de propulsion</w:t>
      </w:r>
      <w:r w:rsidRPr="00A61515">
        <w:rPr>
          <w:lang w:val="fr-FR"/>
        </w:rPr>
        <w:t>”</w:t>
      </w:r>
      <w:r w:rsidRPr="00A61515">
        <w:rPr>
          <w:lang w:val="fr-FR"/>
        </w:rPr>
        <w:t> </w:t>
      </w:r>
      <w:r w:rsidRPr="00A61515">
        <w:rPr>
          <w:lang w:val="fr-FR"/>
        </w:rPr>
        <w:t>: système de stockage de l</w:t>
      </w:r>
      <w:r w:rsidRPr="00A61515">
        <w:rPr>
          <w:lang w:val="fr-FR"/>
        </w:rPr>
        <w:t>’</w:t>
      </w:r>
      <w:r w:rsidRPr="00A61515">
        <w:rPr>
          <w:lang w:val="fr-FR"/>
        </w:rPr>
        <w:t>énergie de la chaîne de traction</w:t>
      </w:r>
      <w:r w:rsidRPr="00A61515">
        <w:rPr>
          <w:b/>
          <w:bCs/>
          <w:lang w:val="fr-FR"/>
        </w:rPr>
        <w:t>,</w:t>
      </w:r>
      <w:r w:rsidRPr="00A61515">
        <w:rPr>
          <w:lang w:val="fr-FR"/>
        </w:rPr>
        <w:t xml:space="preserve"> </w:t>
      </w:r>
      <w:r w:rsidRPr="00A61515">
        <w:rPr>
          <w:b/>
          <w:bCs/>
          <w:lang w:val="fr-FR"/>
        </w:rPr>
        <w:t>qui n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est pas un dispositif périphérique</w:t>
      </w:r>
      <w:r w:rsidRPr="00A61515">
        <w:rPr>
          <w:lang w:val="fr-FR"/>
        </w:rPr>
        <w:t>, dont l</w:t>
      </w:r>
      <w:r w:rsidRPr="00A61515">
        <w:rPr>
          <w:lang w:val="fr-FR"/>
        </w:rPr>
        <w:t>’</w:t>
      </w:r>
      <w:r w:rsidRPr="00A61515">
        <w:rPr>
          <w:lang w:val="fr-FR"/>
        </w:rPr>
        <w:t>énergie sert directement ou indirectement à la propulsion du véhicule ; ».</w:t>
      </w:r>
    </w:p>
    <w:p w14:paraId="5179617E" w14:textId="77777777" w:rsidR="00A61515" w:rsidRPr="00A61515" w:rsidRDefault="00A61515" w:rsidP="00A61515">
      <w:pPr>
        <w:pStyle w:val="SingleTxtG"/>
        <w:rPr>
          <w:i/>
        </w:rPr>
      </w:pPr>
      <w:r w:rsidRPr="00A61515">
        <w:rPr>
          <w:i/>
          <w:iCs/>
          <w:lang w:val="fr-FR"/>
        </w:rPr>
        <w:t xml:space="preserve">Paragraphe </w:t>
      </w:r>
      <w:r w:rsidRPr="00A61515">
        <w:rPr>
          <w:i/>
          <w:iCs/>
          <w:lang w:val="fr-FR"/>
        </w:rPr>
        <w:t>1.2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389E1131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1.2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Convertisseur de l</w:t>
      </w:r>
      <w:r w:rsidRPr="00A61515">
        <w:rPr>
          <w:i/>
          <w:iCs/>
          <w:lang w:val="fr-FR"/>
        </w:rPr>
        <w:t>’</w:t>
      </w:r>
      <w:r w:rsidRPr="00A61515">
        <w:rPr>
          <w:i/>
          <w:iCs/>
          <w:lang w:val="fr-FR"/>
        </w:rPr>
        <w:t>énergie de propulsion</w:t>
      </w:r>
      <w:r w:rsidRPr="00A61515">
        <w:rPr>
          <w:lang w:val="fr-FR"/>
        </w:rPr>
        <w:t>”</w:t>
      </w:r>
      <w:r>
        <w:rPr>
          <w:lang w:val="fr-FR"/>
        </w:rPr>
        <w:t> </w:t>
      </w:r>
      <w:r w:rsidRPr="00A61515">
        <w:rPr>
          <w:lang w:val="fr-FR"/>
        </w:rPr>
        <w:t>: convertisseur de l</w:t>
      </w:r>
      <w:r w:rsidRPr="00A61515">
        <w:rPr>
          <w:lang w:val="fr-FR"/>
        </w:rPr>
        <w:t>’</w:t>
      </w:r>
      <w:r w:rsidRPr="00A61515">
        <w:rPr>
          <w:lang w:val="fr-FR"/>
        </w:rPr>
        <w:t>énergie faisant partie de la chaîne de traction</w:t>
      </w:r>
      <w:r w:rsidRPr="00A61515">
        <w:rPr>
          <w:b/>
          <w:bCs/>
          <w:lang w:val="fr-FR"/>
        </w:rPr>
        <w:t>,</w:t>
      </w:r>
      <w:r w:rsidRPr="00A61515">
        <w:rPr>
          <w:lang w:val="fr-FR"/>
        </w:rPr>
        <w:t xml:space="preserve"> </w:t>
      </w:r>
      <w:r w:rsidRPr="00A61515">
        <w:rPr>
          <w:b/>
          <w:bCs/>
          <w:lang w:val="fr-FR"/>
        </w:rPr>
        <w:t>qui n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est pas un dispositif périphérique</w:t>
      </w:r>
      <w:r w:rsidRPr="00A61515">
        <w:rPr>
          <w:lang w:val="fr-FR"/>
        </w:rPr>
        <w:t>, dont l</w:t>
      </w:r>
      <w:r w:rsidRPr="00A61515">
        <w:rPr>
          <w:lang w:val="fr-FR"/>
        </w:rPr>
        <w:t>’</w:t>
      </w:r>
      <w:r w:rsidRPr="00A61515">
        <w:rPr>
          <w:lang w:val="fr-FR"/>
        </w:rPr>
        <w:t>énergie sert directement ou indirectement à la propulsion du véhicule ; ».</w:t>
      </w:r>
    </w:p>
    <w:p w14:paraId="2306464A" w14:textId="77777777" w:rsidR="00A61515" w:rsidRPr="00A61515" w:rsidRDefault="00A61515" w:rsidP="00A61515">
      <w:pPr>
        <w:pStyle w:val="SingleTxtG"/>
        <w:rPr>
          <w:i/>
        </w:rPr>
      </w:pPr>
      <w:r w:rsidRPr="00A61515">
        <w:rPr>
          <w:i/>
          <w:iCs/>
          <w:lang w:val="fr-FR"/>
        </w:rPr>
        <w:t xml:space="preserve">Paragraphe </w:t>
      </w:r>
      <w:r w:rsidRPr="00A61515">
        <w:rPr>
          <w:i/>
          <w:iCs/>
          <w:lang w:val="fr-FR"/>
        </w:rPr>
        <w:t>1.2.3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42C35548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1.2.3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Pile à combustible</w:t>
      </w:r>
      <w:r w:rsidRPr="00A61515">
        <w:rPr>
          <w:lang w:val="fr-FR"/>
        </w:rPr>
        <w:t>”</w:t>
      </w:r>
      <w:r w:rsidRPr="00A61515">
        <w:rPr>
          <w:lang w:val="fr-FR"/>
        </w:rPr>
        <w:t> </w:t>
      </w:r>
      <w:r w:rsidRPr="00A61515">
        <w:rPr>
          <w:lang w:val="fr-FR"/>
        </w:rPr>
        <w:t>: convertisseur d</w:t>
      </w:r>
      <w:r w:rsidRPr="00A61515">
        <w:rPr>
          <w:lang w:val="fr-FR"/>
        </w:rPr>
        <w:t>’</w:t>
      </w:r>
      <w:r w:rsidRPr="00A61515">
        <w:rPr>
          <w:lang w:val="fr-FR"/>
        </w:rPr>
        <w:t xml:space="preserve">énergie </w:t>
      </w:r>
      <w:r w:rsidRPr="00A61515">
        <w:rPr>
          <w:strike/>
          <w:lang w:val="fr-FR"/>
        </w:rPr>
        <w:t xml:space="preserve">de propulsion </w:t>
      </w:r>
      <w:r w:rsidRPr="00A61515">
        <w:rPr>
          <w:lang w:val="fr-FR"/>
        </w:rPr>
        <w:t>qui transforme de l</w:t>
      </w:r>
      <w:r w:rsidRPr="00A61515">
        <w:rPr>
          <w:lang w:val="fr-FR"/>
        </w:rPr>
        <w:t>’</w:t>
      </w:r>
      <w:r w:rsidRPr="00A61515">
        <w:rPr>
          <w:lang w:val="fr-FR"/>
        </w:rPr>
        <w:t>énergie chimique en énergie électrique et inversement ; ».</w:t>
      </w:r>
    </w:p>
    <w:p w14:paraId="5AAB812C" w14:textId="77777777" w:rsidR="00A61515" w:rsidRPr="00A61515" w:rsidRDefault="00A61515" w:rsidP="00976A3F">
      <w:pPr>
        <w:pStyle w:val="SingleTxtG"/>
        <w:keepNext/>
        <w:rPr>
          <w:iCs/>
        </w:rPr>
      </w:pPr>
      <w:r w:rsidRPr="00A61515">
        <w:rPr>
          <w:i/>
          <w:iCs/>
          <w:lang w:val="fr-FR"/>
        </w:rPr>
        <w:t>Ajouter le nouveau paragraphe</w:t>
      </w:r>
      <w:r>
        <w:rPr>
          <w:i/>
          <w:iCs/>
          <w:lang w:val="fr-FR"/>
        </w:rPr>
        <w:t> </w:t>
      </w:r>
      <w:r w:rsidRPr="00A61515">
        <w:rPr>
          <w:i/>
          <w:iCs/>
          <w:lang w:val="fr-FR"/>
        </w:rPr>
        <w:t>3.1</w:t>
      </w:r>
      <w:r w:rsidRPr="00A61515">
        <w:rPr>
          <w:lang w:val="fr-FR"/>
        </w:rPr>
        <w:t>, libellé comme suit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008762E9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</w:t>
      </w:r>
      <w:r w:rsidRPr="00A61515">
        <w:rPr>
          <w:b/>
          <w:bCs/>
          <w:lang w:val="fr-FR"/>
        </w:rPr>
        <w:t>3.1</w:t>
      </w:r>
      <w:r w:rsidRPr="00A61515">
        <w:rPr>
          <w:lang w:val="fr-FR"/>
        </w:rPr>
        <w:tab/>
      </w:r>
      <w:r w:rsidRPr="00A61515">
        <w:rPr>
          <w:b/>
          <w:bCs/>
          <w:lang w:val="fr-FR"/>
        </w:rPr>
        <w:t>“forme d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énergie”</w:t>
      </w:r>
      <w:r>
        <w:rPr>
          <w:b/>
          <w:bCs/>
          <w:lang w:val="fr-FR"/>
        </w:rPr>
        <w:t> </w:t>
      </w:r>
      <w:r w:rsidRPr="00A61515">
        <w:rPr>
          <w:b/>
          <w:bCs/>
          <w:lang w:val="fr-FR"/>
        </w:rPr>
        <w:t>: i)</w:t>
      </w:r>
      <w:r>
        <w:rPr>
          <w:b/>
          <w:bCs/>
          <w:lang w:val="fr-FR"/>
        </w:rPr>
        <w:t> </w:t>
      </w:r>
      <w:r w:rsidRPr="00A61515">
        <w:rPr>
          <w:b/>
          <w:bCs/>
          <w:lang w:val="fr-FR"/>
        </w:rPr>
        <w:t>énergie électrique, ii)</w:t>
      </w:r>
      <w:r>
        <w:rPr>
          <w:b/>
          <w:bCs/>
          <w:lang w:val="fr-FR"/>
        </w:rPr>
        <w:t> </w:t>
      </w:r>
      <w:r w:rsidRPr="00A61515">
        <w:rPr>
          <w:b/>
          <w:bCs/>
          <w:lang w:val="fr-FR"/>
        </w:rPr>
        <w:t>énergie mécanique, ou iii)</w:t>
      </w:r>
      <w:r>
        <w:rPr>
          <w:b/>
          <w:bCs/>
          <w:lang w:val="fr-FR"/>
        </w:rPr>
        <w:t> </w:t>
      </w:r>
      <w:r w:rsidRPr="00A61515">
        <w:rPr>
          <w:b/>
          <w:bCs/>
          <w:lang w:val="fr-FR"/>
        </w:rPr>
        <w:t>énergie chimique (y compris celle contenue dans les carburants) ; </w:t>
      </w:r>
      <w:r w:rsidRPr="00A61515">
        <w:rPr>
          <w:lang w:val="fr-FR"/>
        </w:rPr>
        <w:t>».</w:t>
      </w:r>
    </w:p>
    <w:p w14:paraId="64EA23AA" w14:textId="77777777" w:rsidR="00A61515" w:rsidRPr="00A61515" w:rsidRDefault="00A61515" w:rsidP="00A61515">
      <w:pPr>
        <w:pStyle w:val="SingleTxtG"/>
        <w:rPr>
          <w:i/>
        </w:rPr>
      </w:pPr>
      <w:r w:rsidRPr="00A61515">
        <w:rPr>
          <w:i/>
          <w:iCs/>
          <w:lang w:val="fr-FR"/>
        </w:rPr>
        <w:t xml:space="preserve">Paragraphe </w:t>
      </w:r>
      <w:r w:rsidRPr="00A61515">
        <w:rPr>
          <w:i/>
          <w:iCs/>
          <w:lang w:val="fr-FR"/>
        </w:rPr>
        <w:t>4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0567123F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4.</w:t>
      </w:r>
      <w:r w:rsidRPr="00A61515">
        <w:rPr>
          <w:lang w:val="fr-FR"/>
        </w:rPr>
        <w:tab/>
        <w:t xml:space="preserve">“Dispositifs auxiliaires”: dispositifs ou systèmes </w:t>
      </w:r>
      <w:r w:rsidRPr="00A61515">
        <w:rPr>
          <w:b/>
          <w:bCs/>
          <w:lang w:val="fr-FR"/>
        </w:rPr>
        <w:t>non périphériques</w:t>
      </w:r>
      <w:r w:rsidRPr="00A61515">
        <w:rPr>
          <w:lang w:val="fr-FR"/>
        </w:rPr>
        <w:t xml:space="preserve"> consommant, convertissant, stockant ou fournissant de l</w:t>
      </w:r>
      <w:r w:rsidRPr="00A61515">
        <w:rPr>
          <w:lang w:val="fr-FR"/>
        </w:rPr>
        <w:t>’</w:t>
      </w:r>
      <w:r w:rsidRPr="00A61515">
        <w:rPr>
          <w:lang w:val="fr-FR"/>
        </w:rPr>
        <w:t>énergie, qui sont installés sur le véhicule à d</w:t>
      </w:r>
      <w:r w:rsidRPr="00A61515">
        <w:rPr>
          <w:lang w:val="fr-FR"/>
        </w:rPr>
        <w:t>’</w:t>
      </w:r>
      <w:r w:rsidRPr="00A61515">
        <w:rPr>
          <w:lang w:val="fr-FR"/>
        </w:rPr>
        <w:t>autres fins que pour sa propulsion et qui ne sont donc pas considérés comme faisant partie de la chaîne de traction ; ».</w:t>
      </w:r>
    </w:p>
    <w:p w14:paraId="5E339F86" w14:textId="77777777" w:rsidR="00A61515" w:rsidRPr="00A61515" w:rsidRDefault="00A61515" w:rsidP="00A61515">
      <w:pPr>
        <w:pStyle w:val="SingleTxtG"/>
      </w:pPr>
      <w:r w:rsidRPr="00A61515">
        <w:rPr>
          <w:i/>
          <w:iCs/>
          <w:lang w:val="fr-FR"/>
        </w:rPr>
        <w:t xml:space="preserve">Paragraphe </w:t>
      </w:r>
      <w:r w:rsidRPr="00A61515">
        <w:rPr>
          <w:i/>
          <w:iCs/>
          <w:lang w:val="fr-FR"/>
        </w:rPr>
        <w:t>5.1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7D7BD10F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5.1</w:t>
      </w:r>
      <w:r w:rsidRPr="00A61515">
        <w:rPr>
          <w:lang w:val="fr-FR"/>
        </w:rPr>
        <w:tab/>
      </w:r>
      <w:r w:rsidRPr="00A61515">
        <w:rPr>
          <w:strike/>
          <w:lang w:val="fr-FR"/>
        </w:rPr>
        <w:t>“</w:t>
      </w:r>
      <w:r w:rsidRPr="00A61515">
        <w:rPr>
          <w:i/>
          <w:iCs/>
          <w:strike/>
          <w:lang w:val="fr-FR"/>
        </w:rPr>
        <w:t>Véhicule à moteur à combustion interne</w:t>
      </w:r>
      <w:r w:rsidRPr="00A61515">
        <w:rPr>
          <w:strike/>
          <w:lang w:val="fr-FR"/>
        </w:rPr>
        <w:t>”</w:t>
      </w:r>
      <w:r>
        <w:rPr>
          <w:i/>
          <w:iCs/>
          <w:strike/>
          <w:lang w:val="fr-FR"/>
        </w:rPr>
        <w:t> </w:t>
      </w:r>
      <w:r w:rsidRPr="00A61515">
        <w:rPr>
          <w:strike/>
          <w:lang w:val="fr-FR"/>
        </w:rPr>
        <w:t>: véhicule équipé d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une chaîne de traction utilisant exclusivement un ou plusieurs moteurs à combustion interne comme convertisseurs de l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énergie de propulsion.</w:t>
      </w:r>
    </w:p>
    <w:p w14:paraId="1210368C" w14:textId="77777777" w:rsidR="00A61515" w:rsidRPr="00A61515" w:rsidRDefault="00A61515" w:rsidP="00976A3F">
      <w:pPr>
        <w:pStyle w:val="SingleTxtG"/>
        <w:ind w:left="2268"/>
        <w:rPr>
          <w:b/>
          <w:bCs/>
        </w:rPr>
      </w:pPr>
      <w:r w:rsidRPr="00A61515">
        <w:rPr>
          <w:lang w:val="fr-FR"/>
        </w:rPr>
        <w:tab/>
      </w:r>
      <w:r w:rsidRPr="00A61515">
        <w:rPr>
          <w:b/>
          <w:bCs/>
          <w:lang w:val="fr-FR"/>
        </w:rPr>
        <w:t>“</w:t>
      </w:r>
      <w:r w:rsidRPr="00A61515">
        <w:rPr>
          <w:b/>
          <w:bCs/>
          <w:i/>
          <w:iCs/>
          <w:lang w:val="fr-FR"/>
        </w:rPr>
        <w:t>Véhicule équipé uniquement d</w:t>
      </w:r>
      <w:r w:rsidRPr="00A61515">
        <w:rPr>
          <w:b/>
          <w:bCs/>
          <w:i/>
          <w:iCs/>
          <w:lang w:val="fr-FR"/>
        </w:rPr>
        <w:t>’</w:t>
      </w:r>
      <w:r w:rsidRPr="00A61515">
        <w:rPr>
          <w:b/>
          <w:bCs/>
          <w:i/>
          <w:iCs/>
          <w:lang w:val="fr-FR"/>
        </w:rPr>
        <w:t>un moteur à combustion interne</w:t>
      </w:r>
      <w:r w:rsidRPr="00A61515">
        <w:rPr>
          <w:b/>
          <w:bCs/>
          <w:lang w:val="fr-FR"/>
        </w:rPr>
        <w:t>”</w:t>
      </w:r>
      <w:r>
        <w:rPr>
          <w:b/>
          <w:bCs/>
          <w:lang w:val="fr-FR"/>
        </w:rPr>
        <w:t> </w:t>
      </w:r>
      <w:r w:rsidRPr="00A61515">
        <w:rPr>
          <w:b/>
          <w:bCs/>
          <w:lang w:val="fr-FR"/>
        </w:rPr>
        <w:t>: véhicule dans lequel tous les convertisseurs de l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énergie de propulsion sont des moteurs à combustion interne. »</w:t>
      </w:r>
      <w:r w:rsidRPr="00A61515">
        <w:rPr>
          <w:lang w:val="fr-FR"/>
        </w:rPr>
        <w:t>.</w:t>
      </w:r>
    </w:p>
    <w:p w14:paraId="13094359" w14:textId="77777777" w:rsidR="00A61515" w:rsidRPr="00A61515" w:rsidRDefault="00A61515" w:rsidP="00A61515">
      <w:pPr>
        <w:pStyle w:val="SingleTxtG"/>
      </w:pPr>
      <w:r w:rsidRPr="00A61515">
        <w:rPr>
          <w:i/>
          <w:iCs/>
          <w:lang w:val="fr-FR"/>
        </w:rPr>
        <w:t xml:space="preserve">Paragraphe </w:t>
      </w:r>
      <w:r w:rsidRPr="00A61515">
        <w:rPr>
          <w:i/>
          <w:iCs/>
          <w:lang w:val="fr-FR"/>
        </w:rPr>
        <w:t>5.1.1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6569606E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5.1.1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Véhicule monocarburant</w:t>
      </w:r>
      <w:r w:rsidRPr="00A61515">
        <w:rPr>
          <w:lang w:val="fr-FR"/>
        </w:rPr>
        <w:t>”</w:t>
      </w:r>
      <w:r>
        <w:rPr>
          <w:lang w:val="fr-FR"/>
        </w:rPr>
        <w:t> </w:t>
      </w:r>
      <w:r w:rsidRPr="00A61515">
        <w:rPr>
          <w:lang w:val="fr-FR"/>
        </w:rPr>
        <w:t>: véhicule</w:t>
      </w:r>
      <w:r w:rsidR="0075022D">
        <w:rPr>
          <w:lang w:val="fr-FR"/>
        </w:rPr>
        <w:t xml:space="preserve"> </w:t>
      </w:r>
      <w:r w:rsidRPr="00A61515">
        <w:rPr>
          <w:strike/>
          <w:lang w:val="fr-FR"/>
        </w:rPr>
        <w:t>à moteur à combustion interne</w:t>
      </w:r>
      <w:r w:rsidRPr="00A61515">
        <w:rPr>
          <w:lang w:val="fr-FR"/>
        </w:rPr>
        <w:t xml:space="preserve"> conçu pour fonctionner principalement</w:t>
      </w:r>
      <w:r w:rsidR="0075022D">
        <w:rPr>
          <w:lang w:val="fr-FR"/>
        </w:rPr>
        <w:t xml:space="preserve"> </w:t>
      </w:r>
      <w:r w:rsidRPr="00A61515">
        <w:rPr>
          <w:lang w:val="fr-FR"/>
        </w:rPr>
        <w:t>avec un type de carburant ; ».</w:t>
      </w:r>
    </w:p>
    <w:p w14:paraId="16A55785" w14:textId="77777777" w:rsidR="00A61515" w:rsidRPr="00A61515" w:rsidRDefault="00A61515" w:rsidP="00A61515">
      <w:pPr>
        <w:pStyle w:val="SingleTxtG"/>
      </w:pPr>
      <w:r w:rsidRPr="00A61515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A61515">
        <w:rPr>
          <w:i/>
          <w:iCs/>
          <w:lang w:val="fr-FR"/>
        </w:rPr>
        <w:t>5.1.2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601B50F2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5.1.2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Véhicule bicarburant</w:t>
      </w:r>
      <w:r w:rsidRPr="00A61515">
        <w:rPr>
          <w:lang w:val="fr-FR"/>
        </w:rPr>
        <w:t>”</w:t>
      </w:r>
      <w:r>
        <w:rPr>
          <w:i/>
          <w:iCs/>
          <w:lang w:val="fr-FR"/>
        </w:rPr>
        <w:t> </w:t>
      </w:r>
      <w:r w:rsidRPr="00A61515">
        <w:rPr>
          <w:lang w:val="fr-FR"/>
        </w:rPr>
        <w:t xml:space="preserve">: véhicule doté de deux systèmes distincts de stockage </w:t>
      </w:r>
      <w:r w:rsidRPr="00A61515">
        <w:rPr>
          <w:b/>
          <w:bCs/>
          <w:lang w:val="fr-FR"/>
        </w:rPr>
        <w:t>du carburant,</w:t>
      </w:r>
      <w:r w:rsidRPr="00A61515">
        <w:rPr>
          <w:lang w:val="fr-FR"/>
        </w:rPr>
        <w:t xml:space="preserve"> </w:t>
      </w:r>
      <w:r w:rsidRPr="00A61515">
        <w:rPr>
          <w:strike/>
          <w:lang w:val="fr-FR"/>
        </w:rPr>
        <w:t>pour deux carburants différents et d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un moteur à combustion interne conçu pour fonctionner principalement sur un type de carburant à la fois</w:t>
      </w:r>
      <w:r w:rsidRPr="00A61515">
        <w:rPr>
          <w:lang w:val="fr-FR"/>
        </w:rPr>
        <w:t xml:space="preserve"> </w:t>
      </w:r>
      <w:r w:rsidRPr="00A61515">
        <w:rPr>
          <w:b/>
          <w:bCs/>
          <w:lang w:val="fr-FR"/>
        </w:rPr>
        <w:t>conçu pour fonctionner principalement avec un seul carburant à la fois.</w:t>
      </w:r>
      <w:r w:rsidR="0075022D">
        <w:rPr>
          <w:b/>
          <w:bCs/>
          <w:lang w:val="fr-FR"/>
        </w:rPr>
        <w:t xml:space="preserve"> </w:t>
      </w:r>
      <w:r w:rsidRPr="00A61515">
        <w:rPr>
          <w:b/>
          <w:bCs/>
          <w:lang w:val="fr-FR"/>
        </w:rPr>
        <w:t>Toutefois, l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utilisation simultanée des deux carburants est autorisée dans des quantités et pour des durées limitées ;</w:t>
      </w:r>
      <w:r w:rsidRPr="00A61515">
        <w:rPr>
          <w:lang w:val="fr-FR"/>
        </w:rPr>
        <w:t> ».</w:t>
      </w:r>
    </w:p>
    <w:p w14:paraId="12FD46A2" w14:textId="77777777" w:rsidR="00A61515" w:rsidRPr="00A61515" w:rsidRDefault="00A61515" w:rsidP="00A61515">
      <w:pPr>
        <w:pStyle w:val="SingleTxtG"/>
        <w:keepNext/>
      </w:pPr>
      <w:r w:rsidRPr="00A61515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> </w:t>
      </w:r>
      <w:r w:rsidRPr="00A61515">
        <w:rPr>
          <w:i/>
          <w:iCs/>
          <w:lang w:val="fr-FR"/>
        </w:rPr>
        <w:t>5.1.4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198B6BDA" w14:textId="77777777" w:rsidR="00A61515" w:rsidRPr="00A61515" w:rsidRDefault="00A61515" w:rsidP="00976A3F">
      <w:pPr>
        <w:pStyle w:val="SingleTxtG"/>
        <w:ind w:left="2268" w:hanging="1134"/>
      </w:pPr>
      <w:r w:rsidRPr="00A61515">
        <w:rPr>
          <w:lang w:val="fr-FR"/>
        </w:rPr>
        <w:t>« 5.1.4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Véhicule</w:t>
      </w:r>
      <w:r w:rsidR="0075022D">
        <w:rPr>
          <w:i/>
          <w:iCs/>
          <w:lang w:val="fr-FR"/>
        </w:rPr>
        <w:t xml:space="preserve"> </w:t>
      </w:r>
      <w:r w:rsidRPr="00A61515">
        <w:rPr>
          <w:i/>
          <w:iCs/>
          <w:lang w:val="fr-FR"/>
        </w:rPr>
        <w:t>polycarburant</w:t>
      </w:r>
      <w:r w:rsidRPr="00A61515">
        <w:rPr>
          <w:lang w:val="fr-FR"/>
        </w:rPr>
        <w:t>”</w:t>
      </w:r>
      <w:r>
        <w:rPr>
          <w:lang w:val="fr-FR"/>
        </w:rPr>
        <w:t> </w:t>
      </w:r>
      <w:r w:rsidRPr="00A61515">
        <w:rPr>
          <w:lang w:val="fr-FR"/>
        </w:rPr>
        <w:t>: véhicule doté d</w:t>
      </w:r>
      <w:r w:rsidRPr="00A61515">
        <w:rPr>
          <w:lang w:val="fr-FR"/>
        </w:rPr>
        <w:t>’</w:t>
      </w:r>
      <w:r w:rsidRPr="00A61515">
        <w:rPr>
          <w:lang w:val="fr-FR"/>
        </w:rPr>
        <w:t xml:space="preserve">un système de stockage </w:t>
      </w:r>
      <w:r w:rsidRPr="00A61515">
        <w:rPr>
          <w:b/>
          <w:bCs/>
          <w:lang w:val="fr-FR"/>
        </w:rPr>
        <w:t>de carburant</w:t>
      </w:r>
      <w:r w:rsidRPr="00A61515">
        <w:rPr>
          <w:lang w:val="fr-FR"/>
        </w:rPr>
        <w:t xml:space="preserve"> </w:t>
      </w:r>
      <w:r w:rsidRPr="00A61515">
        <w:rPr>
          <w:strike/>
          <w:lang w:val="fr-FR"/>
        </w:rPr>
        <w:t>pour un mélange de carburants et d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un moteur à combustion interne conçu pour fonctionner sur un mélange de ceux-ci ou l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un de ceux-ci.</w:t>
      </w:r>
      <w:r w:rsidRPr="00A61515">
        <w:rPr>
          <w:lang w:val="fr-FR"/>
        </w:rPr>
        <w:t xml:space="preserve"> </w:t>
      </w:r>
      <w:r w:rsidRPr="00A61515">
        <w:rPr>
          <w:b/>
          <w:bCs/>
          <w:lang w:val="fr-FR"/>
        </w:rPr>
        <w:t>qui peut fonctionner avec différents mélanges de deux ou plusieurs carburants</w:t>
      </w:r>
      <w:r w:rsidRPr="00A61515">
        <w:rPr>
          <w:lang w:val="fr-FR"/>
        </w:rPr>
        <w:t> ; ».</w:t>
      </w:r>
    </w:p>
    <w:p w14:paraId="14B54A1D" w14:textId="77777777" w:rsidR="00A61515" w:rsidRPr="00A61515" w:rsidRDefault="00A61515" w:rsidP="00A61515">
      <w:pPr>
        <w:pStyle w:val="SingleTxtG"/>
        <w:keepNext/>
      </w:pPr>
      <w:r w:rsidRPr="00A61515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A61515">
        <w:rPr>
          <w:i/>
          <w:iCs/>
          <w:lang w:val="fr-FR"/>
        </w:rPr>
        <w:t>5.3.2</w:t>
      </w:r>
      <w:r w:rsidRPr="00A61515">
        <w:rPr>
          <w:lang w:val="fr-FR"/>
        </w:rPr>
        <w:t>, lire</w:t>
      </w:r>
      <w:r>
        <w:rPr>
          <w:lang w:val="fr-FR"/>
        </w:rPr>
        <w:t> </w:t>
      </w:r>
      <w:r w:rsidRPr="00A61515">
        <w:rPr>
          <w:lang w:val="fr-FR"/>
        </w:rPr>
        <w:t>:</w:t>
      </w:r>
    </w:p>
    <w:p w14:paraId="09E8EBB1" w14:textId="77777777" w:rsidR="00A61515" w:rsidRPr="00A61515" w:rsidRDefault="00A61515" w:rsidP="00976A3F">
      <w:pPr>
        <w:pStyle w:val="SingleTxtG"/>
        <w:ind w:left="2268" w:hanging="1134"/>
        <w:rPr>
          <w:b/>
          <w:bCs/>
        </w:rPr>
      </w:pPr>
      <w:r w:rsidRPr="00A61515">
        <w:rPr>
          <w:lang w:val="fr-FR"/>
        </w:rPr>
        <w:t>« 5.3.2</w:t>
      </w:r>
      <w:r w:rsidRPr="00A61515">
        <w:rPr>
          <w:lang w:val="fr-FR"/>
        </w:rPr>
        <w:tab/>
        <w:t>“</w:t>
      </w:r>
      <w:r w:rsidRPr="00A61515">
        <w:rPr>
          <w:i/>
          <w:iCs/>
          <w:lang w:val="fr-FR"/>
        </w:rPr>
        <w:t>Véhicule électrique hybride</w:t>
      </w:r>
      <w:r w:rsidRPr="00A61515">
        <w:rPr>
          <w:lang w:val="fr-FR"/>
        </w:rPr>
        <w:t>”</w:t>
      </w:r>
      <w:r>
        <w:rPr>
          <w:lang w:val="fr-FR"/>
        </w:rPr>
        <w:t> </w:t>
      </w:r>
      <w:r w:rsidRPr="00A61515">
        <w:rPr>
          <w:lang w:val="fr-FR"/>
        </w:rPr>
        <w:t xml:space="preserve">: véhicule hybride </w:t>
      </w:r>
      <w:r w:rsidRPr="00A61515">
        <w:rPr>
          <w:strike/>
          <w:lang w:val="fr-FR"/>
        </w:rPr>
        <w:t>équipé d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>une chaîne de traction comprenant au moins un moteur électrique et un moteur/générateur électrique et au moins un moteur à combustion interne servant de convertisseur de l</w:t>
      </w:r>
      <w:r w:rsidRPr="00A61515">
        <w:rPr>
          <w:strike/>
          <w:lang w:val="fr-FR"/>
        </w:rPr>
        <w:t>’</w:t>
      </w:r>
      <w:r w:rsidRPr="00A61515">
        <w:rPr>
          <w:strike/>
          <w:lang w:val="fr-FR"/>
        </w:rPr>
        <w:t xml:space="preserve">énergie de propulsion </w:t>
      </w:r>
      <w:r w:rsidRPr="00A61515">
        <w:rPr>
          <w:b/>
          <w:bCs/>
          <w:lang w:val="fr-FR"/>
        </w:rPr>
        <w:t>sur lequel l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un des convertisseurs d</w:t>
      </w:r>
      <w:r w:rsidRPr="00A61515">
        <w:rPr>
          <w:b/>
          <w:bCs/>
          <w:lang w:val="fr-FR"/>
        </w:rPr>
        <w:t>’</w:t>
      </w:r>
      <w:r w:rsidRPr="00A61515">
        <w:rPr>
          <w:b/>
          <w:bCs/>
          <w:lang w:val="fr-FR"/>
        </w:rPr>
        <w:t>énergie de propulsion est une machine électrique ; ».</w:t>
      </w:r>
    </w:p>
    <w:p w14:paraId="47A69EC5" w14:textId="77777777" w:rsidR="00A61515" w:rsidRPr="00A61515" w:rsidRDefault="00A61515" w:rsidP="00A61515">
      <w:pPr>
        <w:pStyle w:val="HChG"/>
      </w:pPr>
      <w:r>
        <w:rPr>
          <w:lang w:val="fr-FR"/>
        </w:rPr>
        <w:tab/>
      </w:r>
      <w:r w:rsidRPr="00A61515">
        <w:rPr>
          <w:lang w:val="fr-FR"/>
        </w:rPr>
        <w:t>II.</w:t>
      </w:r>
      <w:r w:rsidRPr="00A61515">
        <w:rPr>
          <w:lang w:val="fr-FR"/>
        </w:rPr>
        <w:tab/>
        <w:t>Ju</w:t>
      </w:r>
      <w:bookmarkStart w:id="0" w:name="_GoBack"/>
      <w:bookmarkEnd w:id="0"/>
      <w:r w:rsidRPr="00A61515">
        <w:rPr>
          <w:lang w:val="fr-FR"/>
        </w:rPr>
        <w:t>stification</w:t>
      </w:r>
    </w:p>
    <w:p w14:paraId="5E25D19E" w14:textId="77777777" w:rsidR="00A61515" w:rsidRDefault="00A61515" w:rsidP="00A61515">
      <w:pPr>
        <w:pStyle w:val="SingleTxtG"/>
        <w:ind w:firstLine="567"/>
        <w:rPr>
          <w:lang w:val="fr-FR"/>
        </w:rPr>
      </w:pPr>
      <w:r w:rsidRPr="00A61515">
        <w:rPr>
          <w:lang w:val="fr-FR"/>
        </w:rPr>
        <w:t>L</w:t>
      </w:r>
      <w:r w:rsidRPr="00A61515">
        <w:rPr>
          <w:lang w:val="fr-FR"/>
        </w:rPr>
        <w:t>’</w:t>
      </w:r>
      <w:r w:rsidRPr="00A61515">
        <w:rPr>
          <w:lang w:val="fr-FR"/>
        </w:rPr>
        <w:t>objet de la présente proposition d</w:t>
      </w:r>
      <w:r w:rsidRPr="00A61515">
        <w:rPr>
          <w:lang w:val="fr-FR"/>
        </w:rPr>
        <w:t>’</w:t>
      </w:r>
      <w:r w:rsidRPr="00A61515">
        <w:rPr>
          <w:lang w:val="fr-FR"/>
        </w:rPr>
        <w:t>amendement est d</w:t>
      </w:r>
      <w:r w:rsidRPr="00A61515">
        <w:rPr>
          <w:lang w:val="fr-FR"/>
        </w:rPr>
        <w:t>’</w:t>
      </w:r>
      <w:r w:rsidRPr="00A61515">
        <w:rPr>
          <w:lang w:val="fr-FR"/>
        </w:rPr>
        <w:t>harmoniser les définitions de la R.M.2 avec les définitions les plus récentes figurant dans l</w:t>
      </w:r>
      <w:r w:rsidRPr="00A61515">
        <w:rPr>
          <w:lang w:val="fr-FR"/>
        </w:rPr>
        <w:t>’</w:t>
      </w:r>
      <w:r w:rsidRPr="00A61515">
        <w:rPr>
          <w:lang w:val="fr-FR"/>
        </w:rPr>
        <w:t>amendement 6 au RTM</w:t>
      </w:r>
      <w:r>
        <w:rPr>
          <w:lang w:val="fr-FR"/>
        </w:rPr>
        <w:t> </w:t>
      </w:r>
      <w:r w:rsidRPr="00A61515">
        <w:rPr>
          <w:lang w:val="fr-FR"/>
        </w:rPr>
        <w:t>ONU n</w:t>
      </w:r>
      <w:r w:rsidRPr="00A6151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61515">
        <w:rPr>
          <w:lang w:val="fr-FR"/>
        </w:rPr>
        <w:t xml:space="preserve">15, comme indiqué dans le document GRPE-82-28. </w:t>
      </w:r>
    </w:p>
    <w:p w14:paraId="6BE7835F" w14:textId="77777777" w:rsidR="00A61515" w:rsidRPr="00A61515" w:rsidRDefault="00A61515" w:rsidP="00A6151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1515" w:rsidRPr="00A61515" w:rsidSect="00A615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6807" w14:textId="77777777" w:rsidR="00A43412" w:rsidRDefault="00A43412" w:rsidP="00F95C08">
      <w:pPr>
        <w:spacing w:line="240" w:lineRule="auto"/>
      </w:pPr>
    </w:p>
  </w:endnote>
  <w:endnote w:type="continuationSeparator" w:id="0">
    <w:p w14:paraId="136E0A45" w14:textId="77777777" w:rsidR="00A43412" w:rsidRPr="00AC3823" w:rsidRDefault="00A43412" w:rsidP="00AC3823">
      <w:pPr>
        <w:pStyle w:val="Pieddepage"/>
      </w:pPr>
    </w:p>
  </w:endnote>
  <w:endnote w:type="continuationNotice" w:id="1">
    <w:p w14:paraId="563F3A13" w14:textId="77777777" w:rsidR="00A43412" w:rsidRDefault="00A434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09DD" w14:textId="77777777" w:rsidR="00A61515" w:rsidRPr="00A61515" w:rsidRDefault="00A61515" w:rsidP="00A61515">
    <w:pPr>
      <w:pStyle w:val="Pieddepage"/>
      <w:tabs>
        <w:tab w:val="right" w:pos="9638"/>
      </w:tabs>
    </w:pPr>
    <w:r w:rsidRPr="00A61515">
      <w:rPr>
        <w:b/>
        <w:sz w:val="18"/>
      </w:rPr>
      <w:fldChar w:fldCharType="begin"/>
    </w:r>
    <w:r w:rsidRPr="00A61515">
      <w:rPr>
        <w:b/>
        <w:sz w:val="18"/>
      </w:rPr>
      <w:instrText xml:space="preserve"> PAGE  \* MERGEFORMAT </w:instrText>
    </w:r>
    <w:r w:rsidRPr="00A61515">
      <w:rPr>
        <w:b/>
        <w:sz w:val="18"/>
      </w:rPr>
      <w:fldChar w:fldCharType="separate"/>
    </w:r>
    <w:r w:rsidRPr="00A61515">
      <w:rPr>
        <w:b/>
        <w:noProof/>
        <w:sz w:val="18"/>
      </w:rPr>
      <w:t>2</w:t>
    </w:r>
    <w:r w:rsidRPr="00A61515">
      <w:rPr>
        <w:b/>
        <w:sz w:val="18"/>
      </w:rPr>
      <w:fldChar w:fldCharType="end"/>
    </w:r>
    <w:r>
      <w:rPr>
        <w:b/>
        <w:sz w:val="18"/>
      </w:rPr>
      <w:tab/>
    </w:r>
    <w:r>
      <w:t>GE.21-03638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8F4B" w14:textId="77777777" w:rsidR="00A61515" w:rsidRPr="00A61515" w:rsidRDefault="00A61515" w:rsidP="00A61515">
    <w:pPr>
      <w:pStyle w:val="Pieddepage"/>
      <w:tabs>
        <w:tab w:val="right" w:pos="9638"/>
      </w:tabs>
      <w:rPr>
        <w:b/>
        <w:sz w:val="18"/>
      </w:rPr>
    </w:pPr>
    <w:r>
      <w:t>GE.21-03638</w:t>
    </w:r>
    <w:r>
      <w:tab/>
    </w:r>
    <w:r w:rsidRPr="00A61515">
      <w:rPr>
        <w:b/>
        <w:sz w:val="18"/>
      </w:rPr>
      <w:fldChar w:fldCharType="begin"/>
    </w:r>
    <w:r w:rsidRPr="00A61515">
      <w:rPr>
        <w:b/>
        <w:sz w:val="18"/>
      </w:rPr>
      <w:instrText xml:space="preserve"> PAGE  \* MERGEFORMAT </w:instrText>
    </w:r>
    <w:r w:rsidRPr="00A61515">
      <w:rPr>
        <w:b/>
        <w:sz w:val="18"/>
      </w:rPr>
      <w:fldChar w:fldCharType="separate"/>
    </w:r>
    <w:r w:rsidRPr="00A61515">
      <w:rPr>
        <w:b/>
        <w:noProof/>
        <w:sz w:val="18"/>
      </w:rPr>
      <w:t>3</w:t>
    </w:r>
    <w:r w:rsidRPr="00A615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1CF2" w14:textId="77777777" w:rsidR="007F20FA" w:rsidRPr="00A61515" w:rsidRDefault="00A61515" w:rsidP="00A6151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BF7FD7E" wp14:editId="73C4B6D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21-03638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4D1A7A2" wp14:editId="2A18FA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290321    290321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64CF" w14:textId="77777777" w:rsidR="00A43412" w:rsidRPr="00AC3823" w:rsidRDefault="00A434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9E611A" w14:textId="77777777" w:rsidR="00A43412" w:rsidRPr="00AC3823" w:rsidRDefault="00A4341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737CC0" w14:textId="77777777" w:rsidR="00A43412" w:rsidRPr="00AC3823" w:rsidRDefault="00A43412">
      <w:pPr>
        <w:spacing w:line="240" w:lineRule="auto"/>
        <w:rPr>
          <w:sz w:val="2"/>
          <w:szCs w:val="2"/>
        </w:rPr>
      </w:pPr>
    </w:p>
  </w:footnote>
  <w:footnote w:id="2">
    <w:p w14:paraId="1B5845D5" w14:textId="77777777" w:rsidR="00A61515" w:rsidRPr="00A61515" w:rsidRDefault="00A61515">
      <w:pPr>
        <w:pStyle w:val="Notedebasdepage"/>
        <w:rPr>
          <w:sz w:val="16"/>
          <w:szCs w:val="18"/>
        </w:rPr>
      </w:pPr>
      <w:r>
        <w:rPr>
          <w:rStyle w:val="Appelnotedebasdep"/>
        </w:rPr>
        <w:tab/>
      </w:r>
      <w:r w:rsidRPr="00A6151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61515">
        <w:rPr>
          <w:szCs w:val="18"/>
        </w:rPr>
        <w:t>Conformément au programme de travail du Comité des transports intérieurs pour 2021 tel qu’il figure dans le projet de budget-programme pour 2021 (A/75/6 (Sect. 20), par.</w:t>
      </w:r>
      <w:r>
        <w:rPr>
          <w:szCs w:val="18"/>
        </w:rPr>
        <w:t> </w:t>
      </w:r>
      <w:r w:rsidRPr="00A61515">
        <w:rPr>
          <w:szCs w:val="18"/>
        </w:rPr>
        <w:t>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A6151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512B" w14:textId="26D6630D" w:rsidR="00A61515" w:rsidRPr="00A61515" w:rsidRDefault="00A61515">
    <w:pPr>
      <w:pStyle w:val="En-tte"/>
    </w:pPr>
    <w:fldSimple w:instr=" TITLE  \* MERGEFORMAT ">
      <w:r w:rsidR="00113028">
        <w:t>ECE/TRANS/WP.29/GRPE/2021/19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CAC2" w14:textId="41949B3F" w:rsidR="00A61515" w:rsidRPr="00A61515" w:rsidRDefault="00A61515" w:rsidP="00A61515">
    <w:pPr>
      <w:pStyle w:val="En-tte"/>
      <w:jc w:val="right"/>
    </w:pPr>
    <w:fldSimple w:instr=" TITLE  \* MERGEFORMAT ">
      <w:r w:rsidR="00113028">
        <w:t>ECE/TRANS/WP.29/GRPE/2021/19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12"/>
    <w:rsid w:val="00017F94"/>
    <w:rsid w:val="00023842"/>
    <w:rsid w:val="000334F9"/>
    <w:rsid w:val="00045FEB"/>
    <w:rsid w:val="0007796D"/>
    <w:rsid w:val="000B7790"/>
    <w:rsid w:val="00111F2F"/>
    <w:rsid w:val="00113028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5022D"/>
    <w:rsid w:val="007A62E6"/>
    <w:rsid w:val="007F20FA"/>
    <w:rsid w:val="008053DD"/>
    <w:rsid w:val="0080684C"/>
    <w:rsid w:val="00871C75"/>
    <w:rsid w:val="008776DC"/>
    <w:rsid w:val="008D5EF9"/>
    <w:rsid w:val="009446C0"/>
    <w:rsid w:val="009705C8"/>
    <w:rsid w:val="00976A3F"/>
    <w:rsid w:val="009C1CF4"/>
    <w:rsid w:val="009F6B74"/>
    <w:rsid w:val="00A3029F"/>
    <w:rsid w:val="00A30353"/>
    <w:rsid w:val="00A43412"/>
    <w:rsid w:val="00A61515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B8DF5"/>
  <w15:docId w15:val="{3FCD3033-5F66-42F6-9F38-ABA4850A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Policepardfaut"/>
    <w:link w:val="SingleTxtG"/>
    <w:qFormat/>
    <w:rsid w:val="00A615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A6151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NumerazioneCar">
    <w:name w:val="Numerazione Car"/>
    <w:link w:val="Numerazione"/>
    <w:locked/>
    <w:rsid w:val="00A61515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A61515"/>
    <w:pPr>
      <w:numPr>
        <w:numId w:val="1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33D6A-11A3-4351-BF26-DFB1D8D6575D}"/>
</file>

<file path=customXml/itemProps2.xml><?xml version="1.0" encoding="utf-8"?>
<ds:datastoreItem xmlns:ds="http://schemas.openxmlformats.org/officeDocument/2006/customXml" ds:itemID="{0F4B62B5-FB91-45FD-9909-6C9422C489F8}"/>
</file>

<file path=customXml/itemProps3.xml><?xml version="1.0" encoding="utf-8"?>
<ds:datastoreItem xmlns:ds="http://schemas.openxmlformats.org/officeDocument/2006/customXml" ds:itemID="{FFB67FBF-FC38-4D30-8F50-8B22FA8BF423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3</Pages>
  <Words>729</Words>
  <Characters>4020</Characters>
  <Application>Microsoft Office Word</Application>
  <DocSecurity>0</DocSecurity>
  <Lines>91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ECE/TRANS/WP.29/GRPE/2021/19</dc:title>
  <dc:subject/>
  <dc:creator>Christine CHAUTAGNAT</dc:creator>
  <cp:keywords/>
  <cp:lastModifiedBy>Christine Chautagnat</cp:lastModifiedBy>
  <cp:revision>3</cp:revision>
  <cp:lastPrinted>2021-03-29T07:13:00Z</cp:lastPrinted>
  <dcterms:created xsi:type="dcterms:W3CDTF">2021-03-29T07:13:00Z</dcterms:created>
  <dcterms:modified xsi:type="dcterms:W3CDTF">2021-03-29T07:15:00Z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