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C078" w14:textId="30B55808" w:rsidR="002A0E4B" w:rsidRDefault="002A0E4B" w:rsidP="00791E69">
      <w:pPr>
        <w:pStyle w:val="HChG"/>
        <w:ind w:right="283" w:hanging="567"/>
        <w:jc w:val="center"/>
      </w:pPr>
      <w:r w:rsidRPr="002A0E4B">
        <w:t>Proposal for amendments to ECE/TRANS/WP.29/GRVA/2021/9</w:t>
      </w:r>
    </w:p>
    <w:p w14:paraId="478990AB" w14:textId="77777777" w:rsidR="0054350C" w:rsidRDefault="002A0E4B" w:rsidP="002A0E4B">
      <w:r>
        <w:t>(</w:t>
      </w:r>
      <w:r w:rsidRPr="002A0E4B">
        <w:t>Proposal for a Supplement to the 03 series of amendments to UN Regulation No. 79 (Steering equipment)</w:t>
      </w:r>
      <w:r>
        <w:t xml:space="preserve">). </w:t>
      </w:r>
    </w:p>
    <w:p w14:paraId="56B34836" w14:textId="77777777" w:rsidR="0054350C" w:rsidRDefault="0054350C" w:rsidP="002A0E4B"/>
    <w:p w14:paraId="770D186A" w14:textId="7D897275" w:rsidR="002A0E4B" w:rsidRPr="002A0E4B" w:rsidRDefault="002A0E4B" w:rsidP="002A0E4B">
      <w:r>
        <w:t xml:space="preserve">This document reflects the outcomes of the discussions held on 28 </w:t>
      </w:r>
      <w:r w:rsidR="0054350C">
        <w:t>January</w:t>
      </w:r>
      <w:r>
        <w:t xml:space="preserve"> 2021 </w:t>
      </w:r>
      <w:r w:rsidR="0054350C">
        <w:t xml:space="preserve">during the workshop organized by Industry on Assistant systems (UN R79). The changes proposed to document GRVA/2021/9 are indicated in </w:t>
      </w:r>
      <w:r w:rsidR="0054350C" w:rsidRPr="0054350C">
        <w:rPr>
          <w:color w:val="0070C0"/>
        </w:rPr>
        <w:t>blue</w:t>
      </w:r>
      <w:r w:rsidR="0054350C">
        <w:rPr>
          <w:color w:val="0070C0"/>
        </w:rPr>
        <w:t>.</w:t>
      </w:r>
    </w:p>
    <w:p w14:paraId="655C01AC" w14:textId="77777777" w:rsidR="002A0E4B" w:rsidRPr="002A0E4B" w:rsidRDefault="002A0E4B" w:rsidP="00A319B6">
      <w:pPr>
        <w:pStyle w:val="HChG"/>
      </w:pPr>
      <w:bookmarkStart w:id="0" w:name="_GoBack"/>
      <w:bookmarkEnd w:id="0"/>
    </w:p>
    <w:p w14:paraId="2C2A9346" w14:textId="33FBFE6A" w:rsidR="004B2383" w:rsidRPr="000A0AB1" w:rsidRDefault="00A319B6" w:rsidP="00A319B6">
      <w:pPr>
        <w:pStyle w:val="HChG"/>
      </w:pPr>
      <w:r w:rsidRPr="000A0AB1">
        <w:t>I.</w:t>
      </w:r>
      <w:r w:rsidRPr="000A0AB1">
        <w:tab/>
        <w:t>Proposal</w:t>
      </w:r>
    </w:p>
    <w:p w14:paraId="0980582E" w14:textId="3DD020CE" w:rsidR="00A319B6" w:rsidRPr="000A0AB1" w:rsidRDefault="00A319B6" w:rsidP="00A319B6">
      <w:pPr>
        <w:spacing w:after="120"/>
        <w:ind w:left="1134" w:right="1134"/>
        <w:jc w:val="both"/>
      </w:pPr>
      <w:r w:rsidRPr="000A0AB1">
        <w:rPr>
          <w:i/>
        </w:rPr>
        <w:t xml:space="preserve">Paragraph 5.6.4.1.2, </w:t>
      </w:r>
      <w:r w:rsidRPr="000A0AB1">
        <w:t>amend to read</w:t>
      </w:r>
      <w:r w:rsidR="0056516A" w:rsidRPr="000A0AB1">
        <w:t>:</w:t>
      </w:r>
    </w:p>
    <w:p w14:paraId="1BC38F97" w14:textId="60026C76" w:rsidR="00A319B6" w:rsidRPr="000A0AB1" w:rsidRDefault="00A319B6" w:rsidP="00A319B6">
      <w:pPr>
        <w:spacing w:after="120"/>
        <w:ind w:left="2268" w:right="1134" w:hanging="1134"/>
        <w:jc w:val="both"/>
        <w:rPr>
          <w:bCs/>
        </w:rPr>
      </w:pPr>
      <w:bookmarkStart w:id="1" w:name="_Hlk56146177"/>
      <w:r w:rsidRPr="000A0AB1">
        <w:rPr>
          <w:bCs/>
        </w:rPr>
        <w:t>5.6.4.1.2.</w:t>
      </w:r>
      <w:bookmarkEnd w:id="1"/>
      <w:r w:rsidRPr="000A0AB1">
        <w:rPr>
          <w:bCs/>
        </w:rPr>
        <w:tab/>
        <w:t xml:space="preserve">When the ACSF of Category C is </w:t>
      </w:r>
      <w:r w:rsidR="006A73E6" w:rsidRPr="006A73E6">
        <w:rPr>
          <w:b/>
          <w:color w:val="0070C0"/>
        </w:rPr>
        <w:t>in</w:t>
      </w:r>
      <w:r w:rsidR="006A73E6" w:rsidRPr="006A73E6">
        <w:rPr>
          <w:bCs/>
          <w:color w:val="0070C0"/>
        </w:rPr>
        <w:t xml:space="preserve"> </w:t>
      </w:r>
      <w:r w:rsidRPr="006A73E6">
        <w:rPr>
          <w:bCs/>
          <w:strike/>
          <w:color w:val="0070C0"/>
        </w:rPr>
        <w:t>activated</w:t>
      </w:r>
      <w:r w:rsidRPr="006A73E6">
        <w:rPr>
          <w:bCs/>
          <w:color w:val="0070C0"/>
        </w:rPr>
        <w:t xml:space="preserve"> </w:t>
      </w:r>
      <w:r w:rsidRPr="006A73E6">
        <w:rPr>
          <w:bCs/>
          <w:strike/>
          <w:color w:val="0070C0"/>
        </w:rPr>
        <w:t>(</w:t>
      </w:r>
      <w:r w:rsidRPr="000A0AB1">
        <w:rPr>
          <w:bCs/>
        </w:rPr>
        <w:t>standby</w:t>
      </w:r>
      <w:r w:rsidR="006A73E6">
        <w:rPr>
          <w:bCs/>
        </w:rPr>
        <w:t xml:space="preserve"> </w:t>
      </w:r>
      <w:r w:rsidR="006A73E6" w:rsidRPr="006A73E6">
        <w:rPr>
          <w:b/>
          <w:color w:val="0070C0"/>
        </w:rPr>
        <w:t>mode</w:t>
      </w:r>
      <w:r w:rsidR="006A73E6">
        <w:rPr>
          <w:b/>
          <w:color w:val="0070C0"/>
        </w:rPr>
        <w:t>,</w:t>
      </w:r>
      <w:r w:rsidRPr="006A73E6">
        <w:rPr>
          <w:bCs/>
          <w:strike/>
          <w:color w:val="0070C0"/>
        </w:rPr>
        <w:t>)</w:t>
      </w:r>
      <w:r w:rsidRPr="000A0AB1">
        <w:rPr>
          <w:bCs/>
        </w:rPr>
        <w:t xml:space="preserve"> the ACSF of Category B1 shall aim to cent</w:t>
      </w:r>
      <w:r w:rsidR="000A0AB1">
        <w:rPr>
          <w:bCs/>
        </w:rPr>
        <w:t>r</w:t>
      </w:r>
      <w:r w:rsidRPr="000A0AB1">
        <w:rPr>
          <w:bCs/>
        </w:rPr>
        <w:t>e the vehicle in the lane</w:t>
      </w:r>
      <w:r w:rsidRPr="000A0AB1">
        <w:rPr>
          <w:b/>
          <w:bCs/>
        </w:rPr>
        <w:t>, unless a different position in lane is deemed reasonable due to the situation or resulting from driver input (e.g. when another vehicle is driving close beside)</w:t>
      </w:r>
      <w:r w:rsidRPr="000A0AB1">
        <w:rPr>
          <w:bCs/>
        </w:rPr>
        <w:t>.</w:t>
      </w:r>
    </w:p>
    <w:p w14:paraId="3D1DAD40" w14:textId="06DD967A" w:rsidR="00EB14EB" w:rsidRPr="000A0AB1" w:rsidRDefault="00EB14EB" w:rsidP="00EB14EB">
      <w:pPr>
        <w:spacing w:after="120"/>
        <w:ind w:left="2268" w:right="1134"/>
        <w:jc w:val="both"/>
      </w:pPr>
      <w:r w:rsidRPr="000A0AB1">
        <w:rPr>
          <w:bCs/>
        </w:rPr>
        <w:t xml:space="preserve">This shall be demonstrated </w:t>
      </w:r>
      <w:r w:rsidRPr="000A0AB1">
        <w:rPr>
          <w:b/>
          <w:bCs/>
        </w:rPr>
        <w:t xml:space="preserve">by the vehicle manufacturer </w:t>
      </w:r>
      <w:r w:rsidRPr="000A0AB1">
        <w:rPr>
          <w:bCs/>
        </w:rPr>
        <w:t>to the Technical Service during type approval.</w:t>
      </w:r>
    </w:p>
    <w:p w14:paraId="38685425" w14:textId="6023165C" w:rsidR="00A319B6" w:rsidRPr="000A0AB1" w:rsidRDefault="00A319B6" w:rsidP="00A319B6">
      <w:pPr>
        <w:spacing w:after="120"/>
        <w:ind w:left="1134" w:right="1134"/>
        <w:jc w:val="both"/>
      </w:pPr>
      <w:r w:rsidRPr="000A0AB1">
        <w:rPr>
          <w:i/>
        </w:rPr>
        <w:t xml:space="preserve">Paragraph 5.6.4.2.3., </w:t>
      </w:r>
      <w:r w:rsidRPr="000A0AB1">
        <w:t>amend to read</w:t>
      </w:r>
      <w:r w:rsidR="0056516A" w:rsidRPr="000A0AB1">
        <w:t>:</w:t>
      </w:r>
    </w:p>
    <w:p w14:paraId="1C981878" w14:textId="77777777" w:rsidR="008F0945" w:rsidRPr="006A73E6" w:rsidRDefault="00A319B6" w:rsidP="008F0945">
      <w:pPr>
        <w:spacing w:after="120"/>
        <w:ind w:left="2268" w:right="1134" w:hanging="1134"/>
        <w:jc w:val="both"/>
        <w:rPr>
          <w:color w:val="0070C0"/>
          <w:lang w:val="en-US" w:eastAsia="ja-JP"/>
        </w:rPr>
      </w:pPr>
      <w:r w:rsidRPr="000A0AB1">
        <w:t>5.6.4.2.3.</w:t>
      </w:r>
      <w:r w:rsidRPr="000A0AB1">
        <w:rPr>
          <w:lang w:eastAsia="ja-JP"/>
        </w:rPr>
        <w:tab/>
      </w:r>
      <w:r w:rsidR="008F0945" w:rsidRPr="006A73E6">
        <w:rPr>
          <w:color w:val="0070C0"/>
          <w:lang w:val="en-US" w:eastAsia="ja-JP"/>
        </w:rPr>
        <w:t>The system shall …</w:t>
      </w:r>
    </w:p>
    <w:p w14:paraId="13CAB5EF" w14:textId="2DF1D608" w:rsidR="008F0945" w:rsidRPr="006A73E6" w:rsidRDefault="008F0945" w:rsidP="008F0945">
      <w:pPr>
        <w:spacing w:after="120"/>
        <w:ind w:left="2268" w:right="1134"/>
        <w:jc w:val="both"/>
        <w:rPr>
          <w:color w:val="0070C0"/>
          <w:lang w:eastAsia="ja-JP"/>
        </w:rPr>
      </w:pPr>
      <w:r w:rsidRPr="006A73E6">
        <w:rPr>
          <w:color w:val="0070C0"/>
          <w:lang w:val="en-US" w:eastAsia="ja-JP"/>
        </w:rPr>
        <w:t xml:space="preserve">… These conditions shall be ensured </w:t>
      </w:r>
      <w:proofErr w:type="gramStart"/>
      <w:r w:rsidRPr="006A73E6">
        <w:rPr>
          <w:color w:val="0070C0"/>
          <w:lang w:val="en-US" w:eastAsia="ja-JP"/>
        </w:rPr>
        <w:t>by the use of</w:t>
      </w:r>
      <w:proofErr w:type="gramEnd"/>
      <w:r w:rsidRPr="006A73E6">
        <w:rPr>
          <w:color w:val="0070C0"/>
          <w:lang w:val="en-US" w:eastAsia="ja-JP"/>
        </w:rPr>
        <w:t xml:space="preserve"> at least two independent means.</w:t>
      </w:r>
    </w:p>
    <w:p w14:paraId="62F99AEE" w14:textId="1E9D4E1F" w:rsidR="00A319B6" w:rsidRPr="000A0AB1" w:rsidRDefault="00A319B6" w:rsidP="008F0945">
      <w:pPr>
        <w:spacing w:after="120"/>
        <w:ind w:left="2268" w:right="1134"/>
        <w:jc w:val="both"/>
      </w:pPr>
      <w:r w:rsidRPr="000A0AB1">
        <w:t xml:space="preserve"> In the case of a transition from a road type with a classification permitting an ACSF of Category C, to a type of road where an ACSF of Category C is not permitted, the system shall be deactivated automatically (off mode)</w:t>
      </w:r>
      <w:r w:rsidRPr="000A0AB1">
        <w:rPr>
          <w:b/>
        </w:rPr>
        <w:t>,</w:t>
      </w:r>
      <w:r w:rsidRPr="000A0AB1">
        <w:t xml:space="preserve"> </w:t>
      </w:r>
      <w:r w:rsidRPr="000A0AB1">
        <w:rPr>
          <w:b/>
        </w:rPr>
        <w:t>unless a missing second lane in driving direction is the only condition not fulfilled from the above (e.g. a connector between two highways)</w:t>
      </w:r>
      <w:r w:rsidRPr="000A0AB1">
        <w:t>.</w:t>
      </w:r>
    </w:p>
    <w:p w14:paraId="1CB99A31" w14:textId="5FE534F9" w:rsidR="00A319B6" w:rsidRPr="000A0AB1" w:rsidRDefault="00A319B6" w:rsidP="00A319B6">
      <w:pPr>
        <w:spacing w:after="120"/>
        <w:ind w:left="1134" w:right="1134"/>
        <w:jc w:val="both"/>
      </w:pPr>
      <w:r w:rsidRPr="000A0AB1">
        <w:rPr>
          <w:i/>
        </w:rPr>
        <w:t xml:space="preserve">Paragraph 5.6.4.3., </w:t>
      </w:r>
      <w:r w:rsidRPr="000A0AB1">
        <w:t>amend to read</w:t>
      </w:r>
      <w:r w:rsidR="0056516A" w:rsidRPr="000A0AB1">
        <w:t>:</w:t>
      </w:r>
    </w:p>
    <w:p w14:paraId="175D1BB3" w14:textId="6712C0E2" w:rsidR="00A319B6" w:rsidRPr="000A0AB1" w:rsidRDefault="00A319B6" w:rsidP="00A319B6">
      <w:pPr>
        <w:spacing w:after="120"/>
        <w:ind w:left="2268" w:right="1134" w:hanging="1134"/>
        <w:jc w:val="both"/>
        <w:rPr>
          <w:lang w:eastAsia="ja-JP"/>
        </w:rPr>
      </w:pPr>
      <w:r w:rsidRPr="000A0AB1">
        <w:rPr>
          <w:lang w:eastAsia="ja-JP"/>
        </w:rPr>
        <w:t>5.6.4.3.</w:t>
      </w:r>
      <w:r w:rsidRPr="000A0AB1">
        <w:rPr>
          <w:lang w:eastAsia="ja-JP"/>
        </w:rPr>
        <w:tab/>
        <w:t>Overriding</w:t>
      </w:r>
    </w:p>
    <w:p w14:paraId="69FC69F5" w14:textId="77777777" w:rsidR="00A319B6" w:rsidRPr="000A0AB1" w:rsidRDefault="00A319B6" w:rsidP="00A319B6">
      <w:pPr>
        <w:spacing w:after="120"/>
        <w:ind w:left="2268" w:right="1134" w:hanging="1134"/>
        <w:jc w:val="both"/>
        <w:rPr>
          <w:lang w:eastAsia="ja-JP"/>
        </w:rPr>
      </w:pPr>
      <w:r w:rsidRPr="000A0AB1">
        <w:rPr>
          <w:lang w:eastAsia="ja-JP"/>
        </w:rPr>
        <w:tab/>
        <w:t>A steering input by the driver shall override the steering action of the system. The steering control effort necessary to override the directional control provided by the system shall not exceed 50 N.</w:t>
      </w:r>
    </w:p>
    <w:p w14:paraId="1379C43B" w14:textId="2DAA65F9" w:rsidR="00A319B6" w:rsidRPr="000A0AB1" w:rsidRDefault="00A319B6" w:rsidP="00A319B6">
      <w:pPr>
        <w:spacing w:after="120"/>
        <w:ind w:left="2268" w:right="1134" w:hanging="1134"/>
        <w:jc w:val="both"/>
        <w:rPr>
          <w:lang w:eastAsia="ja-JP"/>
        </w:rPr>
      </w:pPr>
      <w:r w:rsidRPr="000A0AB1">
        <w:rPr>
          <w:lang w:eastAsia="ja-JP"/>
        </w:rPr>
        <w:tab/>
        <w:t xml:space="preserve">The system may remain </w:t>
      </w:r>
      <w:r w:rsidR="006A73E6" w:rsidRPr="006A73E6">
        <w:rPr>
          <w:b/>
          <w:bCs/>
          <w:color w:val="0070C0"/>
          <w:lang w:eastAsia="ja-JP"/>
        </w:rPr>
        <w:t>active</w:t>
      </w:r>
      <w:r w:rsidR="006A73E6">
        <w:rPr>
          <w:color w:val="0070C0"/>
          <w:lang w:eastAsia="ja-JP"/>
        </w:rPr>
        <w:t xml:space="preserve"> </w:t>
      </w:r>
      <w:r w:rsidRPr="006A73E6">
        <w:rPr>
          <w:strike/>
          <w:color w:val="0070C0"/>
          <w:lang w:eastAsia="ja-JP"/>
        </w:rPr>
        <w:t xml:space="preserve">activated (standby mode) </w:t>
      </w:r>
      <w:r w:rsidRPr="006A73E6">
        <w:rPr>
          <w:b/>
          <w:strike/>
          <w:color w:val="0070C0"/>
          <w:lang w:eastAsia="ja-JP"/>
        </w:rPr>
        <w:t>(active mode)</w:t>
      </w:r>
      <w:r w:rsidRPr="006A73E6">
        <w:rPr>
          <w:color w:val="0070C0"/>
          <w:lang w:eastAsia="ja-JP"/>
        </w:rPr>
        <w:t xml:space="preserve"> </w:t>
      </w:r>
      <w:proofErr w:type="gramStart"/>
      <w:r w:rsidRPr="000A0AB1">
        <w:rPr>
          <w:lang w:eastAsia="ja-JP"/>
        </w:rPr>
        <w:t>provided that</w:t>
      </w:r>
      <w:proofErr w:type="gramEnd"/>
      <w:r w:rsidRPr="000A0AB1">
        <w:rPr>
          <w:lang w:eastAsia="ja-JP"/>
        </w:rPr>
        <w:t xml:space="preserve"> priority is given to the driver during the overriding period.</w:t>
      </w:r>
    </w:p>
    <w:p w14:paraId="6F5656C9" w14:textId="77777777" w:rsidR="00EB14EB" w:rsidRPr="000A0AB1" w:rsidRDefault="00EB14EB" w:rsidP="00EB14EB">
      <w:pPr>
        <w:keepNext/>
        <w:keepLines/>
        <w:spacing w:after="120"/>
        <w:ind w:left="1134" w:right="1134"/>
        <w:jc w:val="both"/>
      </w:pPr>
      <w:r w:rsidRPr="000A0AB1">
        <w:rPr>
          <w:i/>
        </w:rPr>
        <w:t xml:space="preserve">Paragraph 5.6.4.7., </w:t>
      </w:r>
      <w:r w:rsidRPr="000A0AB1">
        <w:t>amend to read:</w:t>
      </w:r>
    </w:p>
    <w:p w14:paraId="5E4C5F05" w14:textId="70D49E52" w:rsidR="00EB14EB" w:rsidRPr="000A0AB1" w:rsidRDefault="00EB14EB" w:rsidP="00EB14EB">
      <w:pPr>
        <w:spacing w:after="120"/>
        <w:ind w:left="2268" w:right="1134" w:hanging="1134"/>
        <w:jc w:val="both"/>
      </w:pPr>
      <w:bookmarkStart w:id="2" w:name="_Hlk56146146"/>
      <w:r w:rsidRPr="000A0AB1">
        <w:t>5.6.4.7.</w:t>
      </w:r>
      <w:r w:rsidRPr="000A0AB1">
        <w:tab/>
        <w:t>Critical situation</w:t>
      </w:r>
    </w:p>
    <w:bookmarkEnd w:id="2"/>
    <w:p w14:paraId="32E6225A" w14:textId="77777777" w:rsidR="00EB14EB" w:rsidRPr="000A0AB1" w:rsidRDefault="00EB14EB" w:rsidP="00EB14EB">
      <w:pPr>
        <w:spacing w:after="120"/>
        <w:ind w:left="2268" w:right="1134" w:hanging="1134"/>
        <w:jc w:val="both"/>
        <w:rPr>
          <w:lang w:eastAsia="ja-JP"/>
        </w:rPr>
      </w:pPr>
      <w:r w:rsidRPr="000A0AB1">
        <w:rPr>
          <w:lang w:eastAsia="ja-JP"/>
        </w:rPr>
        <w:tab/>
        <w:t>A situation is deemed to be critical when, at the time a lane change manoeuvre starts, an approaching vehicle in the target lane would have to decelerate at a higher level than 3m/s², 0.4 seconds after the lane change manoeuvre has started, to ensure the distance between the two vehicles is never less than that which the lane change vehicle travels in 1 second.</w:t>
      </w:r>
    </w:p>
    <w:p w14:paraId="41C0A0E0" w14:textId="77777777" w:rsidR="00EB14EB" w:rsidRPr="000A0AB1" w:rsidRDefault="00EB14EB" w:rsidP="00EB14EB">
      <w:pPr>
        <w:spacing w:after="120"/>
        <w:ind w:left="2268" w:right="1134" w:hanging="1134"/>
        <w:jc w:val="both"/>
        <w:rPr>
          <w:lang w:eastAsia="ja-JP"/>
        </w:rPr>
      </w:pPr>
      <w:r w:rsidRPr="000A0AB1">
        <w:rPr>
          <w:lang w:eastAsia="ja-JP"/>
        </w:rPr>
        <w:tab/>
        <w:t>The resulting critical distance at the start of the lane change manoeuvre shall be calculated using the following formula:</w:t>
      </w:r>
    </w:p>
    <w:p w14:paraId="15E88479" w14:textId="77777777" w:rsidR="00EB14EB" w:rsidRPr="000A0AB1" w:rsidRDefault="00EB14EB" w:rsidP="00EB14EB">
      <w:pPr>
        <w:tabs>
          <w:tab w:val="left" w:pos="2268"/>
        </w:tabs>
        <w:spacing w:after="120"/>
        <w:ind w:left="2268" w:right="1134"/>
        <w:jc w:val="center"/>
        <w:rPr>
          <w:lang w:eastAsia="ja-JP"/>
        </w:rPr>
      </w:pPr>
      <w:proofErr w:type="spellStart"/>
      <w:r w:rsidRPr="000A0AB1">
        <w:t>S</w:t>
      </w:r>
      <w:r w:rsidRPr="000A0AB1">
        <w:rPr>
          <w:i/>
          <w:vertAlign w:val="subscript"/>
        </w:rPr>
        <w:t>critical</w:t>
      </w:r>
      <w:proofErr w:type="spellEnd"/>
      <w:r w:rsidRPr="000A0AB1">
        <w:rPr>
          <w:i/>
        </w:rPr>
        <w:t xml:space="preserve"> = (</w:t>
      </w:r>
      <w:proofErr w:type="spellStart"/>
      <w:r w:rsidRPr="000A0AB1">
        <w:rPr>
          <w:i/>
        </w:rPr>
        <w:t>v</w:t>
      </w:r>
      <w:r w:rsidRPr="000A0AB1">
        <w:rPr>
          <w:i/>
          <w:vertAlign w:val="subscript"/>
        </w:rPr>
        <w:t>rear</w:t>
      </w:r>
      <w:proofErr w:type="spellEnd"/>
      <w:r w:rsidRPr="000A0AB1">
        <w:rPr>
          <w:i/>
        </w:rPr>
        <w:t xml:space="preserve"> - </w:t>
      </w:r>
      <w:proofErr w:type="spellStart"/>
      <w:r w:rsidRPr="000A0AB1">
        <w:rPr>
          <w:i/>
        </w:rPr>
        <w:t>v</w:t>
      </w:r>
      <w:r w:rsidRPr="000A0AB1">
        <w:rPr>
          <w:i/>
          <w:vertAlign w:val="subscript"/>
        </w:rPr>
        <w:t>ACSF</w:t>
      </w:r>
      <w:proofErr w:type="spellEnd"/>
      <w:r w:rsidRPr="000A0AB1">
        <w:rPr>
          <w:i/>
        </w:rPr>
        <w:t xml:space="preserve">) * </w:t>
      </w:r>
      <w:proofErr w:type="spellStart"/>
      <w:r w:rsidRPr="000A0AB1">
        <w:rPr>
          <w:i/>
        </w:rPr>
        <w:t>t</w:t>
      </w:r>
      <w:r w:rsidRPr="000A0AB1">
        <w:rPr>
          <w:i/>
          <w:vertAlign w:val="subscript"/>
        </w:rPr>
        <w:t>B</w:t>
      </w:r>
      <w:proofErr w:type="spellEnd"/>
      <w:r w:rsidRPr="000A0AB1">
        <w:rPr>
          <w:i/>
        </w:rPr>
        <w:t xml:space="preserve"> + (</w:t>
      </w:r>
      <w:proofErr w:type="spellStart"/>
      <w:r w:rsidRPr="000A0AB1">
        <w:rPr>
          <w:i/>
        </w:rPr>
        <w:t>v</w:t>
      </w:r>
      <w:r w:rsidRPr="000A0AB1">
        <w:rPr>
          <w:i/>
          <w:vertAlign w:val="subscript"/>
        </w:rPr>
        <w:t>rear</w:t>
      </w:r>
      <w:proofErr w:type="spellEnd"/>
      <w:r w:rsidRPr="000A0AB1">
        <w:rPr>
          <w:i/>
        </w:rPr>
        <w:t xml:space="preserve"> - </w:t>
      </w:r>
      <w:proofErr w:type="spellStart"/>
      <w:r w:rsidRPr="000A0AB1">
        <w:rPr>
          <w:i/>
        </w:rPr>
        <w:t>v</w:t>
      </w:r>
      <w:r w:rsidRPr="000A0AB1">
        <w:rPr>
          <w:i/>
          <w:vertAlign w:val="subscript"/>
        </w:rPr>
        <w:t>ACSF</w:t>
      </w:r>
      <w:proofErr w:type="spellEnd"/>
      <w:r w:rsidRPr="000A0AB1">
        <w:rPr>
          <w:i/>
        </w:rPr>
        <w:t>)</w:t>
      </w:r>
      <w:r w:rsidRPr="000A0AB1">
        <w:rPr>
          <w:i/>
          <w:vertAlign w:val="superscript"/>
        </w:rPr>
        <w:t>2</w:t>
      </w:r>
      <w:r w:rsidRPr="000A0AB1">
        <w:rPr>
          <w:i/>
        </w:rPr>
        <w:t xml:space="preserve"> / (2 * a) + </w:t>
      </w:r>
      <w:proofErr w:type="spellStart"/>
      <w:r w:rsidRPr="000A0AB1">
        <w:rPr>
          <w:i/>
        </w:rPr>
        <w:t>v</w:t>
      </w:r>
      <w:r w:rsidRPr="000A0AB1">
        <w:rPr>
          <w:i/>
          <w:vertAlign w:val="subscript"/>
        </w:rPr>
        <w:t>ACSF</w:t>
      </w:r>
      <w:proofErr w:type="spellEnd"/>
      <w:r w:rsidRPr="000A0AB1">
        <w:rPr>
          <w:i/>
        </w:rPr>
        <w:t xml:space="preserve"> * </w:t>
      </w:r>
      <w:proofErr w:type="spellStart"/>
      <w:r w:rsidRPr="000A0AB1">
        <w:rPr>
          <w:i/>
        </w:rPr>
        <w:t>t</w:t>
      </w:r>
      <w:r w:rsidRPr="000A0AB1">
        <w:rPr>
          <w:i/>
          <w:vertAlign w:val="subscript"/>
        </w:rPr>
        <w:t>G</w:t>
      </w:r>
      <w:proofErr w:type="spellEnd"/>
    </w:p>
    <w:p w14:paraId="142EDA4B" w14:textId="77777777" w:rsidR="00EB14EB" w:rsidRPr="000A0AB1" w:rsidRDefault="00EB14EB" w:rsidP="00EB14EB">
      <w:pPr>
        <w:spacing w:after="120"/>
        <w:ind w:left="2268" w:right="1134" w:hanging="1134"/>
        <w:jc w:val="both"/>
        <w:rPr>
          <w:lang w:eastAsia="ja-JP"/>
        </w:rPr>
      </w:pPr>
      <w:r w:rsidRPr="000A0AB1">
        <w:rPr>
          <w:lang w:eastAsia="ja-JP"/>
        </w:rPr>
        <w:tab/>
        <w:t>Where:</w:t>
      </w:r>
    </w:p>
    <w:p w14:paraId="64793BE5" w14:textId="77777777" w:rsidR="00EB14EB" w:rsidRPr="000A0AB1" w:rsidRDefault="00EB14EB" w:rsidP="00EB14EB">
      <w:pPr>
        <w:tabs>
          <w:tab w:val="left" w:pos="2835"/>
        </w:tabs>
        <w:spacing w:after="120"/>
        <w:ind w:left="3402" w:right="1134" w:hanging="1134"/>
        <w:jc w:val="both"/>
        <w:rPr>
          <w:lang w:eastAsia="ja-JP"/>
        </w:rPr>
      </w:pPr>
      <w:proofErr w:type="spellStart"/>
      <w:r w:rsidRPr="000A0AB1">
        <w:rPr>
          <w:lang w:eastAsia="ja-JP"/>
        </w:rPr>
        <w:lastRenderedPageBreak/>
        <w:t>v</w:t>
      </w:r>
      <w:r w:rsidRPr="000A0AB1">
        <w:rPr>
          <w:vertAlign w:val="subscript"/>
          <w:lang w:eastAsia="ja-JP"/>
        </w:rPr>
        <w:t>rear</w:t>
      </w:r>
      <w:proofErr w:type="spellEnd"/>
      <w:r w:rsidRPr="000A0AB1">
        <w:rPr>
          <w:lang w:eastAsia="ja-JP"/>
        </w:rPr>
        <w:tab/>
        <w:t>is</w:t>
      </w:r>
      <w:r w:rsidRPr="000A0AB1">
        <w:rPr>
          <w:lang w:eastAsia="ja-JP"/>
        </w:rPr>
        <w:tab/>
      </w:r>
      <w:proofErr w:type="gramStart"/>
      <w:r w:rsidRPr="000A0AB1">
        <w:rPr>
          <w:lang w:eastAsia="ja-JP"/>
        </w:rPr>
        <w:t>The</w:t>
      </w:r>
      <w:proofErr w:type="gramEnd"/>
      <w:r w:rsidRPr="000A0AB1">
        <w:rPr>
          <w:lang w:eastAsia="ja-JP"/>
        </w:rPr>
        <w:t xml:space="preserve"> actual speed of the approaching vehicle or 130 km/h whatever value is lower</w:t>
      </w:r>
    </w:p>
    <w:p w14:paraId="19FBB96E" w14:textId="77777777" w:rsidR="00EB14EB" w:rsidRPr="000A0AB1" w:rsidRDefault="00EB14EB" w:rsidP="00EB14EB">
      <w:pPr>
        <w:tabs>
          <w:tab w:val="left" w:pos="2835"/>
        </w:tabs>
        <w:spacing w:after="120"/>
        <w:ind w:left="3402" w:right="1134" w:hanging="1134"/>
        <w:jc w:val="both"/>
        <w:rPr>
          <w:lang w:eastAsia="ja-JP"/>
        </w:rPr>
      </w:pPr>
      <w:proofErr w:type="spellStart"/>
      <w:r w:rsidRPr="000A0AB1">
        <w:rPr>
          <w:lang w:eastAsia="ja-JP"/>
        </w:rPr>
        <w:t>v</w:t>
      </w:r>
      <w:r w:rsidRPr="000A0AB1">
        <w:rPr>
          <w:vertAlign w:val="subscript"/>
          <w:lang w:eastAsia="ja-JP"/>
        </w:rPr>
        <w:t>ACSF</w:t>
      </w:r>
      <w:proofErr w:type="spellEnd"/>
      <w:r w:rsidRPr="000A0AB1">
        <w:rPr>
          <w:vertAlign w:val="subscript"/>
          <w:lang w:eastAsia="ja-JP"/>
        </w:rPr>
        <w:tab/>
      </w:r>
      <w:r w:rsidRPr="000A0AB1">
        <w:rPr>
          <w:lang w:eastAsia="ja-JP"/>
        </w:rPr>
        <w:t>is</w:t>
      </w:r>
      <w:r w:rsidRPr="000A0AB1">
        <w:rPr>
          <w:lang w:eastAsia="ja-JP"/>
        </w:rPr>
        <w:tab/>
      </w:r>
      <w:proofErr w:type="gramStart"/>
      <w:r w:rsidRPr="000A0AB1">
        <w:rPr>
          <w:lang w:eastAsia="ja-JP"/>
        </w:rPr>
        <w:t>The</w:t>
      </w:r>
      <w:proofErr w:type="gramEnd"/>
      <w:r w:rsidRPr="000A0AB1">
        <w:rPr>
          <w:lang w:eastAsia="ja-JP"/>
        </w:rPr>
        <w:t xml:space="preserve"> actual speed of the ACSF vehicle </w:t>
      </w:r>
    </w:p>
    <w:p w14:paraId="69056063" w14:textId="77777777" w:rsidR="00EB14EB" w:rsidRPr="000A0AB1" w:rsidRDefault="00EB14EB" w:rsidP="00EB14EB">
      <w:pPr>
        <w:tabs>
          <w:tab w:val="left" w:pos="2835"/>
          <w:tab w:val="left" w:pos="3402"/>
        </w:tabs>
        <w:spacing w:after="120"/>
        <w:ind w:left="4253" w:right="1134" w:hanging="1985"/>
        <w:jc w:val="both"/>
        <w:rPr>
          <w:lang w:eastAsia="ja-JP"/>
        </w:rPr>
      </w:pPr>
      <w:r w:rsidRPr="000A0AB1">
        <w:rPr>
          <w:lang w:eastAsia="ja-JP"/>
        </w:rPr>
        <w:t>a</w:t>
      </w:r>
      <w:r w:rsidRPr="000A0AB1">
        <w:rPr>
          <w:lang w:eastAsia="ja-JP"/>
        </w:rPr>
        <w:tab/>
        <w:t>=</w:t>
      </w:r>
      <w:r w:rsidRPr="000A0AB1">
        <w:rPr>
          <w:lang w:eastAsia="ja-JP"/>
        </w:rPr>
        <w:tab/>
        <w:t>3 m/s²</w:t>
      </w:r>
      <w:r w:rsidRPr="000A0AB1">
        <w:rPr>
          <w:lang w:eastAsia="ja-JP"/>
        </w:rPr>
        <w:tab/>
        <w:t>(Deceleration of the approaching vehicle)</w:t>
      </w:r>
    </w:p>
    <w:p w14:paraId="0E4FB559" w14:textId="77777777" w:rsidR="00EB14EB" w:rsidRPr="000A0AB1" w:rsidRDefault="00EB14EB" w:rsidP="00EB14EB">
      <w:pPr>
        <w:tabs>
          <w:tab w:val="left" w:pos="2835"/>
          <w:tab w:val="left" w:pos="3402"/>
        </w:tabs>
        <w:spacing w:after="120"/>
        <w:ind w:left="4253" w:right="1134" w:hanging="1985"/>
        <w:jc w:val="both"/>
        <w:rPr>
          <w:lang w:eastAsia="ja-JP"/>
        </w:rPr>
      </w:pPr>
      <w:proofErr w:type="spellStart"/>
      <w:r w:rsidRPr="000A0AB1">
        <w:rPr>
          <w:lang w:eastAsia="ja-JP"/>
        </w:rPr>
        <w:t>t</w:t>
      </w:r>
      <w:r w:rsidRPr="000A0AB1">
        <w:rPr>
          <w:vertAlign w:val="subscript"/>
          <w:lang w:eastAsia="ja-JP"/>
        </w:rPr>
        <w:t>B</w:t>
      </w:r>
      <w:proofErr w:type="spellEnd"/>
      <w:r w:rsidRPr="000A0AB1">
        <w:rPr>
          <w:vertAlign w:val="subscript"/>
          <w:lang w:eastAsia="ja-JP"/>
        </w:rPr>
        <w:tab/>
      </w:r>
      <w:r w:rsidRPr="000A0AB1">
        <w:rPr>
          <w:lang w:eastAsia="ja-JP"/>
        </w:rPr>
        <w:t>=</w:t>
      </w:r>
      <w:r w:rsidRPr="000A0AB1">
        <w:rPr>
          <w:lang w:eastAsia="ja-JP"/>
        </w:rPr>
        <w:tab/>
        <w:t>0.4 s</w:t>
      </w:r>
      <w:r w:rsidRPr="000A0AB1">
        <w:rPr>
          <w:lang w:eastAsia="ja-JP"/>
        </w:rPr>
        <w:tab/>
        <w:t xml:space="preserve">(Time after the start of the lane change manoeuvre at which the deceleration of the approaching vehicle starts) </w:t>
      </w:r>
    </w:p>
    <w:p w14:paraId="22ECC2B8" w14:textId="77777777" w:rsidR="00EB14EB" w:rsidRPr="000A0AB1" w:rsidRDefault="00EB14EB" w:rsidP="00EB14EB">
      <w:pPr>
        <w:tabs>
          <w:tab w:val="left" w:pos="2835"/>
          <w:tab w:val="left" w:pos="3402"/>
        </w:tabs>
        <w:spacing w:after="120"/>
        <w:ind w:left="4253" w:right="1134" w:hanging="1985"/>
        <w:jc w:val="both"/>
        <w:rPr>
          <w:lang w:eastAsia="ja-JP"/>
        </w:rPr>
      </w:pPr>
      <w:proofErr w:type="spellStart"/>
      <w:r w:rsidRPr="000A0AB1">
        <w:rPr>
          <w:lang w:eastAsia="ja-JP"/>
        </w:rPr>
        <w:t>t</w:t>
      </w:r>
      <w:r w:rsidRPr="000A0AB1">
        <w:rPr>
          <w:vertAlign w:val="subscript"/>
          <w:lang w:eastAsia="ja-JP"/>
        </w:rPr>
        <w:t>G</w:t>
      </w:r>
      <w:proofErr w:type="spellEnd"/>
      <w:r w:rsidRPr="000A0AB1">
        <w:rPr>
          <w:vertAlign w:val="subscript"/>
          <w:lang w:eastAsia="ja-JP"/>
        </w:rPr>
        <w:tab/>
      </w:r>
      <w:r w:rsidRPr="000A0AB1">
        <w:rPr>
          <w:lang w:eastAsia="ja-JP"/>
        </w:rPr>
        <w:t>=</w:t>
      </w:r>
      <w:r w:rsidRPr="000A0AB1">
        <w:rPr>
          <w:lang w:eastAsia="ja-JP"/>
        </w:rPr>
        <w:tab/>
        <w:t>1 s</w:t>
      </w:r>
      <w:r w:rsidRPr="000A0AB1">
        <w:rPr>
          <w:lang w:eastAsia="ja-JP"/>
        </w:rPr>
        <w:tab/>
        <w:t>(Remaining gap of the vehicles after the deceleration of the approaching vehicle).</w:t>
      </w:r>
    </w:p>
    <w:p w14:paraId="172CB6CE" w14:textId="58DFC289" w:rsidR="00F02678" w:rsidRPr="000A0AB1" w:rsidRDefault="00866EE1" w:rsidP="00A56C92">
      <w:pPr>
        <w:spacing w:after="120"/>
        <w:ind w:left="2268" w:right="1134"/>
        <w:jc w:val="both"/>
        <w:rPr>
          <w:bCs/>
          <w:lang w:eastAsia="ja-JP"/>
        </w:rPr>
      </w:pPr>
      <w:bookmarkStart w:id="3" w:name="_Hlk56146122"/>
      <w:r w:rsidRPr="00866EE1">
        <w:rPr>
          <w:b/>
          <w:color w:val="0070C0"/>
          <w:sz w:val="24"/>
          <w:szCs w:val="24"/>
          <w:lang w:eastAsia="ja-JP"/>
        </w:rPr>
        <w:t>[</w:t>
      </w:r>
      <w:r w:rsidR="004A370F" w:rsidRPr="000A0AB1">
        <w:rPr>
          <w:b/>
          <w:lang w:eastAsia="ja-JP"/>
        </w:rPr>
        <w:t xml:space="preserve">A tolerance of </w:t>
      </w:r>
      <w:r w:rsidR="000A0AB1">
        <w:rPr>
          <w:b/>
          <w:lang w:eastAsia="ja-JP"/>
        </w:rPr>
        <w:t>10 per cent</w:t>
      </w:r>
      <w:r w:rsidR="004A370F" w:rsidRPr="000A0AB1">
        <w:rPr>
          <w:b/>
          <w:lang w:eastAsia="ja-JP"/>
        </w:rPr>
        <w:t xml:space="preserve"> </w:t>
      </w:r>
      <w:r w:rsidR="0089344E" w:rsidRPr="000A0AB1">
        <w:rPr>
          <w:b/>
          <w:lang w:eastAsia="ja-JP"/>
        </w:rPr>
        <w:t>may be applied to the critical distance</w:t>
      </w:r>
      <w:r w:rsidR="004A370F" w:rsidRPr="000A0AB1">
        <w:rPr>
          <w:b/>
          <w:lang w:eastAsia="ja-JP"/>
        </w:rPr>
        <w:t>. The application of this tolerance may lead the distance between the two vehicles at the time the lane change manoeuvre starts to be lower than the critical distance resulting from the formula above.</w:t>
      </w:r>
      <w:r w:rsidRPr="00866EE1">
        <w:rPr>
          <w:b/>
          <w:color w:val="0070C0"/>
          <w:sz w:val="24"/>
          <w:szCs w:val="24"/>
          <w:lang w:eastAsia="ja-JP"/>
        </w:rPr>
        <w:t>]</w:t>
      </w:r>
    </w:p>
    <w:bookmarkEnd w:id="3"/>
    <w:p w14:paraId="3B6348FA" w14:textId="77777777" w:rsidR="00F02678" w:rsidRPr="000A0AB1" w:rsidRDefault="00EB14EB" w:rsidP="00EB14EB">
      <w:pPr>
        <w:keepNext/>
        <w:keepLines/>
        <w:spacing w:after="120"/>
        <w:ind w:left="1134" w:right="1134"/>
        <w:jc w:val="both"/>
        <w:rPr>
          <w:i/>
        </w:rPr>
      </w:pPr>
      <w:r w:rsidRPr="000A0AB1">
        <w:rPr>
          <w:i/>
        </w:rPr>
        <w:t xml:space="preserve">Annex 8, </w:t>
      </w:r>
    </w:p>
    <w:p w14:paraId="6936F035" w14:textId="3AADDF7B" w:rsidR="00EB14EB" w:rsidRPr="000A0AB1" w:rsidRDefault="00EB14EB" w:rsidP="00EB14EB">
      <w:pPr>
        <w:keepNext/>
        <w:keepLines/>
        <w:spacing w:after="120"/>
        <w:ind w:left="1134" w:right="1134"/>
        <w:jc w:val="both"/>
      </w:pPr>
      <w:r w:rsidRPr="000A0AB1">
        <w:rPr>
          <w:i/>
        </w:rPr>
        <w:t xml:space="preserve">Paragraph 2., </w:t>
      </w:r>
      <w:r w:rsidRPr="000A0AB1">
        <w:t>amend to read:</w:t>
      </w:r>
    </w:p>
    <w:p w14:paraId="7BAA13D1" w14:textId="3CF68B04" w:rsidR="00EB14EB" w:rsidRPr="000A0AB1" w:rsidRDefault="00EB14EB" w:rsidP="00EB14EB">
      <w:pPr>
        <w:pStyle w:val="para"/>
        <w:rPr>
          <w:lang w:val="en-GB"/>
        </w:rPr>
      </w:pPr>
      <w:r w:rsidRPr="000A0AB1">
        <w:rPr>
          <w:lang w:val="en-GB"/>
        </w:rPr>
        <w:t>2.</w:t>
      </w:r>
      <w:r w:rsidRPr="000A0AB1">
        <w:rPr>
          <w:lang w:val="en-GB"/>
        </w:rPr>
        <w:tab/>
        <w:t>Testing conditions</w:t>
      </w:r>
    </w:p>
    <w:p w14:paraId="46C72EB7" w14:textId="77777777" w:rsidR="00EB14EB" w:rsidRPr="000A0AB1" w:rsidRDefault="00EB14EB" w:rsidP="00EB14EB">
      <w:pPr>
        <w:pStyle w:val="para"/>
        <w:ind w:firstLine="0"/>
        <w:rPr>
          <w:lang w:val="en-GB"/>
        </w:rPr>
      </w:pPr>
      <w:r w:rsidRPr="000A0AB1">
        <w:rPr>
          <w:lang w:val="en-GB"/>
        </w:rPr>
        <w:t xml:space="preserve">The tests shall be performed on a flat, dry asphalt or concrete surface affording good adhesion. The ambient temperature shall be between 0 °C and 45 °C. </w:t>
      </w:r>
    </w:p>
    <w:p w14:paraId="6257EAA2" w14:textId="4C3B8793" w:rsidR="00EB14EB" w:rsidRPr="00137A2B" w:rsidRDefault="00EB14EB" w:rsidP="00EB14EB">
      <w:pPr>
        <w:pStyle w:val="para"/>
        <w:adjustRightInd w:val="0"/>
        <w:ind w:firstLine="0"/>
        <w:rPr>
          <w:bCs/>
          <w:strike/>
          <w:color w:val="0070C0"/>
          <w:lang w:val="en-GB"/>
        </w:rPr>
      </w:pPr>
      <w:r w:rsidRPr="00137A2B">
        <w:rPr>
          <w:b/>
          <w:strike/>
          <w:color w:val="0070C0"/>
          <w:lang w:val="en-GB"/>
        </w:rPr>
        <w:t xml:space="preserve">At the request of the manufacturer and with the agreement of the Technical Service, tests may be performed under deviating conditions, </w:t>
      </w:r>
      <w:r w:rsidRPr="00137A2B">
        <w:rPr>
          <w:b/>
          <w:bCs/>
          <w:strike/>
          <w:color w:val="0070C0"/>
          <w:lang w:val="en-GB"/>
        </w:rPr>
        <w:t>if the correct function of the system under the prescribed test conditions can be assumed</w:t>
      </w:r>
      <w:r w:rsidRPr="00137A2B">
        <w:rPr>
          <w:b/>
          <w:strike/>
          <w:color w:val="0070C0"/>
          <w:lang w:val="en-GB"/>
        </w:rPr>
        <w:t>.</w:t>
      </w:r>
      <w:r w:rsidR="00F02678" w:rsidRPr="00137A2B">
        <w:rPr>
          <w:bCs/>
          <w:strike/>
          <w:color w:val="0070C0"/>
          <w:lang w:val="en-GB"/>
        </w:rPr>
        <w:t>”</w:t>
      </w:r>
    </w:p>
    <w:p w14:paraId="6AC86564" w14:textId="4B4E848B" w:rsidR="00137A2B" w:rsidRPr="00137A2B" w:rsidRDefault="00137A2B" w:rsidP="00137A2B">
      <w:pPr>
        <w:pStyle w:val="para"/>
        <w:adjustRightInd w:val="0"/>
        <w:ind w:firstLine="0"/>
        <w:rPr>
          <w:b/>
          <w:color w:val="0070C0"/>
          <w:lang w:val="en-GB"/>
        </w:rPr>
      </w:pPr>
      <w:r w:rsidRPr="00137A2B">
        <w:rPr>
          <w:b/>
          <w:color w:val="0070C0"/>
          <w:lang w:val="en-GB"/>
        </w:rPr>
        <w:t>At the request of the manufacturer and with the agreement of the Technical Service tests may be conducted under deviating test conditions (suboptimal conditions, e.g. on a not dry surface; below the specified minimum ambient temperature), whilst the performance requirements are still to be met."</w:t>
      </w:r>
    </w:p>
    <w:p w14:paraId="63AB2230" w14:textId="77777777" w:rsidR="00137A2B" w:rsidRPr="000A0AB1" w:rsidRDefault="00137A2B" w:rsidP="00EB14EB">
      <w:pPr>
        <w:pStyle w:val="para"/>
        <w:adjustRightInd w:val="0"/>
        <w:ind w:firstLine="0"/>
        <w:rPr>
          <w:bCs/>
          <w:lang w:val="en-GB"/>
        </w:rPr>
      </w:pPr>
    </w:p>
    <w:p w14:paraId="61D145FB" w14:textId="20BA1BF3" w:rsidR="00EB14EB" w:rsidRPr="000A0AB1" w:rsidRDefault="00EB14EB" w:rsidP="00EB14EB">
      <w:pPr>
        <w:keepNext/>
        <w:keepLines/>
        <w:spacing w:after="120"/>
        <w:ind w:left="1134" w:right="1134"/>
        <w:jc w:val="both"/>
      </w:pPr>
      <w:r w:rsidRPr="000A0AB1">
        <w:rPr>
          <w:i/>
        </w:rPr>
        <w:t xml:space="preserve">Paragraph 3.5.1.2., </w:t>
      </w:r>
      <w:r w:rsidRPr="000A0AB1">
        <w:t>amend to read:</w:t>
      </w:r>
    </w:p>
    <w:p w14:paraId="34769510" w14:textId="593FFC9D" w:rsidR="00EB14EB" w:rsidRPr="000A0AB1" w:rsidRDefault="00EB14EB" w:rsidP="00EB14EB">
      <w:pPr>
        <w:tabs>
          <w:tab w:val="left" w:pos="-1843"/>
        </w:tabs>
        <w:spacing w:after="120"/>
        <w:ind w:left="2268" w:right="1134" w:hanging="1134"/>
        <w:jc w:val="both"/>
      </w:pPr>
      <w:r w:rsidRPr="000A0AB1">
        <w:t>3.5.1.2.</w:t>
      </w:r>
      <w:r w:rsidRPr="000A0AB1">
        <w:tab/>
        <w:t>The requirements of the test are fulfilled if:</w:t>
      </w:r>
    </w:p>
    <w:p w14:paraId="44414959" w14:textId="77777777" w:rsidR="00EB14EB" w:rsidRPr="000A0AB1" w:rsidRDefault="00EB14EB" w:rsidP="00EB14EB">
      <w:pPr>
        <w:tabs>
          <w:tab w:val="left" w:pos="-1843"/>
        </w:tabs>
        <w:spacing w:after="100"/>
        <w:ind w:left="2835" w:right="1134" w:hanging="567"/>
        <w:jc w:val="both"/>
      </w:pPr>
      <w:r w:rsidRPr="000A0AB1">
        <w:t>(a)</w:t>
      </w:r>
      <w:r w:rsidRPr="000A0AB1">
        <w:tab/>
        <w:t>The lateral movement towards the marking does not start earlier than 1 second after the lane change procedure was initiated,</w:t>
      </w:r>
    </w:p>
    <w:p w14:paraId="17A7C090" w14:textId="77777777" w:rsidR="00EB14EB" w:rsidRPr="000A0AB1" w:rsidRDefault="00EB14EB" w:rsidP="00EB14EB">
      <w:pPr>
        <w:tabs>
          <w:tab w:val="left" w:pos="-1843"/>
        </w:tabs>
        <w:spacing w:after="100"/>
        <w:ind w:left="2835" w:right="1134" w:hanging="567"/>
        <w:jc w:val="both"/>
      </w:pPr>
      <w:r w:rsidRPr="000A0AB1">
        <w:rPr>
          <w:bCs/>
        </w:rPr>
        <w:t>(b)</w:t>
      </w:r>
      <w:r w:rsidRPr="000A0AB1">
        <w:rPr>
          <w:bCs/>
        </w:rPr>
        <w:tab/>
        <w:t>The lateral movement to approach the lane marking and the lateral movement necessary to complete the lane change manoeuvre are completed as one continuous movement,</w:t>
      </w:r>
    </w:p>
    <w:p w14:paraId="19931700" w14:textId="77777777" w:rsidR="00EB14EB" w:rsidRPr="000A0AB1" w:rsidRDefault="00EB14EB" w:rsidP="00EB14EB">
      <w:pPr>
        <w:tabs>
          <w:tab w:val="left" w:pos="-1843"/>
        </w:tabs>
        <w:spacing w:after="100"/>
        <w:ind w:left="2835" w:right="1134" w:hanging="567"/>
        <w:jc w:val="both"/>
      </w:pPr>
      <w:r w:rsidRPr="000A0AB1">
        <w:tab/>
        <w:t>[…]</w:t>
      </w:r>
    </w:p>
    <w:p w14:paraId="7A8F87B6" w14:textId="2197830E" w:rsidR="00EB14EB" w:rsidRPr="000A0AB1" w:rsidRDefault="00EB14EB" w:rsidP="00A56C92">
      <w:pPr>
        <w:tabs>
          <w:tab w:val="left" w:pos="-1843"/>
        </w:tabs>
        <w:spacing w:after="100"/>
        <w:ind w:left="2835" w:right="1134" w:hanging="567"/>
        <w:jc w:val="both"/>
      </w:pPr>
      <w:r w:rsidRPr="000A0AB1">
        <w:t>(j)</w:t>
      </w:r>
      <w:r w:rsidRPr="000A0AB1">
        <w:tab/>
        <w:t>The direction indicator is deactivated not before the end of the lane change manoeuvre and no later than 0.5 seconds after ACSF of Category B1 has resumed</w:t>
      </w:r>
      <w:r w:rsidRPr="000A0AB1">
        <w:rPr>
          <w:rFonts w:eastAsia="Calibri"/>
        </w:rPr>
        <w:t xml:space="preserve">, in case the lateral movement is initiated automatically </w:t>
      </w:r>
      <w:r w:rsidRPr="000A0AB1">
        <w:rPr>
          <w:rFonts w:asciiTheme="majorBidi" w:hAnsiTheme="majorBidi" w:cstheme="majorBidi"/>
          <w:b/>
          <w:bCs/>
        </w:rPr>
        <w:t>and the direction indicator control was not fully engaged (latched position) during the lane change manoeuvre</w:t>
      </w:r>
      <w:r w:rsidRPr="000A0AB1">
        <w:t>.</w:t>
      </w:r>
    </w:p>
    <w:p w14:paraId="01356B25" w14:textId="04BB6FE5" w:rsidR="00A319B6" w:rsidRPr="000A0AB1" w:rsidRDefault="00A319B6" w:rsidP="00A319B6">
      <w:pPr>
        <w:pStyle w:val="HChG"/>
      </w:pPr>
      <w:r w:rsidRPr="000A0AB1">
        <w:lastRenderedPageBreak/>
        <w:tab/>
        <w:t>II.</w:t>
      </w:r>
      <w:r w:rsidRPr="000A0AB1">
        <w:tab/>
        <w:t>Justification</w:t>
      </w:r>
    </w:p>
    <w:p w14:paraId="33A2FCE3" w14:textId="066CDD33" w:rsidR="00A319B6" w:rsidRPr="000A0AB1" w:rsidRDefault="00A319B6" w:rsidP="00A319B6">
      <w:pPr>
        <w:pStyle w:val="H1G"/>
      </w:pPr>
      <w:r w:rsidRPr="000A0AB1">
        <w:tab/>
        <w:t>A.</w:t>
      </w:r>
      <w:r w:rsidRPr="000A0AB1">
        <w:tab/>
      </w:r>
      <w:r w:rsidR="00627569" w:rsidRPr="000A0AB1">
        <w:t xml:space="preserve">Lane </w:t>
      </w:r>
      <w:proofErr w:type="spellStart"/>
      <w:r w:rsidR="00627569" w:rsidRPr="000A0AB1">
        <w:t>centering</w:t>
      </w:r>
      <w:proofErr w:type="spellEnd"/>
      <w:r w:rsidR="00627569" w:rsidRPr="000A0AB1">
        <w:t xml:space="preserve"> (p</w:t>
      </w:r>
      <w:r w:rsidRPr="000A0AB1">
        <w:t>aragraph 5.6.4.1.2.</w:t>
      </w:r>
      <w:r w:rsidR="00627569" w:rsidRPr="000A0AB1">
        <w:t>)</w:t>
      </w:r>
    </w:p>
    <w:p w14:paraId="7FBB93E3" w14:textId="1B2F72A0" w:rsidR="00A319B6" w:rsidRPr="000A0AB1" w:rsidRDefault="00A319B6" w:rsidP="00A319B6">
      <w:pPr>
        <w:pStyle w:val="SingleTxtG"/>
      </w:pPr>
      <w:r w:rsidRPr="000A0AB1">
        <w:t>1.</w:t>
      </w:r>
      <w:r w:rsidRPr="000A0AB1">
        <w:tab/>
        <w:t>The suggested change aims to align with the principle agreed for A</w:t>
      </w:r>
      <w:r w:rsidR="004B5511" w:rsidRPr="000A0AB1">
        <w:t xml:space="preserve">utomated </w:t>
      </w:r>
      <w:r w:rsidRPr="000A0AB1">
        <w:t>L</w:t>
      </w:r>
      <w:r w:rsidR="004B5511" w:rsidRPr="000A0AB1">
        <w:t xml:space="preserve">ane Keeping </w:t>
      </w:r>
      <w:r w:rsidRPr="000A0AB1">
        <w:t>S</w:t>
      </w:r>
      <w:r w:rsidR="004B5511" w:rsidRPr="000A0AB1">
        <w:t>ystems (ALKS)</w:t>
      </w:r>
      <w:r w:rsidRPr="000A0AB1">
        <w:t xml:space="preserve">, where the aim of this provision is to achieve stable vehicle behaviour and not necessarily that vehicle </w:t>
      </w:r>
      <w:proofErr w:type="gramStart"/>
      <w:r w:rsidRPr="000A0AB1">
        <w:t xml:space="preserve">is </w:t>
      </w:r>
      <w:proofErr w:type="spellStart"/>
      <w:r w:rsidRPr="000A0AB1">
        <w:t>centered</w:t>
      </w:r>
      <w:proofErr w:type="spellEnd"/>
      <w:r w:rsidRPr="000A0AB1">
        <w:t xml:space="preserve"> in the lane at all times</w:t>
      </w:r>
      <w:proofErr w:type="gramEnd"/>
      <w:r w:rsidRPr="000A0AB1">
        <w:t xml:space="preserve">. When the driver adapts the position to a vehicle driving close by in an adjacent lane or drives with an offset to avoid lane ruts, </w:t>
      </w:r>
      <w:proofErr w:type="spellStart"/>
      <w:r w:rsidRPr="000A0AB1">
        <w:t>centering</w:t>
      </w:r>
      <w:proofErr w:type="spellEnd"/>
      <w:r w:rsidRPr="000A0AB1">
        <w:t xml:space="preserve"> the vehicle in lane would not be the appropriate </w:t>
      </w:r>
      <w:r w:rsidR="004B5511" w:rsidRPr="000A0AB1">
        <w:t xml:space="preserve">ACSF of Category </w:t>
      </w:r>
      <w:r w:rsidRPr="000A0AB1">
        <w:t xml:space="preserve">B1 control strategy. </w:t>
      </w:r>
    </w:p>
    <w:p w14:paraId="5A255603" w14:textId="45F4B6AA" w:rsidR="00A319B6" w:rsidRPr="000A0AB1" w:rsidRDefault="00A319B6" w:rsidP="00A319B6">
      <w:pPr>
        <w:pStyle w:val="H1G"/>
      </w:pPr>
      <w:r w:rsidRPr="000A0AB1">
        <w:tab/>
        <w:t>B.</w:t>
      </w:r>
      <w:r w:rsidRPr="000A0AB1">
        <w:tab/>
        <w:t xml:space="preserve">Activation </w:t>
      </w:r>
      <w:r w:rsidR="00627569" w:rsidRPr="000A0AB1">
        <w:t>c</w:t>
      </w:r>
      <w:r w:rsidRPr="000A0AB1">
        <w:t>onditions</w:t>
      </w:r>
      <w:r w:rsidR="00627569" w:rsidRPr="000A0AB1">
        <w:t xml:space="preserve"> (paragraph 5.6.4.2.3.)</w:t>
      </w:r>
    </w:p>
    <w:p w14:paraId="3A5D371F" w14:textId="7FD793A4" w:rsidR="00A319B6" w:rsidRPr="000A0AB1" w:rsidRDefault="00261F75" w:rsidP="00A319B6">
      <w:pPr>
        <w:pStyle w:val="SingleTxtG"/>
      </w:pPr>
      <w:r w:rsidRPr="000A0AB1">
        <w:t>2</w:t>
      </w:r>
      <w:r w:rsidR="00A319B6" w:rsidRPr="000A0AB1">
        <w:t>.</w:t>
      </w:r>
      <w:r w:rsidR="00A319B6" w:rsidRPr="000A0AB1">
        <w:tab/>
        <w:t>When changing from one highway to another, where the road e.g. temporarily changes down to one lane, the ACSF of Cat</w:t>
      </w:r>
      <w:r w:rsidR="004B5511" w:rsidRPr="000A0AB1">
        <w:t>egory</w:t>
      </w:r>
      <w:r w:rsidR="00A319B6" w:rsidRPr="000A0AB1">
        <w:t xml:space="preserve"> C should be permitted to remain in stand-by, because having to reactivate </w:t>
      </w:r>
      <w:r w:rsidR="004B5511" w:rsidRPr="000A0AB1">
        <w:t>ACSF of Category</w:t>
      </w:r>
      <w:r w:rsidR="00A319B6" w:rsidRPr="000A0AB1">
        <w:t xml:space="preserve"> while ACSF </w:t>
      </w:r>
      <w:r w:rsidR="004B5511" w:rsidRPr="000A0AB1">
        <w:t xml:space="preserve">of Category </w:t>
      </w:r>
      <w:r w:rsidR="00A319B6" w:rsidRPr="000A0AB1">
        <w:t xml:space="preserve">B1 remains active would </w:t>
      </w:r>
      <w:r w:rsidR="000E0299" w:rsidRPr="000A0AB1">
        <w:t>not be</w:t>
      </w:r>
      <w:r w:rsidR="00A319B6" w:rsidRPr="000A0AB1">
        <w:t xml:space="preserve"> understandable to the driver. </w:t>
      </w:r>
    </w:p>
    <w:p w14:paraId="381F3CF6" w14:textId="77777777" w:rsidR="00A319B6" w:rsidRPr="000A0AB1" w:rsidRDefault="00A319B6" w:rsidP="00A319B6">
      <w:pPr>
        <w:ind w:left="2268"/>
        <w:rPr>
          <w:b/>
          <w:sz w:val="28"/>
        </w:rPr>
      </w:pPr>
      <w:r w:rsidRPr="000A0AB1">
        <w:rPr>
          <w:noProof/>
          <w:lang w:eastAsia="de-DE"/>
        </w:rPr>
        <w:drawing>
          <wp:inline distT="0" distB="0" distL="0" distR="0" wp14:anchorId="2A0C4301" wp14:editId="337341C6">
            <wp:extent cx="2762250" cy="156210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2250" cy="1562100"/>
                    </a:xfrm>
                    <a:prstGeom prst="rect">
                      <a:avLst/>
                    </a:prstGeom>
                  </pic:spPr>
                </pic:pic>
              </a:graphicData>
            </a:graphic>
          </wp:inline>
        </w:drawing>
      </w:r>
    </w:p>
    <w:p w14:paraId="21727F03" w14:textId="308D59B3" w:rsidR="00A319B6" w:rsidRPr="000A0AB1" w:rsidRDefault="00A319B6" w:rsidP="00A319B6">
      <w:pPr>
        <w:pStyle w:val="H1G"/>
      </w:pPr>
      <w:r w:rsidRPr="000A0AB1">
        <w:tab/>
        <w:t>C.</w:t>
      </w:r>
      <w:r w:rsidRPr="000A0AB1">
        <w:tab/>
      </w:r>
      <w:r w:rsidR="00627569" w:rsidRPr="000A0AB1">
        <w:t>Overriding (p</w:t>
      </w:r>
      <w:r w:rsidRPr="000A0AB1">
        <w:t>aragraph 5.6.4.3.</w:t>
      </w:r>
      <w:r w:rsidR="00627569" w:rsidRPr="000A0AB1">
        <w:t>)</w:t>
      </w:r>
      <w:r w:rsidRPr="000A0AB1">
        <w:t xml:space="preserve"> </w:t>
      </w:r>
    </w:p>
    <w:p w14:paraId="27A622FD" w14:textId="626D5AC7" w:rsidR="00261F75" w:rsidRPr="000A0AB1" w:rsidRDefault="00896349" w:rsidP="00261F75">
      <w:pPr>
        <w:pStyle w:val="SingleTxtG"/>
      </w:pPr>
      <w:r w:rsidRPr="000A0AB1">
        <w:t>3</w:t>
      </w:r>
      <w:r w:rsidR="00A319B6" w:rsidRPr="000A0AB1">
        <w:t>.</w:t>
      </w:r>
      <w:r w:rsidR="00A319B6" w:rsidRPr="000A0AB1">
        <w:tab/>
        <w:t xml:space="preserve">The original provision </w:t>
      </w:r>
      <w:r w:rsidR="000E0299" w:rsidRPr="000A0AB1">
        <w:t>contradicts</w:t>
      </w:r>
      <w:r w:rsidR="00A319B6" w:rsidRPr="000A0AB1">
        <w:t xml:space="preserve"> itself, as it refers to the system remaining in standby mode, under the precondition that priority is given to the driver. During </w:t>
      </w:r>
      <w:r w:rsidR="004B5511" w:rsidRPr="000A0AB1">
        <w:t>standby mode</w:t>
      </w:r>
      <w:r w:rsidR="00A319B6" w:rsidRPr="000A0AB1">
        <w:t xml:space="preserve"> the system would not be allowed to provide any support, so there wouldn’t be any need to require priority to the driver. The proposal aims at clarifying that the Lane Change Procedure may remain active, </w:t>
      </w:r>
      <w:proofErr w:type="gramStart"/>
      <w:r w:rsidR="00A319B6" w:rsidRPr="000A0AB1">
        <w:t>provided that</w:t>
      </w:r>
      <w:proofErr w:type="gramEnd"/>
      <w:r w:rsidR="00A319B6" w:rsidRPr="000A0AB1">
        <w:t xml:space="preserve"> priority is given to the driver. </w:t>
      </w:r>
    </w:p>
    <w:p w14:paraId="239F7FF8" w14:textId="0E6A30F8" w:rsidR="00261F75" w:rsidRPr="000A0AB1" w:rsidRDefault="00261F75" w:rsidP="00261F75">
      <w:pPr>
        <w:pStyle w:val="H1G"/>
      </w:pPr>
      <w:r w:rsidRPr="000A0AB1">
        <w:tab/>
        <w:t>D.</w:t>
      </w:r>
      <w:r w:rsidRPr="000A0AB1">
        <w:tab/>
      </w:r>
      <w:r w:rsidRPr="000A0AB1">
        <w:tab/>
        <w:t>Tolerance for the Critical Situation (paragraph 5.6.4.7.)</w:t>
      </w:r>
    </w:p>
    <w:p w14:paraId="1588851F" w14:textId="7D351BDA" w:rsidR="00866EE1" w:rsidRPr="00866EE1" w:rsidRDefault="00866EE1" w:rsidP="00130375">
      <w:pPr>
        <w:pStyle w:val="SingleTxtG"/>
        <w:rPr>
          <w:b/>
          <w:bCs/>
          <w:color w:val="0070C0"/>
        </w:rPr>
      </w:pPr>
      <w:r w:rsidRPr="00866EE1">
        <w:rPr>
          <w:b/>
          <w:bCs/>
          <w:color w:val="0070C0"/>
        </w:rPr>
        <w:t>Industry to improve their arguments and justifications for convincing the authorities about the need for tolerances in this case</w:t>
      </w:r>
      <w:r>
        <w:rPr>
          <w:b/>
          <w:bCs/>
          <w:color w:val="0070C0"/>
        </w:rPr>
        <w:t>.</w:t>
      </w:r>
    </w:p>
    <w:p w14:paraId="38FD1A0C" w14:textId="67893379" w:rsidR="00261F75" w:rsidRPr="000A0AB1" w:rsidRDefault="007B567A" w:rsidP="00130375">
      <w:pPr>
        <w:pStyle w:val="SingleTxtG"/>
      </w:pPr>
      <w:r w:rsidRPr="000A0AB1">
        <w:t>4.</w:t>
      </w:r>
      <w:r w:rsidRPr="000A0AB1">
        <w:tab/>
      </w:r>
      <w:r w:rsidR="00261F75" w:rsidRPr="000A0AB1">
        <w:t xml:space="preserve">The amendment aims to recognized that the distance between the lane change vehicle and a vehicle from the rear is predicted as the lane change vehicle approaches the lane marking. A change in dynamic behaviour (e.g. acceleration, deceleration) of the lane change vehicle or the vehicle approaching from the rear as well as tolerances in speed detection can result in the real distance deviating slightly from the prediction. If a tolerance was permitted, the ACSF </w:t>
      </w:r>
      <w:r w:rsidR="005B4795">
        <w:t xml:space="preserve">of Category </w:t>
      </w:r>
      <w:r w:rsidR="00261F75" w:rsidRPr="000A0AB1">
        <w:t xml:space="preserve">C would not need to leave as large a safety margin in order to ensure to never fall below the minimum value, which would permit finding suitable gaps more easily.   </w:t>
      </w:r>
    </w:p>
    <w:p w14:paraId="60DD06BD" w14:textId="6A789EA9" w:rsidR="00261F75" w:rsidRPr="000A0AB1" w:rsidRDefault="007B567A" w:rsidP="00130375">
      <w:pPr>
        <w:pStyle w:val="SingleTxtG"/>
      </w:pPr>
      <w:r w:rsidRPr="000A0AB1">
        <w:t>5.</w:t>
      </w:r>
      <w:r w:rsidRPr="000A0AB1">
        <w:tab/>
      </w:r>
      <w:r w:rsidR="00261F75" w:rsidRPr="000A0AB1">
        <w:t xml:space="preserve">The following calculations show that the proposed tolerance does not significantly increase the criticality of the scenario. </w:t>
      </w:r>
    </w:p>
    <w:p w14:paraId="1A586C56" w14:textId="4146109B" w:rsidR="00261F75" w:rsidRPr="000A0AB1" w:rsidRDefault="007B567A" w:rsidP="00130375">
      <w:pPr>
        <w:pStyle w:val="SingleTxtG"/>
      </w:pPr>
      <w:r w:rsidRPr="000A0AB1">
        <w:t>(a)</w:t>
      </w:r>
      <w:r w:rsidRPr="000A0AB1">
        <w:tab/>
      </w:r>
      <w:r w:rsidR="00261F75" w:rsidRPr="000A0AB1">
        <w:t xml:space="preserve">Critical Distance [m] according to the formula of par. 5.6.4.7.: </w:t>
      </w:r>
    </w:p>
    <w:p w14:paraId="4D40D364" w14:textId="77777777" w:rsidR="00261F75" w:rsidRPr="000A0AB1" w:rsidRDefault="00261F75" w:rsidP="00261F75">
      <w:pPr>
        <w:spacing w:after="120"/>
        <w:ind w:left="927" w:firstLine="567"/>
      </w:pPr>
      <w:r w:rsidRPr="000A0AB1">
        <w:rPr>
          <w:noProof/>
          <w:lang w:eastAsia="de-DE"/>
        </w:rPr>
        <w:lastRenderedPageBreak/>
        <w:drawing>
          <wp:inline distT="0" distB="0" distL="0" distR="0" wp14:anchorId="0D7A0B29" wp14:editId="1E0AD8B9">
            <wp:extent cx="2409245" cy="125121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6743" cy="1270684"/>
                    </a:xfrm>
                    <a:prstGeom prst="rect">
                      <a:avLst/>
                    </a:prstGeom>
                  </pic:spPr>
                </pic:pic>
              </a:graphicData>
            </a:graphic>
          </wp:inline>
        </w:drawing>
      </w:r>
    </w:p>
    <w:p w14:paraId="090D905D" w14:textId="18F283E5" w:rsidR="00261F75" w:rsidRPr="000A0AB1" w:rsidRDefault="007B567A" w:rsidP="00130375">
      <w:pPr>
        <w:pStyle w:val="SingleTxtG"/>
      </w:pPr>
      <w:r w:rsidRPr="000A0AB1">
        <w:t>(b)</w:t>
      </w:r>
      <w:r w:rsidRPr="000A0AB1">
        <w:tab/>
      </w:r>
      <w:r w:rsidR="00261F75" w:rsidRPr="000A0AB1">
        <w:t>Comparison of the minimum distance [m] resulting from applying 10</w:t>
      </w:r>
      <w:r w:rsidR="003C51FC">
        <w:t xml:space="preserve"> per cent</w:t>
      </w:r>
      <w:r w:rsidR="00261F75" w:rsidRPr="000A0AB1">
        <w:t xml:space="preserve"> tolerance to the critical distance (yellow, left) or permitting 10</w:t>
      </w:r>
      <w:r w:rsidR="005B4795">
        <w:t xml:space="preserve"> per cent</w:t>
      </w:r>
      <w:r w:rsidR="00261F75" w:rsidRPr="000A0AB1">
        <w:t xml:space="preserve"> tolerance to the remaining distance </w:t>
      </w:r>
      <w:proofErr w:type="spellStart"/>
      <w:r w:rsidR="00261F75" w:rsidRPr="000A0AB1">
        <w:t>tg</w:t>
      </w:r>
      <w:proofErr w:type="spellEnd"/>
      <w:r w:rsidR="00261F75" w:rsidRPr="000A0AB1">
        <w:t xml:space="preserve"> (red, right)</w:t>
      </w:r>
    </w:p>
    <w:p w14:paraId="6867EB04" w14:textId="77777777" w:rsidR="00261F75" w:rsidRPr="000A0AB1" w:rsidRDefault="00261F75" w:rsidP="00261F75">
      <w:pPr>
        <w:pStyle w:val="ListParagraph"/>
        <w:ind w:left="1080" w:firstLine="414"/>
      </w:pPr>
      <w:r w:rsidRPr="000A0AB1">
        <w:rPr>
          <w:noProof/>
          <w:lang w:eastAsia="de-DE"/>
        </w:rPr>
        <w:drawing>
          <wp:inline distT="0" distB="0" distL="0" distR="0" wp14:anchorId="2128E6DC" wp14:editId="392D3B7F">
            <wp:extent cx="2337684" cy="1175160"/>
            <wp:effectExtent l="0" t="0" r="571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56147" cy="1184441"/>
                    </a:xfrm>
                    <a:prstGeom prst="rect">
                      <a:avLst/>
                    </a:prstGeom>
                  </pic:spPr>
                </pic:pic>
              </a:graphicData>
            </a:graphic>
          </wp:inline>
        </w:drawing>
      </w:r>
      <w:r w:rsidRPr="000A0AB1">
        <w:t xml:space="preserve">  </w:t>
      </w:r>
      <w:r w:rsidRPr="000A0AB1">
        <w:rPr>
          <w:noProof/>
          <w:lang w:eastAsia="de-DE"/>
        </w:rPr>
        <w:drawing>
          <wp:inline distT="0" distB="0" distL="0" distR="0" wp14:anchorId="17504C1C" wp14:editId="7E8480E5">
            <wp:extent cx="2178658" cy="133426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25712" cy="1363083"/>
                    </a:xfrm>
                    <a:prstGeom prst="rect">
                      <a:avLst/>
                    </a:prstGeom>
                  </pic:spPr>
                </pic:pic>
              </a:graphicData>
            </a:graphic>
          </wp:inline>
        </w:drawing>
      </w:r>
    </w:p>
    <w:p w14:paraId="75AFF13C" w14:textId="77777777" w:rsidR="00261F75" w:rsidRPr="000A0AB1" w:rsidRDefault="00261F75" w:rsidP="00261F75">
      <w:pPr>
        <w:pStyle w:val="ListParagraph"/>
        <w:ind w:left="1080" w:firstLine="414"/>
      </w:pPr>
    </w:p>
    <w:p w14:paraId="79C68381" w14:textId="0FC371AD" w:rsidR="00261F75" w:rsidRPr="000A0AB1" w:rsidRDefault="00130375" w:rsidP="00130375">
      <w:pPr>
        <w:pStyle w:val="SingleTxtG"/>
      </w:pPr>
      <w:r w:rsidRPr="000A0AB1">
        <w:t>(c)</w:t>
      </w:r>
      <w:r w:rsidRPr="000A0AB1">
        <w:tab/>
      </w:r>
      <w:r w:rsidR="00261F75" w:rsidRPr="000A0AB1">
        <w:t>Even if the critical distance is cut short by 10</w:t>
      </w:r>
      <w:r w:rsidR="00A87E60">
        <w:t xml:space="preserve"> per cent</w:t>
      </w:r>
      <w:r w:rsidR="00261F75" w:rsidRPr="000A0AB1">
        <w:t>, the required deceleration [m/s</w:t>
      </w:r>
      <w:r w:rsidR="00261F75" w:rsidRPr="00A87E60">
        <w:rPr>
          <w:vertAlign w:val="superscript"/>
        </w:rPr>
        <w:t>2</w:t>
      </w:r>
      <w:r w:rsidR="00261F75" w:rsidRPr="000A0AB1">
        <w:t>] of an approaching vehicle in order to ensure a remaining distance to 0</w:t>
      </w:r>
      <w:r w:rsidR="00A87E60">
        <w:t>.</w:t>
      </w:r>
      <w:r w:rsidR="00261F75" w:rsidRPr="000A0AB1">
        <w:t xml:space="preserve">9s doesn’t significantly change. </w:t>
      </w:r>
    </w:p>
    <w:p w14:paraId="4FAFDDAE" w14:textId="77777777" w:rsidR="00261F75" w:rsidRPr="000A0AB1" w:rsidRDefault="00261F75" w:rsidP="00261F75">
      <w:pPr>
        <w:pStyle w:val="ListParagraph"/>
        <w:spacing w:after="120"/>
        <w:ind w:left="1494"/>
      </w:pPr>
    </w:p>
    <w:p w14:paraId="28D832C1" w14:textId="77777777" w:rsidR="00261F75" w:rsidRPr="000A0AB1" w:rsidRDefault="00261F75" w:rsidP="00261F75">
      <w:pPr>
        <w:pStyle w:val="ListParagraph"/>
        <w:ind w:left="1080" w:firstLine="414"/>
      </w:pPr>
      <w:r w:rsidRPr="000A0AB1">
        <w:rPr>
          <w:noProof/>
          <w:lang w:eastAsia="de-DE"/>
        </w:rPr>
        <w:drawing>
          <wp:inline distT="0" distB="0" distL="0" distR="0" wp14:anchorId="3C51D045" wp14:editId="29AFC34E">
            <wp:extent cx="2258170" cy="1406161"/>
            <wp:effectExtent l="0" t="0" r="889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3029" cy="1415414"/>
                    </a:xfrm>
                    <a:prstGeom prst="rect">
                      <a:avLst/>
                    </a:prstGeom>
                  </pic:spPr>
                </pic:pic>
              </a:graphicData>
            </a:graphic>
          </wp:inline>
        </w:drawing>
      </w:r>
    </w:p>
    <w:p w14:paraId="091FE817" w14:textId="77777777" w:rsidR="00261F75" w:rsidRPr="000A0AB1" w:rsidRDefault="00261F75" w:rsidP="00261F75">
      <w:pPr>
        <w:pStyle w:val="ListParagraph"/>
        <w:ind w:left="1080" w:firstLine="414"/>
      </w:pPr>
    </w:p>
    <w:p w14:paraId="281762E5" w14:textId="0C414F93" w:rsidR="00261F75" w:rsidRPr="000A0AB1" w:rsidRDefault="00130375" w:rsidP="00130375">
      <w:pPr>
        <w:pStyle w:val="SingleTxtG"/>
      </w:pPr>
      <w:r w:rsidRPr="000A0AB1">
        <w:t>(d)</w:t>
      </w:r>
      <w:r w:rsidRPr="000A0AB1">
        <w:tab/>
      </w:r>
      <w:r w:rsidR="00261F75" w:rsidRPr="000A0AB1">
        <w:t xml:space="preserve">And </w:t>
      </w:r>
      <w:proofErr w:type="gramStart"/>
      <w:r w:rsidR="00261F75" w:rsidRPr="000A0AB1">
        <w:t>at all times</w:t>
      </w:r>
      <w:proofErr w:type="gramEnd"/>
      <w:r w:rsidR="00261F75" w:rsidRPr="000A0AB1">
        <w:t xml:space="preserve">, even if the critical distance is cut short by </w:t>
      </w:r>
      <w:r w:rsidR="009100DE">
        <w:t>10 per cent</w:t>
      </w:r>
      <w:r w:rsidR="00261F75" w:rsidRPr="000A0AB1">
        <w:t>, collision avoidance can be ensure</w:t>
      </w:r>
      <w:r w:rsidR="009100DE">
        <w:t>d</w:t>
      </w:r>
      <w:r w:rsidR="00261F75" w:rsidRPr="000A0AB1">
        <w:t xml:space="preserve"> by very light braking of the approaching vehicle </w:t>
      </w:r>
    </w:p>
    <w:p w14:paraId="28AD47BD" w14:textId="2BEF5205" w:rsidR="00261F75" w:rsidRPr="000A0AB1" w:rsidRDefault="00261F75" w:rsidP="00896349">
      <w:pPr>
        <w:pStyle w:val="ListParagraph"/>
        <w:spacing w:after="120"/>
        <w:ind w:left="1494"/>
      </w:pPr>
      <w:r w:rsidRPr="000A0AB1">
        <w:rPr>
          <w:noProof/>
          <w:lang w:eastAsia="de-DE"/>
        </w:rPr>
        <w:drawing>
          <wp:inline distT="0" distB="0" distL="0" distR="0" wp14:anchorId="56E451D0" wp14:editId="10238789">
            <wp:extent cx="2242267" cy="1359955"/>
            <wp:effectExtent l="19050" t="19050" r="24765" b="1206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80879" cy="1383373"/>
                    </a:xfrm>
                    <a:prstGeom prst="rect">
                      <a:avLst/>
                    </a:prstGeom>
                    <a:ln>
                      <a:solidFill>
                        <a:schemeClr val="tx2"/>
                      </a:solidFill>
                    </a:ln>
                  </pic:spPr>
                </pic:pic>
              </a:graphicData>
            </a:graphic>
          </wp:inline>
        </w:drawing>
      </w:r>
      <w:r w:rsidRPr="000A0AB1">
        <w:t xml:space="preserve">  </w:t>
      </w:r>
    </w:p>
    <w:p w14:paraId="598F3F75" w14:textId="44232F4B" w:rsidR="00BC7C1D" w:rsidRPr="000A0AB1" w:rsidRDefault="00A319B6" w:rsidP="00BC7C1D">
      <w:pPr>
        <w:pStyle w:val="H1G"/>
      </w:pPr>
      <w:r w:rsidRPr="000A0AB1">
        <w:tab/>
      </w:r>
      <w:r w:rsidR="00BC7C1D" w:rsidRPr="000A0AB1">
        <w:t>E.</w:t>
      </w:r>
      <w:r w:rsidR="00BC7C1D" w:rsidRPr="000A0AB1">
        <w:tab/>
        <w:t xml:space="preserve">Other test conditions (Annex 8, </w:t>
      </w:r>
      <w:r w:rsidR="00E72E10">
        <w:t>p</w:t>
      </w:r>
      <w:r w:rsidR="00BC7C1D" w:rsidRPr="000A0AB1">
        <w:t>aragraph 2.)</w:t>
      </w:r>
    </w:p>
    <w:p w14:paraId="6782415F" w14:textId="29FB975D" w:rsidR="00BC7C1D" w:rsidRPr="000A0AB1" w:rsidRDefault="00130375" w:rsidP="00130375">
      <w:pPr>
        <w:pStyle w:val="SingleTxtG"/>
      </w:pPr>
      <w:r w:rsidRPr="000A0AB1">
        <w:t>6.</w:t>
      </w:r>
      <w:r w:rsidRPr="000A0AB1">
        <w:tab/>
      </w:r>
      <w:r w:rsidR="00BC7C1D" w:rsidRPr="000A0AB1">
        <w:t>This amendment aims to carry over the amendment to UN</w:t>
      </w:r>
      <w:r w:rsidR="008E3F5B">
        <w:t xml:space="preserve"> </w:t>
      </w:r>
      <w:r w:rsidR="00BC7C1D" w:rsidRPr="000A0AB1">
        <w:t>R</w:t>
      </w:r>
      <w:r w:rsidR="008E3F5B">
        <w:t xml:space="preserve">egulation No. </w:t>
      </w:r>
      <w:r w:rsidR="00BC7C1D" w:rsidRPr="000A0AB1">
        <w:t>79</w:t>
      </w:r>
      <w:r w:rsidR="008E3F5B">
        <w:t>,</w:t>
      </w:r>
      <w:r w:rsidR="00BC7C1D" w:rsidRPr="000A0AB1">
        <w:t xml:space="preserve"> ACSF</w:t>
      </w:r>
      <w:r w:rsidR="008E3F5B">
        <w:t xml:space="preserve"> of Category</w:t>
      </w:r>
      <w:r w:rsidR="00BC7C1D" w:rsidRPr="000A0AB1">
        <w:t xml:space="preserve"> B1 already adopted </w:t>
      </w:r>
      <w:r w:rsidR="008E3F5B">
        <w:t xml:space="preserve">at the fourth session of </w:t>
      </w:r>
      <w:r w:rsidR="00A87E60">
        <w:t xml:space="preserve">the </w:t>
      </w:r>
      <w:r w:rsidR="00A87E60" w:rsidRPr="00A87E60">
        <w:t>Working Party on Automated/Autonomous and Connected Vehicles</w:t>
      </w:r>
      <w:r w:rsidR="00A87E60">
        <w:t xml:space="preserve"> (</w:t>
      </w:r>
      <w:r w:rsidR="008E3F5B">
        <w:t>GRVA</w:t>
      </w:r>
      <w:r w:rsidR="00A87E60">
        <w:t>)</w:t>
      </w:r>
      <w:r w:rsidR="00BC7C1D" w:rsidRPr="000A0AB1">
        <w:t xml:space="preserve">, which read “At the manufacturer's discretion and with the agreement of the Technical Service, a lane with a </w:t>
      </w:r>
      <w:r w:rsidR="00BC7C1D" w:rsidRPr="000A0AB1">
        <w:lastRenderedPageBreak/>
        <w:t xml:space="preserve">width of less than 3.5 m may be used, if the correct function of the system on roads with wider lanes can be demonstrated.”, to the other test conditions as well. </w:t>
      </w:r>
    </w:p>
    <w:p w14:paraId="0B12B980" w14:textId="1DA34EAD" w:rsidR="00BC7C1D" w:rsidRPr="000A0AB1" w:rsidRDefault="00130375" w:rsidP="00130375">
      <w:pPr>
        <w:pStyle w:val="SingleTxtG"/>
      </w:pPr>
      <w:r w:rsidRPr="000A0AB1">
        <w:t>7.</w:t>
      </w:r>
      <w:r w:rsidRPr="000A0AB1">
        <w:tab/>
      </w:r>
      <w:r w:rsidR="00BC7C1D" w:rsidRPr="000A0AB1">
        <w:t>In order to ensure type approval testing also during the winter months it should be possible to test vehicles also on wet surfaces or at lower temperatures.</w:t>
      </w:r>
    </w:p>
    <w:p w14:paraId="68630AC3" w14:textId="10931F69" w:rsidR="00BC7C1D" w:rsidRPr="000A0AB1" w:rsidRDefault="00BC7C1D" w:rsidP="00BC7C1D">
      <w:pPr>
        <w:pStyle w:val="H1G"/>
      </w:pPr>
      <w:r w:rsidRPr="000A0AB1">
        <w:tab/>
        <w:t>F.</w:t>
      </w:r>
      <w:r w:rsidRPr="000A0AB1">
        <w:tab/>
        <w:t xml:space="preserve">Pass condition </w:t>
      </w:r>
      <w:proofErr w:type="gramStart"/>
      <w:r w:rsidRPr="000A0AB1">
        <w:t>with regard to</w:t>
      </w:r>
      <w:proofErr w:type="gramEnd"/>
      <w:r w:rsidRPr="000A0AB1">
        <w:t xml:space="preserve"> direction indicator deactivation</w:t>
      </w:r>
      <w:r w:rsidRPr="000A0AB1">
        <w:tab/>
        <w:t xml:space="preserve">(Annex 8, </w:t>
      </w:r>
      <w:r w:rsidR="00E72E10">
        <w:t>p</w:t>
      </w:r>
      <w:r w:rsidRPr="000A0AB1">
        <w:t>aragraph 3.5.1.2. (j))</w:t>
      </w:r>
    </w:p>
    <w:p w14:paraId="55A41E18" w14:textId="23549C95" w:rsidR="00A319B6" w:rsidRPr="000A0AB1" w:rsidRDefault="00130375" w:rsidP="00130375">
      <w:pPr>
        <w:pStyle w:val="SingleTxtG"/>
      </w:pPr>
      <w:r w:rsidRPr="000A0AB1">
        <w:t>8.</w:t>
      </w:r>
      <w:r w:rsidRPr="000A0AB1">
        <w:tab/>
      </w:r>
      <w:r w:rsidR="00BC7C1D" w:rsidRPr="000A0AB1">
        <w:t xml:space="preserve">This amendment aims to amend the pass condition with regard to direction indicator deactivation according to the amended provisions on direction indicator deactivation as adopted at </w:t>
      </w:r>
      <w:r w:rsidRPr="000A0AB1">
        <w:t>fifth session of GRVA</w:t>
      </w:r>
      <w:r w:rsidR="00BC7C1D" w:rsidRPr="000A0AB1">
        <w:t xml:space="preserve">, where automatic deactivation is only required when the LCM is initiated automatically and the direction indicator wasn’t fully latched. </w:t>
      </w:r>
    </w:p>
    <w:p w14:paraId="25C052E0" w14:textId="51E00584" w:rsidR="00A319B6" w:rsidRPr="000A0AB1" w:rsidRDefault="00A319B6" w:rsidP="00A319B6">
      <w:pPr>
        <w:spacing w:before="240"/>
        <w:jc w:val="center"/>
        <w:rPr>
          <w:u w:val="single"/>
        </w:rPr>
      </w:pPr>
      <w:r w:rsidRPr="000A0AB1">
        <w:rPr>
          <w:u w:val="single"/>
        </w:rPr>
        <w:tab/>
      </w:r>
      <w:r w:rsidRPr="000A0AB1">
        <w:rPr>
          <w:u w:val="single"/>
        </w:rPr>
        <w:tab/>
      </w:r>
      <w:r w:rsidRPr="000A0AB1">
        <w:rPr>
          <w:u w:val="single"/>
        </w:rPr>
        <w:tab/>
      </w:r>
    </w:p>
    <w:sectPr w:rsidR="00A319B6" w:rsidRPr="000A0AB1" w:rsidSect="0054350C">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964"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2B04D" w14:textId="77777777" w:rsidR="001028DE" w:rsidRDefault="001028DE"/>
  </w:endnote>
  <w:endnote w:type="continuationSeparator" w:id="0">
    <w:p w14:paraId="68E92F9D" w14:textId="77777777" w:rsidR="001028DE" w:rsidRDefault="001028DE"/>
  </w:endnote>
  <w:endnote w:type="continuationNotice" w:id="1">
    <w:p w14:paraId="77F7CCD1" w14:textId="77777777" w:rsidR="001028DE" w:rsidRDefault="00102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625B" w14:textId="63A5384E" w:rsidR="009C62EB" w:rsidRPr="009C62EB" w:rsidRDefault="009C62EB" w:rsidP="009C62EB">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Pr>
        <w:b/>
        <w:sz w:val="18"/>
      </w:rPr>
      <w:t>2</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5E90" w14:textId="791976DE" w:rsidR="00BC2088" w:rsidRPr="009C62EB" w:rsidRDefault="009C62EB" w:rsidP="009C62EB">
    <w:pPr>
      <w:pStyle w:val="Footer"/>
      <w:tabs>
        <w:tab w:val="right" w:pos="9638"/>
      </w:tabs>
      <w:rPr>
        <w:sz w:val="18"/>
      </w:rPr>
    </w:pPr>
    <w:r>
      <w:rPr>
        <w:b/>
        <w:sz w:val="18"/>
      </w:rPr>
      <w:tab/>
    </w:r>
    <w:r w:rsidRPr="00844BB6">
      <w:rPr>
        <w:b/>
        <w:sz w:val="18"/>
      </w:rPr>
      <w:fldChar w:fldCharType="begin"/>
    </w:r>
    <w:r w:rsidRPr="00844BB6">
      <w:rPr>
        <w:b/>
        <w:sz w:val="18"/>
      </w:rPr>
      <w:instrText xml:space="preserve"> PAGE  \* MERGEFORMAT </w:instrText>
    </w:r>
    <w:r w:rsidRPr="00844BB6">
      <w:rPr>
        <w:b/>
        <w:sz w:val="18"/>
      </w:rPr>
      <w:fldChar w:fldCharType="separate"/>
    </w:r>
    <w:r>
      <w:rPr>
        <w:b/>
        <w:sz w:val="18"/>
      </w:rPr>
      <w:t>2</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63BA" w14:textId="5F7C46D3" w:rsidR="00695FD4" w:rsidRDefault="00695FD4">
    <w:pPr>
      <w:pStyle w:val="Footer"/>
      <w:rPr>
        <w:b/>
        <w:bCs/>
        <w:sz w:val="18"/>
        <w:szCs w:val="18"/>
        <w:lang w:val="fr-CH"/>
      </w:rPr>
    </w:pPr>
  </w:p>
  <w:p w14:paraId="3C51F93D" w14:textId="77777777" w:rsidR="00D24600" w:rsidRPr="00695FD4" w:rsidRDefault="00D24600">
    <w:pPr>
      <w:pStyle w:val="Footer"/>
      <w:rPr>
        <w:b/>
        <w:bCs/>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639ED" w14:textId="77777777" w:rsidR="001028DE" w:rsidRPr="000B175B" w:rsidRDefault="001028DE" w:rsidP="000B175B">
      <w:pPr>
        <w:tabs>
          <w:tab w:val="right" w:pos="2155"/>
        </w:tabs>
        <w:spacing w:after="80"/>
        <w:ind w:left="680"/>
        <w:rPr>
          <w:u w:val="single"/>
        </w:rPr>
      </w:pPr>
      <w:r>
        <w:rPr>
          <w:u w:val="single"/>
        </w:rPr>
        <w:tab/>
      </w:r>
    </w:p>
  </w:footnote>
  <w:footnote w:type="continuationSeparator" w:id="0">
    <w:p w14:paraId="5F7DFBE5" w14:textId="77777777" w:rsidR="001028DE" w:rsidRPr="00FC68B7" w:rsidRDefault="001028DE" w:rsidP="00FC68B7">
      <w:pPr>
        <w:tabs>
          <w:tab w:val="left" w:pos="2155"/>
        </w:tabs>
        <w:spacing w:after="80"/>
        <w:ind w:left="680"/>
        <w:rPr>
          <w:u w:val="single"/>
        </w:rPr>
      </w:pPr>
      <w:r>
        <w:rPr>
          <w:u w:val="single"/>
        </w:rPr>
        <w:tab/>
      </w:r>
    </w:p>
  </w:footnote>
  <w:footnote w:type="continuationNotice" w:id="1">
    <w:p w14:paraId="3EB74077" w14:textId="77777777" w:rsidR="001028DE" w:rsidRDefault="00102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A630" w14:textId="681EB1FC" w:rsidR="009E1B16" w:rsidRPr="009E1B16" w:rsidRDefault="009E1B16">
    <w:pPr>
      <w:pStyle w:val="Header"/>
      <w:rPr>
        <w:lang w:val="fr-CH"/>
      </w:rPr>
    </w:pPr>
    <w:r>
      <w:rPr>
        <w:lang w:val="fr-CH"/>
      </w:rPr>
      <w:t>ECE/TRANS/WP.29/GRVA/2021/</w:t>
    </w:r>
    <w:r w:rsidR="00A56C92">
      <w:rPr>
        <w:lang w:val="fr-CH"/>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2ADE2" w14:textId="26A9D26E" w:rsidR="00A56C92" w:rsidRPr="002A0E4B" w:rsidRDefault="00A56C92" w:rsidP="002A0E4B">
    <w:pPr>
      <w:pStyle w:val="Header"/>
      <w:pBdr>
        <w:bottom w:val="single" w:sz="4" w:space="17"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714C" w14:textId="11241F11" w:rsidR="0054350C" w:rsidRDefault="0054350C" w:rsidP="00652F5C">
    <w:pPr>
      <w:pStyle w:val="Header"/>
      <w:pBdr>
        <w:bottom w:val="none" w:sz="0" w:space="0" w:color="auto"/>
      </w:pBdr>
    </w:pPr>
  </w:p>
  <w:tbl>
    <w:tblPr>
      <w:tblW w:w="8930" w:type="dxa"/>
      <w:tblLook w:val="0000" w:firstRow="0" w:lastRow="0" w:firstColumn="0" w:lastColumn="0" w:noHBand="0" w:noVBand="0"/>
    </w:tblPr>
    <w:tblGrid>
      <w:gridCol w:w="4253"/>
      <w:gridCol w:w="4677"/>
    </w:tblGrid>
    <w:tr w:rsidR="0054350C" w:rsidRPr="002A0E4B" w14:paraId="2C5A2285" w14:textId="77777777" w:rsidTr="00DB2C25">
      <w:tc>
        <w:tcPr>
          <w:tcW w:w="4253" w:type="dxa"/>
        </w:tcPr>
        <w:p w14:paraId="615336BE" w14:textId="77777777" w:rsidR="0054350C" w:rsidRPr="002A0E4B" w:rsidRDefault="0054350C" w:rsidP="00652F5C">
          <w:pPr>
            <w:tabs>
              <w:tab w:val="center" w:pos="4677"/>
              <w:tab w:val="right" w:pos="9355"/>
            </w:tabs>
            <w:spacing w:line="240" w:lineRule="auto"/>
            <w:rPr>
              <w:lang w:eastAsia="ar-SA"/>
            </w:rPr>
          </w:pPr>
          <w:r w:rsidRPr="002A0E4B">
            <w:rPr>
              <w:lang w:eastAsia="ar-SA"/>
            </w:rPr>
            <w:t>Submitted by the experts from OICA and CLEPA</w:t>
          </w:r>
        </w:p>
      </w:tc>
      <w:tc>
        <w:tcPr>
          <w:tcW w:w="4677" w:type="dxa"/>
        </w:tcPr>
        <w:p w14:paraId="5067F176" w14:textId="0EB41680" w:rsidR="0054350C" w:rsidRPr="002A0E4B" w:rsidRDefault="0054350C" w:rsidP="00652F5C">
          <w:pPr>
            <w:spacing w:line="240" w:lineRule="auto"/>
            <w:ind w:left="1314"/>
            <w:rPr>
              <w:b/>
              <w:bCs/>
              <w:lang w:eastAsia="ar-SA"/>
            </w:rPr>
          </w:pPr>
          <w:r w:rsidRPr="002A0E4B">
            <w:rPr>
              <w:u w:val="single"/>
              <w:lang w:eastAsia="ar-SA"/>
            </w:rPr>
            <w:t>Informal document</w:t>
          </w:r>
          <w:r w:rsidRPr="002A0E4B">
            <w:rPr>
              <w:lang w:eastAsia="ar-SA"/>
            </w:rPr>
            <w:t xml:space="preserve"> </w:t>
          </w:r>
          <w:r w:rsidRPr="002A0E4B">
            <w:rPr>
              <w:b/>
              <w:bCs/>
              <w:lang w:eastAsia="ar-SA"/>
            </w:rPr>
            <w:t>GRVA-09-</w:t>
          </w:r>
          <w:r w:rsidR="00652F5C">
            <w:rPr>
              <w:b/>
              <w:bCs/>
              <w:lang w:eastAsia="ar-SA"/>
            </w:rPr>
            <w:t>30</w:t>
          </w:r>
        </w:p>
        <w:p w14:paraId="3EA71EEC" w14:textId="6F47C885" w:rsidR="0054350C" w:rsidRPr="002A0E4B" w:rsidRDefault="0054350C" w:rsidP="00652F5C">
          <w:pPr>
            <w:tabs>
              <w:tab w:val="center" w:pos="4677"/>
              <w:tab w:val="right" w:pos="9355"/>
            </w:tabs>
            <w:spacing w:line="240" w:lineRule="auto"/>
            <w:ind w:left="1314"/>
            <w:rPr>
              <w:lang w:eastAsia="ar-SA"/>
            </w:rPr>
          </w:pPr>
          <w:r w:rsidRPr="002A0E4B">
            <w:rPr>
              <w:lang w:eastAsia="ar-SA"/>
            </w:rPr>
            <w:t>9</w:t>
          </w:r>
          <w:r w:rsidR="00652F5C">
            <w:rPr>
              <w:lang w:eastAsia="ar-SA"/>
            </w:rPr>
            <w:t>th</w:t>
          </w:r>
          <w:r>
            <w:rPr>
              <w:lang w:eastAsia="ar-SA"/>
            </w:rPr>
            <w:t xml:space="preserve"> </w:t>
          </w:r>
          <w:r w:rsidRPr="002A0E4B">
            <w:rPr>
              <w:lang w:eastAsia="ar-SA"/>
            </w:rPr>
            <w:t xml:space="preserve">GRVA, 1-5 February 2021, </w:t>
          </w:r>
          <w:r w:rsidRPr="002A0E4B">
            <w:rPr>
              <w:lang w:eastAsia="ar-SA"/>
            </w:rPr>
            <w:br/>
          </w:r>
          <w:r w:rsidR="00652F5C">
            <w:rPr>
              <w:lang w:eastAsia="ar-SA"/>
            </w:rPr>
            <w:t>Provisional a</w:t>
          </w:r>
          <w:r w:rsidRPr="002A0E4B">
            <w:rPr>
              <w:lang w:eastAsia="ar-SA"/>
            </w:rPr>
            <w:t xml:space="preserve">genda item </w:t>
          </w:r>
          <w:r>
            <w:rPr>
              <w:lang w:eastAsia="ar-SA"/>
            </w:rPr>
            <w:t>6</w:t>
          </w:r>
        </w:p>
      </w:tc>
    </w:tr>
  </w:tbl>
  <w:p w14:paraId="1799CC0E" w14:textId="38E054DB" w:rsidR="002A0E4B" w:rsidRDefault="002A0E4B" w:rsidP="00652F5C">
    <w:pPr>
      <w:pStyle w:val="Header"/>
      <w:pBdr>
        <w:bottom w:val="none" w:sz="0" w:space="0" w:color="auto"/>
      </w:pBdr>
    </w:pPr>
  </w:p>
  <w:p w14:paraId="1F5D83E3" w14:textId="5015E8D4" w:rsidR="00212863" w:rsidRDefault="00212863" w:rsidP="00652F5C">
    <w:pPr>
      <w:pStyle w:val="Header"/>
      <w:pBdr>
        <w:bottom w:val="none" w:sz="0" w:space="0" w:color="auto"/>
      </w:pBdr>
      <w:tabs>
        <w:tab w:val="left" w:pos="53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6C6E35"/>
    <w:multiLevelType w:val="hybridMultilevel"/>
    <w:tmpl w:val="A9C69536"/>
    <w:lvl w:ilvl="0" w:tplc="240AF14C">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A6064C5"/>
    <w:multiLevelType w:val="hybridMultilevel"/>
    <w:tmpl w:val="625611A6"/>
    <w:lvl w:ilvl="0" w:tplc="6730F4C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4"/>
  </w:num>
  <w:num w:numId="13">
    <w:abstractNumId w:val="10"/>
  </w:num>
  <w:num w:numId="14">
    <w:abstractNumId w:val="12"/>
  </w:num>
  <w:num w:numId="15">
    <w:abstractNumId w:val="17"/>
  </w:num>
  <w:num w:numId="16">
    <w:abstractNumId w:val="13"/>
  </w:num>
  <w:num w:numId="17">
    <w:abstractNumId w:val="19"/>
  </w:num>
  <w:num w:numId="18">
    <w:abstractNumId w:val="21"/>
  </w:num>
  <w:num w:numId="19">
    <w:abstractNumId w:val="11"/>
  </w:num>
  <w:num w:numId="20">
    <w:abstractNumId w:val="11"/>
  </w:num>
  <w:num w:numId="21">
    <w:abstractNumId w:val="18"/>
  </w:num>
  <w:num w:numId="22">
    <w:abstractNumId w:val="20"/>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83"/>
    <w:rsid w:val="00002A7D"/>
    <w:rsid w:val="000038A8"/>
    <w:rsid w:val="00006790"/>
    <w:rsid w:val="000211BF"/>
    <w:rsid w:val="00027624"/>
    <w:rsid w:val="00045097"/>
    <w:rsid w:val="00050F6B"/>
    <w:rsid w:val="000678CD"/>
    <w:rsid w:val="000716B1"/>
    <w:rsid w:val="00072C8C"/>
    <w:rsid w:val="00081CE0"/>
    <w:rsid w:val="00084D30"/>
    <w:rsid w:val="00090320"/>
    <w:rsid w:val="000931C0"/>
    <w:rsid w:val="000A0AB1"/>
    <w:rsid w:val="000A2E09"/>
    <w:rsid w:val="000B175B"/>
    <w:rsid w:val="000B1A1C"/>
    <w:rsid w:val="000B3A0F"/>
    <w:rsid w:val="000D60CD"/>
    <w:rsid w:val="000E0299"/>
    <w:rsid w:val="000E0415"/>
    <w:rsid w:val="000E499D"/>
    <w:rsid w:val="000F251B"/>
    <w:rsid w:val="000F7715"/>
    <w:rsid w:val="001028DE"/>
    <w:rsid w:val="00126065"/>
    <w:rsid w:val="00130375"/>
    <w:rsid w:val="00137A2B"/>
    <w:rsid w:val="00156B99"/>
    <w:rsid w:val="00166124"/>
    <w:rsid w:val="00184DDA"/>
    <w:rsid w:val="001878AA"/>
    <w:rsid w:val="001900CD"/>
    <w:rsid w:val="001A0452"/>
    <w:rsid w:val="001B4B04"/>
    <w:rsid w:val="001B5875"/>
    <w:rsid w:val="001C4B9C"/>
    <w:rsid w:val="001C6663"/>
    <w:rsid w:val="001C7895"/>
    <w:rsid w:val="001D26DF"/>
    <w:rsid w:val="001F1599"/>
    <w:rsid w:val="001F19C4"/>
    <w:rsid w:val="002043F0"/>
    <w:rsid w:val="00211E0B"/>
    <w:rsid w:val="00212863"/>
    <w:rsid w:val="002267FF"/>
    <w:rsid w:val="00232575"/>
    <w:rsid w:val="00247258"/>
    <w:rsid w:val="00257CAC"/>
    <w:rsid w:val="00260969"/>
    <w:rsid w:val="00261F75"/>
    <w:rsid w:val="0027237A"/>
    <w:rsid w:val="002725F2"/>
    <w:rsid w:val="00290E82"/>
    <w:rsid w:val="002974E9"/>
    <w:rsid w:val="002A0E4B"/>
    <w:rsid w:val="002A130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C51FC"/>
    <w:rsid w:val="003D4B23"/>
    <w:rsid w:val="003E278A"/>
    <w:rsid w:val="00413520"/>
    <w:rsid w:val="004325CB"/>
    <w:rsid w:val="00440A07"/>
    <w:rsid w:val="00462880"/>
    <w:rsid w:val="00476F24"/>
    <w:rsid w:val="004A370F"/>
    <w:rsid w:val="004B2383"/>
    <w:rsid w:val="004B5511"/>
    <w:rsid w:val="004C27E8"/>
    <w:rsid w:val="004C55B0"/>
    <w:rsid w:val="004C721C"/>
    <w:rsid w:val="004F68A7"/>
    <w:rsid w:val="004F6BA0"/>
    <w:rsid w:val="00503BEA"/>
    <w:rsid w:val="00533616"/>
    <w:rsid w:val="00535ABA"/>
    <w:rsid w:val="0053768B"/>
    <w:rsid w:val="005420F2"/>
    <w:rsid w:val="0054285C"/>
    <w:rsid w:val="0054350C"/>
    <w:rsid w:val="00564939"/>
    <w:rsid w:val="0056516A"/>
    <w:rsid w:val="005760CE"/>
    <w:rsid w:val="005811BE"/>
    <w:rsid w:val="00584173"/>
    <w:rsid w:val="00595520"/>
    <w:rsid w:val="005A083E"/>
    <w:rsid w:val="005A44B9"/>
    <w:rsid w:val="005B1BA0"/>
    <w:rsid w:val="005B3DB3"/>
    <w:rsid w:val="005B4795"/>
    <w:rsid w:val="005D15CA"/>
    <w:rsid w:val="005D2CE9"/>
    <w:rsid w:val="005F08DF"/>
    <w:rsid w:val="005F3066"/>
    <w:rsid w:val="005F3E61"/>
    <w:rsid w:val="00604DDD"/>
    <w:rsid w:val="006115CC"/>
    <w:rsid w:val="00611FC4"/>
    <w:rsid w:val="006141C7"/>
    <w:rsid w:val="00616007"/>
    <w:rsid w:val="006176FB"/>
    <w:rsid w:val="00627569"/>
    <w:rsid w:val="00630FCB"/>
    <w:rsid w:val="00640B26"/>
    <w:rsid w:val="00652F5C"/>
    <w:rsid w:val="0065766B"/>
    <w:rsid w:val="006770B2"/>
    <w:rsid w:val="00677443"/>
    <w:rsid w:val="006843DA"/>
    <w:rsid w:val="00684D39"/>
    <w:rsid w:val="00686A48"/>
    <w:rsid w:val="006940E1"/>
    <w:rsid w:val="00695FD4"/>
    <w:rsid w:val="006A3C72"/>
    <w:rsid w:val="006A7392"/>
    <w:rsid w:val="006A73E6"/>
    <w:rsid w:val="006B03A1"/>
    <w:rsid w:val="006B3E63"/>
    <w:rsid w:val="006B67D9"/>
    <w:rsid w:val="006C5535"/>
    <w:rsid w:val="006D0589"/>
    <w:rsid w:val="006D5446"/>
    <w:rsid w:val="006E564B"/>
    <w:rsid w:val="006E7154"/>
    <w:rsid w:val="007003CD"/>
    <w:rsid w:val="0070701E"/>
    <w:rsid w:val="0072632A"/>
    <w:rsid w:val="007358E8"/>
    <w:rsid w:val="00736ECE"/>
    <w:rsid w:val="0074533B"/>
    <w:rsid w:val="007639A3"/>
    <w:rsid w:val="007643BC"/>
    <w:rsid w:val="00774DE3"/>
    <w:rsid w:val="00780C68"/>
    <w:rsid w:val="00791E69"/>
    <w:rsid w:val="007959FE"/>
    <w:rsid w:val="00795A09"/>
    <w:rsid w:val="007A0CF1"/>
    <w:rsid w:val="007A7FA0"/>
    <w:rsid w:val="007B567A"/>
    <w:rsid w:val="007B6BA5"/>
    <w:rsid w:val="007C3390"/>
    <w:rsid w:val="007C42D8"/>
    <w:rsid w:val="007C4F4B"/>
    <w:rsid w:val="007D7362"/>
    <w:rsid w:val="007F5CE2"/>
    <w:rsid w:val="007F6611"/>
    <w:rsid w:val="00810BAC"/>
    <w:rsid w:val="008175E9"/>
    <w:rsid w:val="00821ED5"/>
    <w:rsid w:val="008242D7"/>
    <w:rsid w:val="0082577B"/>
    <w:rsid w:val="00866893"/>
    <w:rsid w:val="00866EE1"/>
    <w:rsid w:val="00866F02"/>
    <w:rsid w:val="00867D18"/>
    <w:rsid w:val="00871F9A"/>
    <w:rsid w:val="00871FD5"/>
    <w:rsid w:val="0088172E"/>
    <w:rsid w:val="00881EFA"/>
    <w:rsid w:val="008879CB"/>
    <w:rsid w:val="00891A4B"/>
    <w:rsid w:val="0089344E"/>
    <w:rsid w:val="00896349"/>
    <w:rsid w:val="008979B1"/>
    <w:rsid w:val="008A6B25"/>
    <w:rsid w:val="008A6C4F"/>
    <w:rsid w:val="008A76C4"/>
    <w:rsid w:val="008B389E"/>
    <w:rsid w:val="008C4835"/>
    <w:rsid w:val="008D045E"/>
    <w:rsid w:val="008D3F25"/>
    <w:rsid w:val="008D4D82"/>
    <w:rsid w:val="008E0E46"/>
    <w:rsid w:val="008E3F5B"/>
    <w:rsid w:val="008E7116"/>
    <w:rsid w:val="008F0945"/>
    <w:rsid w:val="008F143B"/>
    <w:rsid w:val="008F3882"/>
    <w:rsid w:val="008F4B7C"/>
    <w:rsid w:val="009100DE"/>
    <w:rsid w:val="00926E47"/>
    <w:rsid w:val="00930D87"/>
    <w:rsid w:val="00947162"/>
    <w:rsid w:val="009610D0"/>
    <w:rsid w:val="0096375C"/>
    <w:rsid w:val="009662E6"/>
    <w:rsid w:val="0097095E"/>
    <w:rsid w:val="00974C03"/>
    <w:rsid w:val="0098592B"/>
    <w:rsid w:val="00985FC4"/>
    <w:rsid w:val="00990766"/>
    <w:rsid w:val="00991261"/>
    <w:rsid w:val="009964C4"/>
    <w:rsid w:val="009A7B81"/>
    <w:rsid w:val="009C62EB"/>
    <w:rsid w:val="009D01C0"/>
    <w:rsid w:val="009D6A08"/>
    <w:rsid w:val="009E0A16"/>
    <w:rsid w:val="009E1B16"/>
    <w:rsid w:val="009E6CB7"/>
    <w:rsid w:val="009E7970"/>
    <w:rsid w:val="009F2EAC"/>
    <w:rsid w:val="009F57E3"/>
    <w:rsid w:val="00A10F4F"/>
    <w:rsid w:val="00A11067"/>
    <w:rsid w:val="00A1704A"/>
    <w:rsid w:val="00A319B6"/>
    <w:rsid w:val="00A425EB"/>
    <w:rsid w:val="00A56C92"/>
    <w:rsid w:val="00A72F22"/>
    <w:rsid w:val="00A733BC"/>
    <w:rsid w:val="00A748A6"/>
    <w:rsid w:val="00A76A69"/>
    <w:rsid w:val="00A81755"/>
    <w:rsid w:val="00A879A4"/>
    <w:rsid w:val="00A87E60"/>
    <w:rsid w:val="00AA0FF8"/>
    <w:rsid w:val="00AB134D"/>
    <w:rsid w:val="00AB4FB0"/>
    <w:rsid w:val="00AC0F2C"/>
    <w:rsid w:val="00AC4C58"/>
    <w:rsid w:val="00AC502A"/>
    <w:rsid w:val="00AF58C1"/>
    <w:rsid w:val="00B04A3F"/>
    <w:rsid w:val="00B06643"/>
    <w:rsid w:val="00B15055"/>
    <w:rsid w:val="00B16536"/>
    <w:rsid w:val="00B20551"/>
    <w:rsid w:val="00B30179"/>
    <w:rsid w:val="00B33FC7"/>
    <w:rsid w:val="00B37B15"/>
    <w:rsid w:val="00B45C02"/>
    <w:rsid w:val="00B70B63"/>
    <w:rsid w:val="00B72A1E"/>
    <w:rsid w:val="00B7635D"/>
    <w:rsid w:val="00B81E12"/>
    <w:rsid w:val="00BA339B"/>
    <w:rsid w:val="00BC1E7E"/>
    <w:rsid w:val="00BC2088"/>
    <w:rsid w:val="00BC74E9"/>
    <w:rsid w:val="00BC7C1D"/>
    <w:rsid w:val="00BE36A9"/>
    <w:rsid w:val="00BE618E"/>
    <w:rsid w:val="00BE7BEC"/>
    <w:rsid w:val="00BF0A5A"/>
    <w:rsid w:val="00BF0E63"/>
    <w:rsid w:val="00BF12A3"/>
    <w:rsid w:val="00BF16D7"/>
    <w:rsid w:val="00BF2373"/>
    <w:rsid w:val="00BF2FF5"/>
    <w:rsid w:val="00C044E2"/>
    <w:rsid w:val="00C048CB"/>
    <w:rsid w:val="00C066F3"/>
    <w:rsid w:val="00C31337"/>
    <w:rsid w:val="00C463DD"/>
    <w:rsid w:val="00C6124E"/>
    <w:rsid w:val="00C745C3"/>
    <w:rsid w:val="00C978F5"/>
    <w:rsid w:val="00CA24A4"/>
    <w:rsid w:val="00CA37AB"/>
    <w:rsid w:val="00CB348D"/>
    <w:rsid w:val="00CD46F5"/>
    <w:rsid w:val="00CE4A8F"/>
    <w:rsid w:val="00CF071D"/>
    <w:rsid w:val="00D0123D"/>
    <w:rsid w:val="00D15B04"/>
    <w:rsid w:val="00D2031B"/>
    <w:rsid w:val="00D24600"/>
    <w:rsid w:val="00D25FE2"/>
    <w:rsid w:val="00D37DA9"/>
    <w:rsid w:val="00D406A7"/>
    <w:rsid w:val="00D43252"/>
    <w:rsid w:val="00D44D86"/>
    <w:rsid w:val="00D50B7D"/>
    <w:rsid w:val="00D52012"/>
    <w:rsid w:val="00D55493"/>
    <w:rsid w:val="00D57D04"/>
    <w:rsid w:val="00D704E5"/>
    <w:rsid w:val="00D72727"/>
    <w:rsid w:val="00D978C6"/>
    <w:rsid w:val="00DA0956"/>
    <w:rsid w:val="00DA2418"/>
    <w:rsid w:val="00DA357F"/>
    <w:rsid w:val="00DA3E12"/>
    <w:rsid w:val="00DC18AD"/>
    <w:rsid w:val="00DF61DE"/>
    <w:rsid w:val="00DF7CAE"/>
    <w:rsid w:val="00E045D7"/>
    <w:rsid w:val="00E22D5B"/>
    <w:rsid w:val="00E37BED"/>
    <w:rsid w:val="00E423C0"/>
    <w:rsid w:val="00E6414C"/>
    <w:rsid w:val="00E7260F"/>
    <w:rsid w:val="00E72E10"/>
    <w:rsid w:val="00E8702D"/>
    <w:rsid w:val="00E905F4"/>
    <w:rsid w:val="00E916A9"/>
    <w:rsid w:val="00E916DE"/>
    <w:rsid w:val="00E925AD"/>
    <w:rsid w:val="00E96630"/>
    <w:rsid w:val="00EB14EB"/>
    <w:rsid w:val="00ED18DC"/>
    <w:rsid w:val="00ED6201"/>
    <w:rsid w:val="00ED7A2A"/>
    <w:rsid w:val="00EF1D7F"/>
    <w:rsid w:val="00F0137E"/>
    <w:rsid w:val="00F02678"/>
    <w:rsid w:val="00F21786"/>
    <w:rsid w:val="00F3742B"/>
    <w:rsid w:val="00F41FDB"/>
    <w:rsid w:val="00F56D63"/>
    <w:rsid w:val="00F609A9"/>
    <w:rsid w:val="00F80C99"/>
    <w:rsid w:val="00F867EC"/>
    <w:rsid w:val="00F91B2B"/>
    <w:rsid w:val="00F93827"/>
    <w:rsid w:val="00FC03CD"/>
    <w:rsid w:val="00FC0646"/>
    <w:rsid w:val="00FC68B7"/>
    <w:rsid w:val="00FC7B00"/>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0B8DB"/>
  <w15:docId w15:val="{5303148E-E40F-47B6-B819-0A07ED8A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AB134D"/>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AB134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1337"/>
    <w:pPr>
      <w:numPr>
        <w:numId w:val="20"/>
      </w:numPr>
      <w:suppressAutoHyphens w:val="0"/>
    </w:pPr>
  </w:style>
  <w:style w:type="character" w:customStyle="1" w:styleId="H1GChar">
    <w:name w:val="_ H_1_G Char"/>
    <w:link w:val="H1G"/>
    <w:rsid w:val="004B2383"/>
    <w:rPr>
      <w:b/>
      <w:sz w:val="24"/>
      <w:lang w:val="en-GB"/>
    </w:rPr>
  </w:style>
  <w:style w:type="character" w:customStyle="1" w:styleId="HChGChar">
    <w:name w:val="_ H _Ch_G Char"/>
    <w:link w:val="HChG"/>
    <w:rsid w:val="004B2383"/>
    <w:rPr>
      <w:b/>
      <w:sz w:val="28"/>
      <w:lang w:val="en-GB"/>
    </w:rPr>
  </w:style>
  <w:style w:type="character" w:customStyle="1" w:styleId="FootnoteTextChar1">
    <w:name w:val="Footnote Text Char1"/>
    <w:aliases w:val="5_G Char,PP Char,5_G_6 Char,Footnote Text Char Char"/>
    <w:link w:val="FootnoteText"/>
    <w:rsid w:val="004B2383"/>
    <w:rPr>
      <w:sz w:val="18"/>
      <w:lang w:val="en-GB"/>
    </w:rPr>
  </w:style>
  <w:style w:type="character" w:customStyle="1" w:styleId="SingleTxtGChar">
    <w:name w:val="_ Single Txt_G Char"/>
    <w:link w:val="SingleTxtG"/>
    <w:qFormat/>
    <w:rsid w:val="00A319B6"/>
    <w:rPr>
      <w:lang w:val="en-GB"/>
    </w:rPr>
  </w:style>
  <w:style w:type="character" w:styleId="CommentReference">
    <w:name w:val="annotation reference"/>
    <w:basedOn w:val="DefaultParagraphFont"/>
    <w:semiHidden/>
    <w:unhideWhenUsed/>
    <w:rsid w:val="000E0299"/>
    <w:rPr>
      <w:sz w:val="16"/>
      <w:szCs w:val="16"/>
    </w:rPr>
  </w:style>
  <w:style w:type="paragraph" w:styleId="CommentText">
    <w:name w:val="annotation text"/>
    <w:basedOn w:val="Normal"/>
    <w:link w:val="CommentTextChar"/>
    <w:semiHidden/>
    <w:unhideWhenUsed/>
    <w:rsid w:val="000E0299"/>
    <w:pPr>
      <w:spacing w:line="240" w:lineRule="auto"/>
    </w:pPr>
  </w:style>
  <w:style w:type="character" w:customStyle="1" w:styleId="CommentTextChar">
    <w:name w:val="Comment Text Char"/>
    <w:basedOn w:val="DefaultParagraphFont"/>
    <w:link w:val="CommentText"/>
    <w:semiHidden/>
    <w:rsid w:val="000E0299"/>
    <w:rPr>
      <w:lang w:val="en-GB"/>
    </w:rPr>
  </w:style>
  <w:style w:type="paragraph" w:styleId="CommentSubject">
    <w:name w:val="annotation subject"/>
    <w:basedOn w:val="CommentText"/>
    <w:next w:val="CommentText"/>
    <w:link w:val="CommentSubjectChar"/>
    <w:semiHidden/>
    <w:unhideWhenUsed/>
    <w:rsid w:val="000E0299"/>
    <w:rPr>
      <w:b/>
      <w:bCs/>
    </w:rPr>
  </w:style>
  <w:style w:type="character" w:customStyle="1" w:styleId="CommentSubjectChar">
    <w:name w:val="Comment Subject Char"/>
    <w:basedOn w:val="CommentTextChar"/>
    <w:link w:val="CommentSubject"/>
    <w:semiHidden/>
    <w:rsid w:val="000E0299"/>
    <w:rPr>
      <w:b/>
      <w:bCs/>
      <w:lang w:val="en-GB"/>
    </w:rPr>
  </w:style>
  <w:style w:type="character" w:customStyle="1" w:styleId="HeaderChar">
    <w:name w:val="Header Char"/>
    <w:aliases w:val="6_G Char"/>
    <w:basedOn w:val="DefaultParagraphFont"/>
    <w:link w:val="Header"/>
    <w:uiPriority w:val="99"/>
    <w:rsid w:val="0056516A"/>
    <w:rPr>
      <w:b/>
      <w:sz w:val="18"/>
      <w:lang w:val="en-GB"/>
    </w:rPr>
  </w:style>
  <w:style w:type="paragraph" w:customStyle="1" w:styleId="para">
    <w:name w:val="para"/>
    <w:basedOn w:val="SingleTxtG"/>
    <w:link w:val="paraChar"/>
    <w:qFormat/>
    <w:rsid w:val="00EB14EB"/>
    <w:pPr>
      <w:ind w:left="2268" w:hanging="1134"/>
    </w:pPr>
    <w:rPr>
      <w:rFonts w:eastAsia="Yu Mincho"/>
      <w:lang w:val="x-none" w:eastAsia="en-US"/>
    </w:rPr>
  </w:style>
  <w:style w:type="character" w:customStyle="1" w:styleId="paraChar">
    <w:name w:val="para Char"/>
    <w:link w:val="para"/>
    <w:locked/>
    <w:rsid w:val="00EB14EB"/>
    <w:rPr>
      <w:rFonts w:eastAsia="Yu Mincho"/>
      <w:lang w:val="x-none" w:eastAsia="en-US"/>
    </w:rPr>
  </w:style>
  <w:style w:type="paragraph" w:styleId="ListParagraph">
    <w:name w:val="List Paragraph"/>
    <w:basedOn w:val="Normal"/>
    <w:uiPriority w:val="34"/>
    <w:qFormat/>
    <w:rsid w:val="00261F75"/>
    <w:pPr>
      <w:ind w:left="720"/>
      <w:contextualSpacing/>
    </w:pPr>
    <w:rPr>
      <w:rFonts w:eastAsiaTheme="minorEastAsia"/>
      <w:lang w:eastAsia="en-US"/>
    </w:rPr>
  </w:style>
  <w:style w:type="character" w:customStyle="1" w:styleId="FooterChar">
    <w:name w:val="Footer Char"/>
    <w:aliases w:val="3_G Char"/>
    <w:basedOn w:val="DefaultParagraphFont"/>
    <w:link w:val="Footer"/>
    <w:rsid w:val="009C62EB"/>
    <w:rPr>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3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2" ma:contentTypeDescription="Create a new document." ma:contentTypeScope="" ma:versionID="b46f68f7fd4ddbec8f9d92b9ae221ac3">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A99B4-8EA3-4CD7-8DB3-A317E19512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0331CD-0E24-4705-ADEE-3EADC7A1DC74}">
  <ds:schemaRefs>
    <ds:schemaRef ds:uri="http://schemas.microsoft.com/sharepoint/v3/contenttype/forms"/>
  </ds:schemaRefs>
</ds:datastoreItem>
</file>

<file path=customXml/itemProps3.xml><?xml version="1.0" encoding="utf-8"?>
<ds:datastoreItem xmlns:ds="http://schemas.openxmlformats.org/officeDocument/2006/customXml" ds:itemID="{35130EEA-0A60-4752-9AAD-F6FC10127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1289</Words>
  <Characters>7363</Characters>
  <Application>Microsoft Office Word</Application>
  <DocSecurity>0</DocSecurity>
  <Lines>96</Lines>
  <Paragraphs>34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ECE/TRANS/WP.29/GRVA/2020/22</vt:lpstr>
      <vt:lpstr>ECE/TRANS/WP.29/GRVA/2020/22</vt:lpstr>
      <vt:lpstr>ECE/TRANS/WP.29/GRVA/2020/21</vt:lpstr>
    </vt:vector>
  </TitlesOfParts>
  <Company>CSD</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ECE/TRANS/WP.29/GRVA/2020/22</dc:title>
  <dc:subject>2009012</dc:subject>
  <dc:creator>Francois Guichard</dc:creator>
  <cp:keywords/>
  <dc:description/>
  <cp:lastModifiedBy>UNECE</cp:lastModifiedBy>
  <cp:revision>5</cp:revision>
  <cp:lastPrinted>2009-02-18T09:36:00Z</cp:lastPrinted>
  <dcterms:created xsi:type="dcterms:W3CDTF">2021-02-01T09:06:00Z</dcterms:created>
  <dcterms:modified xsi:type="dcterms:W3CDTF">2021-02-01T10:16:00Z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