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F4EB9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BF4EB9" w:rsidRDefault="00F35BAF" w:rsidP="00DB758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BF4EB9" w:rsidRDefault="00F35BAF" w:rsidP="00C97039">
            <w:pPr>
              <w:spacing w:after="80" w:line="300" w:lineRule="exact"/>
              <w:rPr>
                <w:sz w:val="28"/>
              </w:rPr>
            </w:pPr>
            <w:r w:rsidRPr="00BF4EB9">
              <w:rPr>
                <w:sz w:val="28"/>
              </w:rPr>
              <w:t>Nations</w:t>
            </w:r>
            <w:r w:rsidR="004B7086">
              <w:rPr>
                <w:sz w:val="28"/>
              </w:rPr>
              <w:t xml:space="preserve"> </w:t>
            </w:r>
            <w:r w:rsidRPr="00BF4EB9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F4EB9" w:rsidRDefault="00DB758D" w:rsidP="00DB758D">
            <w:pPr>
              <w:jc w:val="right"/>
            </w:pPr>
            <w:r w:rsidRPr="00BF4EB9">
              <w:rPr>
                <w:sz w:val="40"/>
              </w:rPr>
              <w:t>ECE</w:t>
            </w:r>
            <w:r w:rsidRPr="00BF4EB9">
              <w:t>/TRANS/WP.29/GRVA/7</w:t>
            </w:r>
          </w:p>
        </w:tc>
      </w:tr>
      <w:tr w:rsidR="00F35BAF" w:rsidRPr="00BF4EB9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F4EB9" w:rsidRDefault="00F35BAF" w:rsidP="00C97039">
            <w:pPr>
              <w:spacing w:before="120"/>
              <w:jc w:val="center"/>
            </w:pPr>
            <w:r w:rsidRPr="00BF4EB9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BF4EB9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F4EB9">
              <w:rPr>
                <w:b/>
                <w:sz w:val="40"/>
                <w:szCs w:val="40"/>
              </w:rPr>
              <w:t>Conseil</w:t>
            </w:r>
            <w:r w:rsidR="004B7086">
              <w:rPr>
                <w:b/>
                <w:sz w:val="40"/>
                <w:szCs w:val="40"/>
              </w:rPr>
              <w:t xml:space="preserve"> </w:t>
            </w:r>
            <w:r w:rsidRPr="00BF4EB9">
              <w:rPr>
                <w:b/>
                <w:sz w:val="40"/>
                <w:szCs w:val="40"/>
              </w:rPr>
              <w:t>économique</w:t>
            </w:r>
            <w:r w:rsidR="004B7086">
              <w:rPr>
                <w:b/>
                <w:sz w:val="40"/>
                <w:szCs w:val="40"/>
              </w:rPr>
              <w:t xml:space="preserve"> </w:t>
            </w:r>
            <w:r w:rsidRPr="00BF4EB9">
              <w:rPr>
                <w:b/>
                <w:sz w:val="40"/>
                <w:szCs w:val="40"/>
              </w:rPr>
              <w:t>et</w:t>
            </w:r>
            <w:r w:rsidR="004B7086">
              <w:rPr>
                <w:b/>
                <w:sz w:val="40"/>
                <w:szCs w:val="40"/>
              </w:rPr>
              <w:t xml:space="preserve"> </w:t>
            </w:r>
            <w:r w:rsidRPr="00BF4EB9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F4EB9" w:rsidRDefault="00DB758D" w:rsidP="00C97039">
            <w:pPr>
              <w:spacing w:before="240"/>
            </w:pPr>
            <w:r w:rsidRPr="00BF4EB9">
              <w:t>Distr.</w:t>
            </w:r>
            <w:r w:rsidR="004B7086">
              <w:t xml:space="preserve"> </w:t>
            </w:r>
            <w:r w:rsidRPr="00BF4EB9">
              <w:t>générale</w:t>
            </w:r>
          </w:p>
          <w:p w:rsidR="00DB758D" w:rsidRPr="00BF4EB9" w:rsidRDefault="00DB758D" w:rsidP="00DB758D">
            <w:pPr>
              <w:spacing w:line="240" w:lineRule="exact"/>
            </w:pPr>
            <w:r w:rsidRPr="00BF4EB9">
              <w:t>19</w:t>
            </w:r>
            <w:r w:rsidR="004B7086">
              <w:t xml:space="preserve"> </w:t>
            </w:r>
            <w:r w:rsidRPr="00BF4EB9">
              <w:t>novembre</w:t>
            </w:r>
            <w:r w:rsidR="004B7086">
              <w:t xml:space="preserve"> </w:t>
            </w:r>
            <w:r w:rsidRPr="00BF4EB9">
              <w:t>2020</w:t>
            </w:r>
          </w:p>
          <w:p w:rsidR="00DB758D" w:rsidRPr="00BF4EB9" w:rsidRDefault="00DB758D" w:rsidP="00DB758D">
            <w:pPr>
              <w:spacing w:line="240" w:lineRule="exact"/>
            </w:pPr>
            <w:r w:rsidRPr="00BF4EB9">
              <w:t>Français</w:t>
            </w:r>
          </w:p>
          <w:p w:rsidR="00DB758D" w:rsidRPr="00BF4EB9" w:rsidRDefault="00DB758D" w:rsidP="00DB758D">
            <w:pPr>
              <w:spacing w:line="240" w:lineRule="exact"/>
            </w:pPr>
            <w:r w:rsidRPr="00BF4EB9">
              <w:t>Original</w:t>
            </w:r>
            <w:r w:rsidR="004B7086">
              <w:t xml:space="preserve"> : </w:t>
            </w:r>
            <w:r w:rsidRPr="00BF4EB9">
              <w:t>anglais</w:t>
            </w:r>
          </w:p>
        </w:tc>
      </w:tr>
    </w:tbl>
    <w:p w:rsidR="007F20FA" w:rsidRPr="00BF4EB9" w:rsidRDefault="007F20FA" w:rsidP="007F20FA">
      <w:pPr>
        <w:spacing w:before="120"/>
        <w:rPr>
          <w:b/>
          <w:sz w:val="28"/>
          <w:szCs w:val="28"/>
        </w:rPr>
      </w:pPr>
      <w:r w:rsidRPr="00BF4EB9">
        <w:rPr>
          <w:b/>
          <w:sz w:val="28"/>
          <w:szCs w:val="28"/>
        </w:rPr>
        <w:t>Commission</w:t>
      </w:r>
      <w:r w:rsidR="004B7086">
        <w:rPr>
          <w:b/>
          <w:sz w:val="28"/>
          <w:szCs w:val="28"/>
        </w:rPr>
        <w:t xml:space="preserve"> </w:t>
      </w:r>
      <w:r w:rsidRPr="00BF4EB9">
        <w:rPr>
          <w:b/>
          <w:sz w:val="28"/>
          <w:szCs w:val="28"/>
        </w:rPr>
        <w:t>économique</w:t>
      </w:r>
      <w:r w:rsidR="004B7086">
        <w:rPr>
          <w:b/>
          <w:sz w:val="28"/>
          <w:szCs w:val="28"/>
        </w:rPr>
        <w:t xml:space="preserve"> </w:t>
      </w:r>
      <w:r w:rsidRPr="00BF4EB9">
        <w:rPr>
          <w:b/>
          <w:sz w:val="28"/>
          <w:szCs w:val="28"/>
        </w:rPr>
        <w:t>pour</w:t>
      </w:r>
      <w:r w:rsidR="004B7086">
        <w:rPr>
          <w:b/>
          <w:sz w:val="28"/>
          <w:szCs w:val="28"/>
        </w:rPr>
        <w:t xml:space="preserve"> </w:t>
      </w:r>
      <w:r w:rsidRPr="00BF4EB9">
        <w:rPr>
          <w:b/>
          <w:sz w:val="28"/>
          <w:szCs w:val="28"/>
        </w:rPr>
        <w:t>l’Europe</w:t>
      </w:r>
    </w:p>
    <w:p w:rsidR="007F20FA" w:rsidRPr="00BF4EB9" w:rsidRDefault="007F20FA" w:rsidP="007F20FA">
      <w:pPr>
        <w:spacing w:before="120"/>
        <w:rPr>
          <w:sz w:val="28"/>
          <w:szCs w:val="28"/>
        </w:rPr>
      </w:pPr>
      <w:r w:rsidRPr="00BF4EB9">
        <w:rPr>
          <w:sz w:val="28"/>
          <w:szCs w:val="28"/>
        </w:rPr>
        <w:t>Comité</w:t>
      </w:r>
      <w:r w:rsidR="004B7086">
        <w:rPr>
          <w:sz w:val="28"/>
          <w:szCs w:val="28"/>
        </w:rPr>
        <w:t xml:space="preserve"> </w:t>
      </w:r>
      <w:r w:rsidRPr="00BF4EB9">
        <w:rPr>
          <w:sz w:val="28"/>
          <w:szCs w:val="28"/>
        </w:rPr>
        <w:t>des</w:t>
      </w:r>
      <w:r w:rsidR="004B7086">
        <w:rPr>
          <w:sz w:val="28"/>
          <w:szCs w:val="28"/>
        </w:rPr>
        <w:t xml:space="preserve"> </w:t>
      </w:r>
      <w:r w:rsidRPr="00BF4EB9">
        <w:rPr>
          <w:sz w:val="28"/>
          <w:szCs w:val="28"/>
        </w:rPr>
        <w:t>transports</w:t>
      </w:r>
      <w:r w:rsidR="004B7086">
        <w:rPr>
          <w:sz w:val="28"/>
          <w:szCs w:val="28"/>
        </w:rPr>
        <w:t xml:space="preserve"> </w:t>
      </w:r>
      <w:r w:rsidRPr="00BF4EB9">
        <w:rPr>
          <w:sz w:val="28"/>
          <w:szCs w:val="28"/>
        </w:rPr>
        <w:t>intérieurs</w:t>
      </w:r>
    </w:p>
    <w:p w:rsidR="00DB758D" w:rsidRPr="00BF4EB9" w:rsidRDefault="00DB758D" w:rsidP="00DB758D">
      <w:pPr>
        <w:spacing w:before="120" w:after="120" w:line="240" w:lineRule="auto"/>
        <w:rPr>
          <w:b/>
          <w:sz w:val="24"/>
          <w:szCs w:val="24"/>
        </w:rPr>
      </w:pPr>
      <w:r w:rsidRPr="00BF4EB9">
        <w:rPr>
          <w:b/>
          <w:sz w:val="24"/>
          <w:szCs w:val="24"/>
        </w:rPr>
        <w:t>Forum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mondial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de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l’harmonisation</w:t>
      </w:r>
      <w:r w:rsidR="004B7086">
        <w:rPr>
          <w:b/>
          <w:sz w:val="24"/>
          <w:szCs w:val="24"/>
        </w:rPr>
        <w:t xml:space="preserve"> </w:t>
      </w:r>
      <w:r w:rsidR="004B7086">
        <w:rPr>
          <w:b/>
          <w:sz w:val="24"/>
          <w:szCs w:val="24"/>
        </w:rPr>
        <w:br/>
      </w:r>
      <w:r w:rsidRPr="00BF4EB9">
        <w:rPr>
          <w:b/>
          <w:sz w:val="24"/>
          <w:szCs w:val="24"/>
        </w:rPr>
        <w:t>des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Règlements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concernant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les</w:t>
      </w:r>
      <w:r w:rsidR="004B7086">
        <w:rPr>
          <w:b/>
          <w:sz w:val="24"/>
          <w:szCs w:val="24"/>
        </w:rPr>
        <w:t xml:space="preserve"> </w:t>
      </w:r>
      <w:r w:rsidRPr="00BF4EB9">
        <w:rPr>
          <w:b/>
          <w:sz w:val="24"/>
          <w:szCs w:val="24"/>
        </w:rPr>
        <w:t>véhicules</w:t>
      </w:r>
    </w:p>
    <w:p w:rsidR="00DB758D" w:rsidRPr="00BF4EB9" w:rsidRDefault="00DB758D" w:rsidP="00DB758D">
      <w:pPr>
        <w:spacing w:after="120" w:line="240" w:lineRule="auto"/>
        <w:rPr>
          <w:b/>
        </w:rPr>
      </w:pPr>
      <w:r w:rsidRPr="00BF4EB9">
        <w:rPr>
          <w:b/>
        </w:rPr>
        <w:t>Groupe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travail</w:t>
      </w:r>
      <w:r w:rsidR="004B7086">
        <w:rPr>
          <w:b/>
        </w:rPr>
        <w:t xml:space="preserve"> </w:t>
      </w:r>
      <w:bookmarkStart w:id="1" w:name="_Hlk61246838"/>
      <w:r w:rsidRPr="00BF4EB9">
        <w:rPr>
          <w:b/>
        </w:rPr>
        <w:t>des</w:t>
      </w:r>
      <w:r w:rsidR="004B7086">
        <w:rPr>
          <w:b/>
        </w:rPr>
        <w:t xml:space="preserve"> </w:t>
      </w:r>
      <w:r w:rsidRPr="00BF4EB9">
        <w:rPr>
          <w:b/>
        </w:rPr>
        <w:t>véhicules</w:t>
      </w:r>
      <w:r w:rsidR="004B7086">
        <w:rPr>
          <w:b/>
        </w:rPr>
        <w:t xml:space="preserve"> </w:t>
      </w:r>
      <w:r w:rsidRPr="00BF4EB9">
        <w:rPr>
          <w:b/>
        </w:rPr>
        <w:t>automatisés/autonomes</w:t>
      </w:r>
      <w:r w:rsidR="004B7086">
        <w:rPr>
          <w:b/>
        </w:rPr>
        <w:t xml:space="preserve"> </w:t>
      </w:r>
      <w:r w:rsidRPr="00BF4EB9">
        <w:rPr>
          <w:b/>
        </w:rPr>
        <w:t>et</w:t>
      </w:r>
      <w:r w:rsidR="004B7086">
        <w:rPr>
          <w:b/>
        </w:rPr>
        <w:t xml:space="preserve"> </w:t>
      </w:r>
      <w:r w:rsidRPr="00BF4EB9">
        <w:rPr>
          <w:b/>
        </w:rPr>
        <w:t>connectés</w:t>
      </w:r>
      <w:bookmarkEnd w:id="1"/>
    </w:p>
    <w:p w:rsidR="00DB758D" w:rsidRPr="00BF4EB9" w:rsidRDefault="00DB758D" w:rsidP="00DB758D">
      <w:pPr>
        <w:rPr>
          <w:b/>
        </w:rPr>
      </w:pPr>
      <w:r w:rsidRPr="00BF4EB9">
        <w:rPr>
          <w:b/>
        </w:rPr>
        <w:t>Septième</w:t>
      </w:r>
      <w:r w:rsidR="004B7086">
        <w:rPr>
          <w:b/>
        </w:rPr>
        <w:t xml:space="preserve"> </w:t>
      </w:r>
      <w:r w:rsidRPr="00BF4EB9">
        <w:rPr>
          <w:b/>
        </w:rPr>
        <w:t>session</w:t>
      </w:r>
    </w:p>
    <w:p w:rsidR="00DB758D" w:rsidRPr="00BF4EB9" w:rsidRDefault="00DB758D" w:rsidP="00DB758D">
      <w:pPr>
        <w:rPr>
          <w:bCs/>
        </w:rPr>
      </w:pPr>
      <w:r w:rsidRPr="00BF4EB9">
        <w:rPr>
          <w:bCs/>
        </w:rPr>
        <w:t>Genève</w:t>
      </w:r>
      <w:r w:rsidR="004B7086">
        <w:rPr>
          <w:bCs/>
        </w:rPr>
        <w:t xml:space="preserve"> </w:t>
      </w:r>
      <w:r w:rsidRPr="00BF4EB9">
        <w:rPr>
          <w:bCs/>
        </w:rPr>
        <w:t>(en</w:t>
      </w:r>
      <w:r w:rsidR="004B7086">
        <w:rPr>
          <w:bCs/>
        </w:rPr>
        <w:t xml:space="preserve"> </w:t>
      </w:r>
      <w:r w:rsidRPr="00BF4EB9">
        <w:rPr>
          <w:bCs/>
        </w:rPr>
        <w:t>ligne),</w:t>
      </w:r>
      <w:r w:rsidR="004B7086">
        <w:rPr>
          <w:bCs/>
        </w:rPr>
        <w:t xml:space="preserve"> </w:t>
      </w:r>
      <w:r w:rsidRPr="00BF4EB9">
        <w:rPr>
          <w:bCs/>
        </w:rPr>
        <w:t>21-25</w:t>
      </w:r>
      <w:r w:rsidR="004B7086">
        <w:rPr>
          <w:bCs/>
        </w:rPr>
        <w:t> </w:t>
      </w:r>
      <w:r w:rsidRPr="00BF4EB9">
        <w:rPr>
          <w:bCs/>
        </w:rPr>
        <w:t>septembre</w:t>
      </w:r>
      <w:r w:rsidR="004B7086">
        <w:rPr>
          <w:bCs/>
        </w:rPr>
        <w:t xml:space="preserve"> </w:t>
      </w:r>
      <w:r w:rsidRPr="00BF4EB9">
        <w:rPr>
          <w:bCs/>
        </w:rPr>
        <w:t>2020</w:t>
      </w:r>
    </w:p>
    <w:p w:rsidR="00DB758D" w:rsidRPr="00BF4EB9" w:rsidRDefault="00DB758D" w:rsidP="00023E07">
      <w:pPr>
        <w:pStyle w:val="HChG"/>
      </w:pPr>
      <w:r w:rsidRPr="00BF4EB9">
        <w:tab/>
      </w:r>
      <w:r w:rsidRPr="00BF4EB9">
        <w:tab/>
        <w:t>Notes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Président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réunion</w:t>
      </w:r>
      <w:r w:rsidR="004B7086">
        <w:t xml:space="preserve"> </w:t>
      </w:r>
      <w:r w:rsidRPr="00BF4EB9">
        <w:t>tenue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> </w:t>
      </w:r>
      <w:r w:rsidRPr="00BF4EB9">
        <w:t>travail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automatisés/autonomes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connectés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remplacement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septième</w:t>
      </w:r>
      <w:r w:rsidR="004B7086">
        <w:t xml:space="preserve"> </w:t>
      </w:r>
      <w:r w:rsidRPr="00BF4EB9">
        <w:t>session</w:t>
      </w:r>
    </w:p>
    <w:p w:rsidR="00023E07" w:rsidRPr="00BF4EB9" w:rsidRDefault="00023E07" w:rsidP="00023E07">
      <w:pPr>
        <w:spacing w:after="120"/>
        <w:rPr>
          <w:sz w:val="28"/>
        </w:rPr>
      </w:pPr>
      <w:r w:rsidRPr="00BF4EB9">
        <w:rPr>
          <w:sz w:val="28"/>
        </w:rPr>
        <w:t>Table</w:t>
      </w:r>
      <w:r w:rsidR="004B7086">
        <w:rPr>
          <w:sz w:val="28"/>
        </w:rPr>
        <w:t xml:space="preserve"> </w:t>
      </w:r>
      <w:r w:rsidRPr="00BF4EB9">
        <w:rPr>
          <w:sz w:val="28"/>
        </w:rPr>
        <w:t>des</w:t>
      </w:r>
      <w:r w:rsidR="004B7086">
        <w:rPr>
          <w:sz w:val="28"/>
        </w:rPr>
        <w:t xml:space="preserve"> </w:t>
      </w:r>
      <w:r w:rsidRPr="00BF4EB9">
        <w:rPr>
          <w:sz w:val="28"/>
        </w:rPr>
        <w:t>matières</w:t>
      </w:r>
    </w:p>
    <w:p w:rsidR="00023E07" w:rsidRPr="00BF4EB9" w:rsidRDefault="00023E07" w:rsidP="00023E07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BF4EB9">
        <w:rPr>
          <w:i/>
          <w:sz w:val="18"/>
        </w:rPr>
        <w:tab/>
        <w:t>Paragraphes</w:t>
      </w:r>
      <w:r w:rsidRPr="00BF4EB9">
        <w:rPr>
          <w:i/>
          <w:sz w:val="18"/>
        </w:rPr>
        <w:tab/>
        <w:t>Page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I.</w:t>
      </w:r>
      <w:r w:rsidRPr="00BF4EB9">
        <w:tab/>
      </w:r>
      <w:r w:rsidR="00380814" w:rsidRPr="00BF4EB9">
        <w:t>Participation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ouverture</w:t>
      </w:r>
      <w:r w:rsidRPr="00BF4EB9">
        <w:tab/>
      </w:r>
      <w:r w:rsidRPr="00BF4EB9">
        <w:tab/>
        <w:t>1</w:t>
      </w:r>
      <w:r w:rsidR="00BF4EB9" w:rsidRPr="00BF4EB9">
        <w:t>−</w:t>
      </w:r>
      <w:r w:rsidRPr="00BF4EB9">
        <w:t>2</w:t>
      </w:r>
      <w:r w:rsidRPr="00BF4EB9">
        <w:tab/>
      </w:r>
      <w:r w:rsidR="00D315A5">
        <w:t>3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II.</w:t>
      </w:r>
      <w:r w:rsidRPr="00BF4EB9">
        <w:tab/>
      </w:r>
      <w:r w:rsidR="00380814" w:rsidRPr="00BF4EB9">
        <w:t>Adoption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1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3</w:t>
      </w:r>
      <w:r w:rsidR="00BF4EB9" w:rsidRPr="00BF4EB9">
        <w:t>−</w:t>
      </w:r>
      <w:r w:rsidRPr="00BF4EB9">
        <w:t>4</w:t>
      </w:r>
      <w:r w:rsidRPr="00BF4EB9">
        <w:tab/>
      </w:r>
      <w:r w:rsidR="00D315A5">
        <w:t>3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III.</w:t>
      </w:r>
      <w:r w:rsidRPr="00BF4EB9">
        <w:tab/>
      </w:r>
      <w:r w:rsidR="00380814" w:rsidRPr="00BF4EB9">
        <w:t>Points</w:t>
      </w:r>
      <w:r w:rsidR="00380814">
        <w:t xml:space="preserve"> </w:t>
      </w:r>
      <w:r w:rsidR="00380814" w:rsidRPr="00BF4EB9">
        <w:t>à</w:t>
      </w:r>
      <w:r w:rsidR="00380814">
        <w:t xml:space="preserve"> </w:t>
      </w:r>
      <w:r w:rsidR="00380814" w:rsidRPr="00BF4EB9">
        <w:t>retenir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sessions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mars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juin</w:t>
      </w:r>
      <w:r w:rsidR="00380814">
        <w:t xml:space="preserve"> </w:t>
      </w:r>
      <w:r w:rsidR="00380814" w:rsidRPr="00BF4EB9">
        <w:t>2020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WP.29</w:t>
      </w:r>
      <w:r w:rsidR="00380814">
        <w:t xml:space="preserve"> </w:t>
      </w:r>
      <w:r w:rsidR="00380814">
        <w:br/>
      </w:r>
      <w:r w:rsidR="00380814" w:rsidRPr="00BF4EB9">
        <w:t>(point</w:t>
      </w:r>
      <w:r w:rsidR="00380814">
        <w:t xml:space="preserve"> </w:t>
      </w:r>
      <w:r w:rsidR="00380814" w:rsidRPr="00BF4EB9">
        <w:t>2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5</w:t>
      </w:r>
      <w:r w:rsidR="00BF4EB9" w:rsidRPr="00BF4EB9">
        <w:t>−</w:t>
      </w:r>
      <w:r w:rsidRPr="00BF4EB9">
        <w:t>6</w:t>
      </w:r>
      <w:r w:rsidRPr="00BF4EB9">
        <w:tab/>
      </w:r>
      <w:r w:rsidR="00D315A5">
        <w:t>4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IV.</w:t>
      </w:r>
      <w:r w:rsidRPr="00BF4EB9">
        <w:tab/>
      </w:r>
      <w:r w:rsidR="00380814" w:rsidRPr="00BF4EB9">
        <w:t>Échange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vues</w:t>
      </w:r>
      <w:r w:rsidR="00380814">
        <w:t xml:space="preserve"> </w:t>
      </w:r>
      <w:r w:rsidR="00380814" w:rsidRPr="00BF4EB9">
        <w:t>sur</w:t>
      </w:r>
      <w:r w:rsidR="00380814">
        <w:t xml:space="preserve"> </w:t>
      </w:r>
      <w:r w:rsidR="00380814" w:rsidRPr="00BF4EB9">
        <w:t>les</w:t>
      </w:r>
      <w:r w:rsidR="00380814">
        <w:t xml:space="preserve"> </w:t>
      </w:r>
      <w:r w:rsidR="00380814" w:rsidRPr="00BF4EB9">
        <w:t>orientations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les</w:t>
      </w:r>
      <w:r w:rsidR="00380814">
        <w:t xml:space="preserve"> </w:t>
      </w:r>
      <w:r w:rsidR="00380814" w:rsidRPr="00BF4EB9">
        <w:t>activités</w:t>
      </w:r>
      <w:r w:rsidR="00380814">
        <w:t xml:space="preserve"> </w:t>
      </w:r>
      <w:r w:rsidR="00380814" w:rsidRPr="00BF4EB9">
        <w:t>nationales</w:t>
      </w:r>
      <w:r w:rsidR="00380814">
        <w:t xml:space="preserve"> </w:t>
      </w:r>
      <w:r w:rsidR="00380814" w:rsidRPr="00BF4EB9">
        <w:t>pertinentes</w:t>
      </w:r>
      <w:r w:rsidR="00380814">
        <w:t xml:space="preserve"> </w:t>
      </w:r>
      <w:r w:rsidR="00380814">
        <w:br/>
      </w:r>
      <w:r w:rsidR="00380814" w:rsidRPr="00BF4EB9">
        <w:t>(point</w:t>
      </w:r>
      <w:r w:rsidR="00380814">
        <w:t xml:space="preserve"> </w:t>
      </w:r>
      <w:r w:rsidR="00380814" w:rsidRPr="00BF4EB9">
        <w:t>3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7</w:t>
      </w:r>
      <w:r w:rsidRPr="00BF4EB9">
        <w:tab/>
      </w:r>
      <w:r w:rsidR="00D315A5">
        <w:t>4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V.</w:t>
      </w:r>
      <w:r w:rsidRPr="00BF4EB9">
        <w:tab/>
      </w:r>
      <w:r w:rsidR="00380814" w:rsidRPr="00BF4EB9">
        <w:t>Véhicules</w:t>
      </w:r>
      <w:r w:rsidR="00380814">
        <w:t xml:space="preserve"> </w:t>
      </w:r>
      <w:r w:rsidR="00380814" w:rsidRPr="00BF4EB9">
        <w:t>automatisés/autonomes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connectés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4</w:t>
      </w:r>
      <w:r w:rsidR="00380814">
        <w:t xml:space="preserve"> </w:t>
      </w:r>
      <w:r w:rsidR="00380814" w:rsidRPr="00BF4EB9">
        <w:t>de</w:t>
      </w:r>
      <w:r w:rsidR="00380814">
        <w:t> 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8</w:t>
      </w:r>
      <w:r w:rsidR="00BF4EB9" w:rsidRPr="00BF4EB9">
        <w:t>−</w:t>
      </w:r>
      <w:r w:rsidRPr="00BF4EB9">
        <w:t>24</w:t>
      </w:r>
      <w:r w:rsidRPr="00BF4EB9">
        <w:tab/>
      </w:r>
      <w:r w:rsidR="00D315A5">
        <w:t>4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Résultats</w:t>
      </w:r>
      <w:r w:rsidR="00380814">
        <w:t xml:space="preserve"> </w:t>
      </w:r>
      <w:r w:rsidR="00380814" w:rsidRPr="00BF4EB9">
        <w:t>attendus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groupe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travail</w:t>
      </w:r>
      <w:r w:rsidR="00380814">
        <w:t xml:space="preserve"> </w:t>
      </w:r>
      <w:r w:rsidR="00380814" w:rsidRPr="00BF4EB9">
        <w:t>informel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prescriptions</w:t>
      </w:r>
      <w:r w:rsidR="00380814">
        <w:t xml:space="preserve"> </w:t>
      </w:r>
      <w:r w:rsidR="00380814">
        <w:br/>
      </w:r>
      <w:r w:rsidR="00380814" w:rsidRPr="00BF4EB9">
        <w:t>fonctionnelles</w:t>
      </w:r>
      <w:r w:rsidR="00380814">
        <w:t xml:space="preserve"> </w:t>
      </w:r>
      <w:r w:rsidR="00380814" w:rsidRPr="00BF4EB9">
        <w:t>applicables</w:t>
      </w:r>
      <w:r w:rsidR="00380814">
        <w:t xml:space="preserve"> </w:t>
      </w:r>
      <w:r w:rsidR="00380814" w:rsidRPr="00BF4EB9">
        <w:t>aux</w:t>
      </w:r>
      <w:r w:rsidR="00380814">
        <w:t xml:space="preserve"> </w:t>
      </w:r>
      <w:r w:rsidR="00380814" w:rsidRPr="00BF4EB9">
        <w:t>véhicules</w:t>
      </w:r>
      <w:r w:rsidR="00380814">
        <w:t xml:space="preserve"> </w:t>
      </w:r>
      <w:r w:rsidR="00380814" w:rsidRPr="00BF4EB9">
        <w:t>automatisés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autonomes</w:t>
      </w:r>
      <w:r w:rsidRPr="00BF4EB9">
        <w:tab/>
      </w:r>
      <w:r w:rsidRPr="00BF4EB9">
        <w:tab/>
        <w:t>8</w:t>
      </w:r>
      <w:r w:rsidR="00BF4EB9" w:rsidRPr="00BF4EB9">
        <w:t>−</w:t>
      </w:r>
      <w:r w:rsidRPr="00BF4EB9">
        <w:t>9</w:t>
      </w:r>
      <w:r w:rsidRPr="00BF4EB9">
        <w:tab/>
      </w:r>
      <w:r w:rsidR="00D315A5">
        <w:t>4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Résultats</w:t>
      </w:r>
      <w:r w:rsidR="00380814">
        <w:t xml:space="preserve"> </w:t>
      </w:r>
      <w:r w:rsidR="00380814" w:rsidRPr="00BF4EB9">
        <w:t>attendus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groupe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travail</w:t>
      </w:r>
      <w:r w:rsidR="00380814">
        <w:t xml:space="preserve"> </w:t>
      </w:r>
      <w:r w:rsidR="00380814" w:rsidRPr="00BF4EB9">
        <w:t>informel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méthodes</w:t>
      </w:r>
      <w:r w:rsidR="00380814">
        <w:t xml:space="preserve"> </w:t>
      </w:r>
      <w:r w:rsidR="00380814">
        <w:br/>
      </w:r>
      <w:r w:rsidR="00380814" w:rsidRPr="00BF4EB9">
        <w:t>de</w:t>
      </w:r>
      <w:r w:rsidR="00380814">
        <w:t xml:space="preserve"> </w:t>
      </w:r>
      <w:r w:rsidR="00380814" w:rsidRPr="00BF4EB9">
        <w:t>validation</w:t>
      </w:r>
      <w:r w:rsidR="00380814">
        <w:t xml:space="preserve"> </w:t>
      </w:r>
      <w:r w:rsidR="00380814" w:rsidRPr="00BF4EB9">
        <w:t>pour</w:t>
      </w:r>
      <w:r w:rsidR="00380814">
        <w:t xml:space="preserve"> </w:t>
      </w:r>
      <w:r w:rsidR="00380814" w:rsidRPr="00BF4EB9">
        <w:t>la</w:t>
      </w:r>
      <w:r w:rsidR="00380814">
        <w:t xml:space="preserve"> </w:t>
      </w:r>
      <w:r w:rsidR="00380814" w:rsidRPr="00BF4EB9">
        <w:t>conduite</w:t>
      </w:r>
      <w:r w:rsidR="00380814">
        <w:t xml:space="preserve"> </w:t>
      </w:r>
      <w:r w:rsidR="00380814" w:rsidRPr="00BF4EB9">
        <w:t>automatisée</w:t>
      </w:r>
      <w:r w:rsidRPr="00BF4EB9">
        <w:tab/>
      </w:r>
      <w:r w:rsidRPr="00BF4EB9">
        <w:tab/>
        <w:t>10</w:t>
      </w:r>
      <w:r w:rsidR="00BF4EB9" w:rsidRPr="00BF4EB9">
        <w:t>−</w:t>
      </w:r>
      <w:r w:rsidRPr="00BF4EB9">
        <w:t>12</w:t>
      </w:r>
      <w:r w:rsidRPr="00BF4EB9">
        <w:tab/>
      </w:r>
      <w:r w:rsidR="00D315A5">
        <w:t>4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C.</w:t>
      </w:r>
      <w:r w:rsidRPr="00BF4EB9">
        <w:tab/>
      </w:r>
      <w:r w:rsidR="00380814" w:rsidRPr="00BF4EB9">
        <w:t>Résultats</w:t>
      </w:r>
      <w:r w:rsidR="00380814">
        <w:t xml:space="preserve"> </w:t>
      </w:r>
      <w:r w:rsidR="00380814" w:rsidRPr="00BF4EB9">
        <w:t>attendus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groupe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travail</w:t>
      </w:r>
      <w:r w:rsidR="00380814">
        <w:t xml:space="preserve"> </w:t>
      </w:r>
      <w:r w:rsidR="00380814" w:rsidRPr="00BF4EB9">
        <w:t>informel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enregistreurs</w:t>
      </w:r>
      <w:r w:rsidR="00380814">
        <w:t xml:space="preserve"> </w:t>
      </w:r>
      <w:r w:rsidR="00380814">
        <w:br/>
      </w:r>
      <w:r w:rsidR="00380814" w:rsidRPr="00BF4EB9">
        <w:t>de</w:t>
      </w:r>
      <w:r w:rsidR="00380814">
        <w:t> </w:t>
      </w:r>
      <w:r w:rsidR="00380814" w:rsidRPr="00BF4EB9">
        <w:t>données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route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systèmes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stockage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données</w:t>
      </w:r>
      <w:r w:rsidR="00380814">
        <w:t xml:space="preserve"> </w:t>
      </w:r>
      <w:r w:rsidR="00380814">
        <w:br/>
      </w:r>
      <w:r w:rsidR="00380814" w:rsidRPr="00BF4EB9">
        <w:t>pour</w:t>
      </w:r>
      <w:r w:rsidR="00380814">
        <w:t xml:space="preserve"> </w:t>
      </w:r>
      <w:r w:rsidR="00380814" w:rsidRPr="00BF4EB9">
        <w:t>la</w:t>
      </w:r>
      <w:r w:rsidR="00380814">
        <w:t> </w:t>
      </w:r>
      <w:r w:rsidR="00380814" w:rsidRPr="00BF4EB9">
        <w:t>conduite</w:t>
      </w:r>
      <w:r w:rsidR="00380814">
        <w:t xml:space="preserve"> </w:t>
      </w:r>
      <w:r w:rsidR="00380814" w:rsidRPr="00BF4EB9">
        <w:t>automatisée</w:t>
      </w:r>
      <w:r w:rsidRPr="00BF4EB9">
        <w:tab/>
      </w:r>
      <w:r w:rsidRPr="00BF4EB9">
        <w:tab/>
        <w:t>13</w:t>
      </w:r>
      <w:r w:rsidR="00BF4EB9" w:rsidRPr="00BF4EB9">
        <w:t>−</w:t>
      </w:r>
      <w:r w:rsidRPr="00BF4EB9">
        <w:t>16</w:t>
      </w:r>
      <w:r w:rsidRPr="00BF4EB9">
        <w:tab/>
      </w:r>
      <w:r w:rsidR="00D315A5">
        <w:t>5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D.</w:t>
      </w:r>
      <w:r w:rsidRPr="00BF4EB9">
        <w:tab/>
      </w:r>
      <w:r w:rsidR="00380814" w:rsidRPr="00BF4EB9">
        <w:t>Règlement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 w:rsidRPr="00BF4EB9">
        <w:t>sur</w:t>
      </w:r>
      <w:r w:rsidR="00380814">
        <w:t xml:space="preserve"> </w:t>
      </w:r>
      <w:r w:rsidR="00380814" w:rsidRPr="00BF4EB9">
        <w:t>les</w:t>
      </w:r>
      <w:r w:rsidR="00380814">
        <w:t xml:space="preserve"> </w:t>
      </w:r>
      <w:r w:rsidR="00380814" w:rsidRPr="00BF4EB9">
        <w:t>systèmes</w:t>
      </w:r>
      <w:r w:rsidR="00380814">
        <w:t xml:space="preserve"> </w:t>
      </w:r>
      <w:r w:rsidR="00380814" w:rsidRPr="00BF4EB9">
        <w:t>automatisés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maintien</w:t>
      </w:r>
      <w:r w:rsidR="00380814">
        <w:t xml:space="preserve"> </w:t>
      </w:r>
      <w:r w:rsidR="00380814" w:rsidRPr="00BF4EB9">
        <w:t>dans</w:t>
      </w:r>
      <w:r w:rsidR="00380814">
        <w:t xml:space="preserve"> </w:t>
      </w:r>
      <w:r w:rsidR="00380814" w:rsidRPr="00BF4EB9">
        <w:t>la</w:t>
      </w:r>
      <w:r w:rsidR="00380814">
        <w:t xml:space="preserve"> </w:t>
      </w:r>
      <w:r w:rsidR="00380814" w:rsidRPr="00BF4EB9">
        <w:t>voie</w:t>
      </w:r>
      <w:r w:rsidRPr="00BF4EB9">
        <w:tab/>
      </w:r>
      <w:r w:rsidRPr="00BF4EB9">
        <w:tab/>
        <w:t>17</w:t>
      </w:r>
      <w:r w:rsidR="00BF4EB9" w:rsidRPr="00BF4EB9">
        <w:t>−</w:t>
      </w:r>
      <w:r w:rsidRPr="00BF4EB9">
        <w:t>24</w:t>
      </w:r>
      <w:r w:rsidRPr="00BF4EB9">
        <w:tab/>
      </w:r>
      <w:r w:rsidR="00D315A5">
        <w:t>5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VI.</w:t>
      </w:r>
      <w:r w:rsidRPr="00BF4EB9">
        <w:tab/>
      </w:r>
      <w:r w:rsidR="00380814" w:rsidRPr="00BF4EB9">
        <w:t>Véhicules</w:t>
      </w:r>
      <w:r w:rsidR="00380814">
        <w:t xml:space="preserve"> </w:t>
      </w:r>
      <w:r w:rsidR="00380814" w:rsidRPr="00BF4EB9">
        <w:t>connectés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5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25</w:t>
      </w:r>
      <w:r w:rsidR="00BF4EB9" w:rsidRPr="00BF4EB9">
        <w:t>−</w:t>
      </w:r>
      <w:r w:rsidRPr="00BF4EB9">
        <w:t>38</w:t>
      </w:r>
      <w:r w:rsidRPr="00BF4EB9">
        <w:tab/>
      </w:r>
      <w:r w:rsidR="00D315A5">
        <w:t>7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Cybersécurité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protection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données</w:t>
      </w:r>
      <w:r w:rsidRPr="00BF4EB9">
        <w:tab/>
      </w:r>
      <w:r w:rsidRPr="00BF4EB9">
        <w:tab/>
        <w:t>25</w:t>
      </w:r>
      <w:r w:rsidR="00BF4EB9" w:rsidRPr="00BF4EB9">
        <w:t>−</w:t>
      </w:r>
      <w:r w:rsidRPr="00BF4EB9">
        <w:t>31</w:t>
      </w:r>
      <w:r w:rsidRPr="00BF4EB9">
        <w:tab/>
      </w:r>
      <w:r w:rsidR="00D315A5">
        <w:t>7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Mises</w:t>
      </w:r>
      <w:r w:rsidR="00380814">
        <w:t xml:space="preserve"> </w:t>
      </w:r>
      <w:r w:rsidR="00380814" w:rsidRPr="00BF4EB9">
        <w:t>à</w:t>
      </w:r>
      <w:r w:rsidR="00380814">
        <w:t xml:space="preserve"> </w:t>
      </w:r>
      <w:r w:rsidR="00380814" w:rsidRPr="00BF4EB9">
        <w:t>jour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logiciels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questions</w:t>
      </w:r>
      <w:r w:rsidR="00380814">
        <w:t xml:space="preserve"> </w:t>
      </w:r>
      <w:r w:rsidR="00380814" w:rsidRPr="00BF4EB9">
        <w:t>relatives</w:t>
      </w:r>
      <w:r w:rsidR="00380814">
        <w:t xml:space="preserve"> </w:t>
      </w:r>
      <w:r w:rsidR="00380814" w:rsidRPr="00BF4EB9">
        <w:t>aux</w:t>
      </w:r>
      <w:r w:rsidR="00380814">
        <w:t xml:space="preserve"> </w:t>
      </w:r>
      <w:r w:rsidR="00380814" w:rsidRPr="00BF4EB9">
        <w:t>mises</w:t>
      </w:r>
      <w:r w:rsidR="00380814">
        <w:t xml:space="preserve"> </w:t>
      </w:r>
      <w:r w:rsidR="00380814" w:rsidRPr="00BF4EB9">
        <w:t>à</w:t>
      </w:r>
      <w:r w:rsidR="00380814">
        <w:t xml:space="preserve"> </w:t>
      </w:r>
      <w:r w:rsidR="00380814" w:rsidRPr="00BF4EB9">
        <w:t>jour</w:t>
      </w:r>
      <w:r w:rsidR="00380814">
        <w:t xml:space="preserve"> </w:t>
      </w:r>
      <w:r w:rsidR="00380814" w:rsidRPr="00BF4EB9">
        <w:t>à</w:t>
      </w:r>
      <w:r w:rsidR="00380814">
        <w:t> </w:t>
      </w:r>
      <w:r w:rsidR="00380814" w:rsidRPr="00BF4EB9">
        <w:t>distance</w:t>
      </w:r>
      <w:r w:rsidRPr="00BF4EB9">
        <w:tab/>
      </w:r>
      <w:r w:rsidRPr="00BF4EB9">
        <w:tab/>
        <w:t>32</w:t>
      </w:r>
      <w:r w:rsidR="00BF4EB9" w:rsidRPr="00BF4EB9">
        <w:t>−</w:t>
      </w:r>
      <w:r w:rsidRPr="00BF4EB9">
        <w:t>36</w:t>
      </w:r>
      <w:r w:rsidRPr="00BF4EB9">
        <w:tab/>
      </w:r>
      <w:r w:rsidR="00D315A5">
        <w:t>8</w:t>
      </w:r>
    </w:p>
    <w:p w:rsidR="00023E07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C.</w:t>
      </w:r>
      <w:r w:rsidRPr="00BF4EB9">
        <w:tab/>
      </w:r>
      <w:r w:rsidR="00380814" w:rsidRPr="00BF4EB9">
        <w:t>Considérations</w:t>
      </w:r>
      <w:r w:rsidR="00380814">
        <w:t xml:space="preserve"> </w:t>
      </w:r>
      <w:r w:rsidR="00380814" w:rsidRPr="00BF4EB9">
        <w:t>juridiques</w:t>
      </w:r>
      <w:r w:rsidR="00380814">
        <w:t xml:space="preserve"> </w:t>
      </w:r>
      <w:r w:rsidR="00380814" w:rsidRPr="00BF4EB9">
        <w:t>concernant</w:t>
      </w:r>
      <w:r w:rsidR="00380814">
        <w:t xml:space="preserve"> </w:t>
      </w:r>
      <w:r w:rsidR="00380814" w:rsidRPr="00BF4EB9">
        <w:t>les</w:t>
      </w:r>
      <w:r w:rsidR="00380814">
        <w:t xml:space="preserve"> </w:t>
      </w:r>
      <w:r w:rsidR="00380814" w:rsidRPr="00BF4EB9">
        <w:t>dispositions</w:t>
      </w:r>
      <w:r w:rsidR="00380814">
        <w:t xml:space="preserve"> </w:t>
      </w:r>
      <w:r w:rsidR="00380814" w:rsidRPr="00BF4EB9">
        <w:t>techniques</w:t>
      </w:r>
      <w:r w:rsidR="00380814">
        <w:t xml:space="preserve"> </w:t>
      </w:r>
      <w:r w:rsidR="00380814">
        <w:br/>
      </w:r>
      <w:r w:rsidR="00380814" w:rsidRPr="00BF4EB9">
        <w:t>applicables</w:t>
      </w:r>
      <w:r w:rsidR="00380814">
        <w:t xml:space="preserve"> </w:t>
      </w:r>
      <w:r w:rsidR="00380814" w:rsidRPr="00BF4EB9">
        <w:t>pendant</w:t>
      </w:r>
      <w:r w:rsidR="00380814">
        <w:t xml:space="preserve"> </w:t>
      </w:r>
      <w:r w:rsidR="00380814" w:rsidRPr="00BF4EB9">
        <w:t>la</w:t>
      </w:r>
      <w:r w:rsidR="00380814">
        <w:t xml:space="preserve"> </w:t>
      </w:r>
      <w:r w:rsidR="00380814" w:rsidRPr="00BF4EB9">
        <w:t>durée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vie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véhicule</w:t>
      </w:r>
      <w:r w:rsidR="00023E07" w:rsidRPr="00BF4EB9">
        <w:tab/>
      </w:r>
      <w:r w:rsidRPr="00BF4EB9">
        <w:tab/>
        <w:t>37</w:t>
      </w:r>
      <w:r w:rsidRPr="00BF4EB9">
        <w:tab/>
      </w:r>
      <w:r w:rsidR="00D315A5">
        <w:t>8</w:t>
      </w:r>
    </w:p>
    <w:p w:rsidR="00DB758D" w:rsidRPr="00BF4EB9" w:rsidRDefault="00DB758D" w:rsidP="00CF4171">
      <w:pPr>
        <w:keepNext/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D.</w:t>
      </w:r>
      <w:r w:rsidRPr="00BF4EB9">
        <w:tab/>
      </w:r>
      <w:r w:rsidR="00380814" w:rsidRPr="00BF4EB9">
        <w:t>Questions</w:t>
      </w:r>
      <w:r w:rsidR="00380814">
        <w:t xml:space="preserve"> </w:t>
      </w:r>
      <w:r w:rsidR="00380814" w:rsidRPr="00BF4EB9">
        <w:t>diverses</w:t>
      </w:r>
      <w:r w:rsidRPr="00BF4EB9">
        <w:tab/>
      </w:r>
      <w:r w:rsidRPr="00BF4EB9">
        <w:tab/>
        <w:t>38</w:t>
      </w:r>
      <w:r w:rsidRPr="00BF4EB9">
        <w:tab/>
      </w:r>
      <w:r w:rsidR="00D315A5">
        <w:t>8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VII.</w:t>
      </w:r>
      <w:r w:rsidRPr="00BF4EB9">
        <w:tab/>
      </w:r>
      <w:r w:rsidR="00380814" w:rsidRPr="00BF4EB9">
        <w:t>Règlement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>
        <w:rPr>
          <w:rFonts w:eastAsia="MS Mincho"/>
        </w:rPr>
        <w:t>n</w:t>
      </w:r>
      <w:r w:rsidR="00380814">
        <w:rPr>
          <w:rFonts w:eastAsia="MS Mincho"/>
          <w:vertAlign w:val="superscript"/>
        </w:rPr>
        <w:t>o</w:t>
      </w:r>
      <w:r w:rsidR="00380814">
        <w:t> </w:t>
      </w:r>
      <w:r w:rsidR="00380814" w:rsidRPr="00BF4EB9">
        <w:t>79</w:t>
      </w:r>
      <w:r w:rsidR="00380814">
        <w:t xml:space="preserve"> </w:t>
      </w:r>
      <w:r w:rsidR="00380814" w:rsidRPr="00BF4EB9">
        <w:t>(Équipement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direction)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6</w:t>
      </w:r>
      <w:r w:rsidR="00380814">
        <w:t xml:space="preserve"> </w:t>
      </w:r>
      <w:r w:rsidR="00380814" w:rsidRPr="00BF4EB9">
        <w:t>de</w:t>
      </w:r>
      <w:r w:rsidR="00380814">
        <w:t> 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39</w:t>
      </w:r>
      <w:r w:rsidR="00BF4EB9" w:rsidRPr="00BF4EB9">
        <w:t>−</w:t>
      </w:r>
      <w:r w:rsidRPr="00BF4EB9">
        <w:t>51</w:t>
      </w:r>
      <w:r w:rsidRPr="00BF4EB9">
        <w:tab/>
      </w:r>
      <w:r w:rsidR="00D315A5">
        <w:t>8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Fonction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direction</w:t>
      </w:r>
      <w:r w:rsidR="00380814">
        <w:t xml:space="preserve"> </w:t>
      </w:r>
      <w:r w:rsidR="00380814" w:rsidRPr="00BF4EB9">
        <w:t>à</w:t>
      </w:r>
      <w:r w:rsidR="00380814">
        <w:t xml:space="preserve"> </w:t>
      </w:r>
      <w:r w:rsidR="00380814" w:rsidRPr="00BF4EB9">
        <w:t>commande</w:t>
      </w:r>
      <w:r w:rsidR="00380814">
        <w:t xml:space="preserve"> </w:t>
      </w:r>
      <w:r w:rsidR="00380814" w:rsidRPr="00BF4EB9">
        <w:t>automatique</w:t>
      </w:r>
      <w:r w:rsidRPr="00BF4EB9">
        <w:tab/>
      </w:r>
      <w:r w:rsidRPr="00BF4EB9">
        <w:tab/>
        <w:t>39</w:t>
      </w:r>
      <w:r w:rsidR="00BF4EB9" w:rsidRPr="00BF4EB9">
        <w:t>−</w:t>
      </w:r>
      <w:r w:rsidRPr="00BF4EB9">
        <w:t>45</w:t>
      </w:r>
      <w:r w:rsidRPr="00BF4EB9">
        <w:tab/>
      </w:r>
      <w:r w:rsidR="00D315A5">
        <w:t>8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Équipement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direction</w:t>
      </w:r>
      <w:r w:rsidRPr="00BF4EB9">
        <w:tab/>
      </w:r>
      <w:r w:rsidRPr="00BF4EB9">
        <w:tab/>
        <w:t>46</w:t>
      </w:r>
      <w:r w:rsidR="00BF4EB9" w:rsidRPr="00BF4EB9">
        <w:t>−</w:t>
      </w:r>
      <w:r w:rsidRPr="00BF4EB9">
        <w:t>47</w:t>
      </w:r>
      <w:r w:rsidRPr="00BF4EB9">
        <w:tab/>
      </w:r>
      <w:r w:rsidR="00D315A5">
        <w:t>9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C.</w:t>
      </w:r>
      <w:r w:rsidRPr="00BF4EB9">
        <w:tab/>
      </w:r>
      <w:r w:rsidR="00380814" w:rsidRPr="00BF4EB9">
        <w:t>Manœuvres</w:t>
      </w:r>
      <w:r w:rsidR="00380814">
        <w:t xml:space="preserve"> </w:t>
      </w:r>
      <w:r w:rsidR="00380814" w:rsidRPr="00BF4EB9">
        <w:t>télécommandées</w:t>
      </w:r>
      <w:r w:rsidRPr="00BF4EB9">
        <w:tab/>
      </w:r>
      <w:r w:rsidRPr="00BF4EB9">
        <w:tab/>
        <w:t>48</w:t>
      </w:r>
      <w:r w:rsidRPr="00BF4EB9">
        <w:tab/>
      </w:r>
      <w:r w:rsidR="00D315A5">
        <w:t>10</w:t>
      </w:r>
    </w:p>
    <w:p w:rsidR="00DB758D" w:rsidRPr="00BF4EB9" w:rsidRDefault="00DB758D" w:rsidP="004B7086">
      <w:pPr>
        <w:keepNext/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lastRenderedPageBreak/>
        <w:t>D.</w:t>
      </w:r>
      <w:r w:rsidRPr="00BF4EB9">
        <w:tab/>
      </w:r>
      <w:r w:rsidR="00380814" w:rsidRPr="00BF4EB9">
        <w:t>Questions</w:t>
      </w:r>
      <w:r w:rsidR="00380814">
        <w:t xml:space="preserve"> </w:t>
      </w:r>
      <w:r w:rsidR="00380814" w:rsidRPr="00BF4EB9">
        <w:t>diverses</w:t>
      </w:r>
      <w:r w:rsidRPr="00BF4EB9">
        <w:tab/>
      </w:r>
      <w:r w:rsidRPr="00BF4EB9">
        <w:tab/>
        <w:t>49</w:t>
      </w:r>
      <w:r w:rsidR="00BF4EB9" w:rsidRPr="00BF4EB9">
        <w:t>−</w:t>
      </w:r>
      <w:r w:rsidRPr="00BF4EB9">
        <w:t>51</w:t>
      </w:r>
      <w:r w:rsidRPr="00BF4EB9">
        <w:tab/>
      </w:r>
      <w:r w:rsidR="00D315A5">
        <w:t>10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VIII.</w:t>
      </w:r>
      <w:r w:rsidRPr="00BF4EB9">
        <w:tab/>
      </w:r>
      <w:r w:rsidR="00380814" w:rsidRPr="00BF4EB9">
        <w:t>Systèmes</w:t>
      </w:r>
      <w:r w:rsidR="00380814">
        <w:t xml:space="preserve"> </w:t>
      </w:r>
      <w:r w:rsidR="00380814" w:rsidRPr="00BF4EB9">
        <w:t>actifs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freinage</w:t>
      </w:r>
      <w:r w:rsidR="00380814">
        <w:t xml:space="preserve"> </w:t>
      </w:r>
      <w:r w:rsidR="00380814" w:rsidRPr="00BF4EB9">
        <w:t>d’urgence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7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> </w:t>
      </w:r>
      <w:r w:rsidR="00380814" w:rsidRPr="00BF4EB9">
        <w:t>jour)</w:t>
      </w:r>
      <w:r w:rsidRPr="00BF4EB9">
        <w:tab/>
      </w:r>
      <w:r w:rsidRPr="00BF4EB9">
        <w:tab/>
        <w:t>52</w:t>
      </w:r>
      <w:r w:rsidR="00BF4EB9" w:rsidRPr="00BF4EB9">
        <w:t>−</w:t>
      </w:r>
      <w:r w:rsidRPr="00BF4EB9">
        <w:t>58</w:t>
      </w:r>
      <w:r w:rsidRPr="00BF4EB9">
        <w:tab/>
      </w:r>
      <w:r w:rsidR="00D315A5">
        <w:t>10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IX.</w:t>
      </w:r>
      <w:r w:rsidRPr="00BF4EB9">
        <w:tab/>
      </w:r>
      <w:r w:rsidR="00380814" w:rsidRPr="00BF4EB9">
        <w:t>Règlements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>
        <w:rPr>
          <w:rFonts w:eastAsia="MS Mincho"/>
        </w:rPr>
        <w:t>n</w:t>
      </w:r>
      <w:r w:rsidR="00380814">
        <w:rPr>
          <w:rFonts w:eastAsia="MS Mincho"/>
          <w:vertAlign w:val="superscript"/>
        </w:rPr>
        <w:t>os</w:t>
      </w:r>
      <w:r w:rsidR="00380814">
        <w:t> </w:t>
      </w:r>
      <w:r w:rsidR="00380814" w:rsidRPr="00BF4EB9">
        <w:t>13,</w:t>
      </w:r>
      <w:r w:rsidR="00380814">
        <w:t xml:space="preserve"> </w:t>
      </w:r>
      <w:r w:rsidR="00380814" w:rsidRPr="00BF4EB9">
        <w:t>13-H,</w:t>
      </w:r>
      <w:r w:rsidR="00380814">
        <w:t xml:space="preserve"> </w:t>
      </w:r>
      <w:r w:rsidR="00380814" w:rsidRPr="00BF4EB9">
        <w:t>139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140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8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59</w:t>
      </w:r>
      <w:r w:rsidR="00BF4EB9" w:rsidRPr="00BF4EB9">
        <w:t>−</w:t>
      </w:r>
      <w:r w:rsidRPr="00BF4EB9">
        <w:t>69</w:t>
      </w:r>
      <w:r w:rsidRPr="00BF4EB9">
        <w:tab/>
      </w:r>
      <w:r w:rsidR="00D315A5">
        <w:t>11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Système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contrôle</w:t>
      </w:r>
      <w:r w:rsidR="00380814">
        <w:t xml:space="preserve"> </w:t>
      </w:r>
      <w:r w:rsidR="00380814" w:rsidRPr="00BF4EB9">
        <w:t>électronique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la</w:t>
      </w:r>
      <w:r w:rsidR="00380814">
        <w:t xml:space="preserve"> </w:t>
      </w:r>
      <w:r w:rsidR="00380814" w:rsidRPr="00BF4EB9">
        <w:t>stabilité</w:t>
      </w:r>
      <w:r w:rsidRPr="00BF4EB9">
        <w:tab/>
      </w:r>
      <w:r w:rsidRPr="00BF4EB9">
        <w:tab/>
        <w:t>59</w:t>
      </w:r>
      <w:r w:rsidR="00BF4EB9" w:rsidRPr="00BF4EB9">
        <w:t>−</w:t>
      </w:r>
      <w:r w:rsidRPr="00BF4EB9">
        <w:t>60</w:t>
      </w:r>
      <w:r w:rsidRPr="00BF4EB9">
        <w:tab/>
      </w:r>
      <w:r w:rsidR="00D315A5">
        <w:t>11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Ensembles</w:t>
      </w:r>
      <w:r w:rsidR="00380814">
        <w:t xml:space="preserve"> </w:t>
      </w:r>
      <w:r w:rsidR="00380814" w:rsidRPr="00BF4EB9">
        <w:t>modulaires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véhicules</w:t>
      </w:r>
      <w:r w:rsidRPr="00BF4EB9">
        <w:tab/>
      </w:r>
      <w:r w:rsidRPr="00BF4EB9">
        <w:tab/>
        <w:t>61</w:t>
      </w:r>
      <w:r w:rsidR="00BF4EB9" w:rsidRPr="00BF4EB9">
        <w:t>−</w:t>
      </w:r>
      <w:r w:rsidRPr="00BF4EB9">
        <w:t>63</w:t>
      </w:r>
      <w:r w:rsidRPr="00BF4EB9">
        <w:tab/>
      </w:r>
      <w:r w:rsidR="00D315A5">
        <w:t>12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C.</w:t>
      </w:r>
      <w:r w:rsidRPr="00BF4EB9">
        <w:tab/>
      </w:r>
      <w:r w:rsidR="00380814" w:rsidRPr="00B56ABA">
        <w:t>Précisions</w:t>
      </w:r>
      <w:r w:rsidRPr="00BF4EB9">
        <w:tab/>
      </w:r>
      <w:r w:rsidRPr="00BF4EB9">
        <w:tab/>
        <w:t>64</w:t>
      </w:r>
      <w:r w:rsidR="00BF4EB9" w:rsidRPr="00BF4EB9">
        <w:t>−</w:t>
      </w:r>
      <w:r w:rsidRPr="00BF4EB9">
        <w:t>69</w:t>
      </w:r>
      <w:r w:rsidRPr="00BF4EB9">
        <w:tab/>
      </w:r>
      <w:r w:rsidR="00D315A5">
        <w:t>12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X.</w:t>
      </w:r>
      <w:r w:rsidRPr="00BF4EB9">
        <w:tab/>
      </w:r>
      <w:r w:rsidR="00380814" w:rsidRPr="00BF4EB9">
        <w:t>Freinage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motocycles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9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70</w:t>
      </w:r>
      <w:r w:rsidR="00BF4EB9" w:rsidRPr="00BF4EB9">
        <w:t>−</w:t>
      </w:r>
      <w:r w:rsidRPr="00BF4EB9">
        <w:t>71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Règlement</w:t>
      </w:r>
      <w:r w:rsidR="00380814">
        <w:t xml:space="preserve"> </w:t>
      </w:r>
      <w:r w:rsidR="00380814" w:rsidRPr="00BF4EB9">
        <w:t>technique</w:t>
      </w:r>
      <w:r w:rsidR="00380814">
        <w:t xml:space="preserve"> </w:t>
      </w:r>
      <w:r w:rsidR="00380814" w:rsidRPr="00BF4EB9">
        <w:t>mondial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>
        <w:rPr>
          <w:rFonts w:eastAsia="MS Mincho"/>
        </w:rPr>
        <w:t>n</w:t>
      </w:r>
      <w:r w:rsidR="00380814">
        <w:rPr>
          <w:rFonts w:eastAsia="MS Mincho"/>
          <w:vertAlign w:val="superscript"/>
        </w:rPr>
        <w:t>o</w:t>
      </w:r>
      <w:r w:rsidR="00380814">
        <w:t> </w:t>
      </w:r>
      <w:r w:rsidR="00380814" w:rsidRPr="00BF4EB9">
        <w:t>3</w:t>
      </w:r>
      <w:r w:rsidRPr="00BF4EB9">
        <w:tab/>
      </w:r>
      <w:r w:rsidRPr="00BF4EB9">
        <w:tab/>
        <w:t>70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Règlement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>
        <w:rPr>
          <w:rFonts w:eastAsia="MS Mincho"/>
        </w:rPr>
        <w:t>n</w:t>
      </w:r>
      <w:r w:rsidR="00380814">
        <w:rPr>
          <w:rFonts w:eastAsia="MS Mincho"/>
          <w:vertAlign w:val="superscript"/>
        </w:rPr>
        <w:t>o</w:t>
      </w:r>
      <w:r w:rsidR="00380814">
        <w:t> </w:t>
      </w:r>
      <w:r w:rsidR="00380814" w:rsidRPr="00BF4EB9">
        <w:t>78</w:t>
      </w:r>
      <w:r w:rsidRPr="00BF4EB9">
        <w:tab/>
      </w:r>
      <w:r w:rsidRPr="00BF4EB9">
        <w:tab/>
        <w:t>71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XI.</w:t>
      </w:r>
      <w:r w:rsidRPr="00BF4EB9">
        <w:tab/>
      </w:r>
      <w:r w:rsidR="00380814" w:rsidRPr="00BF4EB9">
        <w:t>Règlement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>
        <w:rPr>
          <w:rFonts w:eastAsia="MS Mincho"/>
        </w:rPr>
        <w:t>n</w:t>
      </w:r>
      <w:r w:rsidR="00380814">
        <w:rPr>
          <w:rFonts w:eastAsia="MS Mincho"/>
          <w:vertAlign w:val="superscript"/>
        </w:rPr>
        <w:t>o</w:t>
      </w:r>
      <w:r w:rsidR="00380814">
        <w:t> </w:t>
      </w:r>
      <w:r w:rsidR="00380814" w:rsidRPr="00BF4EB9">
        <w:t>90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10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72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XII.</w:t>
      </w:r>
      <w:r w:rsidRPr="00BF4EB9">
        <w:tab/>
      </w:r>
      <w:r w:rsidR="00380814" w:rsidRPr="00BF4EB9">
        <w:t>Révision</w:t>
      </w:r>
      <w:r w:rsidR="00380814">
        <w:t xml:space="preserve"> </w:t>
      </w:r>
      <w:r w:rsidR="00380814" w:rsidRPr="00BF4EB9">
        <w:t>3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l’Accord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1958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11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73</w:t>
      </w:r>
      <w:r w:rsidR="00BF4EB9" w:rsidRPr="00BF4EB9">
        <w:t>−</w:t>
      </w:r>
      <w:r w:rsidRPr="00BF4EB9">
        <w:t>74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Application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dispositions</w:t>
      </w:r>
      <w:r w:rsidR="00380814">
        <w:t xml:space="preserve"> </w:t>
      </w:r>
      <w:r w:rsidR="00380814" w:rsidRPr="00BF4EB9">
        <w:t>pertinentes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la</w:t>
      </w:r>
      <w:r w:rsidR="00380814">
        <w:t xml:space="preserve"> </w:t>
      </w:r>
      <w:r w:rsidR="00380814" w:rsidRPr="00BF4EB9">
        <w:t>révision</w:t>
      </w:r>
      <w:r w:rsidR="00380814">
        <w:t xml:space="preserve"> </w:t>
      </w:r>
      <w:r w:rsidR="00380814" w:rsidRPr="00BF4EB9">
        <w:t>3</w:t>
      </w:r>
      <w:r w:rsidR="00380814">
        <w:t xml:space="preserve"> </w:t>
      </w:r>
      <w:r w:rsidR="00380814">
        <w:br/>
      </w:r>
      <w:r w:rsidR="00380814" w:rsidRPr="00BF4EB9">
        <w:t>de</w:t>
      </w:r>
      <w:r w:rsidR="00380814">
        <w:t xml:space="preserve"> </w:t>
      </w:r>
      <w:r w:rsidR="00380814" w:rsidRPr="00BF4EB9">
        <w:t>l’Accord</w:t>
      </w:r>
      <w:r w:rsidR="00380814">
        <w:t xml:space="preserve"> </w:t>
      </w:r>
      <w:r w:rsidR="00380814" w:rsidRPr="00BF4EB9">
        <w:t>de</w:t>
      </w:r>
      <w:r w:rsidR="00380814">
        <w:t> </w:t>
      </w:r>
      <w:r w:rsidR="00380814" w:rsidRPr="00BF4EB9">
        <w:t>1958</w:t>
      </w:r>
      <w:r w:rsidR="00023E07" w:rsidRPr="00BF4EB9">
        <w:tab/>
      </w:r>
      <w:r w:rsidRPr="00BF4EB9">
        <w:tab/>
        <w:t>73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Homologation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type</w:t>
      </w:r>
      <w:r w:rsidR="00380814">
        <w:t xml:space="preserve"> </w:t>
      </w:r>
      <w:r w:rsidR="00380814" w:rsidRPr="00BF4EB9">
        <w:t>internationale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l’ensemble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véhicule</w:t>
      </w:r>
      <w:r w:rsidRPr="00BF4EB9">
        <w:tab/>
      </w:r>
      <w:r w:rsidRPr="00BF4EB9">
        <w:tab/>
        <w:t>74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XIII.</w:t>
      </w:r>
      <w:r w:rsidRPr="00BF4EB9">
        <w:tab/>
      </w:r>
      <w:r w:rsidR="00380814" w:rsidRPr="00BF4EB9">
        <w:t>Questions</w:t>
      </w:r>
      <w:r w:rsidR="00380814">
        <w:t xml:space="preserve"> </w:t>
      </w:r>
      <w:r w:rsidR="00380814" w:rsidRPr="00BF4EB9">
        <w:t>diverses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12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75</w:t>
      </w:r>
      <w:r w:rsidR="00BF4EB9" w:rsidRPr="00BF4EB9">
        <w:t>−</w:t>
      </w:r>
      <w:r w:rsidRPr="00BF4EB9">
        <w:t>84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A.</w:t>
      </w:r>
      <w:r w:rsidRPr="00BF4EB9">
        <w:tab/>
      </w:r>
      <w:r w:rsidR="00380814" w:rsidRPr="00BF4EB9">
        <w:t>Liste</w:t>
      </w:r>
      <w:r w:rsidR="00380814">
        <w:t xml:space="preserve"> </w:t>
      </w:r>
      <w:r w:rsidR="00380814" w:rsidRPr="00BF4EB9">
        <w:t>des</w:t>
      </w:r>
      <w:r w:rsidR="00380814">
        <w:t xml:space="preserve"> </w:t>
      </w:r>
      <w:r w:rsidR="00380814" w:rsidRPr="00BF4EB9">
        <w:t>priorités</w:t>
      </w:r>
      <w:r w:rsidR="00380814">
        <w:t xml:space="preserve"> </w:t>
      </w:r>
      <w:r w:rsidR="00380814" w:rsidRPr="00BF4EB9">
        <w:t>en</w:t>
      </w:r>
      <w:r w:rsidR="00380814">
        <w:t xml:space="preserve"> </w:t>
      </w:r>
      <w:r w:rsidR="00380814" w:rsidRPr="00BF4EB9">
        <w:t>ce</w:t>
      </w:r>
      <w:r w:rsidR="00380814">
        <w:t xml:space="preserve"> </w:t>
      </w:r>
      <w:r w:rsidR="00380814" w:rsidRPr="00BF4EB9">
        <w:t>qui</w:t>
      </w:r>
      <w:r w:rsidR="00380814">
        <w:t xml:space="preserve"> </w:t>
      </w:r>
      <w:r w:rsidR="00380814" w:rsidRPr="00BF4EB9">
        <w:t>concerne</w:t>
      </w:r>
      <w:r w:rsidR="00380814">
        <w:t xml:space="preserve"> </w:t>
      </w:r>
      <w:r w:rsidR="00380814" w:rsidRPr="00BF4EB9">
        <w:t>les</w:t>
      </w:r>
      <w:r w:rsidR="00380814">
        <w:t xml:space="preserve"> </w:t>
      </w:r>
      <w:r w:rsidR="00380814" w:rsidRPr="00BF4EB9">
        <w:t>activités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GRVA</w:t>
      </w:r>
      <w:r w:rsidRPr="00BF4EB9">
        <w:tab/>
      </w:r>
      <w:r w:rsidRPr="00BF4EB9">
        <w:tab/>
        <w:t>75</w:t>
      </w:r>
      <w:r w:rsidRPr="00BF4EB9">
        <w:tab/>
      </w:r>
      <w:r w:rsidR="00D315A5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B.</w:t>
      </w:r>
      <w:r w:rsidRPr="00BF4EB9">
        <w:tab/>
      </w:r>
      <w:r w:rsidR="00380814" w:rsidRPr="00BF4EB9">
        <w:t>Intelligence</w:t>
      </w:r>
      <w:r w:rsidR="00380814">
        <w:t xml:space="preserve"> </w:t>
      </w:r>
      <w:r w:rsidR="00380814" w:rsidRPr="00BF4EB9">
        <w:t>artificielle</w:t>
      </w:r>
      <w:r w:rsidRPr="00BF4EB9">
        <w:tab/>
      </w:r>
      <w:r w:rsidRPr="00BF4EB9">
        <w:tab/>
        <w:t>76</w:t>
      </w:r>
      <w:r w:rsidR="00BF4EB9" w:rsidRPr="00BF4EB9">
        <w:t>−</w:t>
      </w:r>
      <w:r w:rsidRPr="00BF4EB9">
        <w:t>80</w:t>
      </w:r>
      <w:r w:rsidRPr="00BF4EB9">
        <w:tab/>
      </w:r>
      <w:r w:rsidR="00380814">
        <w:t>13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C.</w:t>
      </w:r>
      <w:r w:rsidRPr="00BF4EB9">
        <w:tab/>
      </w:r>
      <w:r w:rsidR="00380814" w:rsidRPr="00BF4EB9">
        <w:t>Questions</w:t>
      </w:r>
      <w:r w:rsidR="00380814">
        <w:t xml:space="preserve"> </w:t>
      </w:r>
      <w:r w:rsidR="00380814" w:rsidRPr="00BF4EB9">
        <w:t>diverses</w:t>
      </w:r>
      <w:r w:rsidRPr="00BF4EB9">
        <w:tab/>
      </w:r>
      <w:r w:rsidRPr="00BF4EB9">
        <w:tab/>
        <w:t>81</w:t>
      </w:r>
      <w:r w:rsidR="00BF4EB9" w:rsidRPr="00BF4EB9">
        <w:t>−</w:t>
      </w:r>
      <w:r w:rsidRPr="00BF4EB9">
        <w:t>83</w:t>
      </w:r>
      <w:r w:rsidRPr="00BF4EB9">
        <w:tab/>
      </w:r>
      <w:r w:rsidR="00380814">
        <w:t>14</w:t>
      </w:r>
    </w:p>
    <w:p w:rsidR="00DB758D" w:rsidRPr="00BF4EB9" w:rsidRDefault="00DB758D" w:rsidP="00023E07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BF4EB9">
        <w:t>D.</w:t>
      </w:r>
      <w:r w:rsidRPr="00BF4EB9">
        <w:tab/>
      </w:r>
      <w:r w:rsidR="00380814" w:rsidRPr="00BF4EB9">
        <w:t>Hommages</w:t>
      </w:r>
      <w:r w:rsidRPr="00BF4EB9">
        <w:tab/>
      </w:r>
      <w:r w:rsidRPr="00BF4EB9">
        <w:tab/>
        <w:t>84</w:t>
      </w:r>
      <w:r w:rsidRPr="00BF4EB9">
        <w:tab/>
      </w:r>
      <w:r w:rsidR="00380814">
        <w:t>14</w:t>
      </w:r>
    </w:p>
    <w:p w:rsidR="00DB758D" w:rsidRPr="00BF4EB9" w:rsidRDefault="00DB758D" w:rsidP="00023E07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BF4EB9">
        <w:tab/>
        <w:t>XIV.</w:t>
      </w:r>
      <w:r w:rsidRPr="00BF4EB9">
        <w:tab/>
      </w:r>
      <w:r w:rsidR="00380814" w:rsidRPr="00BF4EB9">
        <w:t>Élection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bureau</w:t>
      </w:r>
      <w:r w:rsidR="00380814">
        <w:t xml:space="preserve"> </w:t>
      </w:r>
      <w:r w:rsidR="00380814" w:rsidRPr="00BF4EB9">
        <w:t>(point</w:t>
      </w:r>
      <w:r w:rsidR="00380814">
        <w:t xml:space="preserve"> </w:t>
      </w:r>
      <w:r w:rsidR="00380814" w:rsidRPr="00BF4EB9">
        <w:t>13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l’ordre</w:t>
      </w:r>
      <w:r w:rsidR="00380814">
        <w:t xml:space="preserve"> </w:t>
      </w:r>
      <w:r w:rsidR="00380814" w:rsidRPr="00BF4EB9">
        <w:t>du</w:t>
      </w:r>
      <w:r w:rsidR="00380814">
        <w:t xml:space="preserve"> </w:t>
      </w:r>
      <w:r w:rsidR="00380814" w:rsidRPr="00BF4EB9">
        <w:t>jour)</w:t>
      </w:r>
      <w:r w:rsidRPr="00BF4EB9">
        <w:tab/>
      </w:r>
      <w:r w:rsidRPr="00BF4EB9">
        <w:tab/>
        <w:t>85</w:t>
      </w:r>
      <w:r w:rsidR="00BF4EB9" w:rsidRPr="00BF4EB9">
        <w:t>−</w:t>
      </w:r>
      <w:r w:rsidRPr="00BF4EB9">
        <w:t>86</w:t>
      </w:r>
      <w:r w:rsidRPr="00BF4EB9">
        <w:tab/>
      </w:r>
      <w:r w:rsidR="00380814">
        <w:t>15</w:t>
      </w:r>
    </w:p>
    <w:p w:rsidR="00DB758D" w:rsidRPr="00380814" w:rsidRDefault="00DB758D" w:rsidP="00DB758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after="80"/>
        <w:rPr>
          <w:lang w:val="en-US"/>
        </w:rPr>
      </w:pPr>
      <w:r w:rsidRPr="00380814">
        <w:rPr>
          <w:lang w:val="en-US"/>
        </w:rPr>
        <w:t>Annexes</w:t>
      </w:r>
    </w:p>
    <w:p w:rsidR="00DB758D" w:rsidRPr="004B7086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  <w:rPr>
          <w:lang w:val="en-US"/>
        </w:rPr>
      </w:pPr>
      <w:r w:rsidRPr="00380814">
        <w:rPr>
          <w:lang w:val="en-US"/>
        </w:rPr>
        <w:tab/>
      </w:r>
      <w:r w:rsidRPr="004B7086">
        <w:rPr>
          <w:lang w:val="en-US"/>
        </w:rPr>
        <w:t>I</w:t>
      </w:r>
      <w:r w:rsidRPr="004B7086">
        <w:rPr>
          <w:lang w:val="en-US"/>
        </w:rPr>
        <w:tab/>
      </w:r>
      <w:r w:rsidR="00380814" w:rsidRPr="009D5575">
        <w:rPr>
          <w:lang w:val="en-US"/>
        </w:rPr>
        <w:t>List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of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informal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documents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(GRVA-07-…)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considered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during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the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session</w:t>
      </w:r>
      <w:r w:rsidRPr="004B7086">
        <w:rPr>
          <w:lang w:val="en-US"/>
        </w:rPr>
        <w:tab/>
      </w:r>
      <w:r w:rsidRPr="004B7086">
        <w:rPr>
          <w:lang w:val="en-US"/>
        </w:rPr>
        <w:tab/>
      </w:r>
      <w:r w:rsidR="00380814">
        <w:rPr>
          <w:lang w:val="en-US"/>
        </w:rPr>
        <w:t>16</w:t>
      </w:r>
    </w:p>
    <w:p w:rsidR="00DB758D" w:rsidRPr="004B7086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  <w:rPr>
          <w:lang w:val="en-US"/>
        </w:rPr>
      </w:pPr>
      <w:r w:rsidRPr="004B7086">
        <w:rPr>
          <w:lang w:val="en-US"/>
        </w:rPr>
        <w:tab/>
        <w:t>II</w:t>
      </w:r>
      <w:r w:rsidRPr="004B7086">
        <w:rPr>
          <w:lang w:val="en-US"/>
        </w:rPr>
        <w:tab/>
      </w:r>
      <w:r w:rsidR="00380814" w:rsidRPr="009D5575">
        <w:rPr>
          <w:lang w:val="en-US"/>
        </w:rPr>
        <w:t>List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of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Informal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Working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Groups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reporting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to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GRVA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(as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of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September</w:t>
      </w:r>
      <w:r w:rsidR="00380814">
        <w:rPr>
          <w:lang w:val="en-US"/>
        </w:rPr>
        <w:t xml:space="preserve"> </w:t>
      </w:r>
      <w:r w:rsidR="00380814" w:rsidRPr="009D5575">
        <w:rPr>
          <w:lang w:val="en-US"/>
        </w:rPr>
        <w:t>2020)</w:t>
      </w:r>
      <w:r w:rsidRPr="004B7086">
        <w:rPr>
          <w:lang w:val="en-US"/>
        </w:rPr>
        <w:tab/>
      </w:r>
      <w:r w:rsidRPr="004B7086">
        <w:rPr>
          <w:lang w:val="en-US"/>
        </w:rPr>
        <w:tab/>
      </w:r>
      <w:r w:rsidR="00380814">
        <w:rPr>
          <w:lang w:val="en-US"/>
        </w:rPr>
        <w:t>19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4B7086">
        <w:rPr>
          <w:lang w:val="en-US"/>
        </w:rPr>
        <w:tab/>
      </w:r>
      <w:r w:rsidRPr="00380814">
        <w:t>III</w:t>
      </w:r>
      <w:r w:rsidRPr="00380814">
        <w:tab/>
      </w:r>
      <w:r w:rsidR="00380814" w:rsidRPr="00BF4EB9">
        <w:t>Projet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complément</w:t>
      </w:r>
      <w:r w:rsidR="00380814">
        <w:t xml:space="preserve"> </w:t>
      </w:r>
      <w:r w:rsidR="00380814" w:rsidRPr="00BF4EB9">
        <w:t>1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Règlement</w:t>
      </w:r>
      <w:r w:rsidR="00380814">
        <w:t xml:space="preserve"> </w:t>
      </w:r>
      <w:r w:rsidR="00380814" w:rsidRPr="00BF4EB9">
        <w:t>ONU</w:t>
      </w:r>
      <w:r w:rsidR="00380814">
        <w:t xml:space="preserve"> </w:t>
      </w:r>
      <w:r w:rsidR="00380814">
        <w:rPr>
          <w:rFonts w:eastAsia="MS Mincho"/>
        </w:rPr>
        <w:t>n</w:t>
      </w:r>
      <w:r w:rsidR="00380814">
        <w:rPr>
          <w:rFonts w:eastAsia="MS Mincho"/>
          <w:vertAlign w:val="superscript"/>
        </w:rPr>
        <w:t>o</w:t>
      </w:r>
      <w:r w:rsidR="00380814">
        <w:t> </w:t>
      </w:r>
      <w:r w:rsidR="00380814" w:rsidRPr="00BF4EB9">
        <w:t>[157]</w:t>
      </w:r>
      <w:r w:rsidR="00380814">
        <w:t xml:space="preserve"> </w:t>
      </w:r>
      <w:r w:rsidR="00380814">
        <w:br/>
      </w:r>
      <w:r w:rsidR="00380814" w:rsidRPr="00BF4EB9">
        <w:t>(Systèmes</w:t>
      </w:r>
      <w:r w:rsidR="00380814">
        <w:t xml:space="preserve"> </w:t>
      </w:r>
      <w:r w:rsidR="00380814" w:rsidRPr="00BF4EB9">
        <w:t>automatisés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maintien</w:t>
      </w:r>
      <w:r w:rsidR="00380814">
        <w:t xml:space="preserve"> </w:t>
      </w:r>
      <w:r w:rsidR="00380814" w:rsidRPr="00BF4EB9">
        <w:t>dans</w:t>
      </w:r>
      <w:r w:rsidR="00380814">
        <w:t xml:space="preserve"> </w:t>
      </w:r>
      <w:r w:rsidR="00380814" w:rsidRPr="00BF4EB9">
        <w:t>la</w:t>
      </w:r>
      <w:r w:rsidR="00380814">
        <w:t xml:space="preserve"> </w:t>
      </w:r>
      <w:r w:rsidR="00380814" w:rsidRPr="00BF4EB9">
        <w:t>voie)</w:t>
      </w:r>
      <w:r w:rsidRPr="00380814">
        <w:tab/>
      </w:r>
      <w:r w:rsidRPr="00380814">
        <w:tab/>
      </w:r>
      <w:r w:rsidR="00380814">
        <w:t>20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IV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ECE/TRANS/WP.29/GRVA/2020/29</w:t>
      </w:r>
      <w:r w:rsidRPr="00380814">
        <w:tab/>
      </w:r>
      <w:r w:rsidRPr="00380814">
        <w:tab/>
      </w:r>
      <w:r w:rsidR="00380814">
        <w:t>24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V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ECE/TRANS/WP.29/GRVA/2020/26</w:t>
      </w:r>
      <w:r w:rsidRPr="00380814">
        <w:tab/>
      </w:r>
      <w:r w:rsidRPr="00380814">
        <w:tab/>
      </w:r>
      <w:r w:rsidR="00380814">
        <w:t>25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VI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ECE/TRANS/WP.29/GRVA/2020/27</w:t>
      </w:r>
      <w:r w:rsidRPr="00380814">
        <w:tab/>
      </w:r>
      <w:r w:rsidRPr="00380814">
        <w:tab/>
      </w:r>
      <w:r w:rsidR="00380814">
        <w:t>28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VII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ECE/TRANS/WP.29/GRVA/2020/28</w:t>
      </w:r>
      <w:r w:rsidRPr="00380814">
        <w:tab/>
      </w:r>
      <w:r w:rsidRPr="00380814">
        <w:tab/>
      </w:r>
      <w:r w:rsidR="00380814">
        <w:t>30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VIII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ECE/TRANS/WP.29/GRVA/2020/35</w:t>
      </w:r>
      <w:r w:rsidRPr="00380814">
        <w:tab/>
      </w:r>
      <w:r w:rsidRPr="00380814">
        <w:tab/>
      </w:r>
      <w:r w:rsidR="00380814">
        <w:t>31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IX</w:t>
      </w:r>
      <w:r w:rsidRPr="00380814">
        <w:tab/>
      </w:r>
      <w:r w:rsidR="00380814" w:rsidRPr="00BF4EB9">
        <w:t>Mandat</w:t>
      </w:r>
      <w:r w:rsidR="00380814">
        <w:t xml:space="preserve"> </w:t>
      </w:r>
      <w:r w:rsidR="00380814" w:rsidRPr="00BF4EB9">
        <w:t>et</w:t>
      </w:r>
      <w:r w:rsidR="00380814">
        <w:t xml:space="preserve"> </w:t>
      </w:r>
      <w:r w:rsidR="00380814" w:rsidRPr="00BF4EB9">
        <w:t>Règlement</w:t>
      </w:r>
      <w:r w:rsidR="00380814">
        <w:t xml:space="preserve"> </w:t>
      </w:r>
      <w:r w:rsidR="00380814" w:rsidRPr="00BF4EB9">
        <w:t>intérieur</w:t>
      </w:r>
      <w:r w:rsidR="00380814">
        <w:t xml:space="preserve"> </w:t>
      </w:r>
      <w:r w:rsidR="00380814" w:rsidRPr="00BF4EB9">
        <w:t>adoptés</w:t>
      </w:r>
      <w:r w:rsidR="00380814">
        <w:t xml:space="preserve"> </w:t>
      </w:r>
      <w:r w:rsidR="00380814" w:rsidRPr="00BF4EB9">
        <w:t>pour</w:t>
      </w:r>
      <w:r w:rsidR="00380814">
        <w:t xml:space="preserve"> </w:t>
      </w:r>
      <w:r w:rsidR="00380814" w:rsidRPr="00BF4EB9">
        <w:t>le</w:t>
      </w:r>
      <w:r w:rsidR="00380814">
        <w:t xml:space="preserve"> </w:t>
      </w:r>
      <w:r w:rsidR="00380814" w:rsidRPr="00BF4EB9">
        <w:t>nouveau</w:t>
      </w:r>
      <w:r w:rsidR="00380814">
        <w:t xml:space="preserve"> </w:t>
      </w:r>
      <w:r w:rsidR="00380814" w:rsidRPr="00BF4EB9">
        <w:t>groupe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travail</w:t>
      </w:r>
      <w:r w:rsidR="00380814">
        <w:t xml:space="preserve"> </w:t>
      </w:r>
      <w:r w:rsidR="00380814" w:rsidRPr="00BF4EB9">
        <w:t>informel</w:t>
      </w:r>
      <w:r w:rsidR="00380814">
        <w:t xml:space="preserve"> </w:t>
      </w:r>
      <w:r w:rsidR="00380814">
        <w:br/>
      </w:r>
      <w:r w:rsidR="00380814" w:rsidRPr="00BF4EB9">
        <w:t>des</w:t>
      </w:r>
      <w:r w:rsidR="00380814">
        <w:t xml:space="preserve"> </w:t>
      </w:r>
      <w:r w:rsidR="00380814" w:rsidRPr="00BF4EB9">
        <w:t>systèmes</w:t>
      </w:r>
      <w:r w:rsidR="00380814">
        <w:t xml:space="preserve"> </w:t>
      </w:r>
      <w:r w:rsidR="00380814" w:rsidRPr="00BF4EB9">
        <w:t>actifs</w:t>
      </w:r>
      <w:r w:rsidR="00380814">
        <w:t xml:space="preserve"> </w:t>
      </w:r>
      <w:r w:rsidR="00380814" w:rsidRPr="00BF4EB9">
        <w:t>de</w:t>
      </w:r>
      <w:r w:rsidR="00380814">
        <w:t xml:space="preserve"> </w:t>
      </w:r>
      <w:r w:rsidR="00380814" w:rsidRPr="00BF4EB9">
        <w:t>freinage</w:t>
      </w:r>
      <w:r w:rsidR="00380814">
        <w:t xml:space="preserve"> </w:t>
      </w:r>
      <w:r w:rsidR="00380814" w:rsidRPr="00BF4EB9">
        <w:t>d’urgence</w:t>
      </w:r>
      <w:r w:rsidR="00380814">
        <w:t xml:space="preserve"> </w:t>
      </w:r>
      <w:r w:rsidR="00380814" w:rsidRPr="00BF4EB9">
        <w:t>pour</w:t>
      </w:r>
      <w:r w:rsidR="00380814">
        <w:t xml:space="preserve"> </w:t>
      </w:r>
      <w:r w:rsidR="00380814" w:rsidRPr="00BF4EB9">
        <w:t>véhicules</w:t>
      </w:r>
      <w:r w:rsidR="00380814">
        <w:t xml:space="preserve"> </w:t>
      </w:r>
      <w:r w:rsidR="00380814" w:rsidRPr="00BF4EB9">
        <w:t>lourds</w:t>
      </w:r>
      <w:r w:rsidRPr="00380814">
        <w:tab/>
      </w:r>
      <w:r w:rsidRPr="00380814">
        <w:tab/>
      </w:r>
      <w:r w:rsidR="00380814">
        <w:t>32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X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ECE/TRANS/WP.29/GRVA/2020/30</w:t>
      </w:r>
      <w:r w:rsidRPr="00380814">
        <w:tab/>
      </w:r>
      <w:r w:rsidRPr="00380814">
        <w:tab/>
      </w:r>
      <w:r w:rsidR="00380814">
        <w:t>34</w:t>
      </w:r>
    </w:p>
    <w:p w:rsidR="00DB758D" w:rsidRPr="00380814" w:rsidRDefault="00DB758D" w:rsidP="00023E07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 w:rsidRPr="00380814">
        <w:tab/>
        <w:t>XI</w:t>
      </w:r>
      <w:r w:rsidRPr="00380814">
        <w:tab/>
      </w:r>
      <w:r w:rsidR="00380814" w:rsidRPr="00BF4EB9">
        <w:t>Modifications</w:t>
      </w:r>
      <w:r w:rsidR="00380814">
        <w:t xml:space="preserve"> </w:t>
      </w:r>
      <w:r w:rsidR="00380814" w:rsidRPr="00BF4EB9">
        <w:t>apportées</w:t>
      </w:r>
      <w:r w:rsidR="00380814">
        <w:t xml:space="preserve"> </w:t>
      </w:r>
      <w:r w:rsidR="00380814" w:rsidRPr="00BF4EB9">
        <w:t>au</w:t>
      </w:r>
      <w:r w:rsidR="00380814">
        <w:t xml:space="preserve"> </w:t>
      </w:r>
      <w:r w:rsidR="00380814" w:rsidRPr="00BF4EB9">
        <w:t>document</w:t>
      </w:r>
      <w:r w:rsidR="00380814">
        <w:t xml:space="preserve"> </w:t>
      </w:r>
      <w:r w:rsidR="00380814" w:rsidRPr="00BF4EB9">
        <w:t>ECE/TRANS/WP.29/GRVA/2020/36</w:t>
      </w:r>
      <w:r w:rsidRPr="00380814">
        <w:tab/>
      </w:r>
      <w:r w:rsidRPr="00380814">
        <w:tab/>
      </w:r>
      <w:r w:rsidR="00380814">
        <w:t>37</w:t>
      </w:r>
    </w:p>
    <w:p w:rsidR="0053461A" w:rsidRPr="00380814" w:rsidRDefault="0053461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 w:rsidRPr="00380814">
        <w:br w:type="page"/>
      </w:r>
    </w:p>
    <w:p w:rsidR="00DB758D" w:rsidRPr="00BF4EB9" w:rsidRDefault="00DB758D" w:rsidP="00BF4EB9">
      <w:pPr>
        <w:pStyle w:val="HChG"/>
      </w:pPr>
      <w:r w:rsidRPr="00380814">
        <w:lastRenderedPageBreak/>
        <w:tab/>
      </w:r>
      <w:r w:rsidRPr="00BF4EB9">
        <w:t>I.</w:t>
      </w:r>
      <w:r w:rsidRPr="00BF4EB9">
        <w:tab/>
        <w:t>Participation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ouverture</w:t>
      </w:r>
    </w:p>
    <w:p w:rsidR="00DB758D" w:rsidRPr="004B7086" w:rsidRDefault="00DB758D" w:rsidP="00BF4EB9">
      <w:pPr>
        <w:pStyle w:val="SingleTxtG"/>
        <w:rPr>
          <w:spacing w:val="-1"/>
        </w:rPr>
      </w:pPr>
      <w:r w:rsidRPr="004B7086">
        <w:rPr>
          <w:spacing w:val="-1"/>
        </w:rPr>
        <w:t>1.</w:t>
      </w:r>
      <w:r w:rsidRPr="004B7086">
        <w:rPr>
          <w:spacing w:val="-1"/>
        </w:rPr>
        <w:tab/>
        <w:t>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Groupe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travail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véhicules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automatisés/autonomes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connectés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(GRVA)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tenu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21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25</w:t>
      </w:r>
      <w:r w:rsidR="004B7086">
        <w:rPr>
          <w:spacing w:val="-1"/>
        </w:rPr>
        <w:t> </w:t>
      </w:r>
      <w:r w:rsidRPr="004B7086">
        <w:rPr>
          <w:spacing w:val="-1"/>
        </w:rPr>
        <w:t>septembre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2020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une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réunion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ligne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sans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interprétation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(réunion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informelle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remplacement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septième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session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qui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devait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tenir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à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Genève).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réunion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était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présidée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par</w:t>
      </w:r>
      <w:r w:rsidR="004B7086" w:rsidRPr="004B7086">
        <w:rPr>
          <w:spacing w:val="-1"/>
        </w:rPr>
        <w:t xml:space="preserve"> M. </w:t>
      </w:r>
      <w:r w:rsidRPr="004B7086">
        <w:rPr>
          <w:spacing w:val="-1"/>
        </w:rPr>
        <w:t>R.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Damm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(Allemagne).</w:t>
      </w:r>
      <w:r w:rsidR="004B7086" w:rsidRPr="004B7086">
        <w:rPr>
          <w:rFonts w:ascii="Segoe UI" w:hAnsi="Segoe UI" w:cs="Segoe UI"/>
          <w:spacing w:val="-1"/>
        </w:rPr>
        <w:t xml:space="preserve"> </w:t>
      </w:r>
      <w:r w:rsidRPr="004B7086">
        <w:rPr>
          <w:spacing w:val="-1"/>
        </w:rPr>
        <w:t>Conformément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à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l’</w:t>
      </w:r>
      <w:r w:rsidR="00023E07" w:rsidRPr="004B7086">
        <w:rPr>
          <w:spacing w:val="-1"/>
        </w:rPr>
        <w:t>article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premier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Règlement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intérieur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Forum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mondial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l’harmonisation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Règlements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concernant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véhicules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(WP.29)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(TRANS/WP.29/690/Rev.2),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participé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aux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travaux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experts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accrédités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pays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suivants</w:t>
      </w:r>
      <w:r w:rsidR="004B7086" w:rsidRPr="004B7086">
        <w:rPr>
          <w:spacing w:val="-1"/>
        </w:rPr>
        <w:t xml:space="preserve"> : </w:t>
      </w:r>
      <w:r w:rsidRPr="004B7086">
        <w:rPr>
          <w:spacing w:val="-1"/>
        </w:rPr>
        <w:t>Afrique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Sud,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Allemagne,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Autriche,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Belgique,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Canada,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Chine,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Danemark,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Espagne,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États-Unis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d’Amérique,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Fédération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Russie,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Finlande,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France,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Hongrie,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Inde,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Israël,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Italie,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Japon,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Luxembourg,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Malaisie,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Norvège,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Nouvelle-Zélande,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Pays-Bas,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Pologne,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République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Corée,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République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tchèque,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Royaume-Uni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Grande-Bretagne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d’Irlande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Nord,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Serbie,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Slovaquie,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Suède</w:t>
      </w:r>
      <w:r w:rsidR="002B7064">
        <w:rPr>
          <w:spacing w:val="-1"/>
        </w:rPr>
        <w:t>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Suisse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Turquie.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Un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expert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Commission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(CE)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était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également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présent.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Y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aussi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participé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experts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organisations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non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gouvernementales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(ONG)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organisations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suivantes</w:t>
      </w:r>
      <w:r w:rsidR="004B7086" w:rsidRPr="004B7086">
        <w:rPr>
          <w:spacing w:val="-1"/>
        </w:rPr>
        <w:t> :</w:t>
      </w:r>
      <w:r w:rsidR="004B7086" w:rsidRPr="004B7086">
        <w:rPr>
          <w:rFonts w:ascii="Segoe UI" w:hAnsi="Segoe UI" w:cs="Segoe UI"/>
          <w:spacing w:val="-1"/>
        </w:rPr>
        <w:t xml:space="preserve"> </w:t>
      </w:r>
      <w:bookmarkStart w:id="2" w:name="_Hlk61604337"/>
      <w:r w:rsidRPr="004B7086">
        <w:rPr>
          <w:spacing w:val="-1"/>
        </w:rPr>
        <w:t>American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Automotive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Policy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Council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(AAPC),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véhicules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électriques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routiers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(AVERE),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European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Agricultural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Machinery</w:t>
      </w:r>
      <w:proofErr w:type="spellEnd"/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Organization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(CEMA),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Comité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l’inspection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technique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automobile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(CITA),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Comité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liaison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construction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carrosseries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remorques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(CLCCR),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fournisseurs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l’automobile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(CLEPA/MEMA/JAPIA),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European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Garage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Equipment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(EGEA),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Confederation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of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the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European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Bicycle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Industries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(CONEBI),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fabricants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pneus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caoutchouc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(ETRMA),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Organisation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technique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européenne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pneumatique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jante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(ETRTO),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Conseil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sécurité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transports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(ETSC),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Fédération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fabricants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européens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matériaux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friction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(FEMFM)</w:t>
      </w:r>
      <w:r w:rsidRPr="004B7086">
        <w:rPr>
          <w:bCs/>
          <w:iCs/>
          <w:noProof/>
          <w:spacing w:val="-1"/>
        </w:rPr>
        <w:t>,</w:t>
      </w:r>
      <w:r w:rsidR="004B7086" w:rsidRPr="004B7086">
        <w:rPr>
          <w:bCs/>
          <w:iCs/>
          <w:noProof/>
          <w:spacing w:val="-1"/>
        </w:rPr>
        <w:t xml:space="preserve"> </w:t>
      </w:r>
      <w:r w:rsidRPr="004B7086">
        <w:rPr>
          <w:spacing w:val="-1"/>
        </w:rPr>
        <w:t>Fédération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l’automobile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(FIA),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Fédération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grossistes,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importateurs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exportateurs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fournitures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automobiles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(FIGIEFA),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constructeurs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motocycles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(IMMA),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Union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transports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routiers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(IRU),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Institut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pour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sécurité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la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sûreté,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Université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sciences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appliquées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Brandebourg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(ISS),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Fédération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routière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(FRI),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Organisation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normalisation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(ISO),</w:t>
      </w:r>
      <w:r w:rsidR="004B7086" w:rsidRPr="004B7086">
        <w:rPr>
          <w:rFonts w:ascii="Segoe UI" w:hAnsi="Segoe UI" w:cs="Segoe UI"/>
          <w:spacing w:val="-1"/>
        </w:rPr>
        <w:t xml:space="preserve"> </w:t>
      </w:r>
      <w:r w:rsidRPr="004B7086">
        <w:rPr>
          <w:spacing w:val="-1"/>
        </w:rPr>
        <w:t>Union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télécommunications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(UIT),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Organisation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constructeurs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d’automobiles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(OICA),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véhicule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récréatif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(RVIA),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SAE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International,</w:t>
      </w:r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Securing</w:t>
      </w:r>
      <w:proofErr w:type="spellEnd"/>
      <w:r w:rsidR="004B7086" w:rsidRPr="004B7086">
        <w:rPr>
          <w:spacing w:val="-1"/>
        </w:rPr>
        <w:t xml:space="preserve"> </w:t>
      </w:r>
      <w:proofErr w:type="spellStart"/>
      <w:r w:rsidRPr="004B7086">
        <w:rPr>
          <w:spacing w:val="-1"/>
        </w:rPr>
        <w:t>America’s</w:t>
      </w:r>
      <w:proofErr w:type="spellEnd"/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Future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Energy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(SAFE),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internationale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transports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publics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(UITP)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et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Association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mondiale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l’industrie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du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vélo</w:t>
      </w:r>
      <w:r w:rsidR="004B7086" w:rsidRPr="004B7086">
        <w:rPr>
          <w:spacing w:val="-1"/>
        </w:rPr>
        <w:t xml:space="preserve"> </w:t>
      </w:r>
      <w:r w:rsidRPr="004B7086">
        <w:rPr>
          <w:spacing w:val="-1"/>
        </w:rPr>
        <w:t>(WBIA)</w:t>
      </w:r>
      <w:bookmarkEnd w:id="2"/>
      <w:r w:rsidRPr="004B7086">
        <w:rPr>
          <w:spacing w:val="-1"/>
        </w:rPr>
        <w:t>.</w:t>
      </w:r>
    </w:p>
    <w:p w:rsidR="00DB758D" w:rsidRPr="00BF4EB9" w:rsidRDefault="00DB758D" w:rsidP="00BF4EB9">
      <w:pPr>
        <w:pStyle w:val="SingleTxtG"/>
      </w:pPr>
      <w:r w:rsidRPr="00BF4EB9">
        <w:t>2.</w:t>
      </w:r>
      <w:r w:rsidRPr="00BF4EB9">
        <w:tab/>
        <w:t>Le</w:t>
      </w:r>
      <w:r w:rsidR="004B7086">
        <w:t xml:space="preserve"> </w:t>
      </w:r>
      <w:r w:rsidRPr="00BF4EB9">
        <w:t>Président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ouvert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réunion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évoquant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contexte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l’épidémie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nouveau</w:t>
      </w:r>
      <w:r w:rsidR="004B7086">
        <w:t xml:space="preserve"> </w:t>
      </w:r>
      <w:r w:rsidRPr="00BF4EB9">
        <w:t>Coronavirus</w:t>
      </w:r>
      <w:r w:rsidR="004B7086">
        <w:t xml:space="preserve"> </w:t>
      </w:r>
      <w:r w:rsidRPr="00BF4EB9">
        <w:t>2019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expliquait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réunion</w:t>
      </w:r>
      <w:r w:rsidR="004B7086">
        <w:t xml:space="preserve"> </w:t>
      </w:r>
      <w:r w:rsidRPr="00BF4EB9">
        <w:t>soit</w:t>
      </w:r>
      <w:r w:rsidR="004B7086">
        <w:t xml:space="preserve"> </w:t>
      </w:r>
      <w:r w:rsidRPr="00BF4EB9">
        <w:t>menée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manière</w:t>
      </w:r>
      <w:r w:rsidR="004B7086">
        <w:t xml:space="preserve"> </w:t>
      </w:r>
      <w:r w:rsidRPr="00BF4EB9">
        <w:t>virtuelle.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bookmarkStart w:id="3" w:name="_Toc360525455"/>
      <w:bookmarkStart w:id="4" w:name="_Toc360526241"/>
      <w:bookmarkStart w:id="5" w:name="_Toc360526837"/>
      <w:bookmarkStart w:id="6" w:name="_Toc400974149"/>
      <w:r w:rsidRPr="00BF4EB9">
        <w:t>II.</w:t>
      </w:r>
      <w:r w:rsidRPr="00BF4EB9">
        <w:tab/>
      </w:r>
      <w:bookmarkEnd w:id="3"/>
      <w:bookmarkEnd w:id="4"/>
      <w:bookmarkEnd w:id="5"/>
      <w:r w:rsidRPr="00AC5904">
        <w:t>Adoption</w:t>
      </w:r>
      <w:r w:rsidR="004B7086" w:rsidRPr="00AC5904">
        <w:t xml:space="preserve"> </w:t>
      </w:r>
      <w:r w:rsidRPr="00AC5904">
        <w:t>de</w:t>
      </w:r>
      <w:r w:rsidR="004B7086" w:rsidRPr="00AC5904">
        <w:t xml:space="preserve"> </w:t>
      </w:r>
      <w:r w:rsidRPr="00AC5904">
        <w:t>l’ordre</w:t>
      </w:r>
      <w:r w:rsidR="004B7086" w:rsidRPr="00AC5904">
        <w:t xml:space="preserve"> </w:t>
      </w:r>
      <w:r w:rsidRPr="00AC5904">
        <w:t>du</w:t>
      </w:r>
      <w:r w:rsidR="004B7086" w:rsidRPr="00AC5904">
        <w:t xml:space="preserve"> </w:t>
      </w:r>
      <w:r w:rsidRPr="00AC5904">
        <w:t>jour</w:t>
      </w:r>
      <w:r w:rsidR="004B7086" w:rsidRPr="00AC5904">
        <w:t xml:space="preserve"> </w:t>
      </w:r>
      <w:r w:rsidRPr="00AC5904">
        <w:t>(point</w:t>
      </w:r>
      <w:r w:rsidR="004B7086" w:rsidRPr="00AC5904">
        <w:t xml:space="preserve"> </w:t>
      </w:r>
      <w:r w:rsidRPr="00AC5904">
        <w:t>1</w:t>
      </w:r>
      <w:r w:rsidR="004B7086" w:rsidRPr="00AC5904">
        <w:t xml:space="preserve"> </w:t>
      </w:r>
      <w:r w:rsidRPr="00AC5904">
        <w:t>de</w:t>
      </w:r>
      <w:r w:rsidR="004B7086" w:rsidRPr="00AC5904">
        <w:t xml:space="preserve"> </w:t>
      </w:r>
      <w:r w:rsidRPr="00AC5904">
        <w:t>l’ordre</w:t>
      </w:r>
      <w:r w:rsidR="004B7086" w:rsidRPr="00AC5904">
        <w:t xml:space="preserve"> </w:t>
      </w:r>
      <w:r w:rsidRPr="00AC5904">
        <w:t>du</w:t>
      </w:r>
      <w:r w:rsidR="004B7086" w:rsidRPr="00AC5904">
        <w:t xml:space="preserve"> </w:t>
      </w:r>
      <w:r w:rsidRPr="00AC5904">
        <w:t>jour)</w:t>
      </w:r>
      <w:bookmarkEnd w:id="6"/>
    </w:p>
    <w:p w:rsidR="00DB758D" w:rsidRPr="00BF4EB9" w:rsidRDefault="00DB758D" w:rsidP="00BF4EB9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ECE/TRANS/WP.29/GRVA/2020/19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Add.1</w:t>
      </w:r>
      <w:r w:rsidR="008C5C24">
        <w:t> ;</w:t>
      </w:r>
      <w:r w:rsidRPr="00BF4EB9">
        <w:br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GRVA-07-01,</w:t>
      </w:r>
      <w:r w:rsidR="004B7086">
        <w:t xml:space="preserve"> </w:t>
      </w:r>
      <w:r w:rsidRPr="00BF4EB9">
        <w:t>GRVA-07-02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GRVA-07-34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3.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examiné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provisoire</w:t>
      </w:r>
      <w:r w:rsidR="004B7086">
        <w:t xml:space="preserve"> </w:t>
      </w:r>
      <w:r w:rsidRPr="00BF4EB9">
        <w:t>établi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l’a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(ECE/TRANS/WP.29/GRVA/2020/19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Add.1)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l’ajout</w:t>
      </w:r>
      <w:r w:rsidR="004B7086">
        <w:t xml:space="preserve"> </w:t>
      </w:r>
      <w:r w:rsidRPr="00BF4EB9">
        <w:t>ci-dessous.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reproduit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GRVA-07-34,</w:t>
      </w:r>
      <w:r w:rsidR="004B7086">
        <w:t xml:space="preserve"> </w:t>
      </w:r>
      <w:r w:rsidRPr="00BF4EB9">
        <w:t>y</w:t>
      </w:r>
      <w:r w:rsidR="004B7086">
        <w:t xml:space="preserve"> </w:t>
      </w:r>
      <w:r w:rsidRPr="00BF4EB9">
        <w:t>compris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reçus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début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session.</w:t>
      </w:r>
      <w:r w:rsidR="004B7086">
        <w:t xml:space="preserve"> </w:t>
      </w:r>
      <w:r w:rsidRPr="00BF4EB9">
        <w:t>(Tous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énumérés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I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Pr="00BF4EB9">
        <w:rPr>
          <w:bCs/>
        </w:rPr>
        <w:t>.)</w:t>
      </w:r>
      <w:r w:rsidR="004B7086">
        <w:rPr>
          <w:bCs/>
        </w:rPr>
        <w:t xml:space="preserve"> </w:t>
      </w:r>
      <w:r w:rsidRPr="00BF4EB9">
        <w:rPr>
          <w:bCs/>
        </w:rPr>
        <w:t>L’</w:t>
      </w:r>
      <w:r w:rsidR="00023E07" w:rsidRPr="00BF4EB9">
        <w:rPr>
          <w:bCs/>
        </w:rPr>
        <w:t>annexe</w:t>
      </w:r>
      <w:r w:rsidR="004B7086">
        <w:rPr>
          <w:bCs/>
        </w:rPr>
        <w:t xml:space="preserve"> </w:t>
      </w:r>
      <w:r w:rsidRPr="00BF4EB9">
        <w:rPr>
          <w:bCs/>
        </w:rPr>
        <w:t>2</w:t>
      </w:r>
      <w:r w:rsidR="004B7086">
        <w:rPr>
          <w:bCs/>
        </w:rPr>
        <w:t xml:space="preserve"> </w:t>
      </w:r>
      <w:r w:rsidRPr="00BF4EB9">
        <w:rPr>
          <w:bCs/>
        </w:rPr>
        <w:t>donne</w:t>
      </w:r>
      <w:r w:rsidR="004B7086">
        <w:rPr>
          <w:bCs/>
        </w:rPr>
        <w:t xml:space="preserve"> </w:t>
      </w:r>
      <w:r w:rsidRPr="00BF4EB9">
        <w:rPr>
          <w:bCs/>
        </w:rPr>
        <w:t>la</w:t>
      </w:r>
      <w:r w:rsidR="004B7086">
        <w:rPr>
          <w:bCs/>
        </w:rPr>
        <w:t xml:space="preserve"> </w:t>
      </w:r>
      <w:r w:rsidRPr="00BF4EB9">
        <w:rPr>
          <w:bCs/>
        </w:rPr>
        <w:t>liste</w:t>
      </w:r>
      <w:r w:rsidR="004B7086">
        <w:rPr>
          <w:bCs/>
        </w:rPr>
        <w:t xml:space="preserve"> </w:t>
      </w:r>
      <w:r w:rsidRPr="00BF4EB9">
        <w:rPr>
          <w:bCs/>
        </w:rPr>
        <w:t>des</w:t>
      </w:r>
      <w:r w:rsidR="004B7086">
        <w:rPr>
          <w:bCs/>
        </w:rPr>
        <w:t xml:space="preserve"> </w:t>
      </w:r>
      <w:r w:rsidR="00AC5904">
        <w:rPr>
          <w:bCs/>
        </w:rPr>
        <w:t>g</w:t>
      </w:r>
      <w:r w:rsidRPr="00BF4EB9">
        <w:rPr>
          <w:bCs/>
        </w:rPr>
        <w:t>roupes</w:t>
      </w:r>
      <w:r w:rsidR="004B7086">
        <w:rPr>
          <w:bCs/>
        </w:rPr>
        <w:t xml:space="preserve"> </w:t>
      </w:r>
      <w:r w:rsidRPr="00BF4EB9">
        <w:rPr>
          <w:bCs/>
        </w:rPr>
        <w:t>de</w:t>
      </w:r>
      <w:r w:rsidR="004B7086">
        <w:rPr>
          <w:bCs/>
        </w:rPr>
        <w:t xml:space="preserve"> </w:t>
      </w:r>
      <w:r w:rsidRPr="00BF4EB9">
        <w:rPr>
          <w:bCs/>
        </w:rPr>
        <w:t>travail</w:t>
      </w:r>
      <w:r w:rsidR="004B7086">
        <w:rPr>
          <w:bCs/>
        </w:rPr>
        <w:t xml:space="preserve"> </w:t>
      </w:r>
      <w:r w:rsidRPr="00BF4EB9">
        <w:rPr>
          <w:bCs/>
        </w:rPr>
        <w:t>informels</w:t>
      </w:r>
      <w:r w:rsidR="004B7086">
        <w:rPr>
          <w:bCs/>
        </w:rPr>
        <w:t xml:space="preserve"> </w:t>
      </w:r>
      <w:r w:rsidRPr="00BF4EB9">
        <w:rPr>
          <w:bCs/>
        </w:rPr>
        <w:t>qui</w:t>
      </w:r>
      <w:r w:rsidR="004B7086">
        <w:rPr>
          <w:bCs/>
        </w:rPr>
        <w:t xml:space="preserve"> </w:t>
      </w:r>
      <w:r w:rsidRPr="00BF4EB9">
        <w:rPr>
          <w:bCs/>
        </w:rPr>
        <w:t>rendent</w:t>
      </w:r>
      <w:r w:rsidR="004B7086">
        <w:rPr>
          <w:bCs/>
        </w:rPr>
        <w:t xml:space="preserve"> </w:t>
      </w:r>
      <w:r w:rsidRPr="00BF4EB9">
        <w:rPr>
          <w:bCs/>
        </w:rPr>
        <w:t>compte</w:t>
      </w:r>
      <w:r w:rsidR="004B7086">
        <w:rPr>
          <w:bCs/>
        </w:rPr>
        <w:t xml:space="preserve"> </w:t>
      </w:r>
      <w:r w:rsidRPr="00BF4EB9">
        <w:rPr>
          <w:bCs/>
        </w:rPr>
        <w:t>au</w:t>
      </w:r>
      <w:r w:rsidR="004B7086">
        <w:rPr>
          <w:bCs/>
        </w:rPr>
        <w:t xml:space="preserve"> </w:t>
      </w:r>
      <w:r w:rsidRPr="00BF4EB9">
        <w:rPr>
          <w:bCs/>
        </w:rPr>
        <w:t>GRVA.</w:t>
      </w:r>
    </w:p>
    <w:p w:rsidR="00DB758D" w:rsidRPr="00BF4EB9" w:rsidRDefault="00DB758D" w:rsidP="00BF4EB9">
      <w:pPr>
        <w:pStyle w:val="SingleTxtG"/>
        <w:tabs>
          <w:tab w:val="left" w:pos="5103"/>
        </w:tabs>
        <w:rPr>
          <w:bCs/>
        </w:rPr>
      </w:pPr>
      <w:r w:rsidRPr="00BF4EB9">
        <w:rPr>
          <w:i/>
          <w:iCs/>
        </w:rPr>
        <w:t>Point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13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de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l’ordre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du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jour</w:t>
      </w:r>
      <w:r w:rsidRPr="00BF4EB9">
        <w:t>,</w:t>
      </w:r>
      <w:r w:rsidR="004B7086">
        <w:t xml:space="preserve"> </w:t>
      </w:r>
      <w:r w:rsidRPr="00BF4EB9">
        <w:t>ajouter</w:t>
      </w:r>
      <w:r w:rsidR="004B7086">
        <w:t xml:space="preserve"> : </w:t>
      </w:r>
      <w:r w:rsidR="00BF4EB9" w:rsidRPr="00BF4EB9">
        <w:t>«</w:t>
      </w:r>
      <w:r w:rsidR="00775466">
        <w:t> </w:t>
      </w:r>
      <w:r w:rsidRPr="00BF4EB9">
        <w:t>13.</w:t>
      </w:r>
      <w:r w:rsidRPr="00BF4EB9">
        <w:tab/>
        <w:t>Élection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bureau</w:t>
      </w:r>
      <w:r w:rsidR="00775466">
        <w:t> </w:t>
      </w:r>
      <w:r w:rsidR="00BF4EB9" w:rsidRPr="00BF4EB9">
        <w:t>»</w:t>
      </w:r>
    </w:p>
    <w:p w:rsidR="00DB758D" w:rsidRPr="00BF4EB9" w:rsidRDefault="00DB758D" w:rsidP="00BF4EB9">
      <w:pPr>
        <w:pStyle w:val="SingleTxtG"/>
        <w:rPr>
          <w:bCs/>
        </w:rPr>
      </w:pPr>
      <w:r w:rsidRPr="00BF4EB9">
        <w:t>4.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également</w:t>
      </w:r>
      <w:r w:rsidR="004B7086">
        <w:t xml:space="preserve"> </w:t>
      </w:r>
      <w:r w:rsidRPr="00BF4EB9">
        <w:t>accepté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d’examen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divers</w:t>
      </w:r>
      <w:r w:rsidR="004B7086">
        <w:t xml:space="preserve"> </w:t>
      </w:r>
      <w:r w:rsidRPr="00BF4EB9">
        <w:t>points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(GRVA-07-01)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pris</w:t>
      </w:r>
      <w:r w:rsidR="004B7086">
        <w:t xml:space="preserve"> </w:t>
      </w:r>
      <w:r w:rsidRPr="00BF4EB9">
        <w:t>note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informations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virtuelle</w:t>
      </w:r>
      <w:r w:rsidR="004B7086">
        <w:t xml:space="preserve"> </w:t>
      </w:r>
      <w:r w:rsidRPr="00BF4EB9">
        <w:t>contenues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GRVA-07-02</w:t>
      </w:r>
      <w:r w:rsidRPr="00BF4EB9">
        <w:rPr>
          <w:bCs/>
        </w:rPr>
        <w:t>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lastRenderedPageBreak/>
        <w:tab/>
      </w:r>
      <w:r w:rsidRPr="00BF4EB9">
        <w:t>III.</w:t>
      </w:r>
      <w:r w:rsidRPr="00BF4EB9">
        <w:tab/>
        <w:t>Points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retenir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juin</w:t>
      </w:r>
      <w:r w:rsidR="004B7086">
        <w:t xml:space="preserve"> </w:t>
      </w:r>
      <w:r w:rsidRPr="00BF4EB9">
        <w:t>2020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2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ECE/TRANS/WP.29/1151,</w:t>
      </w:r>
      <w:r w:rsidR="004B7086">
        <w:t xml:space="preserve"> </w:t>
      </w:r>
      <w:r w:rsidRPr="00BF4EB9">
        <w:t>ECE/TRANS/WP.29/1153</w:t>
      </w:r>
      <w:r w:rsidR="00775466">
        <w:t>,</w:t>
      </w:r>
      <w:r w:rsidRPr="00BF4EB9">
        <w:br/>
        <w:t>(ECE/TRANS/WP.1/2020/3)</w:t>
      </w:r>
      <w:r w:rsidR="008C5C24">
        <w:t> ;</w:t>
      </w:r>
      <w:r w:rsidRPr="00BF4EB9">
        <w:br/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GRVA-07-13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5.</w:t>
      </w:r>
      <w:r w:rsidRPr="00BF4EB9">
        <w:tab/>
        <w:t>Le</w:t>
      </w:r>
      <w:r w:rsidR="004B7086">
        <w:t xml:space="preserve"> </w:t>
      </w:r>
      <w:r w:rsidRPr="00BF4EB9">
        <w:t>Secrétaire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GRVA-07-13</w:t>
      </w:r>
      <w:r w:rsidR="004B7086">
        <w:t xml:space="preserve"> </w:t>
      </w:r>
      <w:r w:rsidRPr="00BF4EB9">
        <w:t>contenant</w:t>
      </w:r>
      <w:r w:rsidR="004B7086">
        <w:t xml:space="preserve"> </w:t>
      </w:r>
      <w:r w:rsidRPr="00BF4EB9">
        <w:t>les</w:t>
      </w:r>
      <w:r w:rsidR="004B7086" w:rsidRPr="004121A2">
        <w:t xml:space="preserve"> </w:t>
      </w:r>
      <w:r w:rsidRPr="00BF4EB9">
        <w:t>points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retenir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juin</w:t>
      </w:r>
      <w:r w:rsidR="004B7086">
        <w:t xml:space="preserve"> </w:t>
      </w:r>
      <w:r w:rsidRPr="00BF4EB9">
        <w:t>2020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Forum</w:t>
      </w:r>
      <w:r w:rsidR="004B7086">
        <w:t xml:space="preserve"> </w:t>
      </w:r>
      <w:r w:rsidRPr="00BF4EB9">
        <w:t>mondial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l’harmonisation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Règlements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(WP.29).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renvoyé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ECE/TRANS/WP.29/1151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ECE/TRANS/WP.29/1153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détails.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notamment</w:t>
      </w:r>
      <w:r w:rsidR="004B7086">
        <w:t xml:space="preserve"> </w:t>
      </w:r>
      <w:r w:rsidRPr="00BF4EB9">
        <w:t>insisté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rPr>
          <w:rFonts w:ascii="Segoe UI" w:hAnsi="Segoe UI" w:cs="Segoe UI"/>
        </w:rPr>
        <w:t xml:space="preserve"> </w:t>
      </w:r>
      <w:r w:rsidRPr="00BF4EB9">
        <w:t>session</w:t>
      </w:r>
      <w:r w:rsidR="004B7086">
        <w:t xml:space="preserve"> </w:t>
      </w:r>
      <w:r w:rsidRPr="00BF4EB9">
        <w:t>conjointe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Forum</w:t>
      </w:r>
      <w:r w:rsidR="004B7086">
        <w:t xml:space="preserve"> </w:t>
      </w:r>
      <w:r w:rsidRPr="00BF4EB9">
        <w:t>mondial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routière</w:t>
      </w:r>
      <w:r w:rsidR="004B7086">
        <w:t xml:space="preserve"> </w:t>
      </w:r>
      <w:r w:rsidRPr="00BF4EB9">
        <w:t>(WP.1)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organisée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2020.</w:t>
      </w:r>
    </w:p>
    <w:p w:rsidR="00DB758D" w:rsidRPr="00BF4EB9" w:rsidRDefault="00DB758D" w:rsidP="00BF4EB9">
      <w:pPr>
        <w:pStyle w:val="SingleTxtG"/>
      </w:pPr>
      <w:r w:rsidRPr="00BF4EB9">
        <w:t>6.</w:t>
      </w:r>
      <w:r w:rsidRPr="00BF4EB9">
        <w:tab/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proposé</w:t>
      </w:r>
      <w:r w:rsidR="004B7086">
        <w:t xml:space="preserve"> </w:t>
      </w:r>
      <w:r w:rsidRPr="00BF4EB9">
        <w:t>d’examiner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ECE/TRANS/WP.1/2020/3,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lequel</w:t>
      </w:r>
      <w:r w:rsidR="004B7086">
        <w:t xml:space="preserve"> </w:t>
      </w:r>
      <w:r w:rsidRPr="00BF4EB9">
        <w:t>étaient</w:t>
      </w:r>
      <w:r w:rsidR="004B7086">
        <w:t xml:space="preserve"> </w:t>
      </w:r>
      <w:r w:rsidRPr="00BF4EB9">
        <w:t>proposés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mécanismes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collaboration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stratégies</w:t>
      </w:r>
      <w:r w:rsidR="004B7086">
        <w:t xml:space="preserve"> </w:t>
      </w:r>
      <w:r w:rsidRPr="00BF4EB9">
        <w:t>communes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Canada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souligné</w:t>
      </w:r>
      <w:r w:rsidR="004B7086">
        <w:t xml:space="preserve"> </w:t>
      </w:r>
      <w:r w:rsidRPr="00BF4EB9">
        <w:t>l’importance</w:t>
      </w:r>
      <w:r w:rsidR="004B7086">
        <w:t xml:space="preserve"> </w:t>
      </w:r>
      <w:r w:rsidRPr="00BF4EB9">
        <w:t>d’échanges</w:t>
      </w:r>
      <w:r w:rsidR="004B7086">
        <w:t xml:space="preserve"> </w:t>
      </w:r>
      <w:r w:rsidRPr="00BF4EB9">
        <w:t>fructueux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deux</w:t>
      </w:r>
      <w:r w:rsidR="004B7086">
        <w:t xml:space="preserve"> </w:t>
      </w:r>
      <w:r w:rsidRPr="00BF4EB9">
        <w:t>Groupes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soutenir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principes</w:t>
      </w:r>
      <w:r w:rsidR="004B7086">
        <w:t xml:space="preserve"> </w:t>
      </w:r>
      <w:r w:rsidRPr="00BF4EB9">
        <w:t>énoncés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recommander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approuver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novembre</w:t>
      </w:r>
      <w:r w:rsidR="004B7086">
        <w:t xml:space="preserve"> </w:t>
      </w:r>
      <w:r w:rsidRPr="00BF4EB9">
        <w:t>2020.</w:t>
      </w:r>
    </w:p>
    <w:p w:rsidR="00DB758D" w:rsidRPr="00BF4EB9" w:rsidRDefault="00DB758D" w:rsidP="00BF4EB9">
      <w:pPr>
        <w:pStyle w:val="HChG"/>
        <w:rPr>
          <w:sz w:val="22"/>
          <w:szCs w:val="22"/>
        </w:rPr>
      </w:pPr>
      <w:r w:rsidRPr="00BF4EB9">
        <w:rPr>
          <w:sz w:val="22"/>
          <w:szCs w:val="22"/>
        </w:rPr>
        <w:tab/>
      </w:r>
      <w:r w:rsidRPr="00BF4EB9">
        <w:t>IV.</w:t>
      </w:r>
      <w:r w:rsidRPr="00BF4EB9">
        <w:tab/>
        <w:t>Échange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vues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orientations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nationales</w:t>
      </w:r>
      <w:r w:rsidR="004B7086">
        <w:t xml:space="preserve"> </w:t>
      </w:r>
      <w:r w:rsidRPr="00BF4EB9">
        <w:t>pertinentes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SingleTxtG"/>
      </w:pPr>
      <w:r w:rsidRPr="00BF4EB9">
        <w:t>7.</w:t>
      </w:r>
      <w:r w:rsidRPr="00BF4EB9">
        <w:tab/>
      </w:r>
      <w:bookmarkStart w:id="7" w:name="_Hlk61264702"/>
      <w:r w:rsidRPr="00BF4EB9"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  <w:bookmarkEnd w:id="7"/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V.</w:t>
      </w:r>
      <w:r w:rsidRPr="00BF4EB9">
        <w:tab/>
        <w:t>Véhicules</w:t>
      </w:r>
      <w:r w:rsidR="004B7086">
        <w:t xml:space="preserve"> </w:t>
      </w:r>
      <w:r w:rsidRPr="00BF4EB9">
        <w:t>automatisés/autonomes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connectés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de</w:t>
      </w:r>
      <w:r w:rsidR="00775466">
        <w:t> 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A.</w:t>
      </w:r>
      <w:r w:rsidRPr="00BF4EB9">
        <w:tab/>
        <w:t>Résultats</w:t>
      </w:r>
      <w:r w:rsidR="004B7086">
        <w:t xml:space="preserve"> </w:t>
      </w:r>
      <w:r w:rsidRPr="00BF4EB9">
        <w:t>attendus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fonctionnelles</w:t>
      </w:r>
      <w:r w:rsidR="004B7086">
        <w:t xml:space="preserve"> </w:t>
      </w:r>
      <w:r w:rsidRPr="00BF4EB9">
        <w:t>applicables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autonomes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GRVA-07-54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8.</w:t>
      </w:r>
      <w:r w:rsidRPr="00BF4EB9">
        <w:tab/>
        <w:t>L’expert</w:t>
      </w:r>
      <w:r w:rsidR="004B7086">
        <w:t xml:space="preserve"> </w:t>
      </w:r>
      <w:bookmarkStart w:id="8" w:name="_Hlk61269708"/>
      <w:r w:rsidRPr="00BF4EB9">
        <w:t>des</w:t>
      </w:r>
      <w:r w:rsidR="004B7086">
        <w:t xml:space="preserve"> </w:t>
      </w:r>
      <w:r w:rsidR="004121A2">
        <w:t>É</w:t>
      </w:r>
      <w:r w:rsidRPr="00BF4EB9">
        <w:t>tats-Unis</w:t>
      </w:r>
      <w:r w:rsidR="004B7086">
        <w:t xml:space="preserve"> </w:t>
      </w:r>
      <w:r w:rsidRPr="00BF4EB9">
        <w:t>d’Amérique</w:t>
      </w:r>
      <w:bookmarkEnd w:id="8"/>
      <w:r w:rsidRPr="00BF4EB9">
        <w:t>,</w:t>
      </w:r>
      <w:r w:rsidR="004B7086">
        <w:t xml:space="preserve"> </w:t>
      </w:r>
      <w:bookmarkStart w:id="9" w:name="_Hlk61269731"/>
      <w:r w:rsidR="004121A2" w:rsidRPr="00BF4EB9">
        <w:t>Coprésident</w:t>
      </w:r>
      <w:r w:rsidR="004121A2">
        <w:t xml:space="preserve"> </w:t>
      </w:r>
      <w:r w:rsidRPr="00BF4EB9">
        <w:t>du</w:t>
      </w:r>
      <w:r w:rsidR="004B7086">
        <w:t xml:space="preserve"> </w:t>
      </w:r>
      <w:r w:rsidR="004121A2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bookmarkEnd w:id="9"/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fonctionnelles</w:t>
      </w:r>
      <w:r w:rsidR="004B7086">
        <w:t xml:space="preserve"> </w:t>
      </w:r>
      <w:r w:rsidRPr="00BF4EB9">
        <w:t>applicables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autonomes,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rendu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(GRVA-07-54)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récente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précisé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terminé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domaines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conception</w:t>
      </w:r>
      <w:r w:rsidR="004B7086">
        <w:t xml:space="preserve"> </w:t>
      </w:r>
      <w:r w:rsidRPr="00BF4EB9">
        <w:t>fonctionnelle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définis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susceptibles</w:t>
      </w:r>
      <w:r w:rsidR="004B7086">
        <w:t xml:space="preserve"> </w:t>
      </w:r>
      <w:r w:rsidRPr="00BF4EB9">
        <w:t>d’être</w:t>
      </w:r>
      <w:r w:rsidR="004B7086">
        <w:t xml:space="preserve"> </w:t>
      </w:r>
      <w:r w:rsidRPr="00BF4EB9">
        <w:t>limités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régulateur.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structure</w:t>
      </w:r>
      <w:r w:rsidR="004B7086">
        <w:t xml:space="preserve"> </w:t>
      </w:r>
      <w:r w:rsidRPr="00BF4EB9">
        <w:t>convenue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servira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guider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travaux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 :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assurera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tâches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dynamique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peut</w:t>
      </w:r>
      <w:r w:rsidR="004B7086">
        <w:t xml:space="preserve"> </w:t>
      </w:r>
      <w:r w:rsidRPr="00BF4EB9">
        <w:t>avoir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plusieurs</w:t>
      </w:r>
      <w:r w:rsidR="004B7086">
        <w:t xml:space="preserve"> </w:t>
      </w:r>
      <w:r w:rsidRPr="00BF4EB9">
        <w:t>fonctions</w:t>
      </w:r>
      <w:r w:rsidR="004B7086">
        <w:t xml:space="preserve"> </w:t>
      </w:r>
      <w:r w:rsidRPr="00BF4EB9">
        <w:t>ayant</w:t>
      </w:r>
      <w:r w:rsidR="004B7086">
        <w:t xml:space="preserve"> </w:t>
      </w:r>
      <w:r w:rsidRPr="00BF4EB9">
        <w:t>chacune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domaine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conception</w:t>
      </w:r>
      <w:r w:rsidR="004B7086">
        <w:t xml:space="preserve"> </w:t>
      </w:r>
      <w:r w:rsidRPr="00BF4EB9">
        <w:t>fonctionnelle</w:t>
      </w:r>
      <w:r w:rsidR="004B7086">
        <w:t xml:space="preserve"> </w:t>
      </w:r>
      <w:r w:rsidRPr="00BF4EB9">
        <w:t>unique.</w:t>
      </w:r>
    </w:p>
    <w:p w:rsidR="00DB758D" w:rsidRPr="00BF4EB9" w:rsidRDefault="00DB758D" w:rsidP="00BF4EB9">
      <w:pPr>
        <w:pStyle w:val="SingleTxtG"/>
      </w:pPr>
      <w:r w:rsidRPr="00BF4EB9">
        <w:t>9.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présenté.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B.</w:t>
      </w:r>
      <w:r w:rsidRPr="00BF4EB9">
        <w:tab/>
        <w:t>Résultats</w:t>
      </w:r>
      <w:r w:rsidR="004B7086">
        <w:t xml:space="preserve"> </w:t>
      </w:r>
      <w:r w:rsidRPr="00BF4EB9">
        <w:t>attendus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méthodes</w:t>
      </w:r>
      <w:r w:rsidR="004B7086">
        <w:t xml:space="preserve"> </w:t>
      </w:r>
      <w:r w:rsidRPr="00BF4EB9">
        <w:t>de</w:t>
      </w:r>
      <w:r w:rsidR="00775466">
        <w:t> </w:t>
      </w:r>
      <w:r w:rsidRPr="00BF4EB9">
        <w:t>validation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GRVA-07-38</w:t>
      </w:r>
      <w:r w:rsidR="004121A2">
        <w:t xml:space="preserve"> et</w:t>
      </w:r>
      <w:r w:rsidR="004B7086">
        <w:t xml:space="preserve"> </w:t>
      </w:r>
      <w:r w:rsidRPr="00BF4EB9">
        <w:t>GRVA-07-55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10.</w:t>
      </w:r>
      <w:r w:rsidRPr="00BF4EB9">
        <w:tab/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Canada,</w:t>
      </w:r>
      <w:r w:rsidR="004B7086">
        <w:t xml:space="preserve"> </w:t>
      </w:r>
      <w:r w:rsidR="004121A2" w:rsidRPr="00BF4EB9">
        <w:t>Coprésident</w:t>
      </w:r>
      <w:r w:rsidR="004121A2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méthodes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validation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rendu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(GRVA-07-55)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groupe,</w:t>
      </w:r>
      <w:r w:rsidR="004B7086">
        <w:t xml:space="preserve"> </w:t>
      </w:r>
      <w:r w:rsidRPr="00BF4EB9">
        <w:t>conformes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indications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document-cadre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indiqué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tenu</w:t>
      </w:r>
      <w:r w:rsidR="004B7086">
        <w:t xml:space="preserve"> </w:t>
      </w:r>
      <w:r w:rsidRPr="00BF4EB9">
        <w:t>six</w:t>
      </w:r>
      <w:r w:rsidR="004B7086">
        <w:t xml:space="preserve"> </w:t>
      </w:r>
      <w:r w:rsidRPr="00BF4EB9">
        <w:t>réunions</w:t>
      </w:r>
      <w:r w:rsidR="004B7086">
        <w:t xml:space="preserve"> </w:t>
      </w:r>
      <w:r w:rsidRPr="00BF4EB9">
        <w:t>virtuelles</w:t>
      </w:r>
      <w:r w:rsidR="004B7086">
        <w:t xml:space="preserve"> </w:t>
      </w:r>
      <w:r w:rsidRPr="00BF4EB9">
        <w:t>depuis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dernière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précisé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portant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complexes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électronique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d’aide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voie,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tour</w:t>
      </w:r>
      <w:r w:rsidR="004B7086">
        <w:t xml:space="preserve"> </w:t>
      </w:r>
      <w:r w:rsidRPr="00BF4EB9">
        <w:t>d’horizon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méthodes</w:t>
      </w:r>
      <w:r w:rsidR="004B7086">
        <w:t xml:space="preserve"> </w:t>
      </w:r>
      <w:r w:rsidRPr="00BF4EB9">
        <w:t>existantes</w:t>
      </w:r>
      <w:r w:rsidR="004B7086">
        <w:t xml:space="preserve"> </w:t>
      </w:r>
      <w:r w:rsidRPr="00BF4EB9">
        <w:t>avaient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menés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bien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consacrerait</w:t>
      </w:r>
      <w:r w:rsidR="004B7086">
        <w:t xml:space="preserve"> </w:t>
      </w:r>
      <w:r w:rsidRPr="00BF4EB9">
        <w:t>désormais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nouvelle</w:t>
      </w:r>
      <w:r w:rsidR="004B7086">
        <w:t xml:space="preserve"> </w:t>
      </w:r>
      <w:r w:rsidRPr="00BF4EB9">
        <w:t>méthode</w:t>
      </w:r>
      <w:r w:rsidR="004B7086">
        <w:t xml:space="preserve"> </w:t>
      </w:r>
      <w:r w:rsidRPr="00BF4EB9">
        <w:t>d’évaluation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d’essai.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Japon,</w:t>
      </w:r>
      <w:r w:rsidR="004B7086">
        <w:t xml:space="preserve"> </w:t>
      </w:r>
      <w:r w:rsidR="004121A2" w:rsidRPr="00BF4EB9">
        <w:t>Coprésident</w:t>
      </w:r>
      <w:r w:rsidR="004121A2">
        <w:t xml:space="preserve"> </w:t>
      </w:r>
      <w:r w:rsidRPr="00BF4EB9">
        <w:t>du</w:t>
      </w:r>
      <w:r w:rsidR="004B7086">
        <w:t xml:space="preserve"> </w:t>
      </w:r>
      <w:r w:rsidRPr="00BF4EB9">
        <w:lastRenderedPageBreak/>
        <w:t>groupe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évidence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position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l’extension</w:t>
      </w:r>
      <w:r w:rsidR="004B7086">
        <w:t xml:space="preserve"> </w:t>
      </w:r>
      <w:r w:rsidRPr="00BF4EB9">
        <w:t>potentielle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portant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automatisé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</w:p>
    <w:p w:rsidR="00DB758D" w:rsidRPr="00BF4EB9" w:rsidRDefault="00DB758D" w:rsidP="00BF4EB9">
      <w:pPr>
        <w:pStyle w:val="SingleTxtG"/>
      </w:pPr>
      <w:r w:rsidRPr="00BF4EB9">
        <w:t>11.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présenté.</w:t>
      </w:r>
    </w:p>
    <w:p w:rsidR="00DB758D" w:rsidRPr="00BF4EB9" w:rsidRDefault="00DB758D" w:rsidP="00BF4EB9">
      <w:pPr>
        <w:pStyle w:val="SingleTxtG"/>
      </w:pPr>
      <w:r w:rsidRPr="00BF4EB9">
        <w:t>12.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renvoyer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</w:t>
      </w:r>
      <w:r w:rsidR="00775466">
        <w:noBreakHyphen/>
      </w:r>
      <w:r w:rsidRPr="00BF4EB9">
        <w:t>07-38,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présentation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France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essais</w:t>
      </w:r>
      <w:r w:rsidR="004B7086">
        <w:t xml:space="preserve"> </w:t>
      </w:r>
      <w:r w:rsidRPr="00BF4EB9">
        <w:t>virtuels.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C.</w:t>
      </w:r>
      <w:r w:rsidRPr="00BF4EB9">
        <w:tab/>
        <w:t>Résultats</w:t>
      </w:r>
      <w:r w:rsidR="004B7086">
        <w:t xml:space="preserve"> </w:t>
      </w:r>
      <w:r w:rsidRPr="00BF4EB9">
        <w:t>attendus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enregistreurs</w:t>
      </w:r>
      <w:r w:rsidR="004B7086">
        <w:t xml:space="preserve"> </w:t>
      </w:r>
      <w:r w:rsidRPr="00BF4EB9">
        <w:t>de</w:t>
      </w:r>
      <w:r w:rsidR="00775466">
        <w:t> </w:t>
      </w:r>
      <w:r w:rsidRPr="00BF4EB9">
        <w:t>données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775466">
        <w:t> </w:t>
      </w:r>
      <w:r w:rsidRPr="00BF4EB9">
        <w:t>conduite</w:t>
      </w:r>
      <w:r w:rsidR="004B7086">
        <w:t xml:space="preserve"> </w:t>
      </w:r>
      <w:r w:rsidRPr="00BF4EB9">
        <w:t>automatisée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GRVA-07-57,</w:t>
      </w:r>
      <w:r w:rsidR="004B7086">
        <w:t xml:space="preserve"> </w:t>
      </w:r>
      <w:r w:rsidRPr="00BF4EB9">
        <w:t>GRVA-07-58,</w:t>
      </w:r>
      <w:r w:rsidR="004B7086">
        <w:t xml:space="preserve"> </w:t>
      </w:r>
      <w:r w:rsidRPr="00BF4EB9">
        <w:t>GRVA-07-60</w:t>
      </w:r>
      <w:r w:rsidR="00AD6B73">
        <w:t xml:space="preserve"> et</w:t>
      </w:r>
      <w:r w:rsidR="004B7086">
        <w:t xml:space="preserve"> </w:t>
      </w:r>
      <w:r w:rsidRPr="00BF4EB9">
        <w:t>GRVA-07-61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13.</w:t>
      </w:r>
      <w:r w:rsidRPr="00BF4EB9">
        <w:tab/>
        <w:t>L’experte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="00AD6B73">
        <w:t>É</w:t>
      </w:r>
      <w:r w:rsidRPr="00BF4EB9">
        <w:t>tats-Unis</w:t>
      </w:r>
      <w:r w:rsidR="004B7086">
        <w:t xml:space="preserve"> </w:t>
      </w:r>
      <w:r w:rsidRPr="00BF4EB9">
        <w:t>d’Amérique,</w:t>
      </w:r>
      <w:r w:rsidR="004B7086">
        <w:t xml:space="preserve"> </w:t>
      </w:r>
      <w:r w:rsidR="00AD6B73" w:rsidRPr="00BF4EB9">
        <w:t>Coprésidente</w:t>
      </w:r>
      <w:r w:rsidR="00AD6B73">
        <w:t xml:space="preserve"> </w:t>
      </w:r>
      <w:r w:rsidRPr="00BF4EB9">
        <w:t>du</w:t>
      </w:r>
      <w:r w:rsidR="004B7086">
        <w:t xml:space="preserve"> </w:t>
      </w:r>
      <w:r w:rsidR="00AD6B73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enregistreurs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informé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travaux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(GRVA-07-58),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actuellement</w:t>
      </w:r>
      <w:r w:rsidR="004B7086">
        <w:t xml:space="preserve"> </w:t>
      </w:r>
      <w:r w:rsidRPr="00BF4EB9">
        <w:t>portent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tout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aux</w:t>
      </w:r>
      <w:r w:rsidR="004B7086">
        <w:rPr>
          <w:rFonts w:ascii="Segoe UI" w:hAnsi="Segoe UI" w:cs="Segoe UI"/>
        </w:rPr>
        <w:t xml:space="preserve"> </w:t>
      </w:r>
      <w:r w:rsidRPr="00BF4EB9">
        <w:t>enregistreurs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route.</w:t>
      </w:r>
      <w:r w:rsidR="004B7086">
        <w:t xml:space="preserve"> </w:t>
      </w:r>
      <w:r w:rsidRPr="00BF4EB9">
        <w:t>Elle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indiqué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liste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éléments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pris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était</w:t>
      </w:r>
      <w:r w:rsidR="004B7086">
        <w:t xml:space="preserve"> </w:t>
      </w:r>
      <w:r w:rsidRPr="00BF4EB9">
        <w:t>conséquente</w:t>
      </w:r>
      <w:r w:rsidR="004B7086">
        <w:t xml:space="preserve"> </w:t>
      </w:r>
      <w:r w:rsidRPr="00BF4EB9">
        <w:t>mais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ceux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usagers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vulnérables</w:t>
      </w:r>
      <w:r w:rsidR="004B7086">
        <w:t xml:space="preserve"> </w:t>
      </w:r>
      <w:r w:rsidRPr="00BF4EB9">
        <w:t>seraient</w:t>
      </w:r>
      <w:r w:rsidR="004B7086">
        <w:t xml:space="preserve"> </w:t>
      </w:r>
      <w:r w:rsidRPr="00BF4EB9">
        <w:t>examinés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seconde</w:t>
      </w:r>
      <w:r w:rsidR="004B7086">
        <w:t xml:space="preserve"> </w:t>
      </w:r>
      <w:r w:rsidRPr="00BF4EB9">
        <w:t>étape.</w:t>
      </w:r>
      <w:r w:rsidR="004B7086">
        <w:t xml:space="preserve"> </w:t>
      </w:r>
      <w:r w:rsidRPr="00BF4EB9">
        <w:t>Elle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précisé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discussions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enregistreurs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retardaient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portant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automatisée,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divergences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sein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éléments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recueillies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enregistreurs.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encouragé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intéressées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discuter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possibilités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résoudre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divergences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générales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(GRSG)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octobre</w:t>
      </w:r>
      <w:r w:rsidR="004B7086">
        <w:t xml:space="preserve"> </w:t>
      </w:r>
      <w:r w:rsidRPr="00BF4EB9">
        <w:t>2020.</w:t>
      </w:r>
    </w:p>
    <w:p w:rsidR="00DB758D" w:rsidRPr="00BF4EB9" w:rsidRDefault="00DB758D" w:rsidP="00BF4EB9">
      <w:pPr>
        <w:pStyle w:val="SingleTxtG"/>
      </w:pPr>
      <w:r w:rsidRPr="00BF4EB9">
        <w:t>14.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pris</w:t>
      </w:r>
      <w:r w:rsidR="004B7086">
        <w:t xml:space="preserve"> </w:t>
      </w:r>
      <w:r w:rsidRPr="00BF4EB9">
        <w:t>note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GRVA-07-60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GRVA-07-61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doivent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examinés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GRSG.</w:t>
      </w:r>
    </w:p>
    <w:p w:rsidR="00DB758D" w:rsidRPr="00BF4EB9" w:rsidRDefault="00DB758D" w:rsidP="00BF4EB9">
      <w:pPr>
        <w:pStyle w:val="SingleTxtG"/>
      </w:pPr>
      <w:r w:rsidRPr="00BF4EB9">
        <w:t>15.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aussi</w:t>
      </w:r>
      <w:r w:rsidR="004B7086">
        <w:t xml:space="preserve"> </w:t>
      </w:r>
      <w:r w:rsidRPr="00BF4EB9">
        <w:t>pris</w:t>
      </w:r>
      <w:r w:rsidR="004B7086">
        <w:t xml:space="preserve"> </w:t>
      </w:r>
      <w:r w:rsidRPr="00BF4EB9">
        <w:t>note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GRVA-07-57</w:t>
      </w:r>
      <w:r w:rsidR="004B7086">
        <w:t xml:space="preserve"> </w:t>
      </w:r>
      <w:r w:rsidRPr="00BF4EB9">
        <w:t>intitulé</w:t>
      </w:r>
      <w:r w:rsidR="004B7086">
        <w:t xml:space="preserve"> </w:t>
      </w:r>
      <w:r w:rsidR="00AD6B73">
        <w:t>« </w:t>
      </w:r>
      <w:r w:rsidRPr="00BF4EB9">
        <w:t>Passage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revue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nationales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régionales</w:t>
      </w:r>
      <w:r w:rsidR="004B7086">
        <w:t xml:space="preserve"> </w:t>
      </w:r>
      <w:r w:rsidRPr="00BF4EB9">
        <w:t>existantes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orientations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enregistreurs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</w:t>
      </w:r>
      <w:r w:rsidR="00AD6B73">
        <w:t> »</w:t>
      </w:r>
      <w:r w:rsidRPr="00BF4EB9">
        <w:t>,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informel.</w:t>
      </w:r>
    </w:p>
    <w:p w:rsidR="00DB758D" w:rsidRPr="00BF4EB9" w:rsidRDefault="00DB758D" w:rsidP="00BF4EB9">
      <w:pPr>
        <w:pStyle w:val="SingleTxtG"/>
      </w:pPr>
      <w:r w:rsidRPr="00BF4EB9">
        <w:t>16.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présenté.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D.</w:t>
      </w:r>
      <w:r w:rsidRPr="00BF4EB9">
        <w:tab/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automatisés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</w:p>
    <w:p w:rsidR="00DB758D" w:rsidRPr="00775466" w:rsidRDefault="00DB758D" w:rsidP="0053461A">
      <w:pPr>
        <w:pStyle w:val="SingleTxtG"/>
        <w:keepNext/>
        <w:ind w:left="2835" w:hanging="1701"/>
        <w:jc w:val="left"/>
      </w:pPr>
      <w:r w:rsidRPr="00775466">
        <w:rPr>
          <w:i/>
        </w:rPr>
        <w:t>Documents</w:t>
      </w:r>
      <w:r w:rsidR="004B7086" w:rsidRPr="00775466">
        <w:rPr>
          <w:iCs/>
        </w:rPr>
        <w:t> :</w:t>
      </w:r>
      <w:r w:rsidRPr="00775466">
        <w:tab/>
        <w:t>ECE/TRANS/WP.29/GRVA/2020/32</w:t>
      </w:r>
      <w:r w:rsidR="00775466" w:rsidRPr="00775466">
        <w:t>,</w:t>
      </w:r>
      <w:r w:rsidRPr="00775466">
        <w:br/>
        <w:t>ECE/TRANS/WP.29/GRVA/2020/33</w:t>
      </w:r>
      <w:r w:rsidR="008C5C24">
        <w:t> ;</w:t>
      </w:r>
      <w:r w:rsidRPr="00775466">
        <w:br/>
        <w:t>Documents</w:t>
      </w:r>
      <w:r w:rsidR="004B7086" w:rsidRPr="00775466">
        <w:t xml:space="preserve"> </w:t>
      </w:r>
      <w:r w:rsidRPr="00775466">
        <w:t>informels</w:t>
      </w:r>
      <w:r w:rsidR="004B7086" w:rsidRPr="00775466">
        <w:t xml:space="preserve"> </w:t>
      </w:r>
      <w:r w:rsidRPr="00775466">
        <w:t>GRVA-07-06,</w:t>
      </w:r>
      <w:r w:rsidR="004B7086" w:rsidRPr="00775466">
        <w:t xml:space="preserve"> </w:t>
      </w:r>
      <w:r w:rsidRPr="00775466">
        <w:t>GRVA-07-07,</w:t>
      </w:r>
      <w:r w:rsidR="004B7086" w:rsidRPr="00775466">
        <w:t xml:space="preserve"> </w:t>
      </w:r>
      <w:r w:rsidRPr="00775466">
        <w:t>GRVA-07-21,</w:t>
      </w:r>
      <w:r w:rsidR="004B7086" w:rsidRPr="00775466">
        <w:t xml:space="preserve"> </w:t>
      </w:r>
      <w:r w:rsidRPr="00775466">
        <w:t>GRVA-07-26,</w:t>
      </w:r>
      <w:r w:rsidR="004B7086" w:rsidRPr="00775466">
        <w:t xml:space="preserve"> </w:t>
      </w:r>
      <w:r w:rsidRPr="00775466">
        <w:t>GRVA-07-27,</w:t>
      </w:r>
      <w:r w:rsidR="004B7086" w:rsidRPr="00775466">
        <w:t xml:space="preserve"> </w:t>
      </w:r>
      <w:r w:rsidRPr="00775466">
        <w:t>GRVA-07-28,</w:t>
      </w:r>
      <w:r w:rsidR="004B7086" w:rsidRPr="00775466">
        <w:t xml:space="preserve"> </w:t>
      </w:r>
      <w:r w:rsidRPr="00775466">
        <w:t>GRVA-07-30,</w:t>
      </w:r>
      <w:r w:rsidR="004B7086" w:rsidRPr="00775466">
        <w:t xml:space="preserve"> </w:t>
      </w:r>
      <w:r w:rsidRPr="00775466">
        <w:br/>
        <w:t>GRVA-07-31,</w:t>
      </w:r>
      <w:r w:rsidR="004B7086" w:rsidRPr="00775466">
        <w:t xml:space="preserve"> </w:t>
      </w:r>
      <w:r w:rsidRPr="00775466">
        <w:t>GRVA-07-39,</w:t>
      </w:r>
      <w:r w:rsidR="004B7086" w:rsidRPr="00775466">
        <w:t xml:space="preserve"> </w:t>
      </w:r>
      <w:r w:rsidRPr="00775466">
        <w:t>GRVA-07-45,</w:t>
      </w:r>
      <w:r w:rsidR="004B7086" w:rsidRPr="00775466">
        <w:t xml:space="preserve"> </w:t>
      </w:r>
      <w:r w:rsidRPr="00775466">
        <w:t>GRVA-07-56,</w:t>
      </w:r>
      <w:r w:rsidR="004B7086" w:rsidRPr="00775466">
        <w:t xml:space="preserve"> </w:t>
      </w:r>
      <w:r w:rsidRPr="00775466">
        <w:br/>
        <w:t>GRVA-07-59,</w:t>
      </w:r>
      <w:r w:rsidR="004B7086" w:rsidRPr="00775466">
        <w:t xml:space="preserve"> </w:t>
      </w:r>
      <w:r w:rsidRPr="00775466">
        <w:t>GRVA-07-62,</w:t>
      </w:r>
      <w:r w:rsidR="004B7086" w:rsidRPr="00775466">
        <w:t xml:space="preserve"> </w:t>
      </w:r>
      <w:r w:rsidRPr="00775466">
        <w:t>GRVA-07-63,</w:t>
      </w:r>
      <w:r w:rsidR="004B7086" w:rsidRPr="00775466">
        <w:t xml:space="preserve"> </w:t>
      </w:r>
      <w:r w:rsidRPr="00775466">
        <w:t>GRVA-07-66</w:t>
      </w:r>
      <w:r w:rsidR="00AD6B73">
        <w:t xml:space="preserve"> et</w:t>
      </w:r>
      <w:r w:rsidR="004B7086" w:rsidRPr="00775466">
        <w:t xml:space="preserve"> </w:t>
      </w:r>
      <w:r w:rsidRPr="00775466">
        <w:br/>
        <w:t>GRVA-07-69-Rev.1</w:t>
      </w:r>
      <w:r w:rsidR="00BF4EB9" w:rsidRPr="00775466">
        <w:t>.</w:t>
      </w:r>
    </w:p>
    <w:p w:rsidR="00DB758D" w:rsidRPr="00BF4EB9" w:rsidRDefault="00DB758D" w:rsidP="00BF4EB9">
      <w:pPr>
        <w:pStyle w:val="SingleTxtG"/>
      </w:pPr>
      <w:r w:rsidRPr="00BF4EB9">
        <w:t>17.</w:t>
      </w:r>
      <w:r w:rsidRPr="00BF4EB9">
        <w:tab/>
        <w:t>L’experte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l’Allemagne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GRVA-07-63,</w:t>
      </w:r>
      <w:r w:rsidR="004B7086">
        <w:t xml:space="preserve"> </w:t>
      </w:r>
      <w:r w:rsidRPr="00BF4EB9">
        <w:t>introduisant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ECE/TRANS/WP.29/GRVA/2020/32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contenait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d’amendement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</w:t>
      </w:r>
      <w:r w:rsidR="004B7086">
        <w:t xml:space="preserve"> </w:t>
      </w:r>
      <w:r w:rsidRPr="00BF4EB9">
        <w:t>(Systèmes</w:t>
      </w:r>
      <w:r w:rsidR="004B7086">
        <w:t xml:space="preserve"> </w:t>
      </w:r>
      <w:r w:rsidRPr="00BF4EB9">
        <w:t>d’aide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voie),</w:t>
      </w:r>
      <w:r w:rsidR="004B7086">
        <w:t xml:space="preserve"> </w:t>
      </w:r>
      <w:r w:rsidRPr="00BF4EB9">
        <w:t>visant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faire</w:t>
      </w:r>
      <w:r w:rsidR="004B7086">
        <w:t xml:space="preserve"> </w:t>
      </w:r>
      <w:r w:rsidRPr="00BF4EB9">
        <w:t>passer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vitesse</w:t>
      </w:r>
      <w:r w:rsidR="004B7086">
        <w:t xml:space="preserve"> </w:t>
      </w:r>
      <w:r w:rsidRPr="00BF4EB9">
        <w:t>maximale</w:t>
      </w:r>
      <w:r w:rsidR="004B7086">
        <w:t xml:space="preserve"> </w:t>
      </w:r>
      <w:r w:rsidRPr="00BF4EB9">
        <w:t>(de</w:t>
      </w:r>
      <w:r w:rsidR="004B7086">
        <w:t xml:space="preserve"> </w:t>
      </w:r>
      <w:r w:rsidRPr="00BF4EB9">
        <w:t>60</w:t>
      </w:r>
      <w:r w:rsidR="00775466">
        <w:t> </w:t>
      </w:r>
      <w:r w:rsidRPr="00BF4EB9">
        <w:t>km/h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130</w:t>
      </w:r>
      <w:r w:rsidR="00775466">
        <w:t> </w:t>
      </w:r>
      <w:r w:rsidRPr="00BF4EB9">
        <w:t>km/h)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systèmes.</w:t>
      </w:r>
      <w:r w:rsidR="004B7086">
        <w:t xml:space="preserve"> </w:t>
      </w:r>
      <w:r w:rsidRPr="00BF4EB9">
        <w:t>Elle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aussi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seconde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(document</w:t>
      </w:r>
      <w:r w:rsidR="004B7086">
        <w:t xml:space="preserve"> </w:t>
      </w:r>
      <w:r w:rsidRPr="00BF4EB9">
        <w:t>ECE/TRANS/WP.29/GRVA/2020/33)</w:t>
      </w:r>
      <w:r w:rsidR="004B7086">
        <w:t xml:space="preserve"> </w:t>
      </w:r>
      <w:r w:rsidRPr="00BF4EB9">
        <w:t>visant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introduire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d’aide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effectuent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changements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voie.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l’Autriche,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Chine,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Commission</w:t>
      </w:r>
      <w:r w:rsidR="004B7086">
        <w:t xml:space="preserve"> </w:t>
      </w:r>
      <w:r w:rsidRPr="00BF4EB9">
        <w:t>européenne,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Danemark,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France,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l’Italie,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Norvège,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Pays-Bas,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République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Corée,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Royaume-Uni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Suède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montrés</w:t>
      </w:r>
      <w:r w:rsidR="004B7086">
        <w:t xml:space="preserve"> </w:t>
      </w:r>
      <w:r w:rsidRPr="00BF4EB9">
        <w:t>plutôt</w:t>
      </w:r>
      <w:r w:rsidR="004B7086">
        <w:t xml:space="preserve"> </w:t>
      </w:r>
      <w:r w:rsidRPr="00BF4EB9">
        <w:t>favorables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proposition.</w:t>
      </w:r>
      <w:r w:rsidR="004B7086">
        <w:t xml:space="preserve"> </w:t>
      </w:r>
      <w:r w:rsidRPr="00BF4EB9">
        <w:t>Ils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avancé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idées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observations</w:t>
      </w:r>
      <w:r w:rsidR="004B7086">
        <w:t xml:space="preserve"> </w:t>
      </w:r>
      <w:r w:rsidRPr="00BF4EB9">
        <w:t>techniques</w:t>
      </w:r>
      <w:r w:rsidR="004B7086">
        <w:t xml:space="preserve"> </w:t>
      </w:r>
      <w:r w:rsidRPr="00BF4EB9">
        <w:t>destinée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l’améliorer.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Suisse</w:t>
      </w:r>
      <w:r w:rsidR="004B7086">
        <w:t xml:space="preserve"> </w:t>
      </w:r>
      <w:r w:rsidRPr="00BF4EB9">
        <w:t>s’est</w:t>
      </w:r>
      <w:r w:rsidR="004B7086">
        <w:t xml:space="preserve"> </w:t>
      </w:r>
      <w:r w:rsidRPr="00BF4EB9">
        <w:t>opposé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l’augmentation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vitesse</w:t>
      </w:r>
      <w:r w:rsidR="004B7086">
        <w:t xml:space="preserve"> </w:t>
      </w:r>
      <w:r w:rsidRPr="00BF4EB9">
        <w:t>(jusqu’à</w:t>
      </w:r>
      <w:r w:rsidR="004B7086">
        <w:t xml:space="preserve"> </w:t>
      </w:r>
      <w:r w:rsidRPr="00BF4EB9">
        <w:t>130</w:t>
      </w:r>
      <w:r w:rsidR="00775466">
        <w:t> </w:t>
      </w:r>
      <w:r w:rsidRPr="00BF4EB9">
        <w:t>km/h),</w:t>
      </w:r>
      <w:r w:rsidR="004B7086">
        <w:t xml:space="preserve"> </w:t>
      </w:r>
      <w:r w:rsidRPr="00BF4EB9">
        <w:t>déclarant</w:t>
      </w:r>
      <w:r w:rsidR="004B7086">
        <w:t xml:space="preserve"> </w:t>
      </w:r>
      <w:r w:rsidRPr="00BF4EB9">
        <w:t>qu’elle</w:t>
      </w:r>
      <w:r w:rsidR="004B7086">
        <w:t xml:space="preserve"> </w:t>
      </w:r>
      <w:r w:rsidRPr="00BF4EB9">
        <w:t>serait</w:t>
      </w:r>
      <w:r w:rsidR="004B7086">
        <w:t xml:space="preserve"> </w:t>
      </w:r>
      <w:r w:rsidRPr="00BF4EB9">
        <w:t>contre-productive</w:t>
      </w:r>
      <w:r w:rsidR="004B7086">
        <w:t xml:space="preserve"> </w:t>
      </w:r>
      <w:r w:rsidRPr="00BF4EB9">
        <w:t>car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Suisse</w:t>
      </w:r>
      <w:r w:rsidR="004B7086">
        <w:t xml:space="preserve"> </w:t>
      </w:r>
      <w:r w:rsidRPr="00BF4EB9">
        <w:t>était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train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revoir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code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valeur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60</w:t>
      </w:r>
      <w:r w:rsidR="00775466">
        <w:t> </w:t>
      </w:r>
      <w:r w:rsidRPr="00BF4EB9">
        <w:t>km/h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lastRenderedPageBreak/>
        <w:t>Japon,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Canada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="007502AA">
        <w:t>É</w:t>
      </w:r>
      <w:r w:rsidRPr="00BF4EB9">
        <w:t>tats-Unis</w:t>
      </w:r>
      <w:r w:rsidR="004B7086">
        <w:t xml:space="preserve"> </w:t>
      </w:r>
      <w:r w:rsidRPr="00BF4EB9">
        <w:t>d’Amérique</w:t>
      </w:r>
      <w:r w:rsidR="004B7086">
        <w:t xml:space="preserve"> </w:t>
      </w:r>
      <w:r w:rsidRPr="00BF4EB9">
        <w:t>n’ont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soutenu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précisant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document-cadre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automatisés/autonomes</w:t>
      </w:r>
      <w:r w:rsidR="004B7086">
        <w:t xml:space="preserve"> </w:t>
      </w:r>
      <w:r w:rsidRPr="00BF4EB9">
        <w:t>était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référence</w:t>
      </w:r>
      <w:r w:rsidR="004B7086">
        <w:t xml:space="preserve"> </w:t>
      </w:r>
      <w:r w:rsidRPr="00BF4EB9">
        <w:t>devant</w:t>
      </w:r>
      <w:r w:rsidR="004B7086">
        <w:t xml:space="preserve"> </w:t>
      </w:r>
      <w:r w:rsidRPr="00BF4EB9">
        <w:t>guider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d’automatisation.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SAFE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souligné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nécessité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disposer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feuille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claire,</w:t>
      </w:r>
      <w:r w:rsidR="004B7086">
        <w:t xml:space="preserve"> </w:t>
      </w:r>
      <w:r w:rsidRPr="00BF4EB9">
        <w:t>évoqué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défis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relever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services</w:t>
      </w:r>
      <w:r w:rsidR="004B7086">
        <w:t xml:space="preserve"> </w:t>
      </w:r>
      <w:r w:rsidRPr="00BF4EB9">
        <w:t>techniques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autorités</w:t>
      </w:r>
      <w:r w:rsidR="004B7086">
        <w:t xml:space="preserve"> </w:t>
      </w:r>
      <w:r w:rsidRPr="00BF4EB9">
        <w:t>d’homologation</w:t>
      </w:r>
      <w:r w:rsidR="004B7086">
        <w:t xml:space="preserve"> </w:t>
      </w:r>
      <w:r w:rsidRPr="00BF4EB9">
        <w:t>s’agissant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technologies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3,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abondé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Commission</w:t>
      </w:r>
      <w:r w:rsidR="004B7086">
        <w:t xml:space="preserve"> </w:t>
      </w:r>
      <w:r w:rsidRPr="00BF4EB9">
        <w:t>européenne</w:t>
      </w:r>
      <w:r w:rsidR="004B7086">
        <w:t xml:space="preserve"> </w:t>
      </w:r>
      <w:r w:rsidRPr="00BF4EB9">
        <w:t>quant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nécessité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réglementation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l’automatisation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autoroutes.</w:t>
      </w:r>
    </w:p>
    <w:p w:rsidR="00DB758D" w:rsidRPr="00BF4EB9" w:rsidRDefault="00DB758D" w:rsidP="00BF4EB9">
      <w:pPr>
        <w:pStyle w:val="SingleTxtG"/>
      </w:pPr>
      <w:r w:rsidRPr="00BF4EB9">
        <w:t>18.</w:t>
      </w:r>
      <w:r w:rsidRPr="00BF4EB9">
        <w:tab/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rappelé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Royaume-Uni</w:t>
      </w:r>
      <w:r w:rsidR="004B7086">
        <w:t xml:space="preserve"> </w:t>
      </w:r>
      <w:r w:rsidRPr="00BF4EB9">
        <w:t>travaillait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applicables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changement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manœuvre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risque</w:t>
      </w:r>
      <w:r w:rsidR="004B7086">
        <w:t xml:space="preserve"> </w:t>
      </w:r>
      <w:r w:rsidRPr="00BF4EB9">
        <w:t>minimal.</w:t>
      </w:r>
    </w:p>
    <w:p w:rsidR="00DB758D" w:rsidRPr="00BF4EB9" w:rsidRDefault="00DB758D" w:rsidP="00BF4EB9">
      <w:pPr>
        <w:pStyle w:val="SingleTxtG"/>
      </w:pPr>
      <w:r w:rsidRPr="00BF4EB9">
        <w:t>19.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GRVA-07-26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contenait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d’amendement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</w:t>
      </w:r>
      <w:r w:rsidR="004B7086">
        <w:t xml:space="preserve"> </w:t>
      </w:r>
      <w:r w:rsidRPr="00BF4EB9">
        <w:t>(GRVA-07-31)</w:t>
      </w:r>
      <w:r w:rsidR="004B7086">
        <w:t xml:space="preserve"> </w:t>
      </w:r>
      <w:r w:rsidRPr="00BF4EB9">
        <w:t>visant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étendre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champ</w:t>
      </w:r>
      <w:r w:rsidR="004B7086">
        <w:t xml:space="preserve"> </w:t>
      </w:r>
      <w:r w:rsidRPr="00BF4EB9">
        <w:t>d’application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lourds.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rappelé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toutes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faisaient</w:t>
      </w:r>
      <w:r w:rsidR="004B7086">
        <w:t xml:space="preserve"> </w:t>
      </w:r>
      <w:r w:rsidRPr="00BF4EB9">
        <w:t>déjà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l’ancien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automatique,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élaboré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projet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[157].</w:t>
      </w:r>
    </w:p>
    <w:p w:rsidR="00DB758D" w:rsidRPr="00BF4EB9" w:rsidRDefault="00DB758D" w:rsidP="00BF4EB9">
      <w:pPr>
        <w:pStyle w:val="SingleTxtG"/>
      </w:pPr>
      <w:r w:rsidRPr="00BF4EB9">
        <w:t>20.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relevé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priorités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d’automatisation</w:t>
      </w:r>
      <w:r w:rsidR="004B7086">
        <w:t xml:space="preserve"> </w:t>
      </w:r>
      <w:r w:rsidRPr="00BF4EB9">
        <w:t>étaient</w:t>
      </w:r>
      <w:r w:rsidR="004B7086">
        <w:t xml:space="preserve"> </w:t>
      </w:r>
      <w:r w:rsidRPr="00BF4EB9">
        <w:t>fixées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document-cadre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automatisés/autonomes.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également</w:t>
      </w:r>
      <w:r w:rsidR="004B7086">
        <w:t xml:space="preserve"> </w:t>
      </w:r>
      <w:r w:rsidRPr="00BF4EB9">
        <w:t>noté</w:t>
      </w:r>
      <w:r w:rsidR="004B7086">
        <w:t xml:space="preserve"> </w:t>
      </w:r>
      <w:r w:rsidRPr="00BF4EB9">
        <w:t>qu’un</w:t>
      </w:r>
      <w:r w:rsidR="004B7086">
        <w:t xml:space="preserve"> </w:t>
      </w:r>
      <w:r w:rsidRPr="00BF4EB9">
        <w:t>certain</w:t>
      </w:r>
      <w:r w:rsidR="004B7086">
        <w:t xml:space="preserve"> </w:t>
      </w:r>
      <w:r w:rsidRPr="00BF4EB9">
        <w:t>nombre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contractantes</w:t>
      </w:r>
      <w:r w:rsidR="004B7086">
        <w:t xml:space="preserve"> </w:t>
      </w:r>
      <w:r w:rsidRPr="00BF4EB9">
        <w:t>étaient</w:t>
      </w:r>
      <w:r w:rsidR="004B7086">
        <w:t xml:space="preserve"> </w:t>
      </w:r>
      <w:r w:rsidRPr="00BF4EB9">
        <w:t>désireuses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travailler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amendements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donc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consulter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Comité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gestion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coordination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travaux</w:t>
      </w:r>
      <w:r w:rsidR="004B7086">
        <w:t xml:space="preserve"> </w:t>
      </w:r>
      <w:r w:rsidRPr="00BF4EB9">
        <w:t>(AC.2).</w:t>
      </w:r>
    </w:p>
    <w:p w:rsidR="00DB758D" w:rsidRPr="00BF4EB9" w:rsidRDefault="00DB758D" w:rsidP="00BF4EB9">
      <w:pPr>
        <w:pStyle w:val="SingleTxtG"/>
      </w:pPr>
      <w:r w:rsidRPr="00BF4EB9">
        <w:t>21.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Fédération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Russie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GRVA-07-07,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lequel</w:t>
      </w:r>
      <w:r w:rsidR="004B7086">
        <w:t xml:space="preserve"> </w:t>
      </w:r>
      <w:r w:rsidRPr="00BF4EB9">
        <w:t>étaient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évidence</w:t>
      </w:r>
      <w:r w:rsidR="004B7086">
        <w:t xml:space="preserve"> </w:t>
      </w:r>
      <w:r w:rsidRPr="00BF4EB9">
        <w:t>certaines</w:t>
      </w:r>
      <w:r w:rsidR="004B7086">
        <w:t xml:space="preserve"> </w:t>
      </w:r>
      <w:r w:rsidRPr="00BF4EB9">
        <w:t>incohérences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différentes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relevé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divergences</w:t>
      </w:r>
      <w:r w:rsidR="004B7086">
        <w:t xml:space="preserve"> </w:t>
      </w:r>
      <w:r w:rsidRPr="00BF4EB9">
        <w:t>quant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l’utilisation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mot</w:t>
      </w:r>
      <w:r w:rsidR="004B7086">
        <w:t xml:space="preserve"> </w:t>
      </w:r>
      <w:r w:rsidR="007502AA">
        <w:t>« </w:t>
      </w:r>
      <w:r w:rsidRPr="00BF4EB9">
        <w:t>système</w:t>
      </w:r>
      <w:r w:rsidR="007502AA">
        <w:t> »</w:t>
      </w:r>
      <w:r w:rsidRPr="00BF4EB9">
        <w:t>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doute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nécessité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l’appendice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4,</w:t>
      </w:r>
      <w:r w:rsidR="004B7086">
        <w:t xml:space="preserve"> </w:t>
      </w:r>
      <w:r w:rsidRPr="00BF4EB9">
        <w:t>puis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d’amendement</w:t>
      </w:r>
      <w:r w:rsidR="004B7086">
        <w:t xml:space="preserve"> </w:t>
      </w:r>
      <w:r w:rsidRPr="00BF4EB9">
        <w:t>GRVA-07-06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nom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Commission</w:t>
      </w:r>
      <w:r w:rsidR="004B7086">
        <w:t xml:space="preserve"> </w:t>
      </w:r>
      <w:r w:rsidRPr="00BF4EB9">
        <w:t>européenne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Fédération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Russie.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répondu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(GRVA-07-59).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aussi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brièvement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GRVA-07-30,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proposait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d’ordre</w:t>
      </w:r>
      <w:r w:rsidR="004B7086">
        <w:t xml:space="preserve"> </w:t>
      </w:r>
      <w:r w:rsidRPr="00BF4EB9">
        <w:t>rédactionnel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GRVA-07-21</w:t>
      </w:r>
      <w:r w:rsidR="004B7086">
        <w:t xml:space="preserve"> </w:t>
      </w:r>
      <w:r w:rsidRPr="00BF4EB9">
        <w:t>contenant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substantielles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Règlements.</w:t>
      </w:r>
    </w:p>
    <w:p w:rsidR="00DB758D" w:rsidRPr="00BF4EB9" w:rsidRDefault="00DB758D" w:rsidP="00BF4EB9">
      <w:pPr>
        <w:pStyle w:val="SingleTxtG"/>
      </w:pPr>
      <w:r w:rsidRPr="00BF4EB9">
        <w:t>22.</w:t>
      </w:r>
      <w:r w:rsidRPr="00BF4EB9">
        <w:tab/>
        <w:t>Le</w:t>
      </w:r>
      <w:r w:rsidR="004B7086">
        <w:t xml:space="preserve"> </w:t>
      </w:r>
      <w:r w:rsidRPr="00BF4EB9">
        <w:t>Président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mentionné</w:t>
      </w:r>
      <w:r w:rsidR="004B7086">
        <w:t xml:space="preserve"> </w:t>
      </w:r>
      <w:r w:rsidRPr="00BF4EB9">
        <w:t>d’autres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(GRVA-07-27,</w:t>
      </w:r>
      <w:r w:rsidR="004B7086">
        <w:t xml:space="preserve"> </w:t>
      </w:r>
      <w:r w:rsidRPr="00BF4EB9">
        <w:t>GRVA-45,</w:t>
      </w:r>
      <w:r w:rsidR="004B7086">
        <w:t xml:space="preserve"> </w:t>
      </w:r>
      <w:r w:rsidRPr="00BF4EB9">
        <w:t>GRVA-07-56,</w:t>
      </w:r>
      <w:r w:rsidR="004B7086">
        <w:t xml:space="preserve"> </w:t>
      </w:r>
      <w:r w:rsidRPr="00BF4EB9">
        <w:t>GRVA-07-62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GRVA-07-66)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lesquels</w:t>
      </w:r>
      <w:r w:rsidR="004B7086">
        <w:t xml:space="preserve"> </w:t>
      </w:r>
      <w:r w:rsidRPr="00BF4EB9">
        <w:t>étaient</w:t>
      </w:r>
      <w:r w:rsidR="004B7086">
        <w:t xml:space="preserve"> </w:t>
      </w:r>
      <w:r w:rsidRPr="00BF4EB9">
        <w:t>proposés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amendements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invité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intéressées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établir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synthèse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d’amendements</w:t>
      </w:r>
      <w:r w:rsidR="004B7086">
        <w:t xml:space="preserve"> </w:t>
      </w:r>
      <w:r w:rsidRPr="00BF4EB9">
        <w:t>susceptibles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faire</w:t>
      </w:r>
      <w:r w:rsidR="004B7086">
        <w:t xml:space="preserve"> </w:t>
      </w:r>
      <w:r w:rsidRPr="00BF4EB9">
        <w:t>consensus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sein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intéressées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élaboré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GRVA-07-69-Rev.1.</w:t>
      </w:r>
    </w:p>
    <w:p w:rsidR="00DB758D" w:rsidRPr="00BF4EB9" w:rsidRDefault="00DB758D" w:rsidP="00BF4EB9">
      <w:pPr>
        <w:pStyle w:val="SingleTxtG"/>
      </w:pPr>
      <w:r w:rsidRPr="00BF4EB9">
        <w:t>23.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d’amendements</w:t>
      </w:r>
      <w:r w:rsidR="004B7086">
        <w:t xml:space="preserve"> </w:t>
      </w:r>
      <w:r w:rsidRPr="00BF4EB9">
        <w:t>marquées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vert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jaune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GRVA-07-69-Rev.1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III).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corriger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abréviations,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échéant,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soumettre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texte</w:t>
      </w:r>
      <w:r w:rsidR="004B7086">
        <w:t xml:space="preserve"> </w:t>
      </w:r>
      <w:r w:rsidRPr="00BF4EB9">
        <w:t>sans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rouge,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complément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[157],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Forum</w:t>
      </w:r>
      <w:r w:rsidR="004B7086">
        <w:t xml:space="preserve"> </w:t>
      </w:r>
      <w:r w:rsidRPr="00BF4EB9">
        <w:t>mondial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l’harmonisation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Règlements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(WP.29)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Comité</w:t>
      </w:r>
      <w:r w:rsidR="004B7086">
        <w:t xml:space="preserve"> </w:t>
      </w:r>
      <w:r w:rsidRPr="00BF4EB9">
        <w:t>d’administration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l’Accord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1958</w:t>
      </w:r>
      <w:r w:rsidR="004B7086">
        <w:t xml:space="preserve"> </w:t>
      </w:r>
      <w:r w:rsidRPr="00BF4EB9">
        <w:t>(AC.1)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voix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2021.</w:t>
      </w:r>
    </w:p>
    <w:p w:rsidR="00DB758D" w:rsidRPr="00BF4EB9" w:rsidRDefault="00DB758D" w:rsidP="00BF4EB9">
      <w:pPr>
        <w:pStyle w:val="SingleTxtG"/>
      </w:pPr>
      <w:r w:rsidRPr="00BF4EB9">
        <w:t>24.</w:t>
      </w:r>
      <w:r w:rsidRPr="00BF4EB9">
        <w:tab/>
        <w:t>En</w:t>
      </w:r>
      <w:r w:rsidR="004B7086">
        <w:t xml:space="preserve"> </w:t>
      </w:r>
      <w:r w:rsidRPr="00BF4EB9">
        <w:t>réponse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demande</w:t>
      </w:r>
      <w:r w:rsidR="004B7086">
        <w:t xml:space="preserve"> </w:t>
      </w:r>
      <w:r w:rsidRPr="00BF4EB9">
        <w:t>d’interprétation</w:t>
      </w:r>
      <w:r w:rsidR="004B7086">
        <w:t xml:space="preserve"> </w:t>
      </w:r>
      <w:r w:rsidRPr="00BF4EB9">
        <w:t>formulée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France</w:t>
      </w:r>
      <w:r w:rsidR="004B7086">
        <w:t xml:space="preserve"> </w:t>
      </w:r>
      <w:r w:rsidRPr="00BF4EB9">
        <w:t>(GRVA</w:t>
      </w:r>
      <w:r w:rsidR="00775466">
        <w:noBreakHyphen/>
      </w:r>
      <w:r w:rsidRPr="00BF4EB9">
        <w:t>07-39),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convenu</w:t>
      </w:r>
      <w:r w:rsidR="004B7086">
        <w:t xml:space="preserve"> </w:t>
      </w:r>
      <w:r w:rsidRPr="00BF4EB9">
        <w:t>que</w:t>
      </w:r>
      <w:r w:rsidR="004B7086">
        <w:rPr>
          <w:rFonts w:ascii="Segoe UI" w:hAnsi="Segoe UI" w:cs="Segoe UI"/>
        </w:rPr>
        <w:t xml:space="preserve"> </w:t>
      </w:r>
      <w:r w:rsidRPr="00BF4EB9">
        <w:rPr>
          <w:rFonts w:ascii="Segoe UI" w:hAnsi="Segoe UI" w:cs="Segoe UI"/>
        </w:rPr>
        <w:t>le</w:t>
      </w:r>
      <w:r w:rsidR="004B7086">
        <w:rPr>
          <w:rFonts w:ascii="Segoe UI" w:hAnsi="Segoe UI" w:cs="Segoe UI"/>
        </w:rPr>
        <w:t xml:space="preserve"> </w:t>
      </w:r>
      <w:r w:rsidRPr="00BF4EB9">
        <w:t>système</w:t>
      </w:r>
      <w:r w:rsidR="004B7086">
        <w:t xml:space="preserve"> </w:t>
      </w:r>
      <w:r w:rsidRPr="00BF4EB9">
        <w:t>automatisé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devrait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principe</w:t>
      </w:r>
      <w:r w:rsidR="004B7086">
        <w:t xml:space="preserve"> </w:t>
      </w:r>
      <w:r w:rsidRPr="00BF4EB9">
        <w:t>détecter</w:t>
      </w:r>
      <w:bookmarkStart w:id="10" w:name="_Hlk61334501"/>
      <w:r w:rsidR="00775466">
        <w:t xml:space="preserve"> « </w:t>
      </w:r>
      <w:bookmarkEnd w:id="10"/>
      <w:r w:rsidRPr="00BF4EB9">
        <w:t>l’approche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secours</w:t>
      </w:r>
      <w:r w:rsidR="00775466">
        <w:t> »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code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route,</w:t>
      </w:r>
      <w:r w:rsidR="004B7086">
        <w:t xml:space="preserve"> </w:t>
      </w:r>
      <w:r w:rsidRPr="00BF4EB9">
        <w:t>relevant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passage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conviendrait</w:t>
      </w:r>
      <w:r w:rsidR="004B7086">
        <w:t xml:space="preserve"> </w:t>
      </w:r>
      <w:r w:rsidRPr="00BF4EB9">
        <w:t>d’élaborer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vite</w:t>
      </w:r>
      <w:r w:rsidR="004B7086">
        <w:t xml:space="preserve"> </w:t>
      </w:r>
      <w:r w:rsidRPr="00BF4EB9">
        <w:t>possible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définition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="00775466">
        <w:t>« </w:t>
      </w:r>
      <w:r w:rsidRPr="00BF4EB9">
        <w:t>véhicule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secours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s’approche</w:t>
      </w:r>
      <w:r w:rsidR="00775466">
        <w:t> »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d’apporter</w:t>
      </w:r>
      <w:r w:rsidR="004B7086">
        <w:t xml:space="preserve"> </w:t>
      </w:r>
      <w:r w:rsidRPr="00BF4EB9">
        <w:t>d’autres</w:t>
      </w:r>
      <w:r w:rsidR="004B7086">
        <w:t xml:space="preserve"> </w:t>
      </w:r>
      <w:r w:rsidRPr="00BF4EB9">
        <w:t>clarifications.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lastRenderedPageBreak/>
        <w:tab/>
      </w:r>
      <w:r w:rsidRPr="00BF4EB9">
        <w:t>VI.</w:t>
      </w:r>
      <w:r w:rsidRPr="00BF4EB9">
        <w:tab/>
        <w:t>Véhicules</w:t>
      </w:r>
      <w:r w:rsidR="004B7086">
        <w:t xml:space="preserve"> </w:t>
      </w:r>
      <w:r w:rsidRPr="00BF4EB9">
        <w:t>connectés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5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bookmarkStart w:id="11" w:name="_Hlk21021246"/>
      <w:r w:rsidRPr="00BF4EB9">
        <w:t>A.</w:t>
      </w:r>
      <w:r w:rsidRPr="00BF4EB9">
        <w:tab/>
      </w:r>
      <w:bookmarkEnd w:id="11"/>
      <w:r w:rsidRPr="00BF4EB9">
        <w:t>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protection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</w:p>
    <w:p w:rsidR="00DB758D" w:rsidRPr="00BF4EB9" w:rsidRDefault="00DB758D" w:rsidP="00775466">
      <w:pPr>
        <w:pStyle w:val="SingleTxtG"/>
        <w:keepNext/>
        <w:keepLines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</w:r>
      <w:bookmarkStart w:id="12" w:name="_Hlk22313340"/>
      <w:r w:rsidRPr="00BF4EB9">
        <w:t>(ECE/TRANS/WP.29/2020/</w:t>
      </w:r>
      <w:bookmarkEnd w:id="12"/>
      <w:r w:rsidRPr="00BF4EB9">
        <w:t>94)</w:t>
      </w:r>
      <w:r w:rsidR="008C5C24">
        <w:t> ;</w:t>
      </w:r>
      <w:r w:rsidRPr="00BF4EB9">
        <w:br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GRVA-07-04-Rev.1,</w:t>
      </w:r>
      <w:r w:rsidR="004B7086">
        <w:t xml:space="preserve"> </w:t>
      </w:r>
      <w:r w:rsidRPr="00BF4EB9">
        <w:t>GRVA-07-08,</w:t>
      </w:r>
      <w:r w:rsidR="004B7086">
        <w:t xml:space="preserve"> </w:t>
      </w:r>
      <w:r w:rsidRPr="00BF4EB9">
        <w:br/>
        <w:t>GRVA-07-25,</w:t>
      </w:r>
      <w:r w:rsidR="004B7086">
        <w:t xml:space="preserve"> </w:t>
      </w:r>
      <w:r w:rsidRPr="00BF4EB9">
        <w:t>GRVA-07-36,</w:t>
      </w:r>
      <w:r w:rsidR="004B7086">
        <w:t xml:space="preserve"> </w:t>
      </w:r>
      <w:r w:rsidRPr="00BF4EB9">
        <w:t>GRVA-07-41,</w:t>
      </w:r>
      <w:r w:rsidR="004B7086">
        <w:t xml:space="preserve"> </w:t>
      </w:r>
      <w:r w:rsidRPr="00BF4EB9">
        <w:t>GRVA-07-49,</w:t>
      </w:r>
      <w:r w:rsidR="004B7086">
        <w:t xml:space="preserve"> </w:t>
      </w:r>
      <w:r w:rsidRPr="00BF4EB9">
        <w:br/>
        <w:t>WP.29-179-27</w:t>
      </w:r>
      <w:r w:rsidR="00834A84">
        <w:t xml:space="preserve"> et</w:t>
      </w:r>
      <w:r w:rsidR="004B7086">
        <w:t xml:space="preserve"> </w:t>
      </w:r>
      <w:r w:rsidRPr="00BF4EB9">
        <w:t>WP.29-181-10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25.</w:t>
      </w:r>
      <w:r w:rsidRPr="00BF4EB9">
        <w:tab/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Japon,</w:t>
      </w:r>
      <w:r w:rsidR="004B7086">
        <w:t xml:space="preserve"> </w:t>
      </w:r>
      <w:r w:rsidR="00834A84" w:rsidRPr="00BF4EB9">
        <w:t>Coprésident</w:t>
      </w:r>
      <w:r w:rsidR="00834A84">
        <w:t xml:space="preserve"> </w:t>
      </w:r>
      <w:r w:rsidRPr="00BF4EB9">
        <w:t>du</w:t>
      </w:r>
      <w:r w:rsidR="004B7086">
        <w:t xml:space="preserve"> </w:t>
      </w:r>
      <w:r w:rsidR="00834A84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transmission</w:t>
      </w:r>
      <w:r w:rsidR="004B7086">
        <w:t xml:space="preserve"> </w:t>
      </w:r>
      <w:r w:rsidRPr="00BF4EB9">
        <w:t>sans</w:t>
      </w:r>
      <w:r w:rsidR="004B7086">
        <w:t xml:space="preserve"> </w:t>
      </w:r>
      <w:r w:rsidRPr="00BF4EB9">
        <w:t>fil,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rendu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(GRVA-07-49)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GRVA-07-04-Rev.1.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débattu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l’opportunité</w:t>
      </w:r>
      <w:r w:rsidR="004B7086">
        <w:t xml:space="preserve"> </w:t>
      </w:r>
      <w:r w:rsidRPr="00BF4EB9">
        <w:t>d’adopter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l’entrée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vigueur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 w:rsidRPr="00775466">
        <w:rPr>
          <w:rFonts w:eastAsia="MS Mincho"/>
        </w:rPr>
        <w:t> </w:t>
      </w:r>
      <w:r w:rsidRPr="00BF4EB9">
        <w:t>[155]</w:t>
      </w:r>
      <w:r w:rsidR="004B7086">
        <w:t xml:space="preserve"> </w:t>
      </w:r>
      <w:r w:rsidRPr="00BF4EB9">
        <w:t>(Cybersécurité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gestion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cybersécurité).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admis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devait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autonome,</w:t>
      </w:r>
      <w:r w:rsidR="004B7086">
        <w:t xml:space="preserve"> </w:t>
      </w:r>
      <w:r w:rsidRPr="00BF4EB9">
        <w:t>mais</w:t>
      </w:r>
      <w:r w:rsidR="004B7086">
        <w:t xml:space="preserve"> </w:t>
      </w:r>
      <w:r w:rsidRPr="00BF4EB9">
        <w:t>aussi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  <w:r w:rsidR="004B7086">
        <w:t xml:space="preserve"> </w:t>
      </w:r>
      <w:r w:rsidRPr="00BF4EB9">
        <w:t>était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sujet</w:t>
      </w:r>
      <w:r w:rsidR="004B7086">
        <w:t xml:space="preserve"> </w:t>
      </w:r>
      <w:r w:rsidRPr="00BF4EB9">
        <w:t>assez</w:t>
      </w:r>
      <w:r w:rsidR="004B7086">
        <w:t xml:space="preserve"> </w:t>
      </w:r>
      <w:r w:rsidRPr="00BF4EB9">
        <w:t>nouveau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certains,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pourraient</w:t>
      </w:r>
      <w:r w:rsidR="004B7086">
        <w:t xml:space="preserve"> </w:t>
      </w:r>
      <w:r w:rsidRPr="00BF4EB9">
        <w:t>immédiatement</w:t>
      </w:r>
      <w:r w:rsidR="004B7086">
        <w:t xml:space="preserve"> </w:t>
      </w:r>
      <w:r w:rsidRPr="00BF4EB9">
        <w:t>tirer</w:t>
      </w:r>
      <w:r w:rsidR="004B7086">
        <w:t xml:space="preserve"> </w:t>
      </w:r>
      <w:r w:rsidRPr="00BF4EB9">
        <w:t>profit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documents</w:t>
      </w:r>
    </w:p>
    <w:p w:rsidR="00DB758D" w:rsidRPr="00BF4EB9" w:rsidRDefault="00DB758D" w:rsidP="00BF4EB9">
      <w:pPr>
        <w:pStyle w:val="SingleTxtG"/>
      </w:pPr>
      <w:r w:rsidRPr="00BF4EB9">
        <w:t>26.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GRVA-07-04-Rev.1,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proposait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indications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façon</w:t>
      </w:r>
      <w:r w:rsidR="004B7086">
        <w:t xml:space="preserve"> </w:t>
      </w:r>
      <w:r w:rsidRPr="00BF4EB9">
        <w:t>d’interpréter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834A84">
        <w:rPr>
          <w:rFonts w:eastAsia="MS Mincho"/>
        </w:rPr>
        <w:t>n</w:t>
      </w:r>
      <w:r w:rsidR="00834A84">
        <w:rPr>
          <w:rFonts w:eastAsia="MS Mincho"/>
          <w:vertAlign w:val="superscript"/>
        </w:rPr>
        <w:t>o</w:t>
      </w:r>
      <w:r w:rsidR="00834A84">
        <w:t> </w:t>
      </w:r>
      <w:r w:rsidRPr="00BF4EB9">
        <w:t>[155]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recommandé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soit</w:t>
      </w:r>
      <w:r w:rsidR="004B7086">
        <w:t xml:space="preserve"> </w:t>
      </w:r>
      <w:r w:rsidRPr="00BF4EB9">
        <w:t>accepté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novembre</w:t>
      </w:r>
      <w:r w:rsidR="004B7086">
        <w:t xml:space="preserve"> </w:t>
      </w:r>
      <w:r w:rsidRPr="00BF4EB9">
        <w:t>2020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informel.</w:t>
      </w:r>
    </w:p>
    <w:p w:rsidR="00DB758D" w:rsidRPr="00BF4EB9" w:rsidRDefault="00DB758D" w:rsidP="00BF4EB9">
      <w:pPr>
        <w:pStyle w:val="SingleTxtG"/>
      </w:pPr>
      <w:r w:rsidRPr="00BF4EB9">
        <w:t>27.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Fédération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Russie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GRVA-07-08,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proposait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clarifier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5.3.5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834A84">
        <w:rPr>
          <w:rFonts w:eastAsia="MS Mincho"/>
        </w:rPr>
        <w:t>n</w:t>
      </w:r>
      <w:r w:rsidR="00834A84">
        <w:rPr>
          <w:rFonts w:eastAsia="MS Mincho"/>
          <w:vertAlign w:val="superscript"/>
        </w:rPr>
        <w:t>o</w:t>
      </w:r>
      <w:r w:rsidR="00834A84">
        <w:t> </w:t>
      </w:r>
      <w:r w:rsidRPr="00BF4EB9">
        <w:t>[155].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Japon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expliqué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clarification</w:t>
      </w:r>
      <w:r w:rsidR="004B7086">
        <w:t xml:space="preserve"> </w:t>
      </w:r>
      <w:r w:rsidRPr="00BF4EB9">
        <w:t>proposée</w:t>
      </w:r>
      <w:r w:rsidR="004B7086">
        <w:t xml:space="preserve"> </w:t>
      </w:r>
      <w:r w:rsidRPr="00BF4EB9">
        <w:t>devait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soigneusement</w:t>
      </w:r>
      <w:r w:rsidR="004B7086">
        <w:t xml:space="preserve"> </w:t>
      </w:r>
      <w:r w:rsidRPr="00BF4EB9">
        <w:t>étudiée</w:t>
      </w:r>
      <w:r w:rsidR="004B7086">
        <w:t xml:space="preserve"> </w:t>
      </w:r>
      <w:r w:rsidRPr="00BF4EB9">
        <w:t>car</w:t>
      </w:r>
      <w:r w:rsidR="004B7086">
        <w:t xml:space="preserve"> </w:t>
      </w:r>
      <w:r w:rsidRPr="00BF4EB9">
        <w:t>elle</w:t>
      </w:r>
      <w:r w:rsidR="004B7086">
        <w:t xml:space="preserve"> </w:t>
      </w:r>
      <w:r w:rsidRPr="00BF4EB9">
        <w:t>pourrait</w:t>
      </w:r>
      <w:r w:rsidR="004B7086">
        <w:t xml:space="preserve"> </w:t>
      </w:r>
      <w:r w:rsidRPr="00BF4EB9">
        <w:t>entraîner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restrictions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droits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contractantes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vertu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l’Accord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1958.</w:t>
      </w:r>
      <w:r w:rsidR="004B7086">
        <w:t xml:space="preserve"> </w:t>
      </w:r>
      <w:r w:rsidRPr="00BF4EB9">
        <w:t>L’auteur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convenu,</w:t>
      </w:r>
      <w:r w:rsidR="004B7086">
        <w:t xml:space="preserve"> </w:t>
      </w:r>
      <w:r w:rsidRPr="00BF4EB9">
        <w:t>tout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indiquant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ECE/TRANS/WP.29/97</w:t>
      </w:r>
      <w:r w:rsidR="004B7086">
        <w:t xml:space="preserve"> </w:t>
      </w:r>
      <w:r w:rsidRPr="00BF4EB9">
        <w:t>apportait</w:t>
      </w:r>
      <w:r w:rsidR="004B7086">
        <w:t xml:space="preserve"> </w:t>
      </w:r>
      <w:r w:rsidRPr="00BF4EB9">
        <w:t>déjà</w:t>
      </w:r>
      <w:r w:rsidR="004B7086">
        <w:t xml:space="preserve"> </w:t>
      </w:r>
      <w:r w:rsidRPr="00BF4EB9">
        <w:t>certains</w:t>
      </w:r>
      <w:r w:rsidR="004B7086">
        <w:t xml:space="preserve"> </w:t>
      </w:r>
      <w:r w:rsidRPr="00BF4EB9">
        <w:t>éclaircissements.</w:t>
      </w:r>
    </w:p>
    <w:p w:rsidR="00DB758D" w:rsidRPr="00BF4EB9" w:rsidRDefault="00DB758D" w:rsidP="00BF4EB9">
      <w:pPr>
        <w:pStyle w:val="SingleTxtG"/>
      </w:pPr>
      <w:r w:rsidRPr="00BF4EB9">
        <w:t>28.</w:t>
      </w:r>
      <w:r w:rsidRPr="00BF4EB9">
        <w:tab/>
        <w:t>L’expert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Pays-Bas,</w:t>
      </w:r>
      <w:r w:rsidR="004B7086">
        <w:t xml:space="preserve"> </w:t>
      </w:r>
      <w:r w:rsidR="00834A84" w:rsidRPr="00BF4EB9">
        <w:t>Président</w:t>
      </w:r>
      <w:r w:rsidR="00834A84">
        <w:t xml:space="preserve"> </w:t>
      </w:r>
      <w:r w:rsidRPr="00BF4EB9">
        <w:t>du</w:t>
      </w:r>
      <w:r w:rsidR="004B7086">
        <w:t xml:space="preserve"> </w:t>
      </w:r>
      <w:r w:rsidR="00834A84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l’échange</w:t>
      </w:r>
      <w:r w:rsidR="004B7086">
        <w:t xml:space="preserve"> </w:t>
      </w:r>
      <w:r w:rsidRPr="00BF4EB9">
        <w:t>d’informations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type</w:t>
      </w:r>
      <w:r w:rsidR="004B7086">
        <w:t xml:space="preserve"> </w:t>
      </w:r>
      <w:r w:rsidRPr="00BF4EB9">
        <w:t>(DETA),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GRVA-07-25</w:t>
      </w:r>
      <w:r w:rsidR="004B7086">
        <w:t xml:space="preserve"> </w:t>
      </w:r>
      <w:r w:rsidRPr="00BF4EB9">
        <w:t>(destiné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préciser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DETA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ECE/TRANS/WP.29/2020/94).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l’a</w:t>
      </w:r>
      <w:r w:rsidR="004B7086">
        <w:t xml:space="preserve"> </w:t>
      </w:r>
      <w:r w:rsidRPr="00BF4EB9">
        <w:t>approuvé,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principe,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projet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d’orientation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l’usage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autorités</w:t>
      </w:r>
      <w:r w:rsidR="004B7086">
        <w:t xml:space="preserve"> </w:t>
      </w:r>
      <w:r w:rsidRPr="00BF4EB9">
        <w:t>quant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manière</w:t>
      </w:r>
      <w:r w:rsidR="004B7086">
        <w:t xml:space="preserve"> </w:t>
      </w:r>
      <w:r w:rsidRPr="00BF4EB9">
        <w:t>d’utiliser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DETA,</w:t>
      </w:r>
      <w:r w:rsidR="004B7086">
        <w:t xml:space="preserve"> </w:t>
      </w:r>
      <w:r w:rsidRPr="00BF4EB9">
        <w:t>hébergée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l’Allemagne,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pertinentes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[155].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noté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serait</w:t>
      </w:r>
      <w:r w:rsidR="004B7086">
        <w:t xml:space="preserve"> </w:t>
      </w:r>
      <w:r w:rsidRPr="00BF4EB9">
        <w:t>finalisé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réunion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novembre</w:t>
      </w:r>
      <w:r w:rsidR="004B7086">
        <w:t xml:space="preserve"> </w:t>
      </w:r>
      <w:r w:rsidRPr="00BF4EB9">
        <w:t>2020,</w:t>
      </w:r>
      <w:r w:rsidR="004B7086">
        <w:t xml:space="preserve"> </w:t>
      </w:r>
      <w:r w:rsidRPr="00BF4EB9">
        <w:t>afin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puisse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même</w:t>
      </w:r>
      <w:r w:rsidR="004B7086">
        <w:t xml:space="preserve"> </w:t>
      </w:r>
      <w:r w:rsidRPr="00BF4EB9">
        <w:t>temps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ci-dessus.</w:t>
      </w:r>
    </w:p>
    <w:p w:rsidR="00DB758D" w:rsidRPr="00BF4EB9" w:rsidRDefault="00DB758D" w:rsidP="00BF4EB9">
      <w:pPr>
        <w:pStyle w:val="SingleTxtG"/>
      </w:pPr>
      <w:r w:rsidRPr="00BF4EB9">
        <w:t>29.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prié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réserver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espace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site</w:t>
      </w:r>
      <w:r w:rsidR="004B7086">
        <w:t xml:space="preserve"> </w:t>
      </w:r>
      <w:r w:rsidRPr="00BF4EB9">
        <w:t>Web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tous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relatifs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logiciels.</w:t>
      </w:r>
    </w:p>
    <w:p w:rsidR="00DB758D" w:rsidRPr="00775466" w:rsidRDefault="00DB758D" w:rsidP="00BF4EB9">
      <w:pPr>
        <w:pStyle w:val="SingleTxtG"/>
        <w:rPr>
          <w:spacing w:val="-1"/>
        </w:rPr>
      </w:pPr>
      <w:r w:rsidRPr="00775466">
        <w:rPr>
          <w:spacing w:val="-1"/>
        </w:rPr>
        <w:t>30.</w:t>
      </w:r>
      <w:r w:rsidRPr="00775466">
        <w:rPr>
          <w:spacing w:val="-1"/>
        </w:rPr>
        <w:tab/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FIA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présenté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document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GRVA-07-41,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qui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référait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document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WP.29-181-10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et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proposait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d’ajouter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dans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Règlement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ONU</w:t>
      </w:r>
      <w:r w:rsidR="004B7086" w:rsidRPr="00775466">
        <w:rPr>
          <w:spacing w:val="-1"/>
        </w:rPr>
        <w:t xml:space="preserve"> </w:t>
      </w:r>
      <w:r w:rsidR="00775466" w:rsidRPr="00775466">
        <w:rPr>
          <w:rFonts w:eastAsia="MS Mincho"/>
          <w:spacing w:val="-1"/>
        </w:rPr>
        <w:t>n</w:t>
      </w:r>
      <w:r w:rsidR="00775466" w:rsidRPr="00775466">
        <w:rPr>
          <w:rFonts w:eastAsia="MS Mincho"/>
          <w:spacing w:val="-1"/>
          <w:vertAlign w:val="superscript"/>
        </w:rPr>
        <w:t>o</w:t>
      </w:r>
      <w:r w:rsidR="00775466" w:rsidRPr="00775466">
        <w:rPr>
          <w:spacing w:val="-1"/>
        </w:rPr>
        <w:t> </w:t>
      </w:r>
      <w:r w:rsidRPr="00775466">
        <w:rPr>
          <w:spacing w:val="-1"/>
        </w:rPr>
        <w:t>[155]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les</w:t>
      </w:r>
      <w:r w:rsidR="004B7086" w:rsidRPr="00775466">
        <w:rPr>
          <w:rFonts w:ascii="Segoe UI" w:hAnsi="Segoe UI" w:cs="Segoe UI"/>
          <w:spacing w:val="-1"/>
        </w:rPr>
        <w:t xml:space="preserve"> </w:t>
      </w:r>
      <w:r w:rsidRPr="00775466">
        <w:rPr>
          <w:spacing w:val="-1"/>
        </w:rPr>
        <w:t>profils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protection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qui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ont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été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élaborés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en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coopération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avec</w:t>
      </w:r>
      <w:r w:rsidR="004B7086" w:rsidRPr="00775466">
        <w:rPr>
          <w:spacing w:val="-1"/>
        </w:rPr>
        <w:t xml:space="preserve"> </w:t>
      </w:r>
      <w:proofErr w:type="spellStart"/>
      <w:r w:rsidRPr="00775466">
        <w:rPr>
          <w:spacing w:val="-1"/>
        </w:rPr>
        <w:t>TüVIT</w:t>
      </w:r>
      <w:proofErr w:type="spellEnd"/>
      <w:r w:rsidRPr="00775466">
        <w:rPr>
          <w:spacing w:val="-1"/>
        </w:rPr>
        <w:t>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l’OICA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répondu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à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proposition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(GRVA-07-36).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Celui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FIA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accepté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répondre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aux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défis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soulevés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par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l’OICA.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Fédération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Russie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demandé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davantage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détails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sur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profils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protection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en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pratique.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Celui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CEN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rappelé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qu’il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avait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soumis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document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WP.29-179-27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transmis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pour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information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WP.29.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Chine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posé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questions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sur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nature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profils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protection,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demandant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s’il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s’agissait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d’orientations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ou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d’exigences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réglementaires.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FIA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répondu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que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profils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protection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étaient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une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méthodologie.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GRVA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invité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parties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intéressées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à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poursuivre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discussion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niveau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du</w:t>
      </w:r>
      <w:r w:rsidR="004B7086" w:rsidRPr="00775466">
        <w:rPr>
          <w:spacing w:val="-1"/>
        </w:rPr>
        <w:t xml:space="preserve"> </w:t>
      </w:r>
      <w:r w:rsidR="008720E6">
        <w:rPr>
          <w:spacing w:val="-1"/>
        </w:rPr>
        <w:t>g</w:t>
      </w:r>
      <w:r w:rsidRPr="00775466">
        <w:rPr>
          <w:spacing w:val="-1"/>
        </w:rPr>
        <w:t>roupe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travail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informel.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L’expert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des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Pays-Bas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accepté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d’appuyer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cette</w:t>
      </w:r>
      <w:r w:rsidR="004B7086" w:rsidRPr="00775466">
        <w:rPr>
          <w:spacing w:val="-1"/>
        </w:rPr>
        <w:t xml:space="preserve"> </w:t>
      </w:r>
      <w:r w:rsidRPr="00775466">
        <w:rPr>
          <w:spacing w:val="-1"/>
        </w:rPr>
        <w:t>discussion.</w:t>
      </w:r>
    </w:p>
    <w:p w:rsidR="00DB758D" w:rsidRPr="00BF4EB9" w:rsidRDefault="00DB758D" w:rsidP="00BF4EB9">
      <w:pPr>
        <w:pStyle w:val="SingleTxtG"/>
      </w:pPr>
      <w:r w:rsidRPr="00BF4EB9">
        <w:t>31.</w:t>
      </w:r>
      <w:r w:rsidRPr="00BF4EB9">
        <w:tab/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Royaume-Uni,</w:t>
      </w:r>
      <w:r w:rsidR="004B7086">
        <w:t xml:space="preserve"> </w:t>
      </w:r>
      <w:r w:rsidR="008720E6" w:rsidRPr="00BF4EB9">
        <w:t>Coprésident</w:t>
      </w:r>
      <w:r w:rsidR="008720E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rendu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demande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GRSG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cl</w:t>
      </w:r>
      <w:r w:rsidR="008720E6">
        <w:t>ef</w:t>
      </w:r>
      <w:r w:rsidRPr="00BF4EB9">
        <w:t>s</w:t>
      </w:r>
      <w:r w:rsidR="004B7086">
        <w:t xml:space="preserve"> </w:t>
      </w:r>
      <w:r w:rsidRPr="00BF4EB9">
        <w:t>virtuelles.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indiqué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[155]</w:t>
      </w:r>
      <w:r w:rsidR="004B7086">
        <w:t xml:space="preserve"> </w:t>
      </w:r>
      <w:r w:rsidRPr="00BF4EB9">
        <w:t>(</w:t>
      </w:r>
      <w:r w:rsidR="00023E07" w:rsidRPr="00BF4EB9">
        <w:t>annexe</w:t>
      </w:r>
      <w:r w:rsidR="004B7086">
        <w:t xml:space="preserve"> </w:t>
      </w:r>
      <w:r w:rsidRPr="00BF4EB9">
        <w:t>5,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4)</w:t>
      </w:r>
      <w:r w:rsidR="004B7086">
        <w:t xml:space="preserve"> </w:t>
      </w:r>
      <w:r w:rsidRPr="00BF4EB9">
        <w:t>couvrait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cl</w:t>
      </w:r>
      <w:r w:rsidR="008720E6">
        <w:t>ef</w:t>
      </w:r>
      <w:r w:rsidRPr="00BF4EB9">
        <w:t>s</w:t>
      </w:r>
      <w:r w:rsidR="004B7086">
        <w:t xml:space="preserve"> </w:t>
      </w:r>
      <w:r w:rsidRPr="00BF4EB9">
        <w:t>virtuelle,</w:t>
      </w:r>
      <w:r w:rsidR="004B7086">
        <w:t xml:space="preserve"> </w:t>
      </w:r>
      <w:r w:rsidRPr="00BF4EB9">
        <w:t>telle</w:t>
      </w:r>
      <w:r w:rsidR="004B7086">
        <w:t xml:space="preserve"> </w:t>
      </w:r>
      <w:r w:rsidRPr="00BF4EB9">
        <w:t>qu’elle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actuellement</w:t>
      </w:r>
      <w:r w:rsidR="004B7086">
        <w:t xml:space="preserve"> </w:t>
      </w:r>
      <w:r w:rsidRPr="00BF4EB9">
        <w:t>définie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GRSG.</w:t>
      </w:r>
    </w:p>
    <w:p w:rsidR="00DB758D" w:rsidRPr="00BF4EB9" w:rsidRDefault="00DB758D" w:rsidP="00BF4EB9">
      <w:pPr>
        <w:pStyle w:val="H1G"/>
      </w:pPr>
      <w:r w:rsidRPr="00BF4EB9">
        <w:lastRenderedPageBreak/>
        <w:tab/>
        <w:t>B.</w:t>
      </w:r>
      <w:r w:rsidRPr="00BF4EB9">
        <w:tab/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questions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à</w:t>
      </w:r>
      <w:r w:rsidR="00775466">
        <w:t> </w:t>
      </w:r>
      <w:r w:rsidRPr="00BF4EB9">
        <w:t>distance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ECE/TRANS/WP.29/GRVA/2020/29</w:t>
      </w:r>
      <w:r w:rsidR="008C5C24">
        <w:t> ;</w:t>
      </w:r>
      <w:r w:rsidRPr="00BF4EB9">
        <w:br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GRVA-07-37,</w:t>
      </w:r>
      <w:r w:rsidR="004B7086">
        <w:t xml:space="preserve"> </w:t>
      </w:r>
      <w:r w:rsidRPr="00BF4EB9">
        <w:t>GRVA-07-44,</w:t>
      </w:r>
      <w:r w:rsidR="004B7086">
        <w:t xml:space="preserve"> </w:t>
      </w:r>
      <w:r w:rsidRPr="00BF4EB9">
        <w:t>GRVA-07-50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GRVA-07-51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32.</w:t>
      </w:r>
      <w:r w:rsidRPr="00BF4EB9">
        <w:tab/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Royaume-Uni,</w:t>
      </w:r>
      <w:r w:rsidR="004B7086">
        <w:t xml:space="preserve"> </w:t>
      </w:r>
      <w:r w:rsidR="008720E6" w:rsidRPr="00BF4EB9">
        <w:t>Coprésident</w:t>
      </w:r>
      <w:r w:rsidR="008720E6">
        <w:t xml:space="preserve"> </w:t>
      </w:r>
      <w:r w:rsidRPr="00BF4EB9">
        <w:t>du</w:t>
      </w:r>
      <w:r w:rsidR="004B7086">
        <w:t xml:space="preserve"> </w:t>
      </w:r>
      <w:r w:rsidR="008720E6" w:rsidRPr="00BF4EB9">
        <w:t>groupe</w:t>
      </w:r>
      <w:r w:rsidR="008720E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rPr>
          <w:rFonts w:ascii="Segoe UI" w:hAnsi="Segoe UI" w:cs="Segoe UI"/>
        </w:rPr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questions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sûreté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transmissions</w:t>
      </w:r>
      <w:r w:rsidR="004B7086">
        <w:t xml:space="preserve"> </w:t>
      </w:r>
      <w:r w:rsidRPr="00BF4EB9">
        <w:t>sans</w:t>
      </w:r>
      <w:r w:rsidR="004B7086">
        <w:t xml:space="preserve"> </w:t>
      </w:r>
      <w:r w:rsidRPr="00BF4EB9">
        <w:t>fil,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ECE/TRANS/WP.29/GRVA/2020/29,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proposait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indications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façon</w:t>
      </w:r>
      <w:r w:rsidR="004B7086">
        <w:t xml:space="preserve"> </w:t>
      </w:r>
      <w:r w:rsidRPr="00BF4EB9">
        <w:t>d’interpréter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[156]</w:t>
      </w:r>
      <w:r w:rsidR="004B7086">
        <w:t xml:space="preserve"> </w:t>
      </w:r>
      <w:r w:rsidRPr="00BF4EB9">
        <w:t>(Systèmes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gestion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logiciels).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répondu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question</w:t>
      </w:r>
      <w:r w:rsidR="004B7086">
        <w:t xml:space="preserve"> </w:t>
      </w:r>
      <w:r w:rsidRPr="00BF4EB9">
        <w:t>soulevée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l’Espagne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sujet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référence</w:t>
      </w:r>
      <w:r w:rsidR="004B7086">
        <w:t xml:space="preserve"> </w:t>
      </w:r>
      <w:r w:rsidRPr="00BF4EB9">
        <w:t>faite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norme</w:t>
      </w:r>
      <w:r w:rsidR="004B7086">
        <w:t xml:space="preserve"> </w:t>
      </w:r>
      <w:r w:rsidRPr="00BF4EB9">
        <w:t>ISO</w:t>
      </w:r>
      <w:r w:rsidR="004B7086">
        <w:t xml:space="preserve"> </w:t>
      </w:r>
      <w:r w:rsidRPr="00BF4EB9">
        <w:t>9001,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norme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qualité</w:t>
      </w:r>
      <w:r w:rsidR="004B7086">
        <w:t xml:space="preserve"> </w:t>
      </w:r>
      <w:r w:rsidRPr="00BF4EB9">
        <w:t>très</w:t>
      </w:r>
      <w:r w:rsidR="004B7086">
        <w:t xml:space="preserve"> </w:t>
      </w:r>
      <w:r w:rsidRPr="00BF4EB9">
        <w:t>générale.</w:t>
      </w:r>
    </w:p>
    <w:p w:rsidR="00DB758D" w:rsidRPr="00BF4EB9" w:rsidRDefault="00DB758D" w:rsidP="00BF4EB9">
      <w:pPr>
        <w:pStyle w:val="SingleTxtG"/>
      </w:pPr>
      <w:r w:rsidRPr="00BF4EB9">
        <w:t>33.</w:t>
      </w:r>
      <w:r w:rsidRPr="00BF4EB9">
        <w:tab/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CITA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GRVA-07-44,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visait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clarifier</w:t>
      </w:r>
      <w:r w:rsidR="004B7086">
        <w:t xml:space="preserve"> </w:t>
      </w:r>
      <w:r w:rsidRPr="00BF4EB9">
        <w:t>l’interprétation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7.1.1.12.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n’a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soutenu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proposition,</w:t>
      </w:r>
      <w:r w:rsidR="004B7086">
        <w:t xml:space="preserve"> </w:t>
      </w:r>
      <w:r w:rsidRPr="00BF4EB9">
        <w:t>considérant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d’interprétation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devait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introduire</w:t>
      </w:r>
      <w:r w:rsidR="004B7086">
        <w:t xml:space="preserve"> </w:t>
      </w:r>
      <w:r w:rsidRPr="00BF4EB9">
        <w:t>indirectement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nouvelles</w:t>
      </w:r>
      <w:r w:rsidR="004B7086">
        <w:t xml:space="preserve"> </w:t>
      </w:r>
      <w:r w:rsidRPr="00BF4EB9">
        <w:t>exigences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offert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CITA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revoir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l’idée</w:t>
      </w:r>
      <w:r w:rsidR="004B7086">
        <w:t xml:space="preserve"> </w:t>
      </w:r>
      <w:r w:rsidRPr="00BF4EB9">
        <w:t>proposée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document.</w:t>
      </w:r>
    </w:p>
    <w:p w:rsidR="00DB758D" w:rsidRPr="00BF4EB9" w:rsidRDefault="00DB758D" w:rsidP="00BF4EB9">
      <w:pPr>
        <w:pStyle w:val="SingleTxtG"/>
      </w:pPr>
      <w:r w:rsidRPr="00BF4EB9">
        <w:t>34.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ECE/TRANS/WP.29/GRVA/2020/29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GRVA-07-50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IV)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recommandé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adoption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novembre</w:t>
      </w:r>
      <w:r w:rsidR="004B7086">
        <w:t xml:space="preserve"> </w:t>
      </w:r>
      <w:r w:rsidRPr="00BF4EB9">
        <w:t>2020.</w:t>
      </w:r>
      <w:r w:rsidR="004B7086">
        <w:t xml:space="preserve"> </w:t>
      </w:r>
      <w:r w:rsidRPr="00BF4EB9">
        <w:t>(Le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pris</w:t>
      </w:r>
      <w:r w:rsidR="004B7086">
        <w:t xml:space="preserve"> </w:t>
      </w:r>
      <w:r w:rsidRPr="00BF4EB9">
        <w:t>note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soumission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GRVA-07-51,</w:t>
      </w:r>
      <w:r w:rsidR="004B7086">
        <w:t xml:space="preserve"> </w:t>
      </w:r>
      <w:r w:rsidRPr="00BF4EB9">
        <w:t>dont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contenu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identique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celui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GRVA-07-50</w:t>
      </w:r>
      <w:r w:rsidR="004B7086">
        <w:t xml:space="preserve"> </w:t>
      </w:r>
      <w:r w:rsidRPr="00BF4EB9">
        <w:t>mais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forme</w:t>
      </w:r>
      <w:r w:rsidR="004B7086">
        <w:t xml:space="preserve"> </w:t>
      </w:r>
      <w:r w:rsidRPr="00BF4EB9">
        <w:t>différente</w:t>
      </w:r>
      <w:r w:rsidR="008720E6">
        <w:t>.</w:t>
      </w:r>
      <w:r w:rsidRPr="00BF4EB9">
        <w:t>)</w:t>
      </w:r>
    </w:p>
    <w:p w:rsidR="00DB758D" w:rsidRPr="00BF4EB9" w:rsidRDefault="00DB758D" w:rsidP="00BF4EB9">
      <w:pPr>
        <w:pStyle w:val="SingleTxtG"/>
      </w:pPr>
      <w:r w:rsidRPr="00BF4EB9">
        <w:t>35.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France</w:t>
      </w:r>
      <w:r w:rsidR="004B7086">
        <w:t xml:space="preserve"> </w:t>
      </w:r>
      <w:bookmarkStart w:id="13" w:name="_Hlk61343608"/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bookmarkEnd w:id="13"/>
      <w:r w:rsidRPr="00BF4EB9">
        <w:t>GRVA-07-37,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visait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clarifier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applicables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constructeurs</w:t>
      </w:r>
      <w:r w:rsidR="004B7086">
        <w:t xml:space="preserve"> </w:t>
      </w:r>
      <w:r w:rsidRPr="00BF4EB9">
        <w:t>utilisant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numérotation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différent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numéro</w:t>
      </w:r>
      <w:r w:rsidR="004B7086">
        <w:t xml:space="preserve"> </w:t>
      </w:r>
      <w:r w:rsidRPr="00BF4EB9">
        <w:t>d’identification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logiciel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Pr="00BF4EB9">
        <w:t>(</w:t>
      </w:r>
      <w:proofErr w:type="spellStart"/>
      <w:r w:rsidRPr="00BF4EB9">
        <w:t>RxSWIN</w:t>
      </w:r>
      <w:proofErr w:type="spellEnd"/>
      <w:r w:rsidRPr="00BF4EB9">
        <w:t>).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accueilli</w:t>
      </w:r>
      <w:r w:rsidR="004B7086">
        <w:t xml:space="preserve"> </w:t>
      </w:r>
      <w:r w:rsidRPr="00BF4EB9">
        <w:t>favorablement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proposition.</w:t>
      </w:r>
    </w:p>
    <w:p w:rsidR="00DB758D" w:rsidRPr="00BF4EB9" w:rsidRDefault="00DB758D" w:rsidP="00BF4EB9">
      <w:pPr>
        <w:pStyle w:val="SingleTxtG"/>
      </w:pPr>
      <w:r w:rsidRPr="00BF4EB9">
        <w:t>36.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reprendre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GRVA-07-37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révisé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sera</w:t>
      </w:r>
      <w:r w:rsidR="004B7086">
        <w:t xml:space="preserve"> </w:t>
      </w:r>
      <w:r w:rsidRPr="00BF4EB9">
        <w:t>distribué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cote</w:t>
      </w:r>
      <w:r w:rsidR="004B7086">
        <w:t xml:space="preserve"> </w:t>
      </w:r>
      <w:r w:rsidRPr="00BF4EB9">
        <w:t>officielle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février</w:t>
      </w:r>
      <w:r w:rsidR="004B7086">
        <w:t xml:space="preserve"> </w:t>
      </w:r>
      <w:r w:rsidRPr="00BF4EB9">
        <w:t>2021.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C.</w:t>
      </w:r>
      <w:r w:rsidRPr="00BF4EB9">
        <w:tab/>
        <w:t>Considérations</w:t>
      </w:r>
      <w:r w:rsidR="004B7086">
        <w:t xml:space="preserve"> </w:t>
      </w:r>
      <w:r w:rsidRPr="00BF4EB9">
        <w:t>juridiques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techniques</w:t>
      </w:r>
      <w:r w:rsidR="004B7086">
        <w:t xml:space="preserve"> </w:t>
      </w:r>
      <w:r w:rsidRPr="00BF4EB9">
        <w:t>applicables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durée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vie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(Document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WP.29-180-18)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37.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n’a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abordé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présente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car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déjà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lequel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basé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WP.29-180-18.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D.</w:t>
      </w:r>
      <w:r w:rsidRPr="00BF4EB9">
        <w:tab/>
        <w:t>Questions</w:t>
      </w:r>
      <w:r w:rsidR="004B7086">
        <w:t xml:space="preserve"> </w:t>
      </w:r>
      <w:r w:rsidRPr="00BF4EB9">
        <w:t>diverses</w:t>
      </w:r>
    </w:p>
    <w:p w:rsidR="00DB758D" w:rsidRPr="00BF4EB9" w:rsidRDefault="00DB758D" w:rsidP="00BF4EB9">
      <w:pPr>
        <w:pStyle w:val="SingleTxtG"/>
      </w:pPr>
      <w:r w:rsidRPr="00BF4EB9">
        <w:t>38.</w:t>
      </w:r>
      <w:r w:rsidRPr="00BF4EB9">
        <w:tab/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VII.</w:t>
      </w:r>
      <w:r w:rsidRPr="00BF4EB9">
        <w:tab/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79</w:t>
      </w:r>
      <w:r w:rsidR="004B7086">
        <w:t xml:space="preserve"> </w:t>
      </w:r>
      <w:r w:rsidRPr="00BF4EB9">
        <w:t>(Équipement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direction)</w:t>
      </w:r>
      <w:r w:rsidR="004B7086">
        <w:t xml:space="preserve"> </w:t>
      </w:r>
      <w:bookmarkStart w:id="14" w:name="_Hlk61257510"/>
      <w:r w:rsidRPr="00BF4EB9">
        <w:t>(point</w:t>
      </w:r>
      <w:r w:rsidR="004B7086">
        <w:t xml:space="preserve"> </w:t>
      </w:r>
      <w:r w:rsidRPr="00BF4EB9">
        <w:t>6</w:t>
      </w:r>
      <w:r w:rsidR="004B7086">
        <w:t xml:space="preserve"> </w:t>
      </w:r>
      <w:r w:rsidRPr="00BF4EB9">
        <w:t>de</w:t>
      </w:r>
      <w:r w:rsidR="00775466">
        <w:t> 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  <w:bookmarkEnd w:id="14"/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A.</w:t>
      </w:r>
      <w:r w:rsidRPr="00BF4EB9">
        <w:tab/>
        <w:t>Fonction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automatique</w:t>
      </w:r>
    </w:p>
    <w:p w:rsidR="00DB758D" w:rsidRPr="00775466" w:rsidRDefault="00DB758D" w:rsidP="0053461A">
      <w:pPr>
        <w:pStyle w:val="SingleTxtG"/>
        <w:keepNext/>
        <w:ind w:left="2835" w:hanging="1701"/>
        <w:jc w:val="left"/>
      </w:pPr>
      <w:r w:rsidRPr="00775466">
        <w:rPr>
          <w:i/>
        </w:rPr>
        <w:t>Documents</w:t>
      </w:r>
      <w:r w:rsidR="004B7086" w:rsidRPr="00775466">
        <w:t> :</w:t>
      </w:r>
      <w:r w:rsidRPr="00775466">
        <w:tab/>
        <w:t>ECE/TRANS/WP.29/GRVA/2020/22</w:t>
      </w:r>
      <w:r w:rsidR="00775466" w:rsidRPr="00775466">
        <w:t>,</w:t>
      </w:r>
      <w:r w:rsidR="004B7086" w:rsidRPr="00775466">
        <w:t xml:space="preserve"> </w:t>
      </w:r>
      <w:r w:rsidRPr="00775466">
        <w:t>ECE/TRANS/WP.29/GRVA/2020/23</w:t>
      </w:r>
      <w:r w:rsidR="00775466" w:rsidRPr="00775466">
        <w:t>,</w:t>
      </w:r>
      <w:r w:rsidRPr="00775466">
        <w:br/>
        <w:t>ECE/TRANS/WP.29/GRVA/2020/24</w:t>
      </w:r>
      <w:r w:rsidR="008C5C24">
        <w:t> ;</w:t>
      </w:r>
      <w:r w:rsidR="00BF4EB9" w:rsidRPr="00775466">
        <w:br/>
      </w:r>
      <w:r w:rsidRPr="00775466">
        <w:t>Documents</w:t>
      </w:r>
      <w:r w:rsidR="004B7086" w:rsidRPr="00775466">
        <w:t xml:space="preserve"> </w:t>
      </w:r>
      <w:r w:rsidRPr="00775466">
        <w:t>informels</w:t>
      </w:r>
      <w:r w:rsidR="004B7086" w:rsidRPr="00775466">
        <w:t xml:space="preserve"> </w:t>
      </w:r>
      <w:r w:rsidRPr="00775466">
        <w:t>GRVA-07-15,</w:t>
      </w:r>
      <w:r w:rsidR="004B7086" w:rsidRPr="00775466">
        <w:t xml:space="preserve"> </w:t>
      </w:r>
      <w:r w:rsidRPr="00775466">
        <w:t>GRVA-07-16,</w:t>
      </w:r>
      <w:r w:rsidR="004B7086" w:rsidRPr="00775466">
        <w:t xml:space="preserve"> </w:t>
      </w:r>
      <w:r w:rsidRPr="00775466">
        <w:t>GRVA-07-17,</w:t>
      </w:r>
      <w:r w:rsidR="004B7086" w:rsidRPr="00775466">
        <w:t xml:space="preserve"> </w:t>
      </w:r>
      <w:r w:rsidRPr="00775466">
        <w:lastRenderedPageBreak/>
        <w:t>GRVA-07-18,</w:t>
      </w:r>
      <w:r w:rsidR="004B7086" w:rsidRPr="00775466">
        <w:t xml:space="preserve"> </w:t>
      </w:r>
      <w:r w:rsidRPr="00775466">
        <w:t>GRVA-07-19,</w:t>
      </w:r>
      <w:r w:rsidR="004B7086" w:rsidRPr="00775466">
        <w:t xml:space="preserve"> </w:t>
      </w:r>
      <w:r w:rsidRPr="00775466">
        <w:t>GRVA-07-20,</w:t>
      </w:r>
      <w:r w:rsidR="004B7086" w:rsidRPr="00775466">
        <w:t xml:space="preserve"> </w:t>
      </w:r>
      <w:r w:rsidRPr="00775466">
        <w:t>GRVA-07-29,</w:t>
      </w:r>
      <w:r w:rsidR="004B7086" w:rsidRPr="00775466">
        <w:t xml:space="preserve"> </w:t>
      </w:r>
      <w:r w:rsidRPr="00775466">
        <w:t>GRVA</w:t>
      </w:r>
      <w:r w:rsidR="00775466" w:rsidRPr="00775466">
        <w:noBreakHyphen/>
      </w:r>
      <w:r w:rsidRPr="00775466">
        <w:t>07-32</w:t>
      </w:r>
      <w:r w:rsidR="00775466" w:rsidRPr="00775466">
        <w:t xml:space="preserve"> et</w:t>
      </w:r>
      <w:r w:rsidR="004B7086" w:rsidRPr="00775466">
        <w:t xml:space="preserve"> </w:t>
      </w:r>
      <w:r w:rsidRPr="00775466">
        <w:t>GRVA-07-43</w:t>
      </w:r>
      <w:r w:rsidR="00BF4EB9" w:rsidRPr="00775466">
        <w:t>.</w:t>
      </w:r>
    </w:p>
    <w:p w:rsidR="00DB758D" w:rsidRPr="008720E6" w:rsidRDefault="00DB758D" w:rsidP="00BF4EB9">
      <w:pPr>
        <w:pStyle w:val="SingleTxtG"/>
        <w:rPr>
          <w:spacing w:val="-1"/>
        </w:rPr>
      </w:pPr>
      <w:r w:rsidRPr="008720E6">
        <w:rPr>
          <w:spacing w:val="-1"/>
        </w:rPr>
        <w:t>39.</w:t>
      </w:r>
      <w:r w:rsidRPr="008720E6">
        <w:rPr>
          <w:spacing w:val="-1"/>
        </w:rPr>
        <w:tab/>
        <w:t>L’expert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l’OICA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présenté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ECE/TRANS/WP.29/GRVA/2020/22,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modifié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par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GRVA-07-20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contenant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propositions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d’amendements</w:t>
      </w:r>
      <w:r w:rsidR="004B7086" w:rsidRPr="008720E6">
        <w:rPr>
          <w:spacing w:val="-1"/>
        </w:rPr>
        <w:t xml:space="preserve"> </w:t>
      </w:r>
      <w:bookmarkStart w:id="15" w:name="_Hlk61344545"/>
      <w:r w:rsidRPr="008720E6">
        <w:rPr>
          <w:spacing w:val="-1"/>
        </w:rPr>
        <w:t>aux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dispositions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relatives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aux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fonction</w:t>
      </w:r>
      <w:r w:rsidR="008720E6" w:rsidRPr="008720E6">
        <w:rPr>
          <w:spacing w:val="-1"/>
        </w:rPr>
        <w:t>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direction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à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commande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automatique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catégorie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C</w:t>
      </w:r>
      <w:bookmarkEnd w:id="15"/>
      <w:r w:rsidRPr="008720E6">
        <w:rPr>
          <w:spacing w:val="-1"/>
        </w:rPr>
        <w:t>.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Il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expliqué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que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GRVA-07-20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intégrait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également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GRVA-07-15,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GRVA-07-16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et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GRVA-07-19.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Il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retiré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GRVA-07-18.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L’expert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l’AVERE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appuyé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proposition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l’OICA.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GRVA-07-29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été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remplacé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par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document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GRVA-07-32.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Le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Groupe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travail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reste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divisé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à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propos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ces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amendements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depuis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sa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quatrième</w:t>
      </w:r>
      <w:r w:rsidR="004B7086" w:rsidRPr="008720E6">
        <w:rPr>
          <w:spacing w:val="-1"/>
        </w:rPr>
        <w:t xml:space="preserve"> </w:t>
      </w:r>
      <w:r w:rsidRPr="008720E6">
        <w:rPr>
          <w:spacing w:val="-1"/>
        </w:rPr>
        <w:t>session.</w:t>
      </w:r>
    </w:p>
    <w:p w:rsidR="00DB758D" w:rsidRPr="00BF4EB9" w:rsidRDefault="00DB758D" w:rsidP="00BF4EB9">
      <w:pPr>
        <w:pStyle w:val="SingleTxtG"/>
      </w:pPr>
      <w:r w:rsidRPr="00BF4EB9">
        <w:t>40.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l’Allemagne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</w:t>
      </w:r>
      <w:r w:rsidR="00B56ABA">
        <w:t xml:space="preserve"> </w:t>
      </w:r>
      <w:r w:rsidRPr="00BF4EB9">
        <w:t>2020/24</w:t>
      </w:r>
      <w:r w:rsidR="004B7086">
        <w:t xml:space="preserve"> </w:t>
      </w:r>
      <w:r w:rsidRPr="00BF4EB9">
        <w:t>modifiant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5.6.4.7.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formulé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observations.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invité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l’Allemagne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collaborer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vue</w:t>
      </w:r>
      <w:r w:rsidR="004B7086">
        <w:t xml:space="preserve"> </w:t>
      </w:r>
      <w:r w:rsidRPr="00BF4EB9">
        <w:t>d’établir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révisée.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Royaume-Uni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insisté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nécessité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revoir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changement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voie.</w:t>
      </w:r>
    </w:p>
    <w:p w:rsidR="00DB758D" w:rsidRPr="008720E6" w:rsidRDefault="00DB758D" w:rsidP="00BF4EB9">
      <w:pPr>
        <w:pStyle w:val="SingleTxtG"/>
        <w:rPr>
          <w:spacing w:val="-2"/>
        </w:rPr>
      </w:pPr>
      <w:r w:rsidRPr="008720E6">
        <w:rPr>
          <w:spacing w:val="-2"/>
        </w:rPr>
        <w:t>41.</w:t>
      </w:r>
      <w:r w:rsidRPr="008720E6">
        <w:rPr>
          <w:spacing w:val="-2"/>
        </w:rPr>
        <w:tab/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GRVA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adopté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document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ECE/TRANS/WP.29/GRVA/2020/23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prié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secrétariat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soumettre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en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tant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que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complément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à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série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03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d’amendements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au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Règlement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ONU</w:t>
      </w:r>
      <w:r w:rsidR="004B7086" w:rsidRPr="008720E6">
        <w:rPr>
          <w:spacing w:val="-2"/>
        </w:rPr>
        <w:t xml:space="preserve"> </w:t>
      </w:r>
      <w:r w:rsidR="00775466" w:rsidRPr="008720E6">
        <w:rPr>
          <w:rFonts w:eastAsia="MS Mincho"/>
          <w:spacing w:val="-2"/>
        </w:rPr>
        <w:t>n</w:t>
      </w:r>
      <w:r w:rsidR="00775466" w:rsidRPr="008720E6">
        <w:rPr>
          <w:rFonts w:eastAsia="MS Mincho"/>
          <w:spacing w:val="-2"/>
          <w:vertAlign w:val="superscript"/>
        </w:rPr>
        <w:t>o</w:t>
      </w:r>
      <w:r w:rsidR="00775466" w:rsidRPr="008720E6">
        <w:rPr>
          <w:spacing w:val="-2"/>
        </w:rPr>
        <w:t> </w:t>
      </w:r>
      <w:r w:rsidRPr="008720E6">
        <w:rPr>
          <w:spacing w:val="-2"/>
        </w:rPr>
        <w:t>79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pour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examen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mise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aux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voix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par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WP.29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l’AC.1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à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leurs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sessions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mars</w:t>
      </w:r>
      <w:r w:rsidR="008720E6">
        <w:rPr>
          <w:spacing w:val="-2"/>
        </w:rPr>
        <w:t xml:space="preserve"> </w:t>
      </w:r>
      <w:r w:rsidRPr="008720E6">
        <w:rPr>
          <w:spacing w:val="-2"/>
        </w:rPr>
        <w:t>2021.</w:t>
      </w:r>
    </w:p>
    <w:p w:rsidR="00DB758D" w:rsidRPr="00BF4EB9" w:rsidRDefault="00DB758D" w:rsidP="00BF4EB9">
      <w:pPr>
        <w:pStyle w:val="SingleTxtG"/>
      </w:pPr>
      <w:r w:rsidRPr="00BF4EB9">
        <w:t>42.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GRVA-07-43,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contenait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d’amendement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automatique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catégorie</w:t>
      </w:r>
      <w:r w:rsidR="004B7086">
        <w:t xml:space="preserve"> </w:t>
      </w:r>
      <w:r w:rsidRPr="00BF4EB9">
        <w:t>C</w:t>
      </w:r>
      <w:r w:rsidR="004B7086">
        <w:t xml:space="preserve"> </w:t>
      </w:r>
      <w:r w:rsidRPr="00BF4EB9">
        <w:t>visant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inclure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transmission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camion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remorque.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distribuer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cote</w:t>
      </w:r>
      <w:r w:rsidR="004B7086">
        <w:t xml:space="preserve"> </w:t>
      </w:r>
      <w:r w:rsidRPr="00BF4EB9">
        <w:t>officielle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février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travail.</w:t>
      </w:r>
    </w:p>
    <w:p w:rsidR="00DB758D" w:rsidRPr="00BF4EB9" w:rsidRDefault="00DB758D" w:rsidP="00BF4EB9">
      <w:pPr>
        <w:pStyle w:val="SingleTxtG"/>
      </w:pPr>
      <w:r w:rsidRPr="00BF4EB9">
        <w:t>43.</w:t>
      </w:r>
      <w:r w:rsidRPr="00BF4EB9">
        <w:tab/>
        <w:t>Le</w:t>
      </w:r>
      <w:r w:rsidR="004B7086">
        <w:t xml:space="preserve"> </w:t>
      </w:r>
      <w:r w:rsidR="008720E6" w:rsidRPr="00BF4EB9">
        <w:t>Président</w:t>
      </w:r>
      <w:r w:rsidR="008720E6">
        <w:t xml:space="preserve"> </w:t>
      </w:r>
      <w:r w:rsidRPr="00BF4EB9">
        <w:t>a</w:t>
      </w:r>
      <w:r w:rsidR="004B7086">
        <w:t xml:space="preserve"> </w:t>
      </w:r>
      <w:r w:rsidRPr="00BF4EB9">
        <w:t>pris</w:t>
      </w:r>
      <w:r w:rsidR="004B7086">
        <w:t xml:space="preserve"> </w:t>
      </w:r>
      <w:r w:rsidRPr="00BF4EB9">
        <w:t>note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nombre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proposant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amendements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775466">
        <w:rPr>
          <w:rFonts w:eastAsia="MS Mincho"/>
        </w:rPr>
        <w:t>n</w:t>
      </w:r>
      <w:r w:rsidR="00775466">
        <w:rPr>
          <w:rFonts w:eastAsia="MS Mincho"/>
          <w:vertAlign w:val="superscript"/>
        </w:rPr>
        <w:t>o</w:t>
      </w:r>
      <w:r w:rsidR="00775466">
        <w:t> </w:t>
      </w:r>
      <w:r w:rsidRPr="00BF4EB9">
        <w:t>79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automatique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invité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intéressées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établir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synthèse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amendements</w:t>
      </w:r>
      <w:r w:rsidR="004B7086">
        <w:t xml:space="preserve"> </w:t>
      </w:r>
      <w:r w:rsidRPr="00BF4EB9">
        <w:t>proposés</w:t>
      </w:r>
      <w:r w:rsidR="004B7086">
        <w:t xml:space="preserve"> </w:t>
      </w:r>
      <w:r w:rsidRPr="00BF4EB9">
        <w:t>susceptibles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faire</w:t>
      </w:r>
      <w:r w:rsidR="004B7086">
        <w:t xml:space="preserve"> </w:t>
      </w:r>
      <w:r w:rsidRPr="00BF4EB9">
        <w:t>consensus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sein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GRVA.</w:t>
      </w:r>
    </w:p>
    <w:p w:rsidR="00DB758D" w:rsidRPr="008720E6" w:rsidRDefault="00DB758D" w:rsidP="00BF4EB9">
      <w:pPr>
        <w:pStyle w:val="SingleTxtG"/>
        <w:rPr>
          <w:spacing w:val="-2"/>
        </w:rPr>
      </w:pPr>
      <w:r w:rsidRPr="008720E6">
        <w:rPr>
          <w:spacing w:val="-2"/>
        </w:rPr>
        <w:t>44.</w:t>
      </w:r>
      <w:r w:rsidRPr="008720E6">
        <w:rPr>
          <w:spacing w:val="-2"/>
        </w:rPr>
        <w:tab/>
        <w:t>L’expert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l’AVERE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présenté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document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GRVA-07-15.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Groupe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travail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demandé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au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secrétariat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distribuer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document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sous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une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cote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officielle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à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prochaine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session.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Il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également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présenté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document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GRVA-07-16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contenant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propositions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d’amendements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relatives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à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fonction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direction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à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commande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automatique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catégorie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C.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experts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Pays-Bas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et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du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Danemark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ont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émis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réserves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concernant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document.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Le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GRVA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n’a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pas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pu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dégager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de</w:t>
      </w:r>
      <w:r w:rsidR="004B7086" w:rsidRPr="008720E6">
        <w:rPr>
          <w:spacing w:val="-2"/>
        </w:rPr>
        <w:t xml:space="preserve"> </w:t>
      </w:r>
      <w:r w:rsidRPr="008720E6">
        <w:rPr>
          <w:spacing w:val="-2"/>
        </w:rPr>
        <w:t>consensus.</w:t>
      </w:r>
    </w:p>
    <w:p w:rsidR="00DB758D" w:rsidRPr="00BF4EB9" w:rsidRDefault="00DB758D" w:rsidP="00BF4EB9">
      <w:pPr>
        <w:pStyle w:val="SingleTxtG"/>
      </w:pPr>
      <w:r w:rsidRPr="00BF4EB9">
        <w:t>45.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n’a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examiné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GRVA-07-17</w:t>
      </w:r>
      <w:r w:rsidR="004B7086">
        <w:t xml:space="preserve"> </w:t>
      </w:r>
      <w:r w:rsidRPr="00BF4EB9">
        <w:t>faute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temps.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distribuer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cote</w:t>
      </w:r>
      <w:r w:rsidR="004B7086">
        <w:t xml:space="preserve"> </w:t>
      </w:r>
      <w:r w:rsidRPr="00BF4EB9">
        <w:t>officielle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B.</w:t>
      </w:r>
      <w:r w:rsidRPr="00BF4EB9">
        <w:tab/>
        <w:t>Équipement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ECE/TRANS/WP.29/GRVA/2020/16</w:t>
      </w:r>
      <w:r w:rsidR="008C5C24">
        <w:t> ;</w:t>
      </w:r>
      <w:r w:rsidRPr="00BF4EB9">
        <w:br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GRVA-07-22</w:t>
      </w:r>
      <w:r w:rsidR="00B56ABA">
        <w:t xml:space="preserve"> et</w:t>
      </w:r>
      <w:r w:rsidR="004B7086">
        <w:t xml:space="preserve"> </w:t>
      </w:r>
      <w:r w:rsidRPr="00BF4EB9">
        <w:t>GRVA-07-24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46.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rappelé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but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</w:t>
      </w:r>
      <w:r w:rsidR="008720E6">
        <w:t xml:space="preserve"> </w:t>
      </w:r>
      <w:r w:rsidRPr="00BF4EB9">
        <w:t>2020/16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GRVA-07-22,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visait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introduire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applicables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d’atténuation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risques.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rappelé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existants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pouvaient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homologués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vertu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série</w:t>
      </w:r>
      <w:r w:rsidR="004B7086">
        <w:t xml:space="preserve"> </w:t>
      </w:r>
      <w:r w:rsidRPr="00BF4EB9">
        <w:t>03</w:t>
      </w:r>
      <w:r w:rsidR="004B7086">
        <w:t xml:space="preserve"> </w:t>
      </w:r>
      <w:r w:rsidRPr="00BF4EB9">
        <w:t>d’amendements.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reprendre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prié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d’ajouter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correspondant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provisoire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GRVA.</w:t>
      </w:r>
    </w:p>
    <w:p w:rsidR="00DB758D" w:rsidRPr="00BF4EB9" w:rsidRDefault="00DB758D" w:rsidP="00BF4EB9">
      <w:pPr>
        <w:pStyle w:val="SingleTxtG"/>
      </w:pPr>
      <w:r w:rsidRPr="00BF4EB9">
        <w:t>47.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GRVA-07-24,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contenait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d’assistance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manœuvre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situations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circulation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faible</w:t>
      </w:r>
      <w:r w:rsidR="004B7086">
        <w:t xml:space="preserve"> </w:t>
      </w:r>
      <w:r w:rsidRPr="00BF4EB9">
        <w:t>vitesse</w:t>
      </w:r>
      <w:r w:rsidR="004B7086">
        <w:t xml:space="preserve"> </w:t>
      </w:r>
      <w:r w:rsidRPr="00BF4EB9">
        <w:t>afin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réduire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dégâts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blessures.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Japon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indiqué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valeur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2</w:t>
      </w:r>
      <w:r w:rsidR="00B56ABA">
        <w:t> </w:t>
      </w:r>
      <w:r w:rsidRPr="00BF4EB9">
        <w:t>m/s</w:t>
      </w:r>
      <w:r w:rsidRPr="00B56ABA">
        <w:rPr>
          <w:vertAlign w:val="superscript"/>
        </w:rPr>
        <w:t>2</w:t>
      </w:r>
      <w:r w:rsidR="004B7086">
        <w:t xml:space="preserve"> </w:t>
      </w:r>
      <w:r w:rsidRPr="00BF4EB9">
        <w:t>lui</w:t>
      </w:r>
      <w:r w:rsidR="004B7086">
        <w:t xml:space="preserve"> </w:t>
      </w:r>
      <w:r w:rsidRPr="00BF4EB9">
        <w:t>semblait</w:t>
      </w:r>
      <w:r w:rsidR="004B7086">
        <w:t xml:space="preserve"> </w:t>
      </w:r>
      <w:r w:rsidRPr="00BF4EB9">
        <w:t>élevée.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reprendre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février</w:t>
      </w:r>
      <w:r w:rsidR="004B7086">
        <w:t xml:space="preserve"> </w:t>
      </w:r>
      <w:r w:rsidRPr="00BF4EB9">
        <w:t>2021.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lastRenderedPageBreak/>
        <w:tab/>
      </w:r>
      <w:r w:rsidRPr="00BF4EB9">
        <w:t>C.</w:t>
      </w:r>
      <w:r w:rsidRPr="00BF4EB9">
        <w:tab/>
        <w:t>Manœuvres</w:t>
      </w:r>
      <w:r w:rsidR="004B7086">
        <w:t xml:space="preserve"> </w:t>
      </w:r>
      <w:r w:rsidRPr="00BF4EB9">
        <w:t>télécommandées</w:t>
      </w:r>
    </w:p>
    <w:p w:rsidR="00DB758D" w:rsidRPr="00BF4EB9" w:rsidRDefault="00DB758D" w:rsidP="00BF4EB9">
      <w:pPr>
        <w:pStyle w:val="SingleTxtG"/>
      </w:pPr>
      <w:r w:rsidRPr="00BF4EB9">
        <w:rPr>
          <w:iCs/>
        </w:rPr>
        <w:t>48.</w:t>
      </w:r>
      <w:r w:rsidRPr="00BF4EB9">
        <w:rPr>
          <w:i/>
        </w:rPr>
        <w:tab/>
      </w:r>
      <w:r w:rsidRPr="00BF4EB9"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D.</w:t>
      </w:r>
      <w:r w:rsidRPr="00BF4EB9">
        <w:tab/>
        <w:t>Questions</w:t>
      </w:r>
      <w:r w:rsidR="004B7086">
        <w:t xml:space="preserve"> </w:t>
      </w:r>
      <w:r w:rsidRPr="00BF4EB9">
        <w:t>diverses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 w:rsidRPr="00B56ABA">
        <w:rPr>
          <w:iCs/>
        </w:rPr>
        <w:t> :</w:t>
      </w:r>
      <w:r w:rsidRPr="00BF4EB9">
        <w:rPr>
          <w:i/>
        </w:rPr>
        <w:tab/>
      </w:r>
      <w:r w:rsidRPr="00BF4EB9"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GRVA-07-23</w:t>
      </w:r>
      <w:r w:rsidR="00862D83">
        <w:t xml:space="preserve"> et </w:t>
      </w:r>
      <w:r w:rsidRPr="00BF4EB9">
        <w:t>GRVA-07-42</w:t>
      </w:r>
      <w:r w:rsidR="00BF4EB9" w:rsidRPr="00BF4EB9">
        <w:t>.</w:t>
      </w:r>
    </w:p>
    <w:p w:rsidR="00DB758D" w:rsidRPr="00B56ABA" w:rsidRDefault="00DB758D" w:rsidP="00BF4EB9">
      <w:pPr>
        <w:pStyle w:val="SingleTxtG"/>
        <w:rPr>
          <w:spacing w:val="-2"/>
        </w:rPr>
      </w:pPr>
      <w:r w:rsidRPr="00B56ABA">
        <w:rPr>
          <w:spacing w:val="-2"/>
        </w:rPr>
        <w:t>49.</w:t>
      </w:r>
      <w:r w:rsidRPr="00B56ABA">
        <w:rPr>
          <w:i/>
          <w:spacing w:val="-2"/>
        </w:rPr>
        <w:tab/>
      </w:r>
      <w:r w:rsidRPr="00B56ABA">
        <w:rPr>
          <w:spacing w:val="-2"/>
        </w:rPr>
        <w:t>L’expert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l’Allemagne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a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brièvement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présenté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document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GRVA-07-42,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qui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proposait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idées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quant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à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la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manière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d’aller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l’avant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avec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les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systèmes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actifs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d’aide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à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la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conduite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et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l’automatisation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continue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jusqu’au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niveau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2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dans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cadre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du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Règlement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ONU</w:t>
      </w:r>
      <w:r w:rsidR="004B7086" w:rsidRPr="00B56ABA">
        <w:rPr>
          <w:spacing w:val="-2"/>
        </w:rPr>
        <w:t xml:space="preserve"> </w:t>
      </w:r>
      <w:r w:rsidR="00B56ABA" w:rsidRPr="00B56ABA">
        <w:rPr>
          <w:rFonts w:eastAsia="MS Mincho"/>
          <w:spacing w:val="-2"/>
        </w:rPr>
        <w:t>n</w:t>
      </w:r>
      <w:r w:rsidR="00B56ABA" w:rsidRPr="00B56ABA">
        <w:rPr>
          <w:rFonts w:eastAsia="MS Mincho"/>
          <w:spacing w:val="-2"/>
          <w:vertAlign w:val="superscript"/>
        </w:rPr>
        <w:t>o</w:t>
      </w:r>
      <w:r w:rsidR="00B56ABA" w:rsidRPr="00B56ABA">
        <w:rPr>
          <w:spacing w:val="-2"/>
        </w:rPr>
        <w:t> </w:t>
      </w:r>
      <w:r w:rsidRPr="00B56ABA">
        <w:rPr>
          <w:spacing w:val="-2"/>
        </w:rPr>
        <w:t>79.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Le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Groupe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travail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a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décidé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conserver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ce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document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à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fins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de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référence</w:t>
      </w:r>
      <w:r w:rsidR="004B7086" w:rsidRPr="00B56ABA">
        <w:rPr>
          <w:spacing w:val="-2"/>
        </w:rPr>
        <w:t xml:space="preserve"> </w:t>
      </w:r>
      <w:r w:rsidRPr="00B56ABA">
        <w:rPr>
          <w:spacing w:val="-2"/>
        </w:rPr>
        <w:t>ultérieure.</w:t>
      </w:r>
    </w:p>
    <w:p w:rsidR="00DB758D" w:rsidRPr="00BF4EB9" w:rsidRDefault="00DB758D" w:rsidP="00BF4EB9">
      <w:pPr>
        <w:pStyle w:val="SingleTxtG"/>
      </w:pPr>
      <w:r w:rsidRPr="00BF4EB9">
        <w:t>50.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GRVA-07-23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n’impliquant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d’intervention</w:t>
      </w:r>
      <w:r w:rsidR="004B7086">
        <w:t xml:space="preserve"> </w:t>
      </w:r>
      <w:r w:rsidRPr="00BF4EB9">
        <w:t>manuelle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2.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exposé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certain</w:t>
      </w:r>
      <w:r w:rsidR="004B7086">
        <w:t xml:space="preserve"> </w:t>
      </w:r>
      <w:r w:rsidRPr="00BF4EB9">
        <w:t>nombre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considération</w:t>
      </w:r>
      <w:r w:rsidR="004B7086">
        <w:t xml:space="preserve"> </w:t>
      </w:r>
      <w:r w:rsidRPr="00BF4EB9">
        <w:t>permettant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mieux</w:t>
      </w:r>
      <w:r w:rsidR="004B7086">
        <w:t xml:space="preserve"> </w:t>
      </w:r>
      <w:r w:rsidRPr="00BF4EB9">
        <w:t>comprendre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principes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vertu</w:t>
      </w:r>
      <w:r w:rsidR="004B7086">
        <w:t xml:space="preserve"> </w:t>
      </w:r>
      <w:r w:rsidRPr="00BF4EB9">
        <w:t>desquels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telle</w:t>
      </w:r>
      <w:r w:rsidR="004B7086">
        <w:t xml:space="preserve"> </w:t>
      </w:r>
      <w:r w:rsidRPr="00BF4EB9">
        <w:t>technologie</w:t>
      </w:r>
      <w:r w:rsidR="004B7086">
        <w:t xml:space="preserve"> </w:t>
      </w:r>
      <w:r w:rsidRPr="00BF4EB9">
        <w:t>pourrait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acceptable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d’aide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Japon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expliqué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rien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pays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laissé</w:t>
      </w:r>
      <w:r w:rsidR="004B7086">
        <w:t xml:space="preserve"> </w:t>
      </w:r>
      <w:r w:rsidRPr="00BF4EB9">
        <w:t>supposer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technologie</w:t>
      </w:r>
      <w:r w:rsidR="004B7086">
        <w:t xml:space="preserve"> </w:t>
      </w:r>
      <w:r w:rsidRPr="00BF4EB9">
        <w:t>pourrait</w:t>
      </w:r>
      <w:r w:rsidR="004B7086">
        <w:t xml:space="preserve"> </w:t>
      </w:r>
      <w:r w:rsidRPr="00BF4EB9">
        <w:t>entraîner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risques</w:t>
      </w:r>
      <w:r w:rsidR="004B7086">
        <w:t xml:space="preserve"> </w:t>
      </w:r>
      <w:r w:rsidRPr="00BF4EB9">
        <w:t>particuliers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</w:t>
      </w:r>
      <w:r w:rsidR="004B7086">
        <w:t xml:space="preserve"> </w:t>
      </w:r>
      <w:r w:rsidRPr="00BF4EB9">
        <w:t>s’est</w:t>
      </w:r>
      <w:r w:rsidR="004B7086">
        <w:t xml:space="preserve"> </w:t>
      </w:r>
      <w:r w:rsidRPr="00BF4EB9">
        <w:t>opposé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proposition,</w:t>
      </w:r>
      <w:r w:rsidR="004B7086">
        <w:t xml:space="preserve"> </w:t>
      </w:r>
      <w:r w:rsidRPr="00BF4EB9">
        <w:t>estimant</w:t>
      </w:r>
      <w:r w:rsidR="004B7086">
        <w:t xml:space="preserve"> </w:t>
      </w:r>
      <w:r w:rsidRPr="00BF4EB9">
        <w:t>nécessaire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faire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différence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2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niveaux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éviter</w:t>
      </w:r>
      <w:r w:rsidR="004B7086">
        <w:t xml:space="preserve"> </w:t>
      </w:r>
      <w:r w:rsidRPr="00BF4EB9">
        <w:t>toute</w:t>
      </w:r>
      <w:r w:rsidR="004B7086">
        <w:t xml:space="preserve"> </w:t>
      </w:r>
      <w:r w:rsidRPr="00BF4EB9">
        <w:t>confusion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excès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confiance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conducteurs.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l’ETSC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fait</w:t>
      </w:r>
      <w:r w:rsidR="004B7086">
        <w:t xml:space="preserve"> </w:t>
      </w:r>
      <w:r w:rsidRPr="00BF4EB9">
        <w:t>part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préoccupations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tels</w:t>
      </w:r>
      <w:r w:rsidR="004B7086">
        <w:t xml:space="preserve"> </w:t>
      </w:r>
      <w:r w:rsidRPr="00BF4EB9">
        <w:t>systèmes.</w:t>
      </w:r>
    </w:p>
    <w:p w:rsidR="00DB758D" w:rsidRPr="00BF4EB9" w:rsidRDefault="00DB758D" w:rsidP="00BF4EB9">
      <w:pPr>
        <w:pStyle w:val="SingleTxtG"/>
      </w:pPr>
      <w:r w:rsidRPr="00BF4EB9">
        <w:t>51.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convenu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consulter</w:t>
      </w:r>
      <w:r w:rsidR="004B7086">
        <w:t xml:space="preserve"> </w:t>
      </w:r>
      <w:r w:rsidRPr="00BF4EB9">
        <w:t>l’AC.2</w:t>
      </w:r>
      <w:r w:rsidR="004B7086">
        <w:t xml:space="preserve"> </w:t>
      </w:r>
      <w:r w:rsidRPr="00BF4EB9">
        <w:t>quant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mener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domaine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technologies</w:t>
      </w:r>
      <w:r w:rsidR="004B7086">
        <w:t xml:space="preserve"> </w:t>
      </w:r>
      <w:r w:rsidRPr="00BF4EB9">
        <w:t>dites</w:t>
      </w:r>
      <w:r w:rsidR="004B7086">
        <w:t xml:space="preserve"> </w:t>
      </w:r>
      <w:r w:rsidR="00B56ABA">
        <w:t>« </w:t>
      </w:r>
      <w:r w:rsidRPr="00BF4EB9">
        <w:t>mains</w:t>
      </w:r>
      <w:r w:rsidR="004B7086">
        <w:t xml:space="preserve"> </w:t>
      </w:r>
      <w:r w:rsidRPr="00BF4EB9">
        <w:t>libres</w:t>
      </w:r>
      <w:r w:rsidR="00B56ABA">
        <w:t> »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2.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VIII.</w:t>
      </w:r>
      <w:r w:rsidRPr="00BF4EB9">
        <w:tab/>
        <w:t>Systèmes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7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B56ABA">
        <w:t> </w:t>
      </w:r>
      <w:r w:rsidRPr="00BF4EB9">
        <w:t>jour)</w:t>
      </w:r>
    </w:p>
    <w:p w:rsidR="00DB758D" w:rsidRPr="00B56ABA" w:rsidRDefault="00DB758D" w:rsidP="0053461A">
      <w:pPr>
        <w:pStyle w:val="SingleTxtG"/>
        <w:keepNext/>
        <w:ind w:left="2835" w:hanging="1701"/>
        <w:jc w:val="left"/>
      </w:pPr>
      <w:r w:rsidRPr="00B56ABA">
        <w:rPr>
          <w:i/>
        </w:rPr>
        <w:t>Documents</w:t>
      </w:r>
      <w:r w:rsidR="004B7086" w:rsidRPr="00B56ABA">
        <w:t> :</w:t>
      </w:r>
      <w:r w:rsidRPr="00B56ABA">
        <w:tab/>
        <w:t>ECE/TRANS/WP.29/GRVA/2020/25</w:t>
      </w:r>
      <w:r w:rsidR="00B56ABA" w:rsidRPr="00B56ABA">
        <w:t>,</w:t>
      </w:r>
      <w:r w:rsidRPr="00B56ABA">
        <w:br/>
        <w:t>ECE/TRANS/WP.29/GRVA/2020/26</w:t>
      </w:r>
      <w:r w:rsidR="00B56ABA" w:rsidRPr="00B56ABA">
        <w:t>,</w:t>
      </w:r>
      <w:r w:rsidRPr="00B56ABA">
        <w:br/>
        <w:t>ECE/TRANS/WP.29/GRVA/2020/27</w:t>
      </w:r>
      <w:r w:rsidR="00B56ABA" w:rsidRPr="00B56ABA">
        <w:t>,</w:t>
      </w:r>
      <w:r w:rsidRPr="00B56ABA">
        <w:br/>
        <w:t>ECE/TRANS/WP.29/GRVA/2020/28</w:t>
      </w:r>
      <w:r w:rsidR="00B56ABA" w:rsidRPr="00B56ABA">
        <w:t>,</w:t>
      </w:r>
      <w:r w:rsidRPr="00B56ABA">
        <w:br/>
        <w:t>ECE/TRANS/WP.29/GRVA/2020/35</w:t>
      </w:r>
      <w:r w:rsidR="008C5C24">
        <w:t> ;</w:t>
      </w:r>
      <w:r w:rsidRPr="00B56ABA">
        <w:br/>
        <w:t>Documents</w:t>
      </w:r>
      <w:r w:rsidR="004B7086" w:rsidRPr="00B56ABA">
        <w:t xml:space="preserve"> </w:t>
      </w:r>
      <w:r w:rsidRPr="00B56ABA">
        <w:t>informels</w:t>
      </w:r>
      <w:r w:rsidR="004B7086" w:rsidRPr="00B56ABA">
        <w:t xml:space="preserve"> </w:t>
      </w:r>
      <w:r w:rsidRPr="00B56ABA">
        <w:t>GRVA-07-03,</w:t>
      </w:r>
      <w:r w:rsidR="004B7086" w:rsidRPr="00B56ABA">
        <w:t xml:space="preserve"> </w:t>
      </w:r>
      <w:r w:rsidRPr="00B56ABA">
        <w:t>GRVA-07-09,</w:t>
      </w:r>
      <w:r w:rsidR="004B7086" w:rsidRPr="00B56ABA">
        <w:t xml:space="preserve"> </w:t>
      </w:r>
      <w:r w:rsidRPr="00B56ABA">
        <w:t>GRVA-07-10,</w:t>
      </w:r>
      <w:r w:rsidR="004B7086" w:rsidRPr="00B56ABA">
        <w:t xml:space="preserve"> </w:t>
      </w:r>
      <w:r w:rsidRPr="00B56ABA">
        <w:t>GRVA-07-11,</w:t>
      </w:r>
      <w:r w:rsidR="004B7086" w:rsidRPr="00B56ABA">
        <w:t xml:space="preserve"> </w:t>
      </w:r>
      <w:r w:rsidRPr="00B56ABA">
        <w:t>GRVA-07-12,</w:t>
      </w:r>
      <w:r w:rsidR="004B7086" w:rsidRPr="00B56ABA">
        <w:t xml:space="preserve"> </w:t>
      </w:r>
      <w:r w:rsidRPr="00B56ABA">
        <w:t>GRVA-07-40,</w:t>
      </w:r>
      <w:r w:rsidR="004B7086" w:rsidRPr="00B56ABA">
        <w:t xml:space="preserve"> </w:t>
      </w:r>
      <w:r w:rsidRPr="00B56ABA">
        <w:t>GRVA-07-53,</w:t>
      </w:r>
      <w:r w:rsidR="004B7086" w:rsidRPr="00B56ABA">
        <w:t xml:space="preserve"> </w:t>
      </w:r>
      <w:r w:rsidRPr="00B56ABA">
        <w:br/>
        <w:t>GRVA-07-70,</w:t>
      </w:r>
      <w:r w:rsidR="004B7086" w:rsidRPr="00B56ABA">
        <w:t xml:space="preserve"> </w:t>
      </w:r>
      <w:r w:rsidRPr="00B56ABA">
        <w:t>GRVA-07-72</w:t>
      </w:r>
      <w:r w:rsidR="00B56ABA" w:rsidRPr="00B56ABA">
        <w:t xml:space="preserve"> et</w:t>
      </w:r>
      <w:r w:rsidR="004B7086" w:rsidRPr="00B56ABA">
        <w:t xml:space="preserve"> </w:t>
      </w:r>
      <w:r w:rsidRPr="00B56ABA">
        <w:t>GRVA-07-74</w:t>
      </w:r>
      <w:r w:rsidR="00BF4EB9" w:rsidRPr="00B56ABA">
        <w:t>.</w:t>
      </w:r>
    </w:p>
    <w:p w:rsidR="00DB758D" w:rsidRPr="00BF4EB9" w:rsidRDefault="00DB758D" w:rsidP="00BF4EB9">
      <w:pPr>
        <w:pStyle w:val="SingleTxtG"/>
      </w:pPr>
      <w:r w:rsidRPr="00BF4EB9">
        <w:t>52.</w:t>
      </w:r>
      <w:r w:rsidRPr="00BF4EB9">
        <w:tab/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Japon,</w:t>
      </w:r>
      <w:r w:rsidR="004B7086">
        <w:t xml:space="preserve"> </w:t>
      </w:r>
      <w:r w:rsidR="008C5C24" w:rsidRPr="00BF4EB9">
        <w:t>Coprésident</w:t>
      </w:r>
      <w:r w:rsidR="008C5C24">
        <w:t xml:space="preserve"> </w:t>
      </w:r>
      <w:r w:rsidRPr="00BF4EB9">
        <w:t>du</w:t>
      </w:r>
      <w:r w:rsidR="004B7086">
        <w:t xml:space="preserve"> </w:t>
      </w:r>
      <w:r w:rsidR="008C5C24" w:rsidRPr="00BF4EB9">
        <w:t>groupe</w:t>
      </w:r>
      <w:r w:rsidR="008C5C24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(AEBS)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N</w:t>
      </w:r>
      <w:r w:rsidRPr="00BF4EB9">
        <w:rPr>
          <w:vertAlign w:val="subscript"/>
        </w:rPr>
        <w:t>1</w:t>
      </w:r>
      <w:r w:rsidRPr="00BF4EB9">
        <w:t>,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rendu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(GRVA</w:t>
      </w:r>
      <w:r w:rsidR="00B56ABA">
        <w:noBreakHyphen/>
      </w:r>
      <w:r w:rsidRPr="00BF4EB9">
        <w:t>07-70)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obtenus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groupe.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ECE/TRANS/WP.29/GRVA/2020/26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apportait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éclaircissements</w:t>
      </w:r>
      <w:r w:rsidR="004B7086">
        <w:t xml:space="preserve"> </w:t>
      </w:r>
      <w:r w:rsidRPr="00BF4EB9">
        <w:t>concernant,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autres</w:t>
      </w:r>
      <w:r w:rsidR="004B7086">
        <w:t xml:space="preserve"> </w:t>
      </w:r>
      <w:r w:rsidRPr="00BF4EB9">
        <w:t>choses,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réponse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défaillance,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prévention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réactions</w:t>
      </w:r>
      <w:r w:rsidR="004B7086">
        <w:t xml:space="preserve"> </w:t>
      </w:r>
      <w:r w:rsidRPr="00BF4EB9">
        <w:t>intempestives,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mauvais</w:t>
      </w:r>
      <w:r w:rsidR="004B7086">
        <w:t xml:space="preserve"> </w:t>
      </w:r>
      <w:r w:rsidRPr="00BF4EB9">
        <w:t>alignement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capteurs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désactivation</w:t>
      </w:r>
      <w:r w:rsidR="004B7086">
        <w:t xml:space="preserve"> </w:t>
      </w:r>
      <w:r w:rsidRPr="00BF4EB9">
        <w:t>automatique.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aussi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ECE/TRANS/WP.29/GRVA/2020/27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comportait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l’homologation</w:t>
      </w:r>
      <w:r w:rsidR="004B7086">
        <w:rPr>
          <w:rFonts w:ascii="Arial" w:hAnsi="Arial" w:cs="Arial"/>
          <w:color w:val="3C3C3C"/>
          <w:sz w:val="18"/>
          <w:szCs w:val="18"/>
        </w:rPr>
        <w:t xml:space="preserve"> </w:t>
      </w:r>
      <w:r w:rsidRPr="00BF4EB9">
        <w:rPr>
          <w:rFonts w:ascii="Arial" w:hAnsi="Arial" w:cs="Arial"/>
          <w:color w:val="3C3C3C"/>
          <w:sz w:val="18"/>
          <w:szCs w:val="18"/>
        </w:rPr>
        <w:t>des</w:t>
      </w:r>
      <w:r w:rsidR="004B7086">
        <w:rPr>
          <w:rFonts w:ascii="Arial" w:hAnsi="Arial" w:cs="Arial"/>
          <w:color w:val="3C3C3C"/>
          <w:sz w:val="18"/>
          <w:szCs w:val="18"/>
        </w:rPr>
        <w:t xml:space="preserve"> </w:t>
      </w:r>
      <w:r w:rsidRPr="00BF4EB9">
        <w:t>systèmes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couvrant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scénarios</w:t>
      </w:r>
      <w:r w:rsidR="004B7086">
        <w:t xml:space="preserve"> </w:t>
      </w:r>
      <w:r w:rsidRPr="00BF4EB9">
        <w:t>voiture</w:t>
      </w:r>
      <w:r w:rsidR="004B7086">
        <w:t xml:space="preserve"> </w:t>
      </w:r>
      <w:r w:rsidRPr="00BF4EB9">
        <w:t>contre</w:t>
      </w:r>
      <w:r w:rsidR="004B7086">
        <w:t xml:space="preserve"> </w:t>
      </w:r>
      <w:r w:rsidRPr="00BF4EB9">
        <w:t>vélo</w:t>
      </w:r>
      <w:r w:rsidR="004B7086">
        <w:t xml:space="preserve"> </w:t>
      </w:r>
      <w:r w:rsidRPr="00BF4EB9">
        <w:t>(approche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étape)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mentionné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rechange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(approche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deux</w:t>
      </w:r>
      <w:r w:rsidR="004B7086">
        <w:t xml:space="preserve"> </w:t>
      </w:r>
      <w:r w:rsidRPr="00BF4EB9">
        <w:t>temps).</w:t>
      </w:r>
    </w:p>
    <w:p w:rsidR="00DB758D" w:rsidRPr="00BF4EB9" w:rsidRDefault="00DB758D" w:rsidP="00BF4EB9">
      <w:pPr>
        <w:pStyle w:val="SingleTxtG"/>
      </w:pPr>
      <w:r w:rsidRPr="00BF4EB9">
        <w:t>53.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rechange</w:t>
      </w:r>
      <w:r w:rsidR="004B7086">
        <w:t xml:space="preserve"> </w:t>
      </w:r>
      <w:r w:rsidRPr="00BF4EB9">
        <w:t>(documents</w:t>
      </w:r>
      <w:r w:rsidR="004B7086">
        <w:t xml:space="preserve"> </w:t>
      </w:r>
      <w:r w:rsidRPr="00BF4EB9">
        <w:t>ECE/TRANS/WP.29/GRVA/2020/28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ECE/TRANS/WP.29/GRVA/2020/35).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comportaient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transitoires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particuliers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scénarios</w:t>
      </w:r>
      <w:r w:rsidR="004B7086">
        <w:t xml:space="preserve"> </w:t>
      </w:r>
      <w:r w:rsidRPr="00BF4EB9">
        <w:t>voiture</w:t>
      </w:r>
      <w:r w:rsidR="004B7086">
        <w:t xml:space="preserve"> </w:t>
      </w:r>
      <w:r w:rsidRPr="00BF4EB9">
        <w:t>contre</w:t>
      </w:r>
      <w:r w:rsidR="004B7086">
        <w:t xml:space="preserve"> </w:t>
      </w:r>
      <w:r w:rsidRPr="00BF4EB9">
        <w:t>vélo</w:t>
      </w:r>
      <w:r w:rsidR="004B7086">
        <w:t xml:space="preserve"> </w:t>
      </w:r>
      <w:r w:rsidRPr="00BF4EB9">
        <w:t>(GRVA-07-12,</w:t>
      </w:r>
      <w:r w:rsidR="004B7086">
        <w:t xml:space="preserve"> </w:t>
      </w:r>
      <w:r w:rsidRPr="00BF4EB9">
        <w:t>GRVA-07-72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GRVA-07-74).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expliqué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élaborées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prévoyaient</w:t>
      </w:r>
      <w:r w:rsidR="004B7086">
        <w:t xml:space="preserve"> </w:t>
      </w:r>
      <w:r w:rsidRPr="00BF4EB9">
        <w:t>notamment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vitesses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faibles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celles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gérées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actuels</w:t>
      </w:r>
      <w:r w:rsidR="004B7086">
        <w:t xml:space="preserve"> </w:t>
      </w:r>
      <w:r w:rsidRPr="00BF4EB9">
        <w:t>ayant</w:t>
      </w:r>
      <w:r w:rsidR="004B7086">
        <w:t xml:space="preserve"> </w:t>
      </w:r>
      <w:r w:rsidRPr="00BF4EB9">
        <w:t>passé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succès</w:t>
      </w:r>
      <w:r w:rsidR="004B7086">
        <w:t xml:space="preserve"> </w:t>
      </w:r>
      <w:r w:rsidRPr="00BF4EB9">
        <w:t>l’essai</w:t>
      </w:r>
      <w:r w:rsidR="004B7086">
        <w:t xml:space="preserve"> </w:t>
      </w:r>
      <w:r w:rsidRPr="00BF4EB9">
        <w:t>correspondant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programmes</w:t>
      </w:r>
      <w:r w:rsidR="004B7086">
        <w:t xml:space="preserve"> </w:t>
      </w:r>
      <w:r w:rsidRPr="00BF4EB9">
        <w:t>d’évaluation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nouveaux</w:t>
      </w:r>
      <w:r w:rsidR="004B7086">
        <w:t xml:space="preserve"> </w:t>
      </w:r>
      <w:r w:rsidRPr="00BF4EB9">
        <w:t>modèles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voitures.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ajouté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couvrir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vitesses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faibles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faudrait</w:t>
      </w:r>
      <w:r w:rsidR="004B7086">
        <w:t xml:space="preserve"> </w:t>
      </w:r>
      <w:r w:rsidRPr="00BF4EB9">
        <w:t>modifier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déjà</w:t>
      </w:r>
      <w:r w:rsidR="004B7086">
        <w:t xml:space="preserve"> </w:t>
      </w:r>
      <w:r w:rsidRPr="00BF4EB9">
        <w:t>équipés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tels</w:t>
      </w:r>
      <w:r w:rsidR="004B7086">
        <w:t xml:space="preserve"> </w:t>
      </w:r>
      <w:r w:rsidRPr="00BF4EB9">
        <w:t>systèmes,</w:t>
      </w:r>
      <w:r w:rsidR="004B7086">
        <w:t xml:space="preserve"> </w:t>
      </w:r>
      <w:r w:rsidRPr="00BF4EB9">
        <w:t>afin</w:t>
      </w:r>
      <w:r w:rsidR="004B7086">
        <w:t xml:space="preserve"> </w:t>
      </w:r>
      <w:r w:rsidRPr="00BF4EB9">
        <w:t>d’augmenter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champ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vision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capteurs.</w:t>
      </w:r>
    </w:p>
    <w:p w:rsidR="00DB758D" w:rsidRPr="00BF4EB9" w:rsidRDefault="00DB758D" w:rsidP="00BF4EB9">
      <w:pPr>
        <w:pStyle w:val="SingleTxtG"/>
      </w:pPr>
      <w:r w:rsidRPr="00BF4EB9">
        <w:lastRenderedPageBreak/>
        <w:t>54.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ECE/TRANS/WP.29/GRVA/2020/26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GRVA-07-09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prié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soumettre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complément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série</w:t>
      </w:r>
      <w:r w:rsidR="004B7086">
        <w:t xml:space="preserve"> </w:t>
      </w:r>
      <w:r w:rsidRPr="00BF4EB9">
        <w:t>00/01</w:t>
      </w:r>
      <w:r w:rsidR="004B7086">
        <w:t xml:space="preserve"> </w:t>
      </w:r>
      <w:r w:rsidRPr="00BF4EB9">
        <w:t>d’amendements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152</w:t>
      </w:r>
      <w:r w:rsidR="004B7086">
        <w:t xml:space="preserve"> </w:t>
      </w:r>
      <w:r w:rsidRPr="00BF4EB9">
        <w:t>(AEBS)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voix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l’AC.1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2021.</w:t>
      </w:r>
    </w:p>
    <w:p w:rsidR="00DB758D" w:rsidRPr="00BF4EB9" w:rsidRDefault="00DB758D" w:rsidP="00BF4EB9">
      <w:pPr>
        <w:pStyle w:val="SingleTxtG"/>
      </w:pPr>
      <w:r w:rsidRPr="00BF4EB9">
        <w:t>55.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ECE/TRANS/WP.29/GRVA/2020/27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GRVA-07-10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VI),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</w:t>
      </w:r>
      <w:r w:rsidR="008C5C24">
        <w:t xml:space="preserve"> </w:t>
      </w:r>
      <w:r w:rsidRPr="00BF4EB9">
        <w:t>GRVA/2020/28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GRVA-07-11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VII)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ECE/TRANS/WP.29/GRVA/2020/35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GRVA-07-53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VIII).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soumettre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examen,</w:t>
      </w:r>
      <w:r w:rsidR="004B7086">
        <w:t xml:space="preserve"> </w:t>
      </w:r>
      <w:r w:rsidRPr="00BF4EB9">
        <w:t>décision</w:t>
      </w:r>
      <w:r w:rsidR="004B7086">
        <w:t xml:space="preserve"> </w:t>
      </w:r>
      <w:r w:rsidRPr="00BF4EB9">
        <w:t>quant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l’approche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étape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l’approche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deux</w:t>
      </w:r>
      <w:r w:rsidR="004B7086">
        <w:t xml:space="preserve"> </w:t>
      </w:r>
      <w:r w:rsidRPr="00BF4EB9">
        <w:t>temps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novembre</w:t>
      </w:r>
      <w:r w:rsidR="004B7086">
        <w:t xml:space="preserve"> </w:t>
      </w:r>
      <w:r w:rsidRPr="00BF4EB9">
        <w:t>2020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voix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l’AC.1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2021.</w:t>
      </w:r>
    </w:p>
    <w:p w:rsidR="00DB758D" w:rsidRPr="00BF4EB9" w:rsidRDefault="00DB758D" w:rsidP="00BF4EB9">
      <w:pPr>
        <w:pStyle w:val="SingleTxtG"/>
      </w:pPr>
      <w:r w:rsidRPr="00BF4EB9">
        <w:t>56.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noté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ECE/TRANS/WP.29/GRVA/2020/25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incorporé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cités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haut.</w:t>
      </w:r>
    </w:p>
    <w:p w:rsidR="00DB758D" w:rsidRPr="00BF4EB9" w:rsidRDefault="00DB758D" w:rsidP="00BF4EB9">
      <w:pPr>
        <w:pStyle w:val="SingleTxtG"/>
      </w:pPr>
      <w:r w:rsidRPr="00BF4EB9">
        <w:t>57.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accepté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l’Allemagne</w:t>
      </w:r>
      <w:r w:rsidR="004B7086">
        <w:t xml:space="preserve"> </w:t>
      </w:r>
      <w:r w:rsidRPr="00BF4EB9">
        <w:t>d’établir</w:t>
      </w:r>
      <w:r w:rsidR="004B7086">
        <w:t xml:space="preserve"> </w:t>
      </w:r>
      <w:r w:rsidRPr="00BF4EB9">
        <w:t>un</w:t>
      </w:r>
      <w:r w:rsidR="004B7086">
        <w:t xml:space="preserve"> </w:t>
      </w:r>
      <w:r w:rsidR="008C5C24" w:rsidRPr="00BF4EB9">
        <w:t>groupe</w:t>
      </w:r>
      <w:r w:rsidR="008C5C24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(AEBS)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lourds.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également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d’examiner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française</w:t>
      </w:r>
      <w:r w:rsidR="004B7086">
        <w:t xml:space="preserve"> </w:t>
      </w:r>
      <w:r w:rsidRPr="00BF4EB9">
        <w:t>d’aborder</w:t>
      </w:r>
      <w:r w:rsidR="004B7086">
        <w:t xml:space="preserve"> </w:t>
      </w:r>
      <w:r w:rsidRPr="00BF4EB9">
        <w:t>expressément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situations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barrières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péage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passages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niveau.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approuvé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mandat</w:t>
      </w:r>
      <w:r w:rsidR="004B7086">
        <w:t xml:space="preserve"> </w:t>
      </w:r>
      <w:r w:rsidRPr="00BF4EB9">
        <w:t>contenu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GRVA-07-03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GRVA-07-40,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reproduit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IX.</w:t>
      </w:r>
    </w:p>
    <w:p w:rsidR="00DB758D" w:rsidRPr="00BF4EB9" w:rsidRDefault="00DB758D" w:rsidP="00BF4EB9">
      <w:pPr>
        <w:pStyle w:val="SingleTxtG"/>
      </w:pPr>
      <w:r w:rsidRPr="00BF4EB9">
        <w:t>58.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accepté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l’Allemagne</w:t>
      </w:r>
      <w:r w:rsidR="004B7086">
        <w:t xml:space="preserve"> </w:t>
      </w:r>
      <w:r w:rsidRPr="00BF4EB9">
        <w:t>invite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délégations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première</w:t>
      </w:r>
      <w:r w:rsidR="004B7086">
        <w:t xml:space="preserve"> </w:t>
      </w:r>
      <w:r w:rsidRPr="00BF4EB9">
        <w:t>réunion</w:t>
      </w:r>
      <w:r w:rsidR="004B7086">
        <w:t xml:space="preserve"> </w:t>
      </w:r>
      <w:r w:rsidRPr="00BF4EB9">
        <w:t>informelle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réunion</w:t>
      </w:r>
      <w:r w:rsidR="004B7086">
        <w:t xml:space="preserve"> </w:t>
      </w:r>
      <w:r w:rsidRPr="00BF4EB9">
        <w:t>soumette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version</w:t>
      </w:r>
      <w:r w:rsidR="004B7086">
        <w:t xml:space="preserve"> </w:t>
      </w:r>
      <w:r w:rsidRPr="00BF4EB9">
        <w:t>actualisée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mandat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IX.</w:t>
      </w:r>
      <w:r w:rsidRPr="00BF4EB9">
        <w:tab/>
        <w:t>Règlements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os</w:t>
      </w:r>
      <w:r w:rsidR="00B56ABA">
        <w:t> </w:t>
      </w:r>
      <w:r w:rsidRPr="00BF4EB9">
        <w:t>13,</w:t>
      </w:r>
      <w:r w:rsidR="004B7086">
        <w:t xml:space="preserve"> </w:t>
      </w:r>
      <w:r w:rsidRPr="00BF4EB9">
        <w:t>13-H,</w:t>
      </w:r>
      <w:r w:rsidR="004B7086">
        <w:t xml:space="preserve"> </w:t>
      </w:r>
      <w:r w:rsidRPr="00BF4EB9">
        <w:t>139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140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8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A.</w:t>
      </w:r>
      <w:r w:rsidRPr="00BF4EB9">
        <w:tab/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contrôle</w:t>
      </w:r>
      <w:r w:rsidR="004B7086">
        <w:t xml:space="preserve"> </w:t>
      </w:r>
      <w:r w:rsidRPr="00BF4EB9">
        <w:t>électronique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stabilité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ECE/TRANS/WP.29/GRVA/2020/34</w:t>
      </w:r>
      <w:r w:rsidR="00B56ABA">
        <w:t>,</w:t>
      </w:r>
      <w:r w:rsidRPr="00BF4EB9">
        <w:br/>
        <w:t>(ECE/TRANS/WP.29/2020/99)</w:t>
      </w:r>
      <w:r w:rsidR="008C5C24">
        <w:t> ;</w:t>
      </w:r>
      <w:r w:rsidRPr="00BF4EB9">
        <w:br/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GRVA-07-64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59.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République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Corée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</w:t>
      </w:r>
      <w:r w:rsidR="00B56ABA">
        <w:t xml:space="preserve"> </w:t>
      </w:r>
      <w:r w:rsidRPr="00BF4EB9">
        <w:t>GRVA/2020/34,</w:t>
      </w:r>
      <w:r w:rsidR="004B7086">
        <w:t xml:space="preserve"> </w:t>
      </w:r>
      <w:r w:rsidRPr="00BF4EB9">
        <w:t>proposé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ECE/TRANS/WP.29/2020/99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autorise</w:t>
      </w:r>
      <w:r w:rsidR="004B7086">
        <w:t xml:space="preserve"> </w:t>
      </w:r>
      <w:r w:rsidRPr="00BF4EB9">
        <w:t>l’élaboration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amendement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mondial</w:t>
      </w:r>
      <w:r w:rsidR="004B7086">
        <w:t xml:space="preserve"> </w:t>
      </w:r>
      <w:r w:rsidRPr="00BF4EB9">
        <w:t>ONU</w:t>
      </w:r>
      <w:r w:rsidR="004B7086">
        <w:t xml:space="preserve"> </w:t>
      </w:r>
      <w:r w:rsidRPr="00BF4EB9">
        <w:t>(RTM-ONU)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8.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="008C5C24">
        <w:t>É</w:t>
      </w:r>
      <w:r w:rsidRPr="00BF4EB9">
        <w:t>tats-Unis</w:t>
      </w:r>
      <w:r w:rsidR="004B7086">
        <w:t xml:space="preserve"> </w:t>
      </w:r>
      <w:r w:rsidRPr="00BF4EB9">
        <w:t>d’Amérique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comment</w:t>
      </w:r>
      <w:r w:rsidR="004B7086">
        <w:t xml:space="preserve"> </w:t>
      </w:r>
      <w:r w:rsidRPr="00BF4EB9">
        <w:t>l’amendement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RTM-ONU</w:t>
      </w:r>
      <w:r w:rsidR="004B7086">
        <w:t xml:space="preserve"> </w:t>
      </w:r>
      <w:r w:rsidR="008C5C24">
        <w:rPr>
          <w:rFonts w:eastAsia="MS Mincho"/>
        </w:rPr>
        <w:t>n</w:t>
      </w:r>
      <w:r w:rsidR="008C5C24">
        <w:rPr>
          <w:rFonts w:eastAsia="MS Mincho"/>
          <w:vertAlign w:val="superscript"/>
        </w:rPr>
        <w:t>o</w:t>
      </w:r>
      <w:r w:rsidR="008C5C24">
        <w:t> </w:t>
      </w:r>
      <w:r w:rsidRPr="00BF4EB9">
        <w:t>8</w:t>
      </w:r>
      <w:r w:rsidR="004B7086">
        <w:t xml:space="preserve"> </w:t>
      </w:r>
      <w:r w:rsidRPr="00BF4EB9">
        <w:t>pourrait</w:t>
      </w:r>
      <w:r w:rsidR="004B7086">
        <w:t xml:space="preserve"> </w:t>
      </w:r>
      <w:r w:rsidRPr="00BF4EB9">
        <w:t>résoudre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problème</w:t>
      </w:r>
      <w:r w:rsidR="004B7086">
        <w:t xml:space="preserve"> </w:t>
      </w:r>
      <w:r w:rsidRPr="00BF4EB9">
        <w:t>soulevé.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République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Corée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rappelé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contexte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faire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nouveaux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="008C5C24">
        <w:t>à</w:t>
      </w:r>
      <w:r w:rsidR="004B7086">
        <w:t xml:space="preserve"> </w:t>
      </w:r>
      <w:r w:rsidRPr="00BF4EB9">
        <w:t>faibles</w:t>
      </w:r>
      <w:r w:rsidR="004B7086">
        <w:t xml:space="preserve"> </w:t>
      </w:r>
      <w:r w:rsidRPr="00BF4EB9">
        <w:t>rapports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transmission.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rappelé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discussion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déjà</w:t>
      </w:r>
      <w:r w:rsidR="004B7086">
        <w:t xml:space="preserve"> </w:t>
      </w:r>
      <w:r w:rsidRPr="00BF4EB9">
        <w:t>eu</w:t>
      </w:r>
      <w:r w:rsidR="004B7086">
        <w:t xml:space="preserve"> </w:t>
      </w:r>
      <w:r w:rsidRPr="00BF4EB9">
        <w:t>lieu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l’Accord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1958.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Canada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fait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observations</w:t>
      </w:r>
      <w:r w:rsidR="004B7086">
        <w:t xml:space="preserve"> </w:t>
      </w:r>
      <w:r w:rsidRPr="00BF4EB9">
        <w:t>(GRVA-07-64)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doute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nécessité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tolérance.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déclaré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faudrait</w:t>
      </w:r>
      <w:r w:rsidR="004B7086">
        <w:t xml:space="preserve"> </w:t>
      </w:r>
      <w:r w:rsidRPr="00BF4EB9">
        <w:t>vérifier</w:t>
      </w:r>
      <w:r w:rsidR="004B7086">
        <w:t xml:space="preserve"> </w:t>
      </w:r>
      <w:r w:rsidRPr="00BF4EB9">
        <w:t>l’impact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telle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sécurité.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="008C5C24">
        <w:t>É</w:t>
      </w:r>
      <w:r w:rsidRPr="00BF4EB9">
        <w:t>tats-Unis</w:t>
      </w:r>
      <w:r w:rsidR="004B7086">
        <w:t xml:space="preserve"> </w:t>
      </w:r>
      <w:r w:rsidRPr="00BF4EB9">
        <w:t>d’Amérique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préconisé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futures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nature</w:t>
      </w:r>
      <w:r w:rsidR="004B7086">
        <w:t xml:space="preserve"> </w:t>
      </w:r>
      <w:r w:rsidRPr="00BF4EB9">
        <w:t>soient</w:t>
      </w:r>
      <w:r w:rsidR="004B7086">
        <w:t xml:space="preserve"> </w:t>
      </w:r>
      <w:r w:rsidRPr="00BF4EB9">
        <w:t>d’abord</w:t>
      </w:r>
      <w:r w:rsidR="004B7086">
        <w:t xml:space="preserve"> </w:t>
      </w:r>
      <w:r w:rsidRPr="00BF4EB9">
        <w:t>engagées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l’Accord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1998.</w:t>
      </w:r>
    </w:p>
    <w:p w:rsidR="00DB758D" w:rsidRPr="00BF4EB9" w:rsidRDefault="00DB758D" w:rsidP="00BF4EB9">
      <w:pPr>
        <w:pStyle w:val="SingleTxtG"/>
      </w:pPr>
      <w:r w:rsidRPr="00BF4EB9">
        <w:t>60.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reprendre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ECE/TRANS/WP.29/GRVA/2020/34</w:t>
      </w:r>
      <w:r w:rsidR="004B7086">
        <w:t xml:space="preserve"> </w:t>
      </w:r>
      <w:r w:rsidRPr="00BF4EB9">
        <w:t>(ou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révisée)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correspondant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cet</w:t>
      </w:r>
      <w:r w:rsidR="004B7086">
        <w:t xml:space="preserve"> </w:t>
      </w:r>
      <w:r w:rsidRPr="00BF4EB9">
        <w:t>amendement.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lastRenderedPageBreak/>
        <w:tab/>
      </w:r>
      <w:r w:rsidRPr="00BF4EB9">
        <w:t>B.</w:t>
      </w:r>
      <w:r w:rsidRPr="00BF4EB9">
        <w:tab/>
        <w:t>Ensembles</w:t>
      </w:r>
      <w:r w:rsidR="004B7086">
        <w:t xml:space="preserve"> </w:t>
      </w:r>
      <w:r w:rsidRPr="00BF4EB9">
        <w:t>modulaires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véhicules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ECE/TRANS/WP.29/GRVA/2020/30</w:t>
      </w:r>
      <w:r w:rsidR="008C5C24">
        <w:t> ;</w:t>
      </w:r>
      <w:r w:rsidRPr="00BF4EB9">
        <w:br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GRVA-07-35</w:t>
      </w:r>
      <w:r w:rsidR="00B56ABA">
        <w:t xml:space="preserve"> et</w:t>
      </w:r>
      <w:r w:rsidR="004B7086">
        <w:t xml:space="preserve"> </w:t>
      </w:r>
      <w:r w:rsidRPr="00BF4EB9">
        <w:t>GRVA-07-71</w:t>
      </w:r>
      <w:r w:rsidR="00BF4EB9" w:rsidRPr="00BF4EB9">
        <w:t>.</w:t>
      </w:r>
    </w:p>
    <w:p w:rsidR="00DB758D" w:rsidRPr="00BF4EB9" w:rsidRDefault="00DB758D" w:rsidP="00BF4EB9">
      <w:pPr>
        <w:pStyle w:val="SingleTxtG"/>
      </w:pPr>
      <w:r w:rsidRPr="00BF4EB9">
        <w:t>61.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ECE/TRANS/WP.29/GRVA/2020/30</w:t>
      </w:r>
      <w:r w:rsidR="004B7086">
        <w:t xml:space="preserve"> </w:t>
      </w:r>
      <w:r w:rsidRPr="00BF4EB9">
        <w:t>contenant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ensembles</w:t>
      </w:r>
      <w:r w:rsidR="004B7086">
        <w:t xml:space="preserve"> </w:t>
      </w:r>
      <w:r w:rsidRPr="00BF4EB9">
        <w:t>modulaires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véhicules,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GRVA-07-71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modifie.</w:t>
      </w:r>
    </w:p>
    <w:p w:rsidR="00DB758D" w:rsidRPr="00BF4EB9" w:rsidRDefault="00DB758D" w:rsidP="00BF4EB9">
      <w:pPr>
        <w:pStyle w:val="SingleTxtG"/>
      </w:pPr>
      <w:r w:rsidRPr="00BF4EB9">
        <w:t>62.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ECE/TRANS/WP.29/GRVA/2020/30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GRVA-07-71</w:t>
      </w:r>
      <w:r w:rsidR="004B7086">
        <w:t xml:space="preserve"> </w:t>
      </w:r>
      <w:r w:rsidRPr="00BF4EB9">
        <w:t>(voir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X)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bookmarkStart w:id="16" w:name="_Hlk61360310"/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soumettre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complément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série</w:t>
      </w:r>
      <w:r w:rsidR="004B7086">
        <w:t xml:space="preserve"> </w:t>
      </w:r>
      <w:r w:rsidRPr="00BF4EB9">
        <w:t>11</w:t>
      </w:r>
      <w:r w:rsidR="004B7086">
        <w:t xml:space="preserve"> </w:t>
      </w:r>
      <w:r w:rsidRPr="00BF4EB9">
        <w:t>d’amendements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13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voix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l’AC.1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2021.</w:t>
      </w:r>
    </w:p>
    <w:bookmarkEnd w:id="16"/>
    <w:p w:rsidR="00DB758D" w:rsidRPr="00BF4EB9" w:rsidRDefault="00DB758D" w:rsidP="00BF4EB9">
      <w:pPr>
        <w:pStyle w:val="SingleTxtG"/>
      </w:pPr>
      <w:r w:rsidRPr="00BF4EB9">
        <w:t>63.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noté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l’Organisation</w:t>
      </w:r>
      <w:r w:rsidR="004B7086">
        <w:t xml:space="preserve"> </w:t>
      </w:r>
      <w:r w:rsidRPr="00BF4EB9">
        <w:t>internationale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normalisation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communiqué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GRVA-07-35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organes</w:t>
      </w:r>
      <w:r w:rsidR="004B7086">
        <w:t xml:space="preserve"> </w:t>
      </w:r>
      <w:r w:rsidRPr="00BF4EB9">
        <w:t>subsidiaires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copie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norme</w:t>
      </w:r>
      <w:r w:rsidR="004B7086">
        <w:t xml:space="preserve"> </w:t>
      </w:r>
      <w:r w:rsidRPr="00BF4EB9">
        <w:t>ISO</w:t>
      </w:r>
      <w:r w:rsidR="004B7086">
        <w:t xml:space="preserve"> </w:t>
      </w:r>
      <w:r w:rsidRPr="00BF4EB9">
        <w:t>11992.</w:t>
      </w:r>
    </w:p>
    <w:p w:rsidR="00DB758D" w:rsidRPr="00B56ABA" w:rsidRDefault="00DB758D" w:rsidP="00BF4EB9">
      <w:pPr>
        <w:pStyle w:val="H1G"/>
      </w:pPr>
      <w:r w:rsidRPr="00B56ABA">
        <w:rPr>
          <w:sz w:val="22"/>
          <w:szCs w:val="22"/>
        </w:rPr>
        <w:tab/>
      </w:r>
      <w:r w:rsidRPr="00B56ABA">
        <w:t>C.</w:t>
      </w:r>
      <w:r w:rsidRPr="00B56ABA">
        <w:tab/>
        <w:t>Précisions</w:t>
      </w:r>
    </w:p>
    <w:p w:rsidR="00DB758D" w:rsidRPr="00B56ABA" w:rsidRDefault="00DB758D" w:rsidP="0053461A">
      <w:pPr>
        <w:pStyle w:val="SingleTxtG"/>
        <w:keepNext/>
        <w:ind w:left="2835" w:hanging="1701"/>
        <w:jc w:val="left"/>
      </w:pPr>
      <w:r w:rsidRPr="00B56ABA">
        <w:rPr>
          <w:i/>
        </w:rPr>
        <w:t>Documents</w:t>
      </w:r>
      <w:r w:rsidR="004B7086" w:rsidRPr="00B56ABA">
        <w:t> :</w:t>
      </w:r>
      <w:r w:rsidRPr="00B56ABA">
        <w:tab/>
        <w:t>ECE/TRANS/WP.29/GRVA/2020/20</w:t>
      </w:r>
      <w:r w:rsidR="00B56ABA">
        <w:t>,</w:t>
      </w:r>
      <w:r w:rsidRPr="00B56ABA">
        <w:br/>
        <w:t>ECE/TRANS/WP.29/GRVA/2020/21</w:t>
      </w:r>
      <w:r w:rsidR="00B56ABA">
        <w:t>,</w:t>
      </w:r>
      <w:r w:rsidRPr="00B56ABA">
        <w:br/>
        <w:t>ECE/TRANS/WP.29/GRVA/2020/31</w:t>
      </w:r>
      <w:r w:rsidR="00B56ABA">
        <w:t>,</w:t>
      </w:r>
      <w:r w:rsidRPr="00B56ABA">
        <w:br/>
        <w:t>ECE/TRANS/WP.29/GRVA/2020/36</w:t>
      </w:r>
      <w:r w:rsidR="008C5C24">
        <w:t> ;</w:t>
      </w:r>
      <w:r w:rsidRPr="00B56ABA">
        <w:br/>
        <w:t>Documents</w:t>
      </w:r>
      <w:r w:rsidR="004B7086" w:rsidRPr="00B56ABA">
        <w:t xml:space="preserve"> </w:t>
      </w:r>
      <w:r w:rsidRPr="00B56ABA">
        <w:t>informels</w:t>
      </w:r>
      <w:r w:rsidR="004B7086" w:rsidRPr="00B56ABA">
        <w:t xml:space="preserve"> </w:t>
      </w:r>
      <w:r w:rsidRPr="00B56ABA">
        <w:t>GRVA-07-05,</w:t>
      </w:r>
      <w:r w:rsidR="004B7086" w:rsidRPr="00B56ABA">
        <w:t xml:space="preserve"> </w:t>
      </w:r>
      <w:r w:rsidRPr="00B56ABA">
        <w:t>GRVA-07-46,</w:t>
      </w:r>
      <w:r w:rsidR="004B7086" w:rsidRPr="00B56ABA">
        <w:t xml:space="preserve"> </w:t>
      </w:r>
      <w:r w:rsidRPr="00B56ABA">
        <w:t>GRVA-07-47,</w:t>
      </w:r>
      <w:r w:rsidR="004B7086" w:rsidRPr="00B56ABA">
        <w:t xml:space="preserve"> </w:t>
      </w:r>
      <w:r w:rsidRPr="00B56ABA">
        <w:t>GRVA-07-48,</w:t>
      </w:r>
      <w:r w:rsidR="004B7086" w:rsidRPr="00B56ABA">
        <w:t xml:space="preserve"> </w:t>
      </w:r>
      <w:r w:rsidRPr="00B56ABA">
        <w:t>GRVA-07-67,</w:t>
      </w:r>
      <w:r w:rsidR="004B7086" w:rsidRPr="00B56ABA">
        <w:t xml:space="preserve"> </w:t>
      </w:r>
      <w:r w:rsidRPr="00B56ABA">
        <w:t>GRVA-07-68,</w:t>
      </w:r>
      <w:r w:rsidR="004B7086" w:rsidRPr="00B56ABA">
        <w:t xml:space="preserve"> </w:t>
      </w:r>
      <w:r w:rsidRPr="00B56ABA">
        <w:t>GRVA-07-73-Rev.1</w:t>
      </w:r>
      <w:r w:rsidR="00B56ABA">
        <w:t xml:space="preserve"> et</w:t>
      </w:r>
      <w:r w:rsidR="004B7086" w:rsidRPr="00B56ABA">
        <w:t xml:space="preserve"> </w:t>
      </w:r>
      <w:r w:rsidRPr="00B56ABA">
        <w:t>GRVA-07-75</w:t>
      </w:r>
      <w:r w:rsidR="00BF4EB9" w:rsidRPr="00B56ABA">
        <w:t>.</w:t>
      </w:r>
    </w:p>
    <w:p w:rsidR="00DB758D" w:rsidRPr="00BF4EB9" w:rsidRDefault="00DB758D" w:rsidP="00BF4EB9">
      <w:pPr>
        <w:pStyle w:val="SingleTxtG"/>
      </w:pPr>
      <w:r w:rsidRPr="00BF4EB9">
        <w:t>64.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France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ECE/TRANS/WP.29/GRVA/2020/20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visait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préciser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1.5.3.1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3,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où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batteries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rechargées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remplacées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jeu</w:t>
      </w:r>
      <w:r w:rsidR="004B7086">
        <w:t xml:space="preserve"> </w:t>
      </w:r>
      <w:r w:rsidRPr="00BF4EB9">
        <w:t>chargé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procédures</w:t>
      </w:r>
      <w:r w:rsidR="004B7086">
        <w:t xml:space="preserve"> </w:t>
      </w:r>
      <w:r w:rsidRPr="00BF4EB9">
        <w:t>d’essai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chaud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récupération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lorsque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température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garnitures</w:t>
      </w:r>
      <w:r w:rsidR="004B7086">
        <w:t xml:space="preserve"> </w:t>
      </w:r>
      <w:r w:rsidRPr="00BF4EB9">
        <w:t>n’est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celle</w:t>
      </w:r>
      <w:r w:rsidR="004B7086">
        <w:t xml:space="preserve"> </w:t>
      </w:r>
      <w:r w:rsidRPr="00BF4EB9">
        <w:t>qu’elle</w:t>
      </w:r>
      <w:r w:rsidR="004B7086">
        <w:t xml:space="preserve"> </w:t>
      </w:r>
      <w:r w:rsidRPr="00BF4EB9">
        <w:t>était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procédure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récupération.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l’a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soumettre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bookmarkStart w:id="17" w:name="_Hlk61416083"/>
      <w:r w:rsidRPr="00BF4EB9">
        <w:t>complément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série</w:t>
      </w:r>
      <w:r w:rsidR="004B7086">
        <w:t xml:space="preserve"> </w:t>
      </w:r>
      <w:r w:rsidRPr="00BF4EB9">
        <w:t>01</w:t>
      </w:r>
      <w:r w:rsidR="004B7086">
        <w:t xml:space="preserve"> </w:t>
      </w:r>
      <w:r w:rsidRPr="00BF4EB9">
        <w:t>d’amendements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13-H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voix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l’AC.1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2021.</w:t>
      </w:r>
    </w:p>
    <w:bookmarkEnd w:id="17"/>
    <w:p w:rsidR="00DB758D" w:rsidRPr="00BF4EB9" w:rsidRDefault="00DB758D" w:rsidP="00BF4EB9">
      <w:pPr>
        <w:pStyle w:val="SingleTxtG"/>
      </w:pPr>
      <w:r w:rsidRPr="00BF4EB9">
        <w:t>65.</w:t>
      </w:r>
      <w:r w:rsidRPr="00BF4EB9">
        <w:tab/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CLEPA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GRVA-07-68,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introduisait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ECE/TRANS/WP.29/GRVA/2020/21</w:t>
      </w:r>
      <w:r w:rsidR="004B7086">
        <w:t xml:space="preserve"> </w:t>
      </w:r>
      <w:r w:rsidRPr="00BF4EB9">
        <w:t>contenant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électromécaniques.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GRVA-07-46,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visait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améliorer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finaliser</w:t>
      </w:r>
      <w:r w:rsidR="004B7086">
        <w:t xml:space="preserve"> </w:t>
      </w:r>
      <w:r w:rsidRPr="00BF4EB9">
        <w:t>quelques</w:t>
      </w:r>
      <w:r w:rsidR="004B7086">
        <w:t xml:space="preserve"> </w:t>
      </w:r>
      <w:r w:rsidRPr="00BF4EB9">
        <w:t>points</w:t>
      </w:r>
      <w:r w:rsidR="004B7086">
        <w:t xml:space="preserve"> </w:t>
      </w:r>
      <w:r w:rsidRPr="00BF4EB9">
        <w:t>encore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suspens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CLEPA.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Pays-Bas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estimé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plusieurs</w:t>
      </w:r>
      <w:r w:rsidR="004B7086">
        <w:t xml:space="preserve"> </w:t>
      </w:r>
      <w:r w:rsidRPr="00BF4EB9">
        <w:t>points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suspens</w:t>
      </w:r>
      <w:r w:rsidR="004B7086">
        <w:t xml:space="preserve"> </w:t>
      </w:r>
      <w:r w:rsidRPr="00BF4EB9">
        <w:t>devaient</w:t>
      </w:r>
      <w:r w:rsidR="004B7086">
        <w:t xml:space="preserve"> </w:t>
      </w:r>
      <w:r w:rsidRPr="00BF4EB9">
        <w:t>encore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finalisés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d’être</w:t>
      </w:r>
      <w:r w:rsidR="004B7086">
        <w:t xml:space="preserve"> </w:t>
      </w:r>
      <w:r w:rsidRPr="00BF4EB9">
        <w:t>adoptés,</w:t>
      </w:r>
      <w:r w:rsidR="004B7086">
        <w:t xml:space="preserve"> </w:t>
      </w:r>
      <w:r w:rsidRPr="00BF4EB9">
        <w:t>comme</w:t>
      </w:r>
      <w:r w:rsidR="004B7086">
        <w:t xml:space="preserve"> </w:t>
      </w:r>
      <w:r w:rsidRPr="00BF4EB9">
        <w:t>le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5.1.1.2,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fallait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préoccuper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dégradation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temps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charge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l’état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l’énergie.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également</w:t>
      </w:r>
      <w:r w:rsidR="004B7086">
        <w:t xml:space="preserve"> </w:t>
      </w:r>
      <w:r w:rsidRPr="00BF4EB9">
        <w:t>mentionné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questions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différences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température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cours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voyage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susceptibles</w:t>
      </w:r>
      <w:r w:rsidR="004B7086">
        <w:t xml:space="preserve"> </w:t>
      </w:r>
      <w:r w:rsidRPr="00BF4EB9">
        <w:t>d’affecter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performances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reprendre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question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session.</w:t>
      </w:r>
    </w:p>
    <w:p w:rsidR="00DB758D" w:rsidRPr="00BF4EB9" w:rsidRDefault="00DB758D" w:rsidP="00BF4EB9">
      <w:pPr>
        <w:pStyle w:val="SingleTxtG"/>
      </w:pPr>
      <w:r w:rsidRPr="00BF4EB9">
        <w:t>66.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reporter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ECE/TRANS/WP.29/GRVA/2020/31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GRVA-07-48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l’éclairage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feux</w:t>
      </w:r>
      <w:r w:rsidR="004B7086">
        <w:t xml:space="preserve"> </w:t>
      </w:r>
      <w:r w:rsidRPr="00BF4EB9">
        <w:t>stop.</w:t>
      </w:r>
    </w:p>
    <w:p w:rsidR="00DB758D" w:rsidRPr="00BF4EB9" w:rsidRDefault="00DB758D" w:rsidP="00BF4EB9">
      <w:pPr>
        <w:pStyle w:val="SingleTxtG"/>
      </w:pPr>
      <w:r w:rsidRPr="00BF4EB9">
        <w:t>67.</w:t>
      </w:r>
      <w:r w:rsidRPr="00BF4EB9">
        <w:tab/>
        <w:t>L’expert</w:t>
      </w:r>
      <w:r w:rsidR="004B7086">
        <w:t xml:space="preserve"> </w:t>
      </w:r>
      <w:r w:rsidRPr="00BF4EB9">
        <w:t>polonais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GRVA-07-67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proposait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correction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tableau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2.1.1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13.</w:t>
      </w:r>
      <w:r w:rsidR="004B7086">
        <w:t xml:space="preserve"> </w:t>
      </w:r>
      <w:r w:rsidRPr="00BF4EB9">
        <w:t>Le</w:t>
      </w:r>
      <w:r w:rsidR="004B7086">
        <w:t xml:space="preserve"> </w:t>
      </w:r>
      <w:r w:rsidR="008B2D66" w:rsidRPr="00BF4EB9">
        <w:rPr>
          <w:iCs/>
        </w:rPr>
        <w:t>Groupe</w:t>
      </w:r>
      <w:r w:rsidR="008B2D66">
        <w:rPr>
          <w:iCs/>
        </w:rPr>
        <w:t xml:space="preserve"> </w:t>
      </w:r>
      <w:r w:rsidR="008B2D66" w:rsidRPr="00BF4EB9">
        <w:rPr>
          <w:iCs/>
        </w:rPr>
        <w:t>de</w:t>
      </w:r>
      <w:r w:rsidR="008B2D66">
        <w:rPr>
          <w:iCs/>
        </w:rPr>
        <w:t xml:space="preserve"> </w:t>
      </w:r>
      <w:r w:rsidR="008B2D66" w:rsidRPr="00BF4EB9">
        <w:rPr>
          <w:iCs/>
        </w:rPr>
        <w:t>travail</w:t>
      </w:r>
      <w:r w:rsidR="008B2D66" w:rsidRPr="00BF4EB9">
        <w:t xml:space="preserve"> </w:t>
      </w:r>
      <w:r w:rsidRPr="00BF4EB9">
        <w:t>a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distribuer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cote</w:t>
      </w:r>
      <w:r w:rsidR="004B7086">
        <w:t xml:space="preserve"> </w:t>
      </w:r>
      <w:r w:rsidRPr="00BF4EB9">
        <w:t>officielle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février</w:t>
      </w:r>
      <w:r w:rsidR="004B7086">
        <w:t xml:space="preserve"> </w:t>
      </w:r>
      <w:r w:rsidRPr="00BF4EB9">
        <w:t>2021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8B2D66" w:rsidRPr="00BF4EB9">
        <w:rPr>
          <w:iCs/>
        </w:rPr>
        <w:t>Groupe</w:t>
      </w:r>
      <w:r w:rsidR="008B2D66">
        <w:rPr>
          <w:iCs/>
        </w:rPr>
        <w:t xml:space="preserve"> </w:t>
      </w:r>
      <w:r w:rsidR="008B2D66" w:rsidRPr="00BF4EB9">
        <w:rPr>
          <w:iCs/>
        </w:rPr>
        <w:t>de</w:t>
      </w:r>
      <w:r w:rsidR="008B2D66">
        <w:rPr>
          <w:iCs/>
        </w:rPr>
        <w:t xml:space="preserve"> </w:t>
      </w:r>
      <w:r w:rsidR="008B2D66" w:rsidRPr="00BF4EB9">
        <w:rPr>
          <w:iCs/>
        </w:rPr>
        <w:t>travail</w:t>
      </w:r>
      <w:r w:rsidRPr="00BF4EB9">
        <w:t>.</w:t>
      </w:r>
    </w:p>
    <w:p w:rsidR="00DB758D" w:rsidRPr="00BF4EB9" w:rsidRDefault="00DB758D" w:rsidP="00BF4EB9">
      <w:pPr>
        <w:pStyle w:val="SingleTxtG"/>
      </w:pPr>
      <w:r w:rsidRPr="00BF4EB9">
        <w:t>68.</w:t>
      </w:r>
      <w:r w:rsidRPr="00BF4EB9">
        <w:tab/>
        <w:t>L’expert</w:t>
      </w:r>
      <w:r w:rsidR="004B7086">
        <w:t xml:space="preserve"> </w:t>
      </w:r>
      <w:r w:rsidRPr="00BF4EB9">
        <w:t>allemand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ECE/TRANS/WP.29/GRVA/2020/36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lesquels</w:t>
      </w:r>
      <w:r w:rsidR="004B7086">
        <w:t xml:space="preserve"> </w:t>
      </w:r>
      <w:r w:rsidRPr="00BF4EB9">
        <w:t>étaient</w:t>
      </w:r>
      <w:r w:rsidR="004B7086">
        <w:t xml:space="preserve"> </w:t>
      </w:r>
      <w:r w:rsidRPr="00BF4EB9">
        <w:t>proposés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amendements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d’endurance</w:t>
      </w:r>
      <w:r w:rsidR="004B7086">
        <w:t xml:space="preserve"> </w:t>
      </w:r>
      <w:r w:rsidRPr="00BF4EB9">
        <w:t>tenant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préoccupations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électriques.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l’OICA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retiré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ECE/TRANS/WP.29/GRVA/2020/37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travaillé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ECE/TRANS/WP.29/GRVA/2020/36.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GRVA-07-75</w:t>
      </w:r>
      <w:r w:rsidR="004B7086">
        <w:t xml:space="preserve"> </w:t>
      </w:r>
      <w:r w:rsidRPr="00BF4EB9">
        <w:lastRenderedPageBreak/>
        <w:t>introduisant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GRVA-07-73-Rev.1,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remplaçait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GRVA-07-47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intégrait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GRVA-07-05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l’expert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République</w:t>
      </w:r>
      <w:r w:rsidR="004B7086">
        <w:t xml:space="preserve"> </w:t>
      </w:r>
      <w:r w:rsidRPr="00BF4EB9">
        <w:t>tchèque.</w:t>
      </w:r>
    </w:p>
    <w:p w:rsidR="00DB758D" w:rsidRPr="00BF4EB9" w:rsidRDefault="00DB758D" w:rsidP="00BF4EB9">
      <w:pPr>
        <w:pStyle w:val="SingleTxtG"/>
      </w:pPr>
      <w:r w:rsidRPr="00BF4EB9">
        <w:t>69.</w:t>
      </w:r>
      <w:r w:rsidRPr="00BF4EB9">
        <w:tab/>
        <w:t>Le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adopté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ECE/TRANS/WP.29/GRVA/2020/36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GRVA-07-73-Rev.1</w:t>
      </w:r>
      <w:r w:rsidR="004B7086">
        <w:t xml:space="preserve"> </w:t>
      </w:r>
      <w:r w:rsidRPr="00BF4EB9">
        <w:t>(</w:t>
      </w:r>
      <w:r w:rsidR="00023E07" w:rsidRPr="00BF4EB9">
        <w:t>annexe</w:t>
      </w:r>
      <w:r w:rsidR="004B7086">
        <w:t xml:space="preserve"> </w:t>
      </w:r>
      <w:r w:rsidRPr="00BF4EB9">
        <w:t>XI)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prié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soumettre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complément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série</w:t>
      </w:r>
      <w:r w:rsidR="004B7086">
        <w:t xml:space="preserve"> </w:t>
      </w:r>
      <w:r w:rsidRPr="00BF4EB9">
        <w:t>11</w:t>
      </w:r>
      <w:r w:rsidR="004B7086">
        <w:t xml:space="preserve"> </w:t>
      </w:r>
      <w:r w:rsidRPr="00BF4EB9">
        <w:t>d’amendements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13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examen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voix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l’AC.1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mars</w:t>
      </w:r>
      <w:r w:rsidR="004B7086">
        <w:t xml:space="preserve"> </w:t>
      </w:r>
      <w:r w:rsidRPr="00BF4EB9">
        <w:t>2021.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X.</w:t>
      </w:r>
      <w:r w:rsidRPr="00BF4EB9">
        <w:tab/>
        <w:t>Freinage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motocycles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9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A.</w:t>
      </w:r>
      <w:r w:rsidRPr="00BF4EB9">
        <w:tab/>
        <w:t>Règlement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mondial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3</w:t>
      </w:r>
    </w:p>
    <w:p w:rsidR="00DB758D" w:rsidRPr="00BF4EB9" w:rsidRDefault="00DB758D" w:rsidP="00BF4EB9">
      <w:pPr>
        <w:pStyle w:val="SingleTxtG"/>
      </w:pPr>
      <w:r w:rsidRPr="00BF4EB9">
        <w:rPr>
          <w:iCs/>
        </w:rPr>
        <w:t>70.</w:t>
      </w:r>
      <w:r w:rsidRPr="00BF4EB9">
        <w:rPr>
          <w:i/>
        </w:rPr>
        <w:tab/>
      </w:r>
      <w:r w:rsidRPr="00BF4EB9"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B.</w:t>
      </w:r>
      <w:r w:rsidRPr="00BF4EB9">
        <w:tab/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78</w:t>
      </w:r>
    </w:p>
    <w:p w:rsidR="00DB758D" w:rsidRPr="00BF4EB9" w:rsidRDefault="00DB758D" w:rsidP="00BF4EB9">
      <w:pPr>
        <w:pStyle w:val="SingleTxtG"/>
      </w:pPr>
      <w:r w:rsidRPr="00BF4EB9">
        <w:t>71.</w:t>
      </w:r>
      <w:r w:rsidRPr="00BF4EB9">
        <w:tab/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XI.</w:t>
      </w:r>
      <w:r w:rsidRPr="00BF4EB9">
        <w:tab/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90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10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rPr>
          <w:i/>
        </w:rPr>
        <w:t> :</w:t>
      </w:r>
      <w:r w:rsidRPr="00BF4EB9">
        <w:rPr>
          <w:i/>
        </w:rPr>
        <w:tab/>
      </w:r>
      <w:r w:rsidRPr="00BF4EB9"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GRVA-07-52</w:t>
      </w:r>
      <w:r w:rsidR="00BF4EB9">
        <w:t>.</w:t>
      </w:r>
    </w:p>
    <w:p w:rsidR="00DB758D" w:rsidRPr="00BF4EB9" w:rsidRDefault="00DB758D" w:rsidP="00BF4EB9">
      <w:pPr>
        <w:pStyle w:val="SingleTxtG"/>
      </w:pPr>
      <w:r w:rsidRPr="00BF4EB9">
        <w:rPr>
          <w:iCs/>
        </w:rPr>
        <w:t>72.</w:t>
      </w:r>
      <w:r w:rsidRPr="00BF4EB9">
        <w:rPr>
          <w:i/>
        </w:rPr>
        <w:tab/>
      </w:r>
      <w:r w:rsidRPr="00BF4EB9">
        <w:rPr>
          <w:iCs/>
        </w:rPr>
        <w:t>Le</w:t>
      </w:r>
      <w:r w:rsidR="004B7086">
        <w:rPr>
          <w:iCs/>
        </w:rPr>
        <w:t xml:space="preserve"> </w:t>
      </w:r>
      <w:r w:rsidRPr="00BF4EB9">
        <w:rPr>
          <w:iCs/>
        </w:rPr>
        <w:t>Groupe</w:t>
      </w:r>
      <w:r w:rsidR="004B7086">
        <w:rPr>
          <w:iCs/>
        </w:rPr>
        <w:t xml:space="preserve"> </w:t>
      </w:r>
      <w:r w:rsidRPr="00BF4EB9">
        <w:rPr>
          <w:iCs/>
        </w:rPr>
        <w:t>de</w:t>
      </w:r>
      <w:r w:rsidR="004B7086">
        <w:rPr>
          <w:iCs/>
        </w:rPr>
        <w:t xml:space="preserve"> </w:t>
      </w:r>
      <w:r w:rsidRPr="00BF4EB9">
        <w:rPr>
          <w:iCs/>
        </w:rPr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reporter</w:t>
      </w:r>
      <w:r w:rsidR="004B7086">
        <w:t xml:space="preserve"> </w:t>
      </w:r>
      <w:r w:rsidRPr="00BF4EB9">
        <w:t>l’examen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prochaine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prié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distribuer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GRVA-07-52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cote</w:t>
      </w:r>
      <w:r w:rsidR="004B7086">
        <w:t xml:space="preserve"> </w:t>
      </w:r>
      <w:r w:rsidRPr="00BF4EB9">
        <w:t>officielle.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XII.</w:t>
      </w:r>
      <w:r w:rsidRPr="00BF4EB9">
        <w:tab/>
        <w:t>Révision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l’Accord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1958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11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A.</w:t>
      </w:r>
      <w:r w:rsidRPr="00BF4EB9">
        <w:tab/>
        <w:t>Application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pertinentes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révision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l’Accord</w:t>
      </w:r>
      <w:r w:rsidR="004B7086">
        <w:t xml:space="preserve"> </w:t>
      </w:r>
      <w:r w:rsidRPr="00BF4EB9">
        <w:t>de</w:t>
      </w:r>
      <w:r w:rsidR="00B56ABA">
        <w:t> </w:t>
      </w:r>
      <w:r w:rsidRPr="00BF4EB9">
        <w:t>1958</w:t>
      </w:r>
    </w:p>
    <w:p w:rsidR="00DB758D" w:rsidRPr="00BF4EB9" w:rsidRDefault="00DB758D" w:rsidP="00BF4EB9">
      <w:pPr>
        <w:pStyle w:val="SingleTxtG"/>
      </w:pPr>
      <w:r w:rsidRPr="00BF4EB9">
        <w:t>73.</w:t>
      </w:r>
      <w:r w:rsidRPr="00BF4EB9">
        <w:tab/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</w:p>
    <w:p w:rsidR="00DB758D" w:rsidRPr="00BF4EB9" w:rsidRDefault="00DB758D" w:rsidP="00BF4EB9">
      <w:pPr>
        <w:pStyle w:val="H1G"/>
      </w:pPr>
      <w:r w:rsidRPr="00BF4EB9">
        <w:rPr>
          <w:sz w:val="22"/>
          <w:szCs w:val="22"/>
        </w:rPr>
        <w:tab/>
      </w:r>
      <w:r w:rsidRPr="00BF4EB9">
        <w:t>B.</w:t>
      </w:r>
      <w:r w:rsidRPr="00BF4EB9">
        <w:tab/>
        <w:t>Homologation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type</w:t>
      </w:r>
      <w:r w:rsidR="004B7086">
        <w:t xml:space="preserve"> </w:t>
      </w:r>
      <w:r w:rsidRPr="00BF4EB9">
        <w:t>internationale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l’ensemble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</w:p>
    <w:p w:rsidR="00DB758D" w:rsidRPr="00BF4EB9" w:rsidRDefault="00DB758D" w:rsidP="00BF4EB9">
      <w:pPr>
        <w:pStyle w:val="SingleTxtG"/>
      </w:pPr>
      <w:r w:rsidRPr="00BF4EB9">
        <w:t>74.</w:t>
      </w:r>
      <w:r w:rsidRPr="00BF4EB9">
        <w:tab/>
        <w:t>Aucun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titre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jour.</w:t>
      </w:r>
    </w:p>
    <w:p w:rsidR="00DB758D" w:rsidRPr="00BF4EB9" w:rsidRDefault="00DB758D" w:rsidP="00BF4EB9">
      <w:pPr>
        <w:pStyle w:val="HChG"/>
      </w:pPr>
      <w:r w:rsidRPr="00BF4EB9">
        <w:rPr>
          <w:sz w:val="22"/>
          <w:szCs w:val="22"/>
        </w:rPr>
        <w:tab/>
      </w:r>
      <w:r w:rsidRPr="00BF4EB9">
        <w:t>XIII.</w:t>
      </w:r>
      <w:r w:rsidRPr="00BF4EB9">
        <w:tab/>
        <w:t>Questions</w:t>
      </w:r>
      <w:r w:rsidR="004B7086">
        <w:t xml:space="preserve"> </w:t>
      </w:r>
      <w:r w:rsidRPr="00BF4EB9">
        <w:t>diverses</w:t>
      </w:r>
      <w:r w:rsidR="004B7086">
        <w:t xml:space="preserve"> </w:t>
      </w:r>
      <w:r w:rsidRPr="00BF4EB9">
        <w:t>(point</w:t>
      </w:r>
      <w:r w:rsidR="004B7086">
        <w:t xml:space="preserve"> </w:t>
      </w:r>
      <w:r w:rsidRPr="00BF4EB9">
        <w:t>12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BF4EB9">
      <w:pPr>
        <w:pStyle w:val="H1G"/>
      </w:pPr>
      <w:r w:rsidRPr="00BF4EB9">
        <w:tab/>
        <w:t>A.</w:t>
      </w:r>
      <w:r w:rsidRPr="00BF4EB9">
        <w:tab/>
        <w:t>Liste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priorités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(ECE/TRANS/WP.29/2020/1/Rev.1)</w:t>
      </w:r>
      <w:r w:rsidR="009D5575">
        <w:t>.</w:t>
      </w:r>
    </w:p>
    <w:p w:rsidR="00DB758D" w:rsidRPr="00BF4EB9" w:rsidRDefault="00DB758D" w:rsidP="009D5575">
      <w:pPr>
        <w:pStyle w:val="SingleTxtG"/>
      </w:pPr>
      <w:r w:rsidRPr="00BF4EB9">
        <w:t>75.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consulter</w:t>
      </w:r>
      <w:r w:rsidR="004B7086">
        <w:t xml:space="preserve"> </w:t>
      </w:r>
      <w:r w:rsidRPr="00BF4EB9">
        <w:t>l’AC.2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questions</w:t>
      </w:r>
      <w:r w:rsidR="004B7086">
        <w:t xml:space="preserve"> </w:t>
      </w:r>
      <w:r w:rsidRPr="00BF4EB9">
        <w:t>importantes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relation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définition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priorités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travail,</w:t>
      </w:r>
      <w:r w:rsidR="004B7086">
        <w:t xml:space="preserve"> </w:t>
      </w:r>
      <w:r w:rsidRPr="00BF4EB9">
        <w:t>comme</w:t>
      </w:r>
      <w:r w:rsidR="004B7086">
        <w:t xml:space="preserve"> </w:t>
      </w:r>
      <w:r w:rsidRPr="00BF4EB9">
        <w:t>poursuivre</w:t>
      </w:r>
      <w:r w:rsidR="004B7086">
        <w:t xml:space="preserve"> </w:t>
      </w:r>
      <w:r w:rsidRPr="00BF4EB9">
        <w:t>l’élaboration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B56ABA">
        <w:rPr>
          <w:rFonts w:eastAsia="MS Mincho"/>
        </w:rPr>
        <w:t>n</w:t>
      </w:r>
      <w:r w:rsidR="00B56ABA">
        <w:rPr>
          <w:rFonts w:eastAsia="MS Mincho"/>
          <w:vertAlign w:val="superscript"/>
        </w:rPr>
        <w:t>o</w:t>
      </w:r>
      <w:r w:rsidR="00B56ABA">
        <w:t> </w:t>
      </w:r>
      <w:r w:rsidRPr="00BF4EB9">
        <w:t>79,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fonctions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automatique</w:t>
      </w:r>
      <w:r w:rsidR="004B7086">
        <w:t xml:space="preserve"> </w:t>
      </w:r>
      <w:r w:rsidRPr="00BF4EB9">
        <w:t>(ACSF)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automatisés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(ALKS),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lumière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document-cadre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automatisés.</w:t>
      </w:r>
    </w:p>
    <w:p w:rsidR="00DB758D" w:rsidRPr="00BF4EB9" w:rsidRDefault="00DB758D" w:rsidP="009D5575">
      <w:pPr>
        <w:pStyle w:val="H1G"/>
      </w:pPr>
      <w:r w:rsidRPr="00BF4EB9">
        <w:tab/>
        <w:t>B.</w:t>
      </w:r>
      <w:r w:rsidRPr="00BF4EB9">
        <w:tab/>
        <w:t>Intelligence</w:t>
      </w:r>
      <w:r w:rsidR="004B7086">
        <w:t xml:space="preserve"> </w:t>
      </w:r>
      <w:r w:rsidRPr="00BF4EB9">
        <w:t>artificielle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BF4EB9">
        <w:rPr>
          <w:i/>
        </w:rPr>
        <w:t>Documents</w:t>
      </w:r>
      <w:r w:rsidR="004B7086">
        <w:t> :</w:t>
      </w:r>
      <w:r w:rsidRPr="00BF4EB9">
        <w:tab/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GRVA-07-33</w:t>
      </w:r>
      <w:r w:rsidR="00B56ABA">
        <w:t xml:space="preserve"> et</w:t>
      </w:r>
      <w:r w:rsidR="004B7086">
        <w:t xml:space="preserve"> </w:t>
      </w:r>
      <w:r w:rsidRPr="00BF4EB9">
        <w:t>GRVA-07-77</w:t>
      </w:r>
      <w:r w:rsidR="009D5575">
        <w:t>.</w:t>
      </w:r>
    </w:p>
    <w:p w:rsidR="00DB758D" w:rsidRPr="00BF4EB9" w:rsidRDefault="00DB758D" w:rsidP="009D5575">
      <w:pPr>
        <w:pStyle w:val="SingleTxtG"/>
      </w:pPr>
      <w:r w:rsidRPr="00BF4EB9">
        <w:t>76.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assisté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i)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exposé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technologies</w:t>
      </w:r>
      <w:r w:rsidR="004B7086">
        <w:t xml:space="preserve"> </w:t>
      </w:r>
      <w:r w:rsidRPr="00BF4EB9">
        <w:t>utilisées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améliorer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motocycles</w:t>
      </w:r>
      <w:r w:rsidR="004B7086">
        <w:t xml:space="preserve"> </w:t>
      </w:r>
      <w:r w:rsidRPr="00BF4EB9">
        <w:t>(GRVA-07-77)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membre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délégation</w:t>
      </w:r>
      <w:r w:rsidR="004B7086">
        <w:t xml:space="preserve"> </w:t>
      </w:r>
      <w:r w:rsidRPr="00BF4EB9">
        <w:lastRenderedPageBreak/>
        <w:t>israélienne,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ii)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exposé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l’intelligence</w:t>
      </w:r>
      <w:r w:rsidR="004B7086">
        <w:t xml:space="preserve"> </w:t>
      </w:r>
      <w:r w:rsidRPr="00BF4EB9">
        <w:t>artificielle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</w:t>
      </w:r>
      <w:r w:rsidR="004B7086">
        <w:t xml:space="preserve"> </w:t>
      </w:r>
      <w:r w:rsidRPr="00BF4EB9">
        <w:t>(GRVA-07-33)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réflexion</w:t>
      </w:r>
      <w:r w:rsidR="004B7086">
        <w:t xml:space="preserve"> </w:t>
      </w:r>
      <w:r w:rsidRPr="00BF4EB9">
        <w:t>consacré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question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sein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l’Union</w:t>
      </w:r>
      <w:r w:rsidR="004B7086">
        <w:t xml:space="preserve"> </w:t>
      </w:r>
      <w:r w:rsidRPr="00BF4EB9">
        <w:t>internationale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télécommunications</w:t>
      </w:r>
      <w:r w:rsidR="004B7086">
        <w:t xml:space="preserve"> </w:t>
      </w:r>
      <w:r w:rsidRPr="00BF4EB9">
        <w:t>(UIT).</w:t>
      </w:r>
      <w:r w:rsidR="004B7086">
        <w:t xml:space="preserve"> </w:t>
      </w:r>
      <w:r w:rsidRPr="00BF4EB9">
        <w:t>L’UIT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fait</w:t>
      </w:r>
      <w:r w:rsidR="004B7086">
        <w:t xml:space="preserve"> </w:t>
      </w:r>
      <w:r w:rsidRPr="00BF4EB9">
        <w:t>part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vue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répartition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responsabilités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(par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biais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questions)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problème</w:t>
      </w:r>
      <w:r w:rsidR="004B7086">
        <w:t xml:space="preserve"> </w:t>
      </w:r>
      <w:r w:rsidRPr="00BF4EB9">
        <w:t>dit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Molly</w:t>
      </w:r>
      <w:r w:rsidR="004B7086">
        <w:t xml:space="preserve"> </w:t>
      </w:r>
      <w:r w:rsidRPr="00BF4EB9">
        <w:t>(une</w:t>
      </w:r>
      <w:r w:rsidR="004B7086">
        <w:t xml:space="preserve"> </w:t>
      </w:r>
      <w:r w:rsidRPr="00BF4EB9">
        <w:t>jeune</w:t>
      </w:r>
      <w:r w:rsidR="004B7086">
        <w:t xml:space="preserve"> </w:t>
      </w:r>
      <w:r w:rsidRPr="00BF4EB9">
        <w:t>fille</w:t>
      </w:r>
      <w:r w:rsidR="004B7086">
        <w:t xml:space="preserve"> </w:t>
      </w:r>
      <w:r w:rsidRPr="00BF4EB9">
        <w:t>appelée</w:t>
      </w:r>
      <w:r w:rsidR="004B7086">
        <w:t xml:space="preserve"> </w:t>
      </w:r>
      <w:r w:rsidRPr="00BF4EB9">
        <w:t>Molly</w:t>
      </w:r>
      <w:r w:rsidR="004B7086">
        <w:t xml:space="preserve"> </w:t>
      </w:r>
      <w:r w:rsidRPr="00BF4EB9">
        <w:t>traverse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toute</w:t>
      </w:r>
      <w:r w:rsidR="004B7086">
        <w:t xml:space="preserve"> </w:t>
      </w:r>
      <w:r w:rsidRPr="00BF4EB9">
        <w:t>seule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renversée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autonome</w:t>
      </w:r>
      <w:r w:rsidR="004B7086">
        <w:t xml:space="preserve"> </w:t>
      </w:r>
      <w:r w:rsidRPr="00BF4EB9">
        <w:t>sans</w:t>
      </w:r>
      <w:r w:rsidR="004B7086">
        <w:t xml:space="preserve"> </w:t>
      </w:r>
      <w:r w:rsidRPr="00BF4EB9">
        <w:t>personne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bord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l’absence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témoins),</w:t>
      </w:r>
      <w:r w:rsidR="004B7086">
        <w:t xml:space="preserve"> </w:t>
      </w:r>
      <w:r w:rsidRPr="00BF4EB9">
        <w:t>suggérant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davantage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soient</w:t>
      </w:r>
      <w:r w:rsidR="004B7086">
        <w:t xml:space="preserve"> </w:t>
      </w:r>
      <w:r w:rsidRPr="00BF4EB9">
        <w:t>collectées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enregistreurs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automatisée.</w:t>
      </w:r>
    </w:p>
    <w:p w:rsidR="00DB758D" w:rsidRPr="00BF4EB9" w:rsidRDefault="00DB758D" w:rsidP="009D5575">
      <w:pPr>
        <w:pStyle w:val="SingleTxtG"/>
      </w:pPr>
      <w:r w:rsidRPr="00BF4EB9">
        <w:t>77.</w:t>
      </w:r>
      <w:r w:rsidRPr="00BF4EB9">
        <w:tab/>
        <w:t>Le</w:t>
      </w:r>
      <w:r w:rsidR="004B7086">
        <w:t xml:space="preserve"> </w:t>
      </w:r>
      <w:r w:rsidR="008B2D66" w:rsidRPr="00BF4EB9">
        <w:t>Vice</w:t>
      </w:r>
      <w:r w:rsidRPr="00BF4EB9">
        <w:t>-</w:t>
      </w:r>
      <w:r w:rsidR="008B2D66" w:rsidRPr="00BF4EB9">
        <w:t>Président</w:t>
      </w:r>
      <w:r w:rsidR="008B2D66">
        <w:t xml:space="preserve"> </w:t>
      </w:r>
      <w:r w:rsidRPr="00BF4EB9">
        <w:t>du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réagi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présentation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l’UIT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insistant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nécessité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mieux</w:t>
      </w:r>
      <w:r w:rsidR="004B7086">
        <w:t xml:space="preserve"> </w:t>
      </w:r>
      <w:r w:rsidRPr="00BF4EB9">
        <w:t>définir</w:t>
      </w:r>
      <w:r w:rsidR="004B7086">
        <w:t xml:space="preserve"> </w:t>
      </w:r>
      <w:r w:rsidRPr="00BF4EB9">
        <w:t>l’intelligence</w:t>
      </w:r>
      <w:r w:rsidR="004B7086">
        <w:t xml:space="preserve"> </w:t>
      </w:r>
      <w:r w:rsidRPr="00BF4EB9">
        <w:t>artificielle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clarifier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questions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évoquées.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invité</w:t>
      </w:r>
      <w:r w:rsidR="004B7086">
        <w:t xml:space="preserve"> </w:t>
      </w:r>
      <w:r w:rsidRPr="00BF4EB9">
        <w:t>l’UIT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joindre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méthodes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validation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automatisée.</w:t>
      </w:r>
    </w:p>
    <w:p w:rsidR="00DB758D" w:rsidRPr="00BF4EB9" w:rsidRDefault="00DB758D" w:rsidP="009D5575">
      <w:pPr>
        <w:pStyle w:val="SingleTxtG"/>
      </w:pPr>
      <w:r w:rsidRPr="00BF4EB9">
        <w:t>78.</w:t>
      </w:r>
      <w:r w:rsidRPr="00BF4EB9">
        <w:tab/>
        <w:t>Le</w:t>
      </w:r>
      <w:r w:rsidR="004B7086">
        <w:t xml:space="preserve"> </w:t>
      </w:r>
      <w:r w:rsidRPr="00BF4EB9">
        <w:t>secrétaire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chargé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fonctionnelles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automatisés/autonomes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également</w:t>
      </w:r>
      <w:r w:rsidR="004B7086">
        <w:t xml:space="preserve"> </w:t>
      </w:r>
      <w:r w:rsidRPr="00BF4EB9">
        <w:t>invité</w:t>
      </w:r>
      <w:r w:rsidR="004B7086">
        <w:t xml:space="preserve"> </w:t>
      </w:r>
      <w:r w:rsidRPr="00BF4EB9">
        <w:t>l’UIT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participer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groupe.</w:t>
      </w:r>
    </w:p>
    <w:p w:rsidR="00DB758D" w:rsidRPr="00BF4EB9" w:rsidRDefault="00DB758D" w:rsidP="009D5575">
      <w:pPr>
        <w:pStyle w:val="SingleTxtG"/>
      </w:pPr>
      <w:r w:rsidRPr="00BF4EB9">
        <w:t>79.</w:t>
      </w:r>
      <w:r w:rsidRPr="00BF4EB9">
        <w:tab/>
        <w:t>Le</w:t>
      </w:r>
      <w:r w:rsidR="004B7086">
        <w:t xml:space="preserve"> </w:t>
      </w:r>
      <w:r w:rsidRPr="00BF4EB9">
        <w:t>représentant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Canada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souligné</w:t>
      </w:r>
      <w:r w:rsidR="004B7086">
        <w:t xml:space="preserve"> </w:t>
      </w:r>
      <w:r w:rsidRPr="00BF4EB9">
        <w:t>l’importance</w:t>
      </w:r>
      <w:r w:rsidR="004B7086">
        <w:t xml:space="preserve"> </w:t>
      </w:r>
      <w:r w:rsidRPr="00BF4EB9">
        <w:t>d’éviter</w:t>
      </w:r>
      <w:r w:rsidR="004B7086">
        <w:t xml:space="preserve"> </w:t>
      </w:r>
      <w:r w:rsidRPr="00BF4EB9">
        <w:t>redondance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double</w:t>
      </w:r>
      <w:r w:rsidR="004B7086">
        <w:t xml:space="preserve"> </w:t>
      </w:r>
      <w:r w:rsidRPr="00BF4EB9">
        <w:t>emploi.</w:t>
      </w:r>
      <w:r w:rsidR="004B7086">
        <w:t xml:space="preserve"> </w:t>
      </w:r>
      <w:r w:rsidRPr="00BF4EB9">
        <w:t>S’agissant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participation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deux</w:t>
      </w:r>
      <w:r w:rsidR="004B7086">
        <w:t xml:space="preserve"> </w:t>
      </w:r>
      <w:r w:rsidRPr="00BF4EB9">
        <w:t>groupes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informels,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estimé</w:t>
      </w:r>
      <w:r w:rsidR="004B7086">
        <w:t xml:space="preserve"> </w:t>
      </w:r>
      <w:r w:rsidRPr="00BF4EB9">
        <w:t>nécessaire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mettre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place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mécanisme</w:t>
      </w:r>
      <w:r w:rsidR="004B7086">
        <w:t xml:space="preserve"> </w:t>
      </w:r>
      <w:r w:rsidRPr="00BF4EB9">
        <w:t>formel.</w:t>
      </w:r>
    </w:p>
    <w:p w:rsidR="00DB758D" w:rsidRPr="00BF4EB9" w:rsidRDefault="00DB758D" w:rsidP="009D5575">
      <w:pPr>
        <w:pStyle w:val="SingleTxtG"/>
      </w:pPr>
      <w:r w:rsidRPr="00BF4EB9">
        <w:t>80.</w:t>
      </w:r>
      <w:r w:rsidRPr="00BF4EB9">
        <w:tab/>
        <w:t>Le</w:t>
      </w:r>
      <w:r w:rsidR="004B7086">
        <w:t xml:space="preserve"> </w:t>
      </w:r>
      <w:r w:rsidR="008B2D66" w:rsidRPr="00BF4EB9">
        <w:rPr>
          <w:iCs/>
        </w:rPr>
        <w:t>Groupe</w:t>
      </w:r>
      <w:r w:rsidR="008B2D66">
        <w:rPr>
          <w:iCs/>
        </w:rPr>
        <w:t xml:space="preserve"> </w:t>
      </w:r>
      <w:r w:rsidR="008B2D66" w:rsidRPr="00BF4EB9">
        <w:rPr>
          <w:iCs/>
        </w:rPr>
        <w:t>de</w:t>
      </w:r>
      <w:r w:rsidR="008B2D66">
        <w:rPr>
          <w:iCs/>
        </w:rPr>
        <w:t xml:space="preserve"> </w:t>
      </w:r>
      <w:r w:rsidR="008B2D66" w:rsidRPr="00BF4EB9">
        <w:rPr>
          <w:iCs/>
        </w:rPr>
        <w:t>travail</w:t>
      </w:r>
      <w:r w:rsidR="008B2D66" w:rsidRPr="00BF4EB9">
        <w:t xml:space="preserve"> </w:t>
      </w:r>
      <w:r w:rsidRPr="00BF4EB9">
        <w:t>a</w:t>
      </w:r>
      <w:r w:rsidR="004B7086">
        <w:t xml:space="preserve"> </w:t>
      </w:r>
      <w:r w:rsidRPr="00BF4EB9">
        <w:t>décidé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consulter</w:t>
      </w:r>
      <w:r w:rsidR="004B7086">
        <w:t xml:space="preserve"> </w:t>
      </w:r>
      <w:r w:rsidRPr="00BF4EB9">
        <w:t>l’AC.2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sujet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manière</w:t>
      </w:r>
      <w:r w:rsidR="004B7086">
        <w:t xml:space="preserve"> </w:t>
      </w:r>
      <w:r w:rsidRPr="00BF4EB9">
        <w:t>dont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devrait</w:t>
      </w:r>
      <w:r w:rsidR="004B7086">
        <w:t xml:space="preserve"> </w:t>
      </w:r>
      <w:r w:rsidRPr="00BF4EB9">
        <w:t>s’occuper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l’intelligence</w:t>
      </w:r>
      <w:r w:rsidR="004B7086">
        <w:t xml:space="preserve"> </w:t>
      </w:r>
      <w:r w:rsidRPr="00BF4EB9">
        <w:t>artificielle.</w:t>
      </w:r>
    </w:p>
    <w:p w:rsidR="00DB758D" w:rsidRPr="00BF4EB9" w:rsidRDefault="00DB758D" w:rsidP="009D5575">
      <w:pPr>
        <w:pStyle w:val="H1G"/>
      </w:pPr>
      <w:r w:rsidRPr="00BF4EB9">
        <w:rPr>
          <w:sz w:val="22"/>
          <w:szCs w:val="22"/>
        </w:rPr>
        <w:tab/>
      </w:r>
      <w:r w:rsidRPr="00BF4EB9">
        <w:t>C.</w:t>
      </w:r>
      <w:r w:rsidRPr="00BF4EB9">
        <w:tab/>
        <w:t>Questions</w:t>
      </w:r>
      <w:r w:rsidR="004B7086">
        <w:t xml:space="preserve"> </w:t>
      </w:r>
      <w:r w:rsidRPr="00BF4EB9">
        <w:t>diverses</w:t>
      </w:r>
    </w:p>
    <w:p w:rsidR="00DB758D" w:rsidRPr="00BF4EB9" w:rsidRDefault="00DB758D" w:rsidP="0053461A">
      <w:pPr>
        <w:pStyle w:val="SingleTxtG"/>
        <w:keepNext/>
        <w:ind w:left="2835" w:hanging="1701"/>
        <w:jc w:val="left"/>
      </w:pPr>
      <w:r w:rsidRPr="0053461A">
        <w:rPr>
          <w:i/>
        </w:rPr>
        <w:t>Documents</w:t>
      </w:r>
      <w:r w:rsidR="004B7086">
        <w:rPr>
          <w:sz w:val="22"/>
          <w:szCs w:val="22"/>
        </w:rPr>
        <w:t> :</w:t>
      </w:r>
      <w:r w:rsidRPr="00BF4EB9">
        <w:rPr>
          <w:sz w:val="22"/>
          <w:szCs w:val="22"/>
        </w:rPr>
        <w:tab/>
      </w:r>
      <w:r w:rsidRPr="00BF4EB9">
        <w:t>(ECE/TRANS/294,</w:t>
      </w:r>
      <w:r w:rsidR="004B7086">
        <w:t xml:space="preserve"> </w:t>
      </w:r>
      <w:r w:rsidR="005A1351">
        <w:t>par. </w:t>
      </w:r>
      <w:r w:rsidRPr="00BF4EB9">
        <w:t>31-32)</w:t>
      </w:r>
      <w:r w:rsidR="008C5C24">
        <w:t> ;</w:t>
      </w:r>
      <w:r w:rsidRPr="00BF4EB9">
        <w:rPr>
          <w:sz w:val="22"/>
          <w:szCs w:val="22"/>
        </w:rPr>
        <w:br/>
      </w:r>
      <w:r w:rsidRPr="00BF4EB9">
        <w:t>Documents</w:t>
      </w:r>
      <w:r w:rsidR="004B7086">
        <w:t xml:space="preserve"> </w:t>
      </w:r>
      <w:r w:rsidRPr="00BF4EB9">
        <w:t>informels</w:t>
      </w:r>
      <w:r w:rsidR="004B7086">
        <w:t xml:space="preserve"> </w:t>
      </w:r>
      <w:r w:rsidRPr="00BF4EB9">
        <w:t>GRVA-07-14,</w:t>
      </w:r>
      <w:r w:rsidR="004B7086">
        <w:t xml:space="preserve"> </w:t>
      </w:r>
      <w:r w:rsidRPr="00BF4EB9">
        <w:t>GRVA-07-65</w:t>
      </w:r>
      <w:r w:rsidR="00380814">
        <w:t xml:space="preserve"> et</w:t>
      </w:r>
      <w:r w:rsidR="004B7086">
        <w:t xml:space="preserve"> </w:t>
      </w:r>
      <w:r w:rsidRPr="00BF4EB9">
        <w:t>GRVA-07-76</w:t>
      </w:r>
      <w:r w:rsidR="009D5575">
        <w:t>.</w:t>
      </w:r>
    </w:p>
    <w:p w:rsidR="00DB758D" w:rsidRPr="00BF4EB9" w:rsidRDefault="00DB758D" w:rsidP="009D5575">
      <w:pPr>
        <w:pStyle w:val="SingleTxtG"/>
      </w:pPr>
      <w:r w:rsidRPr="00BF4EB9">
        <w:t>81.</w:t>
      </w:r>
      <w:r w:rsidRPr="00BF4EB9">
        <w:tab/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fait</w:t>
      </w:r>
      <w:r w:rsidR="004B7086">
        <w:t xml:space="preserve"> </w:t>
      </w:r>
      <w:r w:rsidRPr="00BF4EB9">
        <w:t>savoir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="005A1351">
        <w:t>« </w:t>
      </w:r>
      <w:r w:rsidRPr="00BF4EB9">
        <w:t>Human</w:t>
      </w:r>
      <w:r w:rsidR="004B7086">
        <w:t xml:space="preserve"> </w:t>
      </w:r>
      <w:proofErr w:type="spellStart"/>
      <w:r w:rsidRPr="00BF4EB9">
        <w:t>Factors</w:t>
      </w:r>
      <w:proofErr w:type="spellEnd"/>
      <w:r w:rsidR="004B7086">
        <w:t xml:space="preserve"> </w:t>
      </w:r>
      <w:r w:rsidRPr="00BF4EB9">
        <w:t>in</w:t>
      </w:r>
      <w:r w:rsidR="004B7086">
        <w:t xml:space="preserve"> </w:t>
      </w:r>
      <w:r w:rsidRPr="00BF4EB9">
        <w:t>International</w:t>
      </w:r>
      <w:r w:rsidR="004B7086">
        <w:t xml:space="preserve"> </w:t>
      </w:r>
      <w:proofErr w:type="spellStart"/>
      <w:r w:rsidRPr="00BF4EB9">
        <w:t>Regulations</w:t>
      </w:r>
      <w:proofErr w:type="spellEnd"/>
      <w:r w:rsidR="004B7086">
        <w:t xml:space="preserve"> </w:t>
      </w:r>
      <w:r w:rsidRPr="00BF4EB9">
        <w:t>for</w:t>
      </w:r>
      <w:r w:rsidR="004B7086">
        <w:t xml:space="preserve"> </w:t>
      </w:r>
      <w:proofErr w:type="spellStart"/>
      <w:r w:rsidRPr="00BF4EB9">
        <w:t>Automated</w:t>
      </w:r>
      <w:proofErr w:type="spellEnd"/>
      <w:r w:rsidR="004B7086">
        <w:t xml:space="preserve"> </w:t>
      </w:r>
      <w:r w:rsidRPr="00BF4EB9">
        <w:t>Driving</w:t>
      </w:r>
      <w:r w:rsidR="004B7086">
        <w:t xml:space="preserve"> </w:t>
      </w:r>
      <w:proofErr w:type="spellStart"/>
      <w:r w:rsidRPr="00BF4EB9">
        <w:t>Systems</w:t>
      </w:r>
      <w:proofErr w:type="spellEnd"/>
      <w:r w:rsidR="005A1351">
        <w:t> »</w:t>
      </w:r>
      <w:r w:rsidR="004B7086">
        <w:t xml:space="preserve"> </w:t>
      </w:r>
      <w:r w:rsidRPr="00BF4EB9">
        <w:t>(Facteurs</w:t>
      </w:r>
      <w:r w:rsidR="004B7086">
        <w:t xml:space="preserve"> </w:t>
      </w:r>
      <w:r w:rsidRPr="00BF4EB9">
        <w:t>humain</w:t>
      </w:r>
      <w:r w:rsidR="008B2D66">
        <w:t>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réglementations</w:t>
      </w:r>
      <w:r w:rsidR="004B7086">
        <w:t xml:space="preserve"> </w:t>
      </w:r>
      <w:r w:rsidRPr="00BF4EB9">
        <w:t>internationale</w:t>
      </w:r>
      <w:r w:rsidR="008B2D66">
        <w:t>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automatisée)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fonctionne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auspices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l’Association</w:t>
      </w:r>
      <w:r w:rsidR="004B7086">
        <w:t xml:space="preserve"> </w:t>
      </w:r>
      <w:r w:rsidRPr="00BF4EB9">
        <w:t>internationale</w:t>
      </w:r>
      <w:r w:rsidR="004B7086">
        <w:t xml:space="preserve"> </w:t>
      </w:r>
      <w:r w:rsidRPr="00BF4EB9">
        <w:t>d’ergonomie</w:t>
      </w:r>
      <w:r w:rsidR="004B7086">
        <w:t xml:space="preserve"> </w:t>
      </w:r>
      <w:r w:rsidRPr="00BF4EB9">
        <w:t>(IEA)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publié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d’orientation</w:t>
      </w:r>
      <w:r w:rsidR="004B7086">
        <w:t xml:space="preserve"> </w:t>
      </w:r>
      <w:r w:rsidRPr="00BF4EB9">
        <w:t>(GRVA-07-65)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proofErr w:type="spellStart"/>
      <w:r w:rsidRPr="00BF4EB9">
        <w:t>téléopération</w:t>
      </w:r>
      <w:proofErr w:type="spellEnd"/>
      <w:r w:rsidRPr="00BF4EB9">
        <w:t>,</w:t>
      </w:r>
      <w:r w:rsidR="004B7086">
        <w:t xml:space="preserve"> </w:t>
      </w:r>
      <w:r w:rsidRPr="00BF4EB9">
        <w:t>considérée</w:t>
      </w:r>
      <w:r w:rsidR="004B7086">
        <w:t xml:space="preserve"> </w:t>
      </w:r>
      <w:r w:rsidRPr="00BF4EB9">
        <w:t>comme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solution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sauvegarde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problèmes</w:t>
      </w:r>
      <w:r w:rsidR="004B7086">
        <w:t xml:space="preserve"> </w:t>
      </w:r>
      <w:r w:rsidRPr="00BF4EB9">
        <w:t>rencontrés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expliqué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avait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même</w:t>
      </w:r>
      <w:r w:rsidR="004B7086">
        <w:t xml:space="preserve"> </w:t>
      </w:r>
      <w:r w:rsidRPr="00BF4EB9">
        <w:t>semaine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WP.1.</w:t>
      </w:r>
    </w:p>
    <w:p w:rsidR="00DB758D" w:rsidRPr="00BF4EB9" w:rsidRDefault="00DB758D" w:rsidP="009D5575">
      <w:pPr>
        <w:pStyle w:val="SingleTxtG"/>
      </w:pPr>
      <w:r w:rsidRPr="00BF4EB9">
        <w:t>82.</w:t>
      </w:r>
      <w:r w:rsidRPr="00BF4EB9">
        <w:tab/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GRVA-07-14,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donne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informations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activités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cours</w:t>
      </w:r>
      <w:r w:rsidR="004B7086">
        <w:t xml:space="preserve"> </w:t>
      </w:r>
      <w:r w:rsidRPr="00BF4EB9">
        <w:t>liées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décision</w:t>
      </w:r>
      <w:r w:rsidR="004B7086">
        <w:t xml:space="preserve"> </w:t>
      </w:r>
      <w:r w:rsidRPr="00BF4EB9">
        <w:t>prise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Comité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transports</w:t>
      </w:r>
      <w:r w:rsidR="004B7086">
        <w:t xml:space="preserve"> </w:t>
      </w:r>
      <w:r w:rsidRPr="00BF4EB9">
        <w:t>intérieurs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février</w:t>
      </w:r>
      <w:r w:rsidR="004B7086">
        <w:t xml:space="preserve"> </w:t>
      </w:r>
      <w:r w:rsidRPr="00BF4EB9">
        <w:t>2020</w:t>
      </w:r>
      <w:r w:rsidR="004B7086">
        <w:t xml:space="preserve"> </w:t>
      </w:r>
      <w:r w:rsidRPr="00BF4EB9">
        <w:t>(ECE/TRANS/294,</w:t>
      </w:r>
      <w:r w:rsidR="004B7086">
        <w:t xml:space="preserve"> </w:t>
      </w:r>
      <w:r w:rsidR="005A1351">
        <w:t>par. </w:t>
      </w:r>
      <w:r w:rsidRPr="00BF4EB9">
        <w:t>31-32)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revoir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feuille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CEE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transport</w:t>
      </w:r>
      <w:r w:rsidR="004B7086">
        <w:t xml:space="preserve"> </w:t>
      </w:r>
      <w:r w:rsidRPr="00BF4EB9">
        <w:t>intelligents.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informé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observations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projet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feuille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révisée</w:t>
      </w:r>
      <w:r w:rsidR="004B7086">
        <w:t xml:space="preserve"> </w:t>
      </w:r>
      <w:r w:rsidRPr="00BF4EB9">
        <w:t>pouvaient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communiquées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ligne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l’adresse</w:t>
      </w:r>
      <w:r w:rsidR="004B7086">
        <w:t xml:space="preserve"> </w:t>
      </w:r>
      <w:r w:rsidRPr="00BF4EB9">
        <w:t>suivante</w:t>
      </w:r>
      <w:r w:rsidR="004B7086">
        <w:t xml:space="preserve"> : </w:t>
      </w:r>
      <w:hyperlink r:id="rId8" w:history="1">
        <w:r w:rsidRPr="009D5575">
          <w:rPr>
            <w:rStyle w:val="Lienhypertexte"/>
          </w:rPr>
          <w:t>https</w:t>
        </w:r>
        <w:r w:rsidR="00023E07" w:rsidRPr="009D5575">
          <w:rPr>
            <w:rStyle w:val="Lienhypertexte"/>
          </w:rPr>
          <w:t>:/</w:t>
        </w:r>
        <w:r w:rsidRPr="009D5575">
          <w:rPr>
            <w:rStyle w:val="Lienhypertexte"/>
          </w:rPr>
          <w:t>/docs.google.com/document/d/1-tIgg7XLAaax0t-</w:t>
        </w:r>
        <w:bookmarkStart w:id="18" w:name="_Hlk61423989"/>
        <w:r w:rsidRPr="009D5575">
          <w:rPr>
            <w:rStyle w:val="Lienhypertexte"/>
          </w:rPr>
          <w:t>WuiMrdU8WFxH3eOO6/edit</w:t>
        </w:r>
        <w:bookmarkEnd w:id="18"/>
      </w:hyperlink>
      <w:r w:rsidR="009D5575">
        <w:t>.</w:t>
      </w:r>
    </w:p>
    <w:p w:rsidR="00DB758D" w:rsidRPr="00BF4EB9" w:rsidRDefault="00DB758D" w:rsidP="009D5575">
      <w:pPr>
        <w:pStyle w:val="SingleTxtG"/>
      </w:pPr>
      <w:r w:rsidRPr="00BF4EB9">
        <w:t>83.</w:t>
      </w:r>
      <w:r w:rsidRPr="00BF4EB9">
        <w:tab/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suite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virtuelle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informelle</w:t>
      </w:r>
      <w:r w:rsidR="004B7086">
        <w:t xml:space="preserve"> </w:t>
      </w:r>
      <w:r w:rsidRPr="00BF4EB9">
        <w:t>organisée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remplacement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septième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8B2D66" w:rsidRPr="00BF4EB9">
        <w:rPr>
          <w:iCs/>
        </w:rPr>
        <w:t>Groupe</w:t>
      </w:r>
      <w:r w:rsidR="008B2D66">
        <w:rPr>
          <w:iCs/>
        </w:rPr>
        <w:t xml:space="preserve"> </w:t>
      </w:r>
      <w:r w:rsidR="008B2D66" w:rsidRPr="00BF4EB9">
        <w:rPr>
          <w:iCs/>
        </w:rPr>
        <w:t>de</w:t>
      </w:r>
      <w:r w:rsidR="008B2D66">
        <w:rPr>
          <w:iCs/>
        </w:rPr>
        <w:t xml:space="preserve"> </w:t>
      </w:r>
      <w:r w:rsidR="008B2D66" w:rsidRPr="00BF4EB9">
        <w:rPr>
          <w:iCs/>
        </w:rPr>
        <w:t>travail</w:t>
      </w:r>
      <w:r w:rsidRPr="00BF4EB9">
        <w:t>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établi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liste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décisions</w:t>
      </w:r>
      <w:r w:rsidR="004B7086">
        <w:t xml:space="preserve"> </w:t>
      </w:r>
      <w:r w:rsidRPr="00BF4EB9">
        <w:t>prises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session,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anglais,</w:t>
      </w:r>
      <w:r w:rsidR="004B7086">
        <w:t xml:space="preserve"> </w:t>
      </w:r>
      <w:r w:rsidRPr="00BF4EB9">
        <w:t>français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russe</w:t>
      </w:r>
      <w:r w:rsidR="004B7086">
        <w:t xml:space="preserve"> </w:t>
      </w:r>
      <w:r w:rsidRPr="00BF4EB9">
        <w:t>(GRVA-07-76).</w:t>
      </w:r>
      <w:r w:rsidR="004B7086">
        <w:t xml:space="preserve"> </w:t>
      </w:r>
      <w:r w:rsidRPr="00BF4EB9">
        <w:t>Elle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soumise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chefs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délégations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représentations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contractantes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Genève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approbation</w:t>
      </w:r>
      <w:r w:rsidR="004B7086">
        <w:t xml:space="preserve"> </w:t>
      </w:r>
      <w:r w:rsidRPr="00BF4EB9">
        <w:t>selon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procédure</w:t>
      </w:r>
      <w:r w:rsidR="004B7086">
        <w:t xml:space="preserve"> </w:t>
      </w:r>
      <w:r w:rsidRPr="00BF4EB9">
        <w:t>d’accord</w:t>
      </w:r>
      <w:r w:rsidR="004B7086">
        <w:t xml:space="preserve"> </w:t>
      </w:r>
      <w:r w:rsidRPr="00BF4EB9">
        <w:t>tacite,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procédures</w:t>
      </w:r>
      <w:r w:rsidR="004B7086">
        <w:t xml:space="preserve"> </w:t>
      </w:r>
      <w:r w:rsidRPr="00BF4EB9">
        <w:t>spéciales</w:t>
      </w:r>
      <w:r w:rsidR="004B7086">
        <w:t xml:space="preserve"> </w:t>
      </w:r>
      <w:r w:rsidRPr="00BF4EB9">
        <w:t>définies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Comité</w:t>
      </w:r>
      <w:r w:rsidR="004B7086">
        <w:t xml:space="preserve"> </w:t>
      </w:r>
      <w:r w:rsidRPr="00BF4EB9">
        <w:t>exécutif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CEE.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secrétariat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informé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délégations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courriel,</w:t>
      </w:r>
      <w:r w:rsidR="004B7086">
        <w:t xml:space="preserve"> </w:t>
      </w:r>
      <w:r w:rsidRPr="00BF4EB9">
        <w:t>dix</w:t>
      </w:r>
      <w:r w:rsidR="004B7086">
        <w:t xml:space="preserve"> </w:t>
      </w:r>
      <w:r w:rsidRPr="00BF4EB9">
        <w:t>jours</w:t>
      </w:r>
      <w:r w:rsidR="004B7086">
        <w:t xml:space="preserve"> </w:t>
      </w:r>
      <w:r w:rsidRPr="00BF4EB9">
        <w:t>après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lancement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procédure,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silence</w:t>
      </w:r>
      <w:r w:rsidR="004B7086">
        <w:t xml:space="preserve"> </w:t>
      </w:r>
      <w:r w:rsidRPr="00BF4EB9">
        <w:t>n’avait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brisé.</w:t>
      </w:r>
    </w:p>
    <w:p w:rsidR="00DB758D" w:rsidRPr="00BF4EB9" w:rsidRDefault="00DB758D" w:rsidP="009D5575">
      <w:pPr>
        <w:pStyle w:val="H1G"/>
      </w:pPr>
      <w:r w:rsidRPr="00BF4EB9">
        <w:rPr>
          <w:sz w:val="22"/>
          <w:szCs w:val="22"/>
        </w:rPr>
        <w:tab/>
      </w:r>
      <w:r w:rsidRPr="00BF4EB9">
        <w:t>D.</w:t>
      </w:r>
      <w:r w:rsidRPr="00BF4EB9">
        <w:tab/>
        <w:t>Hommages</w:t>
      </w:r>
    </w:p>
    <w:p w:rsidR="00DB758D" w:rsidRPr="00BF4EB9" w:rsidRDefault="00DB758D" w:rsidP="009D5575">
      <w:pPr>
        <w:pStyle w:val="SingleTxtG"/>
      </w:pPr>
      <w:r w:rsidRPr="00BF4EB9">
        <w:t>84.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informé</w:t>
      </w:r>
      <w:r w:rsidR="004B7086">
        <w:t xml:space="preserve"> </w:t>
      </w:r>
      <w:r w:rsidRPr="00BF4EB9">
        <w:t>que</w:t>
      </w:r>
      <w:r w:rsidR="004B7086">
        <w:t xml:space="preserve"> M. </w:t>
      </w:r>
      <w:r w:rsidRPr="00BF4EB9">
        <w:t>J.</w:t>
      </w:r>
      <w:r w:rsidR="004B7086">
        <w:t xml:space="preserve"> </w:t>
      </w:r>
      <w:proofErr w:type="spellStart"/>
      <w:r w:rsidRPr="00BF4EB9">
        <w:t>Stokreef</w:t>
      </w:r>
      <w:proofErr w:type="spellEnd"/>
      <w:r w:rsidR="004B7086">
        <w:t xml:space="preserve"> </w:t>
      </w:r>
      <w:r w:rsidRPr="00BF4EB9">
        <w:t>(Pays-Bas)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participerait</w:t>
      </w:r>
      <w:r w:rsidR="004B7086">
        <w:t xml:space="preserve"> </w:t>
      </w:r>
      <w:r w:rsidRPr="00BF4EB9">
        <w:t>plus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AE317A" w:rsidRPr="00BF4EB9">
        <w:rPr>
          <w:iCs/>
        </w:rPr>
        <w:t>Groupe</w:t>
      </w:r>
      <w:r w:rsidR="00AE317A">
        <w:rPr>
          <w:iCs/>
        </w:rPr>
        <w:t xml:space="preserve"> </w:t>
      </w:r>
      <w:r w:rsidR="00AE317A" w:rsidRPr="00BF4EB9">
        <w:rPr>
          <w:iCs/>
        </w:rPr>
        <w:t>de</w:t>
      </w:r>
      <w:r w:rsidR="00AE317A">
        <w:rPr>
          <w:iCs/>
        </w:rPr>
        <w:t xml:space="preserve"> </w:t>
      </w:r>
      <w:r w:rsidR="00AE317A" w:rsidRPr="00BF4EB9">
        <w:rPr>
          <w:iCs/>
        </w:rPr>
        <w:t>travail</w:t>
      </w:r>
      <w:r w:rsidRPr="00BF4EB9">
        <w:t>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l’a</w:t>
      </w:r>
      <w:r w:rsidR="004B7086">
        <w:t xml:space="preserve"> </w:t>
      </w:r>
      <w:r w:rsidRPr="00BF4EB9">
        <w:t>remercié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importantes</w:t>
      </w:r>
      <w:r w:rsidR="004B7086">
        <w:t xml:space="preserve"> </w:t>
      </w:r>
      <w:r w:rsidRPr="00BF4EB9">
        <w:t>contributions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GRRF</w:t>
      </w:r>
      <w:r w:rsidR="004B7086">
        <w:t xml:space="preserve"> </w:t>
      </w:r>
      <w:r w:rsidRPr="00BF4EB9">
        <w:t>puis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="00AE317A" w:rsidRPr="00BF4EB9">
        <w:rPr>
          <w:iCs/>
        </w:rPr>
        <w:t>Groupe</w:t>
      </w:r>
      <w:r w:rsidR="00AE317A">
        <w:rPr>
          <w:iCs/>
        </w:rPr>
        <w:t xml:space="preserve"> </w:t>
      </w:r>
      <w:r w:rsidR="00AE317A" w:rsidRPr="00BF4EB9">
        <w:rPr>
          <w:iCs/>
        </w:rPr>
        <w:t>de</w:t>
      </w:r>
      <w:r w:rsidR="00AE317A">
        <w:rPr>
          <w:iCs/>
        </w:rPr>
        <w:t xml:space="preserve"> </w:t>
      </w:r>
      <w:r w:rsidR="00AE317A" w:rsidRPr="00BF4EB9">
        <w:rPr>
          <w:iCs/>
        </w:rPr>
        <w:t>travail</w:t>
      </w:r>
      <w:r w:rsidR="00AE317A" w:rsidRPr="00BF4EB9">
        <w:t xml:space="preserve"> </w:t>
      </w:r>
      <w:r w:rsidRPr="00BF4EB9">
        <w:t>au</w:t>
      </w:r>
      <w:r w:rsidR="004B7086">
        <w:t xml:space="preserve"> </w:t>
      </w:r>
      <w:r w:rsidRPr="00BF4EB9">
        <w:t>cours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dernières</w:t>
      </w:r>
      <w:r w:rsidR="004B7086">
        <w:t xml:space="preserve"> </w:t>
      </w:r>
      <w:r w:rsidRPr="00BF4EB9">
        <w:t>décennies.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lui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souhaité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heureuse</w:t>
      </w:r>
      <w:r w:rsidR="004B7086">
        <w:t xml:space="preserve"> </w:t>
      </w:r>
      <w:r w:rsidRPr="00BF4EB9">
        <w:t>retraite.</w:t>
      </w:r>
    </w:p>
    <w:p w:rsidR="00DB758D" w:rsidRPr="00BF4EB9" w:rsidRDefault="00DB758D" w:rsidP="009D5575">
      <w:pPr>
        <w:pStyle w:val="HChG"/>
      </w:pPr>
      <w:r w:rsidRPr="00BF4EB9">
        <w:rPr>
          <w:sz w:val="22"/>
          <w:szCs w:val="22"/>
        </w:rPr>
        <w:lastRenderedPageBreak/>
        <w:tab/>
      </w:r>
      <w:r w:rsidRPr="00BF4EB9">
        <w:t>XIV.</w:t>
      </w:r>
      <w:r w:rsidRPr="00BF4EB9">
        <w:tab/>
      </w:r>
      <w:bookmarkStart w:id="19" w:name="_Hlk61258510"/>
      <w:r w:rsidRPr="00BF4EB9">
        <w:t>Élection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bureau</w:t>
      </w:r>
      <w:r w:rsidR="004B7086">
        <w:t xml:space="preserve"> </w:t>
      </w:r>
      <w:bookmarkEnd w:id="19"/>
      <w:r w:rsidRPr="00BF4EB9">
        <w:t>(point</w:t>
      </w:r>
      <w:r w:rsidR="004B7086">
        <w:t xml:space="preserve"> </w:t>
      </w:r>
      <w:r w:rsidRPr="00BF4EB9">
        <w:t>13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jour)</w:t>
      </w:r>
    </w:p>
    <w:p w:rsidR="00DB758D" w:rsidRPr="00BF4EB9" w:rsidRDefault="00DB758D" w:rsidP="009D5575">
      <w:pPr>
        <w:pStyle w:val="SingleTxtG"/>
      </w:pPr>
      <w:r w:rsidRPr="00BF4EB9">
        <w:t>85.</w:t>
      </w:r>
      <w:r w:rsidRPr="00BF4EB9">
        <w:tab/>
        <w:t>Conformément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article</w:t>
      </w:r>
      <w:r w:rsidR="004B7086">
        <w:t xml:space="preserve"> </w:t>
      </w:r>
      <w:r w:rsidRPr="00BF4EB9">
        <w:t>37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intérieur</w:t>
      </w:r>
      <w:r w:rsidR="004B7086">
        <w:t xml:space="preserve"> </w:t>
      </w:r>
      <w:r w:rsidRPr="00BF4EB9">
        <w:t>(TRANS/WP.29/690</w:t>
      </w:r>
      <w:r w:rsidR="004B7086">
        <w:t xml:space="preserve"> </w:t>
      </w:r>
      <w:r w:rsidRPr="00BF4EB9">
        <w:t>tel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modifié),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procédé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l’élection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son</w:t>
      </w:r>
      <w:r w:rsidR="004B7086">
        <w:t xml:space="preserve"> </w:t>
      </w:r>
      <w:r w:rsidRPr="00BF4EB9">
        <w:t>bureau.</w:t>
      </w:r>
    </w:p>
    <w:p w:rsidR="009D5575" w:rsidRDefault="00DB758D" w:rsidP="009D5575">
      <w:pPr>
        <w:pStyle w:val="SingleTxtG"/>
      </w:pPr>
      <w:r w:rsidRPr="00BF4EB9">
        <w:t>86.</w:t>
      </w:r>
      <w:r w:rsidRPr="00BF4EB9">
        <w:tab/>
      </w:r>
      <w:r w:rsidR="004B7086">
        <w:t>M. </w:t>
      </w:r>
      <w:r w:rsidRPr="00BF4EB9">
        <w:t>R.</w:t>
      </w:r>
      <w:r w:rsidR="004B7086">
        <w:t xml:space="preserve"> </w:t>
      </w:r>
      <w:proofErr w:type="spellStart"/>
      <w:r w:rsidRPr="00BF4EB9">
        <w:t>Damm</w:t>
      </w:r>
      <w:proofErr w:type="spellEnd"/>
      <w:r w:rsidR="004B7086">
        <w:t xml:space="preserve"> </w:t>
      </w:r>
      <w:r w:rsidRPr="00BF4EB9">
        <w:t>(Allemagne)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élu</w:t>
      </w:r>
      <w:r w:rsidR="004B7086">
        <w:t xml:space="preserve"> </w:t>
      </w:r>
      <w:r w:rsidRPr="00BF4EB9">
        <w:t>Président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AE317A" w:rsidRPr="00BF4EB9">
        <w:rPr>
          <w:iCs/>
        </w:rPr>
        <w:t>Groupe</w:t>
      </w:r>
      <w:r w:rsidR="00AE317A">
        <w:rPr>
          <w:iCs/>
        </w:rPr>
        <w:t xml:space="preserve"> </w:t>
      </w:r>
      <w:r w:rsidR="00AE317A" w:rsidRPr="00BF4EB9">
        <w:rPr>
          <w:iCs/>
        </w:rPr>
        <w:t>de</w:t>
      </w:r>
      <w:r w:rsidR="00AE317A">
        <w:rPr>
          <w:iCs/>
        </w:rPr>
        <w:t xml:space="preserve"> </w:t>
      </w:r>
      <w:r w:rsidR="00AE317A" w:rsidRPr="00BF4EB9">
        <w:rPr>
          <w:iCs/>
        </w:rPr>
        <w:t>travail</w:t>
      </w:r>
      <w:r w:rsidR="00AE317A" w:rsidRPr="00BF4EB9">
        <w:t xml:space="preserve"> </w:t>
      </w:r>
      <w:r w:rsidRPr="00BF4EB9">
        <w:t>en</w:t>
      </w:r>
      <w:r w:rsidR="004B7086">
        <w:t xml:space="preserve"> </w:t>
      </w:r>
      <w:r w:rsidRPr="00BF4EB9">
        <w:t>2021.</w:t>
      </w:r>
      <w:r w:rsidR="004B7086">
        <w:t xml:space="preserve"> </w:t>
      </w:r>
      <w:r w:rsidR="005A1351">
        <w:t>M</w:t>
      </w:r>
      <w:r w:rsidR="005A1351">
        <w:rPr>
          <w:vertAlign w:val="superscript"/>
        </w:rPr>
        <w:t>me</w:t>
      </w:r>
      <w:r w:rsidR="005A1351">
        <w:t> </w:t>
      </w:r>
      <w:r w:rsidRPr="00BF4EB9">
        <w:t>C.</w:t>
      </w:r>
      <w:r w:rsidR="005A1351">
        <w:t> </w:t>
      </w:r>
      <w:r w:rsidRPr="00BF4EB9">
        <w:t>Chen</w:t>
      </w:r>
      <w:r w:rsidR="004B7086">
        <w:t xml:space="preserve"> </w:t>
      </w:r>
      <w:r w:rsidRPr="00BF4EB9">
        <w:t>(Chine)</w:t>
      </w:r>
      <w:r w:rsidR="004B7086">
        <w:t xml:space="preserve"> </w:t>
      </w:r>
      <w:r w:rsidRPr="00BF4EB9">
        <w:t>et</w:t>
      </w:r>
      <w:r w:rsidR="004B7086">
        <w:t xml:space="preserve"> M. </w:t>
      </w:r>
      <w:r w:rsidRPr="00BF4EB9">
        <w:t>T.</w:t>
      </w:r>
      <w:r w:rsidR="004B7086">
        <w:t xml:space="preserve"> </w:t>
      </w:r>
      <w:proofErr w:type="spellStart"/>
      <w:r w:rsidRPr="00BF4EB9">
        <w:t>Onoda</w:t>
      </w:r>
      <w:proofErr w:type="spellEnd"/>
      <w:r w:rsidR="004B7086">
        <w:t xml:space="preserve"> </w:t>
      </w:r>
      <w:r w:rsidRPr="00BF4EB9">
        <w:t>(Japon)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élus</w:t>
      </w:r>
      <w:r w:rsidR="004B7086">
        <w:t xml:space="preserve"> </w:t>
      </w:r>
      <w:r w:rsidRPr="00BF4EB9">
        <w:t>Vice-</w:t>
      </w:r>
      <w:r w:rsidR="00AE317A" w:rsidRPr="00BF4EB9">
        <w:t>Présidents</w:t>
      </w:r>
      <w:r w:rsidR="00AE317A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sessions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AE317A" w:rsidRPr="00BF4EB9">
        <w:rPr>
          <w:iCs/>
        </w:rPr>
        <w:t>Groupe</w:t>
      </w:r>
      <w:r w:rsidR="00AE317A">
        <w:rPr>
          <w:iCs/>
        </w:rPr>
        <w:t xml:space="preserve"> </w:t>
      </w:r>
      <w:r w:rsidR="00AE317A" w:rsidRPr="00BF4EB9">
        <w:rPr>
          <w:iCs/>
        </w:rPr>
        <w:t>de</w:t>
      </w:r>
      <w:r w:rsidR="00AE317A">
        <w:rPr>
          <w:iCs/>
        </w:rPr>
        <w:t xml:space="preserve"> </w:t>
      </w:r>
      <w:r w:rsidR="00AE317A" w:rsidRPr="00BF4EB9">
        <w:rPr>
          <w:iCs/>
        </w:rPr>
        <w:t>travail</w:t>
      </w:r>
      <w:r w:rsidR="00AE317A" w:rsidRPr="00BF4EB9">
        <w:t xml:space="preserve"> </w:t>
      </w:r>
      <w:r w:rsidRPr="00BF4EB9">
        <w:t>en</w:t>
      </w:r>
      <w:r w:rsidR="004B7086">
        <w:t xml:space="preserve"> </w:t>
      </w:r>
      <w:r w:rsidRPr="00BF4EB9">
        <w:t>2021.</w:t>
      </w:r>
    </w:p>
    <w:p w:rsidR="009D5575" w:rsidRDefault="009D5575" w:rsidP="009D5575">
      <w:pPr>
        <w:pStyle w:val="HChG"/>
      </w:pPr>
      <w:r>
        <w:br w:type="page"/>
      </w:r>
    </w:p>
    <w:p w:rsidR="00DB758D" w:rsidRPr="005A1351" w:rsidRDefault="00023E07" w:rsidP="009D5575">
      <w:pPr>
        <w:pStyle w:val="HChG"/>
      </w:pPr>
      <w:r w:rsidRPr="005A1351">
        <w:lastRenderedPageBreak/>
        <w:t>Annexe</w:t>
      </w:r>
      <w:r w:rsidR="004B7086" w:rsidRPr="005A1351">
        <w:t xml:space="preserve"> </w:t>
      </w:r>
      <w:r w:rsidR="00DB758D" w:rsidRPr="005A1351">
        <w:t>I</w:t>
      </w:r>
    </w:p>
    <w:p w:rsidR="00DB758D" w:rsidRPr="005A1351" w:rsidRDefault="00DB758D" w:rsidP="009D5575">
      <w:pPr>
        <w:pStyle w:val="SingleTxtG"/>
        <w:jc w:val="right"/>
      </w:pPr>
      <w:bookmarkStart w:id="20" w:name="_Toc400974188"/>
      <w:r w:rsidRPr="005A1351">
        <w:t>[</w:t>
      </w:r>
      <w:r w:rsidR="009D5575" w:rsidRPr="005A1351">
        <w:t>Anglais</w:t>
      </w:r>
      <w:r w:rsidR="004B7086" w:rsidRPr="005A1351">
        <w:t xml:space="preserve"> </w:t>
      </w:r>
      <w:r w:rsidR="009D5575" w:rsidRPr="005A1351">
        <w:t>seulement</w:t>
      </w:r>
      <w:r w:rsidRPr="005A1351">
        <w:t>]</w:t>
      </w:r>
    </w:p>
    <w:bookmarkEnd w:id="20"/>
    <w:p w:rsidR="009D5575" w:rsidRPr="009D5575" w:rsidRDefault="009D5575" w:rsidP="009D5575">
      <w:pPr>
        <w:pStyle w:val="HChG"/>
        <w:rPr>
          <w:lang w:val="en-US"/>
        </w:rPr>
      </w:pPr>
      <w:r w:rsidRPr="009D5575">
        <w:rPr>
          <w:lang w:val="en-US"/>
        </w:rPr>
        <w:tab/>
      </w:r>
      <w:r w:rsidRPr="009D5575">
        <w:rPr>
          <w:lang w:val="en-US"/>
        </w:rPr>
        <w:tab/>
        <w:t>List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of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informal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documents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(GRVA-07-…)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considered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during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the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session</w:t>
      </w:r>
    </w:p>
    <w:tbl>
      <w:tblPr>
        <w:tblW w:w="8655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1"/>
        <w:gridCol w:w="7"/>
        <w:gridCol w:w="7223"/>
        <w:gridCol w:w="857"/>
      </w:tblGrid>
      <w:tr w:rsidR="009D5575" w:rsidRPr="009D5575" w:rsidTr="00360239">
        <w:trPr>
          <w:gridBefore w:val="1"/>
          <w:wBefore w:w="7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D5575" w:rsidRPr="009D5575" w:rsidRDefault="009D5575" w:rsidP="00360239">
            <w:pPr>
              <w:pStyle w:val="Notedebasdepage"/>
              <w:keepNext/>
              <w:keepLines/>
              <w:ind w:left="113" w:right="34" w:firstLine="0"/>
              <w:jc w:val="center"/>
              <w:rPr>
                <w:i/>
                <w:lang w:val="en-US"/>
              </w:rPr>
            </w:pPr>
            <w:bookmarkStart w:id="21" w:name="_Hlk37947572"/>
            <w:r w:rsidRPr="009D5575">
              <w:rPr>
                <w:i/>
                <w:lang w:val="en-US"/>
              </w:rPr>
              <w:t>No.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D5575" w:rsidRPr="009D5575" w:rsidRDefault="009D5575" w:rsidP="00360239">
            <w:pPr>
              <w:pStyle w:val="Notedebasdepage"/>
              <w:keepNext/>
              <w:keepLines/>
              <w:ind w:left="113" w:right="34" w:firstLine="0"/>
              <w:rPr>
                <w:i/>
                <w:lang w:val="en-US"/>
              </w:rPr>
            </w:pPr>
            <w:r w:rsidRPr="009D5575">
              <w:rPr>
                <w:i/>
                <w:lang w:val="en-US"/>
              </w:rPr>
              <w:t>(Author)</w:t>
            </w:r>
            <w:r w:rsidR="004B7086">
              <w:rPr>
                <w:i/>
                <w:lang w:val="en-US"/>
              </w:rPr>
              <w:t xml:space="preserve"> </w:t>
            </w:r>
            <w:r w:rsidRPr="009D5575">
              <w:rPr>
                <w:i/>
                <w:lang w:val="en-US"/>
              </w:rPr>
              <w:t>Title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D5575" w:rsidRPr="009D5575" w:rsidRDefault="009D5575" w:rsidP="00360239">
            <w:pPr>
              <w:pStyle w:val="Notedebasdepage"/>
              <w:keepNext/>
              <w:keepLines/>
              <w:ind w:left="113" w:right="34" w:firstLine="0"/>
              <w:jc w:val="center"/>
              <w:rPr>
                <w:i/>
                <w:lang w:val="en-US"/>
              </w:rPr>
            </w:pPr>
            <w:r w:rsidRPr="009D5575">
              <w:rPr>
                <w:i/>
                <w:lang w:val="en-US"/>
              </w:rPr>
              <w:t>Follow-up</w:t>
            </w:r>
          </w:p>
        </w:tc>
      </w:tr>
      <w:tr w:rsidR="009D5575" w:rsidRPr="009D5575" w:rsidTr="00360239"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D5575" w:rsidRPr="009D5575" w:rsidRDefault="009D5575" w:rsidP="00360239">
            <w:pPr>
              <w:pStyle w:val="Notedebasdepage"/>
              <w:spacing w:before="30" w:after="30"/>
              <w:ind w:left="113" w:right="34" w:firstLine="0"/>
              <w:rPr>
                <w:rFonts w:asciiTheme="majorBidi" w:hAnsiTheme="majorBidi" w:cstheme="majorBidi"/>
                <w:sz w:val="20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(Chair)</w:t>
            </w:r>
            <w:r w:rsidR="004B7086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Running</w:t>
            </w:r>
            <w:r w:rsidR="004B7086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order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5575" w:rsidRPr="009D5575" w:rsidRDefault="009D5575" w:rsidP="00360239">
            <w:pPr>
              <w:widowControl w:val="0"/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(Secretariat)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Information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virtual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informal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meeting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place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seventh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GRVA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session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(Germany)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establishing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new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IWG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AEBS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Heavy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Vehicles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4r1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(CS/OTA)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Interpretation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Document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[155]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A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(Czech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Republic)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ECE/TRANS/WP.29/GRVA/2020/36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(EC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Russian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Federation)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supplement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(Russian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Federation)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Identified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gaps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provisions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(Russian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Federation)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supplement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[155]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CSMS)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Supplement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3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152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Supplement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01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series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No.152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supplement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02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series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No.152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Justification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two-step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approach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AEBS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"car-to-bicycle"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(Secretariat)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Highlights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March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June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2020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sessions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WP.29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bookmarkStart w:id="22" w:name="_Hlk37947713"/>
            <w:r w:rsidRPr="009D557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(Secretariat)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Draft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revision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UNECE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roadmap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ITS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bookmarkEnd w:id="22"/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(AVERE)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(Steering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equipment)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B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(AVERE)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(Steering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equipment)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Alternative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actuation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remote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control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device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use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RCP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B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ECE/TRANS/WP.29/GRVA/2020/22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ECE/TRANS/WP.29/GRVA/2020/22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ECE/TRANS/WP.29/GRVA/2020/22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clarifications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(Steering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equipment)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Emergency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assist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/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RMF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  <w:hideMark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Lane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Keeping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Assist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"Hands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Off"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03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series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(ESF)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(DETA)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Guideline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use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DETA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per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[155]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CSMS)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ALKS: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Scope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extension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commercial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vehicles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buses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ECE/TRANS/WP.29/GRVA/2020/32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clarifications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ACSF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B1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bookmarkStart w:id="23" w:name="_Hlk37947740"/>
            <w:r w:rsidRPr="009D5575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editorial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corrections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bookmarkEnd w:id="23"/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Scope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lastRenderedPageBreak/>
              <w:t>extension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lastRenderedPageBreak/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clarifications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ACSF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B1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(ITU/FGAI4AD)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Update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ITU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focus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group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"AI4AD"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related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activities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34r2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(Secretariat)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Updated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consolidated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agenda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virtual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informal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session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(in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place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seventh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GRVA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session)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incl.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informal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documents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received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until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16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September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2020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(ISO)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ISO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11992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OICA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comments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WP.29-181-10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(France)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Nos.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[156]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(CS+CSMS)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B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(France)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Virtual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testing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methodology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(France)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Request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interpretation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regarding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approaching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emergency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vehicles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(Japan)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GRVA-07-03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(FIA)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Protection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profile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automated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connected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vehicles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(Germany)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How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proceed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with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ADAS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continuous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automation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up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Level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within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79?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ACSF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Category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provisions,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with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main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aim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include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truck-trailer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data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transmission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B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(CITA)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ECE/TRANS/WP.29/GRVA/2020/29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(ROK)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ECE/TRANS/WP.29/GRVA/2020/21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ECE/TRANS/WP.29/GRVA/2020/36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Supporting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Presentation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ECE/TRANS/WP.29/GRVA/2020/31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(CS/OTA)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Report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current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activities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IWG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CS/OTA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(CS/OTA)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(tracked)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A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(CS/OTA)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ECE/TRANS/WP.29/GRVA/2020/29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(clean)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supplements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01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02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series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90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(Replacement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braking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parts)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B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ECE/TRANS/WP.29/GRVA/2020/35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(FRAV)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Status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report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IWG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FRAV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(VMAD)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Status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report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IWG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VMAD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(EC)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(EDR/DSSAD)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Review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existing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national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/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regional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activities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way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forward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DSSAD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(EDR/DSSAD)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Status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report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IWG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EDR/DSSAD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Comments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GRVA-07-06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(EDR/DSSAD)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document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ECE/TRANS/WP.29/2020/123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(EDR/DSSAD)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document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ECE/TRANS/WP.29/2020/100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(UK)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(Germany)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Introducing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two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ALKS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(Canada)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ECE/TRANS/WP.29/GRVA/2020/34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(HF-IRADS/IAE)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HF-IRADS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position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paper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Human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factors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challenges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remote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support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control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(Also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Informal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document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8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September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2020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session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WP.1)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(Poland)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13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(Heavy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vehicle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braking)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B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13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and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EMB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69r1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(OICA/CLEPA)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[157]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(ALKS)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(AEBS)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Presentation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of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submitted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by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the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IWG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AEBS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ECE/TRANS/WP.29/GRVA/2020/30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-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MVC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Recommended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UN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Regulation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No.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152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implementation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73r1</w:t>
            </w:r>
          </w:p>
        </w:tc>
        <w:tc>
          <w:tcPr>
            <w:tcW w:w="7230" w:type="dxa"/>
            <w:gridSpan w:val="2"/>
            <w:vAlign w:val="bottom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(OICA)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Proposal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for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amendments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to</w:t>
            </w:r>
            <w:r w:rsidR="004B7086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 w:rsidRPr="009D5575">
              <w:rPr>
                <w:rFonts w:asciiTheme="majorBidi" w:hAnsiTheme="majorBidi" w:cstheme="majorBidi"/>
                <w:color w:val="000000"/>
                <w:lang w:val="en-US"/>
              </w:rPr>
              <w:t>ECE/TRANS/WP.29/GRVA/202/36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7230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lang w:val="en-US"/>
              </w:rPr>
              <w:t>(OICA)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Visualization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-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Transitional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Provisions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according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to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ECE/TRANS/WP.29/GRVA/2020/28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230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lang w:val="en-US"/>
              </w:rPr>
              <w:t>(OICA)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Supporting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presentation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for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GRVA-07-73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7230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lang w:val="en-US"/>
              </w:rPr>
              <w:t>(Secretariat)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List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of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decisions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for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the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silence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procedures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  <w:tr w:rsidR="009D5575" w:rsidRPr="009D5575" w:rsidTr="00360239">
        <w:tc>
          <w:tcPr>
            <w:tcW w:w="568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230" w:type="dxa"/>
            <w:gridSpan w:val="2"/>
          </w:tcPr>
          <w:p w:rsidR="009D5575" w:rsidRPr="009D5575" w:rsidRDefault="009D5575" w:rsidP="00360239">
            <w:pPr>
              <w:widowControl w:val="0"/>
              <w:spacing w:before="30" w:after="30"/>
              <w:ind w:left="113"/>
              <w:rPr>
                <w:rFonts w:asciiTheme="majorBidi" w:hAnsiTheme="majorBidi" w:cstheme="majorBidi"/>
                <w:lang w:val="en-US"/>
              </w:rPr>
            </w:pPr>
            <w:r w:rsidRPr="009D5575">
              <w:rPr>
                <w:lang w:val="en-US"/>
              </w:rPr>
              <w:t>(Israel)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Ride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Vision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-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saving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rider's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life</w:t>
            </w:r>
          </w:p>
        </w:tc>
        <w:tc>
          <w:tcPr>
            <w:tcW w:w="857" w:type="dxa"/>
          </w:tcPr>
          <w:p w:rsidR="009D5575" w:rsidRPr="009D5575" w:rsidRDefault="009D5575" w:rsidP="00360239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  <w:lang w:val="en-US"/>
              </w:rPr>
            </w:pPr>
            <w:r w:rsidRPr="009D5575">
              <w:rPr>
                <w:sz w:val="18"/>
                <w:szCs w:val="18"/>
                <w:lang w:val="en-US"/>
              </w:rPr>
              <w:t>C</w:t>
            </w:r>
          </w:p>
        </w:tc>
      </w:tr>
    </w:tbl>
    <w:bookmarkEnd w:id="21"/>
    <w:p w:rsidR="009D5575" w:rsidRPr="009D5575" w:rsidRDefault="009D5575" w:rsidP="009D5575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134"/>
        <w:jc w:val="both"/>
        <w:rPr>
          <w:i/>
          <w:sz w:val="18"/>
          <w:szCs w:val="18"/>
          <w:lang w:val="en-US"/>
        </w:rPr>
      </w:pPr>
      <w:r w:rsidRPr="009D5575">
        <w:rPr>
          <w:i/>
          <w:sz w:val="18"/>
          <w:szCs w:val="18"/>
          <w:lang w:val="en-US"/>
        </w:rPr>
        <w:t>Notes:</w:t>
      </w:r>
    </w:p>
    <w:p w:rsidR="009D5575" w:rsidRPr="009D5575" w:rsidRDefault="009D5575" w:rsidP="009D5575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 w:after="18"/>
        <w:ind w:left="1134"/>
        <w:rPr>
          <w:sz w:val="18"/>
          <w:szCs w:val="18"/>
          <w:lang w:val="en-US"/>
        </w:rPr>
      </w:pPr>
      <w:r w:rsidRPr="009D5575">
        <w:rPr>
          <w:sz w:val="18"/>
          <w:szCs w:val="18"/>
          <w:lang w:val="en-US"/>
        </w:rPr>
        <w:t>Administrative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follow-up,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for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the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secretariat,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with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the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informal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documents:</w:t>
      </w:r>
      <w:r w:rsidRPr="009D5575">
        <w:rPr>
          <w:sz w:val="18"/>
          <w:szCs w:val="18"/>
          <w:lang w:val="en-US"/>
        </w:rPr>
        <w:br/>
        <w:t>A</w:t>
      </w:r>
      <w:r w:rsidRPr="009D5575">
        <w:rPr>
          <w:sz w:val="18"/>
          <w:szCs w:val="18"/>
          <w:lang w:val="en-US"/>
        </w:rPr>
        <w:tab/>
        <w:t>Adopted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and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to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be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forwarded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to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WP.29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as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informal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document</w:t>
      </w:r>
      <w:r w:rsidR="008C5C24">
        <w:rPr>
          <w:sz w:val="18"/>
          <w:szCs w:val="18"/>
          <w:lang w:val="en-US"/>
        </w:rPr>
        <w:t> ;</w:t>
      </w:r>
    </w:p>
    <w:p w:rsidR="009D5575" w:rsidRPr="009D5575" w:rsidRDefault="009D5575" w:rsidP="009D5575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 w:after="18"/>
        <w:ind w:left="1134"/>
        <w:rPr>
          <w:sz w:val="18"/>
          <w:szCs w:val="18"/>
          <w:lang w:val="en-US"/>
        </w:rPr>
      </w:pPr>
      <w:r w:rsidRPr="009D5575">
        <w:rPr>
          <w:sz w:val="18"/>
          <w:szCs w:val="18"/>
          <w:lang w:val="en-US"/>
        </w:rPr>
        <w:t>B</w:t>
      </w:r>
      <w:r w:rsidRPr="009D5575">
        <w:rPr>
          <w:sz w:val="18"/>
          <w:szCs w:val="18"/>
          <w:lang w:val="en-US"/>
        </w:rPr>
        <w:tab/>
        <w:t>Resume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consideration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on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the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basis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of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a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document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with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an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official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symbol</w:t>
      </w:r>
      <w:r w:rsidR="008C5C24">
        <w:rPr>
          <w:sz w:val="18"/>
          <w:szCs w:val="18"/>
          <w:lang w:val="en-US"/>
        </w:rPr>
        <w:t> ;</w:t>
      </w:r>
    </w:p>
    <w:p w:rsidR="009D5575" w:rsidRPr="004B7086" w:rsidRDefault="009D5575" w:rsidP="009D5575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 w:after="18"/>
        <w:ind w:left="1134"/>
        <w:rPr>
          <w:sz w:val="18"/>
          <w:szCs w:val="18"/>
        </w:rPr>
      </w:pPr>
      <w:r w:rsidRPr="004B7086">
        <w:rPr>
          <w:sz w:val="18"/>
          <w:szCs w:val="18"/>
        </w:rPr>
        <w:t>C</w:t>
      </w:r>
      <w:r w:rsidRPr="004B7086">
        <w:rPr>
          <w:sz w:val="18"/>
          <w:szCs w:val="18"/>
        </w:rPr>
        <w:tab/>
      </w:r>
      <w:proofErr w:type="spellStart"/>
      <w:r w:rsidRPr="004B7086">
        <w:rPr>
          <w:sz w:val="18"/>
          <w:szCs w:val="18"/>
        </w:rPr>
        <w:t>Consideration</w:t>
      </w:r>
      <w:proofErr w:type="spellEnd"/>
      <w:r w:rsidR="004B7086" w:rsidRPr="004B7086">
        <w:rPr>
          <w:sz w:val="18"/>
          <w:szCs w:val="18"/>
        </w:rPr>
        <w:t xml:space="preserve"> </w:t>
      </w:r>
      <w:proofErr w:type="spellStart"/>
      <w:r w:rsidRPr="004B7086">
        <w:rPr>
          <w:sz w:val="18"/>
          <w:szCs w:val="18"/>
        </w:rPr>
        <w:t>completed</w:t>
      </w:r>
      <w:proofErr w:type="spellEnd"/>
      <w:r w:rsidRPr="004B7086">
        <w:rPr>
          <w:sz w:val="18"/>
          <w:szCs w:val="18"/>
        </w:rPr>
        <w:t>.</w:t>
      </w:r>
    </w:p>
    <w:p w:rsidR="009D5575" w:rsidRDefault="009D557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758D" w:rsidRPr="00BF4EB9" w:rsidRDefault="00023E07" w:rsidP="009D5575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II</w:t>
      </w:r>
    </w:p>
    <w:p w:rsidR="00DB758D" w:rsidRDefault="00DB758D" w:rsidP="009D5575">
      <w:pPr>
        <w:pStyle w:val="SingleTxtG"/>
        <w:jc w:val="right"/>
      </w:pPr>
      <w:r w:rsidRPr="00BF4EB9">
        <w:t>[</w:t>
      </w:r>
      <w:r w:rsidR="009D5575">
        <w:t>Anglais</w:t>
      </w:r>
      <w:r w:rsidR="004B7086">
        <w:t xml:space="preserve"> </w:t>
      </w:r>
      <w:r w:rsidR="009D5575">
        <w:t>seulement</w:t>
      </w:r>
      <w:r w:rsidRPr="00BF4EB9">
        <w:t>]</w:t>
      </w:r>
    </w:p>
    <w:p w:rsidR="009D5575" w:rsidRPr="009D5575" w:rsidRDefault="009D5575" w:rsidP="009D5575">
      <w:pPr>
        <w:pStyle w:val="HChG"/>
        <w:rPr>
          <w:lang w:val="en-US"/>
        </w:rPr>
      </w:pPr>
      <w:r w:rsidRPr="004B7086">
        <w:tab/>
      </w:r>
      <w:r w:rsidRPr="004B7086">
        <w:tab/>
      </w:r>
      <w:r w:rsidRPr="009D5575">
        <w:rPr>
          <w:lang w:val="en-US"/>
        </w:rPr>
        <w:t>List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of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Informal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Working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Groups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reporting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to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GRVA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br/>
        <w:t>(as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of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September</w:t>
      </w:r>
      <w:r w:rsidR="004B7086">
        <w:rPr>
          <w:lang w:val="en-US"/>
        </w:rPr>
        <w:t xml:space="preserve"> </w:t>
      </w:r>
      <w:r w:rsidRPr="009D5575">
        <w:rPr>
          <w:lang w:val="en-US"/>
        </w:rPr>
        <w:t>2020)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2352"/>
        <w:gridCol w:w="1797"/>
        <w:gridCol w:w="1601"/>
      </w:tblGrid>
      <w:tr w:rsidR="009D5575" w:rsidRPr="009D5575" w:rsidTr="00360239">
        <w:trPr>
          <w:cantSplit/>
          <w:tblHeader/>
        </w:trPr>
        <w:tc>
          <w:tcPr>
            <w:tcW w:w="38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5575" w:rsidRPr="009D5575" w:rsidRDefault="009D5575" w:rsidP="00360239">
            <w:pPr>
              <w:spacing w:before="80" w:after="80" w:line="200" w:lineRule="exact"/>
              <w:ind w:right="113"/>
              <w:rPr>
                <w:i/>
                <w:sz w:val="16"/>
                <w:lang w:val="en-US" w:eastAsia="en-GB"/>
              </w:rPr>
            </w:pPr>
            <w:r w:rsidRPr="009D5575">
              <w:rPr>
                <w:i/>
                <w:sz w:val="16"/>
                <w:lang w:val="en-US" w:eastAsia="en-GB"/>
              </w:rPr>
              <w:t>Informal</w:t>
            </w:r>
            <w:r w:rsidR="004B7086">
              <w:rPr>
                <w:i/>
                <w:sz w:val="16"/>
                <w:lang w:val="en-US" w:eastAsia="en-GB"/>
              </w:rPr>
              <w:t xml:space="preserve"> </w:t>
            </w:r>
            <w:r w:rsidRPr="009D5575">
              <w:rPr>
                <w:i/>
                <w:sz w:val="16"/>
                <w:lang w:val="en-US" w:eastAsia="en-GB"/>
              </w:rPr>
              <w:t>Working</w:t>
            </w:r>
            <w:r w:rsidR="004B7086">
              <w:rPr>
                <w:i/>
                <w:sz w:val="16"/>
                <w:lang w:val="en-US" w:eastAsia="en-GB"/>
              </w:rPr>
              <w:t xml:space="preserve"> </w:t>
            </w:r>
            <w:r w:rsidRPr="009D5575">
              <w:rPr>
                <w:i/>
                <w:sz w:val="16"/>
                <w:lang w:val="en-US" w:eastAsia="en-GB"/>
              </w:rPr>
              <w:t>Group</w:t>
            </w:r>
            <w:r w:rsidR="004B7086">
              <w:rPr>
                <w:i/>
                <w:sz w:val="16"/>
                <w:lang w:val="en-US" w:eastAsia="en-GB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5575" w:rsidRPr="009D5575" w:rsidRDefault="009D5575" w:rsidP="00360239">
            <w:pPr>
              <w:spacing w:before="80" w:after="80" w:line="200" w:lineRule="exact"/>
              <w:ind w:right="113"/>
              <w:rPr>
                <w:i/>
                <w:sz w:val="16"/>
                <w:lang w:val="en-US" w:eastAsia="en-GB"/>
              </w:rPr>
            </w:pPr>
            <w:r w:rsidRPr="009D5575">
              <w:rPr>
                <w:i/>
                <w:sz w:val="16"/>
                <w:lang w:val="en-US" w:eastAsia="en-GB"/>
              </w:rPr>
              <w:t>Chair/Co-Chairs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5575" w:rsidRPr="009D5575" w:rsidRDefault="009D5575" w:rsidP="00360239">
            <w:pPr>
              <w:spacing w:before="80" w:after="80" w:line="200" w:lineRule="exact"/>
              <w:ind w:right="113"/>
              <w:rPr>
                <w:i/>
                <w:sz w:val="16"/>
                <w:lang w:val="en-US" w:eastAsia="en-GB"/>
              </w:rPr>
            </w:pPr>
            <w:r w:rsidRPr="009D5575">
              <w:rPr>
                <w:i/>
                <w:sz w:val="16"/>
                <w:lang w:val="en-US" w:eastAsia="en-GB"/>
              </w:rPr>
              <w:t>Country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D5575" w:rsidRPr="009D5575" w:rsidRDefault="009D5575" w:rsidP="00360239">
            <w:pPr>
              <w:spacing w:before="80" w:after="80" w:line="200" w:lineRule="exact"/>
              <w:ind w:right="113"/>
              <w:rPr>
                <w:i/>
                <w:sz w:val="16"/>
                <w:lang w:val="en-US" w:eastAsia="en-GB"/>
              </w:rPr>
            </w:pPr>
            <w:r w:rsidRPr="009D5575">
              <w:rPr>
                <w:i/>
                <w:sz w:val="16"/>
                <w:lang w:val="en-US" w:eastAsia="en-GB"/>
              </w:rPr>
              <w:t>Mandate</w:t>
            </w:r>
            <w:r w:rsidR="004B7086">
              <w:rPr>
                <w:i/>
                <w:sz w:val="16"/>
                <w:lang w:val="en-US" w:eastAsia="en-GB"/>
              </w:rPr>
              <w:t xml:space="preserve"> </w:t>
            </w:r>
            <w:r w:rsidRPr="009D5575">
              <w:rPr>
                <w:i/>
                <w:sz w:val="16"/>
                <w:lang w:val="en-US" w:eastAsia="en-GB"/>
              </w:rPr>
              <w:t>until</w:t>
            </w:r>
          </w:p>
        </w:tc>
      </w:tr>
      <w:tr w:rsidR="009D5575" w:rsidRPr="009D5575" w:rsidTr="00360239">
        <w:trPr>
          <w:cantSplit/>
          <w:trHeight w:hRule="exact" w:val="113"/>
        </w:trPr>
        <w:tc>
          <w:tcPr>
            <w:tcW w:w="3887" w:type="dxa"/>
            <w:tcBorders>
              <w:top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</w:p>
        </w:tc>
        <w:tc>
          <w:tcPr>
            <w:tcW w:w="2352" w:type="dxa"/>
            <w:tcBorders>
              <w:top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</w:p>
        </w:tc>
      </w:tr>
      <w:tr w:rsidR="009D5575" w:rsidRPr="009D5575" w:rsidTr="00360239">
        <w:trPr>
          <w:cantSplit/>
        </w:trPr>
        <w:tc>
          <w:tcPr>
            <w:tcW w:w="388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Functional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Requirements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for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Automated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and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Autonomous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Vehicles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(FRAV)</w:t>
            </w:r>
          </w:p>
        </w:tc>
        <w:tc>
          <w:tcPr>
            <w:tcW w:w="2352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Ms.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C.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Chen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lang w:val="en-US" w:eastAsia="en-GB"/>
              </w:rPr>
              <w:br/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Damm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vertAlign w:val="superscript"/>
                <w:lang w:val="en-US" w:eastAsia="en-GB"/>
              </w:rPr>
              <w:br/>
            </w:r>
            <w:r w:rsidRPr="009D5575">
              <w:rPr>
                <w:lang w:val="en-US" w:eastAsia="en-GB"/>
              </w:rPr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E.</w:t>
            </w:r>
            <w:r w:rsidR="004B7086">
              <w:rPr>
                <w:lang w:val="en-US" w:eastAsia="en-GB"/>
              </w:rPr>
              <w:t xml:space="preserve"> </w:t>
            </w:r>
            <w:proofErr w:type="spellStart"/>
            <w:r w:rsidRPr="009D5575">
              <w:rPr>
                <w:lang w:val="en-US" w:eastAsia="en-GB"/>
              </w:rPr>
              <w:t>Wondimneh</w:t>
            </w:r>
            <w:proofErr w:type="spellEnd"/>
            <w:r w:rsidRPr="009D5575">
              <w:rPr>
                <w:lang w:val="en-US" w:eastAsia="en-GB"/>
              </w:rPr>
              <w:t>.</w:t>
            </w:r>
            <w:r w:rsidRPr="009D5575">
              <w:rPr>
                <w:vertAlign w:val="superscript"/>
                <w:lang w:val="en-US"/>
              </w:rPr>
              <w:footnoteReference w:id="2"/>
            </w:r>
          </w:p>
        </w:tc>
        <w:tc>
          <w:tcPr>
            <w:tcW w:w="179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China</w:t>
            </w:r>
            <w:r w:rsidRPr="009D5575">
              <w:rPr>
                <w:lang w:val="en-US" w:eastAsia="en-GB"/>
              </w:rPr>
              <w:br/>
              <w:t>Germany</w:t>
            </w:r>
            <w:r w:rsidRPr="009D5575">
              <w:rPr>
                <w:lang w:val="en-US" w:eastAsia="en-GB"/>
              </w:rPr>
              <w:br/>
              <w:t>USA</w:t>
            </w:r>
          </w:p>
        </w:tc>
        <w:tc>
          <w:tcPr>
            <w:tcW w:w="1601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March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2020*</w:t>
            </w:r>
          </w:p>
        </w:tc>
      </w:tr>
      <w:tr w:rsidR="009D5575" w:rsidRPr="009D5575" w:rsidTr="00360239">
        <w:trPr>
          <w:cantSplit/>
        </w:trPr>
        <w:tc>
          <w:tcPr>
            <w:tcW w:w="388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Validation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Method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for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Automated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Driving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(VMAD)</w:t>
            </w:r>
          </w:p>
        </w:tc>
        <w:tc>
          <w:tcPr>
            <w:tcW w:w="2352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I.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Sow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lang w:val="en-US" w:eastAsia="en-GB"/>
              </w:rPr>
              <w:br/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T.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Onoda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lang w:val="en-US" w:eastAsia="en-GB"/>
              </w:rPr>
              <w:br/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P.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Striekwold</w:t>
            </w:r>
            <w:r w:rsidRPr="009D5575">
              <w:rPr>
                <w:vertAlign w:val="superscript"/>
                <w:lang w:val="en-US" w:eastAsia="en-GB"/>
              </w:rPr>
              <w:t>1</w:t>
            </w:r>
          </w:p>
        </w:tc>
        <w:tc>
          <w:tcPr>
            <w:tcW w:w="179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Canada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br/>
              <w:t>Japan</w:t>
            </w:r>
            <w:r w:rsidRPr="009D5575">
              <w:rPr>
                <w:lang w:val="en-US" w:eastAsia="en-GB"/>
              </w:rPr>
              <w:br/>
              <w:t>Netherlands</w:t>
            </w:r>
            <w:r w:rsidRPr="009D5575">
              <w:rPr>
                <w:lang w:val="en-US" w:eastAsia="en-GB"/>
              </w:rPr>
              <w:br/>
            </w:r>
          </w:p>
        </w:tc>
        <w:tc>
          <w:tcPr>
            <w:tcW w:w="1601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December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2020*</w:t>
            </w:r>
          </w:p>
        </w:tc>
      </w:tr>
      <w:tr w:rsidR="009D5575" w:rsidRPr="009D5575" w:rsidTr="00360239">
        <w:trPr>
          <w:cantSplit/>
        </w:trPr>
        <w:tc>
          <w:tcPr>
            <w:tcW w:w="388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Cyber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Security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and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Over-The-Air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software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updates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(CS/OTA)</w:t>
            </w:r>
          </w:p>
        </w:tc>
        <w:tc>
          <w:tcPr>
            <w:tcW w:w="2352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T.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Niikuni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lang w:val="en-US" w:eastAsia="en-GB"/>
              </w:rPr>
              <w:br/>
              <w:t>Dr.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Handley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vertAlign w:val="superscript"/>
                <w:lang w:val="en-US" w:eastAsia="en-GB"/>
              </w:rPr>
              <w:br/>
            </w:r>
            <w:r w:rsidRPr="009D5575">
              <w:rPr>
                <w:lang w:val="en-US" w:eastAsia="en-GB"/>
              </w:rPr>
              <w:t>Ms.</w:t>
            </w:r>
            <w:r w:rsidR="004B7086">
              <w:rPr>
                <w:lang w:val="en-US" w:eastAsia="en-GB"/>
              </w:rPr>
              <w:t xml:space="preserve"> M. </w:t>
            </w:r>
            <w:r w:rsidRPr="009D5575">
              <w:rPr>
                <w:lang w:val="en-US" w:eastAsia="en-GB"/>
              </w:rPr>
              <w:t>Versailles</w:t>
            </w:r>
            <w:r w:rsidRPr="009D5575">
              <w:rPr>
                <w:vertAlign w:val="superscript"/>
                <w:lang w:val="en-US" w:eastAsia="en-GB"/>
              </w:rPr>
              <w:t>1</w:t>
            </w:r>
          </w:p>
        </w:tc>
        <w:tc>
          <w:tcPr>
            <w:tcW w:w="179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Japan</w:t>
            </w:r>
            <w:r w:rsidRPr="009D5575">
              <w:rPr>
                <w:lang w:val="en-US" w:eastAsia="en-GB"/>
              </w:rPr>
              <w:br/>
              <w:t>UK</w:t>
            </w:r>
            <w:r w:rsidRPr="009D5575">
              <w:rPr>
                <w:lang w:val="en-US" w:eastAsia="en-GB"/>
              </w:rPr>
              <w:br/>
              <w:t>USA</w:t>
            </w:r>
          </w:p>
        </w:tc>
        <w:tc>
          <w:tcPr>
            <w:tcW w:w="1601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March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2022</w:t>
            </w:r>
          </w:p>
        </w:tc>
      </w:tr>
      <w:tr w:rsidR="009D5575" w:rsidRPr="009D5575" w:rsidTr="00360239">
        <w:trPr>
          <w:cantSplit/>
        </w:trPr>
        <w:tc>
          <w:tcPr>
            <w:tcW w:w="388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Event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Data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Recorder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/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Data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Storage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System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for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Automated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Driving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(EDR/DSSAD)</w:t>
            </w:r>
          </w:p>
        </w:tc>
        <w:tc>
          <w:tcPr>
            <w:tcW w:w="2352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T.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Guiting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lang w:val="en-US" w:eastAsia="en-GB"/>
              </w:rPr>
              <w:br/>
              <w:t>Mr.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T.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Tokai</w:t>
            </w:r>
            <w:r w:rsidRPr="009D5575">
              <w:rPr>
                <w:vertAlign w:val="superscript"/>
                <w:lang w:val="en-US" w:eastAsia="en-GB"/>
              </w:rPr>
              <w:t>1</w:t>
            </w:r>
            <w:r w:rsidRPr="009D5575">
              <w:rPr>
                <w:vertAlign w:val="superscript"/>
                <w:lang w:val="en-US" w:eastAsia="en-GB"/>
              </w:rPr>
              <w:br/>
            </w:r>
            <w:r w:rsidRPr="009D5575">
              <w:rPr>
                <w:lang w:val="en-US" w:eastAsia="en-GB"/>
              </w:rPr>
              <w:t>Mrs.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J.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Doherty</w:t>
            </w:r>
            <w:r w:rsidRPr="009D5575">
              <w:rPr>
                <w:vertAlign w:val="superscript"/>
                <w:lang w:val="en-US" w:eastAsia="en-GB"/>
              </w:rPr>
              <w:t>1</w:t>
            </w:r>
          </w:p>
        </w:tc>
        <w:tc>
          <w:tcPr>
            <w:tcW w:w="1797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Netherlands</w:t>
            </w:r>
            <w:r w:rsidRPr="009D5575">
              <w:rPr>
                <w:lang w:val="en-US" w:eastAsia="en-GB"/>
              </w:rPr>
              <w:br/>
              <w:t>Japan</w:t>
            </w:r>
            <w:r w:rsidRPr="009D5575">
              <w:rPr>
                <w:lang w:val="en-US" w:eastAsia="en-GB"/>
              </w:rPr>
              <w:br/>
              <w:t>USA</w:t>
            </w:r>
          </w:p>
        </w:tc>
        <w:tc>
          <w:tcPr>
            <w:tcW w:w="1601" w:type="dxa"/>
            <w:shd w:val="clear" w:color="auto" w:fill="auto"/>
            <w:hideMark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November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2020*</w:t>
            </w:r>
          </w:p>
        </w:tc>
      </w:tr>
      <w:tr w:rsidR="009D5575" w:rsidRPr="009D5575" w:rsidTr="00360239">
        <w:trPr>
          <w:cantSplit/>
        </w:trPr>
        <w:tc>
          <w:tcPr>
            <w:tcW w:w="3887" w:type="dxa"/>
            <w:tcBorders>
              <w:bottom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Advanced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Emergency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Braking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Systems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(AEBS)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/>
              </w:rPr>
              <w:t>Mr.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A.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Lagrange</w:t>
            </w:r>
            <w:r w:rsidRPr="009D5575">
              <w:rPr>
                <w:vertAlign w:val="superscript"/>
                <w:lang w:val="en-US"/>
              </w:rPr>
              <w:t>1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br/>
              <w:t>Mr.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T.</w:t>
            </w:r>
            <w:r w:rsidR="004B7086">
              <w:rPr>
                <w:lang w:val="en-US"/>
              </w:rPr>
              <w:t xml:space="preserve"> </w:t>
            </w:r>
            <w:r w:rsidRPr="009D5575">
              <w:rPr>
                <w:lang w:val="en-US"/>
              </w:rPr>
              <w:t>Hirose</w:t>
            </w:r>
            <w:r w:rsidRPr="009D5575">
              <w:rPr>
                <w:vertAlign w:val="superscript"/>
                <w:lang w:val="en-US"/>
              </w:rPr>
              <w:t>1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EC</w:t>
            </w:r>
            <w:r w:rsidRPr="009D5575">
              <w:rPr>
                <w:lang w:val="en-US" w:eastAsia="en-GB"/>
              </w:rPr>
              <w:br/>
              <w:t>Japan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auto"/>
          </w:tcPr>
          <w:p w:rsidR="009D5575" w:rsidRPr="009D5575" w:rsidRDefault="009D5575" w:rsidP="00360239">
            <w:pPr>
              <w:spacing w:before="40" w:after="120"/>
              <w:ind w:right="113"/>
              <w:rPr>
                <w:lang w:val="en-US" w:eastAsia="en-GB"/>
              </w:rPr>
            </w:pPr>
            <w:r w:rsidRPr="009D5575">
              <w:rPr>
                <w:lang w:val="en-US" w:eastAsia="en-GB"/>
              </w:rPr>
              <w:t>March</w:t>
            </w:r>
            <w:r w:rsidR="004B7086">
              <w:rPr>
                <w:lang w:val="en-US" w:eastAsia="en-GB"/>
              </w:rPr>
              <w:t xml:space="preserve"> </w:t>
            </w:r>
            <w:r w:rsidRPr="009D5575">
              <w:rPr>
                <w:lang w:val="en-US" w:eastAsia="en-GB"/>
              </w:rPr>
              <w:t>2022</w:t>
            </w:r>
          </w:p>
        </w:tc>
      </w:tr>
    </w:tbl>
    <w:p w:rsidR="009D5575" w:rsidRPr="009D5575" w:rsidRDefault="009D5575" w:rsidP="009D5575">
      <w:pPr>
        <w:spacing w:before="120" w:after="120"/>
        <w:rPr>
          <w:sz w:val="18"/>
          <w:szCs w:val="18"/>
          <w:lang w:val="en-US"/>
        </w:rPr>
      </w:pPr>
      <w:r w:rsidRPr="009D5575">
        <w:rPr>
          <w:sz w:val="18"/>
          <w:szCs w:val="18"/>
          <w:lang w:val="en-US"/>
        </w:rPr>
        <w:t>*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The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mandate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dates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are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being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reviewed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by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WP.29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in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the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review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process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of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the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Framework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Document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on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Automated</w:t>
      </w:r>
      <w:r w:rsidR="004B7086">
        <w:rPr>
          <w:sz w:val="18"/>
          <w:szCs w:val="18"/>
          <w:lang w:val="en-US"/>
        </w:rPr>
        <w:t xml:space="preserve"> </w:t>
      </w:r>
      <w:r w:rsidRPr="009D5575">
        <w:rPr>
          <w:sz w:val="18"/>
          <w:szCs w:val="18"/>
          <w:lang w:val="en-US"/>
        </w:rPr>
        <w:t>Vehicles</w:t>
      </w:r>
    </w:p>
    <w:p w:rsidR="009D5575" w:rsidRPr="009D5575" w:rsidRDefault="009D557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en-US"/>
        </w:rPr>
      </w:pPr>
      <w:r w:rsidRPr="009D5575">
        <w:rPr>
          <w:lang w:val="en-US"/>
        </w:rPr>
        <w:br w:type="page"/>
      </w:r>
    </w:p>
    <w:p w:rsidR="00DB758D" w:rsidRPr="00BF4EB9" w:rsidRDefault="00023E07" w:rsidP="009D5575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III</w:t>
      </w:r>
    </w:p>
    <w:p w:rsidR="00DB758D" w:rsidRPr="00BF4EB9" w:rsidRDefault="00DB758D" w:rsidP="00360239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r w:rsidRPr="00BF4EB9">
        <w:t>Projet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complément</w:t>
      </w:r>
      <w:r w:rsidR="004B7086">
        <w:t xml:space="preserve"> </w:t>
      </w:r>
      <w:r w:rsidRPr="00BF4EB9">
        <w:t>1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5A1351">
        <w:rPr>
          <w:rFonts w:eastAsia="MS Mincho"/>
        </w:rPr>
        <w:t>n</w:t>
      </w:r>
      <w:r w:rsidR="005A1351">
        <w:rPr>
          <w:rFonts w:eastAsia="MS Mincho"/>
          <w:vertAlign w:val="superscript"/>
        </w:rPr>
        <w:t>o</w:t>
      </w:r>
      <w:r w:rsidR="005A1351">
        <w:t> </w:t>
      </w:r>
      <w:r w:rsidRPr="00BF4EB9">
        <w:t>[157]</w:t>
      </w:r>
      <w:r w:rsidR="004B7086">
        <w:t xml:space="preserve"> </w:t>
      </w:r>
      <w:r w:rsidRPr="00BF4EB9">
        <w:t>(Systèmes</w:t>
      </w:r>
      <w:r w:rsidR="004B7086">
        <w:t xml:space="preserve"> </w:t>
      </w:r>
      <w:bookmarkStart w:id="24" w:name="_Hlk61427186"/>
      <w:r w:rsidRPr="00BF4EB9">
        <w:t>automatisés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bookmarkEnd w:id="24"/>
      <w:r w:rsidRPr="00BF4EB9">
        <w:t>)</w:t>
      </w:r>
    </w:p>
    <w:p w:rsidR="00DB758D" w:rsidRPr="00BF4EB9" w:rsidRDefault="00DB758D" w:rsidP="0018363E">
      <w:pPr>
        <w:pStyle w:val="H23G"/>
        <w:rPr>
          <w:iCs/>
        </w:rPr>
      </w:pPr>
      <w:r w:rsidRPr="00BF4EB9">
        <w:tab/>
      </w:r>
      <w:r w:rsidRPr="00BF4EB9">
        <w:tab/>
        <w:t>Adopté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GRVA-07-69-Rev.1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23)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2.10</w:t>
      </w:r>
      <w:r w:rsidR="00DB758D" w:rsidRPr="0036023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360239">
      <w:pPr>
        <w:pStyle w:val="SingleTxtG"/>
        <w:ind w:left="2268" w:hanging="1134"/>
      </w:pPr>
      <w:r w:rsidRPr="00BF4EB9">
        <w:t>2.10</w:t>
      </w:r>
      <w:r w:rsidRPr="00BF4EB9">
        <w:tab/>
      </w:r>
      <w:r w:rsidR="00360239">
        <w:t>«</w:t>
      </w:r>
      <w:r w:rsidR="005A1351">
        <w:t> </w:t>
      </w:r>
      <w:r w:rsidRPr="00BF4EB9">
        <w:rPr>
          <w:i/>
        </w:rPr>
        <w:t>Portée</w:t>
      </w:r>
      <w:r w:rsidR="004B7086">
        <w:rPr>
          <w:i/>
        </w:rPr>
        <w:t xml:space="preserve"> </w:t>
      </w:r>
      <w:r w:rsidRPr="00BF4EB9">
        <w:rPr>
          <w:i/>
        </w:rPr>
        <w:t>de</w:t>
      </w:r>
      <w:r w:rsidR="004B7086">
        <w:rPr>
          <w:i/>
        </w:rPr>
        <w:t xml:space="preserve"> </w:t>
      </w:r>
      <w:r w:rsidRPr="00BF4EB9">
        <w:rPr>
          <w:i/>
        </w:rPr>
        <w:t>détection</w:t>
      </w:r>
      <w:r w:rsidR="005A1351">
        <w:t> </w:t>
      </w:r>
      <w:r w:rsidR="00360239">
        <w:t>»</w:t>
      </w:r>
      <w:r w:rsidRPr="00BF4EB9">
        <w:t>,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distance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laquelle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peut</w:t>
      </w:r>
      <w:r w:rsidR="004B7086">
        <w:t xml:space="preserve"> </w:t>
      </w:r>
      <w:r w:rsidRPr="00BF4EB9">
        <w:t>reconnaître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manière</w:t>
      </w:r>
      <w:r w:rsidR="004B7086">
        <w:t xml:space="preserve"> </w:t>
      </w:r>
      <w:r w:rsidRPr="00BF4EB9">
        <w:t>fiable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cible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générer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signal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commande,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tenu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détérioration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composants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capteurs</w:t>
      </w:r>
      <w:r w:rsidR="004B7086">
        <w:t xml:space="preserve"> </w:t>
      </w:r>
      <w:r w:rsidRPr="00BF4EB9">
        <w:t>due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temps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l’utilisation</w:t>
      </w:r>
      <w:r w:rsidR="004B7086">
        <w:t xml:space="preserve"> </w:t>
      </w:r>
      <w:r w:rsidRPr="00BF4EB9">
        <w:t>tout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long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durée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vie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véhicule.</w:t>
      </w:r>
    </w:p>
    <w:p w:rsidR="00DB758D" w:rsidRPr="00BF4EB9" w:rsidRDefault="00023E07" w:rsidP="00360239">
      <w:pPr>
        <w:pStyle w:val="SingleTxtG"/>
        <w:rPr>
          <w:i/>
          <w:iCs/>
          <w:lang w:eastAsia="ja-JP"/>
        </w:rPr>
      </w:pPr>
      <w:r w:rsidRPr="00BF4EB9">
        <w:rPr>
          <w:i/>
          <w:iCs/>
          <w:lang w:eastAsia="ja-JP"/>
        </w:rPr>
        <w:t>Paragraphe</w:t>
      </w:r>
      <w:r w:rsidR="004B7086">
        <w:rPr>
          <w:i/>
          <w:iCs/>
          <w:lang w:eastAsia="ja-JP"/>
        </w:rPr>
        <w:t xml:space="preserve"> </w:t>
      </w:r>
      <w:r w:rsidR="00DB758D" w:rsidRPr="00BF4EB9">
        <w:rPr>
          <w:i/>
          <w:iCs/>
          <w:lang w:eastAsia="ja-JP"/>
        </w:rPr>
        <w:t>2.11.4</w:t>
      </w:r>
      <w:r w:rsidR="00DB758D" w:rsidRPr="00360239">
        <w:rPr>
          <w:lang w:eastAsia="ja-JP"/>
        </w:rPr>
        <w:t>,</w:t>
      </w:r>
      <w:r w:rsidR="004B7086">
        <w:rPr>
          <w:i/>
          <w:iCs/>
          <w:lang w:eastAsia="ja-JP"/>
        </w:rPr>
        <w:t xml:space="preserve"> </w:t>
      </w:r>
      <w:r w:rsidR="00DB758D" w:rsidRPr="00BF4EB9">
        <w:rPr>
          <w:lang w:eastAsia="ja-JP"/>
        </w:rPr>
        <w:t>modifier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comme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suit</w:t>
      </w:r>
      <w:r w:rsidR="004B7086">
        <w:rPr>
          <w:lang w:eastAsia="ja-JP"/>
        </w:rPr>
        <w:t> :</w:t>
      </w:r>
    </w:p>
    <w:p w:rsidR="00DB758D" w:rsidRPr="00BF4EB9" w:rsidRDefault="00DB758D" w:rsidP="005A1351">
      <w:pPr>
        <w:pStyle w:val="SingleTxtG"/>
        <w:ind w:left="2268" w:hanging="1134"/>
        <w:rPr>
          <w:lang w:eastAsia="ja-JP"/>
        </w:rPr>
      </w:pPr>
      <w:r w:rsidRPr="00BF4EB9">
        <w:rPr>
          <w:lang w:eastAsia="ja-JP"/>
        </w:rPr>
        <w:t>2.11.4</w:t>
      </w:r>
      <w:r w:rsidRPr="00BF4EB9">
        <w:rPr>
          <w:lang w:eastAsia="ja-JP"/>
        </w:rPr>
        <w:tab/>
      </w:r>
      <w:r w:rsidR="00F4764E">
        <w:rPr>
          <w:lang w:eastAsia="ja-JP"/>
        </w:rPr>
        <w:t>« </w:t>
      </w:r>
      <w:r w:rsidRPr="00BF4EB9">
        <w:rPr>
          <w:i/>
          <w:lang w:eastAsia="ja-JP"/>
        </w:rPr>
        <w:t>Défaillance</w:t>
      </w:r>
      <w:r w:rsidR="004B7086">
        <w:rPr>
          <w:i/>
          <w:lang w:eastAsia="ja-JP"/>
        </w:rPr>
        <w:t xml:space="preserve"> </w:t>
      </w:r>
      <w:r w:rsidRPr="00BF4EB9">
        <w:rPr>
          <w:i/>
          <w:lang w:eastAsia="ja-JP"/>
        </w:rPr>
        <w:t>grave</w:t>
      </w:r>
      <w:r w:rsidR="004B7086">
        <w:rPr>
          <w:i/>
          <w:lang w:eastAsia="ja-JP"/>
        </w:rPr>
        <w:t xml:space="preserve"> </w:t>
      </w:r>
      <w:r w:rsidRPr="00BF4EB9">
        <w:rPr>
          <w:i/>
          <w:lang w:eastAsia="ja-JP"/>
        </w:rPr>
        <w:t>du</w:t>
      </w:r>
      <w:r w:rsidR="004B7086">
        <w:rPr>
          <w:i/>
          <w:lang w:eastAsia="ja-JP"/>
        </w:rPr>
        <w:t xml:space="preserve"> </w:t>
      </w:r>
      <w:r w:rsidRPr="00BF4EB9">
        <w:rPr>
          <w:i/>
          <w:lang w:eastAsia="ja-JP"/>
        </w:rPr>
        <w:t>véhicule</w:t>
      </w:r>
      <w:r w:rsidR="00F4764E">
        <w:rPr>
          <w:lang w:eastAsia="ja-JP"/>
        </w:rPr>
        <w:t> »</w:t>
      </w:r>
      <w:r w:rsidRPr="00BF4EB9">
        <w:rPr>
          <w:lang w:eastAsia="ja-JP"/>
        </w:rPr>
        <w:t>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toute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défaillance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véhicule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(par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exemple,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électrique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ou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mécanique)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qui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affecte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capacité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automatisé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maintien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voie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à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effectuer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tâche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conduite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dynamique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qui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affecterait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également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fonctionnement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manuel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véhicule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(par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exemple,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arrêt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l’alimentation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électrique,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défaillance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freinage,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perte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soudaine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pression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pneumatiques).</w:t>
      </w:r>
    </w:p>
    <w:p w:rsidR="00DB758D" w:rsidRPr="00BF4EB9" w:rsidRDefault="00023E07" w:rsidP="00360239">
      <w:pPr>
        <w:pStyle w:val="SingleTxtG"/>
        <w:rPr>
          <w:lang w:eastAsia="ja-JP"/>
        </w:rPr>
      </w:pPr>
      <w:r w:rsidRPr="00BF4EB9">
        <w:rPr>
          <w:i/>
          <w:iCs/>
          <w:lang w:eastAsia="ja-JP"/>
        </w:rPr>
        <w:t>Paragraphe</w:t>
      </w:r>
      <w:r w:rsidR="004B7086">
        <w:rPr>
          <w:i/>
          <w:iCs/>
          <w:lang w:eastAsia="ja-JP"/>
        </w:rPr>
        <w:t xml:space="preserve"> </w:t>
      </w:r>
      <w:r w:rsidR="00DB758D" w:rsidRPr="00BF4EB9">
        <w:rPr>
          <w:i/>
          <w:iCs/>
          <w:lang w:eastAsia="ja-JP"/>
        </w:rPr>
        <w:t>2.18</w:t>
      </w:r>
      <w:r w:rsidR="00DB758D" w:rsidRPr="00F4764E">
        <w:rPr>
          <w:lang w:eastAsia="ja-JP"/>
        </w:rPr>
        <w:t>,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modifier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comme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suit</w:t>
      </w:r>
      <w:r w:rsidR="004B7086">
        <w:rPr>
          <w:lang w:eastAsia="ja-JP"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rPr>
          <w:lang w:eastAsia="ja-JP"/>
        </w:rPr>
        <w:t>2.18</w:t>
      </w:r>
      <w:r w:rsidRPr="00BF4EB9">
        <w:rPr>
          <w:lang w:eastAsia="ja-JP"/>
        </w:rPr>
        <w:tab/>
      </w:r>
      <w:r w:rsidR="00F4764E">
        <w:t>« </w:t>
      </w:r>
      <w:r w:rsidRPr="00BF4EB9">
        <w:rPr>
          <w:i/>
          <w:iCs/>
        </w:rPr>
        <w:t>Numéro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d’identification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du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logiciel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fins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du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Règlement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ONU</w:t>
      </w:r>
      <w:r w:rsidR="004B7086">
        <w:rPr>
          <w:i/>
          <w:iCs/>
        </w:rPr>
        <w:t xml:space="preserve"> </w:t>
      </w:r>
      <w:r w:rsidR="00F4764E" w:rsidRPr="00F4764E">
        <w:rPr>
          <w:rFonts w:eastAsia="MS Mincho"/>
          <w:i/>
          <w:iCs/>
        </w:rPr>
        <w:t>n</w:t>
      </w:r>
      <w:r w:rsidR="00F4764E" w:rsidRPr="00F4764E">
        <w:rPr>
          <w:rFonts w:eastAsia="MS Mincho"/>
          <w:i/>
          <w:iCs/>
          <w:vertAlign w:val="superscript"/>
        </w:rPr>
        <w:t>o</w:t>
      </w:r>
      <w:r w:rsidR="00F4764E">
        <w:rPr>
          <w:i/>
          <w:iCs/>
        </w:rPr>
        <w:t> </w:t>
      </w:r>
      <w:r w:rsidRPr="00BF4EB9">
        <w:rPr>
          <w:i/>
          <w:iCs/>
        </w:rPr>
        <w:t>157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(R</w:t>
      </w:r>
      <w:r w:rsidRPr="00BF4EB9">
        <w:rPr>
          <w:i/>
          <w:iCs/>
          <w:vertAlign w:val="subscript"/>
        </w:rPr>
        <w:t>157</w:t>
      </w:r>
      <w:r w:rsidRPr="00BF4EB9">
        <w:rPr>
          <w:i/>
          <w:iCs/>
        </w:rPr>
        <w:t>SWIN)</w:t>
      </w:r>
      <w:r w:rsidR="00F4764E">
        <w:t> »</w:t>
      </w:r>
      <w:r w:rsidRPr="00BF4EB9">
        <w:t>,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identifiant</w:t>
      </w:r>
      <w:r w:rsidR="004B7086">
        <w:t xml:space="preserve"> </w:t>
      </w:r>
      <w:r w:rsidRPr="00BF4EB9">
        <w:t>spécifique,</w:t>
      </w:r>
      <w:r w:rsidR="004B7086">
        <w:t xml:space="preserve"> </w:t>
      </w:r>
      <w:r w:rsidRPr="00BF4EB9">
        <w:t>défini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véhicule,</w:t>
      </w:r>
      <w:r w:rsidR="004B7086">
        <w:t xml:space="preserve"> </w:t>
      </w:r>
      <w:r w:rsidRPr="00BF4EB9">
        <w:t>représentant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informations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logiciel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électronique</w:t>
      </w:r>
      <w:r w:rsidR="004B7086">
        <w:t xml:space="preserve"> </w:t>
      </w:r>
      <w:r w:rsidRPr="00BF4EB9">
        <w:t>contribuant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type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F4764E">
        <w:rPr>
          <w:rFonts w:eastAsia="MS Mincho"/>
        </w:rPr>
        <w:t>n</w:t>
      </w:r>
      <w:r w:rsidR="00F4764E">
        <w:rPr>
          <w:rFonts w:eastAsia="MS Mincho"/>
          <w:vertAlign w:val="superscript"/>
        </w:rPr>
        <w:t>o</w:t>
      </w:r>
      <w:r w:rsidR="00F4764E">
        <w:t> </w:t>
      </w:r>
      <w:r w:rsidRPr="00BF4EB9">
        <w:t>157.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2.20</w:t>
      </w:r>
      <w:r w:rsidR="00DB758D" w:rsidRPr="00F4764E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2.20</w:t>
      </w:r>
      <w:r w:rsidRPr="00BF4EB9">
        <w:tab/>
      </w:r>
      <w:r w:rsidR="00F4764E">
        <w:t>« </w:t>
      </w:r>
      <w:r w:rsidRPr="00BF4EB9">
        <w:rPr>
          <w:i/>
          <w:iCs/>
        </w:rPr>
        <w:t>Logiciel</w:t>
      </w:r>
      <w:r w:rsidR="00F4764E">
        <w:t> »</w:t>
      </w:r>
      <w:r w:rsidRPr="00BF4EB9">
        <w:t>,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commande</w:t>
      </w:r>
      <w:r w:rsidR="004B7086">
        <w:t xml:space="preserve"> </w:t>
      </w:r>
      <w:r w:rsidRPr="00BF4EB9">
        <w:t>électronique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consiste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instructions</w:t>
      </w:r>
      <w:r w:rsidR="004B7086">
        <w:t xml:space="preserve"> </w:t>
      </w:r>
      <w:r w:rsidRPr="00BF4EB9">
        <w:t>numériques.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</w:t>
      </w:r>
      <w:r w:rsidRPr="00BF4EB9">
        <w:tab/>
        <w:t>Sûreté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sûreté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mode</w:t>
      </w:r>
      <w:r w:rsidR="004B7086">
        <w:t xml:space="preserve"> </w:t>
      </w:r>
      <w:r w:rsidRPr="00BF4EB9">
        <w:t>dégradé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respect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l’inspection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stratégie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cadre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décrite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(en</w:t>
      </w:r>
      <w:r w:rsidR="004B7086">
        <w:t xml:space="preserve"> </w:t>
      </w:r>
      <w:r w:rsidRPr="00BF4EB9">
        <w:t>particulier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conditions</w:t>
      </w:r>
      <w:r w:rsidR="004B7086">
        <w:t xml:space="preserve"> </w:t>
      </w:r>
      <w:r w:rsidRPr="00BF4EB9">
        <w:t>non</w:t>
      </w:r>
      <w:r w:rsidR="004B7086">
        <w:t xml:space="preserve"> </w:t>
      </w:r>
      <w:r w:rsidRPr="00BF4EB9">
        <w:t>soumises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essais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5)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essais</w:t>
      </w:r>
      <w:r w:rsidR="004B7086">
        <w:t xml:space="preserve"> </w:t>
      </w:r>
      <w:r w:rsidRPr="00BF4EB9">
        <w:t>pertinents</w:t>
      </w:r>
      <w:r w:rsidR="004B7086">
        <w:t xml:space="preserve"> </w:t>
      </w:r>
      <w:r w:rsidRPr="00BF4EB9">
        <w:t>décrits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5.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5.1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</w:t>
      </w:r>
      <w:bookmarkStart w:id="25" w:name="_Hlk61427266"/>
      <w:r w:rsidR="00DB758D" w:rsidRPr="00BF4EB9">
        <w:t>le</w:t>
      </w:r>
      <w:r w:rsidR="004B7086">
        <w:t xml:space="preserve"> </w:t>
      </w:r>
      <w:r w:rsidR="00DB758D" w:rsidRPr="00BF4EB9">
        <w:t>texte</w:t>
      </w:r>
      <w:r w:rsidR="004B7086">
        <w:t xml:space="preserve"> </w:t>
      </w:r>
      <w:r w:rsidR="00DB758D" w:rsidRPr="00BF4EB9">
        <w:t>figurant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titre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est</w:t>
      </w:r>
      <w:r w:rsidR="004B7086">
        <w:t xml:space="preserve"> </w:t>
      </w:r>
      <w:r w:rsidR="00DB758D" w:rsidRPr="00BF4EB9">
        <w:t>déplacé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celui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5</w:t>
      </w:r>
      <w:bookmarkEnd w:id="25"/>
      <w:r w:rsidR="00DB758D" w:rsidRPr="00BF4EB9">
        <w:t>)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  <w:rPr>
          <w:lang w:eastAsia="en-GB"/>
        </w:rPr>
      </w:pPr>
      <w:r w:rsidRPr="00BF4EB9">
        <w:rPr>
          <w:lang w:eastAsia="en-GB"/>
        </w:rPr>
        <w:t>5.1</w:t>
      </w:r>
      <w:r w:rsidRPr="00BF4EB9">
        <w:rPr>
          <w:lang w:eastAsia="en-GB"/>
        </w:rPr>
        <w:tab/>
        <w:t>Prescriptions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générales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5.1.9</w:t>
      </w:r>
      <w:r w:rsidR="00DB758D" w:rsidRPr="00F4764E">
        <w:t>,</w:t>
      </w:r>
      <w:r w:rsidR="004B7086">
        <w:rPr>
          <w:i/>
          <w:iCs/>
        </w:rPr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  <w:rPr>
          <w:lang w:eastAsia="en-GB"/>
        </w:rPr>
      </w:pPr>
      <w:bookmarkStart w:id="26" w:name="_Hlk27560542"/>
      <w:r w:rsidRPr="00BF4EB9">
        <w:rPr>
          <w:lang w:eastAsia="en-GB"/>
        </w:rPr>
        <w:t>5.1.9</w:t>
      </w:r>
      <w:r w:rsidRPr="00BF4EB9">
        <w:rPr>
          <w:lang w:eastAsia="en-GB"/>
        </w:rPr>
        <w:tab/>
        <w:t>Lorsque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système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ne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peut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plus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satisfaire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aux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prescriptions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du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présent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Règlement,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il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ne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doit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pas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être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possible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l’activer.</w:t>
      </w:r>
      <w:bookmarkEnd w:id="26"/>
    </w:p>
    <w:p w:rsidR="00DB758D" w:rsidRPr="00BF4EB9" w:rsidRDefault="00DB758D" w:rsidP="00F4764E">
      <w:pPr>
        <w:pStyle w:val="SingleTxtG"/>
        <w:ind w:left="2268"/>
        <w:rPr>
          <w:lang w:eastAsia="en-GB"/>
        </w:rPr>
      </w:pPr>
      <w:r w:rsidRPr="00BF4EB9">
        <w:t>Le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constructeur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doit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déclarer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et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mettre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en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œuvre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un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processus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visant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à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gérer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la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sécurité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et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la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persistance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la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conformité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du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système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automatisé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maintien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dans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la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voie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tout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au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long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sa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durée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vie.</w:t>
      </w:r>
    </w:p>
    <w:p w:rsidR="00DB758D" w:rsidRPr="00BF4EB9" w:rsidRDefault="00023E07" w:rsidP="00360239">
      <w:pPr>
        <w:pStyle w:val="SingleTxtG"/>
        <w:rPr>
          <w:lang w:eastAsia="ja-JP"/>
        </w:rPr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5.2</w:t>
      </w:r>
      <w:r w:rsidR="00DB758D" w:rsidRPr="00F4764E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(le</w:t>
      </w:r>
      <w:r w:rsidR="004B7086">
        <w:t xml:space="preserve"> </w:t>
      </w:r>
      <w:r w:rsidR="00DB758D" w:rsidRPr="00BF4EB9">
        <w:t>texte</w:t>
      </w:r>
      <w:r w:rsidR="004B7086">
        <w:t xml:space="preserve"> </w:t>
      </w:r>
      <w:r w:rsidR="00DB758D" w:rsidRPr="00BF4EB9">
        <w:t>figurant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titre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est</w:t>
      </w:r>
      <w:r w:rsidR="004B7086">
        <w:t xml:space="preserve"> </w:t>
      </w:r>
      <w:r w:rsidR="00DB758D" w:rsidRPr="00BF4EB9">
        <w:t>déplacé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celui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5)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5.2</w:t>
      </w:r>
      <w:r w:rsidRPr="00BF4EB9">
        <w:tab/>
        <w:t>Tâche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dynamique</w:t>
      </w:r>
    </w:p>
    <w:p w:rsidR="00DB758D" w:rsidRPr="00BF4EB9" w:rsidRDefault="00023E07" w:rsidP="00360239">
      <w:pPr>
        <w:pStyle w:val="SingleTxtG"/>
        <w:rPr>
          <w:i/>
        </w:rPr>
      </w:pPr>
      <w:r w:rsidRPr="00BF4EB9">
        <w:rPr>
          <w:i/>
          <w:iCs/>
        </w:rPr>
        <w:lastRenderedPageBreak/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5.2.5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(le</w:t>
      </w:r>
      <w:r w:rsidR="004B7086">
        <w:t xml:space="preserve"> </w:t>
      </w:r>
      <w:r w:rsidR="00DB758D" w:rsidRPr="00BF4EB9">
        <w:t>texte</w:t>
      </w:r>
      <w:r w:rsidR="004B7086">
        <w:t xml:space="preserve"> </w:t>
      </w:r>
      <w:r w:rsidR="00DB758D" w:rsidRPr="00BF4EB9">
        <w:t>figurant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titre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est</w:t>
      </w:r>
      <w:r w:rsidR="004B7086">
        <w:t xml:space="preserve"> </w:t>
      </w:r>
      <w:r w:rsidR="00DB758D" w:rsidRPr="00BF4EB9">
        <w:t>déplacé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celui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5)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5.2.5</w:t>
      </w:r>
      <w:r w:rsidRPr="00BF4EB9">
        <w:tab/>
        <w:t>Lorsqu’il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activé,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détecter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risques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collision,</w:t>
      </w:r>
      <w:r w:rsidR="004B7086">
        <w:t xml:space="preserve"> </w:t>
      </w:r>
      <w:r w:rsidRPr="00BF4EB9">
        <w:t>notamment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autre</w:t>
      </w:r>
      <w:r w:rsidR="004B7086">
        <w:t xml:space="preserve"> </w:t>
      </w:r>
      <w:r w:rsidRPr="00BF4EB9">
        <w:t>usager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route</w:t>
      </w:r>
      <w:r w:rsidR="004B7086">
        <w:t xml:space="preserve"> </w:t>
      </w:r>
      <w:r w:rsidRPr="00BF4EB9">
        <w:t>situé</w:t>
      </w:r>
      <w:r w:rsidR="004B7086">
        <w:t xml:space="preserve"> </w:t>
      </w:r>
      <w:r w:rsidRPr="00BF4EB9">
        <w:t>devant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côté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lui,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soit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décélération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précède,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rabattement</w:t>
      </w:r>
      <w:r w:rsidR="004B7086">
        <w:t xml:space="preserve"> </w:t>
      </w:r>
      <w:r w:rsidRPr="00BF4EB9">
        <w:t>dangereux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obstacle</w:t>
      </w:r>
      <w:r w:rsidR="004B7086">
        <w:t xml:space="preserve"> </w:t>
      </w:r>
      <w:r w:rsidRPr="00BF4EB9">
        <w:t>surgissant</w:t>
      </w:r>
      <w:r w:rsidR="004B7086">
        <w:t xml:space="preserve"> </w:t>
      </w:r>
      <w:r w:rsidRPr="00BF4EB9">
        <w:t>soudainement,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automatiquement</w:t>
      </w:r>
      <w:r w:rsidR="004B7086">
        <w:t xml:space="preserve"> </w:t>
      </w:r>
      <w:r w:rsidRPr="00BF4EB9">
        <w:t>effectuer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manœuvres</w:t>
      </w:r>
      <w:r w:rsidR="004B7086">
        <w:t xml:space="preserve"> </w:t>
      </w:r>
      <w:r w:rsidRPr="00BF4EB9">
        <w:t>appropriées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réduire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maximum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risques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occupants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autres</w:t>
      </w:r>
      <w:r w:rsidR="004B7086">
        <w:t xml:space="preserve"> </w:t>
      </w:r>
      <w:r w:rsidRPr="00BF4EB9">
        <w:t>usagers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route.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5.2.5.4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5.2.5.4</w:t>
      </w:r>
      <w:r w:rsidRPr="00BF4EB9">
        <w:tab/>
        <w:t>Il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admis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prescription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5.2.5</w:t>
      </w:r>
      <w:r w:rsidR="004B7086">
        <w:t xml:space="preserve"> </w:t>
      </w:r>
      <w:r w:rsidRPr="00BF4EB9">
        <w:t>peut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pleinement</w:t>
      </w:r>
      <w:r w:rsidR="004B7086">
        <w:t xml:space="preserve"> </w:t>
      </w:r>
      <w:r w:rsidRPr="00BF4EB9">
        <w:t>satisfaite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d’autres</w:t>
      </w:r>
      <w:r w:rsidR="004B7086">
        <w:t xml:space="preserve"> </w:t>
      </w:r>
      <w:r w:rsidRPr="00BF4EB9">
        <w:t>conditions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celles</w:t>
      </w:r>
      <w:r w:rsidR="004B7086">
        <w:t xml:space="preserve"> </w:t>
      </w:r>
      <w:r w:rsidRPr="00BF4EB9">
        <w:t>décrites</w:t>
      </w:r>
      <w:r w:rsidR="004B7086">
        <w:t xml:space="preserve"> </w:t>
      </w:r>
      <w:r w:rsidRPr="00BF4EB9">
        <w:t>ci-dessus.</w:t>
      </w:r>
      <w:r w:rsidR="004B7086">
        <w:t xml:space="preserve"> </w:t>
      </w:r>
      <w:r w:rsidRPr="00BF4EB9">
        <w:t>Toutefois,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désactiver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modifier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manière</w:t>
      </w:r>
      <w:r w:rsidR="004B7086">
        <w:t xml:space="preserve"> </w:t>
      </w:r>
      <w:r w:rsidRPr="00BF4EB9">
        <w:t>déraisonnable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stratégie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contrôle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ces</w:t>
      </w:r>
      <w:r w:rsidR="004B7086">
        <w:t xml:space="preserve"> </w:t>
      </w:r>
      <w:r w:rsidRPr="00BF4EB9">
        <w:t>autres</w:t>
      </w:r>
      <w:r w:rsidR="004B7086">
        <w:t xml:space="preserve"> </w:t>
      </w:r>
      <w:r w:rsidRPr="00BF4EB9">
        <w:t>conditions</w:t>
      </w:r>
      <w:r w:rsidRPr="00AE317A">
        <w:t>.</w:t>
      </w:r>
      <w:r w:rsidR="004B7086" w:rsidRPr="00AE317A">
        <w:t xml:space="preserve"> </w:t>
      </w:r>
      <w:r w:rsidRPr="00BF4EB9">
        <w:t>Cela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Règlement.</w:t>
      </w:r>
    </w:p>
    <w:p w:rsidR="00DB758D" w:rsidRPr="00BF4EB9" w:rsidRDefault="00DB758D" w:rsidP="00360239">
      <w:pPr>
        <w:pStyle w:val="SingleTxtG"/>
      </w:pPr>
      <w:r w:rsidRPr="00360239">
        <w:rPr>
          <w:i/>
          <w:iCs/>
        </w:rPr>
        <w:t>Ajouter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de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nouveaux</w:t>
      </w:r>
      <w:r w:rsidR="004B7086">
        <w:rPr>
          <w:i/>
          <w:iCs/>
        </w:rPr>
        <w:t xml:space="preserve"> </w:t>
      </w:r>
      <w:r w:rsidR="00023E07" w:rsidRPr="0036023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5.2.6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5.2.7</w:t>
      </w:r>
      <w:r w:rsidR="004B7086">
        <w:t xml:space="preserve"> </w:t>
      </w:r>
      <w:r w:rsidRPr="00BF4EB9">
        <w:rPr>
          <w:iCs/>
        </w:rPr>
        <w:t>ainsi</w:t>
      </w:r>
      <w:r w:rsidR="004B7086">
        <w:rPr>
          <w:iCs/>
        </w:rPr>
        <w:t xml:space="preserve"> </w:t>
      </w:r>
      <w:r w:rsidRPr="00BF4EB9">
        <w:rPr>
          <w:iCs/>
        </w:rPr>
        <w:t>conçus</w:t>
      </w:r>
      <w:r w:rsidR="004B7086">
        <w:rPr>
          <w:iCs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5.2.6</w:t>
      </w:r>
      <w:r w:rsidRPr="00BF4EB9">
        <w:tab/>
        <w:t>Réservé</w:t>
      </w:r>
      <w:r w:rsidR="004B7086">
        <w:t xml:space="preserve"> </w:t>
      </w:r>
      <w:r w:rsidRPr="00BF4EB9">
        <w:t>(Changement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voie)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5.2.7</w:t>
      </w:r>
      <w:r w:rsidRPr="00BF4EB9">
        <w:tab/>
        <w:t>En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conditions</w:t>
      </w:r>
      <w:r w:rsidR="004B7086">
        <w:t xml:space="preserve"> </w:t>
      </w:r>
      <w:r w:rsidRPr="00BF4EB9">
        <w:t>non</w:t>
      </w:r>
      <w:r w:rsidR="004B7086">
        <w:t xml:space="preserve"> </w:t>
      </w:r>
      <w:r w:rsidRPr="00BF4EB9">
        <w:t>spécifiées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="00023E07" w:rsidRPr="00BF4EB9">
        <w:t>paragraphes</w:t>
      </w:r>
      <w:r w:rsidR="004B7086">
        <w:t xml:space="preserve"> </w:t>
      </w:r>
      <w:r w:rsidRPr="00BF4EB9">
        <w:t>5.2.4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5.2.5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alinéas,</w:t>
      </w:r>
      <w:r w:rsidR="004B7086">
        <w:t xml:space="preserve"> </w:t>
      </w:r>
      <w:r w:rsidRPr="00BF4EB9">
        <w:t>l’efficacité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assurée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moins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niveau</w:t>
      </w:r>
      <w:r w:rsidR="004B7086">
        <w:t xml:space="preserve"> </w:t>
      </w:r>
      <w:r w:rsidRPr="00BF4EB9">
        <w:t>auquel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conducteur</w:t>
      </w:r>
      <w:r w:rsidR="004B7086">
        <w:t xml:space="preserve"> </w:t>
      </w:r>
      <w:r w:rsidRPr="00BF4EB9">
        <w:t>humain</w:t>
      </w:r>
      <w:r w:rsidR="004B7086">
        <w:t xml:space="preserve"> </w:t>
      </w:r>
      <w:r w:rsidRPr="00BF4EB9">
        <w:t>compétent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prudent</w:t>
      </w:r>
      <w:r w:rsidR="004B7086">
        <w:t xml:space="preserve"> </w:t>
      </w:r>
      <w:r w:rsidRPr="00BF4EB9">
        <w:t>pourrait</w:t>
      </w:r>
      <w:r w:rsidR="004B7086">
        <w:t xml:space="preserve"> </w:t>
      </w:r>
      <w:r w:rsidRPr="00BF4EB9">
        <w:t>réduire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maximum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risques.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modèle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performance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conducteur</w:t>
      </w:r>
      <w:r w:rsidR="004B7086">
        <w:t xml:space="preserve"> </w:t>
      </w:r>
      <w:r w:rsidRPr="00BF4EB9">
        <w:t>humain</w:t>
      </w:r>
      <w:r w:rsidR="004B7086">
        <w:t xml:space="preserve"> </w:t>
      </w:r>
      <w:r w:rsidRPr="00BF4EB9">
        <w:t>attentif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paramètres</w:t>
      </w:r>
      <w:r w:rsidR="004B7086">
        <w:t xml:space="preserve"> </w:t>
      </w:r>
      <w:r w:rsidRPr="00BF4EB9">
        <w:t>connexes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scénarios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perturbation</w:t>
      </w:r>
      <w:r w:rsidR="004B7086">
        <w:t xml:space="preserve"> </w:t>
      </w:r>
      <w:r w:rsidRPr="00BF4EB9">
        <w:t>critique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circulation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peuvent</w:t>
      </w:r>
      <w:r w:rsidR="004B7086">
        <w:t xml:space="preserve"> </w:t>
      </w:r>
      <w:r w:rsidRPr="00BF4EB9">
        <w:t>donner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indications.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capacités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doivent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cadre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décrite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4.</w:t>
      </w:r>
    </w:p>
    <w:p w:rsidR="00DB758D" w:rsidRPr="00BF4EB9" w:rsidRDefault="00023E07" w:rsidP="00360239">
      <w:pPr>
        <w:pStyle w:val="SingleTxtG"/>
      </w:pPr>
      <w:r w:rsidRPr="00F4764E">
        <w:rPr>
          <w:i/>
          <w:iCs/>
        </w:rPr>
        <w:t>Paragraphes</w:t>
      </w:r>
      <w:r w:rsidR="004B7086" w:rsidRPr="00F4764E">
        <w:rPr>
          <w:i/>
          <w:iCs/>
        </w:rPr>
        <w:t xml:space="preserve"> </w:t>
      </w:r>
      <w:r w:rsidR="00DB758D" w:rsidRPr="00F4764E">
        <w:rPr>
          <w:i/>
          <w:iCs/>
        </w:rPr>
        <w:t>5.3</w:t>
      </w:r>
      <w:r w:rsidR="004B7086" w:rsidRPr="00F4764E">
        <w:rPr>
          <w:i/>
          <w:iCs/>
        </w:rPr>
        <w:t xml:space="preserve"> </w:t>
      </w:r>
      <w:r w:rsidR="00DB758D" w:rsidRPr="00F4764E">
        <w:rPr>
          <w:i/>
          <w:iCs/>
        </w:rPr>
        <w:t>et</w:t>
      </w:r>
      <w:r w:rsidR="004B7086" w:rsidRPr="00F4764E">
        <w:rPr>
          <w:i/>
          <w:iCs/>
        </w:rPr>
        <w:t xml:space="preserve"> </w:t>
      </w:r>
      <w:r w:rsidR="00DB758D" w:rsidRPr="00F4764E">
        <w:rPr>
          <w:i/>
          <w:iCs/>
        </w:rPr>
        <w:t>5.3.1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  <w:rPr>
          <w:lang w:eastAsia="en-GB"/>
        </w:rPr>
      </w:pPr>
      <w:r w:rsidRPr="00BF4EB9">
        <w:rPr>
          <w:lang w:eastAsia="en-GB"/>
        </w:rPr>
        <w:t>5.3</w:t>
      </w:r>
      <w:r w:rsidRPr="00BF4EB9">
        <w:rPr>
          <w:lang w:eastAsia="en-GB"/>
        </w:rPr>
        <w:tab/>
        <w:t>Manœuvre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d’urgence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(EM)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5.3.1</w:t>
      </w:r>
      <w:r w:rsidRPr="00BF4EB9">
        <w:tab/>
        <w:t>Une</w:t>
      </w:r>
      <w:r w:rsidR="004B7086">
        <w:t xml:space="preserve"> </w:t>
      </w:r>
      <w:r w:rsidRPr="00BF4EB9">
        <w:t>manœuvre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effectuée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risque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collision</w:t>
      </w:r>
      <w:r w:rsidR="004B7086">
        <w:t xml:space="preserve"> </w:t>
      </w:r>
      <w:r w:rsidRPr="00BF4EB9">
        <w:t>imminente.</w:t>
      </w:r>
    </w:p>
    <w:p w:rsidR="00DB758D" w:rsidRPr="00BF4EB9" w:rsidRDefault="00023E07" w:rsidP="00360239">
      <w:pPr>
        <w:pStyle w:val="SingleTxtG"/>
        <w:rPr>
          <w:bCs/>
        </w:rPr>
      </w:pPr>
      <w:r w:rsidRPr="00BF4EB9">
        <w:rPr>
          <w:bCs/>
          <w:i/>
          <w:iCs/>
        </w:rPr>
        <w:t>Paragraphe</w:t>
      </w:r>
      <w:r w:rsidR="004B7086">
        <w:rPr>
          <w:bCs/>
          <w:i/>
          <w:iCs/>
        </w:rPr>
        <w:t xml:space="preserve"> </w:t>
      </w:r>
      <w:r w:rsidR="00DB758D" w:rsidRPr="00BF4EB9">
        <w:rPr>
          <w:bCs/>
          <w:i/>
          <w:iCs/>
        </w:rPr>
        <w:t>5.4</w:t>
      </w:r>
      <w:r w:rsidR="00DB758D" w:rsidRPr="00F4764E">
        <w:rPr>
          <w:bCs/>
        </w:rPr>
        <w:t>,</w:t>
      </w:r>
      <w:r w:rsidR="004B7086" w:rsidRPr="00F4764E">
        <w:rPr>
          <w:bCs/>
        </w:rPr>
        <w:t xml:space="preserve"> </w:t>
      </w:r>
      <w:r w:rsidR="00DB758D" w:rsidRPr="00BF4EB9">
        <w:rPr>
          <w:bCs/>
        </w:rPr>
        <w:t>modifier</w:t>
      </w:r>
      <w:r w:rsidR="004B7086">
        <w:rPr>
          <w:bCs/>
        </w:rPr>
        <w:t xml:space="preserve"> </w:t>
      </w:r>
      <w:r w:rsidR="00DB758D" w:rsidRPr="00BF4EB9">
        <w:rPr>
          <w:bCs/>
        </w:rPr>
        <w:t>comme</w:t>
      </w:r>
      <w:r w:rsidR="004B7086">
        <w:rPr>
          <w:bCs/>
        </w:rPr>
        <w:t xml:space="preserve"> </w:t>
      </w:r>
      <w:r w:rsidR="00DB758D" w:rsidRPr="00BF4EB9">
        <w:rPr>
          <w:bCs/>
        </w:rPr>
        <w:t>suit</w:t>
      </w:r>
      <w:r w:rsidR="004B7086">
        <w:rPr>
          <w:bCs/>
        </w:rPr>
        <w:t xml:space="preserve"> </w:t>
      </w:r>
      <w:r w:rsidR="00DB758D" w:rsidRPr="00BF4EB9">
        <w:t>(le</w:t>
      </w:r>
      <w:r w:rsidR="004B7086">
        <w:t xml:space="preserve"> </w:t>
      </w:r>
      <w:r w:rsidR="00DB758D" w:rsidRPr="00BF4EB9">
        <w:t>texte</w:t>
      </w:r>
      <w:r w:rsidR="004B7086">
        <w:t xml:space="preserve"> </w:t>
      </w:r>
      <w:r w:rsidR="00DB758D" w:rsidRPr="00BF4EB9">
        <w:t>figurant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titre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est</w:t>
      </w:r>
      <w:r w:rsidR="004B7086">
        <w:t xml:space="preserve"> </w:t>
      </w:r>
      <w:r w:rsidR="00DB758D" w:rsidRPr="00BF4EB9">
        <w:t>déplacé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celui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5)</w:t>
      </w:r>
      <w:r w:rsidR="004B7086">
        <w:rPr>
          <w:bCs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5.4</w:t>
      </w:r>
      <w:r w:rsidRPr="00BF4EB9">
        <w:tab/>
        <w:t>Demande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transition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fonctionnement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phase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transition.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5.5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(le</w:t>
      </w:r>
      <w:r w:rsidR="004B7086">
        <w:t xml:space="preserve"> </w:t>
      </w:r>
      <w:r w:rsidR="00DB758D" w:rsidRPr="00BF4EB9">
        <w:t>texte</w:t>
      </w:r>
      <w:r w:rsidR="004B7086">
        <w:t xml:space="preserve"> </w:t>
      </w:r>
      <w:r w:rsidR="00DB758D" w:rsidRPr="00BF4EB9">
        <w:t>figurant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titre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est</w:t>
      </w:r>
      <w:r w:rsidR="004B7086">
        <w:t xml:space="preserve"> </w:t>
      </w:r>
      <w:r w:rsidR="00DB758D" w:rsidRPr="00BF4EB9">
        <w:t>déplacé</w:t>
      </w:r>
      <w:r w:rsidR="004B7086">
        <w:t xml:space="preserve"> </w:t>
      </w:r>
      <w:r w:rsidR="00DB758D" w:rsidRPr="00BF4EB9">
        <w:t>sous</w:t>
      </w:r>
      <w:r w:rsidR="004B7086">
        <w:t xml:space="preserve"> </w:t>
      </w:r>
      <w:r w:rsidR="00DB758D" w:rsidRPr="00BF4EB9">
        <w:t>celui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Pr="00BF4EB9">
        <w:t>paragraphe</w:t>
      </w:r>
      <w:r w:rsidR="004B7086">
        <w:t xml:space="preserve"> </w:t>
      </w:r>
      <w:r w:rsidR="00DB758D" w:rsidRPr="00BF4EB9">
        <w:t>5)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5.5</w:t>
      </w:r>
      <w:r w:rsidRPr="00BF4EB9">
        <w:tab/>
        <w:t>Manœuvre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risque</w:t>
      </w:r>
      <w:r w:rsidR="004B7086">
        <w:t xml:space="preserve"> </w:t>
      </w:r>
      <w:r w:rsidRPr="00BF4EB9">
        <w:t>minimal</w:t>
      </w:r>
    </w:p>
    <w:p w:rsidR="00DB758D" w:rsidRPr="00BF4EB9" w:rsidRDefault="00DB758D" w:rsidP="00360239">
      <w:pPr>
        <w:pStyle w:val="SingleTxtG"/>
        <w:rPr>
          <w:lang w:eastAsia="en-GB"/>
        </w:rPr>
      </w:pPr>
      <w:r w:rsidRPr="00360239">
        <w:rPr>
          <w:i/>
          <w:iCs/>
          <w:lang w:eastAsia="en-GB"/>
        </w:rPr>
        <w:t>Les</w:t>
      </w:r>
      <w:r w:rsidR="004B7086">
        <w:rPr>
          <w:i/>
          <w:iCs/>
          <w:lang w:eastAsia="en-GB"/>
        </w:rPr>
        <w:t xml:space="preserve"> </w:t>
      </w:r>
      <w:r w:rsidR="00023E07" w:rsidRPr="00360239">
        <w:rPr>
          <w:i/>
          <w:iCs/>
          <w:lang w:eastAsia="en-GB"/>
        </w:rPr>
        <w:t>paragraphes</w:t>
      </w:r>
      <w:r w:rsidR="004B7086">
        <w:rPr>
          <w:i/>
          <w:iCs/>
          <w:lang w:eastAsia="en-GB"/>
        </w:rPr>
        <w:t xml:space="preserve"> </w:t>
      </w:r>
      <w:r w:rsidRPr="00360239">
        <w:rPr>
          <w:i/>
          <w:iCs/>
          <w:lang w:eastAsia="en-GB"/>
        </w:rPr>
        <w:t>5.5.4,</w:t>
      </w:r>
      <w:r w:rsidR="004B7086">
        <w:rPr>
          <w:i/>
          <w:iCs/>
          <w:lang w:eastAsia="en-GB"/>
        </w:rPr>
        <w:t xml:space="preserve"> </w:t>
      </w:r>
      <w:r w:rsidRPr="00360239">
        <w:rPr>
          <w:i/>
          <w:iCs/>
          <w:lang w:eastAsia="en-GB"/>
        </w:rPr>
        <w:t>5.5.5</w:t>
      </w:r>
      <w:r w:rsidR="004B7086">
        <w:rPr>
          <w:i/>
          <w:iCs/>
          <w:lang w:eastAsia="en-GB"/>
        </w:rPr>
        <w:t xml:space="preserve"> </w:t>
      </w:r>
      <w:r w:rsidRPr="00360239">
        <w:rPr>
          <w:i/>
          <w:iCs/>
          <w:lang w:eastAsia="en-GB"/>
        </w:rPr>
        <w:t>et</w:t>
      </w:r>
      <w:r w:rsidR="004B7086">
        <w:rPr>
          <w:i/>
          <w:iCs/>
          <w:lang w:eastAsia="en-GB"/>
        </w:rPr>
        <w:t xml:space="preserve"> </w:t>
      </w:r>
      <w:r w:rsidRPr="00360239">
        <w:rPr>
          <w:i/>
          <w:iCs/>
          <w:lang w:eastAsia="en-GB"/>
        </w:rPr>
        <w:t>5.5.6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deviennent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les</w:t>
      </w:r>
      <w:r w:rsidR="004B7086">
        <w:rPr>
          <w:lang w:eastAsia="en-GB"/>
        </w:rPr>
        <w:t xml:space="preserve"> </w:t>
      </w:r>
      <w:r w:rsidR="00023E07" w:rsidRPr="00BF4EB9">
        <w:rPr>
          <w:lang w:eastAsia="en-GB"/>
        </w:rPr>
        <w:t>paragraphes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5.5.3,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5.5.4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et</w:t>
      </w:r>
      <w:r w:rsidR="004B7086">
        <w:rPr>
          <w:lang w:eastAsia="en-GB"/>
        </w:rPr>
        <w:t xml:space="preserve"> </w:t>
      </w:r>
      <w:r w:rsidRPr="00BF4EB9">
        <w:rPr>
          <w:lang w:eastAsia="en-GB"/>
        </w:rPr>
        <w:t>5.5.5.</w:t>
      </w:r>
    </w:p>
    <w:p w:rsidR="00DB758D" w:rsidRPr="00BF4EB9" w:rsidRDefault="00023E07" w:rsidP="00360239">
      <w:pPr>
        <w:pStyle w:val="SingleTxtG"/>
        <w:rPr>
          <w:lang w:eastAsia="en-GB"/>
        </w:rPr>
      </w:pPr>
      <w:r w:rsidRPr="00360239">
        <w:rPr>
          <w:i/>
          <w:iCs/>
          <w:lang w:eastAsia="en-GB"/>
        </w:rPr>
        <w:t>Paragraphes</w:t>
      </w:r>
      <w:r w:rsidR="004B7086">
        <w:rPr>
          <w:i/>
          <w:iCs/>
          <w:lang w:eastAsia="en-GB"/>
        </w:rPr>
        <w:t xml:space="preserve"> </w:t>
      </w:r>
      <w:r w:rsidR="00DB758D" w:rsidRPr="00360239">
        <w:rPr>
          <w:i/>
          <w:iCs/>
          <w:lang w:eastAsia="en-GB"/>
        </w:rPr>
        <w:t>6</w:t>
      </w:r>
      <w:r w:rsidR="004B7086">
        <w:rPr>
          <w:i/>
          <w:iCs/>
          <w:lang w:eastAsia="en-GB"/>
        </w:rPr>
        <w:t xml:space="preserve"> </w:t>
      </w:r>
      <w:r w:rsidR="00DB758D" w:rsidRPr="00360239">
        <w:rPr>
          <w:i/>
          <w:iCs/>
          <w:lang w:eastAsia="en-GB"/>
        </w:rPr>
        <w:t>et</w:t>
      </w:r>
      <w:r w:rsidR="004B7086">
        <w:rPr>
          <w:i/>
          <w:iCs/>
          <w:lang w:eastAsia="en-GB"/>
        </w:rPr>
        <w:t xml:space="preserve"> </w:t>
      </w:r>
      <w:r w:rsidR="00DB758D" w:rsidRPr="00360239">
        <w:rPr>
          <w:i/>
          <w:iCs/>
          <w:lang w:eastAsia="en-GB"/>
        </w:rPr>
        <w:t>6.1</w:t>
      </w:r>
      <w:r w:rsidR="00DB758D" w:rsidRPr="00BF4EB9">
        <w:rPr>
          <w:lang w:eastAsia="en-GB"/>
        </w:rPr>
        <w:t>,</w:t>
      </w:r>
      <w:r w:rsidR="004B7086">
        <w:rPr>
          <w:lang w:eastAsia="en-GB"/>
        </w:rPr>
        <w:t xml:space="preserve"> </w:t>
      </w:r>
      <w:r w:rsidR="00DB758D" w:rsidRPr="00BF4EB9">
        <w:rPr>
          <w:lang w:eastAsia="en-GB"/>
        </w:rPr>
        <w:t>modifier</w:t>
      </w:r>
      <w:r w:rsidR="004B7086">
        <w:rPr>
          <w:lang w:eastAsia="en-GB"/>
        </w:rPr>
        <w:t xml:space="preserve"> </w:t>
      </w:r>
      <w:r w:rsidR="00DB758D" w:rsidRPr="00BF4EB9">
        <w:rPr>
          <w:lang w:eastAsia="en-GB"/>
        </w:rPr>
        <w:t>comme</w:t>
      </w:r>
      <w:r w:rsidR="004B7086">
        <w:rPr>
          <w:lang w:eastAsia="en-GB"/>
        </w:rPr>
        <w:t xml:space="preserve"> </w:t>
      </w:r>
      <w:r w:rsidR="00DB758D" w:rsidRPr="00BF4EB9">
        <w:rPr>
          <w:lang w:eastAsia="en-GB"/>
        </w:rPr>
        <w:t>suit</w:t>
      </w:r>
      <w:r w:rsidR="004B7086">
        <w:rPr>
          <w:lang w:eastAsia="en-GB"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6.</w:t>
      </w:r>
      <w:r w:rsidRPr="00BF4EB9">
        <w:tab/>
        <w:t>Interface</w:t>
      </w:r>
      <w:r w:rsidR="004B7086">
        <w:t xml:space="preserve"> </w:t>
      </w:r>
      <w:r w:rsidRPr="00BF4EB9">
        <w:t>homme-machine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informations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conducteur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respect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l’inspection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stratégie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cadre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décrite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essais</w:t>
      </w:r>
      <w:r w:rsidR="004B7086">
        <w:t xml:space="preserve"> </w:t>
      </w:r>
      <w:r w:rsidRPr="00BF4EB9">
        <w:t>pertinents</w:t>
      </w:r>
      <w:r w:rsidR="004B7086">
        <w:t xml:space="preserve"> </w:t>
      </w:r>
      <w:r w:rsidRPr="00BF4EB9">
        <w:t>décrits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5.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6.1</w:t>
      </w:r>
      <w:r w:rsidRPr="00BF4EB9">
        <w:tab/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détection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disponibilité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conducteur</w:t>
      </w:r>
    </w:p>
    <w:p w:rsidR="00DB758D" w:rsidRPr="00BF4EB9" w:rsidRDefault="00023E07" w:rsidP="00360239">
      <w:pPr>
        <w:pStyle w:val="SingleTxtG"/>
      </w:pPr>
      <w:r w:rsidRPr="0036023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6.1.4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6.2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  <w:rPr>
          <w:lang w:eastAsia="ja-JP"/>
        </w:rPr>
      </w:pPr>
      <w:r w:rsidRPr="00BF4EB9">
        <w:t>6.1.4</w:t>
      </w:r>
      <w:r w:rsidRPr="00BF4EB9">
        <w:tab/>
        <w:t>Les</w:t>
      </w:r>
      <w:r w:rsidR="004B7086">
        <w:t xml:space="preserve"> </w:t>
      </w:r>
      <w:r w:rsidR="00F4764E">
        <w:t>« </w:t>
      </w:r>
      <w:r w:rsidRPr="00BF4EB9">
        <w:rPr>
          <w:i/>
          <w:iCs/>
          <w:lang w:eastAsia="ja-JP"/>
        </w:rPr>
        <w:t>activités</w:t>
      </w:r>
      <w:r w:rsidR="004B7086">
        <w:rPr>
          <w:i/>
          <w:iCs/>
          <w:lang w:eastAsia="ja-JP"/>
        </w:rPr>
        <w:t xml:space="preserve"> </w:t>
      </w:r>
      <w:r w:rsidRPr="00BF4EB9">
        <w:rPr>
          <w:i/>
          <w:iCs/>
          <w:lang w:eastAsia="ja-JP"/>
        </w:rPr>
        <w:t>autres</w:t>
      </w:r>
      <w:r w:rsidR="004B7086">
        <w:rPr>
          <w:i/>
          <w:iCs/>
          <w:lang w:eastAsia="ja-JP"/>
        </w:rPr>
        <w:t xml:space="preserve"> </w:t>
      </w:r>
      <w:r w:rsidRPr="00BF4EB9">
        <w:rPr>
          <w:i/>
          <w:iCs/>
          <w:lang w:eastAsia="ja-JP"/>
        </w:rPr>
        <w:t>que</w:t>
      </w:r>
      <w:r w:rsidR="004B7086">
        <w:rPr>
          <w:i/>
          <w:iCs/>
          <w:lang w:eastAsia="ja-JP"/>
        </w:rPr>
        <w:t xml:space="preserve"> </w:t>
      </w:r>
      <w:r w:rsidRPr="00BF4EB9">
        <w:rPr>
          <w:i/>
          <w:iCs/>
          <w:lang w:eastAsia="ja-JP"/>
        </w:rPr>
        <w:t>la</w:t>
      </w:r>
      <w:r w:rsidR="004B7086">
        <w:rPr>
          <w:i/>
          <w:iCs/>
          <w:lang w:eastAsia="ja-JP"/>
        </w:rPr>
        <w:t xml:space="preserve"> </w:t>
      </w:r>
      <w:r w:rsidRPr="00BF4EB9">
        <w:rPr>
          <w:i/>
          <w:iCs/>
          <w:lang w:eastAsia="ja-JP"/>
        </w:rPr>
        <w:t>conduite</w:t>
      </w:r>
      <w:r w:rsidR="00F4764E">
        <w:rPr>
          <w:lang w:eastAsia="ja-JP"/>
        </w:rPr>
        <w:t> »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exécutées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moyen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écrans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embarqués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disponibles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lors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l’activation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automatisé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maintien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voie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doivent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être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automatiquement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suspendues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i)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dès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que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lastRenderedPageBreak/>
        <w:t>émet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une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demande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transition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ou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ii)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dès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que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est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désactivé,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si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cet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événement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intervient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plus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tôt.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6.2</w:t>
      </w:r>
      <w:r w:rsidRPr="00BF4EB9">
        <w:tab/>
        <w:t>Activation,</w:t>
      </w:r>
      <w:r w:rsidR="004B7086">
        <w:t xml:space="preserve"> </w:t>
      </w:r>
      <w:r w:rsidRPr="00BF4EB9">
        <w:t>désactivation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intervention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conducteur</w:t>
      </w:r>
    </w:p>
    <w:p w:rsidR="00DB758D" w:rsidRPr="00BF4EB9" w:rsidRDefault="00023E07" w:rsidP="00360239">
      <w:pPr>
        <w:pStyle w:val="SingleTxtG"/>
        <w:rPr>
          <w:lang w:eastAsia="ja-JP"/>
        </w:rPr>
      </w:pPr>
      <w:r w:rsidRPr="00360239">
        <w:rPr>
          <w:i/>
          <w:iCs/>
          <w:lang w:eastAsia="ja-JP"/>
        </w:rPr>
        <w:t>Paragraphe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6.2.5.1,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alinéas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a)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et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b)</w:t>
      </w:r>
      <w:r w:rsidR="00DB758D" w:rsidRPr="00BF4EB9">
        <w:rPr>
          <w:lang w:eastAsia="ja-JP"/>
        </w:rPr>
        <w:t>,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modifier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comme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suit</w:t>
      </w:r>
      <w:r w:rsidR="004B7086">
        <w:rPr>
          <w:lang w:eastAsia="ja-JP"/>
        </w:rPr>
        <w:t> :</w:t>
      </w:r>
    </w:p>
    <w:p w:rsidR="00DB758D" w:rsidRPr="00BF4EB9" w:rsidRDefault="00DB758D" w:rsidP="00F4764E">
      <w:pPr>
        <w:pStyle w:val="SingleTxtG"/>
        <w:ind w:left="2835" w:hanging="567"/>
        <w:rPr>
          <w:lang w:eastAsia="ja-JP"/>
        </w:rPr>
      </w:pPr>
      <w:r w:rsidRPr="00BF4EB9">
        <w:rPr>
          <w:lang w:eastAsia="ja-JP"/>
        </w:rPr>
        <w:t>a)</w:t>
      </w:r>
      <w:r w:rsidRPr="00BF4EB9">
        <w:rPr>
          <w:lang w:eastAsia="ja-JP"/>
        </w:rPr>
        <w:tab/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conducteur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neutralise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braquant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tout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tenant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commande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t>direction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cette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neutralisation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n’est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pas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annulée,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comme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indiqué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</w:t>
      </w:r>
      <w:r w:rsidR="004B7086">
        <w:rPr>
          <w:lang w:eastAsia="ja-JP"/>
        </w:rPr>
        <w:t xml:space="preserve"> </w:t>
      </w:r>
      <w:r w:rsidR="00023E07" w:rsidRPr="00BF4EB9">
        <w:rPr>
          <w:lang w:eastAsia="ja-JP"/>
        </w:rPr>
        <w:t>paragraphe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6.3.1</w:t>
      </w:r>
      <w:r w:rsidR="008C5C24">
        <w:rPr>
          <w:lang w:eastAsia="ja-JP"/>
        </w:rPr>
        <w:t> ;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ou</w:t>
      </w:r>
    </w:p>
    <w:p w:rsidR="00DB758D" w:rsidRPr="00BF4EB9" w:rsidRDefault="00DB758D" w:rsidP="00F4764E">
      <w:pPr>
        <w:pStyle w:val="SingleTxtG"/>
        <w:ind w:left="2835" w:hanging="567"/>
        <w:rPr>
          <w:lang w:eastAsia="ja-JP"/>
        </w:rPr>
      </w:pPr>
      <w:r w:rsidRPr="00BF4EB9">
        <w:rPr>
          <w:lang w:eastAsia="ja-JP"/>
        </w:rPr>
        <w:t>b)</w:t>
      </w:r>
      <w:r w:rsidRPr="00BF4EB9">
        <w:rPr>
          <w:lang w:eastAsia="ja-JP"/>
        </w:rPr>
        <w:tab/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conducteur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tient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commande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direction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neutralise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freinant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ou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accélérant,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comme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indiqué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aux</w:t>
      </w:r>
      <w:r w:rsidR="004B7086">
        <w:rPr>
          <w:lang w:eastAsia="ja-JP"/>
        </w:rPr>
        <w:t xml:space="preserve"> </w:t>
      </w:r>
      <w:r w:rsidR="00023E07" w:rsidRPr="00BF4EB9">
        <w:rPr>
          <w:lang w:eastAsia="ja-JP"/>
        </w:rPr>
        <w:t>paragraphes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6.3.2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6.3.3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ci-dessous.</w:t>
      </w:r>
    </w:p>
    <w:p w:rsidR="00DB758D" w:rsidRPr="00BF4EB9" w:rsidRDefault="00023E07" w:rsidP="00360239">
      <w:pPr>
        <w:pStyle w:val="SingleTxtG"/>
        <w:rPr>
          <w:lang w:eastAsia="ja-JP"/>
        </w:rPr>
      </w:pPr>
      <w:r w:rsidRPr="00360239">
        <w:rPr>
          <w:i/>
          <w:iCs/>
          <w:lang w:eastAsia="ja-JP"/>
        </w:rPr>
        <w:t>Paragraphe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6.3.7</w:t>
      </w:r>
      <w:r w:rsidR="00DB758D" w:rsidRPr="00BF4EB9">
        <w:rPr>
          <w:lang w:eastAsia="ja-JP"/>
        </w:rPr>
        <w:t>,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supprimer.</w:t>
      </w:r>
    </w:p>
    <w:p w:rsidR="00DB758D" w:rsidRPr="00BF4EB9" w:rsidRDefault="00023E07" w:rsidP="00360239">
      <w:pPr>
        <w:pStyle w:val="SingleTxtG"/>
        <w:rPr>
          <w:lang w:eastAsia="ja-JP"/>
        </w:rPr>
      </w:pPr>
      <w:r w:rsidRPr="00360239">
        <w:rPr>
          <w:i/>
          <w:iCs/>
          <w:lang w:eastAsia="ja-JP"/>
        </w:rPr>
        <w:t>Paragraphe</w:t>
      </w:r>
      <w:r w:rsidR="004B7086">
        <w:rPr>
          <w:i/>
          <w:iCs/>
          <w:lang w:eastAsia="ja-JP"/>
        </w:rPr>
        <w:t xml:space="preserve"> </w:t>
      </w:r>
      <w:r w:rsidR="00DB758D" w:rsidRPr="00360239">
        <w:rPr>
          <w:i/>
          <w:iCs/>
          <w:lang w:eastAsia="ja-JP"/>
        </w:rPr>
        <w:t>6.4.3</w:t>
      </w:r>
      <w:r w:rsidR="00DB758D" w:rsidRPr="00BF4EB9">
        <w:rPr>
          <w:lang w:eastAsia="ja-JP"/>
        </w:rPr>
        <w:t>,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modification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sans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objet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français.</w:t>
      </w:r>
    </w:p>
    <w:p w:rsidR="00DB758D" w:rsidRPr="00BF4EB9" w:rsidRDefault="00023E07" w:rsidP="00360239">
      <w:pPr>
        <w:pStyle w:val="SingleTxtG"/>
        <w:rPr>
          <w:lang w:eastAsia="ja-JP"/>
        </w:rPr>
      </w:pPr>
      <w:r w:rsidRPr="00BF4EB9">
        <w:rPr>
          <w:i/>
          <w:iCs/>
          <w:lang w:eastAsia="ja-JP"/>
        </w:rPr>
        <w:t>Paragraphe</w:t>
      </w:r>
      <w:r w:rsidR="004B7086">
        <w:rPr>
          <w:i/>
          <w:iCs/>
          <w:lang w:eastAsia="ja-JP"/>
        </w:rPr>
        <w:t xml:space="preserve"> </w:t>
      </w:r>
      <w:r w:rsidR="00DB758D" w:rsidRPr="00BF4EB9">
        <w:rPr>
          <w:i/>
          <w:iCs/>
          <w:lang w:eastAsia="ja-JP"/>
        </w:rPr>
        <w:t>6.4.4</w:t>
      </w:r>
      <w:r w:rsidR="00DB758D" w:rsidRPr="00360239">
        <w:rPr>
          <w:lang w:eastAsia="ja-JP"/>
        </w:rPr>
        <w:t>,</w:t>
      </w:r>
      <w:r w:rsidR="004B7086">
        <w:rPr>
          <w:i/>
          <w:iCs/>
          <w:lang w:eastAsia="ja-JP"/>
        </w:rPr>
        <w:t xml:space="preserve"> </w:t>
      </w:r>
      <w:r w:rsidR="00DB758D" w:rsidRPr="00BF4EB9">
        <w:rPr>
          <w:lang w:eastAsia="ja-JP"/>
        </w:rPr>
        <w:t>modifier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comme</w:t>
      </w:r>
      <w:r w:rsidR="004B7086">
        <w:rPr>
          <w:lang w:eastAsia="ja-JP"/>
        </w:rPr>
        <w:t xml:space="preserve"> </w:t>
      </w:r>
      <w:r w:rsidR="00DB758D" w:rsidRPr="00BF4EB9">
        <w:rPr>
          <w:lang w:eastAsia="ja-JP"/>
        </w:rPr>
        <w:t>suit</w:t>
      </w:r>
      <w:r w:rsidR="004B7086">
        <w:rPr>
          <w:lang w:eastAsia="ja-JP"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6.4.4</w:t>
      </w:r>
      <w:r w:rsidRPr="00BF4EB9">
        <w:tab/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place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exemples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signaux</w:t>
      </w:r>
      <w:r w:rsidR="004B7086">
        <w:t xml:space="preserve"> </w:t>
      </w:r>
      <w:r w:rsidRPr="00BF4EB9">
        <w:t>visuels</w:t>
      </w:r>
      <w:r w:rsidR="004B7086">
        <w:t xml:space="preserve"> </w:t>
      </w:r>
      <w:r w:rsidRPr="00BF4EB9">
        <w:t>donnés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="00023E07" w:rsidRPr="00BF4EB9">
        <w:t>paragraphes</w:t>
      </w:r>
      <w:r w:rsidR="004B7086">
        <w:t xml:space="preserve"> </w:t>
      </w:r>
      <w:r w:rsidRPr="00BF4EB9">
        <w:t>6.4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suivants</w:t>
      </w:r>
      <w:r w:rsidR="004B7086">
        <w:t xml:space="preserve"> </w:t>
      </w:r>
      <w:r w:rsidRPr="00BF4EB9">
        <w:t>ci-dessus,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possible</w:t>
      </w:r>
      <w:r w:rsidR="004B7086">
        <w:t xml:space="preserve"> </w:t>
      </w:r>
      <w:r w:rsidRPr="00BF4EB9">
        <w:t>d’utiliser</w:t>
      </w:r>
      <w:r w:rsidR="004B7086">
        <w:t xml:space="preserve"> </w:t>
      </w:r>
      <w:r w:rsidRPr="00BF4EB9">
        <w:t>d’autres</w:t>
      </w:r>
      <w:r w:rsidR="004B7086">
        <w:t xml:space="preserve"> </w:t>
      </w:r>
      <w:r w:rsidRPr="00BF4EB9">
        <w:t>types</w:t>
      </w:r>
      <w:r w:rsidR="004B7086">
        <w:t xml:space="preserve"> </w:t>
      </w:r>
      <w:r w:rsidRPr="00BF4EB9">
        <w:t>d’interface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condition</w:t>
      </w:r>
      <w:r w:rsidR="004B7086">
        <w:t xml:space="preserve"> </w:t>
      </w:r>
      <w:r w:rsidRPr="00BF4EB9">
        <w:t>qu’ils</w:t>
      </w:r>
      <w:r w:rsidR="004B7086">
        <w:t xml:space="preserve"> </w:t>
      </w:r>
      <w:r w:rsidRPr="00BF4EB9">
        <w:t>soient</w:t>
      </w:r>
      <w:r w:rsidR="004B7086">
        <w:t xml:space="preserve"> </w:t>
      </w:r>
      <w:r w:rsidRPr="00BF4EB9">
        <w:t>adéquats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tout</w:t>
      </w:r>
      <w:r w:rsidR="004B7086">
        <w:t xml:space="preserve"> </w:t>
      </w:r>
      <w:r w:rsidRPr="00BF4EB9">
        <w:t>aussi</w:t>
      </w:r>
      <w:r w:rsidR="004B7086">
        <w:t xml:space="preserve"> </w:t>
      </w:r>
      <w:r w:rsidRPr="00BF4EB9">
        <w:t>perceptibles.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incombe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démontrer,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l’appui,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d’évaluer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interfaces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6.4.5</w:t>
      </w:r>
      <w:r w:rsidR="00DB758D" w:rsidRPr="00F4764E">
        <w:t>,</w:t>
      </w:r>
      <w:r w:rsidR="004B7086">
        <w:rPr>
          <w:i/>
          <w:iCs/>
        </w:rPr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6.4.5</w:t>
      </w:r>
      <w:r w:rsidRPr="00BF4EB9">
        <w:tab/>
        <w:t>Priorisation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avertissements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automatisé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</w:p>
    <w:p w:rsidR="00DB758D" w:rsidRPr="00BF4EB9" w:rsidRDefault="00DB758D" w:rsidP="00F4764E">
      <w:pPr>
        <w:pStyle w:val="SingleTxtG"/>
        <w:ind w:left="2268"/>
      </w:pPr>
      <w:r w:rsidRPr="00BF4EB9">
        <w:t>Les</w:t>
      </w:r>
      <w:r w:rsidR="004B7086">
        <w:t xml:space="preserve"> </w:t>
      </w:r>
      <w:r w:rsidRPr="00BF4EB9">
        <w:t>avertissements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automatisé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phase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transition,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manœuvre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risque</w:t>
      </w:r>
      <w:r w:rsidR="004B7086">
        <w:t xml:space="preserve"> </w:t>
      </w:r>
      <w:r w:rsidRPr="00BF4EB9">
        <w:t>minimal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manœuvre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peuvent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prioritaires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autres</w:t>
      </w:r>
      <w:r w:rsidR="004B7086">
        <w:t xml:space="preserve"> </w:t>
      </w:r>
      <w:r w:rsidRPr="00BF4EB9">
        <w:t>avertissements</w:t>
      </w:r>
      <w:r w:rsidR="004B7086">
        <w:t xml:space="preserve"> </w:t>
      </w:r>
      <w:r w:rsidRPr="00BF4EB9">
        <w:t>du</w:t>
      </w:r>
      <w:r w:rsidR="00452345">
        <w:t> </w:t>
      </w:r>
      <w:r w:rsidRPr="00BF4EB9">
        <w:t>véhicule.</w:t>
      </w:r>
    </w:p>
    <w:p w:rsidR="00DB758D" w:rsidRPr="00BF4EB9" w:rsidRDefault="00DB758D" w:rsidP="00F4764E">
      <w:pPr>
        <w:pStyle w:val="SingleTxtG"/>
        <w:ind w:left="2268"/>
      </w:pPr>
      <w:r w:rsidRPr="00BF4EB9">
        <w:t>La</w:t>
      </w:r>
      <w:r w:rsidR="004B7086">
        <w:t xml:space="preserve"> </w:t>
      </w:r>
      <w:r w:rsidRPr="00BF4EB9">
        <w:t>priorité</w:t>
      </w:r>
      <w:r w:rsidR="004B7086">
        <w:t xml:space="preserve"> </w:t>
      </w:r>
      <w:r w:rsidRPr="00BF4EB9">
        <w:t>accordée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différents</w:t>
      </w:r>
      <w:r w:rsidR="004B7086">
        <w:t xml:space="preserve"> </w:t>
      </w:r>
      <w:r w:rsidRPr="00BF4EB9">
        <w:t>avertissements</w:t>
      </w:r>
      <w:r w:rsidR="004B7086">
        <w:t xml:space="preserve"> </w:t>
      </w:r>
      <w:r w:rsidRPr="00BF4EB9">
        <w:t>sonores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visuels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fonctionnement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automatisé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déclarée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l’homologation</w:t>
      </w:r>
      <w:r w:rsidR="004B7086">
        <w:t xml:space="preserve"> </w:t>
      </w:r>
      <w:r w:rsidRPr="00BF4EB9">
        <w:t>de</w:t>
      </w:r>
      <w:r w:rsidR="00452345">
        <w:t> </w:t>
      </w:r>
      <w:r w:rsidRPr="00BF4EB9">
        <w:t>type.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7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7.1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7.</w:t>
      </w:r>
      <w:r w:rsidRPr="00BF4EB9">
        <w:tab/>
        <w:t>Détection</w:t>
      </w:r>
      <w:r w:rsidR="004B7086">
        <w:t xml:space="preserve"> </w:t>
      </w:r>
      <w:r w:rsidRPr="00BF4EB9">
        <w:t>d’objets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d’événements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réaction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respect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l’inspection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stratégie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cadre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décrite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essais</w:t>
      </w:r>
      <w:r w:rsidR="004B7086">
        <w:t xml:space="preserve"> </w:t>
      </w:r>
      <w:r w:rsidRPr="00BF4EB9">
        <w:t>pertinents</w:t>
      </w:r>
      <w:r w:rsidR="004B7086">
        <w:t xml:space="preserve"> </w:t>
      </w:r>
      <w:r w:rsidRPr="00BF4EB9">
        <w:t>décrits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5.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7.1</w:t>
      </w:r>
      <w:r w:rsidRPr="00BF4EB9">
        <w:tab/>
        <w:t>Prescriptions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capteurs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7.1.4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7.1.4</w:t>
      </w:r>
      <w:r w:rsidRPr="00BF4EB9">
        <w:tab/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fournir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preuve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effets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l’usure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vieillissement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ramènent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l’efficacité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détection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dessous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valeurs</w:t>
      </w:r>
      <w:r w:rsidR="004B7086">
        <w:t xml:space="preserve"> </w:t>
      </w:r>
      <w:r w:rsidRPr="00BF4EB9">
        <w:t>minimales</w:t>
      </w:r>
      <w:r w:rsidR="004B7086">
        <w:t xml:space="preserve"> </w:t>
      </w:r>
      <w:r w:rsidRPr="00BF4EB9">
        <w:t>requises</w:t>
      </w:r>
      <w:r w:rsidR="004B7086">
        <w:t xml:space="preserve"> </w:t>
      </w:r>
      <w:r w:rsidRPr="00BF4EB9">
        <w:t>précisées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7.1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toute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durée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vie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système.</w:t>
      </w:r>
    </w:p>
    <w:p w:rsidR="00DB758D" w:rsidRPr="00BF4EB9" w:rsidRDefault="00023E07" w:rsidP="00360239">
      <w:pPr>
        <w:pStyle w:val="SingleTxtG"/>
      </w:pPr>
      <w:r w:rsidRPr="0036023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8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8.1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8.</w:t>
      </w:r>
      <w:r w:rsidRPr="00BF4EB9">
        <w:tab/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respect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dispositions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service</w:t>
      </w:r>
      <w:r w:rsidR="004B7086">
        <w:t xml:space="preserve"> </w:t>
      </w:r>
      <w:r w:rsidRPr="00BF4EB9">
        <w:t>technique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l’inspection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stratégie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cadre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décrite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4.</w:t>
      </w:r>
    </w:p>
    <w:p w:rsidR="00DB758D" w:rsidRPr="00BF4EB9" w:rsidRDefault="00DB758D" w:rsidP="00F4764E">
      <w:pPr>
        <w:pStyle w:val="SingleTxtG"/>
        <w:keepNext/>
        <w:ind w:left="2268" w:hanging="1134"/>
      </w:pPr>
      <w:r w:rsidRPr="00BF4EB9">
        <w:t>8.1</w:t>
      </w:r>
      <w:r w:rsidRPr="00BF4EB9">
        <w:tab/>
        <w:t>Équipement</w:t>
      </w:r>
    </w:p>
    <w:p w:rsidR="00DB758D" w:rsidRPr="00BF4EB9" w:rsidRDefault="00DB758D" w:rsidP="00F4764E">
      <w:pPr>
        <w:pStyle w:val="SingleTxtG"/>
        <w:ind w:left="2268"/>
      </w:pPr>
      <w:r w:rsidRPr="00BF4EB9">
        <w:lastRenderedPageBreak/>
        <w:t>Chaque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équipé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automatisé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maintien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voie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muni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stockage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données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conduite</w:t>
      </w:r>
      <w:r w:rsidR="004B7086">
        <w:t xml:space="preserve"> </w:t>
      </w:r>
      <w:r w:rsidRPr="00BF4EB9">
        <w:t>automatisée</w:t>
      </w:r>
      <w:r w:rsidR="004B7086">
        <w:t xml:space="preserve"> </w:t>
      </w:r>
      <w:r w:rsidRPr="00BF4EB9">
        <w:t>répondant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énoncées</w:t>
      </w:r>
      <w:r w:rsidR="004B7086">
        <w:t xml:space="preserve"> </w:t>
      </w:r>
      <w:r w:rsidRPr="00BF4EB9">
        <w:t>ci-dessous.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8.3.2</w:t>
      </w:r>
      <w:r w:rsidR="00DB758D" w:rsidRPr="00F4764E">
        <w:t>,</w:t>
      </w:r>
      <w:r w:rsidR="004B7086">
        <w:rPr>
          <w:i/>
          <w:iCs/>
        </w:rPr>
        <w:t xml:space="preserve"> </w:t>
      </w:r>
      <w:r w:rsidR="00DB758D" w:rsidRPr="00BF4EB9">
        <w:t>remplacer</w:t>
      </w:r>
      <w:r w:rsidR="004B7086">
        <w:t xml:space="preserve"> </w:t>
      </w:r>
      <w:r w:rsidR="00F4764E">
        <w:t>« </w:t>
      </w:r>
      <w:r w:rsidR="00DB758D" w:rsidRPr="00BF4EB9">
        <w:t>R</w:t>
      </w:r>
      <w:r w:rsidR="00DB758D" w:rsidRPr="00BF4EB9">
        <w:rPr>
          <w:vertAlign w:val="subscript"/>
        </w:rPr>
        <w:t>15x</w:t>
      </w:r>
      <w:r w:rsidR="00F4764E">
        <w:t> »</w:t>
      </w:r>
      <w:r w:rsidR="004B7086">
        <w:t xml:space="preserve"> </w:t>
      </w:r>
      <w:r w:rsidR="00DB758D" w:rsidRPr="00BF4EB9">
        <w:t>par</w:t>
      </w:r>
      <w:r w:rsidR="004B7086">
        <w:t xml:space="preserve"> </w:t>
      </w:r>
      <w:r w:rsidR="00F4764E">
        <w:t>« </w:t>
      </w:r>
      <w:r w:rsidR="00DB758D" w:rsidRPr="00BF4EB9">
        <w:t>R</w:t>
      </w:r>
      <w:r w:rsidR="00DB758D" w:rsidRPr="00BF4EB9">
        <w:rPr>
          <w:vertAlign w:val="subscript"/>
        </w:rPr>
        <w:t>157</w:t>
      </w:r>
      <w:r w:rsidR="00F4764E">
        <w:t> »</w:t>
      </w:r>
    </w:p>
    <w:p w:rsidR="00DB758D" w:rsidRPr="00BF4EB9" w:rsidRDefault="00023E07" w:rsidP="00360239">
      <w:pPr>
        <w:pStyle w:val="SingleTxtG"/>
      </w:pPr>
      <w:r w:rsidRPr="0036023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9,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9.1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9.2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9.</w:t>
      </w:r>
      <w:r w:rsidRPr="00BF4EB9">
        <w:tab/>
        <w:t>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9.1</w:t>
      </w:r>
      <w:r w:rsidRPr="00BF4EB9">
        <w:tab/>
        <w:t>Cybersécurité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gestion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cybersécurité</w:t>
      </w:r>
    </w:p>
    <w:p w:rsidR="00DB758D" w:rsidRPr="00BF4EB9" w:rsidRDefault="00DB758D" w:rsidP="00F4764E">
      <w:pPr>
        <w:pStyle w:val="SingleTxtG"/>
        <w:ind w:left="2268"/>
      </w:pPr>
      <w:r w:rsidRPr="00BF4EB9">
        <w:t>L’efficacité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compromise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des</w:t>
      </w:r>
      <w:r w:rsidR="004B7086">
        <w:t xml:space="preserve"> </w:t>
      </w:r>
      <w:proofErr w:type="spellStart"/>
      <w:r w:rsidRPr="00BF4EB9">
        <w:t>cyberattaques</w:t>
      </w:r>
      <w:proofErr w:type="spellEnd"/>
      <w:r w:rsidRPr="00BF4EB9">
        <w:t>,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cybermenaces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vulnérabilités.</w:t>
      </w:r>
      <w:r w:rsidR="004B7086">
        <w:t xml:space="preserve"> </w:t>
      </w:r>
      <w:r w:rsidRPr="00BF4EB9">
        <w:t>L’efficacité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mesures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sécurité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respect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F4764E">
        <w:rPr>
          <w:rFonts w:eastAsia="MS Mincho"/>
        </w:rPr>
        <w:t>n</w:t>
      </w:r>
      <w:r w:rsidR="00F4764E">
        <w:rPr>
          <w:rFonts w:eastAsia="MS Mincho"/>
          <w:vertAlign w:val="superscript"/>
        </w:rPr>
        <w:t>o</w:t>
      </w:r>
      <w:r w:rsidR="00F4764E">
        <w:t> </w:t>
      </w:r>
      <w:r w:rsidRPr="00BF4EB9">
        <w:t>155.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9.2</w:t>
      </w:r>
      <w:r w:rsidRPr="00BF4EB9">
        <w:tab/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gestion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</w:p>
    <w:p w:rsidR="00DB758D" w:rsidRPr="00BF4EB9" w:rsidRDefault="00DB758D" w:rsidP="00F4764E">
      <w:pPr>
        <w:pStyle w:val="SingleTxtG"/>
        <w:ind w:left="2268"/>
      </w:pPr>
      <w:r w:rsidRPr="00BF4EB9">
        <w:t>Si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permet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logiciels,</w:t>
      </w:r>
      <w:r w:rsidR="004B7086">
        <w:t xml:space="preserve"> </w:t>
      </w:r>
      <w:r w:rsidRPr="00BF4EB9">
        <w:t>l’efficacité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procédures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processus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démontrée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respect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F4764E">
        <w:rPr>
          <w:rFonts w:eastAsia="MS Mincho"/>
        </w:rPr>
        <w:t>n</w:t>
      </w:r>
      <w:r w:rsidR="00F4764E">
        <w:rPr>
          <w:rFonts w:eastAsia="MS Mincho"/>
          <w:vertAlign w:val="superscript"/>
        </w:rPr>
        <w:t>o</w:t>
      </w:r>
      <w:r w:rsidR="00F4764E">
        <w:t> </w:t>
      </w:r>
      <w:r w:rsidRPr="00BF4EB9">
        <w:t>156.</w:t>
      </w:r>
    </w:p>
    <w:p w:rsidR="00DB758D" w:rsidRPr="00BF4EB9" w:rsidRDefault="00DB758D" w:rsidP="00360239">
      <w:pPr>
        <w:pStyle w:val="SingleTxtG"/>
      </w:pPr>
      <w:r w:rsidRPr="00BF4EB9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="00023E07" w:rsidRPr="00BF4EB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9.3.1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à</w:t>
      </w:r>
      <w:r w:rsidR="004B7086">
        <w:rPr>
          <w:i/>
          <w:iCs/>
        </w:rPr>
        <w:t xml:space="preserve"> </w:t>
      </w:r>
      <w:r w:rsidRPr="00BF4EB9">
        <w:rPr>
          <w:i/>
          <w:iCs/>
        </w:rPr>
        <w:t>9.3.2.3</w:t>
      </w:r>
      <w:r w:rsidRPr="00F4764E">
        <w:t>,</w:t>
      </w:r>
      <w:r w:rsidR="004B7086" w:rsidRPr="00F4764E">
        <w:t xml:space="preserve"> </w:t>
      </w:r>
      <w:r w:rsidRPr="00BF4EB9">
        <w:t>remplacer</w:t>
      </w:r>
      <w:r w:rsidR="004B7086">
        <w:t xml:space="preserve"> </w:t>
      </w:r>
      <w:r w:rsidR="00F4764E">
        <w:t>« </w:t>
      </w:r>
      <w:r w:rsidRPr="00BF4EB9">
        <w:rPr>
          <w:i/>
          <w:iCs/>
        </w:rPr>
        <w:t>R</w:t>
      </w:r>
      <w:r w:rsidRPr="00BF4EB9">
        <w:rPr>
          <w:i/>
          <w:iCs/>
          <w:vertAlign w:val="subscript"/>
        </w:rPr>
        <w:t>15x</w:t>
      </w:r>
      <w:r w:rsidR="00F4764E">
        <w:t> »</w:t>
      </w:r>
      <w:r w:rsidR="004B7086">
        <w:t xml:space="preserve"> </w:t>
      </w:r>
      <w:r w:rsidRPr="00BF4EB9">
        <w:t>par</w:t>
      </w:r>
      <w:r w:rsidR="004B7086">
        <w:t xml:space="preserve"> </w:t>
      </w:r>
      <w:r w:rsidR="00F4764E">
        <w:t>« </w:t>
      </w:r>
      <w:r w:rsidRPr="00BF4EB9">
        <w:rPr>
          <w:i/>
          <w:iCs/>
        </w:rPr>
        <w:t>R</w:t>
      </w:r>
      <w:r w:rsidRPr="00BF4EB9">
        <w:rPr>
          <w:i/>
          <w:iCs/>
          <w:vertAlign w:val="subscript"/>
        </w:rPr>
        <w:t>157</w:t>
      </w:r>
      <w:r w:rsidR="00F4764E">
        <w:t> »</w:t>
      </w:r>
      <w:r w:rsidR="004B7086">
        <w:t xml:space="preserve"> </w:t>
      </w:r>
      <w:r w:rsidRPr="00BF4EB9">
        <w:t>et</w:t>
      </w:r>
      <w:r w:rsidR="004B7086">
        <w:t xml:space="preserve"> </w:t>
      </w:r>
      <w:r w:rsidR="00F4764E">
        <w:t>« </w:t>
      </w:r>
      <w:r w:rsidRPr="00BF4EB9">
        <w:t>15Y</w:t>
      </w:r>
      <w:r w:rsidR="00F4764E">
        <w:t> »</w:t>
      </w:r>
      <w:r w:rsidR="004B7086">
        <w:t xml:space="preserve"> </w:t>
      </w:r>
      <w:r w:rsidRPr="00BF4EB9">
        <w:t>par</w:t>
      </w:r>
      <w:r w:rsidR="004B7086">
        <w:t xml:space="preserve"> </w:t>
      </w:r>
      <w:r w:rsidR="00F4764E">
        <w:t>« </w:t>
      </w:r>
      <w:r w:rsidRPr="00BF4EB9">
        <w:t>156</w:t>
      </w:r>
      <w:r w:rsidR="00F4764E">
        <w:t> »</w:t>
      </w:r>
      <w:r w:rsidRPr="00BF4EB9">
        <w:t>.</w:t>
      </w:r>
    </w:p>
    <w:p w:rsidR="00DB758D" w:rsidRPr="00BF4EB9" w:rsidRDefault="00DB758D" w:rsidP="00360239">
      <w:pPr>
        <w:pStyle w:val="SingleTxtG"/>
      </w:pPr>
      <w:r w:rsidRPr="00BF4EB9">
        <w:rPr>
          <w:u w:val="single"/>
        </w:rPr>
        <w:t>Note</w:t>
      </w:r>
      <w:r w:rsidR="004B7086">
        <w:rPr>
          <w:u w:val="single"/>
        </w:rPr>
        <w:t> :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supplémentaires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adoptées,</w:t>
      </w:r>
      <w:r w:rsidR="004B7086">
        <w:t xml:space="preserve"> </w:t>
      </w:r>
      <w:r w:rsidRPr="00BF4EB9">
        <w:t>telles</w:t>
      </w:r>
      <w:r w:rsidR="004B7086">
        <w:t xml:space="preserve"> </w:t>
      </w:r>
      <w:r w:rsidRPr="00BF4EB9">
        <w:t>qu’elles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GRVA-07-69-Rev.1.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reproduites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longueur.</w:t>
      </w:r>
    </w:p>
    <w:p w:rsidR="00360239" w:rsidRDefault="0036023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:rsidR="00DB758D" w:rsidRPr="00BF4EB9" w:rsidRDefault="00023E07" w:rsidP="00360239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IV</w:t>
      </w:r>
    </w:p>
    <w:p w:rsidR="00DB758D" w:rsidRPr="00BF4EB9" w:rsidRDefault="00DB758D" w:rsidP="00360239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bookmarkStart w:id="27" w:name="_Hlk61433730"/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document</w:t>
      </w:r>
      <w:r w:rsidR="004B7086">
        <w:t xml:space="preserve"> </w:t>
      </w:r>
      <w:bookmarkEnd w:id="27"/>
      <w:r w:rsidRPr="00BF4EB9">
        <w:t>ECE/TRANS/WP.29/GRVA/2020/29</w:t>
      </w:r>
    </w:p>
    <w:p w:rsidR="00DB758D" w:rsidRPr="00BF4EB9" w:rsidRDefault="00DB758D" w:rsidP="00360239">
      <w:pPr>
        <w:pStyle w:val="H1G"/>
        <w:rPr>
          <w:iCs/>
        </w:rPr>
      </w:pPr>
      <w:r w:rsidRPr="00BF4EB9">
        <w:tab/>
      </w:r>
      <w:r w:rsidRPr="00BF4EB9">
        <w:tab/>
      </w:r>
      <w:bookmarkStart w:id="28" w:name="_Hlk61433819"/>
      <w:r w:rsidRPr="00BF4EB9"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bookmarkEnd w:id="28"/>
      <w:r w:rsidRPr="00BF4EB9">
        <w:t>GRVA-07-50</w:t>
      </w:r>
      <w:r w:rsidR="004B7086">
        <w:t xml:space="preserve"> </w:t>
      </w:r>
      <w:r w:rsidRPr="00BF4EB9">
        <w:rPr>
          <w:iCs/>
        </w:rPr>
        <w:t>(</w:t>
      </w:r>
      <w:bookmarkStart w:id="29" w:name="_Hlk61433940"/>
      <w:r w:rsidRPr="00BF4EB9">
        <w:rPr>
          <w:iCs/>
        </w:rPr>
        <w:t>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bookmarkEnd w:id="29"/>
      <w:r w:rsidRPr="00BF4EB9">
        <w:rPr>
          <w:iCs/>
        </w:rPr>
        <w:t>34)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3.1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a)</w:t>
      </w:r>
      <w:r w:rsidR="00DB758D" w:rsidRPr="00F4764E">
        <w:t>,</w:t>
      </w:r>
      <w:r w:rsidR="004B7086" w:rsidRPr="00F4764E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452345">
      <w:pPr>
        <w:pStyle w:val="SingleTxtG"/>
        <w:ind w:left="2268"/>
      </w:pPr>
      <w:r w:rsidRPr="00BF4EB9">
        <w:t>a)</w:t>
      </w:r>
      <w:r w:rsidRPr="00BF4EB9">
        <w:tab/>
        <w:t>Avant</w:t>
      </w:r>
      <w:r w:rsidR="004B7086">
        <w:t xml:space="preserve"> </w:t>
      </w:r>
      <w:r w:rsidRPr="00BF4EB9">
        <w:t>d’exécuter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première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véhicule,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constructeur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s’assurer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dispose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homologation</w:t>
      </w:r>
      <w:r w:rsidR="004B7086">
        <w:t xml:space="preserve"> </w:t>
      </w:r>
      <w:r w:rsidRPr="00BF4EB9">
        <w:t>valable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processus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gestion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mises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</w:t>
      </w:r>
      <w:r w:rsidR="004B7086">
        <w:t xml:space="preserve"> </w:t>
      </w:r>
      <w:r w:rsidRPr="00BF4EB9">
        <w:t>valide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adapté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type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véhicule</w:t>
      </w:r>
      <w:r w:rsidR="008C5C24">
        <w:t> ;</w:t>
      </w:r>
    </w:p>
    <w:p w:rsidR="00DB758D" w:rsidRPr="00BF4EB9" w:rsidRDefault="00DB758D" w:rsidP="00360239">
      <w:pPr>
        <w:pStyle w:val="SingleTxtG"/>
      </w:pPr>
      <w:r w:rsidRPr="00360239">
        <w:rPr>
          <w:i/>
          <w:iCs/>
        </w:rPr>
        <w:t>Dans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le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diagramme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du</w:t>
      </w:r>
      <w:r w:rsidR="004B7086">
        <w:rPr>
          <w:i/>
          <w:iCs/>
        </w:rPr>
        <w:t xml:space="preserve"> </w:t>
      </w:r>
      <w:r w:rsidR="00023E07" w:rsidRPr="0036023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3.3</w:t>
      </w:r>
      <w:r w:rsidRPr="00BF4EB9">
        <w:t>,</w:t>
      </w:r>
      <w:r w:rsidR="004B7086">
        <w:t xml:space="preserve"> </w:t>
      </w:r>
      <w:r w:rsidRPr="00BF4EB9">
        <w:t>modification</w:t>
      </w:r>
      <w:r w:rsidR="004B7086">
        <w:t xml:space="preserve"> </w:t>
      </w:r>
      <w:r w:rsidRPr="00BF4EB9">
        <w:t>sans</w:t>
      </w:r>
      <w:r w:rsidR="004B7086">
        <w:t xml:space="preserve"> </w:t>
      </w:r>
      <w:r w:rsidRPr="00BF4EB9">
        <w:t>objet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français.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Q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(ajouter</w:t>
      </w:r>
      <w:r w:rsidR="004B7086">
        <w:t xml:space="preserve"> </w:t>
      </w:r>
      <w:r w:rsidR="00DB758D" w:rsidRPr="00BF4EB9">
        <w:t>l’alinéa</w:t>
      </w:r>
      <w:r w:rsidR="004B7086">
        <w:t xml:space="preserve"> </w:t>
      </w:r>
      <w:r w:rsidR="00F4764E">
        <w:t>« </w:t>
      </w:r>
      <w:r w:rsidR="00DB758D" w:rsidRPr="00BF4EB9">
        <w:t>c)</w:t>
      </w:r>
      <w:r w:rsidR="00F4764E">
        <w:t> »</w:t>
      </w:r>
      <w:r w:rsidR="00DB758D" w:rsidRPr="00BF4EB9">
        <w:t>)</w:t>
      </w:r>
      <w:r w:rsidR="004B7086">
        <w:t> :</w:t>
      </w:r>
    </w:p>
    <w:p w:rsidR="00DB758D" w:rsidRPr="00BF4EB9" w:rsidRDefault="00360239" w:rsidP="00F4764E">
      <w:pPr>
        <w:pStyle w:val="SingleTxtG"/>
        <w:ind w:left="2268"/>
      </w:pPr>
      <w:r>
        <w:t>…</w:t>
      </w:r>
    </w:p>
    <w:p w:rsidR="00DB758D" w:rsidRPr="00BF4EB9" w:rsidRDefault="00DB758D" w:rsidP="00452345">
      <w:pPr>
        <w:pStyle w:val="SingleTxtG"/>
        <w:ind w:left="2268"/>
      </w:pPr>
      <w:r w:rsidRPr="00BF4EB9">
        <w:t>c)</w:t>
      </w:r>
      <w:r w:rsidRPr="00BF4EB9">
        <w:tab/>
        <w:t>Pour</w:t>
      </w:r>
      <w:r w:rsidR="004B7086">
        <w:t xml:space="preserve"> </w:t>
      </w:r>
      <w:r w:rsidRPr="00BF4EB9">
        <w:t>ce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informations</w:t>
      </w:r>
      <w:r w:rsidR="004B7086">
        <w:t xml:space="preserve"> </w:t>
      </w:r>
      <w:r w:rsidRPr="00BF4EB9">
        <w:t>relatives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concerne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code</w:t>
      </w:r>
      <w:r w:rsidR="004B7086">
        <w:t xml:space="preserve"> </w:t>
      </w:r>
      <w:r w:rsidRPr="00BF4EB9">
        <w:t>R</w:t>
      </w:r>
      <w:r w:rsidRPr="00BF4EB9">
        <w:rPr>
          <w:vertAlign w:val="subscript"/>
        </w:rPr>
        <w:t>X</w:t>
      </w:r>
      <w:r w:rsidRPr="00BF4EB9">
        <w:t>SWIN</w:t>
      </w:r>
      <w:r w:rsidR="004B7086">
        <w:t> :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</w:p>
    <w:p w:rsidR="00DB758D" w:rsidRPr="00BF4EB9" w:rsidRDefault="00DB758D" w:rsidP="00F4764E">
      <w:pPr>
        <w:pStyle w:val="SingleTxtG"/>
        <w:ind w:left="3402" w:hanging="567"/>
      </w:pPr>
      <w:r w:rsidRPr="00BF4EB9">
        <w:t>i)</w:t>
      </w:r>
      <w:r w:rsidRPr="00BF4EB9">
        <w:tab/>
        <w:t>La</w:t>
      </w:r>
      <w:r w:rsidR="004B7086">
        <w:t xml:space="preserve"> </w:t>
      </w:r>
      <w:r w:rsidRPr="00BF4EB9">
        <w:t>liste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codes</w:t>
      </w:r>
      <w:r w:rsidR="004B7086">
        <w:t xml:space="preserve"> </w:t>
      </w:r>
      <w:r w:rsidRPr="00BF4EB9">
        <w:t>R</w:t>
      </w:r>
      <w:r w:rsidRPr="00BF4EB9">
        <w:rPr>
          <w:vertAlign w:val="subscript"/>
        </w:rPr>
        <w:t>X</w:t>
      </w:r>
      <w:r w:rsidRPr="00BF4EB9">
        <w:t>SWIN</w:t>
      </w:r>
      <w:r w:rsidR="004B7086">
        <w:t xml:space="preserve"> </w:t>
      </w:r>
      <w:r w:rsidRPr="00BF4EB9">
        <w:t>concernés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mise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logiciels.</w:t>
      </w:r>
    </w:p>
    <w:p w:rsidR="00360239" w:rsidRDefault="0036023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DB758D" w:rsidRPr="00BF4EB9" w:rsidRDefault="00023E07" w:rsidP="00360239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V</w:t>
      </w:r>
    </w:p>
    <w:p w:rsidR="00DB758D" w:rsidRPr="00BF4EB9" w:rsidRDefault="00DB758D" w:rsidP="00360239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ECE/TRANS/WP.29/GRVA/2020/26</w:t>
      </w:r>
    </w:p>
    <w:p w:rsidR="00DB758D" w:rsidRPr="00BF4EB9" w:rsidRDefault="00DB758D" w:rsidP="0018363E">
      <w:pPr>
        <w:pStyle w:val="H23G"/>
        <w:rPr>
          <w:iCs/>
        </w:rPr>
      </w:pPr>
      <w:r w:rsidRPr="00BF4EB9">
        <w:tab/>
      </w:r>
      <w:r w:rsidRPr="00BF4EB9">
        <w:tab/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GRVA-07-09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54)</w:t>
      </w:r>
    </w:p>
    <w:p w:rsidR="00DB758D" w:rsidRPr="00BF4EB9" w:rsidRDefault="00DB758D" w:rsidP="00360239">
      <w:pPr>
        <w:pStyle w:val="SingleTxtG"/>
        <w:rPr>
          <w:lang w:eastAsia="nl-NL"/>
        </w:rPr>
      </w:pPr>
      <w:bookmarkStart w:id="30" w:name="_Hlk50132233"/>
      <w:r w:rsidRPr="00360239">
        <w:rPr>
          <w:i/>
          <w:iCs/>
          <w:lang w:eastAsia="nl-NL"/>
        </w:rPr>
        <w:t>Ajouter</w:t>
      </w:r>
      <w:r w:rsidR="004B7086">
        <w:rPr>
          <w:i/>
          <w:iCs/>
          <w:lang w:eastAsia="nl-NL"/>
        </w:rPr>
        <w:t xml:space="preserve"> </w:t>
      </w:r>
      <w:r w:rsidRPr="00360239">
        <w:rPr>
          <w:i/>
          <w:iCs/>
          <w:lang w:eastAsia="nl-NL"/>
        </w:rPr>
        <w:t>un</w:t>
      </w:r>
      <w:r w:rsidR="004B7086">
        <w:rPr>
          <w:i/>
          <w:iCs/>
          <w:lang w:eastAsia="nl-NL"/>
        </w:rPr>
        <w:t xml:space="preserve"> </w:t>
      </w:r>
      <w:r w:rsidRPr="00360239">
        <w:rPr>
          <w:i/>
          <w:iCs/>
          <w:lang w:eastAsia="nl-NL"/>
        </w:rPr>
        <w:t>nouveau</w:t>
      </w:r>
      <w:r w:rsidR="004B7086">
        <w:rPr>
          <w:i/>
          <w:iCs/>
          <w:lang w:eastAsia="nl-NL"/>
        </w:rPr>
        <w:t xml:space="preserve"> </w:t>
      </w:r>
      <w:r w:rsidR="00023E07" w:rsidRPr="00360239">
        <w:rPr>
          <w:i/>
          <w:iCs/>
          <w:lang w:eastAsia="nl-NL"/>
        </w:rPr>
        <w:t>paragraphe</w:t>
      </w:r>
      <w:r w:rsidR="004B7086">
        <w:rPr>
          <w:i/>
          <w:iCs/>
          <w:lang w:eastAsia="nl-NL"/>
        </w:rPr>
        <w:t xml:space="preserve"> </w:t>
      </w:r>
      <w:r w:rsidRPr="00360239">
        <w:rPr>
          <w:i/>
          <w:iCs/>
          <w:lang w:eastAsia="nl-NL"/>
        </w:rPr>
        <w:t>5.1.4.1.3</w:t>
      </w:r>
      <w:r w:rsidR="004B7086">
        <w:rPr>
          <w:lang w:eastAsia="nl-NL"/>
        </w:rPr>
        <w:t xml:space="preserve"> </w:t>
      </w:r>
      <w:r w:rsidRPr="00BF4EB9">
        <w:rPr>
          <w:lang w:eastAsia="nl-NL"/>
        </w:rPr>
        <w:t>ainsi</w:t>
      </w:r>
      <w:r w:rsidR="004B7086">
        <w:rPr>
          <w:lang w:eastAsia="nl-NL"/>
        </w:rPr>
        <w:t xml:space="preserve"> </w:t>
      </w:r>
      <w:r w:rsidRPr="00BF4EB9">
        <w:rPr>
          <w:lang w:eastAsia="nl-NL"/>
        </w:rPr>
        <w:t>conçu</w:t>
      </w:r>
      <w:r w:rsidR="004B7086">
        <w:rPr>
          <w:lang w:eastAsia="nl-NL"/>
        </w:rPr>
        <w:t> :</w:t>
      </w:r>
    </w:p>
    <w:p w:rsidR="00DB758D" w:rsidRPr="00360239" w:rsidRDefault="00DB758D" w:rsidP="005A1351">
      <w:pPr>
        <w:pStyle w:val="SingleTxtG"/>
        <w:ind w:left="2268" w:hanging="1134"/>
        <w:rPr>
          <w:b/>
          <w:bCs/>
        </w:rPr>
      </w:pPr>
      <w:r w:rsidRPr="00360239">
        <w:rPr>
          <w:b/>
          <w:bCs/>
        </w:rPr>
        <w:t>5.1.4.1.3</w:t>
      </w:r>
      <w:r w:rsidRPr="00360239">
        <w:rPr>
          <w:b/>
          <w:bCs/>
        </w:rPr>
        <w:tab/>
        <w:t>Au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moment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détection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d’une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défaillance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nature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non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électrique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(si,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exemple,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un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capteur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occulté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ou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mal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aligné),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témoin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d’avertissement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défini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="00023E07" w:rsidRPr="00360239">
        <w:rPr>
          <w:b/>
          <w:bCs/>
        </w:rPr>
        <w:t>paragraphe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5.1.4.1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doit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360239">
        <w:rPr>
          <w:b/>
          <w:bCs/>
        </w:rPr>
        <w:t>allumé.</w:t>
      </w:r>
    </w:p>
    <w:p w:rsidR="00DB758D" w:rsidRPr="00BF4EB9" w:rsidRDefault="00023E07" w:rsidP="00360239">
      <w:pPr>
        <w:pStyle w:val="SingleTxtG"/>
        <w:rPr>
          <w:lang w:eastAsia="nl-NL"/>
        </w:rPr>
      </w:pPr>
      <w:r w:rsidRPr="00360239">
        <w:rPr>
          <w:i/>
          <w:iCs/>
          <w:lang w:eastAsia="nl-NL"/>
        </w:rPr>
        <w:t>Paragraphe</w:t>
      </w:r>
      <w:r w:rsidR="004B7086">
        <w:rPr>
          <w:i/>
          <w:iCs/>
          <w:lang w:eastAsia="nl-NL"/>
        </w:rPr>
        <w:t xml:space="preserve"> </w:t>
      </w:r>
      <w:r w:rsidR="00DB758D" w:rsidRPr="00360239">
        <w:rPr>
          <w:i/>
          <w:iCs/>
          <w:lang w:eastAsia="nl-NL"/>
        </w:rPr>
        <w:t>5.1.4.3</w:t>
      </w:r>
      <w:r w:rsidR="00DB758D" w:rsidRPr="00BF4EB9">
        <w:rPr>
          <w:lang w:eastAsia="nl-NL"/>
        </w:rPr>
        <w:t>,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supprimer.</w:t>
      </w:r>
    </w:p>
    <w:p w:rsidR="00DB758D" w:rsidRPr="00BF4EB9" w:rsidRDefault="00023E07" w:rsidP="00360239">
      <w:pPr>
        <w:pStyle w:val="SingleTxtG"/>
        <w:rPr>
          <w:lang w:eastAsia="nl-NL"/>
        </w:rPr>
      </w:pPr>
      <w:bookmarkStart w:id="31" w:name="_Hlk50132280"/>
      <w:bookmarkEnd w:id="30"/>
      <w:r w:rsidRPr="00BF4EB9">
        <w:rPr>
          <w:i/>
          <w:lang w:eastAsia="nl-NL"/>
        </w:rPr>
        <w:t>Paragraphe</w:t>
      </w:r>
      <w:r w:rsidR="004B7086">
        <w:rPr>
          <w:i/>
          <w:lang w:eastAsia="nl-NL"/>
        </w:rPr>
        <w:t xml:space="preserve"> </w:t>
      </w:r>
      <w:r w:rsidR="00DB758D" w:rsidRPr="00BF4EB9">
        <w:rPr>
          <w:i/>
          <w:lang w:eastAsia="nl-NL"/>
        </w:rPr>
        <w:t>5.1.6</w:t>
      </w:r>
      <w:r w:rsidR="00DB758D" w:rsidRPr="007E4C63">
        <w:rPr>
          <w:iCs/>
          <w:lang w:eastAsia="nl-NL"/>
        </w:rPr>
        <w:t>,</w:t>
      </w:r>
      <w:r w:rsidR="004B7086">
        <w:rPr>
          <w:i/>
          <w:lang w:eastAsia="nl-NL"/>
        </w:rPr>
        <w:t xml:space="preserve"> </w:t>
      </w:r>
      <w:r w:rsidR="00DB758D" w:rsidRPr="00BF4EB9">
        <w:rPr>
          <w:lang w:eastAsia="nl-NL"/>
        </w:rPr>
        <w:t>modifier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comme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suit</w:t>
      </w:r>
      <w:r w:rsidR="004B7086">
        <w:rPr>
          <w:lang w:eastAsia="nl-NL"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5.1.6</w:t>
      </w:r>
      <w:r w:rsidRPr="00BF4EB9">
        <w:tab/>
        <w:t>Prévention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réactions</w:t>
      </w:r>
      <w:r w:rsidR="004B7086">
        <w:t xml:space="preserve"> </w:t>
      </w:r>
      <w:r w:rsidRPr="00BF4EB9">
        <w:t>intempestives</w:t>
      </w:r>
    </w:p>
    <w:p w:rsidR="00DB758D" w:rsidRPr="00BF4EB9" w:rsidRDefault="00DB758D" w:rsidP="00F4764E">
      <w:pPr>
        <w:pStyle w:val="SingleTxtG"/>
        <w:ind w:left="2268"/>
      </w:pPr>
      <w:bookmarkStart w:id="32" w:name="_Hlk50105154"/>
      <w:r w:rsidRPr="00BF4EB9">
        <w:t>Le</w:t>
      </w:r>
      <w:r w:rsidR="004B7086">
        <w:t xml:space="preserve"> </w:t>
      </w:r>
      <w:r w:rsidRPr="00BF4EB9">
        <w:t>système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conçu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façon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réduire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minimum</w:t>
      </w:r>
      <w:r w:rsidR="004B7086">
        <w:t xml:space="preserve"> </w:t>
      </w:r>
      <w:r w:rsidRPr="00BF4EB9">
        <w:t>l’émission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signaux</w:t>
      </w:r>
      <w:r w:rsidR="004B7086">
        <w:t xml:space="preserve"> </w:t>
      </w:r>
      <w:r w:rsidRPr="00BF4EB9">
        <w:t>d’avertissement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risque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choc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éviter</w:t>
      </w:r>
      <w:r w:rsidR="004B7086">
        <w:t xml:space="preserve"> </w:t>
      </w:r>
      <w:r w:rsidRPr="00BF4EB9">
        <w:t>d’entraîner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situations</w:t>
      </w:r>
      <w:r w:rsidR="004B7086">
        <w:t xml:space="preserve"> </w:t>
      </w:r>
      <w:r w:rsidRPr="00BF4EB9">
        <w:t>où</w:t>
      </w:r>
      <w:r w:rsidR="004B7086">
        <w:t xml:space="preserve"> </w:t>
      </w:r>
      <w:r w:rsidRPr="00BF4EB9">
        <w:rPr>
          <w:b/>
          <w:bCs/>
        </w:rPr>
        <w:t>il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n’y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pas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risque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collision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imminente</w:t>
      </w:r>
      <w:r w:rsidR="004B7086">
        <w:t xml:space="preserve"> </w:t>
      </w:r>
      <w:r w:rsidRPr="00BF4EB9">
        <w:rPr>
          <w:strike/>
        </w:rPr>
        <w:t>le</w:t>
      </w:r>
      <w:r w:rsidR="004B7086">
        <w:rPr>
          <w:strike/>
        </w:rPr>
        <w:t xml:space="preserve"> </w:t>
      </w:r>
      <w:r w:rsidRPr="00BF4EB9">
        <w:rPr>
          <w:strike/>
        </w:rPr>
        <w:t>conducteur</w:t>
      </w:r>
      <w:r w:rsidR="004B7086">
        <w:rPr>
          <w:strike/>
        </w:rPr>
        <w:t xml:space="preserve"> </w:t>
      </w:r>
      <w:r w:rsidRPr="00BF4EB9">
        <w:rPr>
          <w:strike/>
        </w:rPr>
        <w:t>n’estimerait</w:t>
      </w:r>
      <w:r w:rsidR="004B7086">
        <w:rPr>
          <w:strike/>
        </w:rPr>
        <w:t xml:space="preserve"> </w:t>
      </w:r>
      <w:r w:rsidRPr="00BF4EB9">
        <w:rPr>
          <w:strike/>
        </w:rPr>
        <w:t>pas</w:t>
      </w:r>
      <w:r w:rsidR="004B7086">
        <w:rPr>
          <w:strike/>
        </w:rPr>
        <w:t xml:space="preserve"> </w:t>
      </w:r>
      <w:r w:rsidRPr="00BF4EB9">
        <w:rPr>
          <w:strike/>
        </w:rPr>
        <w:t>qu’un</w:t>
      </w:r>
      <w:r w:rsidR="004B7086">
        <w:rPr>
          <w:strike/>
        </w:rPr>
        <w:t xml:space="preserve"> </w:t>
      </w:r>
      <w:r w:rsidRPr="00BF4EB9">
        <w:rPr>
          <w:strike/>
        </w:rPr>
        <w:t>risque</w:t>
      </w:r>
      <w:r w:rsidR="004B7086">
        <w:rPr>
          <w:strike/>
        </w:rPr>
        <w:t xml:space="preserve"> </w:t>
      </w:r>
      <w:r w:rsidRPr="00BF4EB9">
        <w:rPr>
          <w:strike/>
        </w:rPr>
        <w:t>de</w:t>
      </w:r>
      <w:r w:rsidR="004B7086">
        <w:rPr>
          <w:strike/>
        </w:rPr>
        <w:t xml:space="preserve"> </w:t>
      </w:r>
      <w:r w:rsidRPr="00BF4EB9">
        <w:rPr>
          <w:strike/>
        </w:rPr>
        <w:t>choc</w:t>
      </w:r>
      <w:r w:rsidR="004B7086">
        <w:rPr>
          <w:strike/>
        </w:rPr>
        <w:t xml:space="preserve"> </w:t>
      </w:r>
      <w:r w:rsidRPr="00BF4EB9">
        <w:rPr>
          <w:strike/>
        </w:rPr>
        <w:t>avant</w:t>
      </w:r>
      <w:r w:rsidR="004B7086">
        <w:rPr>
          <w:strike/>
        </w:rPr>
        <w:t xml:space="preserve"> </w:t>
      </w:r>
      <w:r w:rsidRPr="00BF4EB9">
        <w:rPr>
          <w:strike/>
        </w:rPr>
        <w:t>est</w:t>
      </w:r>
      <w:r w:rsidR="004B7086">
        <w:rPr>
          <w:strike/>
        </w:rPr>
        <w:t xml:space="preserve"> </w:t>
      </w:r>
      <w:r w:rsidRPr="00BF4EB9">
        <w:rPr>
          <w:strike/>
        </w:rPr>
        <w:t>imminent</w:t>
      </w:r>
      <w:r w:rsidRPr="007E4C63">
        <w:t>.</w:t>
      </w:r>
      <w:bookmarkStart w:id="33" w:name="_Hlk529890765"/>
      <w:bookmarkEnd w:id="32"/>
      <w:r w:rsidR="004B7086">
        <w:t xml:space="preserve"> </w:t>
      </w:r>
      <w:r w:rsidRPr="00BF4EB9">
        <w:t>Cela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démontré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effectuée</w:t>
      </w:r>
      <w:r w:rsidR="004B7086">
        <w:t xml:space="preserve"> </w:t>
      </w:r>
      <w:r w:rsidRPr="00BF4EB9">
        <w:t>conformément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3,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évaluation</w:t>
      </w:r>
      <w:r w:rsidR="004B7086">
        <w:t xml:space="preserve"> </w:t>
      </w:r>
      <w:r w:rsidRPr="00BF4EB9">
        <w:t>devant</w:t>
      </w:r>
      <w:r w:rsidR="004B7086">
        <w:t xml:space="preserve"> </w:t>
      </w:r>
      <w:r w:rsidRPr="00BF4EB9">
        <w:t>porter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particulier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scénarios</w:t>
      </w:r>
      <w:r w:rsidR="004B7086">
        <w:t xml:space="preserve"> </w:t>
      </w:r>
      <w:r w:rsidRPr="00BF4EB9">
        <w:t>présentés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l’appendice</w:t>
      </w:r>
      <w:r w:rsidR="004B7086">
        <w:t xml:space="preserve"> </w:t>
      </w:r>
      <w:r w:rsidRPr="00BF4EB9">
        <w:t>2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3.</w:t>
      </w:r>
      <w:bookmarkEnd w:id="33"/>
    </w:p>
    <w:p w:rsidR="00DB758D" w:rsidRPr="00BF4EB9" w:rsidRDefault="00023E07" w:rsidP="00360239">
      <w:pPr>
        <w:pStyle w:val="SingleTxtG"/>
      </w:pPr>
      <w:bookmarkStart w:id="34" w:name="_Hlk526243406"/>
      <w:bookmarkEnd w:id="31"/>
      <w:r w:rsidRPr="0036023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5.2.1.4</w:t>
      </w:r>
      <w:r w:rsidR="004B7086">
        <w:rPr>
          <w:i/>
          <w:iCs/>
        </w:rPr>
        <w:t xml:space="preserve"> </w:t>
      </w:r>
      <w:r w:rsidR="00DB758D" w:rsidRPr="00360239">
        <w:rPr>
          <w:i/>
          <w:iCs/>
        </w:rPr>
        <w:t>f)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7E4C63">
      <w:pPr>
        <w:pStyle w:val="SingleTxtG"/>
        <w:ind w:left="2268" w:firstLine="567"/>
      </w:pPr>
      <w:bookmarkStart w:id="35" w:name="_Hlk526242872"/>
      <w:bookmarkStart w:id="36" w:name="_Hlk529922355"/>
      <w:r w:rsidRPr="00BF4EB9">
        <w:t>f)</w:t>
      </w:r>
      <w:r w:rsidRPr="00BF4EB9">
        <w:tab/>
        <w:t>En</w:t>
      </w:r>
      <w:r w:rsidR="004B7086">
        <w:t xml:space="preserve"> </w:t>
      </w:r>
      <w:r w:rsidRPr="00BF4EB9">
        <w:t>l’absence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conditions</w:t>
      </w:r>
      <w:r w:rsidR="004B7086">
        <w:t xml:space="preserve"> </w:t>
      </w:r>
      <w:r w:rsidRPr="00BF4EB9">
        <w:t>atmosphériques</w:t>
      </w:r>
      <w:r w:rsidR="004B7086">
        <w:t xml:space="preserve"> </w:t>
      </w:r>
      <w:r w:rsidRPr="00BF4EB9">
        <w:t>défavorables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comportement</w:t>
      </w:r>
      <w:r w:rsidR="004B7086">
        <w:t xml:space="preserve"> </w:t>
      </w:r>
      <w:r w:rsidRPr="00BF4EB9">
        <w:t>dynamique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(absence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tempête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température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moins</w:t>
      </w:r>
      <w:r w:rsidR="004B7086">
        <w:t xml:space="preserve"> </w:t>
      </w:r>
      <w:r w:rsidRPr="00BF4EB9">
        <w:t>égale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0</w:t>
      </w:r>
      <w:r w:rsidR="007E4C63">
        <w:t> </w:t>
      </w:r>
      <w:r w:rsidRPr="00BF4EB9">
        <w:t>°C,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exemple)</w:t>
      </w:r>
      <w:r w:rsidR="008C5C24">
        <w:t> ;</w:t>
      </w:r>
      <w:r w:rsidR="004B7086">
        <w:t xml:space="preserve"> </w:t>
      </w:r>
      <w:r w:rsidRPr="00BF4EB9">
        <w:rPr>
          <w:b/>
          <w:bCs/>
        </w:rPr>
        <w:t>et</w:t>
      </w:r>
    </w:p>
    <w:bookmarkEnd w:id="34"/>
    <w:bookmarkEnd w:id="35"/>
    <w:bookmarkEnd w:id="36"/>
    <w:p w:rsidR="00DB758D" w:rsidRPr="00BF4EB9" w:rsidRDefault="00023E07" w:rsidP="00360239">
      <w:pPr>
        <w:pStyle w:val="SingleTxtG"/>
        <w:rPr>
          <w:lang w:eastAsia="nl-NL"/>
        </w:rPr>
      </w:pPr>
      <w:r w:rsidRPr="00BF4EB9">
        <w:rPr>
          <w:i/>
          <w:lang w:eastAsia="nl-NL"/>
        </w:rPr>
        <w:t>Paragraphe</w:t>
      </w:r>
      <w:r w:rsidR="004B7086">
        <w:rPr>
          <w:i/>
          <w:lang w:eastAsia="nl-NL"/>
        </w:rPr>
        <w:t xml:space="preserve"> </w:t>
      </w:r>
      <w:r w:rsidR="00DB758D" w:rsidRPr="00BF4EB9">
        <w:rPr>
          <w:i/>
          <w:lang w:eastAsia="nl-NL"/>
        </w:rPr>
        <w:t>5.4.2</w:t>
      </w:r>
      <w:r w:rsidR="00DB758D" w:rsidRPr="007E4C63">
        <w:rPr>
          <w:iCs/>
          <w:lang w:eastAsia="nl-NL"/>
        </w:rPr>
        <w:t>,</w:t>
      </w:r>
      <w:r w:rsidR="004B7086" w:rsidRPr="007E4C63">
        <w:rPr>
          <w:iCs/>
          <w:lang w:eastAsia="nl-NL"/>
        </w:rPr>
        <w:t xml:space="preserve"> </w:t>
      </w:r>
      <w:r w:rsidR="00DB758D" w:rsidRPr="00BF4EB9">
        <w:rPr>
          <w:lang w:eastAsia="nl-NL"/>
        </w:rPr>
        <w:t>modifier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comme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suit</w:t>
      </w:r>
      <w:r w:rsidR="004B7086">
        <w:rPr>
          <w:lang w:eastAsia="nl-NL"/>
        </w:rPr>
        <w:t> :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5.4.2</w:t>
      </w:r>
      <w:r w:rsidRPr="00BF4EB9">
        <w:tab/>
      </w:r>
      <w:r w:rsidRPr="00BF4EB9">
        <w:tab/>
        <w:t>Lorsqu’un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équipé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dispositif</w:t>
      </w:r>
      <w:r w:rsidR="004B7086">
        <w:t xml:space="preserve"> </w:t>
      </w:r>
      <w:r w:rsidRPr="00BF4EB9">
        <w:t>permettant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désactiver</w:t>
      </w:r>
      <w:r w:rsidR="004B7086">
        <w:t xml:space="preserve"> </w:t>
      </w:r>
      <w:r w:rsidRPr="00BF4EB9">
        <w:t>automatiquement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fonction</w:t>
      </w:r>
      <w:r w:rsidR="004B7086">
        <w:t xml:space="preserve"> </w:t>
      </w:r>
      <w:r w:rsidRPr="00BF4EB9">
        <w:t>AEBS,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exemple</w:t>
      </w:r>
      <w:r w:rsidR="004B7086">
        <w:t xml:space="preserve"> </w:t>
      </w:r>
      <w:r w:rsidRPr="00BF4EB9">
        <w:t>lors</w:t>
      </w:r>
      <w:r w:rsidR="004B7086">
        <w:t xml:space="preserve"> </w:t>
      </w:r>
      <w:r w:rsidRPr="00BF4EB9">
        <w:t>d’une</w:t>
      </w:r>
      <w:r w:rsidR="004B7086">
        <w:t xml:space="preserve"> </w:t>
      </w:r>
      <w:r w:rsidRPr="00BF4EB9">
        <w:t>utilisation</w:t>
      </w:r>
      <w:r w:rsidR="004B7086">
        <w:t xml:space="preserve"> </w:t>
      </w:r>
      <w:r w:rsidRPr="00BF4EB9">
        <w:t>tout</w:t>
      </w:r>
      <w:r w:rsidR="004B7086">
        <w:t xml:space="preserve"> </w:t>
      </w:r>
      <w:r w:rsidRPr="00BF4EB9">
        <w:t>terrain,</w:t>
      </w:r>
      <w:r w:rsidR="004B7086">
        <w:t xml:space="preserve"> </w:t>
      </w:r>
      <w:r w:rsidRPr="00BF4EB9">
        <w:t>lorsque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remorqué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lorsqu’il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trouve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banc</w:t>
      </w:r>
      <w:r w:rsidR="004B7086">
        <w:t xml:space="preserve"> </w:t>
      </w:r>
      <w:r w:rsidRPr="00BF4EB9">
        <w:t>dynamométrique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installation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lavage,</w:t>
      </w:r>
      <w:r w:rsidR="004B7086">
        <w:t xml:space="preserve"> </w:t>
      </w:r>
      <w:r w:rsidRPr="00BF4EB9">
        <w:rPr>
          <w:strike/>
        </w:rPr>
        <w:t>ou</w:t>
      </w:r>
      <w:r w:rsidR="004B7086">
        <w:rPr>
          <w:strike/>
        </w:rPr>
        <w:t xml:space="preserve"> </w:t>
      </w:r>
      <w:r w:rsidRPr="00BF4EB9">
        <w:rPr>
          <w:strike/>
        </w:rPr>
        <w:t>encore</w:t>
      </w:r>
      <w:r w:rsidR="004B7086">
        <w:rPr>
          <w:strike/>
        </w:rPr>
        <w:t xml:space="preserve"> </w:t>
      </w:r>
      <w:r w:rsidRPr="00BF4EB9">
        <w:rPr>
          <w:strike/>
        </w:rPr>
        <w:t>en</w:t>
      </w:r>
      <w:r w:rsidR="004B7086">
        <w:rPr>
          <w:strike/>
        </w:rPr>
        <w:t xml:space="preserve"> </w:t>
      </w:r>
      <w:r w:rsidRPr="00BF4EB9">
        <w:rPr>
          <w:strike/>
        </w:rPr>
        <w:t>cas</w:t>
      </w:r>
      <w:r w:rsidR="004B7086">
        <w:rPr>
          <w:strike/>
        </w:rPr>
        <w:t xml:space="preserve"> </w:t>
      </w:r>
      <w:r w:rsidRPr="00BF4EB9">
        <w:rPr>
          <w:strike/>
        </w:rPr>
        <w:t>de</w:t>
      </w:r>
      <w:r w:rsidR="004B7086">
        <w:rPr>
          <w:strike/>
        </w:rPr>
        <w:t xml:space="preserve"> </w:t>
      </w:r>
      <w:r w:rsidRPr="00BF4EB9">
        <w:rPr>
          <w:strike/>
        </w:rPr>
        <w:t>défaut</w:t>
      </w:r>
      <w:r w:rsidR="004B7086">
        <w:rPr>
          <w:strike/>
        </w:rPr>
        <w:t xml:space="preserve"> </w:t>
      </w:r>
      <w:r w:rsidRPr="00BF4EB9">
        <w:rPr>
          <w:strike/>
        </w:rPr>
        <w:t>d’alignement</w:t>
      </w:r>
      <w:r w:rsidR="004B7086">
        <w:rPr>
          <w:strike/>
        </w:rPr>
        <w:t xml:space="preserve"> </w:t>
      </w:r>
      <w:r w:rsidRPr="00BF4EB9">
        <w:rPr>
          <w:strike/>
        </w:rPr>
        <w:t>non</w:t>
      </w:r>
      <w:r w:rsidR="004B7086">
        <w:rPr>
          <w:strike/>
        </w:rPr>
        <w:t xml:space="preserve"> </w:t>
      </w:r>
      <w:r w:rsidRPr="00BF4EB9">
        <w:rPr>
          <w:strike/>
        </w:rPr>
        <w:t>détectable</w:t>
      </w:r>
      <w:r w:rsidR="004B7086">
        <w:rPr>
          <w:strike/>
        </w:rPr>
        <w:t xml:space="preserve"> </w:t>
      </w:r>
      <w:r w:rsidRPr="00BF4EB9">
        <w:rPr>
          <w:strike/>
        </w:rPr>
        <w:t>des</w:t>
      </w:r>
      <w:r w:rsidR="004B7086">
        <w:rPr>
          <w:strike/>
        </w:rPr>
        <w:t xml:space="preserve"> </w:t>
      </w:r>
      <w:r w:rsidRPr="00BF4EB9">
        <w:rPr>
          <w:strike/>
        </w:rPr>
        <w:t>capteurs,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conditions</w:t>
      </w:r>
      <w:r w:rsidR="004B7086">
        <w:t xml:space="preserve"> </w:t>
      </w:r>
      <w:r w:rsidRPr="00BF4EB9">
        <w:t>suivantes</w:t>
      </w:r>
      <w:r w:rsidR="004B7086">
        <w:t xml:space="preserve"> </w:t>
      </w:r>
      <w:r w:rsidRPr="00BF4EB9">
        <w:t>doivent</w:t>
      </w:r>
      <w:r w:rsidR="004B7086">
        <w:t xml:space="preserve"> </w:t>
      </w:r>
      <w:r w:rsidRPr="00BF4EB9">
        <w:t>s’appliquer,</w:t>
      </w:r>
      <w:r w:rsidR="004B7086">
        <w:t xml:space="preserve"> </w:t>
      </w:r>
      <w:r w:rsidRPr="00BF4EB9">
        <w:t>lorsqu’il</w:t>
      </w:r>
      <w:r w:rsidR="004B7086">
        <w:t xml:space="preserve"> </w:t>
      </w:r>
      <w:r w:rsidRPr="00BF4EB9">
        <w:t>y</w:t>
      </w:r>
      <w:r w:rsidR="004B7086">
        <w:t xml:space="preserve"> </w:t>
      </w:r>
      <w:r w:rsidRPr="00BF4EB9">
        <w:t>a</w:t>
      </w:r>
      <w:r w:rsidR="004B7086">
        <w:t xml:space="preserve"> </w:t>
      </w:r>
      <w:r w:rsidRPr="00BF4EB9">
        <w:t>lieu</w:t>
      </w:r>
      <w:r w:rsidR="004B7086">
        <w:t> :</w:t>
      </w:r>
    </w:p>
    <w:p w:rsidR="00DB758D" w:rsidRPr="00BF4EB9" w:rsidRDefault="00DB758D" w:rsidP="00360239">
      <w:pPr>
        <w:pStyle w:val="SingleTxtG"/>
      </w:pPr>
      <w:bookmarkStart w:id="37" w:name="_Hlk44077106"/>
      <w:bookmarkStart w:id="38" w:name="_Hlk44002566"/>
      <w:r w:rsidRPr="00360239">
        <w:rPr>
          <w:i/>
          <w:iCs/>
        </w:rPr>
        <w:t>Ajouter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un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nouveau</w:t>
      </w:r>
      <w:r w:rsidR="004B7086">
        <w:rPr>
          <w:i/>
          <w:iCs/>
        </w:rPr>
        <w:t xml:space="preserve"> </w:t>
      </w:r>
      <w:r w:rsidR="00023E07" w:rsidRPr="0036023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5.4.2.3</w:t>
      </w:r>
      <w:r w:rsidRPr="00BF4EB9">
        <w:t>,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conçu</w:t>
      </w:r>
      <w:r w:rsidR="004B7086">
        <w:t> :</w:t>
      </w:r>
    </w:p>
    <w:bookmarkEnd w:id="37"/>
    <w:bookmarkEnd w:id="38"/>
    <w:p w:rsidR="00DB758D" w:rsidRPr="00452345" w:rsidRDefault="007E4C63" w:rsidP="005A1351">
      <w:pPr>
        <w:pStyle w:val="SingleTxtG"/>
        <w:ind w:left="2268" w:hanging="1134"/>
        <w:rPr>
          <w:spacing w:val="-2"/>
        </w:rPr>
      </w:pPr>
      <w:r w:rsidRPr="00452345">
        <w:rPr>
          <w:spacing w:val="-2"/>
        </w:rPr>
        <w:t>« </w:t>
      </w:r>
      <w:r w:rsidR="00DB758D" w:rsidRPr="00452345">
        <w:rPr>
          <w:b/>
          <w:bCs/>
          <w:spacing w:val="-2"/>
        </w:rPr>
        <w:t>5.4.2.3</w:t>
      </w:r>
      <w:r w:rsidR="00DB758D" w:rsidRPr="00452345">
        <w:rPr>
          <w:b/>
          <w:bCs/>
          <w:spacing w:val="-2"/>
        </w:rPr>
        <w:tab/>
        <w:t>Lorsque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la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désactivation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automatique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la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fonction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AEBS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résulte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la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désactivation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manuelle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par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conducteur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du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système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contrôle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électronique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la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stabilité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(ESC)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du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véhicule,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la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désactivation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l’AEBS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doit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nécessiter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au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moins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deux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actions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délibérées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de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la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part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du</w:t>
      </w:r>
      <w:r w:rsidR="004B7086" w:rsidRPr="00452345">
        <w:rPr>
          <w:b/>
          <w:bCs/>
          <w:spacing w:val="-2"/>
        </w:rPr>
        <w:t xml:space="preserve"> </w:t>
      </w:r>
      <w:r w:rsidR="00DB758D" w:rsidRPr="00452345">
        <w:rPr>
          <w:b/>
          <w:bCs/>
          <w:spacing w:val="-2"/>
        </w:rPr>
        <w:t>conducteur.</w:t>
      </w:r>
      <w:r w:rsidRPr="00452345">
        <w:rPr>
          <w:spacing w:val="-2"/>
        </w:rPr>
        <w:t> »</w:t>
      </w:r>
      <w:r w:rsidR="00DB758D" w:rsidRPr="00452345">
        <w:rPr>
          <w:spacing w:val="-2"/>
        </w:rPr>
        <w:t>.</w:t>
      </w:r>
    </w:p>
    <w:p w:rsidR="00DB758D" w:rsidRPr="00BF4EB9" w:rsidRDefault="00023E07" w:rsidP="00360239">
      <w:pPr>
        <w:pStyle w:val="SingleTxtG"/>
        <w:rPr>
          <w:lang w:eastAsia="nl-NL"/>
        </w:rPr>
      </w:pPr>
      <w:bookmarkStart w:id="39" w:name="_Hlk50154135"/>
      <w:r w:rsidRPr="00BF4EB9">
        <w:rPr>
          <w:i/>
          <w:lang w:eastAsia="nl-NL"/>
        </w:rPr>
        <w:t>Paragraphe</w:t>
      </w:r>
      <w:r w:rsidR="004B7086">
        <w:rPr>
          <w:i/>
          <w:lang w:eastAsia="nl-NL"/>
        </w:rPr>
        <w:t xml:space="preserve"> </w:t>
      </w:r>
      <w:r w:rsidR="00DB758D" w:rsidRPr="00BF4EB9">
        <w:rPr>
          <w:i/>
          <w:lang w:eastAsia="nl-NL"/>
        </w:rPr>
        <w:t>5.5.7</w:t>
      </w:r>
      <w:r w:rsidR="00DB758D" w:rsidRPr="007E4C63">
        <w:rPr>
          <w:iCs/>
          <w:lang w:eastAsia="nl-NL"/>
        </w:rPr>
        <w:t>,</w:t>
      </w:r>
      <w:r w:rsidR="004B7086" w:rsidRPr="007E4C63">
        <w:rPr>
          <w:iCs/>
          <w:lang w:eastAsia="nl-NL"/>
        </w:rPr>
        <w:t xml:space="preserve"> </w:t>
      </w:r>
      <w:r w:rsidR="00DB758D" w:rsidRPr="00BF4EB9">
        <w:rPr>
          <w:lang w:eastAsia="nl-NL"/>
        </w:rPr>
        <w:t>modifier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comme</w:t>
      </w:r>
      <w:r w:rsidR="004B7086">
        <w:rPr>
          <w:lang w:eastAsia="nl-NL"/>
        </w:rPr>
        <w:t xml:space="preserve"> </w:t>
      </w:r>
      <w:r w:rsidR="00DB758D" w:rsidRPr="00BF4EB9">
        <w:rPr>
          <w:lang w:eastAsia="nl-NL"/>
        </w:rPr>
        <w:t>suit</w:t>
      </w:r>
      <w:r w:rsidR="004B7086">
        <w:rPr>
          <w:lang w:eastAsia="nl-NL"/>
        </w:rPr>
        <w:t> :</w:t>
      </w:r>
    </w:p>
    <w:p w:rsidR="00DB758D" w:rsidRPr="00BF4EB9" w:rsidRDefault="007E4C63" w:rsidP="005A1351">
      <w:pPr>
        <w:pStyle w:val="SingleTxtG"/>
        <w:ind w:left="2268" w:hanging="1134"/>
      </w:pPr>
      <w:bookmarkStart w:id="40" w:name="_Hlk50106738"/>
      <w:r>
        <w:t>« </w:t>
      </w:r>
      <w:r w:rsidR="00DB758D" w:rsidRPr="00BF4EB9">
        <w:t>5.5.7</w:t>
      </w:r>
      <w:r w:rsidR="00DB758D" w:rsidRPr="00BF4EB9">
        <w:tab/>
        <w:t>Lorsqu’il</w:t>
      </w:r>
      <w:r w:rsidR="004B7086">
        <w:t xml:space="preserve"> </w:t>
      </w:r>
      <w:r w:rsidR="00DB758D" w:rsidRPr="00BF4EB9">
        <w:t>existe</w:t>
      </w:r>
      <w:r w:rsidR="004B7086">
        <w:t xml:space="preserve"> </w:t>
      </w:r>
      <w:r w:rsidR="00DB758D" w:rsidRPr="00BF4EB9">
        <w:t>un</w:t>
      </w:r>
      <w:r w:rsidR="004B7086">
        <w:t xml:space="preserve"> </w:t>
      </w:r>
      <w:r w:rsidR="00DB758D" w:rsidRPr="00BF4EB9">
        <w:t>signal</w:t>
      </w:r>
      <w:r w:rsidR="004B7086">
        <w:t xml:space="preserve"> </w:t>
      </w:r>
      <w:r w:rsidR="00DB758D" w:rsidRPr="00BF4EB9">
        <w:t>visuel</w:t>
      </w:r>
      <w:r w:rsidR="004B7086">
        <w:t xml:space="preserve"> </w:t>
      </w:r>
      <w:r w:rsidR="00DB758D" w:rsidRPr="00BF4EB9">
        <w:t>pour</w:t>
      </w:r>
      <w:r w:rsidR="004B7086">
        <w:t xml:space="preserve"> </w:t>
      </w:r>
      <w:r w:rsidR="00DB758D" w:rsidRPr="00BF4EB9">
        <w:t>avertir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conducteur</w:t>
      </w:r>
      <w:r w:rsidR="004B7086">
        <w:t xml:space="preserve"> </w:t>
      </w:r>
      <w:r w:rsidR="00DB758D" w:rsidRPr="00BF4EB9">
        <w:t>que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système</w:t>
      </w:r>
      <w:r w:rsidR="004B7086">
        <w:t xml:space="preserve"> </w:t>
      </w:r>
      <w:r w:rsidR="00DB758D" w:rsidRPr="00BF4EB9">
        <w:t>AEBS</w:t>
      </w:r>
      <w:r w:rsidR="004B7086">
        <w:t xml:space="preserve"> </w:t>
      </w:r>
      <w:r w:rsidR="00DB758D" w:rsidRPr="00BF4EB9">
        <w:t>est</w:t>
      </w:r>
      <w:r w:rsidR="004B7086">
        <w:t xml:space="preserve"> </w:t>
      </w:r>
      <w:r w:rsidR="00DB758D" w:rsidRPr="00BF4EB9">
        <w:t>temporairement</w:t>
      </w:r>
      <w:r w:rsidR="004B7086">
        <w:t xml:space="preserve"> </w:t>
      </w:r>
      <w:r w:rsidR="00DB758D" w:rsidRPr="00BF4EB9">
        <w:t>indisponible,</w:t>
      </w:r>
      <w:r w:rsidR="004B7086">
        <w:t xml:space="preserve"> </w:t>
      </w:r>
      <w:r w:rsidR="00DB758D" w:rsidRPr="00BF4EB9">
        <w:t>en</w:t>
      </w:r>
      <w:r w:rsidR="004B7086">
        <w:t xml:space="preserve"> </w:t>
      </w:r>
      <w:r w:rsidR="00DB758D" w:rsidRPr="00BF4EB9">
        <w:t>raison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conditions</w:t>
      </w:r>
      <w:r w:rsidR="004B7086">
        <w:t xml:space="preserve"> </w:t>
      </w:r>
      <w:r w:rsidR="00DB758D" w:rsidRPr="00BF4EB9">
        <w:t>météorologiques</w:t>
      </w:r>
      <w:r w:rsidR="004B7086">
        <w:t xml:space="preserve"> </w:t>
      </w:r>
      <w:r w:rsidR="00DB758D" w:rsidRPr="00BF4EB9">
        <w:t>défavorables</w:t>
      </w:r>
      <w:r w:rsidR="004B7086">
        <w:t xml:space="preserve"> </w:t>
      </w:r>
      <w:r w:rsidR="00DB758D" w:rsidRPr="00BF4EB9">
        <w:t>par</w:t>
      </w:r>
      <w:r w:rsidR="004B7086">
        <w:t xml:space="preserve"> </w:t>
      </w:r>
      <w:r w:rsidR="00DB758D" w:rsidRPr="00BF4EB9">
        <w:t>exemple,</w:t>
      </w:r>
      <w:r w:rsidR="004B7086">
        <w:t xml:space="preserve"> </w:t>
      </w:r>
      <w:r w:rsidR="00DB758D" w:rsidRPr="00BF4EB9">
        <w:t>ce</w:t>
      </w:r>
      <w:r w:rsidR="004B7086">
        <w:t xml:space="preserve"> </w:t>
      </w:r>
      <w:r w:rsidR="00DB758D" w:rsidRPr="00BF4EB9">
        <w:t>signal</w:t>
      </w:r>
      <w:r w:rsidR="004B7086">
        <w:t xml:space="preserve"> </w:t>
      </w:r>
      <w:r w:rsidR="00DB758D" w:rsidRPr="00BF4EB9">
        <w:t>doit</w:t>
      </w:r>
      <w:r w:rsidR="004B7086">
        <w:t xml:space="preserve"> </w:t>
      </w:r>
      <w:r w:rsidR="00DB758D" w:rsidRPr="00BF4EB9">
        <w:t>être</w:t>
      </w:r>
      <w:r w:rsidR="004B7086">
        <w:t xml:space="preserve"> </w:t>
      </w:r>
      <w:r w:rsidR="00DB758D" w:rsidRPr="00BF4EB9">
        <w:t>continu</w:t>
      </w:r>
      <w:r w:rsidR="004B7086" w:rsidRPr="00A648C5">
        <w:rPr>
          <w:strike/>
        </w:rPr>
        <w:t xml:space="preserve"> </w:t>
      </w:r>
      <w:r w:rsidR="00DB758D" w:rsidRPr="00BF4EB9">
        <w:rPr>
          <w:strike/>
        </w:rPr>
        <w:t>et</w:t>
      </w:r>
      <w:r w:rsidR="004B7086">
        <w:rPr>
          <w:strike/>
        </w:rPr>
        <w:t xml:space="preserve"> </w:t>
      </w:r>
      <w:r w:rsidR="00DB758D" w:rsidRPr="00BF4EB9">
        <w:rPr>
          <w:strike/>
        </w:rPr>
        <w:t>de</w:t>
      </w:r>
      <w:r w:rsidR="004B7086">
        <w:rPr>
          <w:strike/>
        </w:rPr>
        <w:t xml:space="preserve"> </w:t>
      </w:r>
      <w:r w:rsidR="00DB758D" w:rsidRPr="00BF4EB9">
        <w:rPr>
          <w:strike/>
        </w:rPr>
        <w:t>couleur</w:t>
      </w:r>
      <w:r w:rsidR="004B7086">
        <w:rPr>
          <w:strike/>
        </w:rPr>
        <w:t xml:space="preserve"> </w:t>
      </w:r>
      <w:r w:rsidR="00DB758D" w:rsidRPr="00BF4EB9">
        <w:rPr>
          <w:strike/>
        </w:rPr>
        <w:t>jaune</w:t>
      </w:r>
      <w:r w:rsidR="00DB758D" w:rsidRPr="00BF4EB9">
        <w:t>.</w:t>
      </w:r>
      <w:r w:rsidR="004B7086">
        <w:t xml:space="preserve"> </w:t>
      </w:r>
      <w:r w:rsidR="00DB758D" w:rsidRPr="00BF4EB9">
        <w:t>Le</w:t>
      </w:r>
      <w:r w:rsidR="004B7086">
        <w:t xml:space="preserve"> </w:t>
      </w:r>
      <w:r w:rsidR="00DB758D" w:rsidRPr="00BF4EB9">
        <w:t>signal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défaillance</w:t>
      </w:r>
      <w:r w:rsidR="004B7086">
        <w:t xml:space="preserve"> </w:t>
      </w:r>
      <w:r w:rsidR="00DB758D" w:rsidRPr="00BF4EB9">
        <w:t>mentionné</w:t>
      </w:r>
      <w:r w:rsidR="004B7086">
        <w:t xml:space="preserve"> </w:t>
      </w:r>
      <w:r w:rsidR="00DB758D" w:rsidRPr="00BF4EB9">
        <w:t>au</w:t>
      </w:r>
      <w:r w:rsidR="004B7086">
        <w:t xml:space="preserve"> </w:t>
      </w:r>
      <w:r w:rsidR="00023E07" w:rsidRPr="00BF4EB9">
        <w:t>paragraphe</w:t>
      </w:r>
      <w:r w:rsidR="004B7086">
        <w:t xml:space="preserve"> </w:t>
      </w:r>
      <w:r w:rsidR="00DB758D" w:rsidRPr="00BF4EB9">
        <w:t>5.5.4</w:t>
      </w:r>
      <w:r w:rsidR="004B7086">
        <w:t xml:space="preserve"> </w:t>
      </w:r>
      <w:r w:rsidR="00DB758D" w:rsidRPr="00BF4EB9">
        <w:t>ci</w:t>
      </w:r>
      <w:r w:rsidR="00A648C5">
        <w:noBreakHyphen/>
      </w:r>
      <w:r w:rsidR="00DB758D" w:rsidRPr="00BF4EB9">
        <w:t>dessus</w:t>
      </w:r>
      <w:r w:rsidR="004B7086">
        <w:t xml:space="preserve"> </w:t>
      </w:r>
      <w:r w:rsidR="00DB758D" w:rsidRPr="00BF4EB9">
        <w:t>peut</w:t>
      </w:r>
      <w:r w:rsidR="004B7086">
        <w:t xml:space="preserve"> </w:t>
      </w:r>
      <w:r w:rsidR="00DB758D" w:rsidRPr="00BF4EB9">
        <w:t>être</w:t>
      </w:r>
      <w:r w:rsidR="004B7086">
        <w:t xml:space="preserve"> </w:t>
      </w:r>
      <w:r w:rsidR="00DB758D" w:rsidRPr="00BF4EB9">
        <w:t>employé</w:t>
      </w:r>
      <w:r w:rsidR="004B7086">
        <w:t xml:space="preserve"> </w:t>
      </w:r>
      <w:r w:rsidR="00DB758D" w:rsidRPr="00BF4EB9">
        <w:t>à</w:t>
      </w:r>
      <w:r w:rsidR="004B7086">
        <w:t xml:space="preserve"> </w:t>
      </w:r>
      <w:r w:rsidR="00DB758D" w:rsidRPr="00BF4EB9">
        <w:t>cette</w:t>
      </w:r>
      <w:r w:rsidR="004B7086">
        <w:t xml:space="preserve"> </w:t>
      </w:r>
      <w:r w:rsidR="00DB758D" w:rsidRPr="00BF4EB9">
        <w:t>fin.</w:t>
      </w:r>
      <w:r>
        <w:t> »</w:t>
      </w:r>
      <w:r w:rsidR="00DB758D" w:rsidRPr="00BF4EB9">
        <w:t>.</w:t>
      </w:r>
    </w:p>
    <w:bookmarkEnd w:id="39"/>
    <w:bookmarkEnd w:id="40"/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6.1.1.1</w:t>
      </w:r>
      <w:r w:rsidR="00DB758D" w:rsidRPr="007E4C63">
        <w:t>,</w:t>
      </w:r>
      <w:r w:rsidR="004B7086" w:rsidRPr="007E4C63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(y</w:t>
      </w:r>
      <w:r w:rsidR="004B7086">
        <w:t xml:space="preserve"> </w:t>
      </w:r>
      <w:r w:rsidR="00DB758D" w:rsidRPr="00BF4EB9">
        <w:t>compris</w:t>
      </w:r>
      <w:r w:rsidR="004B7086">
        <w:t xml:space="preserve"> </w:t>
      </w:r>
      <w:r w:rsidR="00DB758D" w:rsidRPr="00BF4EB9">
        <w:t>la</w:t>
      </w:r>
      <w:r w:rsidR="004B7086">
        <w:t xml:space="preserve"> </w:t>
      </w:r>
      <w:r w:rsidR="00DB758D" w:rsidRPr="00BF4EB9">
        <w:t>note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bas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page)</w:t>
      </w:r>
      <w:r w:rsidR="004B7086">
        <w:t> :</w:t>
      </w:r>
    </w:p>
    <w:p w:rsidR="00DB758D" w:rsidRPr="00BF4EB9" w:rsidRDefault="007E4C63" w:rsidP="005A1351">
      <w:pPr>
        <w:pStyle w:val="SingleTxtG"/>
        <w:ind w:left="2268" w:hanging="1134"/>
      </w:pPr>
      <w:r>
        <w:t>« </w:t>
      </w:r>
      <w:r w:rsidR="00DB758D" w:rsidRPr="00BF4EB9">
        <w:t>6.1.1.1</w:t>
      </w:r>
      <w:r w:rsidR="00DB758D" w:rsidRPr="00BF4EB9">
        <w:tab/>
        <w:t>Le</w:t>
      </w:r>
      <w:r w:rsidR="004B7086">
        <w:t xml:space="preserve"> </w:t>
      </w:r>
      <w:r w:rsidR="00DB758D" w:rsidRPr="00BF4EB9">
        <w:t>revêtement</w:t>
      </w:r>
      <w:r w:rsidR="004B7086">
        <w:t xml:space="preserve"> </w:t>
      </w:r>
      <w:r w:rsidR="00DB758D" w:rsidRPr="00BF4EB9">
        <w:t>d’essai</w:t>
      </w:r>
      <w:r w:rsidR="004B7086">
        <w:t xml:space="preserve"> </w:t>
      </w:r>
      <w:r w:rsidR="00DB758D" w:rsidRPr="00BF4EB9">
        <w:t>doit</w:t>
      </w:r>
      <w:r w:rsidR="004B7086">
        <w:t xml:space="preserve"> </w:t>
      </w:r>
      <w:r w:rsidR="00DB758D" w:rsidRPr="00BF4EB9">
        <w:t>avoir</w:t>
      </w:r>
      <w:r w:rsidR="004B7086">
        <w:t xml:space="preserve"> </w:t>
      </w:r>
      <w:r w:rsidR="00DB758D" w:rsidRPr="00BF4EB9">
        <w:t>un</w:t>
      </w:r>
      <w:r w:rsidR="004B7086">
        <w:t xml:space="preserve"> </w:t>
      </w:r>
      <w:r w:rsidR="00DB758D" w:rsidRPr="00BF4EB9">
        <w:t>coefficient</w:t>
      </w:r>
      <w:r w:rsidR="004B7086">
        <w:t xml:space="preserve"> </w:t>
      </w:r>
      <w:r w:rsidR="00DB758D" w:rsidRPr="00BF4EB9">
        <w:t>d’adhérence</w:t>
      </w:r>
      <w:r w:rsidR="004B7086">
        <w:t xml:space="preserve"> </w:t>
      </w:r>
      <w:r w:rsidR="00DB758D" w:rsidRPr="00BF4EB9">
        <w:rPr>
          <w:strike/>
        </w:rPr>
        <w:t>maximal</w:t>
      </w:r>
      <w:r w:rsidR="004B7086">
        <w:t xml:space="preserve"> </w:t>
      </w:r>
      <w:r w:rsidR="00DB758D" w:rsidRPr="00BF4EB9">
        <w:t>nominal</w:t>
      </w:r>
      <w:r w:rsidR="00DB758D" w:rsidRPr="007E4C63">
        <w:rPr>
          <w:sz w:val="18"/>
          <w:szCs w:val="18"/>
          <w:vertAlign w:val="superscript"/>
        </w:rPr>
        <w:t>3</w:t>
      </w:r>
      <w:r w:rsidR="004B7086">
        <w:rPr>
          <w:vertAlign w:val="superscript"/>
        </w:rPr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0,9,</w:t>
      </w:r>
      <w:r w:rsidR="004B7086">
        <w:t xml:space="preserve"> </w:t>
      </w:r>
      <w:r w:rsidR="00DB758D" w:rsidRPr="00BF4EB9">
        <w:t>sauf</w:t>
      </w:r>
      <w:r w:rsidR="004B7086">
        <w:t xml:space="preserve"> </w:t>
      </w:r>
      <w:r w:rsidR="00DB758D" w:rsidRPr="00BF4EB9">
        <w:t>indication</w:t>
      </w:r>
      <w:r w:rsidR="004B7086">
        <w:t xml:space="preserve"> </w:t>
      </w:r>
      <w:r w:rsidR="00DB758D" w:rsidRPr="00BF4EB9">
        <w:t>contraire,</w:t>
      </w:r>
      <w:r w:rsidR="004B7086">
        <w:t xml:space="preserve"> </w:t>
      </w:r>
      <w:r w:rsidR="00DB758D" w:rsidRPr="00BF4EB9">
        <w:t>obtenu</w:t>
      </w:r>
      <w:r w:rsidR="004B7086">
        <w:t xml:space="preserve"> </w:t>
      </w:r>
      <w:r w:rsidR="00DB758D" w:rsidRPr="00BF4EB9">
        <w:t>au</w:t>
      </w:r>
      <w:r w:rsidR="004B7086">
        <w:t xml:space="preserve"> </w:t>
      </w:r>
      <w:r w:rsidR="00DB758D" w:rsidRPr="00BF4EB9">
        <w:t>moyen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l’une</w:t>
      </w:r>
      <w:r w:rsidR="004B7086">
        <w:t xml:space="preserve"> </w:t>
      </w:r>
      <w:r w:rsidR="00DB758D" w:rsidRPr="00BF4EB9">
        <w:t>des</w:t>
      </w:r>
      <w:r w:rsidR="004B7086">
        <w:t xml:space="preserve"> </w:t>
      </w:r>
      <w:r w:rsidR="00DB758D" w:rsidRPr="00BF4EB9">
        <w:t>deux</w:t>
      </w:r>
      <w:r w:rsidR="004B7086">
        <w:t xml:space="preserve"> </w:t>
      </w:r>
      <w:r w:rsidR="00DB758D" w:rsidRPr="00BF4EB9">
        <w:t>méthodes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mesure</w:t>
      </w:r>
      <w:r w:rsidR="004B7086">
        <w:t xml:space="preserve"> </w:t>
      </w:r>
      <w:r w:rsidR="00DB758D" w:rsidRPr="00BF4EB9">
        <w:t>ci-dessous</w:t>
      </w:r>
      <w:r w:rsidR="004B7086">
        <w:t> :</w:t>
      </w:r>
      <w:r>
        <w:t> »</w:t>
      </w:r>
      <w:r w:rsidR="00DB758D" w:rsidRPr="00BF4EB9">
        <w:t>.</w:t>
      </w:r>
    </w:p>
    <w:p w:rsidR="00DB758D" w:rsidRPr="00BF4EB9" w:rsidRDefault="00DB758D" w:rsidP="007E4C63">
      <w:pPr>
        <w:pStyle w:val="SingleTxtG"/>
        <w:ind w:left="2268" w:hanging="1134"/>
      </w:pPr>
      <w:r w:rsidRPr="00BF4EB9">
        <w:t>…</w:t>
      </w:r>
    </w:p>
    <w:p w:rsidR="00DB758D" w:rsidRPr="00BF4EB9" w:rsidRDefault="00DB758D" w:rsidP="00360239">
      <w:pPr>
        <w:pStyle w:val="SingleTxtG"/>
      </w:pPr>
      <w:r w:rsidRPr="00BF4EB9">
        <w:t>Note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bas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page</w:t>
      </w:r>
      <w:r w:rsidR="004B7086">
        <w:t xml:space="preserve"> </w:t>
      </w:r>
      <w:r w:rsidRPr="00BF4EB9">
        <w:t>3</w:t>
      </w:r>
      <w:r w:rsidR="004B7086">
        <w:t xml:space="preserve"> : </w:t>
      </w:r>
      <w:r w:rsidRPr="00BF4EB9">
        <w:t>Par</w:t>
      </w:r>
      <w:r w:rsidR="004B7086">
        <w:t xml:space="preserve"> </w:t>
      </w:r>
      <w:r w:rsidRPr="00BF4EB9">
        <w:t>valeur</w:t>
      </w:r>
      <w:r w:rsidR="004B7086">
        <w:t xml:space="preserve"> </w:t>
      </w:r>
      <w:r w:rsidR="007E4C63">
        <w:rPr>
          <w:bCs/>
        </w:rPr>
        <w:t>“</w:t>
      </w:r>
      <w:r w:rsidRPr="00BF4EB9">
        <w:t>nominale</w:t>
      </w:r>
      <w:r w:rsidR="007E4C63">
        <w:t>”</w:t>
      </w:r>
      <w:r w:rsidR="004B7086">
        <w:t xml:space="preserve"> </w:t>
      </w:r>
      <w:r w:rsidRPr="00BF4EB9">
        <w:t>on</w:t>
      </w:r>
      <w:r w:rsidR="004B7086">
        <w:t xml:space="preserve"> </w:t>
      </w:r>
      <w:r w:rsidRPr="00BF4EB9">
        <w:t>entend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valeur</w:t>
      </w:r>
      <w:r w:rsidR="004B7086">
        <w:t xml:space="preserve"> </w:t>
      </w:r>
      <w:r w:rsidRPr="00BF4EB9">
        <w:t>théorique</w:t>
      </w:r>
      <w:r w:rsidR="004B7086">
        <w:t xml:space="preserve"> </w:t>
      </w:r>
      <w:r w:rsidRPr="00BF4EB9">
        <w:rPr>
          <w:strike/>
        </w:rPr>
        <w:t>minimale</w:t>
      </w:r>
      <w:r w:rsidR="004B7086">
        <w:t xml:space="preserve"> </w:t>
      </w:r>
      <w:r w:rsidRPr="00BF4EB9">
        <w:t>visée.</w:t>
      </w:r>
      <w:r w:rsidR="007E4C63">
        <w:t> ».</w:t>
      </w:r>
    </w:p>
    <w:p w:rsidR="00DB758D" w:rsidRPr="00BF4EB9" w:rsidRDefault="00DB758D" w:rsidP="00360239">
      <w:pPr>
        <w:pStyle w:val="SingleTxtG"/>
        <w:keepNext/>
        <w:rPr>
          <w:lang w:eastAsia="nl-NL"/>
        </w:rPr>
      </w:pPr>
      <w:bookmarkStart w:id="41" w:name="_Hlk50154172"/>
      <w:r w:rsidRPr="00360239">
        <w:rPr>
          <w:i/>
          <w:iCs/>
          <w:lang w:eastAsia="nl-NL"/>
        </w:rPr>
        <w:lastRenderedPageBreak/>
        <w:t>Ajouter</w:t>
      </w:r>
      <w:r w:rsidR="004B7086">
        <w:rPr>
          <w:i/>
          <w:iCs/>
          <w:lang w:eastAsia="nl-NL"/>
        </w:rPr>
        <w:t xml:space="preserve"> </w:t>
      </w:r>
      <w:r w:rsidRPr="00360239">
        <w:rPr>
          <w:i/>
          <w:iCs/>
          <w:lang w:eastAsia="nl-NL"/>
        </w:rPr>
        <w:t>un</w:t>
      </w:r>
      <w:r w:rsidR="004B7086">
        <w:rPr>
          <w:i/>
          <w:iCs/>
          <w:lang w:eastAsia="nl-NL"/>
        </w:rPr>
        <w:t xml:space="preserve"> </w:t>
      </w:r>
      <w:r w:rsidRPr="00360239">
        <w:rPr>
          <w:i/>
          <w:iCs/>
          <w:lang w:eastAsia="nl-NL"/>
        </w:rPr>
        <w:t>nouveau</w:t>
      </w:r>
      <w:r w:rsidR="004B7086">
        <w:rPr>
          <w:i/>
          <w:iCs/>
          <w:lang w:eastAsia="nl-NL"/>
        </w:rPr>
        <w:t xml:space="preserve"> </w:t>
      </w:r>
      <w:r w:rsidR="00023E07" w:rsidRPr="00360239">
        <w:rPr>
          <w:i/>
          <w:iCs/>
          <w:lang w:eastAsia="nl-NL"/>
        </w:rPr>
        <w:t>paragraphe</w:t>
      </w:r>
      <w:r w:rsidR="004B7086">
        <w:rPr>
          <w:i/>
          <w:iCs/>
          <w:lang w:eastAsia="nl-NL"/>
        </w:rPr>
        <w:t xml:space="preserve"> </w:t>
      </w:r>
      <w:r w:rsidRPr="00360239">
        <w:rPr>
          <w:i/>
          <w:iCs/>
          <w:lang w:eastAsia="nl-NL"/>
        </w:rPr>
        <w:t>6.1.6</w:t>
      </w:r>
      <w:r w:rsidRPr="00BF4EB9">
        <w:rPr>
          <w:lang w:eastAsia="nl-NL"/>
        </w:rPr>
        <w:t>,</w:t>
      </w:r>
      <w:r w:rsidR="004B7086">
        <w:rPr>
          <w:lang w:eastAsia="nl-NL"/>
        </w:rPr>
        <w:t xml:space="preserve"> </w:t>
      </w:r>
      <w:r w:rsidRPr="00BF4EB9">
        <w:rPr>
          <w:lang w:eastAsia="nl-NL"/>
        </w:rPr>
        <w:t>ainsi</w:t>
      </w:r>
      <w:r w:rsidR="004B7086">
        <w:rPr>
          <w:lang w:eastAsia="nl-NL"/>
        </w:rPr>
        <w:t xml:space="preserve"> </w:t>
      </w:r>
      <w:r w:rsidRPr="00BF4EB9">
        <w:rPr>
          <w:lang w:eastAsia="nl-NL"/>
        </w:rPr>
        <w:t>conçu</w:t>
      </w:r>
      <w:r w:rsidR="004B7086">
        <w:rPr>
          <w:lang w:eastAsia="nl-NL"/>
        </w:rPr>
        <w:t> :</w:t>
      </w:r>
    </w:p>
    <w:p w:rsidR="00DB758D" w:rsidRPr="00BF4EB9" w:rsidRDefault="00360239" w:rsidP="005A1351">
      <w:pPr>
        <w:pStyle w:val="SingleTxtG"/>
        <w:ind w:left="2268" w:hanging="1134"/>
        <w:rPr>
          <w:bCs/>
        </w:rPr>
      </w:pPr>
      <w:bookmarkStart w:id="42" w:name="_Hlk50105849"/>
      <w:r>
        <w:rPr>
          <w:bCs/>
        </w:rPr>
        <w:t>«</w:t>
      </w:r>
      <w:r w:rsidR="007E4C63">
        <w:rPr>
          <w:bCs/>
        </w:rPr>
        <w:t> </w:t>
      </w:r>
      <w:r w:rsidR="00DB758D" w:rsidRPr="00360239">
        <w:rPr>
          <w:b/>
          <w:bCs/>
        </w:rPr>
        <w:t>6.1.6</w:t>
      </w:r>
      <w:r w:rsidR="00DB758D" w:rsidRPr="00360239">
        <w:rPr>
          <w:b/>
          <w:bCs/>
        </w:rPr>
        <w:tab/>
        <w:t>À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demande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constructeur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avec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l’accord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service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technique,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essais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peuvent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effectués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dans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conditions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différentes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(conditions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non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optimales,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exemple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sur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chaussée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non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sèche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ou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température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ambiante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inférieure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température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minimale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prévue),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mais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prescriptions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d’efficacité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doivent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="00DB758D" w:rsidRPr="00360239">
        <w:rPr>
          <w:b/>
          <w:bCs/>
        </w:rPr>
        <w:t>satisfaites.</w:t>
      </w:r>
      <w:r w:rsidR="007E4C63">
        <w:rPr>
          <w:bCs/>
        </w:rPr>
        <w:t> </w:t>
      </w:r>
      <w:r>
        <w:rPr>
          <w:bCs/>
        </w:rPr>
        <w:t>»</w:t>
      </w:r>
      <w:r w:rsidR="00DB758D" w:rsidRPr="00BF4EB9">
        <w:rPr>
          <w:bCs/>
        </w:rPr>
        <w:t>.</w:t>
      </w:r>
    </w:p>
    <w:bookmarkEnd w:id="41"/>
    <w:bookmarkEnd w:id="42"/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6.4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bookmarkStart w:id="43" w:name="_Hlk50150279"/>
      <w:r w:rsidR="00DB758D" w:rsidRPr="00BF4EB9">
        <w:t>(</w:t>
      </w:r>
      <w:bookmarkStart w:id="44" w:name="_Hlk61438897"/>
      <w:r w:rsidR="00DB758D" w:rsidRPr="00BF4EB9">
        <w:t>y</w:t>
      </w:r>
      <w:r w:rsidR="004B7086">
        <w:t xml:space="preserve"> </w:t>
      </w:r>
      <w:r w:rsidR="00DB758D" w:rsidRPr="00BF4EB9">
        <w:t>compris</w:t>
      </w:r>
      <w:r w:rsidR="004B7086">
        <w:t xml:space="preserve"> </w:t>
      </w:r>
      <w:r w:rsidR="00DB758D" w:rsidRPr="00BF4EB9">
        <w:t>l’ajout</w:t>
      </w:r>
      <w:r w:rsidR="004B7086">
        <w:t xml:space="preserve"> </w:t>
      </w:r>
      <w:r w:rsidR="00DB758D" w:rsidRPr="00BF4EB9">
        <w:t>d’une</w:t>
      </w:r>
      <w:r w:rsidR="004B7086">
        <w:t xml:space="preserve"> </w:t>
      </w:r>
      <w:r w:rsidR="00DB758D" w:rsidRPr="00BF4EB9">
        <w:t>colonne</w:t>
      </w:r>
      <w:r w:rsidR="004B7086">
        <w:t xml:space="preserve"> </w:t>
      </w:r>
      <w:r w:rsidR="00DB758D" w:rsidRPr="00BF4EB9">
        <w:t>dans</w:t>
      </w:r>
      <w:r w:rsidR="004B7086">
        <w:t xml:space="preserve"> </w:t>
      </w:r>
      <w:r w:rsidR="00DB758D" w:rsidRPr="00BF4EB9">
        <w:t>chaque</w:t>
      </w:r>
      <w:r w:rsidR="004B7086">
        <w:t xml:space="preserve"> </w:t>
      </w:r>
      <w:r w:rsidR="00DB758D" w:rsidRPr="00BF4EB9">
        <w:t>tableau</w:t>
      </w:r>
      <w:bookmarkEnd w:id="43"/>
      <w:bookmarkEnd w:id="44"/>
      <w:r w:rsidR="00DB758D" w:rsidRPr="00BF4EB9">
        <w:t>)</w:t>
      </w:r>
      <w:r w:rsidR="004B7086">
        <w:t> :</w:t>
      </w:r>
    </w:p>
    <w:p w:rsidR="00DB758D" w:rsidRPr="00BF4EB9" w:rsidRDefault="007E4C63" w:rsidP="005A1351">
      <w:pPr>
        <w:pStyle w:val="SingleTxtG"/>
        <w:ind w:left="2268" w:hanging="1134"/>
      </w:pPr>
      <w:r>
        <w:t>« </w:t>
      </w:r>
      <w:r w:rsidR="00DB758D" w:rsidRPr="00BF4EB9">
        <w:t>6.4</w:t>
      </w:r>
      <w:r w:rsidR="00DB758D" w:rsidRPr="00BF4EB9">
        <w:tab/>
        <w:t>Essai</w:t>
      </w:r>
      <w:r w:rsidR="004B7086">
        <w:t xml:space="preserve"> </w:t>
      </w:r>
      <w:r w:rsidR="00DB758D" w:rsidRPr="00BF4EB9">
        <w:t>d’avertissement</w:t>
      </w:r>
      <w:r w:rsidR="004B7086">
        <w:t xml:space="preserve"> </w:t>
      </w:r>
      <w:r w:rsidR="00DB758D" w:rsidRPr="00BF4EB9">
        <w:t>et</w:t>
      </w:r>
      <w:r w:rsidR="004B7086">
        <w:t xml:space="preserve"> </w:t>
      </w:r>
      <w:r w:rsidR="00DB758D" w:rsidRPr="00BF4EB9">
        <w:t>d’activation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="00DB758D" w:rsidRPr="00BF4EB9">
        <w:t>système</w:t>
      </w:r>
      <w:r w:rsidR="004B7086">
        <w:t xml:space="preserve"> </w:t>
      </w:r>
      <w:r w:rsidR="00DB758D" w:rsidRPr="00BF4EB9">
        <w:t>avec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cible</w:t>
      </w:r>
      <w:r w:rsidR="004B7086">
        <w:t xml:space="preserve"> </w:t>
      </w:r>
      <w:r w:rsidR="00DB758D" w:rsidRPr="00BF4EB9">
        <w:t>fixe</w:t>
      </w:r>
      <w:r w:rsidR="004B7086">
        <w:t xml:space="preserve"> </w:t>
      </w:r>
      <w:r w:rsidR="00DB758D" w:rsidRPr="00BF4EB9">
        <w:t>un</w:t>
      </w:r>
      <w:r w:rsidR="004B7086">
        <w:t xml:space="preserve"> </w:t>
      </w:r>
      <w:r w:rsidR="00DB758D" w:rsidRPr="00BF4EB9">
        <w:t>véhicule</w:t>
      </w:r>
      <w:r w:rsidR="004B7086">
        <w:t xml:space="preserve"> </w:t>
      </w:r>
      <w:r w:rsidR="00DB758D" w:rsidRPr="00BF4EB9">
        <w:t>à</w:t>
      </w:r>
      <w:r w:rsidR="004B7086">
        <w:t xml:space="preserve"> </w:t>
      </w:r>
      <w:r w:rsidR="00DB758D" w:rsidRPr="00BF4EB9">
        <w:t>l’arrêt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l’essai…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“cible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fixe”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42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7E4C63" w:rsidRPr="007E4C63" w:rsidRDefault="007E4C63" w:rsidP="007E4C63">
      <w:pPr>
        <w:pStyle w:val="SingleTxtG"/>
        <w:ind w:left="2268"/>
        <w:rPr>
          <w:rFonts w:asciiTheme="majorBidi" w:hAnsiTheme="majorBidi"/>
          <w:bCs/>
          <w:strike/>
        </w:rPr>
      </w:pPr>
      <w:r w:rsidRPr="007E4C63">
        <w:rPr>
          <w:rFonts w:asciiTheme="majorBidi" w:hAnsiTheme="majorBidi"/>
          <w:bCs/>
          <w:kern w:val="2"/>
        </w:rPr>
        <w:t xml:space="preserve">Toutes les valeurs sont en km/h </w:t>
      </w:r>
      <w:r w:rsidRPr="007E4C63">
        <w:rPr>
          <w:rFonts w:asciiTheme="majorBidi" w:hAnsiTheme="majorBidi"/>
          <w:bCs/>
          <w:strike/>
        </w:rPr>
        <w:t>avec une tolérance de +0/-2 km/h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“cible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fixe”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534"/>
        <w:gridCol w:w="2353"/>
      </w:tblGrid>
      <w:tr w:rsidR="00DB758D" w:rsidRPr="007E4C63" w:rsidTr="00017F0A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  <w:lang w:eastAsia="ja-JP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  <w:lang w:eastAsia="ja-JP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  <w:lang w:eastAsia="ja-JP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  <w:lang w:eastAsia="ja-JP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7E4C63" w:rsidTr="00017F0A">
        <w:trPr>
          <w:trHeight w:val="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  <w:lang w:eastAsia="ja-JP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  <w:lang w:eastAsia="ja-JP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7E4C63" w:rsidRPr="007E4C63" w:rsidRDefault="007E4C63" w:rsidP="007E4C63">
      <w:pPr>
        <w:pStyle w:val="SingleTxtG"/>
        <w:ind w:left="2268"/>
        <w:rPr>
          <w:rFonts w:asciiTheme="majorBidi" w:hAnsiTheme="majorBidi"/>
          <w:bCs/>
          <w:strike/>
        </w:rPr>
      </w:pPr>
      <w:r w:rsidRPr="007E4C63">
        <w:rPr>
          <w:rFonts w:asciiTheme="majorBidi" w:hAnsiTheme="majorBidi"/>
          <w:bCs/>
          <w:kern w:val="2"/>
        </w:rPr>
        <w:t xml:space="preserve">Toutes les valeurs sont en km/h </w:t>
      </w:r>
      <w:r w:rsidRPr="007E4C63">
        <w:rPr>
          <w:rFonts w:asciiTheme="majorBidi" w:hAnsiTheme="majorBidi"/>
          <w:bCs/>
          <w:strike/>
        </w:rPr>
        <w:t>avec une tolérance de +0/-2 km/h</w:t>
      </w:r>
    </w:p>
    <w:p w:rsidR="00DB758D" w:rsidRPr="00BF4EB9" w:rsidRDefault="00DB758D" w:rsidP="00F4764E">
      <w:pPr>
        <w:pStyle w:val="SingleTxtG"/>
        <w:ind w:left="2268"/>
      </w:pPr>
      <w:bookmarkStart w:id="45" w:name="_Hlk61438583"/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fonctionnelle</w:t>
      </w:r>
      <w:bookmarkEnd w:id="45"/>
      <w:r w:rsidRPr="00BF4EB9">
        <w:t>…</w:t>
      </w:r>
      <w:r w:rsidR="007E4C63">
        <w:t> »</w:t>
      </w:r>
      <w:r w:rsidRPr="00BF4EB9">
        <w:t>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6.5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bookmarkStart w:id="46" w:name="_Hlk50150570"/>
      <w:r w:rsidR="00DB758D" w:rsidRPr="00BF4EB9">
        <w:t>(y</w:t>
      </w:r>
      <w:r w:rsidR="004B7086">
        <w:t xml:space="preserve"> </w:t>
      </w:r>
      <w:r w:rsidR="00DB758D" w:rsidRPr="00BF4EB9">
        <w:t>compris</w:t>
      </w:r>
      <w:r w:rsidR="004B7086">
        <w:t xml:space="preserve"> </w:t>
      </w:r>
      <w:r w:rsidR="00DB758D" w:rsidRPr="00BF4EB9">
        <w:t>l’ajout</w:t>
      </w:r>
      <w:r w:rsidR="004B7086">
        <w:t xml:space="preserve"> </w:t>
      </w:r>
      <w:r w:rsidR="00DB758D" w:rsidRPr="00BF4EB9">
        <w:t>d’une</w:t>
      </w:r>
      <w:r w:rsidR="004B7086">
        <w:t xml:space="preserve"> </w:t>
      </w:r>
      <w:r w:rsidR="00DB758D" w:rsidRPr="00BF4EB9">
        <w:t>colonne</w:t>
      </w:r>
      <w:r w:rsidR="004B7086">
        <w:t xml:space="preserve"> </w:t>
      </w:r>
      <w:r w:rsidR="00DB758D" w:rsidRPr="00BF4EB9">
        <w:t>dans</w:t>
      </w:r>
      <w:r w:rsidR="004B7086">
        <w:t xml:space="preserve"> </w:t>
      </w:r>
      <w:r w:rsidR="00DB758D" w:rsidRPr="00BF4EB9">
        <w:t>chaque</w:t>
      </w:r>
      <w:r w:rsidR="004B7086">
        <w:t xml:space="preserve"> </w:t>
      </w:r>
      <w:r w:rsidR="00DB758D" w:rsidRPr="00BF4EB9">
        <w:t>tableau)</w:t>
      </w:r>
      <w:r w:rsidR="004B7086">
        <w:t> :</w:t>
      </w:r>
      <w:bookmarkEnd w:id="46"/>
    </w:p>
    <w:p w:rsidR="00DB758D" w:rsidRPr="00BF4EB9" w:rsidRDefault="007E4C63" w:rsidP="005A1351">
      <w:pPr>
        <w:pStyle w:val="SingleTxtG"/>
        <w:ind w:left="2268" w:hanging="1134"/>
      </w:pPr>
      <w:r>
        <w:t>« </w:t>
      </w:r>
      <w:r w:rsidR="00DB758D" w:rsidRPr="00BF4EB9">
        <w:t>6.5</w:t>
      </w:r>
      <w:r w:rsidR="00DB758D" w:rsidRPr="00BF4EB9">
        <w:tab/>
        <w:t>Essai</w:t>
      </w:r>
      <w:r w:rsidR="004B7086">
        <w:t xml:space="preserve"> </w:t>
      </w:r>
      <w:r w:rsidR="00DB758D" w:rsidRPr="00BF4EB9">
        <w:t>d’avertissement</w:t>
      </w:r>
      <w:r w:rsidR="004B7086">
        <w:t xml:space="preserve"> </w:t>
      </w:r>
      <w:r w:rsidR="00DB758D" w:rsidRPr="00BF4EB9">
        <w:t>et</w:t>
      </w:r>
      <w:r w:rsidR="004B7086">
        <w:t xml:space="preserve"> </w:t>
      </w:r>
      <w:r w:rsidR="00DB758D" w:rsidRPr="00BF4EB9">
        <w:t>d’activation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="00DB758D" w:rsidRPr="00BF4EB9">
        <w:t>système</w:t>
      </w:r>
      <w:r w:rsidR="004B7086">
        <w:t xml:space="preserve"> </w:t>
      </w:r>
      <w:r w:rsidR="00DB758D" w:rsidRPr="00BF4EB9">
        <w:t>avec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cible</w:t>
      </w:r>
      <w:r w:rsidR="004B7086">
        <w:t xml:space="preserve"> </w:t>
      </w:r>
      <w:r w:rsidR="00DB758D" w:rsidRPr="00BF4EB9">
        <w:t>un</w:t>
      </w:r>
      <w:r w:rsidR="004B7086">
        <w:t xml:space="preserve"> </w:t>
      </w:r>
      <w:r w:rsidR="00DB758D" w:rsidRPr="00BF4EB9">
        <w:t>véhicule</w:t>
      </w:r>
      <w:r w:rsidR="004B7086">
        <w:t xml:space="preserve"> </w:t>
      </w:r>
      <w:r w:rsidR="00DB758D" w:rsidRPr="00BF4EB9">
        <w:t>en</w:t>
      </w:r>
      <w:r w:rsidR="004B7086">
        <w:t xml:space="preserve"> </w:t>
      </w:r>
      <w:r w:rsidR="00DB758D" w:rsidRPr="00BF4EB9">
        <w:t>mouvement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l’essai…</w:t>
      </w:r>
    </w:p>
    <w:p w:rsidR="00DB758D" w:rsidRPr="00BF4EB9" w:rsidRDefault="00DB758D" w:rsidP="00F4764E">
      <w:pPr>
        <w:pStyle w:val="SingleTxtG"/>
        <w:ind w:left="2268"/>
      </w:pPr>
      <w:r w:rsidRPr="00BF4EB9">
        <w:t>L’essai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effectué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déplace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vitesses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30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60</w:t>
      </w:r>
      <w:r w:rsidR="007E4C63">
        <w:t> </w:t>
      </w:r>
      <w:r w:rsidRPr="00BF4EB9">
        <w:t>km/h</w:t>
      </w:r>
      <w:r w:rsidR="004B7086">
        <w:t xml:space="preserve"> </w:t>
      </w:r>
      <w:r w:rsidRPr="00BF4EB9">
        <w:t>indiquées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tableaux</w:t>
      </w:r>
      <w:r w:rsidR="004B7086">
        <w:t xml:space="preserve"> </w:t>
      </w:r>
      <w:r w:rsidRPr="00BF4EB9">
        <w:t>ci-dessous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N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respectivement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cible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déplace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20</w:t>
      </w:r>
      <w:r w:rsidR="007E4C63">
        <w:t> </w:t>
      </w:r>
      <w:r w:rsidRPr="00BF4EB9">
        <w:t>km/h</w:t>
      </w:r>
      <w:r w:rsidR="004B7086">
        <w:t xml:space="preserve"> </w:t>
      </w:r>
      <w:r w:rsidRPr="00BF4EB9">
        <w:t>(avec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tolérance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+0/-2</w:t>
      </w:r>
      <w:r w:rsidR="007E4C63">
        <w:t> </w:t>
      </w:r>
      <w:r w:rsidRPr="00BF4EB9">
        <w:t>km/h</w:t>
      </w:r>
      <w:r w:rsidR="004B7086">
        <w:t xml:space="preserve"> </w:t>
      </w:r>
      <w:r w:rsidRPr="00BF4EB9">
        <w:rPr>
          <w:strike/>
        </w:rPr>
        <w:t>tant</w:t>
      </w:r>
      <w:r w:rsidR="004B7086">
        <w:rPr>
          <w:strike/>
        </w:rPr>
        <w:t xml:space="preserve"> </w:t>
      </w:r>
      <w:r w:rsidRPr="00BF4EB9">
        <w:rPr>
          <w:strike/>
        </w:rPr>
        <w:t>pour</w:t>
      </w:r>
      <w:r w:rsidR="004B7086">
        <w:rPr>
          <w:strike/>
        </w:rPr>
        <w:t xml:space="preserve"> </w:t>
      </w:r>
      <w:r w:rsidRPr="00BF4EB9">
        <w:rPr>
          <w:strike/>
        </w:rPr>
        <w:t>le</w:t>
      </w:r>
      <w:r w:rsidR="004B7086">
        <w:rPr>
          <w:strike/>
        </w:rPr>
        <w:t xml:space="preserve"> </w:t>
      </w:r>
      <w:r w:rsidRPr="00BF4EB9">
        <w:rPr>
          <w:strike/>
        </w:rPr>
        <w:t>véhicule</w:t>
      </w:r>
      <w:r w:rsidR="004B7086">
        <w:rPr>
          <w:strike/>
        </w:rPr>
        <w:t xml:space="preserve"> </w:t>
      </w:r>
      <w:r w:rsidRPr="00BF4EB9">
        <w:rPr>
          <w:strike/>
        </w:rPr>
        <w:t>mis</w:t>
      </w:r>
      <w:r w:rsidR="004B7086">
        <w:rPr>
          <w:strike/>
        </w:rPr>
        <w:t xml:space="preserve"> </w:t>
      </w:r>
      <w:r w:rsidRPr="00BF4EB9">
        <w:rPr>
          <w:strike/>
        </w:rPr>
        <w:t>à</w:t>
      </w:r>
      <w:r w:rsidR="004B7086">
        <w:rPr>
          <w:strike/>
        </w:rPr>
        <w:t xml:space="preserve"> </w:t>
      </w:r>
      <w:r w:rsidRPr="00BF4EB9">
        <w:rPr>
          <w:strike/>
        </w:rPr>
        <w:t>l’essai</w:t>
      </w:r>
      <w:r w:rsidR="004B7086">
        <w:rPr>
          <w:strike/>
        </w:rPr>
        <w:t xml:space="preserve"> </w:t>
      </w:r>
      <w:r w:rsidRPr="00BF4EB9">
        <w:rPr>
          <w:strike/>
        </w:rPr>
        <w:t>que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cible).</w:t>
      </w:r>
      <w:r w:rsidR="004B7086">
        <w:t xml:space="preserve"> </w:t>
      </w:r>
      <w:r w:rsidRPr="00BF4EB9">
        <w:t>S’il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juge</w:t>
      </w:r>
      <w:r w:rsidR="004B7086">
        <w:t xml:space="preserve"> </w:t>
      </w:r>
      <w:r w:rsidRPr="00BF4EB9">
        <w:t>utile,…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“cible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mouvement”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7E4C63" w:rsidRPr="007E4C63" w:rsidRDefault="007E4C63" w:rsidP="007E4C63">
      <w:pPr>
        <w:pStyle w:val="SingleTxtG"/>
        <w:ind w:left="2268"/>
        <w:rPr>
          <w:rFonts w:asciiTheme="majorBidi" w:hAnsiTheme="majorBidi"/>
          <w:bCs/>
          <w:strike/>
        </w:rPr>
      </w:pPr>
      <w:r w:rsidRPr="007E4C63">
        <w:rPr>
          <w:rFonts w:asciiTheme="majorBidi" w:hAnsiTheme="majorBidi"/>
          <w:bCs/>
          <w:kern w:val="2"/>
        </w:rPr>
        <w:t xml:space="preserve">Toutes les valeurs sont en km/h </w:t>
      </w:r>
      <w:r w:rsidRPr="007E4C63">
        <w:rPr>
          <w:rFonts w:asciiTheme="majorBidi" w:hAnsiTheme="majorBidi"/>
          <w:bCs/>
          <w:strike/>
        </w:rPr>
        <w:t>avec une tolérance de +0/-2 km/h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“cible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en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mouvement”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keepNext/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keepNext/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keepNext/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keepNext/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keepNext/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keepNext/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7E4C63" w:rsidRPr="007E4C63" w:rsidRDefault="007E4C63" w:rsidP="007E4C63">
      <w:pPr>
        <w:pStyle w:val="SingleTxtG"/>
        <w:ind w:left="2268"/>
        <w:rPr>
          <w:rFonts w:asciiTheme="majorBidi" w:hAnsiTheme="majorBidi"/>
          <w:bCs/>
          <w:strike/>
        </w:rPr>
      </w:pPr>
      <w:r w:rsidRPr="007E4C63">
        <w:rPr>
          <w:rFonts w:asciiTheme="majorBidi" w:hAnsiTheme="majorBidi"/>
          <w:bCs/>
          <w:kern w:val="2"/>
        </w:rPr>
        <w:lastRenderedPageBreak/>
        <w:t xml:space="preserve">Toutes les valeurs sont en km/h </w:t>
      </w:r>
      <w:r w:rsidRPr="007E4C63">
        <w:rPr>
          <w:rFonts w:asciiTheme="majorBidi" w:hAnsiTheme="majorBidi"/>
          <w:bCs/>
          <w:strike/>
        </w:rPr>
        <w:t>avec une tolérance de +0/-2 km/h</w:t>
      </w:r>
    </w:p>
    <w:p w:rsidR="00DB758D" w:rsidRPr="00BF4EB9" w:rsidRDefault="00DB758D" w:rsidP="00F4764E">
      <w:pPr>
        <w:pStyle w:val="SingleTxtG"/>
        <w:ind w:left="2268"/>
      </w:pPr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fonctionnelle…</w:t>
      </w:r>
      <w:r w:rsidR="007E4C63">
        <w:t> »</w:t>
      </w:r>
      <w:r w:rsidRPr="00BF4EB9">
        <w:t>.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6.6.1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 xml:space="preserve"> </w:t>
      </w:r>
      <w:r w:rsidR="00DB758D" w:rsidRPr="00BF4EB9">
        <w:t>(y</w:t>
      </w:r>
      <w:r w:rsidR="004B7086">
        <w:t xml:space="preserve"> </w:t>
      </w:r>
      <w:r w:rsidR="00DB758D" w:rsidRPr="00BF4EB9">
        <w:t>compris</w:t>
      </w:r>
      <w:r w:rsidR="004B7086">
        <w:t xml:space="preserve"> </w:t>
      </w:r>
      <w:r w:rsidR="00DB758D" w:rsidRPr="00BF4EB9">
        <w:t>l’ajout</w:t>
      </w:r>
      <w:r w:rsidR="004B7086">
        <w:t xml:space="preserve"> </w:t>
      </w:r>
      <w:r w:rsidR="00DB758D" w:rsidRPr="00BF4EB9">
        <w:t>d’une</w:t>
      </w:r>
      <w:r w:rsidR="004B7086">
        <w:t xml:space="preserve"> </w:t>
      </w:r>
      <w:r w:rsidR="00DB758D" w:rsidRPr="00BF4EB9">
        <w:t>colonne</w:t>
      </w:r>
      <w:r w:rsidR="004B7086">
        <w:t xml:space="preserve"> </w:t>
      </w:r>
      <w:r w:rsidR="00DB758D" w:rsidRPr="00BF4EB9">
        <w:t>dans</w:t>
      </w:r>
      <w:r w:rsidR="004B7086">
        <w:t xml:space="preserve"> </w:t>
      </w:r>
      <w:r w:rsidR="00DB758D" w:rsidRPr="00BF4EB9">
        <w:t>chaque</w:t>
      </w:r>
      <w:r w:rsidR="004B7086">
        <w:t xml:space="preserve"> </w:t>
      </w:r>
      <w:r w:rsidR="00DB758D" w:rsidRPr="00BF4EB9">
        <w:t>tableau)</w:t>
      </w:r>
      <w:r w:rsidR="004B7086">
        <w:t> :</w:t>
      </w:r>
    </w:p>
    <w:p w:rsidR="00DB758D" w:rsidRPr="00BF4EB9" w:rsidRDefault="007E4C63" w:rsidP="005A1351">
      <w:pPr>
        <w:pStyle w:val="SingleTxtG"/>
        <w:ind w:left="2268" w:hanging="1134"/>
      </w:pPr>
      <w:r>
        <w:t>« </w:t>
      </w:r>
      <w:r w:rsidR="00DB758D" w:rsidRPr="00BF4EB9">
        <w:t>6.6</w:t>
      </w:r>
      <w:r w:rsidR="00DB758D" w:rsidRPr="00BF4EB9">
        <w:tab/>
        <w:t>Essai</w:t>
      </w:r>
      <w:r w:rsidR="004B7086">
        <w:t xml:space="preserve"> </w:t>
      </w:r>
      <w:r w:rsidR="00DB758D" w:rsidRPr="00BF4EB9">
        <w:t>d’avertissement</w:t>
      </w:r>
      <w:r w:rsidR="004B7086">
        <w:t xml:space="preserve"> </w:t>
      </w:r>
      <w:r w:rsidR="00DB758D" w:rsidRPr="00BF4EB9">
        <w:t>et</w:t>
      </w:r>
      <w:r w:rsidR="004B7086">
        <w:t xml:space="preserve"> </w:t>
      </w:r>
      <w:r w:rsidR="00DB758D" w:rsidRPr="00BF4EB9">
        <w:t>d’activation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="00DB758D" w:rsidRPr="00BF4EB9">
        <w:t>système</w:t>
      </w:r>
      <w:r w:rsidR="004B7086">
        <w:t xml:space="preserve"> </w:t>
      </w:r>
      <w:r w:rsidR="00DB758D" w:rsidRPr="00BF4EB9">
        <w:t>avec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cible</w:t>
      </w:r>
      <w:r w:rsidR="004B7086">
        <w:t xml:space="preserve"> </w:t>
      </w:r>
      <w:r w:rsidR="00DB758D" w:rsidRPr="00BF4EB9">
        <w:t>un</w:t>
      </w:r>
      <w:r w:rsidR="004B7086">
        <w:t xml:space="preserve"> </w:t>
      </w:r>
      <w:r w:rsidR="00DB758D" w:rsidRPr="00BF4EB9">
        <w:t>piéton</w:t>
      </w:r>
    </w:p>
    <w:p w:rsidR="00DB758D" w:rsidRPr="00BF4EB9" w:rsidRDefault="00DB758D" w:rsidP="005A1351">
      <w:pPr>
        <w:pStyle w:val="SingleTxtG"/>
        <w:ind w:left="2268" w:hanging="1134"/>
      </w:pPr>
      <w:bookmarkStart w:id="47" w:name="_Hlk529972445"/>
      <w:r w:rsidRPr="00BF4EB9">
        <w:t>6.6.1</w:t>
      </w:r>
      <w:r w:rsidRPr="00BF4EB9">
        <w:tab/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l’essai</w:t>
      </w:r>
      <w:bookmarkEnd w:id="47"/>
      <w:r w:rsidRPr="00BF4EB9">
        <w:t>…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</w:p>
    <w:p w:rsidR="00DB758D" w:rsidRPr="00BF4EB9" w:rsidRDefault="00DB758D" w:rsidP="00F4764E">
      <w:pPr>
        <w:pStyle w:val="SingleTxtG"/>
        <w:ind w:left="2268"/>
      </w:pPr>
      <w:r w:rsidRPr="00BF4EB9">
        <w:t>Le</w:t>
      </w:r>
      <w:r w:rsidR="004B7086">
        <w:t xml:space="preserve"> </w:t>
      </w:r>
      <w:r w:rsidRPr="00BF4EB9">
        <w:t>piéton</w:t>
      </w:r>
      <w:r w:rsidR="004B7086">
        <w:t xml:space="preserve"> </w:t>
      </w:r>
      <w:r w:rsidRPr="00BF4EB9">
        <w:t>cible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déplacer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ligne</w:t>
      </w:r>
      <w:r w:rsidR="004B7086">
        <w:t xml:space="preserve"> </w:t>
      </w:r>
      <w:r w:rsidRPr="00BF4EB9">
        <w:t>droite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vitesse</w:t>
      </w:r>
      <w:r w:rsidR="004B7086">
        <w:t xml:space="preserve"> </w:t>
      </w:r>
      <w:r w:rsidRPr="00BF4EB9">
        <w:t>constante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5</w:t>
      </w:r>
      <w:r w:rsidR="007E4C63">
        <w:t> </w:t>
      </w:r>
      <w:r w:rsidRPr="00BF4EB9">
        <w:t>km/h</w:t>
      </w:r>
      <w:r w:rsidR="004B7086">
        <w:t xml:space="preserve"> </w:t>
      </w:r>
      <w:r w:rsidRPr="00BF4EB9">
        <w:rPr>
          <w:b/>
        </w:rPr>
        <w:t>+0/-0,4</w:t>
      </w:r>
      <w:r w:rsidR="004B7086">
        <w:t xml:space="preserve"> </w:t>
      </w:r>
      <w:r w:rsidR="0018363E" w:rsidRPr="0018363E">
        <w:rPr>
          <w:bCs/>
          <w:strike/>
        </w:rPr>
        <w:sym w:font="Symbol" w:char="F0B1"/>
      </w:r>
      <w:r w:rsidRPr="00BF4EB9">
        <w:rPr>
          <w:strike/>
        </w:rPr>
        <w:t>0,2</w:t>
      </w:r>
      <w:r w:rsidR="007E4C63">
        <w:t> </w:t>
      </w:r>
      <w:r w:rsidRPr="00BF4EB9">
        <w:t>km/h</w:t>
      </w:r>
      <w:r w:rsidR="004B7086">
        <w:t xml:space="preserve"> </w:t>
      </w:r>
      <w:r w:rsidRPr="00BF4EB9">
        <w:t>perpendiculairement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l’essai,</w:t>
      </w:r>
      <w:r w:rsidR="004B7086">
        <w:t xml:space="preserve"> </w:t>
      </w:r>
      <w:r w:rsidRPr="00BF4EB9">
        <w:t>mais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début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fonctionnelle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l’essai.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positionnement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piéton</w:t>
      </w:r>
      <w:r w:rsidR="004B7086">
        <w:t xml:space="preserve"> </w:t>
      </w:r>
      <w:r w:rsidRPr="00BF4EB9">
        <w:t>cible</w:t>
      </w:r>
      <w:r w:rsidR="004B7086">
        <w:t xml:space="preserve"> </w:t>
      </w:r>
      <w:r w:rsidRPr="00BF4EB9">
        <w:t>doit…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“piéton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cible”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42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7E4C63" w:rsidRPr="007E4C63" w:rsidRDefault="007E4C63" w:rsidP="007E4C63">
      <w:pPr>
        <w:pStyle w:val="SingleTxtG"/>
        <w:ind w:left="2268"/>
        <w:rPr>
          <w:rFonts w:asciiTheme="majorBidi" w:hAnsiTheme="majorBidi"/>
          <w:bCs/>
          <w:strike/>
        </w:rPr>
      </w:pPr>
      <w:r w:rsidRPr="007E4C63">
        <w:rPr>
          <w:rFonts w:asciiTheme="majorBidi" w:hAnsiTheme="majorBidi"/>
          <w:bCs/>
          <w:kern w:val="2"/>
        </w:rPr>
        <w:t xml:space="preserve">Toutes les valeurs sont en km/h </w:t>
      </w:r>
      <w:r w:rsidRPr="007E4C63">
        <w:rPr>
          <w:rFonts w:asciiTheme="majorBidi" w:hAnsiTheme="majorBidi"/>
          <w:bCs/>
          <w:strike/>
        </w:rPr>
        <w:t>avec une tolérance de +0/-2 km/h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“piéton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cible”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42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7E4C63" w:rsidRPr="007E4C63" w:rsidRDefault="007E4C63" w:rsidP="007E4C63">
      <w:pPr>
        <w:pStyle w:val="SingleTxtG"/>
        <w:ind w:left="2268"/>
        <w:rPr>
          <w:rFonts w:asciiTheme="majorBidi" w:hAnsiTheme="majorBidi"/>
          <w:bCs/>
          <w:strike/>
        </w:rPr>
      </w:pPr>
      <w:r w:rsidRPr="007E4C63">
        <w:rPr>
          <w:rFonts w:asciiTheme="majorBidi" w:hAnsiTheme="majorBidi"/>
          <w:bCs/>
          <w:kern w:val="2"/>
        </w:rPr>
        <w:t xml:space="preserve">Toutes les valeurs sont en km/h </w:t>
      </w:r>
      <w:r w:rsidRPr="007E4C63">
        <w:rPr>
          <w:rFonts w:asciiTheme="majorBidi" w:hAnsiTheme="majorBidi"/>
          <w:bCs/>
          <w:strike/>
        </w:rPr>
        <w:t>avec une tolérance de +0/-2 km/h</w:t>
      </w:r>
    </w:p>
    <w:p w:rsidR="00DB758D" w:rsidRPr="00BF4EB9" w:rsidRDefault="00DB758D" w:rsidP="00F4764E">
      <w:pPr>
        <w:pStyle w:val="SingleTxtG"/>
        <w:ind w:left="2268"/>
      </w:pPr>
      <w:r w:rsidRPr="00BF4EB9">
        <w:t>Entre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début…</w:t>
      </w:r>
      <w:r w:rsidR="007E4C63">
        <w:t> »</w:t>
      </w:r>
      <w:r w:rsidRPr="00BF4EB9">
        <w:t>.</w:t>
      </w:r>
    </w:p>
    <w:p w:rsidR="00DB758D" w:rsidRPr="00BF4EB9" w:rsidRDefault="00DB758D" w:rsidP="00360239">
      <w:pPr>
        <w:pStyle w:val="SingleTxtG"/>
      </w:pPr>
      <w:r w:rsidRPr="00BF4EB9">
        <w:rPr>
          <w:u w:val="single"/>
        </w:rPr>
        <w:t>Note</w:t>
      </w:r>
      <w:r w:rsidR="004B7086">
        <w:rPr>
          <w:u w:val="single"/>
        </w:rPr>
        <w:t> :</w:t>
      </w:r>
      <w:r w:rsidR="004B7086">
        <w:t xml:space="preserve"> </w:t>
      </w:r>
      <w:bookmarkStart w:id="48" w:name="_Hlk61439498"/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supplémentaires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adoptées,</w:t>
      </w:r>
      <w:r w:rsidR="004B7086">
        <w:t xml:space="preserve"> </w:t>
      </w:r>
      <w:r w:rsidRPr="00BF4EB9">
        <w:t>telles</w:t>
      </w:r>
      <w:r w:rsidR="004B7086">
        <w:t xml:space="preserve"> </w:t>
      </w:r>
      <w:r w:rsidRPr="00BF4EB9">
        <w:t>qu’elles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GRVA-07-09.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reproduites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longueur.</w:t>
      </w:r>
    </w:p>
    <w:bookmarkEnd w:id="48"/>
    <w:p w:rsidR="00360239" w:rsidRDefault="0036023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:rsidR="00DB758D" w:rsidRPr="00BF4EB9" w:rsidRDefault="00023E07" w:rsidP="00360239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VI</w:t>
      </w:r>
    </w:p>
    <w:p w:rsidR="00DB758D" w:rsidRPr="00BF4EB9" w:rsidRDefault="00DB758D" w:rsidP="00360239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bookmarkStart w:id="49" w:name="_Hlk61434130"/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bookmarkEnd w:id="49"/>
      <w:r w:rsidRPr="00BF4EB9">
        <w:t>document</w:t>
      </w:r>
      <w:r w:rsidR="004B7086">
        <w:t xml:space="preserve"> </w:t>
      </w:r>
      <w:r w:rsidRPr="00BF4EB9">
        <w:t>ECE/TRANS/WP.29/GRVA/2020/27</w:t>
      </w:r>
    </w:p>
    <w:p w:rsidR="00DB758D" w:rsidRPr="00BF4EB9" w:rsidRDefault="00DB758D" w:rsidP="0018363E">
      <w:pPr>
        <w:pStyle w:val="H23G"/>
        <w:rPr>
          <w:iCs/>
        </w:rPr>
      </w:pPr>
      <w:r w:rsidRPr="00BF4EB9">
        <w:tab/>
      </w:r>
      <w:r w:rsidRPr="00BF4EB9">
        <w:tab/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GRVA-07-10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55)</w:t>
      </w:r>
    </w:p>
    <w:p w:rsidR="00DB758D" w:rsidRPr="00BF4EB9" w:rsidRDefault="00DB758D" w:rsidP="00360239">
      <w:pPr>
        <w:pStyle w:val="SingleTxtG"/>
      </w:pPr>
      <w:r w:rsidRPr="00360239">
        <w:rPr>
          <w:i/>
          <w:iCs/>
        </w:rPr>
        <w:t>Modifications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apportées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="00023E07" w:rsidRPr="00360239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5.1.4.1.3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à</w:t>
      </w:r>
      <w:r w:rsidR="004B7086">
        <w:rPr>
          <w:i/>
          <w:iCs/>
        </w:rPr>
        <w:t xml:space="preserve"> </w:t>
      </w:r>
      <w:r w:rsidRPr="00360239">
        <w:rPr>
          <w:i/>
          <w:iCs/>
        </w:rPr>
        <w:t>6.6.1</w:t>
      </w:r>
      <w:r w:rsidRPr="00BF4EB9">
        <w:t>,</w:t>
      </w:r>
      <w:r w:rsidR="004B7086">
        <w:t xml:space="preserve"> </w:t>
      </w:r>
      <w:r w:rsidRPr="00BF4EB9">
        <w:t>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</w:t>
      </w:r>
    </w:p>
    <w:p w:rsidR="00DB758D" w:rsidRPr="00BF4EB9" w:rsidRDefault="00023E07" w:rsidP="00360239">
      <w:pPr>
        <w:pStyle w:val="SingleTxtG"/>
      </w:pPr>
      <w:r w:rsidRPr="00BF4EB9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BF4EB9">
        <w:rPr>
          <w:i/>
          <w:iCs/>
        </w:rPr>
        <w:t>6.7</w:t>
      </w:r>
      <w:r w:rsidR="00DB758D" w:rsidRPr="00BF4EB9">
        <w:t>,</w:t>
      </w:r>
      <w:r w:rsidR="004B7086"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7E4C63" w:rsidP="005A1351">
      <w:pPr>
        <w:pStyle w:val="SingleTxtG"/>
        <w:ind w:left="2268" w:hanging="1134"/>
        <w:rPr>
          <w:bCs/>
        </w:rPr>
      </w:pPr>
      <w:r>
        <w:rPr>
          <w:bCs/>
        </w:rPr>
        <w:t>« </w:t>
      </w:r>
      <w:r w:rsidR="00DB758D" w:rsidRPr="00BF4EB9">
        <w:rPr>
          <w:bCs/>
        </w:rPr>
        <w:t>6.7</w:t>
      </w:r>
      <w:r w:rsidR="00DB758D" w:rsidRPr="00BF4EB9">
        <w:rPr>
          <w:bCs/>
        </w:rPr>
        <w:tab/>
      </w:r>
      <w:r w:rsidR="00DB758D" w:rsidRPr="00BF4EB9">
        <w:t>Essai</w:t>
      </w:r>
      <w:r w:rsidR="004B7086">
        <w:t xml:space="preserve"> </w:t>
      </w:r>
      <w:r w:rsidR="00DB758D" w:rsidRPr="00BF4EB9">
        <w:t>d’avertissement</w:t>
      </w:r>
      <w:r w:rsidR="004B7086">
        <w:t xml:space="preserve"> </w:t>
      </w:r>
      <w:r w:rsidR="00DB758D" w:rsidRPr="00BF4EB9">
        <w:t>et</w:t>
      </w:r>
      <w:r w:rsidR="004B7086">
        <w:t xml:space="preserve"> </w:t>
      </w:r>
      <w:r w:rsidR="00DB758D" w:rsidRPr="00BF4EB9">
        <w:t>d’activation</w:t>
      </w:r>
      <w:r w:rsidR="004B7086">
        <w:t xml:space="preserve"> </w:t>
      </w:r>
      <w:r w:rsidR="00DB758D" w:rsidRPr="00BF4EB9">
        <w:t>du</w:t>
      </w:r>
      <w:r w:rsidR="004B7086">
        <w:t xml:space="preserve"> </w:t>
      </w:r>
      <w:r w:rsidR="00DB758D" w:rsidRPr="00BF4EB9">
        <w:t>système</w:t>
      </w:r>
      <w:r w:rsidR="004B7086">
        <w:t xml:space="preserve"> </w:t>
      </w:r>
      <w:r w:rsidR="00DB758D" w:rsidRPr="00BF4EB9">
        <w:t>avec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cible</w:t>
      </w:r>
      <w:r w:rsidR="004B7086">
        <w:t xml:space="preserve"> </w:t>
      </w:r>
      <w:r w:rsidR="00DB758D" w:rsidRPr="00BF4EB9">
        <w:t>une</w:t>
      </w:r>
      <w:r w:rsidR="004B7086">
        <w:t xml:space="preserve"> </w:t>
      </w:r>
      <w:r w:rsidR="00DB758D" w:rsidRPr="00BF4EB9">
        <w:t>bicyclette</w:t>
      </w:r>
    </w:p>
    <w:p w:rsidR="00DB758D" w:rsidRPr="00BF4EB9" w:rsidRDefault="00DB758D" w:rsidP="005A1351">
      <w:pPr>
        <w:pStyle w:val="SingleTxtG"/>
        <w:ind w:left="2268" w:hanging="1134"/>
      </w:pPr>
      <w:r w:rsidRPr="00BF4EB9">
        <w:t>6.7.1</w:t>
      </w:r>
      <w:r w:rsidRPr="00BF4EB9">
        <w:tab/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l’essai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s’approcher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d’impact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bicyclette</w:t>
      </w:r>
      <w:r w:rsidR="004B7086">
        <w:t xml:space="preserve"> </w:t>
      </w:r>
      <w:r w:rsidRPr="00BF4EB9">
        <w:t>cible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ligne</w:t>
      </w:r>
      <w:r w:rsidR="004B7086">
        <w:t xml:space="preserve"> </w:t>
      </w:r>
      <w:r w:rsidRPr="00BF4EB9">
        <w:t>droite</w:t>
      </w:r>
      <w:r w:rsidR="004B7086">
        <w:t xml:space="preserve"> </w:t>
      </w:r>
      <w:r w:rsidRPr="00BF4EB9">
        <w:t>pendant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moins</w:t>
      </w:r>
      <w:r w:rsidR="004B7086">
        <w:t xml:space="preserve"> </w:t>
      </w:r>
      <w:r w:rsidRPr="00BF4EB9">
        <w:t>2</w:t>
      </w:r>
      <w:r w:rsidR="007E4C63">
        <w:t> </w:t>
      </w:r>
      <w:r w:rsidRPr="00BF4EB9">
        <w:t>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fonctionnelle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l’essai,</w:t>
      </w:r>
      <w:r w:rsidR="004B7086">
        <w:t xml:space="preserve"> </w:t>
      </w:r>
      <w:r w:rsidRPr="00BF4EB9">
        <w:t>l’écart</w:t>
      </w:r>
      <w:r w:rsidR="004B7086">
        <w:t xml:space="preserve"> </w:t>
      </w:r>
      <w:r w:rsidRPr="00BF4EB9">
        <w:t>anticipé</w:t>
      </w:r>
      <w:r w:rsidR="004B7086">
        <w:t xml:space="preserve"> </w:t>
      </w:r>
      <w:r w:rsidRPr="00BF4EB9">
        <w:t>entre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ligne</w:t>
      </w:r>
      <w:r w:rsidR="004B7086">
        <w:t xml:space="preserve"> </w:t>
      </w:r>
      <w:r w:rsidRPr="00BF4EB9">
        <w:t>centrale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d’impact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l’axe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pédalier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bicyclette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devant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supérieur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0,1</w:t>
      </w:r>
      <w:r w:rsidR="004B7086">
        <w:t xml:space="preserve"> </w:t>
      </w:r>
      <w:r w:rsidRPr="00BF4EB9">
        <w:t>m.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</w:p>
    <w:p w:rsidR="00DB758D" w:rsidRPr="00BF4EB9" w:rsidRDefault="00DB758D" w:rsidP="00F4764E">
      <w:pPr>
        <w:pStyle w:val="SingleTxtG"/>
        <w:ind w:left="2268"/>
      </w:pPr>
      <w:r w:rsidRPr="00BF4EB9">
        <w:t>La</w:t>
      </w:r>
      <w:r w:rsidR="004B7086">
        <w:t xml:space="preserve"> </w:t>
      </w:r>
      <w:r w:rsidRPr="00BF4EB9">
        <w:t>bicyclette</w:t>
      </w:r>
      <w:r w:rsidR="004B7086">
        <w:t xml:space="preserve"> </w:t>
      </w:r>
      <w:r w:rsidRPr="00BF4EB9">
        <w:t>cible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déplacer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ligne</w:t>
      </w:r>
      <w:r w:rsidR="004B7086">
        <w:t xml:space="preserve"> </w:t>
      </w:r>
      <w:r w:rsidRPr="00BF4EB9">
        <w:t>droite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vitesse</w:t>
      </w:r>
      <w:r w:rsidR="004B7086">
        <w:t xml:space="preserve"> </w:t>
      </w:r>
      <w:r w:rsidRPr="00BF4EB9">
        <w:t>constante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15</w:t>
      </w:r>
      <w:r w:rsidR="007E4C63">
        <w:t> </w:t>
      </w:r>
      <w:r w:rsidRPr="00BF4EB9">
        <w:t>km/h</w:t>
      </w:r>
      <w:r w:rsidR="004B7086">
        <w:t xml:space="preserve"> </w:t>
      </w:r>
      <w:r w:rsidRPr="00BF4EB9">
        <w:rPr>
          <w:b/>
        </w:rPr>
        <w:t>+0/-1</w:t>
      </w:r>
      <w:r w:rsidR="004B7086">
        <w:rPr>
          <w:b/>
        </w:rPr>
        <w:t xml:space="preserve"> </w:t>
      </w:r>
      <w:r w:rsidRPr="00BF4EB9">
        <w:rPr>
          <w:strike/>
        </w:rPr>
        <w:sym w:font="Symbol" w:char="F0B1"/>
      </w:r>
      <w:r w:rsidRPr="00BF4EB9">
        <w:rPr>
          <w:strike/>
        </w:rPr>
        <w:t>0,5</w:t>
      </w:r>
      <w:r w:rsidR="007E4C63">
        <w:t> </w:t>
      </w:r>
      <w:r w:rsidRPr="00BF4EB9">
        <w:t>km/h,</w:t>
      </w:r>
      <w:r w:rsidR="004B7086">
        <w:t xml:space="preserve"> </w:t>
      </w:r>
      <w:r w:rsidRPr="00BF4EB9">
        <w:t>perpendiculairement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direction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l’essai,</w:t>
      </w:r>
      <w:r w:rsidR="004B7086">
        <w:t xml:space="preserve"> </w:t>
      </w:r>
      <w:r w:rsidRPr="00BF4EB9">
        <w:t>mais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début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partie</w:t>
      </w:r>
      <w:r w:rsidR="004B7086">
        <w:t xml:space="preserve"> </w:t>
      </w:r>
      <w:r w:rsidRPr="00BF4EB9">
        <w:t>fonctionnelle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l’essai.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</w:p>
    <w:p w:rsidR="00DB758D" w:rsidRPr="00BF4EB9" w:rsidRDefault="00DB758D" w:rsidP="00F4764E">
      <w:pPr>
        <w:pStyle w:val="SingleTxtG"/>
        <w:ind w:left="2268"/>
      </w:pPr>
      <w:r w:rsidRPr="00BF4EB9">
        <w:t>L’essai</w:t>
      </w:r>
      <w:r w:rsidR="004B7086">
        <w:t xml:space="preserve"> </w:t>
      </w:r>
      <w:r w:rsidRPr="00BF4EB9">
        <w:t>doit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effectué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véhicule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se</w:t>
      </w:r>
      <w:r w:rsidR="004B7086">
        <w:t xml:space="preserve"> </w:t>
      </w:r>
      <w:r w:rsidRPr="00BF4EB9">
        <w:t>déplace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vitesses</w:t>
      </w:r>
      <w:r w:rsidR="004B7086">
        <w:t xml:space="preserve"> </w:t>
      </w:r>
      <w:r w:rsidRPr="00BF4EB9">
        <w:t>indiquées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tableaux</w:t>
      </w:r>
      <w:r w:rsidR="004B7086">
        <w:t xml:space="preserve"> </w:t>
      </w:r>
      <w:r w:rsidRPr="00BF4EB9">
        <w:t>ci-après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N</w:t>
      </w:r>
      <w:r w:rsidRPr="00BF4EB9">
        <w:rPr>
          <w:vertAlign w:val="subscript"/>
        </w:rPr>
        <w:t>1</w:t>
      </w:r>
      <w:r w:rsidR="004B7086">
        <w:rPr>
          <w:vertAlign w:val="subscript"/>
        </w:rPr>
        <w:t xml:space="preserve"> </w:t>
      </w:r>
      <w:r w:rsidRPr="00BF4EB9">
        <w:t>respectivement…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“bicyclette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cible”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DB758D" w:rsidRPr="00360239" w:rsidRDefault="00DB758D" w:rsidP="00F4764E">
      <w:pPr>
        <w:pStyle w:val="SingleTxtG"/>
        <w:ind w:left="2268"/>
        <w:rPr>
          <w:lang w:eastAsia="ja-JP"/>
        </w:rPr>
      </w:pP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</w:tblGrid>
      <w:tr w:rsidR="00DB758D" w:rsidRPr="007E4C63" w:rsidTr="00017F0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marche</w:t>
            </w:r>
          </w:p>
        </w:tc>
      </w:tr>
      <w:tr w:rsidR="00DB758D" w:rsidRPr="007E4C63" w:rsidTr="00017F0A">
        <w:trPr>
          <w:trHeight w:val="20"/>
        </w:trPr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  <w:t>30</w:t>
            </w:r>
          </w:p>
        </w:tc>
      </w:tr>
      <w:tr w:rsidR="00DB758D" w:rsidRPr="007E4C63" w:rsidTr="00017F0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  <w:t>38</w:t>
            </w:r>
          </w:p>
        </w:tc>
      </w:tr>
      <w:tr w:rsidR="00DB758D" w:rsidRPr="007E4C63" w:rsidTr="00017F0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Cs/>
                <w:strike/>
                <w:kern w:val="2"/>
                <w:sz w:val="18"/>
                <w:szCs w:val="18"/>
              </w:rPr>
              <w:t>60</w:t>
            </w:r>
          </w:p>
        </w:tc>
      </w:tr>
    </w:tbl>
    <w:p w:rsidR="00DB758D" w:rsidRPr="00360239" w:rsidRDefault="00DB758D" w:rsidP="00F4764E">
      <w:pPr>
        <w:pStyle w:val="SingleTxtG"/>
        <w:ind w:left="2268"/>
        <w:rPr>
          <w:strike/>
        </w:rPr>
      </w:pPr>
      <w:r w:rsidRPr="00360239">
        <w:rPr>
          <w:strike/>
        </w:rPr>
        <w:t>Toutes</w:t>
      </w:r>
      <w:r w:rsidR="004B7086">
        <w:rPr>
          <w:strike/>
        </w:rPr>
        <w:t xml:space="preserve"> </w:t>
      </w:r>
      <w:r w:rsidRPr="00360239">
        <w:rPr>
          <w:strike/>
        </w:rPr>
        <w:t>les</w:t>
      </w:r>
      <w:r w:rsidR="004B7086">
        <w:rPr>
          <w:strike/>
        </w:rPr>
        <w:t xml:space="preserve"> </w:t>
      </w:r>
      <w:r w:rsidRPr="00360239">
        <w:rPr>
          <w:strike/>
        </w:rPr>
        <w:t>valeurs</w:t>
      </w:r>
      <w:r w:rsidR="004B7086">
        <w:rPr>
          <w:strike/>
        </w:rPr>
        <w:t xml:space="preserve"> </w:t>
      </w:r>
      <w:r w:rsidRPr="00360239">
        <w:rPr>
          <w:strike/>
        </w:rPr>
        <w:t>sont</w:t>
      </w:r>
      <w:r w:rsidR="004B7086">
        <w:rPr>
          <w:strike/>
        </w:rPr>
        <w:t xml:space="preserve"> </w:t>
      </w:r>
      <w:r w:rsidRPr="00360239">
        <w:rPr>
          <w:strike/>
        </w:rPr>
        <w:t>en</w:t>
      </w:r>
      <w:r w:rsidR="004B7086">
        <w:rPr>
          <w:strike/>
        </w:rPr>
        <w:t xml:space="preserve"> </w:t>
      </w:r>
      <w:r w:rsidRPr="00360239">
        <w:rPr>
          <w:strike/>
        </w:rPr>
        <w:t>km/h</w:t>
      </w:r>
      <w:r w:rsidR="004B7086">
        <w:rPr>
          <w:strike/>
        </w:rPr>
        <w:t xml:space="preserve"> </w:t>
      </w:r>
      <w:r w:rsidRPr="00360239">
        <w:rPr>
          <w:strike/>
        </w:rPr>
        <w:t>avec</w:t>
      </w:r>
      <w:r w:rsidR="004B7086">
        <w:rPr>
          <w:strike/>
        </w:rPr>
        <w:t xml:space="preserve"> </w:t>
      </w:r>
      <w:r w:rsidRPr="00360239">
        <w:rPr>
          <w:strike/>
        </w:rPr>
        <w:t>une</w:t>
      </w:r>
      <w:r w:rsidR="004B7086">
        <w:rPr>
          <w:strike/>
        </w:rPr>
        <w:t xml:space="preserve"> </w:t>
      </w:r>
      <w:r w:rsidRPr="00360239">
        <w:rPr>
          <w:strike/>
        </w:rPr>
        <w:t>tolérance</w:t>
      </w:r>
      <w:r w:rsidR="004B7086">
        <w:rPr>
          <w:strike/>
        </w:rPr>
        <w:t xml:space="preserve"> </w:t>
      </w:r>
      <w:r w:rsidRPr="00360239">
        <w:rPr>
          <w:strike/>
        </w:rPr>
        <w:t>de</w:t>
      </w:r>
      <w:r w:rsidR="004B7086">
        <w:rPr>
          <w:strike/>
        </w:rPr>
        <w:t xml:space="preserve"> </w:t>
      </w:r>
      <w:r w:rsidRPr="00360239">
        <w:rPr>
          <w:strike/>
        </w:rPr>
        <w:t>+0/-2</w:t>
      </w:r>
      <w:r w:rsidR="004B7086">
        <w:rPr>
          <w:strike/>
        </w:rPr>
        <w:t xml:space="preserve"> </w:t>
      </w:r>
      <w:r w:rsidRPr="00360239">
        <w:rPr>
          <w:strike/>
        </w:rPr>
        <w:t>km/h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Vitesse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d’essai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véhicule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mis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à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l’essai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pour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la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catégorie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N</w:t>
      </w:r>
      <w:r w:rsidRPr="00BF4EB9">
        <w:rPr>
          <w:vertAlign w:val="subscript"/>
          <w:lang w:eastAsia="ja-JP"/>
        </w:rPr>
        <w:t>1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“bicyclette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cible”</w:t>
      </w:r>
    </w:p>
    <w:tbl>
      <w:tblPr>
        <w:tblW w:w="736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96"/>
        <w:gridCol w:w="2331"/>
      </w:tblGrid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maximale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Masse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en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ordre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7E4C63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7E4C63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7E4C63" w:rsidTr="00017F0A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b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7E4C63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7E4C63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DB758D" w:rsidRPr="00BF4EB9" w:rsidRDefault="00DB758D" w:rsidP="00F4764E">
      <w:pPr>
        <w:pStyle w:val="SingleTxtG"/>
        <w:ind w:left="2268"/>
        <w:rPr>
          <w:lang w:eastAsia="ja-JP"/>
        </w:rPr>
      </w:pP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</w:tblGrid>
      <w:tr w:rsidR="00DB758D" w:rsidRPr="00017F0A" w:rsidTr="00017F0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Masse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maximale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Masse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en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ordre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de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>marche</w:t>
            </w:r>
            <w:r w:rsidR="004B7086" w:rsidRPr="00017F0A">
              <w:rPr>
                <w:bCs/>
                <w:i/>
                <w:iCs/>
                <w:strike/>
                <w:kern w:val="2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DB758D" w:rsidRPr="00017F0A" w:rsidTr="00017F0A">
        <w:trPr>
          <w:trHeight w:val="20"/>
        </w:trPr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strike/>
                <w:kern w:val="2"/>
                <w:sz w:val="18"/>
                <w:szCs w:val="18"/>
              </w:rPr>
            </w:pPr>
            <w:r w:rsidRPr="00017F0A">
              <w:rPr>
                <w:bCs/>
                <w:strike/>
                <w:kern w:val="2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strike/>
                <w:kern w:val="2"/>
                <w:sz w:val="18"/>
                <w:szCs w:val="18"/>
              </w:rPr>
            </w:pPr>
            <w:r w:rsidRPr="00017F0A">
              <w:rPr>
                <w:bCs/>
                <w:strike/>
                <w:kern w:val="2"/>
                <w:sz w:val="18"/>
                <w:szCs w:val="18"/>
              </w:rPr>
              <w:t>30</w:t>
            </w:r>
          </w:p>
        </w:tc>
      </w:tr>
      <w:tr w:rsidR="00DB758D" w:rsidRPr="00017F0A" w:rsidTr="00017F0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strike/>
                <w:kern w:val="2"/>
                <w:sz w:val="18"/>
                <w:szCs w:val="18"/>
              </w:rPr>
            </w:pPr>
            <w:r w:rsidRPr="00017F0A">
              <w:rPr>
                <w:bCs/>
                <w:strike/>
                <w:kern w:val="2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strike/>
                <w:kern w:val="2"/>
                <w:sz w:val="18"/>
                <w:szCs w:val="18"/>
              </w:rPr>
            </w:pPr>
            <w:r w:rsidRPr="00017F0A">
              <w:rPr>
                <w:bCs/>
                <w:strike/>
                <w:kern w:val="2"/>
                <w:sz w:val="18"/>
                <w:szCs w:val="18"/>
              </w:rPr>
              <w:t>38</w:t>
            </w:r>
          </w:p>
        </w:tc>
      </w:tr>
      <w:tr w:rsidR="00DB758D" w:rsidRPr="00017F0A" w:rsidTr="00017F0A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strike/>
                <w:kern w:val="2"/>
                <w:sz w:val="18"/>
                <w:szCs w:val="18"/>
              </w:rPr>
            </w:pPr>
            <w:r w:rsidRPr="00017F0A">
              <w:rPr>
                <w:bCs/>
                <w:strike/>
                <w:kern w:val="2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strike/>
                <w:kern w:val="2"/>
                <w:sz w:val="18"/>
                <w:szCs w:val="18"/>
              </w:rPr>
            </w:pPr>
            <w:r w:rsidRPr="00017F0A">
              <w:rPr>
                <w:bCs/>
                <w:strike/>
                <w:kern w:val="2"/>
                <w:sz w:val="18"/>
                <w:szCs w:val="18"/>
              </w:rPr>
              <w:t>60</w:t>
            </w:r>
          </w:p>
        </w:tc>
      </w:tr>
    </w:tbl>
    <w:p w:rsidR="00DB758D" w:rsidRPr="00F4764E" w:rsidRDefault="00DB758D" w:rsidP="00F4764E">
      <w:pPr>
        <w:pStyle w:val="SingleTxtG"/>
        <w:ind w:left="2268"/>
        <w:rPr>
          <w:strike/>
        </w:rPr>
      </w:pPr>
      <w:r w:rsidRPr="00F4764E">
        <w:rPr>
          <w:strike/>
        </w:rPr>
        <w:lastRenderedPageBreak/>
        <w:t>Toutes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les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valeurs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sont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en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km/h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avec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une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tolérance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de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+0/-2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km/h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  <w:r w:rsidR="0018363E">
        <w:t> »</w:t>
      </w:r>
      <w:r w:rsidRPr="00BF4EB9">
        <w:t>.</w:t>
      </w:r>
    </w:p>
    <w:p w:rsidR="00DB758D" w:rsidRPr="00BF4EB9" w:rsidRDefault="00DB758D" w:rsidP="00360239">
      <w:pPr>
        <w:pStyle w:val="SingleTxtG"/>
      </w:pPr>
      <w:r w:rsidRPr="00BF4EB9">
        <w:rPr>
          <w:u w:val="single"/>
        </w:rPr>
        <w:t>Note</w:t>
      </w:r>
      <w:r w:rsidR="004B7086">
        <w:rPr>
          <w:u w:val="single"/>
        </w:rPr>
        <w:t> :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supplémentaires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adoptées,</w:t>
      </w:r>
      <w:r w:rsidR="004B7086">
        <w:t xml:space="preserve"> </w:t>
      </w:r>
      <w:r w:rsidRPr="00BF4EB9">
        <w:t>telles</w:t>
      </w:r>
      <w:r w:rsidR="004B7086">
        <w:t xml:space="preserve"> </w:t>
      </w:r>
      <w:r w:rsidRPr="00BF4EB9">
        <w:t>qu’elles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GRVA-07-10.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reproduites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longueur.</w:t>
      </w:r>
    </w:p>
    <w:p w:rsidR="004B7086" w:rsidRDefault="004B708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DB758D" w:rsidRPr="00BF4EB9" w:rsidRDefault="00023E07" w:rsidP="004B7086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VII</w:t>
      </w:r>
    </w:p>
    <w:p w:rsidR="00DB758D" w:rsidRPr="00BF4EB9" w:rsidRDefault="00DB758D" w:rsidP="004B7086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bookmarkStart w:id="50" w:name="_Hlk61441024"/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bookmarkEnd w:id="50"/>
      <w:r w:rsidRPr="00BF4EB9">
        <w:t>document</w:t>
      </w:r>
      <w:r w:rsidR="004B7086">
        <w:t xml:space="preserve"> </w:t>
      </w:r>
      <w:r w:rsidRPr="00BF4EB9">
        <w:t>ECE/TRANS/WP.29/GRVA/2020/28</w:t>
      </w:r>
    </w:p>
    <w:p w:rsidR="00DB758D" w:rsidRPr="00BF4EB9" w:rsidRDefault="00DB758D" w:rsidP="0018363E">
      <w:pPr>
        <w:pStyle w:val="H23G"/>
        <w:rPr>
          <w:iCs/>
        </w:rPr>
      </w:pPr>
      <w:r w:rsidRPr="00BF4EB9">
        <w:tab/>
      </w:r>
      <w:r w:rsidRPr="00BF4EB9">
        <w:tab/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GRVA-07-11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55)</w:t>
      </w:r>
    </w:p>
    <w:p w:rsidR="00DB758D" w:rsidRPr="00BF4EB9" w:rsidRDefault="00DB758D" w:rsidP="004B7086">
      <w:pPr>
        <w:pStyle w:val="SingleTxtG"/>
      </w:pPr>
      <w:bookmarkStart w:id="51" w:name="_Hlk20393058"/>
      <w:r w:rsidRPr="004B7086">
        <w:rPr>
          <w:i/>
          <w:iCs/>
        </w:rPr>
        <w:t>Modifications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apportées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="00023E07" w:rsidRPr="004B7086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6.7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6.7.1</w:t>
      </w:r>
      <w:r w:rsidRPr="00BF4EB9">
        <w:t>,</w:t>
      </w:r>
      <w:r w:rsidR="004B7086">
        <w:t xml:space="preserve"> </w:t>
      </w:r>
      <w:r w:rsidRPr="00BF4EB9">
        <w:t>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VI</w:t>
      </w:r>
    </w:p>
    <w:bookmarkEnd w:id="51"/>
    <w:p w:rsidR="00DB758D" w:rsidRPr="00BF4EB9" w:rsidRDefault="00DB758D" w:rsidP="004B7086">
      <w:pPr>
        <w:pStyle w:val="HChG"/>
      </w:pPr>
      <w:r w:rsidRPr="00BF4EB9">
        <w:br w:type="page"/>
      </w:r>
    </w:p>
    <w:p w:rsidR="00DB758D" w:rsidRPr="00BF4EB9" w:rsidRDefault="00023E07" w:rsidP="004B7086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VIII</w:t>
      </w:r>
    </w:p>
    <w:p w:rsidR="00DB758D" w:rsidRPr="00BF4EB9" w:rsidRDefault="00DB758D" w:rsidP="004B7086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bookmarkStart w:id="52" w:name="_Hlk61441244"/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bookmarkEnd w:id="52"/>
      <w:r w:rsidRPr="00BF4EB9">
        <w:t>document</w:t>
      </w:r>
      <w:r w:rsidR="004B7086">
        <w:t xml:space="preserve"> </w:t>
      </w:r>
      <w:r w:rsidRPr="00BF4EB9">
        <w:t>ECE/TRANS/WP.29/GRVA/2020/35</w:t>
      </w:r>
    </w:p>
    <w:p w:rsidR="00DB758D" w:rsidRPr="00BF4EB9" w:rsidRDefault="00DB758D" w:rsidP="0018363E">
      <w:pPr>
        <w:pStyle w:val="H23G"/>
        <w:rPr>
          <w:iCs/>
        </w:rPr>
      </w:pPr>
      <w:r w:rsidRPr="00BF4EB9">
        <w:tab/>
      </w:r>
      <w:r w:rsidRPr="00BF4EB9">
        <w:tab/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GRVA-07-53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55)</w:t>
      </w:r>
    </w:p>
    <w:p w:rsidR="00DB758D" w:rsidRPr="00BF4EB9" w:rsidRDefault="00DB758D" w:rsidP="004B7086">
      <w:pPr>
        <w:pStyle w:val="SingleTxtG"/>
      </w:pPr>
      <w:bookmarkStart w:id="53" w:name="_Hlk61441636"/>
      <w:r w:rsidRPr="004B7086">
        <w:rPr>
          <w:i/>
          <w:iCs/>
        </w:rPr>
        <w:t>Modifications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apportées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="00023E07" w:rsidRPr="004B7086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bookmarkEnd w:id="53"/>
      <w:r w:rsidRPr="004B7086">
        <w:rPr>
          <w:i/>
          <w:iCs/>
        </w:rPr>
        <w:t>5.1.4.1.3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à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5.2.1.4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f)</w:t>
      </w:r>
      <w:r w:rsidRPr="00BF4EB9">
        <w:t>,</w:t>
      </w:r>
      <w:r w:rsidR="004B7086">
        <w:t xml:space="preserve"> </w:t>
      </w:r>
      <w:r w:rsidRPr="00BF4EB9">
        <w:t>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</w:t>
      </w:r>
    </w:p>
    <w:p w:rsidR="00DB758D" w:rsidRPr="00BF4EB9" w:rsidRDefault="00023E07" w:rsidP="004B7086">
      <w:pPr>
        <w:pStyle w:val="SingleTxtG"/>
      </w:pPr>
      <w:r w:rsidRPr="00BF4EB9">
        <w:rPr>
          <w:i/>
        </w:rPr>
        <w:t>Paragraphe</w:t>
      </w:r>
      <w:r w:rsidR="004B7086">
        <w:rPr>
          <w:i/>
        </w:rPr>
        <w:t xml:space="preserve"> </w:t>
      </w:r>
      <w:r w:rsidR="00DB758D" w:rsidRPr="00BF4EB9">
        <w:rPr>
          <w:i/>
          <w:lang w:eastAsia="ja-JP"/>
        </w:rPr>
        <w:t>5.2.3.4</w:t>
      </w:r>
      <w:r w:rsidR="00DB758D" w:rsidRPr="0018363E">
        <w:rPr>
          <w:iCs/>
        </w:rPr>
        <w:t>,</w:t>
      </w:r>
      <w:r w:rsidR="004B7086" w:rsidRPr="0018363E">
        <w:rPr>
          <w:iCs/>
        </w:rPr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017F0A" w:rsidP="005A1351">
      <w:pPr>
        <w:pStyle w:val="SingleTxtG"/>
        <w:ind w:left="2268" w:hanging="1134"/>
      </w:pPr>
      <w:r>
        <w:t>« </w:t>
      </w:r>
      <w:r w:rsidR="00DB758D" w:rsidRPr="00BF4EB9">
        <w:t>5.2.3.4</w:t>
      </w:r>
      <w:r w:rsidR="00DB758D" w:rsidRPr="00BF4EB9">
        <w:tab/>
        <w:t>Réduction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la</w:t>
      </w:r>
      <w:r w:rsidR="004B7086">
        <w:t xml:space="preserve"> </w:t>
      </w:r>
      <w:r w:rsidR="00DB758D" w:rsidRPr="00BF4EB9">
        <w:t>vitesse</w:t>
      </w:r>
      <w:r w:rsidR="004B7086">
        <w:t xml:space="preserve"> </w:t>
      </w:r>
      <w:r w:rsidR="00DB758D" w:rsidRPr="00BF4EB9">
        <w:t>résultant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la</w:t>
      </w:r>
      <w:r w:rsidR="004B7086">
        <w:t xml:space="preserve"> </w:t>
      </w:r>
      <w:r w:rsidR="00DB758D" w:rsidRPr="00BF4EB9">
        <w:t>demande</w:t>
      </w:r>
      <w:r w:rsidR="004B7086">
        <w:t xml:space="preserve"> </w:t>
      </w:r>
      <w:r w:rsidR="00DB758D" w:rsidRPr="00BF4EB9">
        <w:t>de</w:t>
      </w:r>
      <w:r w:rsidR="004B7086">
        <w:t xml:space="preserve"> </w:t>
      </w:r>
      <w:r w:rsidR="00DB758D" w:rsidRPr="00BF4EB9">
        <w:t>freinage</w:t>
      </w:r>
    </w:p>
    <w:p w:rsidR="00DB758D" w:rsidRPr="004B7086" w:rsidRDefault="00DB758D" w:rsidP="00F4764E">
      <w:pPr>
        <w:pStyle w:val="SingleTxtG"/>
        <w:ind w:left="2268"/>
        <w:rPr>
          <w:b/>
          <w:bCs/>
        </w:rPr>
      </w:pPr>
      <w:r w:rsidRPr="004B7086">
        <w:rPr>
          <w:b/>
          <w:bCs/>
        </w:rPr>
        <w:t>Vitesse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d’impact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maximale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(km/h)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pour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catégorie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M</w:t>
      </w:r>
      <w:r w:rsidRPr="004B7086">
        <w:rPr>
          <w:b/>
          <w:bCs/>
          <w:vertAlign w:val="subscript"/>
        </w:rPr>
        <w:t>1</w:t>
      </w:r>
      <w:r w:rsidRPr="004B7086">
        <w:rPr>
          <w:b/>
          <w:bCs/>
        </w:rPr>
        <w:t>*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DB758D" w:rsidRPr="00BF4EB9" w:rsidTr="00017F0A">
        <w:tc>
          <w:tcPr>
            <w:tcW w:w="169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B758D" w:rsidRPr="00BF4EB9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i/>
                <w:kern w:val="2"/>
                <w:sz w:val="22"/>
                <w:szCs w:val="22"/>
              </w:rPr>
            </w:pPr>
            <w:r w:rsidRPr="00BF4EB9">
              <w:rPr>
                <w:i/>
                <w:sz w:val="16"/>
              </w:rPr>
              <w:t>Vitesse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du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véhicule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br/>
              <w:t>mis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à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l’essai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(km/h)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B758D" w:rsidRPr="00BF4EB9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i/>
                <w:kern w:val="2"/>
                <w:sz w:val="22"/>
                <w:szCs w:val="22"/>
              </w:rPr>
            </w:pPr>
            <w:r w:rsidRPr="00BF4EB9">
              <w:rPr>
                <w:i/>
                <w:sz w:val="16"/>
              </w:rPr>
              <w:t>Masse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br/>
              <w:t>maximale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B758D" w:rsidRPr="00BF4EB9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i/>
                <w:kern w:val="2"/>
                <w:sz w:val="22"/>
                <w:szCs w:val="22"/>
              </w:rPr>
            </w:pPr>
            <w:r w:rsidRPr="00BF4EB9">
              <w:rPr>
                <w:i/>
                <w:sz w:val="16"/>
              </w:rPr>
              <w:t>Masse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en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ordre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br/>
              <w:t>de</w:t>
            </w:r>
            <w:r w:rsidR="004B7086">
              <w:rPr>
                <w:i/>
                <w:sz w:val="16"/>
              </w:rPr>
              <w:t xml:space="preserve"> </w:t>
            </w:r>
            <w:r w:rsidRPr="00BF4EB9">
              <w:rPr>
                <w:i/>
                <w:sz w:val="16"/>
              </w:rPr>
              <w:t>marche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BF4EB9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bCs/>
                <w:i/>
                <w:iCs/>
                <w:kern w:val="2"/>
                <w:sz w:val="22"/>
                <w:szCs w:val="22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10,00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/>
                <w:strike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/>
                <w:bCs/>
                <w:kern w:val="2"/>
                <w:sz w:val="18"/>
                <w:szCs w:val="18"/>
              </w:rPr>
              <w:t>0,00</w:t>
            </w:r>
            <w:r w:rsidR="004B7086" w:rsidRPr="00017F0A">
              <w:rPr>
                <w:rFonts w:eastAsiaTheme="minorEastAsia"/>
                <w:b/>
                <w:bCs/>
                <w:kern w:val="2"/>
                <w:sz w:val="18"/>
                <w:szCs w:val="18"/>
              </w:rPr>
              <w:t xml:space="preserve"> </w:t>
            </w:r>
            <w:r w:rsidRPr="00017F0A">
              <w:rPr>
                <w:rFonts w:eastAsiaTheme="minorEastAsia"/>
                <w:strike/>
                <w:kern w:val="2"/>
                <w:sz w:val="18"/>
                <w:szCs w:val="18"/>
              </w:rPr>
              <w:t>10,00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25,00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30,00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jc w:val="center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35,00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kern w:val="2"/>
                <w:sz w:val="18"/>
                <w:szCs w:val="18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</w:rPr>
              <w:t>35,00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</w:p>
        </w:tc>
      </w:tr>
      <w:tr w:rsidR="00DB758D" w:rsidRPr="00017F0A" w:rsidTr="00017F0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40,00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10" w:right="57"/>
              <w:jc w:val="center"/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bCs/>
                <w:kern w:val="2"/>
                <w:sz w:val="18"/>
                <w:szCs w:val="18"/>
                <w:lang w:eastAsia="ja-JP"/>
              </w:rPr>
              <w:t>40,00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</w:pPr>
            <w:r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>All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>values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>in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val="en-US" w:eastAsia="ja-JP"/>
              </w:rPr>
              <w:t>km/h</w:t>
            </w:r>
          </w:p>
        </w:tc>
      </w:tr>
      <w:tr w:rsidR="00DB758D" w:rsidRPr="00017F0A" w:rsidTr="00017F0A"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58D" w:rsidRPr="00017F0A" w:rsidRDefault="00DB758D" w:rsidP="00017F0A">
            <w:pPr>
              <w:widowControl w:val="0"/>
              <w:suppressAutoHyphens w:val="0"/>
              <w:spacing w:before="20" w:after="20" w:line="200" w:lineRule="atLeast"/>
              <w:ind w:left="57" w:right="57"/>
              <w:contextualSpacing/>
              <w:jc w:val="both"/>
              <w:rPr>
                <w:rFonts w:eastAsiaTheme="minorEastAsia"/>
                <w:kern w:val="2"/>
                <w:sz w:val="18"/>
                <w:szCs w:val="18"/>
                <w:lang w:eastAsia="ja-JP"/>
              </w:rPr>
            </w:pP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*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="0018363E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Pour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les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vitesses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du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véhicule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mis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à</w:t>
            </w:r>
            <w:r w:rsidR="004B7086"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 xml:space="preserve"> </w:t>
            </w:r>
            <w:r w:rsidRP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l’essai…</w:t>
            </w:r>
            <w:r w:rsidR="00017F0A">
              <w:rPr>
                <w:rFonts w:eastAsiaTheme="minorEastAsia"/>
                <w:kern w:val="2"/>
                <w:sz w:val="18"/>
                <w:szCs w:val="18"/>
                <w:lang w:eastAsia="ja-JP"/>
              </w:rPr>
              <w:t> </w:t>
            </w:r>
            <w:r w:rsidR="00017F0A" w:rsidRPr="00017F0A">
              <w:rPr>
                <w:rFonts w:eastAsiaTheme="minorEastAsia"/>
                <w:kern w:val="2"/>
                <w:lang w:eastAsia="ja-JP"/>
              </w:rPr>
              <w:t>»</w:t>
            </w:r>
            <w:r w:rsidRPr="00017F0A">
              <w:rPr>
                <w:rFonts w:eastAsiaTheme="minorEastAsia"/>
                <w:kern w:val="2"/>
                <w:lang w:eastAsia="ja-JP"/>
              </w:rPr>
              <w:t>.</w:t>
            </w:r>
          </w:p>
        </w:tc>
      </w:tr>
    </w:tbl>
    <w:p w:rsidR="00DB758D" w:rsidRPr="00BF4EB9" w:rsidRDefault="00DB758D" w:rsidP="00017F0A">
      <w:pPr>
        <w:pStyle w:val="SingleTxtG"/>
        <w:spacing w:before="120"/>
      </w:pPr>
      <w:r w:rsidRPr="004B7086">
        <w:rPr>
          <w:i/>
          <w:iCs/>
        </w:rPr>
        <w:t>Modifications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apportées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="00023E07" w:rsidRPr="004B7086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5.4.2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à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6.6.1</w:t>
      </w:r>
      <w:r w:rsidRPr="00BF4EB9">
        <w:t>,</w:t>
      </w:r>
      <w:r w:rsidR="004B7086">
        <w:t xml:space="preserve"> </w:t>
      </w:r>
      <w:r w:rsidRPr="00BF4EB9">
        <w:t>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</w:t>
      </w:r>
    </w:p>
    <w:p w:rsidR="00DB758D" w:rsidRPr="00BF4EB9" w:rsidRDefault="00DB758D" w:rsidP="004B7086">
      <w:pPr>
        <w:pStyle w:val="SingleTxtG"/>
      </w:pPr>
      <w:r w:rsidRPr="004B7086">
        <w:rPr>
          <w:i/>
          <w:iCs/>
        </w:rPr>
        <w:t>Modifications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apportées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aux</w:t>
      </w:r>
      <w:r w:rsidR="004B7086">
        <w:rPr>
          <w:i/>
          <w:iCs/>
        </w:rPr>
        <w:t xml:space="preserve"> </w:t>
      </w:r>
      <w:r w:rsidR="00023E07" w:rsidRPr="004B7086">
        <w:rPr>
          <w:i/>
          <w:iCs/>
        </w:rPr>
        <w:t>paragraphes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6.7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et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6.7.1</w:t>
      </w:r>
      <w:r w:rsidRPr="00BF4EB9">
        <w:t>,</w:t>
      </w:r>
      <w:r w:rsidR="004B7086">
        <w:t xml:space="preserve"> </w:t>
      </w:r>
      <w:r w:rsidRPr="00BF4EB9">
        <w:t>voir</w:t>
      </w:r>
      <w:r w:rsidR="004B7086">
        <w:t xml:space="preserve"> </w:t>
      </w:r>
      <w:r w:rsidR="00023E07" w:rsidRPr="00BF4EB9">
        <w:t>annexe</w:t>
      </w:r>
      <w:r w:rsidR="004B7086">
        <w:t xml:space="preserve"> </w:t>
      </w:r>
      <w:r w:rsidRPr="00BF4EB9">
        <w:t>V,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l’exception</w:t>
      </w:r>
      <w:r w:rsidR="004B7086">
        <w:t xml:space="preserve"> </w:t>
      </w:r>
      <w:r w:rsidRPr="00BF4EB9">
        <w:t>des</w:t>
      </w:r>
      <w:r w:rsidR="00017F0A">
        <w:t> </w:t>
      </w:r>
      <w:r w:rsidRPr="00BF4EB9">
        <w:t>tableaux</w:t>
      </w:r>
      <w:r w:rsidR="004B7086">
        <w:t xml:space="preserve"> </w:t>
      </w:r>
      <w:r w:rsidRPr="00BF4EB9">
        <w:t>ci-dessous</w:t>
      </w:r>
      <w:r w:rsidR="004B7086">
        <w:t> :</w:t>
      </w:r>
    </w:p>
    <w:p w:rsidR="00DB758D" w:rsidRPr="00BF4EB9" w:rsidRDefault="00DB758D" w:rsidP="00F4764E">
      <w:pPr>
        <w:pStyle w:val="SingleTxtG"/>
        <w:ind w:left="2268"/>
        <w:rPr>
          <w:lang w:eastAsia="ja-JP"/>
        </w:rPr>
      </w:pPr>
      <w:r w:rsidRPr="00BF4EB9">
        <w:rPr>
          <w:lang w:eastAsia="ja-JP"/>
        </w:rPr>
        <w:t>…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“bicyclette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cible”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017F0A" w:rsidTr="001356B5">
        <w:trPr>
          <w:trHeight w:val="265"/>
        </w:trPr>
        <w:tc>
          <w:tcPr>
            <w:tcW w:w="253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i/>
                <w:sz w:val="16"/>
                <w:szCs w:val="16"/>
              </w:rPr>
              <w:t>Masse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maximale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i/>
                <w:sz w:val="16"/>
                <w:szCs w:val="16"/>
              </w:rPr>
              <w:t>Masse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en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ordre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de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017F0A" w:rsidTr="001356B5"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017F0A" w:rsidTr="001356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Cs/>
                <w:kern w:val="2"/>
                <w:sz w:val="18"/>
                <w:szCs w:val="18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Cs/>
                <w:kern w:val="2"/>
                <w:sz w:val="18"/>
                <w:szCs w:val="18"/>
              </w:rPr>
              <w:t>38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017F0A" w:rsidTr="001356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Cs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rFonts w:asciiTheme="majorBidi" w:hAnsiTheme="majorBidi"/>
                <w:b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DB758D" w:rsidRPr="004B7086" w:rsidRDefault="00DB758D" w:rsidP="00F4764E">
      <w:pPr>
        <w:pStyle w:val="SingleTxtG"/>
        <w:ind w:left="2268"/>
        <w:rPr>
          <w:strike/>
        </w:rPr>
      </w:pPr>
      <w:bookmarkStart w:id="54" w:name="_Hlk61445625"/>
      <w:r w:rsidRPr="00BF4EB9">
        <w:t>Toutes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valeurs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km/h</w:t>
      </w:r>
      <w:r w:rsidR="004B7086">
        <w:rPr>
          <w:strike/>
        </w:rPr>
        <w:t xml:space="preserve"> </w:t>
      </w:r>
      <w:r w:rsidRPr="004B7086">
        <w:rPr>
          <w:strike/>
        </w:rPr>
        <w:t>avec</w:t>
      </w:r>
      <w:r w:rsidR="004B7086">
        <w:rPr>
          <w:strike/>
        </w:rPr>
        <w:t xml:space="preserve"> </w:t>
      </w:r>
      <w:r w:rsidRPr="004B7086">
        <w:rPr>
          <w:strike/>
        </w:rPr>
        <w:t>une</w:t>
      </w:r>
      <w:r w:rsidR="004B7086">
        <w:rPr>
          <w:strike/>
        </w:rPr>
        <w:t xml:space="preserve"> </w:t>
      </w:r>
      <w:r w:rsidRPr="004B7086">
        <w:rPr>
          <w:strike/>
        </w:rPr>
        <w:t>marge</w:t>
      </w:r>
      <w:r w:rsidR="004B7086">
        <w:rPr>
          <w:strike/>
        </w:rPr>
        <w:t xml:space="preserve"> </w:t>
      </w:r>
      <w:r w:rsidRPr="004B7086">
        <w:rPr>
          <w:strike/>
        </w:rPr>
        <w:t>de</w:t>
      </w:r>
      <w:r w:rsidR="004B7086">
        <w:rPr>
          <w:strike/>
        </w:rPr>
        <w:t xml:space="preserve"> </w:t>
      </w:r>
      <w:r w:rsidRPr="004B7086">
        <w:rPr>
          <w:strike/>
        </w:rPr>
        <w:t>tolérance</w:t>
      </w:r>
      <w:r w:rsidR="004B7086">
        <w:rPr>
          <w:strike/>
        </w:rPr>
        <w:t xml:space="preserve"> </w:t>
      </w:r>
      <w:r w:rsidRPr="004B7086">
        <w:rPr>
          <w:strike/>
        </w:rPr>
        <w:t>de</w:t>
      </w:r>
      <w:r w:rsidR="004B7086">
        <w:rPr>
          <w:strike/>
        </w:rPr>
        <w:t xml:space="preserve"> </w:t>
      </w:r>
      <w:r w:rsidRPr="004B7086">
        <w:rPr>
          <w:strike/>
        </w:rPr>
        <w:t>+0/-2</w:t>
      </w:r>
    </w:p>
    <w:bookmarkEnd w:id="54"/>
    <w:p w:rsidR="00DB758D" w:rsidRPr="00BF4EB9" w:rsidRDefault="00DB758D" w:rsidP="00F4764E">
      <w:pPr>
        <w:pStyle w:val="SingleTxtG"/>
        <w:ind w:left="2268"/>
        <w:rPr>
          <w:bCs/>
          <w:lang w:eastAsia="ja-JP"/>
        </w:rPr>
      </w:pPr>
      <w:r w:rsidRPr="00BF4EB9">
        <w:rPr>
          <w:bCs/>
          <w:lang w:eastAsia="ja-JP"/>
        </w:rPr>
        <w:t>…</w:t>
      </w:r>
      <w:r w:rsidR="004B7086">
        <w:rPr>
          <w:bCs/>
          <w:lang w:eastAsia="ja-JP"/>
        </w:rPr>
        <w:t xml:space="preserve"> </w:t>
      </w:r>
      <w:bookmarkStart w:id="55" w:name="_Hlk61441961"/>
      <w:r w:rsidRPr="00BF4EB9">
        <w:rPr>
          <w:lang w:eastAsia="ja-JP"/>
        </w:rPr>
        <w:t>dans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scénario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“bicyclette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cible”</w:t>
      </w:r>
    </w:p>
    <w:tbl>
      <w:tblPr>
        <w:tblW w:w="737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98"/>
        <w:gridCol w:w="2333"/>
      </w:tblGrid>
      <w:tr w:rsidR="00DB758D" w:rsidRPr="00017F0A" w:rsidTr="001356B5">
        <w:trPr>
          <w:trHeight w:val="20"/>
        </w:trPr>
        <w:tc>
          <w:tcPr>
            <w:tcW w:w="253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bookmarkEnd w:id="55"/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i/>
                <w:sz w:val="16"/>
                <w:szCs w:val="16"/>
              </w:rPr>
              <w:t>Masse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maximale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i/>
                <w:iCs/>
                <w:strike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i/>
                <w:sz w:val="16"/>
                <w:szCs w:val="16"/>
              </w:rPr>
              <w:t>Masse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en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ordre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de</w:t>
            </w:r>
            <w:r w:rsidR="004B7086" w:rsidRPr="00017F0A">
              <w:rPr>
                <w:i/>
                <w:sz w:val="16"/>
                <w:szCs w:val="16"/>
              </w:rPr>
              <w:t xml:space="preserve"> </w:t>
            </w:r>
            <w:r w:rsidRPr="00017F0A">
              <w:rPr>
                <w:i/>
                <w:sz w:val="16"/>
                <w:szCs w:val="16"/>
              </w:rPr>
              <w:t>marche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8D" w:rsidRPr="00017F0A" w:rsidRDefault="00DB758D" w:rsidP="001356B5">
            <w:pPr>
              <w:widowControl w:val="0"/>
              <w:suppressAutoHyphens w:val="0"/>
              <w:spacing w:before="40" w:after="40" w:line="200" w:lineRule="atLeast"/>
              <w:jc w:val="center"/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</w:pPr>
            <w:r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Marge</w:t>
            </w:r>
            <w:r w:rsidR="004B7086"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de</w:t>
            </w:r>
            <w:r w:rsidR="004B7086"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 xml:space="preserve"> </w:t>
            </w:r>
            <w:r w:rsidRPr="00017F0A">
              <w:rPr>
                <w:b/>
                <w:i/>
                <w:iCs/>
                <w:kern w:val="2"/>
                <w:sz w:val="16"/>
                <w:szCs w:val="16"/>
                <w:lang w:eastAsia="ja-JP"/>
              </w:rPr>
              <w:t>tolérance</w:t>
            </w:r>
          </w:p>
        </w:tc>
      </w:tr>
      <w:tr w:rsidR="00DB758D" w:rsidRPr="00017F0A" w:rsidTr="001356B5">
        <w:trPr>
          <w:trHeight w:val="20"/>
        </w:trPr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kern w:val="2"/>
                <w:sz w:val="18"/>
                <w:szCs w:val="18"/>
              </w:rPr>
            </w:pPr>
            <w:r w:rsidRPr="00017F0A">
              <w:rPr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kern w:val="2"/>
                <w:sz w:val="18"/>
                <w:szCs w:val="18"/>
              </w:rPr>
            </w:pPr>
            <w:r w:rsidRPr="00017F0A">
              <w:rPr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/>
                <w:kern w:val="2"/>
                <w:sz w:val="18"/>
                <w:szCs w:val="18"/>
              </w:rPr>
              <w:t>+2/-0</w:t>
            </w:r>
          </w:p>
        </w:tc>
      </w:tr>
      <w:tr w:rsidR="00DB758D" w:rsidRPr="00017F0A" w:rsidTr="001356B5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kern w:val="2"/>
                <w:sz w:val="18"/>
                <w:szCs w:val="18"/>
              </w:rPr>
            </w:pPr>
            <w:r w:rsidRPr="00017F0A">
              <w:rPr>
                <w:bCs/>
                <w:kern w:val="2"/>
                <w:sz w:val="18"/>
                <w:szCs w:val="18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kern w:val="2"/>
                <w:sz w:val="18"/>
                <w:szCs w:val="18"/>
              </w:rPr>
            </w:pPr>
            <w:r w:rsidRPr="00017F0A">
              <w:rPr>
                <w:bCs/>
                <w:kern w:val="2"/>
                <w:sz w:val="18"/>
                <w:szCs w:val="18"/>
              </w:rPr>
              <w:t>38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  <w:tr w:rsidR="00DB758D" w:rsidRPr="00017F0A" w:rsidTr="001356B5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kern w:val="2"/>
                <w:sz w:val="18"/>
                <w:szCs w:val="18"/>
              </w:rPr>
            </w:pPr>
            <w:r w:rsidRPr="00017F0A">
              <w:rPr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Cs/>
                <w:kern w:val="2"/>
                <w:sz w:val="18"/>
                <w:szCs w:val="18"/>
              </w:rPr>
            </w:pPr>
            <w:r w:rsidRPr="00017F0A">
              <w:rPr>
                <w:bCs/>
                <w:kern w:val="2"/>
                <w:sz w:val="18"/>
                <w:szCs w:val="18"/>
              </w:rPr>
              <w:t>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58D" w:rsidRPr="00017F0A" w:rsidRDefault="00DB758D" w:rsidP="001356B5">
            <w:pPr>
              <w:spacing w:before="40" w:after="40" w:line="200" w:lineRule="atLeast"/>
              <w:jc w:val="center"/>
              <w:rPr>
                <w:b/>
                <w:kern w:val="2"/>
                <w:sz w:val="18"/>
                <w:szCs w:val="18"/>
              </w:rPr>
            </w:pPr>
            <w:r w:rsidRPr="00017F0A">
              <w:rPr>
                <w:rFonts w:asciiTheme="majorBidi" w:hAnsiTheme="majorBidi"/>
                <w:b/>
                <w:kern w:val="2"/>
                <w:sz w:val="18"/>
                <w:szCs w:val="18"/>
              </w:rPr>
              <w:t>+0/-2</w:t>
            </w:r>
          </w:p>
        </w:tc>
      </w:tr>
    </w:tbl>
    <w:p w:rsidR="00DB758D" w:rsidRPr="00F4764E" w:rsidRDefault="00DB758D" w:rsidP="00F4764E">
      <w:pPr>
        <w:pStyle w:val="SingleTxtG"/>
        <w:ind w:left="2268"/>
        <w:rPr>
          <w:strike/>
        </w:rPr>
      </w:pPr>
      <w:r w:rsidRPr="00BF4EB9">
        <w:t>Toutes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valeurs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km/h</w:t>
      </w:r>
      <w:r w:rsidR="004B7086" w:rsidRPr="001356B5">
        <w:rPr>
          <w:strike/>
        </w:rPr>
        <w:t xml:space="preserve"> </w:t>
      </w:r>
      <w:r w:rsidRPr="00F4764E">
        <w:rPr>
          <w:strike/>
        </w:rPr>
        <w:t>avec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une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marge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de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tolérance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de</w:t>
      </w:r>
      <w:r w:rsidR="004B7086" w:rsidRPr="00F4764E">
        <w:rPr>
          <w:strike/>
        </w:rPr>
        <w:t xml:space="preserve"> </w:t>
      </w:r>
      <w:r w:rsidRPr="00F4764E">
        <w:rPr>
          <w:strike/>
        </w:rPr>
        <w:t>+0/-2</w:t>
      </w:r>
    </w:p>
    <w:p w:rsidR="00DB758D" w:rsidRPr="00BF4EB9" w:rsidRDefault="00DB758D" w:rsidP="00F4764E">
      <w:pPr>
        <w:pStyle w:val="SingleTxtG"/>
        <w:ind w:left="2268"/>
      </w:pPr>
      <w:r w:rsidRPr="00BF4EB9">
        <w:t>…</w:t>
      </w:r>
      <w:r w:rsidR="001356B5">
        <w:t> »</w:t>
      </w:r>
      <w:r w:rsidRPr="00BF4EB9">
        <w:t>.</w:t>
      </w:r>
    </w:p>
    <w:p w:rsidR="00DB758D" w:rsidRPr="00BF4EB9" w:rsidRDefault="00DB758D" w:rsidP="004B7086">
      <w:pPr>
        <w:pStyle w:val="SingleTxtG"/>
      </w:pPr>
      <w:r w:rsidRPr="00BF4EB9">
        <w:rPr>
          <w:u w:val="single"/>
        </w:rPr>
        <w:t>Note</w:t>
      </w:r>
      <w:r w:rsidR="004B7086">
        <w:rPr>
          <w:u w:val="single"/>
        </w:rPr>
        <w:t> :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supplémentaires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adoptées,</w:t>
      </w:r>
      <w:r w:rsidR="004B7086">
        <w:t xml:space="preserve"> </w:t>
      </w:r>
      <w:r w:rsidRPr="00BF4EB9">
        <w:t>telles</w:t>
      </w:r>
      <w:r w:rsidR="004B7086">
        <w:t xml:space="preserve"> </w:t>
      </w:r>
      <w:r w:rsidRPr="00BF4EB9">
        <w:t>qu’elles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GRVA-07-53.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reproduites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longueur.</w:t>
      </w:r>
    </w:p>
    <w:p w:rsidR="004B7086" w:rsidRDefault="004B708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DB758D" w:rsidRPr="00BF4EB9" w:rsidRDefault="00023E07" w:rsidP="004B7086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IX</w:t>
      </w:r>
    </w:p>
    <w:p w:rsidR="00DB758D" w:rsidRPr="00BF4EB9" w:rsidRDefault="00DB758D" w:rsidP="004B7086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r w:rsidRPr="00BF4EB9">
        <w:t>Mandat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intérieur</w:t>
      </w:r>
      <w:r w:rsidR="004B7086">
        <w:t xml:space="preserve"> </w:t>
      </w:r>
      <w:r w:rsidRPr="00BF4EB9">
        <w:t>adoptés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nouveau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lourds</w:t>
      </w:r>
    </w:p>
    <w:p w:rsidR="00DB758D" w:rsidRPr="00BF4EB9" w:rsidRDefault="00DB758D" w:rsidP="0018363E">
      <w:pPr>
        <w:pStyle w:val="H23G"/>
      </w:pPr>
      <w:r w:rsidRPr="00BF4EB9">
        <w:tab/>
      </w:r>
      <w:r w:rsidRPr="00BF4EB9">
        <w:tab/>
        <w:t>Fondés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GRVA-09-03,</w:t>
      </w:r>
      <w:r w:rsidR="004B7086">
        <w:t xml:space="preserve"> </w:t>
      </w:r>
      <w:r w:rsidRPr="00BF4EB9">
        <w:t>modifié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</w:t>
      </w:r>
      <w:r w:rsidR="0018363E">
        <w:t xml:space="preserve"> </w:t>
      </w:r>
      <w:r w:rsidRPr="00BF4EB9">
        <w:t>document</w:t>
      </w:r>
      <w:r w:rsidR="004B7086">
        <w:t xml:space="preserve"> </w:t>
      </w:r>
      <w:r w:rsidRPr="00BF4EB9">
        <w:t>GRVA-09-40</w:t>
      </w:r>
    </w:p>
    <w:p w:rsidR="00DB758D" w:rsidRPr="00BF4EB9" w:rsidRDefault="00DB758D" w:rsidP="004B7086">
      <w:pPr>
        <w:pStyle w:val="H1G"/>
      </w:pPr>
      <w:r w:rsidRPr="00BF4EB9">
        <w:rPr>
          <w:sz w:val="22"/>
          <w:szCs w:val="22"/>
        </w:rPr>
        <w:tab/>
      </w:r>
      <w:r w:rsidRPr="00BF4EB9">
        <w:t>A.</w:t>
      </w:r>
      <w:r w:rsidRPr="00BF4EB9">
        <w:tab/>
        <w:t>Mandat</w:t>
      </w:r>
    </w:p>
    <w:p w:rsidR="00DB758D" w:rsidRPr="00BF4EB9" w:rsidRDefault="00DB758D" w:rsidP="004B7086">
      <w:pPr>
        <w:pStyle w:val="SingleTxtG"/>
      </w:pPr>
      <w:r w:rsidRPr="00BF4EB9">
        <w:t>1.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établira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projet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réglementation</w:t>
      </w:r>
      <w:r w:rsidR="004B7086">
        <w:t xml:space="preserve"> </w:t>
      </w:r>
      <w:r w:rsidRPr="00BF4EB9">
        <w:t>destiné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réviser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1356B5">
        <w:rPr>
          <w:rFonts w:eastAsia="MS Mincho"/>
        </w:rPr>
        <w:t>n</w:t>
      </w:r>
      <w:r w:rsidR="001356B5">
        <w:rPr>
          <w:rFonts w:eastAsia="MS Mincho"/>
          <w:vertAlign w:val="superscript"/>
        </w:rPr>
        <w:t>o</w:t>
      </w:r>
      <w:r w:rsidR="001356B5">
        <w:t> </w:t>
      </w:r>
      <w:r w:rsidRPr="00BF4EB9">
        <w:t>131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vue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l’adapter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technologies</w:t>
      </w:r>
      <w:r w:rsidR="004B7086">
        <w:t xml:space="preserve"> </w:t>
      </w:r>
      <w:r w:rsidRPr="00BF4EB9">
        <w:t>modernes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l’harmoniser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nouveaux</w:t>
      </w:r>
      <w:r w:rsidR="004B7086">
        <w:t xml:space="preserve"> </w:t>
      </w:r>
      <w:r w:rsidRPr="00BF4EB9">
        <w:t>concepts</w:t>
      </w:r>
      <w:r w:rsidR="004B7086">
        <w:t xml:space="preserve"> </w:t>
      </w:r>
      <w:r w:rsidRPr="00BF4EB9">
        <w:t>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rPr>
          <w:rFonts w:ascii="Segoe UI" w:hAnsi="Segoe UI" w:cs="Segoe UI"/>
        </w:rPr>
        <w:t xml:space="preserve"> </w:t>
      </w:r>
      <w:r w:rsidRPr="00BF4EB9">
        <w:rPr>
          <w:rFonts w:ascii="Segoe UI" w:hAnsi="Segoe UI" w:cs="Segoe UI"/>
        </w:rPr>
        <w:t>s</w:t>
      </w:r>
      <w:r w:rsidRPr="00BF4EB9">
        <w:t>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(AEBS)</w:t>
      </w:r>
      <w:r w:rsidR="004B7086">
        <w:t xml:space="preserve"> </w:t>
      </w:r>
      <w:r w:rsidRPr="00BF4EB9">
        <w:t>destinés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N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(Règlement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1356B5">
        <w:rPr>
          <w:rFonts w:eastAsia="MS Mincho"/>
        </w:rPr>
        <w:t>n</w:t>
      </w:r>
      <w:r w:rsidR="001356B5">
        <w:rPr>
          <w:rFonts w:eastAsia="MS Mincho"/>
          <w:vertAlign w:val="superscript"/>
        </w:rPr>
        <w:t>o</w:t>
      </w:r>
      <w:r w:rsidR="001356B5">
        <w:t> </w:t>
      </w:r>
      <w:r w:rsidRPr="00BF4EB9">
        <w:t>152).</w:t>
      </w:r>
    </w:p>
    <w:p w:rsidR="00DB758D" w:rsidRPr="00BF4EB9" w:rsidRDefault="00DB758D" w:rsidP="004B7086">
      <w:pPr>
        <w:pStyle w:val="SingleTxtG"/>
      </w:pPr>
      <w:r w:rsidRPr="00BF4EB9">
        <w:t>2.</w:t>
      </w:r>
      <w:r w:rsidRPr="00BF4EB9">
        <w:tab/>
      </w:r>
      <w:bookmarkStart w:id="56" w:name="_Hlk61447174"/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bookmarkEnd w:id="56"/>
      <w:r w:rsidRPr="00BF4EB9">
        <w:t>abordera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particulier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questions</w:t>
      </w:r>
      <w:r w:rsidR="004B7086">
        <w:t xml:space="preserve"> </w:t>
      </w:r>
      <w:r w:rsidRPr="00BF4EB9">
        <w:t>suivantes</w:t>
      </w:r>
      <w:r w:rsidR="004B7086">
        <w:t> :</w:t>
      </w:r>
    </w:p>
    <w:p w:rsidR="00DB758D" w:rsidRPr="00BF4EB9" w:rsidRDefault="00DB758D" w:rsidP="001356B5">
      <w:pPr>
        <w:pStyle w:val="SingleTxtG"/>
        <w:ind w:left="1701"/>
      </w:pPr>
      <w:r w:rsidRPr="00BF4EB9">
        <w:t>a)</w:t>
      </w:r>
      <w:r w:rsidRPr="00BF4EB9">
        <w:tab/>
        <w:t>Évaluer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situation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matière</w:t>
      </w:r>
      <w:r w:rsidR="004B7086">
        <w:t xml:space="preserve"> </w:t>
      </w:r>
      <w:r w:rsidRPr="00BF4EB9">
        <w:t>d’accidents</w:t>
      </w:r>
      <w:r w:rsidR="004B7086">
        <w:t xml:space="preserve"> </w:t>
      </w:r>
      <w:r w:rsidRPr="00BF4EB9">
        <w:t>impliquant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utilitaires</w:t>
      </w:r>
      <w:r w:rsidR="004B7086">
        <w:t xml:space="preserve"> </w:t>
      </w:r>
      <w:r w:rsidRPr="00BF4EB9">
        <w:t>lourds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régions</w:t>
      </w:r>
      <w:r w:rsidR="004B7086">
        <w:t xml:space="preserve"> </w:t>
      </w:r>
      <w:r w:rsidRPr="00BF4EB9">
        <w:t>où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1356B5">
        <w:rPr>
          <w:rFonts w:eastAsia="MS Mincho"/>
        </w:rPr>
        <w:t>n</w:t>
      </w:r>
      <w:r w:rsidR="001356B5">
        <w:rPr>
          <w:rFonts w:eastAsia="MS Mincho"/>
          <w:vertAlign w:val="superscript"/>
        </w:rPr>
        <w:t>o</w:t>
      </w:r>
      <w:r w:rsidR="001356B5">
        <w:t> </w:t>
      </w:r>
      <w:r w:rsidRPr="00BF4EB9">
        <w:t>131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actuellement</w:t>
      </w:r>
      <w:r w:rsidR="004B7086">
        <w:t xml:space="preserve"> </w:t>
      </w:r>
      <w:r w:rsidRPr="00BF4EB9">
        <w:t>appliqué,</w:t>
      </w:r>
      <w:r w:rsidR="004B7086">
        <w:t xml:space="preserve"> </w:t>
      </w:r>
      <w:r w:rsidRPr="00BF4EB9">
        <w:t>vérifier</w:t>
      </w:r>
      <w:r w:rsidR="004B7086">
        <w:t xml:space="preserve"> </w:t>
      </w:r>
      <w:r w:rsidRPr="00BF4EB9">
        <w:t>l’efficacité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actuelles,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distinguant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2</w:t>
      </w:r>
      <w:r w:rsidRPr="00BF4EB9">
        <w:t>/N</w:t>
      </w:r>
      <w:r w:rsidRPr="00BF4EB9">
        <w:rPr>
          <w:vertAlign w:val="subscript"/>
        </w:rPr>
        <w:t>2</w:t>
      </w:r>
      <w:r w:rsidR="004B7086">
        <w:rPr>
          <w:vertAlign w:val="subscript"/>
        </w:rPr>
        <w:t xml:space="preserve"> </w:t>
      </w:r>
      <w:r w:rsidRPr="00BF4EB9">
        <w:t>de</w:t>
      </w:r>
      <w:r w:rsidR="004B7086">
        <w:t xml:space="preserve"> </w:t>
      </w:r>
      <w:r w:rsidRPr="00BF4EB9">
        <w:t>ceux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3</w:t>
      </w:r>
      <w:r w:rsidRPr="00BF4EB9">
        <w:t>/N</w:t>
      </w:r>
      <w:r w:rsidRPr="00BF4EB9">
        <w:rPr>
          <w:vertAlign w:val="subscript"/>
        </w:rPr>
        <w:t>3</w:t>
      </w:r>
      <w:r w:rsidRPr="00BF4EB9">
        <w:t>.</w:t>
      </w:r>
    </w:p>
    <w:p w:rsidR="00DB758D" w:rsidRPr="00BF4EB9" w:rsidRDefault="00DB758D" w:rsidP="001356B5">
      <w:pPr>
        <w:pStyle w:val="SingleTxtG"/>
        <w:ind w:left="1701"/>
      </w:pPr>
      <w:r w:rsidRPr="00BF4EB9">
        <w:t>b)</w:t>
      </w:r>
      <w:r w:rsidRPr="00BF4EB9">
        <w:tab/>
        <w:t>Définir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d’efficacité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pointe,</w:t>
      </w:r>
      <w:r w:rsidR="004B7086">
        <w:t xml:space="preserve"> </w:t>
      </w:r>
      <w:r w:rsidRPr="00BF4EB9">
        <w:t>surtout</w:t>
      </w:r>
      <w:r w:rsidR="004B7086">
        <w:t xml:space="preserve"> </w:t>
      </w:r>
      <w:r w:rsidRPr="00BF4EB9">
        <w:t>s’agissant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collisions</w:t>
      </w:r>
      <w:r w:rsidR="004B7086">
        <w:t xml:space="preserve"> </w:t>
      </w:r>
      <w:r w:rsidRPr="00BF4EB9">
        <w:t>impliquant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l’arrêt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objets</w:t>
      </w:r>
      <w:r w:rsidR="004B7086">
        <w:t xml:space="preserve"> </w:t>
      </w:r>
      <w:r w:rsidRPr="00BF4EB9">
        <w:t>immobiles,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l’évaluation</w:t>
      </w:r>
      <w:r w:rsidR="004B7086">
        <w:t xml:space="preserve"> </w:t>
      </w:r>
      <w:r w:rsidRPr="00BF4EB9">
        <w:t>ci-dessus.</w:t>
      </w:r>
    </w:p>
    <w:p w:rsidR="00DB758D" w:rsidRPr="00BF4EB9" w:rsidRDefault="00DB758D" w:rsidP="001356B5">
      <w:pPr>
        <w:pStyle w:val="SingleTxtG"/>
        <w:ind w:left="1701"/>
      </w:pPr>
      <w:r w:rsidRPr="00BF4EB9">
        <w:t>c)</w:t>
      </w:r>
      <w:r w:rsidRPr="00BF4EB9">
        <w:tab/>
        <w:t>Revoir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valeurs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réduction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vitesse</w:t>
      </w:r>
      <w:r w:rsidR="004B7086">
        <w:t xml:space="preserve"> </w:t>
      </w:r>
      <w:r w:rsidRPr="00BF4EB9">
        <w:t>visée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catégories</w:t>
      </w:r>
      <w:r w:rsidR="004B7086">
        <w:t xml:space="preserve"> </w:t>
      </w:r>
      <w:r w:rsidRPr="00BF4EB9">
        <w:t>M</w:t>
      </w:r>
      <w:r w:rsidRPr="00BF4EB9">
        <w:rPr>
          <w:vertAlign w:val="subscript"/>
        </w:rPr>
        <w:t>2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N</w:t>
      </w:r>
      <w:r w:rsidRPr="00BF4EB9">
        <w:rPr>
          <w:vertAlign w:val="subscript"/>
        </w:rPr>
        <w:t>2</w:t>
      </w:r>
      <w:r w:rsidR="004B7086">
        <w:t xml:space="preserve"> </w:t>
      </w:r>
      <w:r w:rsidRPr="00BF4EB9">
        <w:t>(comme</w:t>
      </w:r>
      <w:r w:rsidR="004B7086">
        <w:t xml:space="preserve"> </w:t>
      </w:r>
      <w:r w:rsidRPr="00BF4EB9">
        <w:t>il</w:t>
      </w:r>
      <w:r w:rsidR="004B7086">
        <w:t xml:space="preserve"> </w:t>
      </w:r>
      <w:r w:rsidRPr="00BF4EB9">
        <w:t>est</w:t>
      </w:r>
      <w:r w:rsidR="004B7086">
        <w:t xml:space="preserve"> </w:t>
      </w:r>
      <w:r w:rsidRPr="00BF4EB9">
        <w:t>demandé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</w:t>
      </w:r>
      <w:r w:rsidR="00023E07" w:rsidRPr="00BF4EB9">
        <w:t>annexe</w:t>
      </w:r>
      <w:r w:rsidR="004B7086">
        <w:t xml:space="preserve"> </w:t>
      </w:r>
      <w:r w:rsidRPr="00BF4EB9">
        <w:t>3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1356B5">
        <w:rPr>
          <w:rFonts w:eastAsia="MS Mincho"/>
        </w:rPr>
        <w:t>n</w:t>
      </w:r>
      <w:r w:rsidR="001356B5">
        <w:rPr>
          <w:rFonts w:eastAsia="MS Mincho"/>
          <w:vertAlign w:val="superscript"/>
        </w:rPr>
        <w:t>o</w:t>
      </w:r>
      <w:r w:rsidR="001356B5">
        <w:t> </w:t>
      </w:r>
      <w:r w:rsidRPr="00BF4EB9">
        <w:t>131)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novembre</w:t>
      </w:r>
      <w:r w:rsidR="004B7086">
        <w:t xml:space="preserve"> </w:t>
      </w:r>
      <w:r w:rsidRPr="00BF4EB9">
        <w:t>2021.</w:t>
      </w:r>
    </w:p>
    <w:p w:rsidR="00DB758D" w:rsidRPr="00BF4EB9" w:rsidRDefault="00DB758D" w:rsidP="001356B5">
      <w:pPr>
        <w:pStyle w:val="SingleTxtG"/>
        <w:ind w:left="1701"/>
      </w:pPr>
      <w:r w:rsidRPr="004B7086">
        <w:rPr>
          <w:b/>
          <w:bCs/>
          <w:lang w:eastAsia="ja-JP"/>
        </w:rPr>
        <w:t>d)</w:t>
      </w:r>
      <w:r w:rsidRPr="004B7086">
        <w:rPr>
          <w:b/>
          <w:bCs/>
          <w:lang w:eastAsia="ja-JP"/>
        </w:rPr>
        <w:tab/>
        <w:t>Examiner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les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performances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des</w:t>
      </w:r>
      <w:r w:rsidR="004B7086">
        <w:rPr>
          <w:b/>
          <w:bCs/>
          <w:lang w:eastAsia="ja-JP"/>
        </w:rPr>
        <w:t xml:space="preserve"> </w:t>
      </w:r>
      <w:bookmarkStart w:id="57" w:name="_Hlk61446993"/>
      <w:r w:rsidRPr="004B7086">
        <w:rPr>
          <w:b/>
          <w:bCs/>
          <w:lang w:eastAsia="ja-JP"/>
        </w:rPr>
        <w:t>systèmes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actifs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de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freinage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d’urgence</w:t>
      </w:r>
      <w:r w:rsidR="004B7086">
        <w:rPr>
          <w:b/>
          <w:bCs/>
          <w:lang w:eastAsia="ja-JP"/>
        </w:rPr>
        <w:t xml:space="preserve"> </w:t>
      </w:r>
      <w:bookmarkEnd w:id="57"/>
      <w:r w:rsidRPr="004B7086">
        <w:rPr>
          <w:b/>
          <w:bCs/>
          <w:lang w:eastAsia="ja-JP"/>
        </w:rPr>
        <w:t>dans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les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scénarios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voiture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contre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voiture,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voiture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contre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piéton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et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voiture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contre</w:t>
      </w:r>
      <w:r w:rsidR="004B7086">
        <w:rPr>
          <w:b/>
          <w:bCs/>
          <w:lang w:eastAsia="ja-JP"/>
        </w:rPr>
        <w:t xml:space="preserve"> </w:t>
      </w:r>
      <w:r w:rsidRPr="004B7086">
        <w:rPr>
          <w:b/>
          <w:bCs/>
          <w:lang w:eastAsia="ja-JP"/>
        </w:rPr>
        <w:t>vélo.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Intégrer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nouveaux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concepts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du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Règlement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ONU</w:t>
      </w:r>
      <w:r w:rsidR="004B7086">
        <w:rPr>
          <w:lang w:eastAsia="ja-JP"/>
        </w:rPr>
        <w:t xml:space="preserve"> </w:t>
      </w:r>
      <w:r w:rsidR="001356B5" w:rsidRPr="001356B5">
        <w:rPr>
          <w:rFonts w:eastAsia="MS Mincho"/>
          <w:lang w:eastAsia="ja-JP"/>
        </w:rPr>
        <w:t>n</w:t>
      </w:r>
      <w:r w:rsidR="001356B5" w:rsidRPr="001356B5">
        <w:rPr>
          <w:rFonts w:eastAsia="MS Mincho"/>
          <w:vertAlign w:val="superscript"/>
          <w:lang w:eastAsia="ja-JP"/>
        </w:rPr>
        <w:t>o</w:t>
      </w:r>
      <w:r w:rsidR="001356B5">
        <w:rPr>
          <w:lang w:eastAsia="ja-JP"/>
        </w:rPr>
        <w:t> </w:t>
      </w:r>
      <w:r w:rsidRPr="00BF4EB9">
        <w:rPr>
          <w:lang w:eastAsia="ja-JP"/>
        </w:rPr>
        <w:t>152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concernant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les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systèmes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actifs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freinage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d’urgence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destinés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aux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véhicules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des</w:t>
      </w:r>
      <w:r w:rsidR="004B7086">
        <w:rPr>
          <w:lang w:eastAsia="ja-JP"/>
        </w:rPr>
        <w:t xml:space="preserve"> </w:t>
      </w:r>
      <w:r w:rsidRPr="00BF4EB9">
        <w:rPr>
          <w:lang w:eastAsia="ja-JP"/>
        </w:rPr>
        <w:t>catégories</w:t>
      </w:r>
      <w:r w:rsidR="004B7086">
        <w:rPr>
          <w:lang w:eastAsia="ja-JP"/>
        </w:rPr>
        <w:t xml:space="preserve"> </w:t>
      </w:r>
      <w:r w:rsidRPr="00BF4EB9">
        <w:t>M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N</w:t>
      </w:r>
      <w:r w:rsidRPr="00BF4EB9">
        <w:rPr>
          <w:vertAlign w:val="subscript"/>
        </w:rPr>
        <w:t>1</w:t>
      </w:r>
      <w:r w:rsidR="004B7086">
        <w:t xml:space="preserve"> </w:t>
      </w:r>
      <w:r w:rsidRPr="00BF4EB9">
        <w:t>(par</w:t>
      </w:r>
      <w:r w:rsidR="004B7086">
        <w:t xml:space="preserve"> </w:t>
      </w:r>
      <w:r w:rsidRPr="00BF4EB9">
        <w:t>exemple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définition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prescriptions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toute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série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paramètres),</w:t>
      </w:r>
      <w:r w:rsidR="004B7086">
        <w:t xml:space="preserve"> </w:t>
      </w:r>
      <w:r w:rsidRPr="004B7086">
        <w:rPr>
          <w:b/>
          <w:bCs/>
        </w:rPr>
        <w:t>avant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novembre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2021</w:t>
      </w:r>
      <w:r w:rsidR="004B7086">
        <w:t xml:space="preserve"> </w:t>
      </w:r>
      <w:r w:rsidRPr="00BF4EB9">
        <w:rPr>
          <w:strike/>
        </w:rPr>
        <w:t>le</w:t>
      </w:r>
      <w:r w:rsidR="004B7086">
        <w:rPr>
          <w:strike/>
        </w:rPr>
        <w:t xml:space="preserve"> </w:t>
      </w:r>
      <w:r w:rsidRPr="00BF4EB9">
        <w:rPr>
          <w:strike/>
        </w:rPr>
        <w:t>plus</w:t>
      </w:r>
      <w:r w:rsidR="004B7086">
        <w:rPr>
          <w:strike/>
        </w:rPr>
        <w:t xml:space="preserve"> </w:t>
      </w:r>
      <w:r w:rsidRPr="00BF4EB9">
        <w:rPr>
          <w:strike/>
        </w:rPr>
        <w:t>vite</w:t>
      </w:r>
      <w:r w:rsidR="004B7086">
        <w:rPr>
          <w:strike/>
        </w:rPr>
        <w:t xml:space="preserve"> </w:t>
      </w:r>
      <w:r w:rsidRPr="00BF4EB9">
        <w:rPr>
          <w:strike/>
        </w:rPr>
        <w:t>possible</w:t>
      </w:r>
      <w:r w:rsidRPr="00BF4EB9">
        <w:t>.</w:t>
      </w:r>
    </w:p>
    <w:p w:rsidR="00DB758D" w:rsidRPr="00BF4EB9" w:rsidRDefault="00DB758D" w:rsidP="004B7086">
      <w:pPr>
        <w:pStyle w:val="SingleTxtG"/>
      </w:pPr>
      <w:r w:rsidRPr="00BF4EB9">
        <w:t>3.</w:t>
      </w:r>
      <w:r w:rsidRPr="00BF4EB9">
        <w:tab/>
        <w:t>Le</w:t>
      </w:r>
      <w:r w:rsidR="004B7086">
        <w:t xml:space="preserve"> </w:t>
      </w:r>
      <w:r w:rsidR="0018363E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tiendra</w:t>
      </w:r>
      <w:r w:rsidR="004B7086">
        <w:t xml:space="preserve"> </w:t>
      </w:r>
      <w:r w:rsidRPr="00BF4EB9">
        <w:t>pleinement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faits</w:t>
      </w:r>
      <w:r w:rsidR="004B7086">
        <w:t xml:space="preserve"> </w:t>
      </w:r>
      <w:r w:rsidRPr="00BF4EB9">
        <w:t>nouveaux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travaillera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pleine</w:t>
      </w:r>
      <w:r w:rsidR="004B7086">
        <w:t xml:space="preserve"> </w:t>
      </w:r>
      <w:r w:rsidRPr="00BF4EB9">
        <w:t>coopération</w:t>
      </w:r>
      <w:r w:rsidR="004B7086">
        <w:t xml:space="preserve"> </w:t>
      </w:r>
      <w:r w:rsidRPr="00BF4EB9">
        <w:t>avec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autres</w:t>
      </w:r>
      <w:r w:rsidR="004B7086">
        <w:t xml:space="preserve"> </w:t>
      </w:r>
      <w:r w:rsidRPr="00BF4EB9">
        <w:t>groupes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subsidiaires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Forum</w:t>
      </w:r>
      <w:r w:rsidR="004B7086">
        <w:t xml:space="preserve"> </w:t>
      </w:r>
      <w:r w:rsidRPr="00BF4EB9">
        <w:t>mondial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leurs</w:t>
      </w:r>
      <w:r w:rsidR="004B7086">
        <w:t xml:space="preserve"> </w:t>
      </w:r>
      <w:r w:rsidRPr="00BF4EB9">
        <w:t>groupes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informels.</w:t>
      </w:r>
    </w:p>
    <w:p w:rsidR="00DB758D" w:rsidRPr="00BF4EB9" w:rsidRDefault="00DB758D" w:rsidP="004B7086">
      <w:pPr>
        <w:pStyle w:val="SingleTxtG"/>
      </w:pPr>
      <w:r w:rsidRPr="00BF4EB9">
        <w:t>4.</w:t>
      </w:r>
      <w:r w:rsidRPr="00BF4EB9">
        <w:tab/>
        <w:t>Le</w:t>
      </w:r>
      <w:r w:rsidR="004B7086">
        <w:t xml:space="preserve"> </w:t>
      </w:r>
      <w:r w:rsidR="0018363E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prendra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données,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recherches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normes</w:t>
      </w:r>
      <w:r w:rsidR="004B7086">
        <w:t xml:space="preserve"> </w:t>
      </w:r>
      <w:r w:rsidRPr="00BF4EB9">
        <w:t>facultatives</w:t>
      </w:r>
      <w:r w:rsidR="004B7086">
        <w:t xml:space="preserve"> </w:t>
      </w:r>
      <w:r w:rsidRPr="00BF4EB9">
        <w:t>disponibles</w:t>
      </w:r>
      <w:r w:rsidR="004B7086">
        <w:t xml:space="preserve"> </w:t>
      </w:r>
      <w:r w:rsidRPr="00BF4EB9">
        <w:t>chez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contractantes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élaborer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propositions.</w:t>
      </w:r>
    </w:p>
    <w:p w:rsidR="00DB758D" w:rsidRPr="00BF4EB9" w:rsidRDefault="00DB758D" w:rsidP="004B7086">
      <w:pPr>
        <w:pStyle w:val="SingleTxtG"/>
      </w:pPr>
      <w:r w:rsidRPr="00BF4EB9">
        <w:t>5.</w:t>
      </w:r>
      <w:r w:rsidRPr="00BF4EB9">
        <w:tab/>
        <w:t>Les</w:t>
      </w:r>
      <w:r w:rsidR="004B7086">
        <w:t xml:space="preserve"> </w:t>
      </w:r>
      <w:r w:rsidRPr="00BF4EB9">
        <w:t>textes</w:t>
      </w:r>
      <w:r w:rsidR="004B7086">
        <w:t xml:space="preserve"> </w:t>
      </w:r>
      <w:r w:rsidRPr="00BF4EB9">
        <w:t>devront,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toute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mesure</w:t>
      </w:r>
      <w:r w:rsidR="004B7086">
        <w:t xml:space="preserve"> </w:t>
      </w:r>
      <w:r w:rsidRPr="00BF4EB9">
        <w:t>possible,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axés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technologiquement</w:t>
      </w:r>
      <w:r w:rsidR="004B7086">
        <w:t xml:space="preserve"> </w:t>
      </w:r>
      <w:r w:rsidRPr="00BF4EB9">
        <w:t>neutres.</w:t>
      </w:r>
    </w:p>
    <w:p w:rsidR="00DB758D" w:rsidRPr="00BF4EB9" w:rsidRDefault="00DB758D" w:rsidP="004B7086">
      <w:pPr>
        <w:pStyle w:val="SingleTxtG"/>
      </w:pPr>
      <w:r w:rsidRPr="00BF4EB9">
        <w:t>6.</w:t>
      </w:r>
      <w:r w:rsidRPr="00BF4EB9">
        <w:tab/>
        <w:t>Le</w:t>
      </w:r>
      <w:r w:rsidR="004B7086">
        <w:t xml:space="preserve"> </w:t>
      </w:r>
      <w:r w:rsidR="0018363E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remettra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projet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texte</w:t>
      </w:r>
      <w:r w:rsidR="004B7086">
        <w:t xml:space="preserve"> </w:t>
      </w:r>
      <w:r w:rsidRPr="00BF4EB9">
        <w:t>réglementaire</w:t>
      </w:r>
      <w:r w:rsidR="004B7086">
        <w:t xml:space="preserve"> </w:t>
      </w:r>
      <w:r w:rsidRPr="00BF4EB9">
        <w:t>complet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systèmes</w:t>
      </w:r>
      <w:r w:rsidR="004B7086">
        <w:t xml:space="preserve"> </w:t>
      </w:r>
      <w:r w:rsidRPr="00BF4EB9">
        <w:t>actifs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freinage</w:t>
      </w:r>
      <w:r w:rsidR="004B7086">
        <w:t xml:space="preserve"> </w:t>
      </w:r>
      <w:r w:rsidRPr="00BF4EB9">
        <w:t>d’urgence</w:t>
      </w:r>
      <w:r w:rsidR="004B7086">
        <w:t xml:space="preserve"> </w:t>
      </w:r>
      <w:r w:rsidRPr="00BF4EB9">
        <w:t>destinés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véhicules</w:t>
      </w:r>
      <w:r w:rsidR="004B7086">
        <w:t xml:space="preserve"> </w:t>
      </w:r>
      <w:r w:rsidRPr="00BF4EB9">
        <w:t>utilitaires</w:t>
      </w:r>
      <w:r w:rsidR="004B7086">
        <w:t xml:space="preserve"> </w:t>
      </w:r>
      <w:r w:rsidRPr="00BF4EB9">
        <w:t>lourds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tant</w:t>
      </w:r>
      <w:r w:rsidR="004B7086">
        <w:t xml:space="preserve"> </w:t>
      </w:r>
      <w:r w:rsidRPr="00BF4EB9">
        <w:t>que</w:t>
      </w:r>
      <w:r w:rsidR="004B7086">
        <w:t xml:space="preserve"> </w:t>
      </w:r>
      <w:r w:rsidRPr="00BF4EB9">
        <w:t>révision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Règlement</w:t>
      </w:r>
      <w:r w:rsidR="004B7086">
        <w:t xml:space="preserve"> </w:t>
      </w:r>
      <w:r w:rsidRPr="00BF4EB9">
        <w:t>ONU</w:t>
      </w:r>
      <w:r w:rsidR="004B7086">
        <w:t xml:space="preserve"> </w:t>
      </w:r>
      <w:r w:rsidR="001356B5">
        <w:rPr>
          <w:rFonts w:eastAsia="MS Mincho"/>
        </w:rPr>
        <w:t>n</w:t>
      </w:r>
      <w:r w:rsidR="001356B5">
        <w:rPr>
          <w:rFonts w:eastAsia="MS Mincho"/>
          <w:vertAlign w:val="superscript"/>
        </w:rPr>
        <w:t>o</w:t>
      </w:r>
      <w:r w:rsidR="001356B5">
        <w:t> </w:t>
      </w:r>
      <w:r w:rsidRPr="00BF4EB9">
        <w:t>131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session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février</w:t>
      </w:r>
      <w:r w:rsidR="004B7086">
        <w:t xml:space="preserve"> </w:t>
      </w:r>
      <w:r w:rsidRPr="00BF4EB9">
        <w:t>202</w:t>
      </w:r>
      <w:r w:rsidR="008E31AD">
        <w:t>2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GRVA.</w:t>
      </w:r>
    </w:p>
    <w:p w:rsidR="00DB758D" w:rsidRPr="00BF4EB9" w:rsidRDefault="00DB758D" w:rsidP="004B7086">
      <w:pPr>
        <w:pStyle w:val="H1G"/>
      </w:pPr>
      <w:r w:rsidRPr="00BF4EB9">
        <w:rPr>
          <w:sz w:val="22"/>
          <w:szCs w:val="22"/>
        </w:rPr>
        <w:tab/>
      </w:r>
      <w:r w:rsidRPr="00BF4EB9">
        <w:t>B.</w:t>
      </w:r>
      <w:r w:rsidRPr="00BF4EB9">
        <w:tab/>
        <w:t>Règlement</w:t>
      </w:r>
      <w:r w:rsidR="004B7086">
        <w:t xml:space="preserve"> </w:t>
      </w:r>
      <w:r w:rsidRPr="00BF4EB9">
        <w:t>intérieur</w:t>
      </w:r>
    </w:p>
    <w:p w:rsidR="00DB758D" w:rsidRPr="00BF4EB9" w:rsidRDefault="00DB758D" w:rsidP="004B7086">
      <w:pPr>
        <w:pStyle w:val="SingleTxtG"/>
      </w:pPr>
      <w:r w:rsidRPr="00BF4EB9">
        <w:t>1.</w:t>
      </w:r>
      <w:r w:rsidRPr="00BF4EB9">
        <w:tab/>
        <w:t>Le</w:t>
      </w:r>
      <w:r w:rsidR="004B7086">
        <w:t xml:space="preserve"> </w:t>
      </w:r>
      <w:r w:rsidR="008E31AD">
        <w:t>g</w:t>
      </w:r>
      <w:r w:rsidRPr="00BF4EB9">
        <w:t>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rendra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sera</w:t>
      </w:r>
      <w:r w:rsidR="004B7086">
        <w:t xml:space="preserve"> </w:t>
      </w:r>
      <w:r w:rsidRPr="00BF4EB9">
        <w:t>ouvert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tous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participant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WP.29.</w:t>
      </w:r>
    </w:p>
    <w:p w:rsidR="00DB758D" w:rsidRPr="00BF4EB9" w:rsidRDefault="00DB758D" w:rsidP="004B7086">
      <w:pPr>
        <w:pStyle w:val="SingleTxtG"/>
      </w:pPr>
      <w:r w:rsidRPr="00BF4EB9">
        <w:t>2.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sera</w:t>
      </w:r>
      <w:r w:rsidR="004B7086">
        <w:t xml:space="preserve"> </w:t>
      </w:r>
      <w:r w:rsidRPr="00BF4EB9">
        <w:t>dirigé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deux</w:t>
      </w:r>
      <w:r w:rsidR="004B7086">
        <w:t xml:space="preserve"> </w:t>
      </w:r>
      <w:r w:rsidRPr="00BF4EB9">
        <w:t>coprésidents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secrétaire.</w:t>
      </w:r>
    </w:p>
    <w:p w:rsidR="00DB758D" w:rsidRPr="00BF4EB9" w:rsidRDefault="00DB758D" w:rsidP="004B7086">
      <w:pPr>
        <w:pStyle w:val="SingleTxtG"/>
      </w:pPr>
      <w:r w:rsidRPr="00BF4EB9">
        <w:t>3.</w:t>
      </w:r>
      <w:r w:rsidRPr="00BF4EB9">
        <w:tab/>
      </w:r>
      <w:bookmarkStart w:id="58" w:name="_Hlk12352038"/>
      <w:r w:rsidRPr="00BF4EB9">
        <w:t>Les</w:t>
      </w:r>
      <w:r w:rsidR="004B7086">
        <w:t xml:space="preserve"> </w:t>
      </w:r>
      <w:r w:rsidR="008E31AD">
        <w:t>c</w:t>
      </w:r>
      <w:r w:rsidR="008E31AD" w:rsidRPr="00BF4EB9">
        <w:t>oprésidents</w:t>
      </w:r>
      <w:r w:rsidR="008E31AD">
        <w:t xml:space="preserve"> </w:t>
      </w:r>
      <w:r w:rsidRPr="00BF4EB9">
        <w:t>pourront</w:t>
      </w:r>
      <w:r w:rsidR="004B7086">
        <w:t xml:space="preserve"> </w:t>
      </w:r>
      <w:r w:rsidRPr="00BF4EB9">
        <w:t>inviter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experts</w:t>
      </w:r>
      <w:r w:rsidR="004B7086">
        <w:t xml:space="preserve"> </w:t>
      </w:r>
      <w:r w:rsidRPr="00BF4EB9">
        <w:t>(à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discrétion),</w:t>
      </w:r>
      <w:r w:rsidR="004B7086">
        <w:t xml:space="preserve"> </w:t>
      </w:r>
      <w:r w:rsidRPr="00BF4EB9">
        <w:t>y</w:t>
      </w:r>
      <w:r w:rsidR="004B7086">
        <w:t xml:space="preserve"> </w:t>
      </w:r>
      <w:r w:rsidRPr="00BF4EB9">
        <w:t>compris</w:t>
      </w:r>
      <w:r w:rsidR="004B7086">
        <w:t xml:space="preserve"> </w:t>
      </w:r>
      <w:r w:rsidRPr="00BF4EB9">
        <w:t>non</w:t>
      </w:r>
      <w:r w:rsidR="004B7086">
        <w:t xml:space="preserve"> </w:t>
      </w:r>
      <w:r w:rsidRPr="00BF4EB9">
        <w:t>participants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WP.29,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aider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l’élaboration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normes</w:t>
      </w:r>
      <w:r w:rsidR="004B7086">
        <w:t xml:space="preserve"> </w:t>
      </w:r>
      <w:r w:rsidRPr="00BF4EB9">
        <w:t>techniques.</w:t>
      </w:r>
      <w:bookmarkEnd w:id="58"/>
    </w:p>
    <w:p w:rsidR="00DB758D" w:rsidRPr="00BF4EB9" w:rsidRDefault="00DB758D" w:rsidP="004B7086">
      <w:pPr>
        <w:pStyle w:val="SingleTxtG"/>
      </w:pPr>
      <w:r w:rsidRPr="00BF4EB9">
        <w:lastRenderedPageBreak/>
        <w:t>4.</w:t>
      </w:r>
      <w:r w:rsidRPr="00BF4EB9">
        <w:tab/>
        <w:t>La</w:t>
      </w:r>
      <w:r w:rsidR="004B7086">
        <w:t xml:space="preserve"> </w:t>
      </w:r>
      <w:r w:rsidRPr="00BF4EB9">
        <w:t>langue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sera</w:t>
      </w:r>
      <w:r w:rsidR="004B7086">
        <w:t xml:space="preserve"> </w:t>
      </w:r>
      <w:r w:rsidRPr="00BF4EB9">
        <w:t>l’anglais.</w:t>
      </w:r>
    </w:p>
    <w:p w:rsidR="00DB758D" w:rsidRPr="00BF4EB9" w:rsidRDefault="00DB758D" w:rsidP="004B7086">
      <w:pPr>
        <w:pStyle w:val="SingleTxtG"/>
      </w:pPr>
      <w:r w:rsidRPr="00BF4EB9">
        <w:t>5.</w:t>
      </w:r>
      <w:r w:rsidRPr="00BF4EB9">
        <w:tab/>
        <w:t>Tous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et/ou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devront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soumis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secrétaire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format</w:t>
      </w:r>
      <w:r w:rsidR="004B7086">
        <w:t xml:space="preserve"> </w:t>
      </w:r>
      <w:r w:rsidRPr="00BF4EB9">
        <w:t>électronique</w:t>
      </w:r>
      <w:r w:rsidR="004B7086">
        <w:t xml:space="preserve"> </w:t>
      </w:r>
      <w:r w:rsidRPr="00BF4EB9">
        <w:t>approprié,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réunion.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peut</w:t>
      </w:r>
      <w:r w:rsidR="004B7086">
        <w:t xml:space="preserve"> </w:t>
      </w:r>
      <w:r w:rsidRPr="00BF4EB9">
        <w:t>refuser</w:t>
      </w:r>
      <w:r w:rsidR="004B7086">
        <w:t xml:space="preserve"> </w:t>
      </w:r>
      <w:r w:rsidRPr="00BF4EB9">
        <w:t>d’examiner</w:t>
      </w:r>
      <w:r w:rsidR="004B7086">
        <w:t xml:space="preserve"> </w:t>
      </w:r>
      <w:r w:rsidRPr="00BF4EB9">
        <w:t>un</w:t>
      </w:r>
      <w:r w:rsidR="004B7086">
        <w:t xml:space="preserve"> </w:t>
      </w:r>
      <w:r w:rsidRPr="00BF4EB9">
        <w:t>point</w:t>
      </w:r>
      <w:r w:rsidR="004B7086">
        <w:t xml:space="preserve"> </w:t>
      </w:r>
      <w:r w:rsidRPr="00BF4EB9">
        <w:t>ou</w:t>
      </w:r>
      <w:r w:rsidR="004B7086">
        <w:t xml:space="preserve"> </w:t>
      </w:r>
      <w:r w:rsidRPr="00BF4EB9">
        <w:t>une</w:t>
      </w:r>
      <w:r w:rsidR="004B7086">
        <w:t xml:space="preserve"> </w:t>
      </w:r>
      <w:r w:rsidRPr="00BF4EB9">
        <w:t>proposition</w:t>
      </w:r>
      <w:r w:rsidR="004B7086">
        <w:t xml:space="preserve"> </w:t>
      </w:r>
      <w:r w:rsidRPr="00BF4EB9">
        <w:t>qui</w:t>
      </w:r>
      <w:r w:rsidR="004B7086">
        <w:t xml:space="preserve"> </w:t>
      </w:r>
      <w:r w:rsidRPr="00BF4EB9">
        <w:t>n’a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annoncé</w:t>
      </w:r>
      <w:r w:rsidR="004B7086">
        <w:t xml:space="preserve"> </w:t>
      </w:r>
      <w:r w:rsidRPr="00BF4EB9">
        <w:t>cinq</w:t>
      </w:r>
      <w:r w:rsidR="004B7086">
        <w:t xml:space="preserve"> </w:t>
      </w:r>
      <w:r w:rsidRPr="00BF4EB9">
        <w:t>jours</w:t>
      </w:r>
      <w:r w:rsidR="004B7086">
        <w:t xml:space="preserve"> </w:t>
      </w:r>
      <w:r w:rsidRPr="00BF4EB9">
        <w:t>ouvrables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réunion.</w:t>
      </w:r>
    </w:p>
    <w:p w:rsidR="00DB758D" w:rsidRPr="00BF4EB9" w:rsidRDefault="00DB758D" w:rsidP="004B7086">
      <w:pPr>
        <w:pStyle w:val="SingleTxtG"/>
      </w:pPr>
      <w:r w:rsidRPr="00BF4EB9">
        <w:t>6.</w:t>
      </w:r>
      <w:r w:rsidRPr="00BF4EB9">
        <w:tab/>
        <w:t>L’ordre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jour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seront</w:t>
      </w:r>
      <w:r w:rsidR="004B7086">
        <w:t xml:space="preserve"> </w:t>
      </w:r>
      <w:r w:rsidRPr="00BF4EB9">
        <w:t>distribués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tous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membres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avant</w:t>
      </w:r>
      <w:r w:rsidR="004B7086">
        <w:t xml:space="preserve"> </w:t>
      </w:r>
      <w:r w:rsidRPr="00BF4EB9">
        <w:t>toutes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réunions</w:t>
      </w:r>
      <w:r w:rsidR="004B7086">
        <w:t xml:space="preserve"> </w:t>
      </w:r>
      <w:r w:rsidRPr="00BF4EB9">
        <w:t>programmées.</w:t>
      </w:r>
    </w:p>
    <w:p w:rsidR="00DB758D" w:rsidRPr="00BF4EB9" w:rsidRDefault="00DB758D" w:rsidP="004B7086">
      <w:pPr>
        <w:pStyle w:val="SingleTxtG"/>
      </w:pPr>
      <w:r w:rsidRPr="00BF4EB9">
        <w:t>7.</w:t>
      </w:r>
      <w:r w:rsidRPr="00BF4EB9">
        <w:tab/>
        <w:t>Les</w:t>
      </w:r>
      <w:r w:rsidR="004B7086">
        <w:t xml:space="preserve"> </w:t>
      </w:r>
      <w:r w:rsidRPr="00BF4EB9">
        <w:t>décisions</w:t>
      </w:r>
      <w:r w:rsidR="004B7086">
        <w:t xml:space="preserve"> </w:t>
      </w:r>
      <w:r w:rsidRPr="00BF4EB9">
        <w:t>seront</w:t>
      </w:r>
      <w:r w:rsidR="004B7086">
        <w:t xml:space="preserve"> </w:t>
      </w:r>
      <w:r w:rsidRPr="00BF4EB9">
        <w:t>prises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consensus.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défaut,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coprésidents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présenteront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différents</w:t>
      </w:r>
      <w:r w:rsidR="004B7086">
        <w:t xml:space="preserve"> </w:t>
      </w:r>
      <w:r w:rsidRPr="00BF4EB9">
        <w:t>points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vue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GRVA.</w:t>
      </w:r>
      <w:r w:rsidR="004B7086">
        <w:t xml:space="preserve"> </w:t>
      </w:r>
      <w:r w:rsidRPr="00BF4EB9">
        <w:t>Ils</w:t>
      </w:r>
      <w:r w:rsidR="004B7086">
        <w:t xml:space="preserve"> </w:t>
      </w:r>
      <w:r w:rsidRPr="00BF4EB9">
        <w:t>pourront</w:t>
      </w:r>
      <w:r w:rsidR="004B7086">
        <w:t xml:space="preserve"> </w:t>
      </w:r>
      <w:r w:rsidRPr="00BF4EB9">
        <w:t>demander</w:t>
      </w:r>
      <w:r w:rsidR="004B7086">
        <w:t xml:space="preserve"> </w:t>
      </w:r>
      <w:r w:rsidRPr="00BF4EB9">
        <w:t>l’avis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GRVA</w:t>
      </w:r>
      <w:r w:rsidR="004B7086">
        <w:t xml:space="preserve"> </w:t>
      </w:r>
      <w:r w:rsidRPr="00BF4EB9">
        <w:t>s’ils</w:t>
      </w:r>
      <w:r w:rsidR="004B7086">
        <w:t xml:space="preserve"> </w:t>
      </w:r>
      <w:r w:rsidRPr="00BF4EB9">
        <w:t>l’estiment</w:t>
      </w:r>
      <w:r w:rsidR="004B7086">
        <w:t xml:space="preserve"> </w:t>
      </w:r>
      <w:r w:rsidRPr="00BF4EB9">
        <w:t>nécessaire.</w:t>
      </w:r>
    </w:p>
    <w:p w:rsidR="00DB758D" w:rsidRPr="00BF4EB9" w:rsidRDefault="00DB758D" w:rsidP="004B7086">
      <w:pPr>
        <w:pStyle w:val="SingleTxtG"/>
      </w:pPr>
      <w:r w:rsidRPr="00BF4EB9">
        <w:t>8.</w:t>
      </w:r>
      <w:r w:rsidRPr="00BF4EB9">
        <w:tab/>
        <w:t>Le</w:t>
      </w:r>
      <w:r w:rsidR="004B7086">
        <w:t xml:space="preserve"> </w:t>
      </w:r>
      <w:r w:rsidRPr="00BF4EB9">
        <w:t>groupe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travail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rendra</w:t>
      </w:r>
      <w:r w:rsidR="004B7086">
        <w:t xml:space="preserve"> </w:t>
      </w:r>
      <w:r w:rsidRPr="00BF4EB9">
        <w:t>compte</w:t>
      </w:r>
      <w:r w:rsidR="004B7086">
        <w:t xml:space="preserve"> </w:t>
      </w:r>
      <w:r w:rsidRPr="00BF4EB9">
        <w:t>régulièrement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résultats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ses</w:t>
      </w:r>
      <w:r w:rsidR="004B7086">
        <w:t xml:space="preserve"> </w:t>
      </w:r>
      <w:r w:rsidRPr="00BF4EB9">
        <w:t>travaux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GRVA,</w:t>
      </w:r>
      <w:r w:rsidR="004B7086">
        <w:t xml:space="preserve"> </w:t>
      </w:r>
      <w:r w:rsidRPr="00BF4EB9">
        <w:t>si</w:t>
      </w:r>
      <w:r w:rsidR="004B7086">
        <w:t xml:space="preserve"> </w:t>
      </w:r>
      <w:r w:rsidRPr="00BF4EB9">
        <w:t>possible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forme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informel</w:t>
      </w:r>
      <w:r w:rsidR="004B7086">
        <w:t xml:space="preserve"> </w:t>
      </w:r>
      <w:r w:rsidRPr="00BF4EB9">
        <w:t>présenté</w:t>
      </w:r>
      <w:r w:rsidR="004B7086">
        <w:t xml:space="preserve"> </w:t>
      </w:r>
      <w:r w:rsidRPr="00BF4EB9">
        <w:t>par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coprésidents.</w:t>
      </w:r>
    </w:p>
    <w:p w:rsidR="00DB758D" w:rsidRPr="00BF4EB9" w:rsidRDefault="00DB758D" w:rsidP="004B7086">
      <w:pPr>
        <w:pStyle w:val="SingleTxtG"/>
      </w:pPr>
      <w:r w:rsidRPr="00BF4EB9">
        <w:t>9.</w:t>
      </w:r>
      <w:r w:rsidRPr="00BF4EB9">
        <w:tab/>
        <w:t>Tous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seront</w:t>
      </w:r>
      <w:r w:rsidR="004B7086">
        <w:t xml:space="preserve"> </w:t>
      </w:r>
      <w:r w:rsidRPr="00BF4EB9">
        <w:t>distribués</w:t>
      </w:r>
      <w:r w:rsidR="004B7086">
        <w:t xml:space="preserve"> </w:t>
      </w:r>
      <w:r w:rsidRPr="00BF4EB9">
        <w:t>sous</w:t>
      </w:r>
      <w:r w:rsidR="004B7086">
        <w:t xml:space="preserve"> </w:t>
      </w:r>
      <w:r w:rsidRPr="00BF4EB9">
        <w:t>forme</w:t>
      </w:r>
      <w:r w:rsidR="004B7086">
        <w:t xml:space="preserve"> </w:t>
      </w:r>
      <w:r w:rsidRPr="00BF4EB9">
        <w:t>numérique.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documents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séance</w:t>
      </w:r>
      <w:r w:rsidR="004B7086">
        <w:t xml:space="preserve"> </w:t>
      </w:r>
      <w:r w:rsidRPr="00BF4EB9">
        <w:t>devront</w:t>
      </w:r>
      <w:r w:rsidR="004B7086">
        <w:t xml:space="preserve"> </w:t>
      </w:r>
      <w:r w:rsidRPr="00BF4EB9">
        <w:t>être</w:t>
      </w:r>
      <w:r w:rsidR="004B7086">
        <w:t xml:space="preserve"> </w:t>
      </w:r>
      <w:r w:rsidRPr="00BF4EB9">
        <w:t>remis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secrétaire</w:t>
      </w:r>
      <w:r w:rsidR="004B7086">
        <w:t xml:space="preserve"> </w:t>
      </w:r>
      <w:r w:rsidRPr="00BF4EB9">
        <w:t>pour</w:t>
      </w:r>
      <w:r w:rsidR="004B7086">
        <w:t xml:space="preserve"> </w:t>
      </w:r>
      <w:r w:rsidRPr="00BF4EB9">
        <w:t>qu’il</w:t>
      </w:r>
      <w:r w:rsidR="004B7086">
        <w:t xml:space="preserve"> </w:t>
      </w:r>
      <w:r w:rsidRPr="00BF4EB9">
        <w:t>puisse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publier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site</w:t>
      </w:r>
      <w:r w:rsidR="004B7086">
        <w:t xml:space="preserve"> </w:t>
      </w:r>
      <w:r w:rsidRPr="00BF4EB9">
        <w:t>Web</w:t>
      </w:r>
      <w:r w:rsidR="004B7086">
        <w:t xml:space="preserve"> </w:t>
      </w:r>
      <w:r w:rsidRPr="00BF4EB9">
        <w:t>prévu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cet</w:t>
      </w:r>
      <w:r w:rsidR="004B7086">
        <w:t xml:space="preserve"> </w:t>
      </w:r>
      <w:r w:rsidRPr="00BF4EB9">
        <w:t>effet.</w:t>
      </w:r>
    </w:p>
    <w:p w:rsidR="00DB758D" w:rsidRPr="00BF4EB9" w:rsidRDefault="00DB758D" w:rsidP="004B7086">
      <w:pPr>
        <w:pStyle w:val="SingleTxtG"/>
      </w:pPr>
      <w:r w:rsidRPr="00BF4EB9">
        <w:t>10.</w:t>
      </w:r>
      <w:r w:rsidRPr="00BF4EB9">
        <w:tab/>
        <w:t>La</w:t>
      </w:r>
      <w:r w:rsidR="004B7086">
        <w:t xml:space="preserve"> </w:t>
      </w:r>
      <w:r w:rsidRPr="00BF4EB9">
        <w:t>décision</w:t>
      </w:r>
      <w:r w:rsidR="004B7086">
        <w:t xml:space="preserve"> </w:t>
      </w:r>
      <w:r w:rsidRPr="00BF4EB9">
        <w:t>finale</w:t>
      </w:r>
      <w:r w:rsidR="004B7086">
        <w:t xml:space="preserve"> </w:t>
      </w:r>
      <w:r w:rsidRPr="00BF4EB9">
        <w:t>concernant</w:t>
      </w:r>
      <w:r w:rsidR="004B7086">
        <w:t xml:space="preserve"> </w:t>
      </w:r>
      <w:r w:rsidRPr="00BF4EB9">
        <w:t>les</w:t>
      </w:r>
      <w:r w:rsidR="004B7086">
        <w:t xml:space="preserve"> </w:t>
      </w:r>
      <w:r w:rsidRPr="00BF4EB9">
        <w:t>propositions</w:t>
      </w:r>
      <w:r w:rsidR="004B7086">
        <w:t xml:space="preserve"> </w:t>
      </w:r>
      <w:r w:rsidRPr="00BF4EB9">
        <w:t>appartient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WP.29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Parties</w:t>
      </w:r>
      <w:r w:rsidR="004B7086">
        <w:t xml:space="preserve"> </w:t>
      </w:r>
      <w:r w:rsidRPr="00BF4EB9">
        <w:t>contractantes.</w:t>
      </w:r>
    </w:p>
    <w:p w:rsidR="004B7086" w:rsidRDefault="004B708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DB758D" w:rsidRPr="00BF4EB9" w:rsidRDefault="00023E07" w:rsidP="004B7086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X</w:t>
      </w:r>
    </w:p>
    <w:p w:rsidR="00DB758D" w:rsidRPr="00BF4EB9" w:rsidRDefault="00DB758D" w:rsidP="004B7086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ECE/TRANS/WP.29/GRVA/2020/30</w:t>
      </w:r>
    </w:p>
    <w:p w:rsidR="00DB758D" w:rsidRPr="00BF4EB9" w:rsidRDefault="00DB758D" w:rsidP="008E31AD">
      <w:pPr>
        <w:pStyle w:val="H23G"/>
        <w:rPr>
          <w:iCs/>
        </w:rPr>
      </w:pPr>
      <w:r w:rsidRPr="00BF4EB9">
        <w:tab/>
      </w:r>
      <w:r w:rsidRPr="00BF4EB9">
        <w:tab/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GRVA-07-71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62)</w:t>
      </w:r>
    </w:p>
    <w:p w:rsidR="00DB758D" w:rsidRPr="00BF4EB9" w:rsidRDefault="00DB758D" w:rsidP="004B7086">
      <w:pPr>
        <w:pStyle w:val="SingleTxtG"/>
      </w:pPr>
      <w:r w:rsidRPr="004B7086">
        <w:rPr>
          <w:i/>
          <w:iCs/>
        </w:rPr>
        <w:t>Ajouter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un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nouveau</w:t>
      </w:r>
      <w:r w:rsidR="004B7086">
        <w:rPr>
          <w:i/>
          <w:iCs/>
        </w:rPr>
        <w:t xml:space="preserve"> </w:t>
      </w:r>
      <w:r w:rsidR="00023E07" w:rsidRPr="004B7086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1.2.4</w:t>
      </w:r>
      <w:r w:rsidRPr="00BF4EB9">
        <w:t>,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conçu</w:t>
      </w:r>
      <w:r w:rsidR="004B7086">
        <w:t> :</w:t>
      </w:r>
    </w:p>
    <w:p w:rsidR="00DB758D" w:rsidRPr="004B7086" w:rsidRDefault="00DB758D" w:rsidP="005A1351">
      <w:pPr>
        <w:pStyle w:val="SingleTxtG"/>
        <w:ind w:left="2268" w:hanging="1134"/>
        <w:rPr>
          <w:b/>
          <w:bCs/>
        </w:rPr>
      </w:pPr>
      <w:r w:rsidRPr="004B7086">
        <w:rPr>
          <w:b/>
          <w:bCs/>
        </w:rPr>
        <w:t>1.2.4</w:t>
      </w:r>
      <w:r w:rsidRPr="004B7086">
        <w:rPr>
          <w:b/>
          <w:bCs/>
        </w:rPr>
        <w:tab/>
        <w:t>Diabolo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timon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articulé,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tel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que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défini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="00023E07" w:rsidRPr="004B7086">
        <w:rPr>
          <w:b/>
          <w:bCs/>
        </w:rPr>
        <w:t>paragraphe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2.42.1</w:t>
      </w:r>
      <w:r w:rsidR="008C5C24">
        <w:rPr>
          <w:b/>
          <w:bCs/>
        </w:rPr>
        <w:t> ;</w:t>
      </w:r>
    </w:p>
    <w:p w:rsidR="00DB758D" w:rsidRPr="00BF4EB9" w:rsidRDefault="00023E07" w:rsidP="004B7086">
      <w:pPr>
        <w:pStyle w:val="SingleTxtG"/>
      </w:pPr>
      <w:r w:rsidRPr="00BF4EB9">
        <w:rPr>
          <w:i/>
        </w:rPr>
        <w:t>Paragraphe</w:t>
      </w:r>
      <w:r w:rsidR="004B7086">
        <w:rPr>
          <w:i/>
        </w:rPr>
        <w:t xml:space="preserve"> </w:t>
      </w:r>
      <w:r w:rsidR="00DB758D" w:rsidRPr="00BF4EB9">
        <w:rPr>
          <w:i/>
        </w:rPr>
        <w:t>5.1.3.9</w:t>
      </w:r>
      <w:r w:rsidR="00DB758D" w:rsidRPr="0091610F">
        <w:rPr>
          <w:iCs/>
        </w:rPr>
        <w:t>,</w:t>
      </w:r>
      <w:r w:rsidR="004B7086" w:rsidRPr="0091610F">
        <w:rPr>
          <w:iCs/>
        </w:rPr>
        <w:t xml:space="preserve"> </w:t>
      </w:r>
      <w:r w:rsidR="00DB758D" w:rsidRPr="00BF4EB9">
        <w:t>modifier</w:t>
      </w:r>
      <w:r w:rsidR="004B7086">
        <w:t xml:space="preserve"> </w:t>
      </w:r>
      <w:r w:rsidR="00DB758D" w:rsidRPr="00BF4EB9">
        <w:t>comme</w:t>
      </w:r>
      <w:r w:rsidR="004B7086">
        <w:t xml:space="preserve"> </w:t>
      </w:r>
      <w:r w:rsidR="00DB758D" w:rsidRPr="00BF4EB9">
        <w:t>suit</w:t>
      </w:r>
      <w:r w:rsidR="004B7086">
        <w:t> :</w:t>
      </w:r>
    </w:p>
    <w:p w:rsidR="00DB758D" w:rsidRPr="00BF4EB9" w:rsidRDefault="00DB758D" w:rsidP="00023E07">
      <w:pPr>
        <w:pStyle w:val="SingleTxtG"/>
        <w:ind w:left="2268" w:hanging="1134"/>
        <w:rPr>
          <w:rFonts w:eastAsia="Calibri"/>
          <w:b/>
        </w:rPr>
      </w:pPr>
      <w:r w:rsidRPr="00BF4EB9">
        <w:rPr>
          <w:rFonts w:asciiTheme="majorBidi" w:hAnsiTheme="majorBidi" w:cstheme="majorBidi"/>
        </w:rPr>
        <w:t>5.1.3.9</w:t>
      </w:r>
      <w:r w:rsidRPr="00BF4EB9">
        <w:rPr>
          <w:rFonts w:asciiTheme="majorBidi" w:hAnsiTheme="majorBidi" w:cstheme="majorBidi"/>
        </w:rPr>
        <w:tab/>
      </w:r>
      <w:r w:rsidRPr="00BF4EB9">
        <w:rPr>
          <w:rFonts w:eastAsia="Calibri"/>
          <w:strike/>
        </w:rPr>
        <w:t>Sur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ensembles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tracteur/semi-remorque,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conduites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flexibles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et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câbles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doivent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faire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partie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du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véhicule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à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moteur.</w:t>
      </w:r>
      <w:r w:rsidR="004B7086">
        <w:rPr>
          <w:rFonts w:eastAsia="Calibri"/>
        </w:rPr>
        <w:t xml:space="preserve"> </w:t>
      </w:r>
      <w:r w:rsidRPr="00BF4EB9">
        <w:rPr>
          <w:rFonts w:eastAsia="Calibri"/>
          <w:strike/>
        </w:rPr>
        <w:t>Dans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tous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autres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cas,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conduites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flexibles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et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câbles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doivent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faire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partie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de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la</w:t>
      </w:r>
      <w:r w:rsidR="004B7086">
        <w:rPr>
          <w:rFonts w:eastAsia="Calibri"/>
          <w:strike/>
        </w:rPr>
        <w:t xml:space="preserve"> </w:t>
      </w:r>
      <w:r w:rsidRPr="00BF4EB9">
        <w:rPr>
          <w:rFonts w:eastAsia="Calibri"/>
          <w:strike/>
        </w:rPr>
        <w:t>remorque.</w:t>
      </w:r>
      <w:r w:rsidR="004B7086">
        <w:rPr>
          <w:rFonts w:eastAsia="Calibri"/>
        </w:rPr>
        <w:t xml:space="preserve"> </w:t>
      </w:r>
      <w:r w:rsidRPr="00BF4EB9">
        <w:rPr>
          <w:rFonts w:eastAsia="Calibri"/>
          <w:b/>
          <w:bCs/>
        </w:rPr>
        <w:t>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conduites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flexibles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et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câbles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utilisés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pour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la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liaison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entre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un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véhicule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tracteur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de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semi-remorque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  <w:strike/>
        </w:rPr>
        <w:t>[(par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exemple,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tracteur,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semi-remorque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à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sellette,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ou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diabolo)]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et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la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semi-remorque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qui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suit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doivent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faire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partie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du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véhicule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tracteur.</w:t>
      </w:r>
    </w:p>
    <w:p w:rsidR="00DB758D" w:rsidRPr="00BF4EB9" w:rsidRDefault="00DB758D" w:rsidP="00023E07">
      <w:pPr>
        <w:spacing w:after="120"/>
        <w:ind w:left="2268" w:right="1134"/>
        <w:jc w:val="both"/>
        <w:rPr>
          <w:rFonts w:eastAsia="Calibri"/>
          <w:b/>
        </w:rPr>
      </w:pPr>
      <w:r w:rsidRPr="00BF4EB9">
        <w:rPr>
          <w:rFonts w:eastAsia="Calibri"/>
          <w:b/>
          <w:bCs/>
        </w:rPr>
        <w:t>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conduites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flexibles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et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câbles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utilisés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pour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la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liaison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entre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un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véhicule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tracteur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de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remorque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autre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qu’une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semi-remorque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  <w:strike/>
        </w:rPr>
        <w:t>[(par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exemple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camion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rigide,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remorque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tractrice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à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essieu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central)]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et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la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remorque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qui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suit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  <w:strike/>
        </w:rPr>
        <w:t>[(par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exemple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diabolo,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une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remorque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à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essieu</w:t>
      </w:r>
      <w:r w:rsidR="004B7086">
        <w:rPr>
          <w:rFonts w:eastAsia="Calibri"/>
          <w:b/>
          <w:bCs/>
          <w:strike/>
        </w:rPr>
        <w:t xml:space="preserve"> </w:t>
      </w:r>
      <w:r w:rsidRPr="00BF4EB9">
        <w:rPr>
          <w:rFonts w:eastAsia="Calibri"/>
          <w:b/>
          <w:bCs/>
          <w:strike/>
        </w:rPr>
        <w:t>central)]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doivent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faire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partie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de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la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remorque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qui</w:t>
      </w:r>
      <w:r w:rsidR="004B7086">
        <w:rPr>
          <w:rFonts w:eastAsia="Calibri"/>
          <w:b/>
          <w:bCs/>
        </w:rPr>
        <w:t xml:space="preserve"> </w:t>
      </w:r>
      <w:r w:rsidRPr="00BF4EB9">
        <w:rPr>
          <w:rFonts w:eastAsia="Calibri"/>
          <w:b/>
          <w:bCs/>
        </w:rPr>
        <w:t>suit.</w:t>
      </w:r>
    </w:p>
    <w:p w:rsidR="00DB758D" w:rsidRPr="00BF4EB9" w:rsidRDefault="00DB758D" w:rsidP="00F4764E">
      <w:pPr>
        <w:pStyle w:val="SingleTxtG"/>
        <w:ind w:left="2268"/>
      </w:pP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cas</w:t>
      </w:r>
      <w:r w:rsidR="004B7086">
        <w:t xml:space="preserve"> </w:t>
      </w:r>
      <w:r w:rsidRPr="00BF4EB9">
        <w:t>d’un</w:t>
      </w:r>
      <w:r w:rsidR="004B7086">
        <w:t xml:space="preserve"> </w:t>
      </w:r>
      <w:r w:rsidRPr="00BF4EB9">
        <w:t>raccord</w:t>
      </w:r>
      <w:r w:rsidR="004B7086">
        <w:t xml:space="preserve"> </w:t>
      </w:r>
      <w:r w:rsidRPr="00BF4EB9">
        <w:t>automatique,</w:t>
      </w:r>
      <w:r w:rsidR="004B7086">
        <w:t xml:space="preserve"> </w:t>
      </w:r>
      <w:r w:rsidRPr="00BF4EB9">
        <w:t>cette</w:t>
      </w:r>
      <w:r w:rsidR="004B7086">
        <w:t xml:space="preserve"> </w:t>
      </w:r>
      <w:r w:rsidRPr="00BF4EB9">
        <w:t>prescription</w:t>
      </w:r>
      <w:r w:rsidR="004B7086">
        <w:t xml:space="preserve"> </w:t>
      </w:r>
      <w:r w:rsidRPr="00BF4EB9">
        <w:t>relative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rattachement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conduites</w:t>
      </w:r>
      <w:r w:rsidR="004B7086">
        <w:t xml:space="preserve"> </w:t>
      </w:r>
      <w:r w:rsidRPr="00BF4EB9">
        <w:t>flexibles</w:t>
      </w:r>
      <w:r w:rsidR="004B7086">
        <w:t xml:space="preserve"> </w:t>
      </w:r>
      <w:r w:rsidRPr="00BF4EB9">
        <w:t>et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câbles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s’applique</w:t>
      </w:r>
      <w:r w:rsidR="004B7086">
        <w:t xml:space="preserve"> </w:t>
      </w:r>
      <w:r w:rsidRPr="00BF4EB9">
        <w:t>pas.</w:t>
      </w:r>
    </w:p>
    <w:p w:rsidR="00DB758D" w:rsidRPr="00BF4EB9" w:rsidRDefault="00023E07" w:rsidP="004B7086">
      <w:pPr>
        <w:pStyle w:val="SingleTxtG"/>
        <w:rPr>
          <w:iCs/>
        </w:rPr>
      </w:pPr>
      <w:r w:rsidRPr="004B7086">
        <w:rPr>
          <w:i/>
          <w:iCs/>
        </w:rPr>
        <w:t>Paragraphe</w:t>
      </w:r>
      <w:r w:rsidR="004B7086">
        <w:rPr>
          <w:i/>
          <w:iCs/>
        </w:rPr>
        <w:t xml:space="preserve"> </w:t>
      </w:r>
      <w:r w:rsidR="00DB758D" w:rsidRPr="004B7086">
        <w:rPr>
          <w:i/>
          <w:iCs/>
        </w:rPr>
        <w:t>5.2.1.29.2.1</w:t>
      </w:r>
      <w:r w:rsidR="00DB758D" w:rsidRPr="00BF4EB9">
        <w:t>,</w:t>
      </w:r>
      <w:r w:rsidR="004B7086">
        <w:t xml:space="preserve"> </w:t>
      </w:r>
      <w:r w:rsidR="00DB758D" w:rsidRPr="00BF4EB9">
        <w:rPr>
          <w:iCs/>
        </w:rPr>
        <w:t>modifier</w:t>
      </w:r>
      <w:r w:rsidR="004B7086">
        <w:rPr>
          <w:iCs/>
        </w:rPr>
        <w:t xml:space="preserve"> </w:t>
      </w:r>
      <w:r w:rsidR="00DB758D" w:rsidRPr="00BF4EB9">
        <w:rPr>
          <w:iCs/>
        </w:rPr>
        <w:t>comme</w:t>
      </w:r>
      <w:r w:rsidR="004B7086">
        <w:rPr>
          <w:iCs/>
        </w:rPr>
        <w:t xml:space="preserve"> </w:t>
      </w:r>
      <w:r w:rsidR="00DB758D" w:rsidRPr="00BF4EB9">
        <w:rPr>
          <w:iCs/>
        </w:rPr>
        <w:t>suit</w:t>
      </w:r>
      <w:r w:rsidR="004B7086">
        <w:rPr>
          <w:iCs/>
        </w:rPr>
        <w:t> :</w:t>
      </w:r>
    </w:p>
    <w:p w:rsidR="00DB758D" w:rsidRPr="00BF4EB9" w:rsidRDefault="00DB758D" w:rsidP="005A1351">
      <w:pPr>
        <w:pStyle w:val="SingleTxtG"/>
        <w:ind w:left="2268" w:hanging="1134"/>
        <w:rPr>
          <w:rFonts w:asciiTheme="majorBidi" w:hAnsiTheme="majorBidi" w:cstheme="majorBidi"/>
        </w:rPr>
      </w:pPr>
      <w:r w:rsidRPr="00BF4EB9">
        <w:rPr>
          <w:rFonts w:asciiTheme="majorBidi" w:hAnsiTheme="majorBidi" w:cstheme="majorBidi"/>
        </w:rPr>
        <w:t>5.2.1.29.2.1</w:t>
      </w:r>
      <w:r w:rsidRPr="00BF4EB9">
        <w:rPr>
          <w:rFonts w:asciiTheme="majorBidi" w:hAnsiTheme="majorBidi" w:cstheme="majorBidi"/>
        </w:rPr>
        <w:tab/>
        <w:t>Sur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les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véhicules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à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moteur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équipés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ligne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commande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électrique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et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reliés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électriquement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à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remorque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moyen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ligne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commande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électrique,</w:t>
      </w:r>
      <w:r w:rsidR="004B7086">
        <w:rPr>
          <w:rFonts w:asciiTheme="majorBidi" w:hAnsiTheme="majorBidi" w:cstheme="majorBidi"/>
        </w:rPr>
        <w:t xml:space="preserve"> </w:t>
      </w:r>
      <w:bookmarkStart w:id="59" w:name="_Hlk61508393"/>
      <w:r w:rsidRPr="00BF4EB9">
        <w:rPr>
          <w:rFonts w:asciiTheme="majorBidi" w:hAnsiTheme="majorBidi" w:cstheme="majorBidi"/>
        </w:rPr>
        <w:t>le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signal</w:t>
      </w:r>
      <w:r w:rsidR="004B7086">
        <w:rPr>
          <w:rFonts w:asciiTheme="majorBidi" w:hAnsiTheme="majorBidi" w:cstheme="majorBidi"/>
        </w:rPr>
        <w:t xml:space="preserve"> </w:t>
      </w:r>
      <w:bookmarkStart w:id="60" w:name="_Hlk61509269"/>
      <w:r w:rsidRPr="00BF4EB9">
        <w:rPr>
          <w:rFonts w:asciiTheme="majorBidi" w:hAnsiTheme="majorBidi" w:cstheme="majorBidi"/>
        </w:rPr>
        <w:t>d’avertissement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rouge</w:t>
      </w:r>
      <w:r w:rsidR="004B7086">
        <w:rPr>
          <w:rFonts w:asciiTheme="majorBidi" w:hAnsiTheme="majorBidi" w:cstheme="majorBidi"/>
        </w:rPr>
        <w:t xml:space="preserve"> </w:t>
      </w:r>
      <w:bookmarkEnd w:id="59"/>
      <w:r w:rsidRPr="00BF4EB9">
        <w:rPr>
          <w:rFonts w:asciiTheme="majorBidi" w:hAnsiTheme="majorBidi" w:cstheme="majorBidi"/>
        </w:rPr>
        <w:t>défini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</w:t>
      </w:r>
      <w:r w:rsidR="004B7086">
        <w:rPr>
          <w:rFonts w:asciiTheme="majorBidi" w:hAnsiTheme="majorBidi" w:cstheme="majorBidi"/>
        </w:rPr>
        <w:t xml:space="preserve"> </w:t>
      </w:r>
      <w:r w:rsidR="00023E07" w:rsidRPr="00BF4EB9">
        <w:rPr>
          <w:rFonts w:asciiTheme="majorBidi" w:hAnsiTheme="majorBidi" w:cstheme="majorBidi"/>
        </w:rPr>
        <w:t>paragraphe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5.2.1.29.1.1</w:t>
      </w:r>
      <w:bookmarkEnd w:id="60"/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ci-dessus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doit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aussi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être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utilisé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pour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signaler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certaines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défaillances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spécifiques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dans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l’équipement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freinage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la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remorque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chaque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fois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que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la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remorque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envoie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un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message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défaillance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par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l’intermédiaire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la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voie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communication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données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la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ligne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commande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électrique.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prescription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ci-dessus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doit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s’appliquer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également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lorsqu’une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tractrice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tirée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par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un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véhicule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à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moteur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transmet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demande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d’allumage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signal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d’avertissement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rouge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émise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par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une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successive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telle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définie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dans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la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deuxième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partie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norme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strike/>
        </w:rPr>
        <w:t>[</w:t>
      </w:r>
      <w:r w:rsidRPr="00BF4EB9">
        <w:rPr>
          <w:rFonts w:asciiTheme="majorBidi" w:hAnsiTheme="majorBidi" w:cstheme="majorBidi"/>
          <w:b/>
        </w:rPr>
        <w:t>ISO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11992-2</w:t>
      </w:r>
      <w:r w:rsidR="00023E07" w:rsidRPr="00BF4EB9">
        <w:rPr>
          <w:rFonts w:asciiTheme="majorBidi" w:hAnsiTheme="majorBidi" w:cstheme="majorBidi"/>
          <w:b/>
        </w:rPr>
        <w:t>:20</w:t>
      </w:r>
      <w:r w:rsidRPr="00BF4EB9">
        <w:rPr>
          <w:rFonts w:asciiTheme="majorBidi" w:hAnsiTheme="majorBidi" w:cstheme="majorBidi"/>
          <w:b/>
        </w:rPr>
        <w:t>14</w:t>
      </w:r>
      <w:r w:rsidRPr="00BF4EB9">
        <w:rPr>
          <w:rFonts w:asciiTheme="majorBidi" w:hAnsiTheme="majorBidi" w:cstheme="majorBidi"/>
          <w:b/>
          <w:strike/>
        </w:rPr>
        <w:t>]</w:t>
      </w:r>
      <w:r w:rsidRPr="00BF4EB9">
        <w:rPr>
          <w:rFonts w:asciiTheme="majorBidi" w:hAnsiTheme="majorBidi" w:cstheme="majorBidi"/>
          <w:b/>
        </w:rPr>
        <w:t>.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</w:rPr>
        <w:t>Ce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signal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doit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s’ajouter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signal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d’avertissement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jaune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défini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</w:t>
      </w:r>
      <w:r w:rsidR="004B7086">
        <w:rPr>
          <w:rFonts w:asciiTheme="majorBidi" w:hAnsiTheme="majorBidi" w:cstheme="majorBidi"/>
        </w:rPr>
        <w:t xml:space="preserve"> </w:t>
      </w:r>
      <w:r w:rsidR="00023E07" w:rsidRPr="00BF4EB9">
        <w:rPr>
          <w:rFonts w:asciiTheme="majorBidi" w:hAnsiTheme="majorBidi" w:cstheme="majorBidi"/>
        </w:rPr>
        <w:t>paragraphe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5.2.1.29.2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ci-dessus.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lieu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d’utiliser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le</w:t>
      </w:r>
      <w:r w:rsidR="004B7086">
        <w:rPr>
          <w:rFonts w:asciiTheme="majorBidi" w:hAnsiTheme="majorBidi" w:cstheme="majorBidi"/>
        </w:rPr>
        <w:t xml:space="preserve"> </w:t>
      </w:r>
      <w:bookmarkStart w:id="61" w:name="_Hlk61509373"/>
      <w:r w:rsidRPr="00BF4EB9">
        <w:rPr>
          <w:rFonts w:asciiTheme="majorBidi" w:hAnsiTheme="majorBidi" w:cstheme="majorBidi"/>
        </w:rPr>
        <w:t>signal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d’avertissement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rouge</w:t>
      </w:r>
      <w:r w:rsidR="004B7086">
        <w:rPr>
          <w:rFonts w:asciiTheme="majorBidi" w:hAnsiTheme="majorBidi" w:cstheme="majorBidi"/>
        </w:rPr>
        <w:t xml:space="preserve"> </w:t>
      </w:r>
      <w:bookmarkEnd w:id="61"/>
      <w:r w:rsidRPr="00BF4EB9">
        <w:rPr>
          <w:rFonts w:asciiTheme="majorBidi" w:hAnsiTheme="majorBidi" w:cstheme="majorBidi"/>
        </w:rPr>
        <w:t>défini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</w:t>
      </w:r>
      <w:r w:rsidR="004B7086">
        <w:rPr>
          <w:rFonts w:asciiTheme="majorBidi" w:hAnsiTheme="majorBidi" w:cstheme="majorBidi"/>
        </w:rPr>
        <w:t xml:space="preserve"> </w:t>
      </w:r>
      <w:r w:rsidR="00023E07" w:rsidRPr="00BF4EB9">
        <w:rPr>
          <w:rFonts w:asciiTheme="majorBidi" w:hAnsiTheme="majorBidi" w:cstheme="majorBidi"/>
        </w:rPr>
        <w:t>paragraphe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5.2.1.29.1.1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et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signal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d’avertissement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jaune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ci-dessus,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on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peut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aussi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avoir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recours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à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un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signal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d’avertissement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rouge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distinct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dans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véhicule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à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moteur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  <w:strike/>
        </w:rPr>
        <w:t>tracteur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pour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avertir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d’une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telle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défaillance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dans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l’équipement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de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freinage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d’une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  <w:strike/>
        </w:rPr>
        <w:t>de</w:t>
      </w:r>
      <w:r w:rsidR="004B7086">
        <w:rPr>
          <w:rFonts w:asciiTheme="majorBidi" w:hAnsiTheme="majorBidi" w:cstheme="majorBidi"/>
          <w:strike/>
        </w:rPr>
        <w:t xml:space="preserve"> </w:t>
      </w:r>
      <w:r w:rsidRPr="00BF4EB9">
        <w:rPr>
          <w:rFonts w:asciiTheme="majorBidi" w:hAnsiTheme="majorBidi" w:cstheme="majorBidi"/>
          <w:strike/>
        </w:rPr>
        <w:t>la</w:t>
      </w:r>
      <w:r w:rsidR="004B7086">
        <w:rPr>
          <w:rFonts w:asciiTheme="majorBidi" w:hAnsiTheme="majorBidi" w:cstheme="majorBidi"/>
        </w:rPr>
        <w:t xml:space="preserve"> </w:t>
      </w:r>
      <w:r w:rsidRPr="00BF4EB9">
        <w:rPr>
          <w:rFonts w:asciiTheme="majorBidi" w:hAnsiTheme="majorBidi" w:cstheme="majorBidi"/>
        </w:rPr>
        <w:t>remorque.</w:t>
      </w:r>
    </w:p>
    <w:p w:rsidR="00DB758D" w:rsidRPr="00BF4EB9" w:rsidRDefault="00023E07" w:rsidP="00023E07">
      <w:pPr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BF4EB9">
        <w:rPr>
          <w:rFonts w:asciiTheme="majorBidi" w:hAnsiTheme="majorBidi" w:cstheme="majorBidi"/>
          <w:i/>
        </w:rPr>
        <w:t>Paragraphe</w:t>
      </w:r>
      <w:r w:rsidR="004B7086">
        <w:rPr>
          <w:rFonts w:asciiTheme="majorBidi" w:hAnsiTheme="majorBidi" w:cstheme="majorBidi"/>
          <w:i/>
        </w:rPr>
        <w:t xml:space="preserve"> </w:t>
      </w:r>
      <w:r w:rsidR="00DB758D" w:rsidRPr="00BF4EB9">
        <w:rPr>
          <w:rFonts w:asciiTheme="majorBidi" w:hAnsiTheme="majorBidi" w:cstheme="majorBidi"/>
          <w:i/>
        </w:rPr>
        <w:t>5.2.1.34</w:t>
      </w:r>
      <w:r w:rsidR="00DB758D" w:rsidRPr="0091610F">
        <w:rPr>
          <w:rFonts w:asciiTheme="majorBidi" w:hAnsiTheme="majorBidi" w:cstheme="majorBidi"/>
          <w:iCs/>
        </w:rPr>
        <w:t>,</w:t>
      </w:r>
      <w:r w:rsidR="004B7086" w:rsidRPr="0091610F">
        <w:rPr>
          <w:rFonts w:asciiTheme="majorBidi" w:hAnsiTheme="majorBidi" w:cstheme="majorBidi"/>
          <w:iCs/>
        </w:rPr>
        <w:t xml:space="preserve"> </w:t>
      </w:r>
      <w:r w:rsidR="00DB758D" w:rsidRPr="00BF4EB9">
        <w:rPr>
          <w:rFonts w:asciiTheme="majorBidi" w:hAnsiTheme="majorBidi" w:cstheme="majorBidi"/>
          <w:iCs/>
        </w:rPr>
        <w:t>modifier</w:t>
      </w:r>
      <w:r w:rsidR="004B7086">
        <w:rPr>
          <w:rFonts w:asciiTheme="majorBidi" w:hAnsiTheme="majorBidi" w:cstheme="majorBidi"/>
          <w:iCs/>
        </w:rPr>
        <w:t xml:space="preserve"> </w:t>
      </w:r>
      <w:r w:rsidR="00DB758D" w:rsidRPr="00BF4EB9">
        <w:rPr>
          <w:rFonts w:asciiTheme="majorBidi" w:hAnsiTheme="majorBidi" w:cstheme="majorBidi"/>
          <w:iCs/>
        </w:rPr>
        <w:t>comme</w:t>
      </w:r>
      <w:r w:rsidR="004B7086">
        <w:rPr>
          <w:rFonts w:asciiTheme="majorBidi" w:hAnsiTheme="majorBidi" w:cstheme="majorBidi"/>
          <w:iCs/>
        </w:rPr>
        <w:t xml:space="preserve"> </w:t>
      </w:r>
      <w:r w:rsidR="00DB758D" w:rsidRPr="00BF4EB9">
        <w:rPr>
          <w:rFonts w:asciiTheme="majorBidi" w:hAnsiTheme="majorBidi" w:cstheme="majorBidi"/>
          <w:iCs/>
        </w:rPr>
        <w:t>suit</w:t>
      </w:r>
      <w:r w:rsidR="004B7086">
        <w:rPr>
          <w:rFonts w:asciiTheme="majorBidi" w:hAnsiTheme="majorBidi" w:cstheme="majorBidi"/>
          <w:iCs/>
        </w:rPr>
        <w:t> :</w:t>
      </w:r>
    </w:p>
    <w:p w:rsidR="00DB758D" w:rsidRPr="00BF4EB9" w:rsidRDefault="00DB758D" w:rsidP="005A1351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BF4EB9">
        <w:rPr>
          <w:rFonts w:asciiTheme="majorBidi" w:hAnsiTheme="majorBidi" w:cstheme="majorBidi"/>
          <w:b/>
        </w:rPr>
        <w:t>5.2.1.34</w:t>
      </w:r>
      <w:r w:rsidRPr="00BF4EB9">
        <w:rPr>
          <w:rFonts w:asciiTheme="majorBidi" w:hAnsiTheme="majorBidi" w:cstheme="majorBidi"/>
          <w:b/>
        </w:rPr>
        <w:tab/>
      </w:r>
      <w:bookmarkStart w:id="62" w:name="_Hlk61512420"/>
      <w:r w:rsidRPr="00BF4EB9">
        <w:rPr>
          <w:rFonts w:asciiTheme="majorBidi" w:hAnsiTheme="majorBidi" w:cstheme="majorBidi"/>
          <w:b/>
        </w:rPr>
        <w:t>Prescriptions</w:t>
      </w:r>
      <w:r w:rsidR="004B7086">
        <w:rPr>
          <w:rFonts w:asciiTheme="majorBidi" w:hAnsiTheme="majorBidi" w:cstheme="majorBidi"/>
          <w:b/>
          <w:strike/>
        </w:rPr>
        <w:t xml:space="preserve"> </w:t>
      </w:r>
      <w:r w:rsidRPr="00BF4EB9">
        <w:rPr>
          <w:rFonts w:asciiTheme="majorBidi" w:hAnsiTheme="majorBidi" w:cstheme="majorBidi"/>
          <w:b/>
          <w:strike/>
        </w:rPr>
        <w:t>[supplémentaires</w:t>
      </w:r>
      <w:r w:rsidRPr="008E31AD">
        <w:rPr>
          <w:rFonts w:asciiTheme="majorBidi" w:hAnsiTheme="majorBidi" w:cstheme="majorBidi"/>
          <w:b/>
          <w:strike/>
        </w:rPr>
        <w:t>/</w:t>
      </w:r>
      <w:r w:rsidRPr="00BF4EB9">
        <w:rPr>
          <w:rFonts w:asciiTheme="majorBidi" w:hAnsiTheme="majorBidi" w:cstheme="majorBidi"/>
          <w:b/>
        </w:rPr>
        <w:t>particulières</w:t>
      </w:r>
      <w:r w:rsidRPr="00BF4EB9">
        <w:rPr>
          <w:rFonts w:asciiTheme="majorBidi" w:hAnsiTheme="majorBidi" w:cstheme="majorBidi"/>
          <w:b/>
          <w:strike/>
        </w:rPr>
        <w:t>]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applicables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aux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véhicules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à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moteur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autorisés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à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tracter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plusieurs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remorques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la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catégorie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</w:t>
      </w:r>
      <w:r w:rsidRPr="00BF4EB9">
        <w:rPr>
          <w:rFonts w:asciiTheme="majorBidi" w:hAnsiTheme="majorBidi" w:cstheme="majorBidi"/>
          <w:b/>
          <w:vertAlign w:val="subscript"/>
        </w:rPr>
        <w:t>3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ou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la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catégorie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</w:t>
      </w:r>
      <w:r w:rsidRPr="00BF4EB9">
        <w:rPr>
          <w:rFonts w:asciiTheme="majorBidi" w:hAnsiTheme="majorBidi" w:cstheme="majorBidi"/>
          <w:b/>
          <w:vertAlign w:val="subscript"/>
        </w:rPr>
        <w:t>4</w:t>
      </w:r>
      <w:r w:rsidRPr="00BF4EB9">
        <w:rPr>
          <w:rFonts w:asciiTheme="majorBidi" w:hAnsiTheme="majorBidi" w:cstheme="majorBidi"/>
          <w:b/>
        </w:rPr>
        <w:t>.</w:t>
      </w:r>
    </w:p>
    <w:bookmarkEnd w:id="62"/>
    <w:p w:rsidR="00DB758D" w:rsidRPr="00BF4EB9" w:rsidRDefault="00023E07" w:rsidP="00023E07">
      <w:pPr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BF4EB9">
        <w:rPr>
          <w:rFonts w:asciiTheme="majorBidi" w:hAnsiTheme="majorBidi" w:cstheme="majorBidi"/>
          <w:i/>
        </w:rPr>
        <w:t>Paragraphe</w:t>
      </w:r>
      <w:r w:rsidR="004B7086">
        <w:rPr>
          <w:rFonts w:asciiTheme="majorBidi" w:hAnsiTheme="majorBidi" w:cstheme="majorBidi"/>
          <w:i/>
        </w:rPr>
        <w:t xml:space="preserve"> </w:t>
      </w:r>
      <w:r w:rsidR="00DB758D" w:rsidRPr="00BF4EB9">
        <w:rPr>
          <w:rFonts w:asciiTheme="majorBidi" w:hAnsiTheme="majorBidi" w:cstheme="majorBidi"/>
          <w:i/>
        </w:rPr>
        <w:t>5.2.2.17.3</w:t>
      </w:r>
      <w:r w:rsidR="00DB758D" w:rsidRPr="0091610F">
        <w:rPr>
          <w:rFonts w:asciiTheme="majorBidi" w:hAnsiTheme="majorBidi" w:cstheme="majorBidi"/>
          <w:iCs/>
        </w:rPr>
        <w:t>,</w:t>
      </w:r>
      <w:r w:rsidR="004B7086">
        <w:rPr>
          <w:rFonts w:asciiTheme="majorBidi" w:hAnsiTheme="majorBidi" w:cstheme="majorBidi"/>
          <w:i/>
        </w:rPr>
        <w:t xml:space="preserve"> </w:t>
      </w:r>
      <w:r w:rsidR="00DB758D" w:rsidRPr="00BF4EB9">
        <w:rPr>
          <w:rFonts w:asciiTheme="majorBidi" w:hAnsiTheme="majorBidi" w:cstheme="majorBidi"/>
          <w:iCs/>
        </w:rPr>
        <w:t>modifier</w:t>
      </w:r>
      <w:r w:rsidR="004B7086">
        <w:rPr>
          <w:rFonts w:asciiTheme="majorBidi" w:hAnsiTheme="majorBidi" w:cstheme="majorBidi"/>
          <w:iCs/>
        </w:rPr>
        <w:t xml:space="preserve"> </w:t>
      </w:r>
      <w:r w:rsidR="00DB758D" w:rsidRPr="00BF4EB9">
        <w:rPr>
          <w:rFonts w:asciiTheme="majorBidi" w:hAnsiTheme="majorBidi" w:cstheme="majorBidi"/>
          <w:iCs/>
        </w:rPr>
        <w:t>comme</w:t>
      </w:r>
      <w:r w:rsidR="004B7086">
        <w:rPr>
          <w:rFonts w:asciiTheme="majorBidi" w:hAnsiTheme="majorBidi" w:cstheme="majorBidi"/>
          <w:iCs/>
        </w:rPr>
        <w:t xml:space="preserve"> </w:t>
      </w:r>
      <w:r w:rsidR="00DB758D" w:rsidRPr="00BF4EB9">
        <w:rPr>
          <w:rFonts w:asciiTheme="majorBidi" w:hAnsiTheme="majorBidi" w:cstheme="majorBidi"/>
          <w:iCs/>
        </w:rPr>
        <w:t>suit</w:t>
      </w:r>
      <w:r w:rsidR="004B7086">
        <w:rPr>
          <w:rFonts w:asciiTheme="majorBidi" w:hAnsiTheme="majorBidi" w:cstheme="majorBidi"/>
          <w:iCs/>
        </w:rPr>
        <w:t> :</w:t>
      </w:r>
    </w:p>
    <w:p w:rsidR="00DB758D" w:rsidRPr="00BF4EB9" w:rsidRDefault="00DB758D" w:rsidP="005A1351">
      <w:pPr>
        <w:pStyle w:val="SingleTxtG"/>
        <w:ind w:left="2268" w:hanging="1134"/>
        <w:rPr>
          <w:rFonts w:asciiTheme="majorBidi" w:hAnsiTheme="majorBidi" w:cstheme="majorBidi"/>
          <w:b/>
          <w:bCs/>
        </w:rPr>
      </w:pPr>
      <w:r w:rsidRPr="00BF4EB9">
        <w:rPr>
          <w:rFonts w:asciiTheme="majorBidi" w:hAnsiTheme="majorBidi" w:cstheme="majorBidi"/>
          <w:b/>
          <w:bCs/>
        </w:rPr>
        <w:t>5.2.2.17.3</w:t>
      </w:r>
      <w:r w:rsidRPr="00BF4EB9">
        <w:rPr>
          <w:rFonts w:asciiTheme="majorBidi" w:hAnsiTheme="majorBidi" w:cstheme="majorBidi"/>
          <w:b/>
          <w:bCs/>
        </w:rPr>
        <w:tab/>
        <w:t>Répéteur</w:t>
      </w:r>
    </w:p>
    <w:p w:rsidR="00DB758D" w:rsidRPr="00BF4EB9" w:rsidRDefault="00DB758D" w:rsidP="00023E07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BF4EB9">
        <w:rPr>
          <w:b/>
          <w:bCs/>
        </w:rPr>
        <w:t>Si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longueur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ligne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commande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électrique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installée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remorque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dépasse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ou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longueur(s)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maximale(s)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autorisée(s)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selon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norme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ISO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11992-1</w:t>
      </w:r>
      <w:r w:rsidR="00023E07" w:rsidRPr="00BF4EB9">
        <w:rPr>
          <w:b/>
          <w:bCs/>
        </w:rPr>
        <w:t>:20</w:t>
      </w:r>
      <w:r w:rsidRPr="00BF4EB9">
        <w:rPr>
          <w:b/>
          <w:bCs/>
        </w:rPr>
        <w:t>03,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dispositif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répétition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messages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émis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lastRenderedPageBreak/>
        <w:t>doit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installé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manière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diviser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ligne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commande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électrique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deux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segments,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longueur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chacun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d’entre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eux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devant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pas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dépasser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valeur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maximale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autorisée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selon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norme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ISO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11992-1</w:t>
      </w:r>
      <w:r w:rsidR="00023E07" w:rsidRPr="00BF4EB9">
        <w:rPr>
          <w:b/>
          <w:bCs/>
        </w:rPr>
        <w:t>:20</w:t>
      </w:r>
      <w:r w:rsidRPr="00BF4EB9">
        <w:rPr>
          <w:b/>
          <w:bCs/>
        </w:rPr>
        <w:t>03</w:t>
      </w:r>
      <w:r w:rsidR="004B7086" w:rsidRPr="008E31AD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[La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répétition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des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messages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ne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doit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en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aucun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cas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en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retarder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la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transmission.]</w:t>
      </w:r>
      <w:r w:rsidRPr="00BF4EB9">
        <w:rPr>
          <w:b/>
          <w:bCs/>
        </w:rPr>
        <w:t>.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prescriptions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norme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ISO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11992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prescriptions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pertinentes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présent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Règlement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doivent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continuer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appliquées.</w:t>
      </w:r>
      <w:r w:rsidR="004B7086"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qui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concerne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l’application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norme</w:t>
      </w:r>
      <w:r w:rsidR="004B7086">
        <w:rPr>
          <w:b/>
          <w:bCs/>
        </w:rPr>
        <w:t xml:space="preserve"> </w:t>
      </w:r>
      <w:r w:rsidRPr="008E31AD">
        <w:rPr>
          <w:b/>
          <w:bCs/>
          <w:strike/>
        </w:rPr>
        <w:t>[</w:t>
      </w:r>
      <w:r w:rsidRPr="00BF4EB9">
        <w:rPr>
          <w:b/>
          <w:bCs/>
        </w:rPr>
        <w:t>ISO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11992-2</w:t>
      </w:r>
      <w:r w:rsidR="00023E07" w:rsidRPr="00BF4EB9">
        <w:rPr>
          <w:b/>
          <w:bCs/>
        </w:rPr>
        <w:t>:20</w:t>
      </w:r>
      <w:r w:rsidRPr="00BF4EB9">
        <w:rPr>
          <w:b/>
          <w:bCs/>
        </w:rPr>
        <w:t>14</w:t>
      </w:r>
      <w:r w:rsidRPr="008E31AD">
        <w:rPr>
          <w:b/>
          <w:bCs/>
          <w:strike/>
        </w:rPr>
        <w:t>]</w:t>
      </w:r>
      <w:r w:rsidRPr="00BF4EB9">
        <w:rPr>
          <w:b/>
          <w:bCs/>
        </w:rPr>
        <w:t>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fonction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répéteur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doit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considérée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comme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fonction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spéciale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d’acheminement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messages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permettant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d’acheminer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directement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tous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messages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sans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modification.</w:t>
      </w:r>
    </w:p>
    <w:p w:rsidR="00DB758D" w:rsidRPr="00BF4EB9" w:rsidRDefault="00DB758D" w:rsidP="004B7086">
      <w:pPr>
        <w:pStyle w:val="SingleTxtG"/>
        <w:rPr>
          <w:iCs/>
        </w:rPr>
      </w:pPr>
      <w:r w:rsidRPr="004B7086">
        <w:rPr>
          <w:i/>
          <w:iCs/>
        </w:rPr>
        <w:t>Nouveaux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paragraphes.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5.2.2.24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à</w:t>
      </w:r>
      <w:r w:rsidR="004B7086">
        <w:rPr>
          <w:i/>
          <w:iCs/>
        </w:rPr>
        <w:t xml:space="preserve"> </w:t>
      </w:r>
      <w:r w:rsidRPr="004B7086">
        <w:rPr>
          <w:i/>
          <w:iCs/>
        </w:rPr>
        <w:t>5.2.2.25.2</w:t>
      </w:r>
      <w:r w:rsidRPr="00BF4EB9">
        <w:t>,</w:t>
      </w:r>
      <w:r w:rsidR="004B7086">
        <w:t xml:space="preserve"> </w:t>
      </w:r>
      <w:r w:rsidRPr="00BF4EB9">
        <w:rPr>
          <w:iCs/>
        </w:rPr>
        <w:t>modifier</w:t>
      </w:r>
      <w:r w:rsidR="004B7086">
        <w:rPr>
          <w:iCs/>
        </w:rPr>
        <w:t xml:space="preserve"> </w:t>
      </w:r>
      <w:r w:rsidRPr="00BF4EB9">
        <w:rPr>
          <w:iCs/>
        </w:rPr>
        <w:t>comme</w:t>
      </w:r>
      <w:r w:rsidR="004B7086">
        <w:rPr>
          <w:iCs/>
        </w:rPr>
        <w:t xml:space="preserve"> </w:t>
      </w:r>
      <w:r w:rsidRPr="00BF4EB9">
        <w:rPr>
          <w:iCs/>
        </w:rPr>
        <w:t>suit</w:t>
      </w:r>
      <w:r w:rsidR="004B7086">
        <w:rPr>
          <w:iCs/>
        </w:rPr>
        <w:t> :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BF4EB9">
        <w:rPr>
          <w:rFonts w:asciiTheme="majorBidi" w:hAnsiTheme="majorBidi" w:cstheme="majorBidi"/>
          <w:b/>
        </w:rPr>
        <w:t>5.2.2.24</w:t>
      </w:r>
      <w:r w:rsidRPr="00BF4EB9">
        <w:rPr>
          <w:rFonts w:asciiTheme="majorBidi" w:hAnsiTheme="majorBidi" w:cstheme="majorBidi"/>
          <w:b/>
        </w:rPr>
        <w:tab/>
        <w:t>Prescriptions</w:t>
      </w:r>
      <w:r w:rsidR="004B7086">
        <w:rPr>
          <w:rFonts w:asciiTheme="majorBidi" w:hAnsiTheme="majorBidi" w:cstheme="majorBidi"/>
          <w:b/>
          <w:strike/>
        </w:rPr>
        <w:t xml:space="preserve"> </w:t>
      </w:r>
      <w:r w:rsidRPr="00BF4EB9">
        <w:rPr>
          <w:rFonts w:asciiTheme="majorBidi" w:hAnsiTheme="majorBidi" w:cstheme="majorBidi"/>
          <w:b/>
          <w:strike/>
        </w:rPr>
        <w:t>[supplémentaires</w:t>
      </w:r>
      <w:r w:rsidRPr="008E31AD">
        <w:rPr>
          <w:rFonts w:asciiTheme="majorBidi" w:hAnsiTheme="majorBidi" w:cstheme="majorBidi"/>
          <w:b/>
          <w:strike/>
        </w:rPr>
        <w:t>/</w:t>
      </w:r>
      <w:r w:rsidRPr="00BF4EB9">
        <w:rPr>
          <w:rFonts w:asciiTheme="majorBidi" w:hAnsiTheme="majorBidi" w:cstheme="majorBidi"/>
          <w:b/>
        </w:rPr>
        <w:t>particulières</w:t>
      </w:r>
      <w:r w:rsidRPr="00BF4EB9">
        <w:rPr>
          <w:rFonts w:asciiTheme="majorBidi" w:hAnsiTheme="majorBidi" w:cstheme="majorBidi"/>
          <w:b/>
          <w:strike/>
        </w:rPr>
        <w:t>]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applicables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aux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remorques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la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catégorie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</w:t>
      </w:r>
      <w:r w:rsidRPr="00BF4EB9">
        <w:rPr>
          <w:rFonts w:asciiTheme="majorBidi" w:hAnsiTheme="majorBidi" w:cstheme="majorBidi"/>
          <w:b/>
          <w:vertAlign w:val="subscript"/>
        </w:rPr>
        <w:t>3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ou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la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catégorie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</w:t>
      </w:r>
      <w:r w:rsidRPr="00BF4EB9">
        <w:rPr>
          <w:rFonts w:asciiTheme="majorBidi" w:hAnsiTheme="majorBidi" w:cstheme="majorBidi"/>
          <w:b/>
          <w:vertAlign w:val="subscript"/>
        </w:rPr>
        <w:t>4</w:t>
      </w:r>
      <w:r w:rsidR="004B7086">
        <w:rPr>
          <w:rFonts w:asciiTheme="majorBidi" w:hAnsiTheme="majorBidi" w:cstheme="majorBidi"/>
          <w:b/>
          <w:vertAlign w:val="subscript"/>
        </w:rPr>
        <w:t xml:space="preserve"> </w:t>
      </w:r>
      <w:r w:rsidRPr="00BF4EB9">
        <w:rPr>
          <w:rFonts w:asciiTheme="majorBidi" w:hAnsiTheme="majorBidi" w:cstheme="majorBidi"/>
          <w:b/>
        </w:rPr>
        <w:t>capables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tracter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une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autre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remorque</w:t>
      </w:r>
      <w:r w:rsidR="004B7086">
        <w:rPr>
          <w:rFonts w:asciiTheme="majorBidi" w:hAnsiTheme="majorBidi" w:cstheme="majorBidi"/>
          <w:b/>
        </w:rPr>
        <w:t xml:space="preserve"> </w:t>
      </w:r>
      <w:bookmarkStart w:id="63" w:name="_Hlk61514873"/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la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catégorie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</w:t>
      </w:r>
      <w:r w:rsidRPr="00BF4EB9">
        <w:rPr>
          <w:rFonts w:asciiTheme="majorBidi" w:hAnsiTheme="majorBidi" w:cstheme="majorBidi"/>
          <w:b/>
          <w:vertAlign w:val="subscript"/>
        </w:rPr>
        <w:t>3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ou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de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la</w:t>
      </w:r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catégorie</w:t>
      </w:r>
      <w:bookmarkEnd w:id="63"/>
      <w:r w:rsidR="004B7086">
        <w:rPr>
          <w:rFonts w:asciiTheme="majorBidi" w:hAnsiTheme="majorBidi" w:cstheme="majorBidi"/>
          <w:b/>
        </w:rPr>
        <w:t xml:space="preserve"> </w:t>
      </w:r>
      <w:r w:rsidRPr="00BF4EB9">
        <w:rPr>
          <w:rFonts w:asciiTheme="majorBidi" w:hAnsiTheme="majorBidi" w:cstheme="majorBidi"/>
          <w:b/>
        </w:rPr>
        <w:t>O</w:t>
      </w:r>
      <w:r w:rsidRPr="00BF4EB9">
        <w:rPr>
          <w:rFonts w:asciiTheme="majorBidi" w:hAnsiTheme="majorBidi" w:cstheme="majorBidi"/>
          <w:b/>
          <w:vertAlign w:val="subscript"/>
        </w:rPr>
        <w:t>4</w:t>
      </w:r>
      <w:r w:rsidRPr="00BF4EB9">
        <w:rPr>
          <w:rFonts w:asciiTheme="majorBidi" w:hAnsiTheme="majorBidi" w:cstheme="majorBidi"/>
          <w:b/>
        </w:rPr>
        <w:t>.</w:t>
      </w:r>
    </w:p>
    <w:p w:rsidR="00DB758D" w:rsidRPr="004B7086" w:rsidRDefault="00DB758D" w:rsidP="004B7086">
      <w:pPr>
        <w:pStyle w:val="SingleTxtG"/>
        <w:ind w:left="2268" w:hanging="1134"/>
        <w:rPr>
          <w:b/>
          <w:bCs/>
        </w:rPr>
      </w:pPr>
      <w:r w:rsidRPr="004B7086">
        <w:rPr>
          <w:b/>
          <w:bCs/>
        </w:rPr>
        <w:t>5.2.2.24.1</w:t>
      </w:r>
      <w:r w:rsidRPr="004B7086">
        <w:rPr>
          <w:b/>
          <w:bCs/>
        </w:rPr>
        <w:tab/>
        <w:t>Une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remorque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tractrice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doit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équipée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conduites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commande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ou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d’alimentation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pneumatiques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ainsi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que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d’une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ligne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commande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électrique,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comme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il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indiqué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="00023E07" w:rsidRPr="004B7086">
        <w:rPr>
          <w:b/>
          <w:bCs/>
        </w:rPr>
        <w:t>paragraphe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5.1.3.1.2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présent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Règlement,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pour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raccordée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véhicule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tracteur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aux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véhicules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tractés</w:t>
      </w:r>
      <w:r w:rsidR="004B7086">
        <w:rPr>
          <w:b/>
          <w:bCs/>
        </w:rPr>
        <w:t xml:space="preserve"> </w:t>
      </w:r>
      <w:r w:rsidRPr="004B7086">
        <w:rPr>
          <w:b/>
          <w:bCs/>
          <w:strike/>
        </w:rPr>
        <w:t>[</w:t>
      </w:r>
      <w:r w:rsidRPr="004B7086">
        <w:rPr>
          <w:b/>
          <w:bCs/>
        </w:rPr>
        <w:t>,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respectivement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les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têtes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d’attelage</w:t>
      </w:r>
      <w:r w:rsidR="004B7086">
        <w:rPr>
          <w:b/>
          <w:bCs/>
        </w:rPr>
        <w:t xml:space="preserve"> </w:t>
      </w:r>
      <w:r w:rsidR="008E31AD">
        <w:rPr>
          <w:b/>
          <w:bCs/>
        </w:rPr>
        <w:t>« </w:t>
      </w:r>
      <w:r w:rsidRPr="004B7086">
        <w:rPr>
          <w:b/>
          <w:bCs/>
        </w:rPr>
        <w:t>avant</w:t>
      </w:r>
      <w:r w:rsidR="008E31AD">
        <w:rPr>
          <w:b/>
          <w:bCs/>
        </w:rPr>
        <w:t> »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="008E31AD">
        <w:rPr>
          <w:b/>
          <w:bCs/>
        </w:rPr>
        <w:t>« </w:t>
      </w:r>
      <w:r w:rsidRPr="004B7086">
        <w:rPr>
          <w:b/>
          <w:bCs/>
        </w:rPr>
        <w:t>arrière</w:t>
      </w:r>
      <w:r w:rsidR="008E31AD">
        <w:rPr>
          <w:b/>
          <w:bCs/>
        </w:rPr>
        <w:t> »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ainsi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que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raccord</w:t>
      </w:r>
      <w:r w:rsidR="004B7086">
        <w:rPr>
          <w:b/>
          <w:bCs/>
        </w:rPr>
        <w:t xml:space="preserve"> </w:t>
      </w:r>
      <w:r w:rsidRPr="004B7086">
        <w:rPr>
          <w:b/>
          <w:bCs/>
        </w:rPr>
        <w:t>électrique</w:t>
      </w:r>
      <w:r w:rsidRPr="004B7086">
        <w:rPr>
          <w:b/>
          <w:bCs/>
          <w:strike/>
        </w:rPr>
        <w:t>]</w:t>
      </w:r>
      <w:r w:rsidRPr="004B7086">
        <w:rPr>
          <w:b/>
          <w:bCs/>
        </w:rPr>
        <w:t>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BF4EB9">
        <w:rPr>
          <w:rFonts w:asciiTheme="majorBidi" w:hAnsiTheme="majorBidi" w:cstheme="majorBidi"/>
          <w:b/>
        </w:rPr>
        <w:t>5.2.2.24.2</w:t>
      </w:r>
      <w:r w:rsidRPr="00BF4EB9">
        <w:rPr>
          <w:rFonts w:asciiTheme="majorBidi" w:hAnsiTheme="majorBidi" w:cstheme="majorBidi"/>
          <w:b/>
        </w:rPr>
        <w:tab/>
      </w:r>
      <w:r w:rsidRPr="00BF4EB9">
        <w:rPr>
          <w:rFonts w:asciiTheme="majorBidi" w:hAnsiTheme="majorBidi" w:cstheme="majorBidi"/>
          <w:b/>
          <w:bCs/>
        </w:rPr>
        <w:t>Fonction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d’acheminement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messages</w:t>
      </w:r>
    </w:p>
    <w:p w:rsidR="00DB758D" w:rsidRPr="00BF4EB9" w:rsidRDefault="00DB758D" w:rsidP="00F4764E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BF4EB9">
        <w:rPr>
          <w:rFonts w:asciiTheme="majorBidi" w:hAnsiTheme="majorBidi" w:cstheme="majorBidi"/>
          <w:b/>
          <w:bCs/>
        </w:rPr>
        <w:t>Les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doivent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être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équipées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d’une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fonction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d’acheminement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messages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telle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définie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</w:rPr>
        <w:t>paragraphe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6.3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norme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[</w:t>
      </w:r>
      <w:r w:rsidRPr="00BF4EB9">
        <w:rPr>
          <w:rFonts w:asciiTheme="majorBidi" w:hAnsiTheme="majorBidi" w:cstheme="majorBidi"/>
          <w:b/>
          <w:bCs/>
        </w:rPr>
        <w:t>ISO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11992-2</w:t>
      </w:r>
      <w:r w:rsidR="00023E07" w:rsidRPr="00BF4EB9">
        <w:rPr>
          <w:rFonts w:asciiTheme="majorBidi" w:hAnsiTheme="majorBidi" w:cstheme="majorBidi"/>
          <w:b/>
          <w:bCs/>
        </w:rPr>
        <w:t>:20</w:t>
      </w:r>
      <w:r w:rsidRPr="00BF4EB9">
        <w:rPr>
          <w:rFonts w:asciiTheme="majorBidi" w:hAnsiTheme="majorBidi" w:cstheme="majorBidi"/>
          <w:b/>
          <w:bCs/>
        </w:rPr>
        <w:t>14</w:t>
      </w:r>
      <w:r w:rsidRPr="00BF4EB9">
        <w:rPr>
          <w:rFonts w:asciiTheme="majorBidi" w:hAnsiTheme="majorBidi" w:cstheme="majorBidi"/>
          <w:b/>
          <w:bCs/>
          <w:strike/>
        </w:rPr>
        <w:t>]</w:t>
      </w:r>
      <w:r w:rsidRPr="00BF4EB9">
        <w:rPr>
          <w:rFonts w:asciiTheme="majorBidi" w:hAnsiTheme="majorBidi" w:cstheme="majorBidi"/>
          <w:b/>
          <w:bCs/>
        </w:rPr>
        <w:t>.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dispositif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assurant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cette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fonction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est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censé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être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type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point-à-point,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conformément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à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prescription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énoncée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</w:rPr>
        <w:t>paragraphe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5.1.3.6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concernant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ligne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commande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électrique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entre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unités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commande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électroniques.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bCs/>
        </w:rPr>
      </w:pPr>
      <w:r w:rsidRPr="00BF4EB9">
        <w:rPr>
          <w:rFonts w:asciiTheme="majorBidi" w:hAnsiTheme="majorBidi" w:cstheme="majorBidi"/>
          <w:b/>
        </w:rPr>
        <w:t>5.2.2.24.3</w:t>
      </w:r>
      <w:r w:rsidRPr="00BF4EB9">
        <w:rPr>
          <w:rFonts w:asciiTheme="majorBidi" w:hAnsiTheme="majorBidi" w:cstheme="majorBidi"/>
          <w:b/>
        </w:rPr>
        <w:tab/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signal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="0091610F">
        <w:rPr>
          <w:rFonts w:asciiTheme="majorBidi" w:hAnsiTheme="majorBidi" w:cstheme="majorBidi"/>
          <w:b/>
          <w:bCs/>
        </w:rPr>
        <w:t>« </w:t>
      </w:r>
      <w:r w:rsidRPr="00BF4EB9">
        <w:rPr>
          <w:rFonts w:asciiTheme="majorBidi" w:hAnsiTheme="majorBidi" w:cstheme="majorBidi"/>
          <w:b/>
          <w:bCs/>
        </w:rPr>
        <w:t>broche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5</w:t>
      </w:r>
      <w:r w:rsidR="0091610F">
        <w:rPr>
          <w:rFonts w:asciiTheme="majorBidi" w:hAnsiTheme="majorBidi" w:cstheme="majorBidi"/>
          <w:b/>
        </w:rPr>
        <w:t> »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émis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par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tractée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via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broche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5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raccord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électrique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ISO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7638</w:t>
      </w:r>
      <w:r w:rsidR="00023E07" w:rsidRPr="00BF4EB9">
        <w:rPr>
          <w:rFonts w:asciiTheme="majorBidi" w:hAnsiTheme="majorBidi" w:cstheme="majorBidi"/>
          <w:b/>
          <w:bCs/>
        </w:rPr>
        <w:t>:20</w:t>
      </w:r>
      <w:r w:rsidRPr="00BF4EB9">
        <w:rPr>
          <w:rFonts w:asciiTheme="majorBidi" w:hAnsiTheme="majorBidi" w:cstheme="majorBidi"/>
          <w:b/>
          <w:bCs/>
        </w:rPr>
        <w:t>03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(ou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via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broche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équivalente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d’un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raccord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automatique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conforme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aux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prescriptions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l’</w:t>
      </w:r>
      <w:r w:rsidR="00023E07" w:rsidRPr="00BF4EB9">
        <w:rPr>
          <w:rFonts w:asciiTheme="majorBidi" w:hAnsiTheme="majorBidi" w:cstheme="majorBidi"/>
          <w:b/>
          <w:bCs/>
        </w:rPr>
        <w:t>annexe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22)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doit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être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couplé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signal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="0091610F">
        <w:rPr>
          <w:rFonts w:asciiTheme="majorBidi" w:hAnsiTheme="majorBidi" w:cstheme="majorBidi"/>
          <w:b/>
          <w:bCs/>
        </w:rPr>
        <w:t>« </w:t>
      </w:r>
      <w:r w:rsidRPr="00BF4EB9">
        <w:rPr>
          <w:rFonts w:asciiTheme="majorBidi" w:hAnsiTheme="majorBidi" w:cstheme="majorBidi"/>
          <w:b/>
          <w:bCs/>
        </w:rPr>
        <w:t>broche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5</w:t>
      </w:r>
      <w:r w:rsidR="0091610F">
        <w:rPr>
          <w:rFonts w:asciiTheme="majorBidi" w:hAnsiTheme="majorBidi" w:cstheme="majorBidi"/>
          <w:b/>
          <w:bCs/>
        </w:rPr>
        <w:t> »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produit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par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tractrice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et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communiqué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véhicule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à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moteur.</w:t>
      </w:r>
      <w:r w:rsidR="004B7086" w:rsidRPr="00347951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La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broche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5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du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raccord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électrique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arrière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doit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être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isolée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électriquement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de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la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broche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5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du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raccord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électrique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avant.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…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bCs/>
        </w:rPr>
      </w:pPr>
      <w:r w:rsidRPr="00BF4EB9">
        <w:rPr>
          <w:rFonts w:asciiTheme="majorBidi" w:hAnsiTheme="majorBidi" w:cstheme="majorBidi"/>
          <w:b/>
        </w:rPr>
        <w:t>5.2.2.24.7</w:t>
      </w:r>
      <w:r w:rsidRPr="00BF4EB9">
        <w:rPr>
          <w:rFonts w:asciiTheme="majorBidi" w:hAnsiTheme="majorBidi" w:cstheme="majorBidi"/>
          <w:b/>
        </w:rPr>
        <w:tab/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système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freinage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tractée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ne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peut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être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utilisé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qu’en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combinaison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avec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système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freinage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service,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freinage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stationnement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ou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freinage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automatique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tractrice.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Toutefois,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il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est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autorisé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d’actionner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seulement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freins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tractée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lorsque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fonctionnement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freins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la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remorque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tractée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est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déclenché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automatiquement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par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véhicule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tracteur</w:t>
      </w:r>
      <w:r w:rsidR="004B7086" w:rsidRPr="00347951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la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remorque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tractrice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[ou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le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véhicule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à</w:t>
      </w:r>
      <w:r w:rsidR="004B7086">
        <w:rPr>
          <w:rFonts w:asciiTheme="majorBidi" w:hAnsiTheme="majorBidi" w:cstheme="majorBidi"/>
          <w:b/>
          <w:bCs/>
          <w:strike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</w:rPr>
        <w:t>moteur]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dans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seul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but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de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stabiliser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le</w:t>
      </w:r>
      <w:r w:rsidR="004B7086">
        <w:rPr>
          <w:rFonts w:asciiTheme="majorBidi" w:hAnsiTheme="majorBidi" w:cstheme="majorBidi"/>
          <w:b/>
          <w:bCs/>
        </w:rPr>
        <w:t xml:space="preserve"> </w:t>
      </w:r>
      <w:r w:rsidRPr="00BF4EB9">
        <w:rPr>
          <w:rFonts w:asciiTheme="majorBidi" w:hAnsiTheme="majorBidi" w:cstheme="majorBidi"/>
          <w:b/>
          <w:bCs/>
        </w:rPr>
        <w:t>véhicule.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…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5.2.2.24.11</w:t>
      </w:r>
      <w:r w:rsidRPr="00BF4EB9">
        <w:rPr>
          <w:rFonts w:asciiTheme="majorBidi" w:hAnsiTheme="majorBidi" w:cstheme="majorBidi"/>
          <w:b/>
          <w:snapToGrid w:val="0"/>
        </w:rPr>
        <w:tab/>
      </w:r>
      <w:r w:rsidRPr="00BF4EB9">
        <w:rPr>
          <w:rFonts w:asciiTheme="majorBidi" w:hAnsiTheme="majorBidi" w:cstheme="majorBidi"/>
          <w:b/>
          <w:bCs/>
          <w:snapToGrid w:val="0"/>
        </w:rPr>
        <w:t>Prescriptions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  <w:snapToGrid w:val="0"/>
        </w:rPr>
        <w:t>[supplémentaires/</w:t>
      </w:r>
      <w:r w:rsidRPr="00BF4EB9">
        <w:rPr>
          <w:rFonts w:asciiTheme="majorBidi" w:hAnsiTheme="majorBidi" w:cstheme="majorBidi"/>
          <w:b/>
          <w:bCs/>
          <w:snapToGrid w:val="0"/>
        </w:rPr>
        <w:t>spéciales</w:t>
      </w:r>
      <w:r w:rsidRPr="00BF4EB9">
        <w:rPr>
          <w:rFonts w:asciiTheme="majorBidi" w:hAnsiTheme="majorBidi" w:cstheme="majorBidi"/>
          <w:b/>
          <w:bCs/>
          <w:strike/>
          <w:snapToGrid w:val="0"/>
        </w:rPr>
        <w:t>]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applicables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aux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diabolos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5.2.2.24.11.1</w:t>
      </w:r>
      <w:r w:rsidRPr="00BF4EB9">
        <w:rPr>
          <w:rFonts w:asciiTheme="majorBidi" w:hAnsiTheme="majorBidi" w:cstheme="majorBidi"/>
          <w:b/>
          <w:snapToGrid w:val="0"/>
        </w:rPr>
        <w:tab/>
      </w:r>
      <w:bookmarkStart w:id="64" w:name="_Hlk46142802"/>
      <w:r w:rsidRPr="00BF4EB9">
        <w:rPr>
          <w:rFonts w:asciiTheme="majorBidi" w:hAnsiTheme="majorBidi" w:cstheme="majorBidi"/>
          <w:b/>
          <w:bCs/>
          <w:snapToGrid w:val="0"/>
        </w:rPr>
        <w:t>Diabolo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timon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rigide</w:t>
      </w:r>
      <w:bookmarkEnd w:id="64"/>
    </w:p>
    <w:p w:rsidR="00DB758D" w:rsidRPr="00BF4EB9" w:rsidRDefault="00DB758D" w:rsidP="00F4764E">
      <w:pPr>
        <w:pStyle w:val="SingleTxtG"/>
        <w:ind w:left="2268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bCs/>
          <w:snapToGrid w:val="0"/>
        </w:rPr>
        <w:t>Un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diabolo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timon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rigide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tel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défini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2.42.1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présent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Règlement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doit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être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considéré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comme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bookmarkStart w:id="65" w:name="_Hlk46142986"/>
      <w:r w:rsidRPr="00BF4EB9">
        <w:rPr>
          <w:rFonts w:asciiTheme="majorBidi" w:hAnsiTheme="majorBidi" w:cstheme="majorBidi"/>
          <w:b/>
          <w:bCs/>
          <w:snapToGrid w:val="0"/>
        </w:rPr>
        <w:t>une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remorque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essieu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central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bookmarkEnd w:id="65"/>
      <w:r w:rsidRPr="00BF4EB9">
        <w:rPr>
          <w:rFonts w:asciiTheme="majorBidi" w:hAnsiTheme="majorBidi" w:cstheme="majorBidi"/>
          <w:b/>
          <w:bCs/>
          <w:snapToGrid w:val="0"/>
        </w:rPr>
        <w:t>en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qui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concerne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prescriptions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3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l’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annexe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4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5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l’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annexe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10.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5.2.2.24.11.2</w:t>
      </w:r>
      <w:r w:rsidRPr="00BF4EB9">
        <w:rPr>
          <w:rFonts w:asciiTheme="majorBidi" w:hAnsiTheme="majorBidi" w:cstheme="majorBidi"/>
          <w:b/>
          <w:snapToGrid w:val="0"/>
        </w:rPr>
        <w:tab/>
      </w:r>
      <w:r w:rsidRPr="00BF4EB9">
        <w:rPr>
          <w:rFonts w:asciiTheme="majorBidi" w:hAnsiTheme="majorBidi" w:cstheme="majorBidi"/>
          <w:b/>
          <w:bCs/>
          <w:snapToGrid w:val="0"/>
        </w:rPr>
        <w:t>Diabolo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timon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articulé</w:t>
      </w:r>
    </w:p>
    <w:p w:rsidR="00DB758D" w:rsidRPr="00BF4EB9" w:rsidRDefault="00DB758D" w:rsidP="00F4764E">
      <w:pPr>
        <w:pStyle w:val="SingleTxtG"/>
        <w:ind w:left="2268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bCs/>
        </w:rPr>
        <w:t>(Réservé</w:t>
      </w:r>
      <w:r w:rsidR="008C5C24">
        <w:rPr>
          <w:b/>
          <w:bCs/>
        </w:rPr>
        <w:t> ;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pas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visé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présent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Règlement</w:t>
      </w:r>
      <w:r w:rsidRPr="00BF4EB9">
        <w:rPr>
          <w:rFonts w:asciiTheme="majorBidi" w:hAnsiTheme="majorBidi" w:cstheme="majorBidi"/>
          <w:b/>
        </w:rPr>
        <w:t>)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lastRenderedPageBreak/>
        <w:t>5.2.2.24.12</w:t>
      </w:r>
      <w:r w:rsidRPr="00BF4EB9">
        <w:rPr>
          <w:rFonts w:asciiTheme="majorBidi" w:hAnsiTheme="majorBidi" w:cstheme="majorBidi"/>
          <w:b/>
          <w:snapToGrid w:val="0"/>
        </w:rPr>
        <w:tab/>
      </w:r>
      <w:r w:rsidRPr="00BF4EB9">
        <w:rPr>
          <w:rFonts w:asciiTheme="majorBidi" w:hAnsiTheme="majorBidi" w:cstheme="majorBidi"/>
          <w:b/>
          <w:bCs/>
          <w:snapToGrid w:val="0"/>
        </w:rPr>
        <w:t>Prescriptions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  <w:snapToGrid w:val="0"/>
        </w:rPr>
        <w:t>[supplémentaires/</w:t>
      </w:r>
      <w:r w:rsidRPr="00BF4EB9">
        <w:rPr>
          <w:rFonts w:asciiTheme="majorBidi" w:hAnsiTheme="majorBidi" w:cstheme="majorBidi"/>
          <w:b/>
          <w:bCs/>
          <w:snapToGrid w:val="0"/>
        </w:rPr>
        <w:t>spéciales</w:t>
      </w:r>
      <w:r w:rsidRPr="00BF4EB9">
        <w:rPr>
          <w:rFonts w:asciiTheme="majorBidi" w:hAnsiTheme="majorBidi" w:cstheme="majorBidi"/>
          <w:b/>
          <w:bCs/>
          <w:strike/>
          <w:snapToGrid w:val="0"/>
        </w:rPr>
        <w:t>]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applicables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aux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semi</w:t>
      </w:r>
      <w:r w:rsidRPr="00BF4EB9">
        <w:rPr>
          <w:rFonts w:asciiTheme="majorBidi" w:hAnsiTheme="majorBidi" w:cstheme="majorBidi"/>
          <w:b/>
          <w:bCs/>
          <w:snapToGrid w:val="0"/>
        </w:rPr>
        <w:noBreakHyphen/>
        <w:t>remorques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sellette</w:t>
      </w:r>
    </w:p>
    <w:p w:rsidR="00DB758D" w:rsidRPr="00BF4EB9" w:rsidRDefault="00DB758D" w:rsidP="00F4764E">
      <w:pPr>
        <w:pStyle w:val="SingleTxtG"/>
        <w:ind w:left="2268"/>
        <w:rPr>
          <w:rFonts w:asciiTheme="majorBidi" w:hAnsiTheme="majorBidi" w:cstheme="majorBidi"/>
          <w:b/>
          <w:bCs/>
          <w:snapToGrid w:val="0"/>
        </w:rPr>
      </w:pPr>
      <w:r w:rsidRPr="00BF4EB9">
        <w:rPr>
          <w:rFonts w:asciiTheme="majorBidi" w:hAnsiTheme="majorBidi" w:cstheme="majorBidi"/>
          <w:b/>
          <w:bCs/>
          <w:snapToGrid w:val="0"/>
        </w:rPr>
        <w:t>Une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semi-remorque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sellette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telle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définie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2.42.2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présent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Règlement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doit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être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considérée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comme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une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semi-remorque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qui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concerne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prescriptions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3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l’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annexe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4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5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l’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annexe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10.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bCs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5.2.2.25</w:t>
      </w:r>
      <w:r w:rsidRPr="00BF4EB9">
        <w:rPr>
          <w:rFonts w:asciiTheme="majorBidi" w:hAnsiTheme="majorBidi" w:cstheme="majorBidi"/>
          <w:b/>
          <w:snapToGrid w:val="0"/>
        </w:rPr>
        <w:tab/>
      </w:r>
      <w:r w:rsidRPr="00BF4EB9">
        <w:rPr>
          <w:rFonts w:asciiTheme="majorBidi" w:hAnsiTheme="majorBidi" w:cstheme="majorBidi"/>
          <w:b/>
          <w:bCs/>
          <w:snapToGrid w:val="0"/>
        </w:rPr>
        <w:t>Prescriptions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trike/>
          <w:snapToGrid w:val="0"/>
        </w:rPr>
        <w:t>[supplémentaires/</w:t>
      </w:r>
      <w:r w:rsidRPr="00BF4EB9">
        <w:rPr>
          <w:rFonts w:asciiTheme="majorBidi" w:hAnsiTheme="majorBidi" w:cstheme="majorBidi"/>
          <w:b/>
          <w:bCs/>
          <w:snapToGrid w:val="0"/>
        </w:rPr>
        <w:t>spéciales</w:t>
      </w:r>
      <w:r w:rsidRPr="00BF4EB9">
        <w:rPr>
          <w:rFonts w:asciiTheme="majorBidi" w:hAnsiTheme="majorBidi" w:cstheme="majorBidi"/>
          <w:b/>
          <w:bCs/>
          <w:strike/>
          <w:snapToGrid w:val="0"/>
        </w:rPr>
        <w:t>]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applicables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aux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remorques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autres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remorques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tractrices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la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catégorie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O</w:t>
      </w:r>
      <w:r w:rsidRPr="00BF4EB9">
        <w:rPr>
          <w:rFonts w:asciiTheme="majorBidi" w:hAnsiTheme="majorBidi" w:cstheme="majorBidi"/>
          <w:b/>
          <w:bCs/>
          <w:snapToGrid w:val="0"/>
          <w:vertAlign w:val="subscript"/>
        </w:rPr>
        <w:t>3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ou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la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catégorie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O</w:t>
      </w:r>
      <w:r w:rsidRPr="00BF4EB9">
        <w:rPr>
          <w:rFonts w:asciiTheme="majorBidi" w:hAnsiTheme="majorBidi" w:cstheme="majorBidi"/>
          <w:b/>
          <w:bCs/>
          <w:snapToGrid w:val="0"/>
          <w:vertAlign w:val="subscript"/>
        </w:rPr>
        <w:t>4</w:t>
      </w:r>
      <w:r w:rsidRPr="00BF4EB9">
        <w:rPr>
          <w:rFonts w:asciiTheme="majorBidi" w:hAnsiTheme="majorBidi" w:cstheme="majorBidi"/>
          <w:b/>
          <w:bCs/>
          <w:snapToGrid w:val="0"/>
        </w:rPr>
        <w:t>,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pour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lesquelles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l’attelage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une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remorque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tractrice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est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autorisé.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bCs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5.2.2.25.1</w:t>
      </w:r>
      <w:r w:rsidRPr="00BF4EB9">
        <w:rPr>
          <w:rFonts w:asciiTheme="majorBidi" w:hAnsiTheme="majorBidi" w:cstheme="majorBidi"/>
          <w:b/>
          <w:snapToGrid w:val="0"/>
        </w:rPr>
        <w:tab/>
      </w:r>
      <w:r w:rsidRPr="00BF4EB9">
        <w:rPr>
          <w:rFonts w:asciiTheme="majorBidi" w:hAnsiTheme="majorBidi" w:cstheme="majorBidi"/>
          <w:b/>
          <w:bCs/>
          <w:snapToGrid w:val="0"/>
        </w:rPr>
        <w:t>La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remorque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doit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être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équipée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d’une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conduite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commande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pneumatique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d’une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ligne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commande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électrique,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comme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indiqué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="00023E07" w:rsidRPr="00BF4EB9">
        <w:rPr>
          <w:rFonts w:asciiTheme="majorBidi" w:hAnsiTheme="majorBidi" w:cstheme="majorBidi"/>
          <w:b/>
          <w:bCs/>
          <w:snapToGrid w:val="0"/>
        </w:rPr>
        <w:t>paragraphe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5.1.3.1.2.</w:t>
      </w:r>
    </w:p>
    <w:p w:rsidR="00DB758D" w:rsidRPr="00BF4EB9" w:rsidRDefault="00DB758D" w:rsidP="004B7086">
      <w:pPr>
        <w:pStyle w:val="SingleTxtG"/>
        <w:ind w:left="2268" w:hanging="1134"/>
        <w:rPr>
          <w:rFonts w:asciiTheme="majorBidi" w:hAnsiTheme="majorBidi" w:cstheme="majorBidi"/>
          <w:b/>
          <w:snapToGrid w:val="0"/>
        </w:rPr>
      </w:pPr>
      <w:r w:rsidRPr="00BF4EB9">
        <w:rPr>
          <w:rFonts w:asciiTheme="majorBidi" w:hAnsiTheme="majorBidi" w:cstheme="majorBidi"/>
          <w:b/>
          <w:snapToGrid w:val="0"/>
        </w:rPr>
        <w:t>5.2.2.25.2</w:t>
      </w:r>
      <w:r w:rsidRPr="00BF4EB9">
        <w:rPr>
          <w:rFonts w:asciiTheme="majorBidi" w:hAnsiTheme="majorBidi" w:cstheme="majorBidi"/>
          <w:b/>
          <w:snapToGrid w:val="0"/>
        </w:rPr>
        <w:tab/>
      </w:r>
      <w:r w:rsidRPr="00BF4EB9">
        <w:rPr>
          <w:rFonts w:asciiTheme="majorBidi" w:hAnsiTheme="majorBidi" w:cstheme="majorBidi"/>
          <w:b/>
          <w:bCs/>
          <w:snapToGrid w:val="0"/>
        </w:rPr>
        <w:t>L’efficacité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du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frein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stationnement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la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remorque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doit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être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assurée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par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l’actionnement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freins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à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ressort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conformes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aux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prescriptions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pertinentes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des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annexes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4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et</w:t>
      </w:r>
      <w:r w:rsidR="004B7086">
        <w:rPr>
          <w:rFonts w:asciiTheme="majorBidi" w:hAnsiTheme="majorBidi" w:cstheme="majorBidi"/>
          <w:b/>
          <w:bCs/>
          <w:snapToGrid w:val="0"/>
        </w:rPr>
        <w:t xml:space="preserve"> </w:t>
      </w:r>
      <w:r w:rsidRPr="00BF4EB9">
        <w:rPr>
          <w:rFonts w:asciiTheme="majorBidi" w:hAnsiTheme="majorBidi" w:cstheme="majorBidi"/>
          <w:b/>
          <w:bCs/>
          <w:snapToGrid w:val="0"/>
        </w:rPr>
        <w:t>8.</w:t>
      </w:r>
    </w:p>
    <w:p w:rsidR="00DB758D" w:rsidRPr="00BF4EB9" w:rsidRDefault="00DB758D" w:rsidP="00023E07">
      <w:pPr>
        <w:pStyle w:val="SingleTxtG"/>
      </w:pPr>
      <w:r w:rsidRPr="00BF4EB9">
        <w:rPr>
          <w:u w:val="single"/>
        </w:rPr>
        <w:t>Note</w:t>
      </w:r>
      <w:r w:rsidR="004B7086">
        <w:rPr>
          <w:u w:val="single"/>
        </w:rPr>
        <w:t> :</w:t>
      </w:r>
      <w:r w:rsidR="004B7086">
        <w:t xml:space="preserve"> </w:t>
      </w:r>
      <w:bookmarkStart w:id="66" w:name="_Hlk61522359"/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supplémentaires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apporter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annexes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adoptées,</w:t>
      </w:r>
      <w:r w:rsidR="004B7086">
        <w:t xml:space="preserve"> </w:t>
      </w:r>
      <w:bookmarkStart w:id="67" w:name="_Hlk61515992"/>
      <w:r w:rsidRPr="00BF4EB9">
        <w:t>telles</w:t>
      </w:r>
      <w:r w:rsidR="004B7086">
        <w:t xml:space="preserve"> </w:t>
      </w:r>
      <w:r w:rsidRPr="00BF4EB9">
        <w:t>qu’elles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dans</w:t>
      </w:r>
      <w:bookmarkEnd w:id="67"/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GRVA-07-71.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reproduites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longueur.</w:t>
      </w:r>
    </w:p>
    <w:bookmarkEnd w:id="66"/>
    <w:p w:rsidR="00023E07" w:rsidRPr="00BF4EB9" w:rsidRDefault="00023E07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 w:rsidRPr="00BF4EB9">
        <w:br w:type="page"/>
      </w:r>
    </w:p>
    <w:p w:rsidR="00DB758D" w:rsidRPr="00BF4EB9" w:rsidRDefault="00023E07" w:rsidP="00023E07">
      <w:pPr>
        <w:pStyle w:val="HChG"/>
      </w:pPr>
      <w:r w:rsidRPr="00BF4EB9">
        <w:lastRenderedPageBreak/>
        <w:t>Annexe</w:t>
      </w:r>
      <w:r w:rsidR="004B7086">
        <w:t xml:space="preserve"> </w:t>
      </w:r>
      <w:r w:rsidR="00DB758D" w:rsidRPr="00BF4EB9">
        <w:t>XI</w:t>
      </w:r>
    </w:p>
    <w:p w:rsidR="00DB758D" w:rsidRPr="00BF4EB9" w:rsidRDefault="00DB758D" w:rsidP="00023E07">
      <w:pPr>
        <w:pStyle w:val="HChG"/>
      </w:pPr>
      <w:r w:rsidRPr="00BF4EB9">
        <w:rPr>
          <w:sz w:val="22"/>
          <w:szCs w:val="22"/>
        </w:rPr>
        <w:tab/>
      </w:r>
      <w:r w:rsidRPr="00BF4EB9">
        <w:rPr>
          <w:sz w:val="22"/>
          <w:szCs w:val="22"/>
        </w:rPr>
        <w:tab/>
      </w:r>
      <w:r w:rsidRPr="00BF4EB9">
        <w:t>Modifications</w:t>
      </w:r>
      <w:r w:rsidR="004B7086">
        <w:t xml:space="preserve"> </w:t>
      </w:r>
      <w:r w:rsidRPr="00BF4EB9">
        <w:t>apportées</w:t>
      </w:r>
      <w:r w:rsidR="004B7086">
        <w:t xml:space="preserve"> </w:t>
      </w:r>
      <w:r w:rsidRPr="00BF4EB9">
        <w:t>au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ECE/TRANS/WP.29/GRVA/2020/36</w:t>
      </w:r>
    </w:p>
    <w:p w:rsidR="00DB758D" w:rsidRPr="00BF4EB9" w:rsidRDefault="00DB758D" w:rsidP="00347951">
      <w:pPr>
        <w:pStyle w:val="H23G"/>
        <w:rPr>
          <w:iCs/>
        </w:rPr>
      </w:pPr>
      <w:r w:rsidRPr="00BF4EB9">
        <w:tab/>
      </w:r>
      <w:r w:rsidRPr="00BF4EB9">
        <w:tab/>
        <w:t>Adoptées</w:t>
      </w:r>
      <w:r w:rsidR="004B7086">
        <w:t xml:space="preserve"> </w:t>
      </w:r>
      <w:r w:rsidRPr="00BF4EB9">
        <w:t>sur</w:t>
      </w:r>
      <w:r w:rsidR="004B7086">
        <w:t xml:space="preserve"> </w:t>
      </w:r>
      <w:r w:rsidRPr="00BF4EB9">
        <w:t>la</w:t>
      </w:r>
      <w:r w:rsidR="004B7086">
        <w:t xml:space="preserve"> </w:t>
      </w:r>
      <w:r w:rsidRPr="00BF4EB9">
        <w:t>base</w:t>
      </w:r>
      <w:r w:rsidR="004B7086">
        <w:t xml:space="preserve"> </w:t>
      </w:r>
      <w:r w:rsidRPr="00BF4EB9">
        <w:t>du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GRVA-07-73-Rev.1</w:t>
      </w:r>
      <w:r w:rsidR="004B7086">
        <w:t xml:space="preserve"> </w:t>
      </w:r>
      <w:r w:rsidRPr="00BF4EB9">
        <w:rPr>
          <w:iCs/>
        </w:rPr>
        <w:t>(voir</w:t>
      </w:r>
      <w:r w:rsidR="004B7086">
        <w:rPr>
          <w:iCs/>
        </w:rPr>
        <w:t xml:space="preserve"> </w:t>
      </w:r>
      <w:r w:rsidR="005A1351">
        <w:rPr>
          <w:iCs/>
        </w:rPr>
        <w:t>par. </w:t>
      </w:r>
      <w:r w:rsidRPr="00BF4EB9">
        <w:rPr>
          <w:iCs/>
        </w:rPr>
        <w:t>69)</w:t>
      </w:r>
    </w:p>
    <w:p w:rsidR="00DB758D" w:rsidRPr="00BF4EB9" w:rsidRDefault="00DB758D" w:rsidP="00023E07">
      <w:pPr>
        <w:spacing w:after="120"/>
        <w:ind w:left="1134" w:right="1134"/>
        <w:rPr>
          <w:i/>
        </w:rPr>
      </w:pPr>
      <w:r w:rsidRPr="00BF4EB9">
        <w:rPr>
          <w:i/>
        </w:rPr>
        <w:t>Modifier</w:t>
      </w:r>
      <w:r w:rsidR="004B7086">
        <w:rPr>
          <w:i/>
        </w:rPr>
        <w:t xml:space="preserve"> </w:t>
      </w:r>
      <w:r w:rsidRPr="00BF4EB9">
        <w:rPr>
          <w:i/>
        </w:rPr>
        <w:t>le</w:t>
      </w:r>
      <w:r w:rsidR="004B7086">
        <w:rPr>
          <w:i/>
        </w:rPr>
        <w:t xml:space="preserve"> </w:t>
      </w:r>
      <w:r w:rsidRPr="00BF4EB9">
        <w:rPr>
          <w:i/>
        </w:rPr>
        <w:t>nouveau</w:t>
      </w:r>
      <w:r w:rsidR="004B7086">
        <w:rPr>
          <w:i/>
        </w:rPr>
        <w:t xml:space="preserve"> </w:t>
      </w:r>
      <w:r w:rsidR="00023E07" w:rsidRPr="00BF4EB9">
        <w:rPr>
          <w:i/>
        </w:rPr>
        <w:t>paragraphe</w:t>
      </w:r>
      <w:r w:rsidR="004B7086">
        <w:rPr>
          <w:i/>
        </w:rPr>
        <w:t xml:space="preserve"> </w:t>
      </w:r>
      <w:r w:rsidRPr="00BF4EB9">
        <w:rPr>
          <w:i/>
        </w:rPr>
        <w:t>2.40</w:t>
      </w:r>
      <w:r w:rsidR="004B7086">
        <w:rPr>
          <w:i/>
        </w:rPr>
        <w:t xml:space="preserve"> </w:t>
      </w:r>
      <w:r w:rsidRPr="00BF4EB9">
        <w:rPr>
          <w:iCs/>
        </w:rPr>
        <w:t>comme</w:t>
      </w:r>
      <w:r w:rsidR="004B7086">
        <w:rPr>
          <w:iCs/>
        </w:rPr>
        <w:t xml:space="preserve"> </w:t>
      </w:r>
      <w:r w:rsidRPr="00BF4EB9">
        <w:rPr>
          <w:iCs/>
        </w:rPr>
        <w:t>suit</w:t>
      </w:r>
      <w:r w:rsidR="004B7086">
        <w:rPr>
          <w:iCs/>
        </w:rPr>
        <w:t> :</w:t>
      </w:r>
    </w:p>
    <w:p w:rsidR="00DB758D" w:rsidRPr="00BF4EB9" w:rsidRDefault="00DB758D" w:rsidP="004B7086">
      <w:pPr>
        <w:pStyle w:val="SingleTxtG"/>
        <w:ind w:left="2268" w:hanging="1134"/>
        <w:rPr>
          <w:b/>
        </w:rPr>
      </w:pPr>
      <w:r w:rsidRPr="00BF4EB9">
        <w:rPr>
          <w:b/>
        </w:rPr>
        <w:t>2.40</w:t>
      </w:r>
      <w:r w:rsidRPr="00BF4EB9">
        <w:rPr>
          <w:b/>
          <w:i/>
        </w:rPr>
        <w:tab/>
      </w:r>
      <w:r w:rsidRPr="00BF4EB9">
        <w:rPr>
          <w:b/>
          <w:iCs/>
        </w:rPr>
        <w:t>Par</w:t>
      </w:r>
      <w:r w:rsidR="004B7086">
        <w:rPr>
          <w:b/>
          <w:i/>
        </w:rPr>
        <w:t xml:space="preserve"> </w:t>
      </w:r>
      <w:r w:rsidR="0091610F">
        <w:rPr>
          <w:b/>
          <w:iCs/>
        </w:rPr>
        <w:t>« </w:t>
      </w:r>
      <w:r w:rsidRPr="00BF4EB9">
        <w:rPr>
          <w:b/>
          <w:bCs/>
          <w:i/>
        </w:rPr>
        <w:t>Estimateur</w:t>
      </w:r>
      <w:r w:rsidR="004B7086">
        <w:rPr>
          <w:b/>
          <w:bCs/>
          <w:i/>
        </w:rPr>
        <w:t xml:space="preserve"> </w:t>
      </w:r>
      <w:r w:rsidRPr="00BF4EB9">
        <w:rPr>
          <w:b/>
          <w:bCs/>
          <w:i/>
        </w:rPr>
        <w:t>de</w:t>
      </w:r>
      <w:r w:rsidR="004B7086">
        <w:rPr>
          <w:b/>
          <w:bCs/>
          <w:i/>
        </w:rPr>
        <w:t xml:space="preserve"> </w:t>
      </w:r>
      <w:r w:rsidRPr="00BF4EB9">
        <w:rPr>
          <w:b/>
          <w:bCs/>
          <w:i/>
        </w:rPr>
        <w:t>freinage</w:t>
      </w:r>
      <w:r w:rsidR="0091610F">
        <w:rPr>
          <w:b/>
          <w:bCs/>
          <w:iCs/>
        </w:rPr>
        <w:t> »</w:t>
      </w:r>
      <w:r w:rsidRPr="00BF4EB9">
        <w:rPr>
          <w:b/>
        </w:rPr>
        <w:t>,</w:t>
      </w:r>
      <w:r w:rsidR="004B7086">
        <w:rPr>
          <w:b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fonction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estimant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l’efficacité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 w:rsidRPr="00347951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capable</w:t>
      </w:r>
      <w:r w:rsidRPr="00BF4EB9">
        <w:rPr>
          <w:b/>
          <w:bCs/>
        </w:rPr>
        <w:t>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compte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tenu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l’effet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l’échauffement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freins,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utilisant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modèles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prenant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compte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données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telles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type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position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freins,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nombre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l’intensité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freinages,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vitesse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véhicule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ou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température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ambiante.</w:t>
      </w:r>
      <w:r w:rsidR="004B7086" w:rsidRPr="00347951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d’estimer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la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décélération</w:t>
      </w:r>
      <w:r w:rsidR="004B7086">
        <w:rPr>
          <w:b/>
          <w:bCs/>
        </w:rPr>
        <w:t xml:space="preserve"> </w:t>
      </w:r>
      <w:r w:rsidRPr="00BF4EB9">
        <w:rPr>
          <w:b/>
          <w:bCs/>
          <w:strike/>
        </w:rPr>
        <w:t>encore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possible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par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  <w:strike/>
        </w:rPr>
        <w:t>compte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tenu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l’échauffement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des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freins.</w:t>
      </w:r>
    </w:p>
    <w:p w:rsidR="00DB758D" w:rsidRPr="00BF4EB9" w:rsidRDefault="00DB758D" w:rsidP="00023E07">
      <w:pPr>
        <w:spacing w:after="120"/>
        <w:ind w:left="1134" w:right="1134"/>
        <w:rPr>
          <w:iCs/>
        </w:rPr>
      </w:pPr>
      <w:r w:rsidRPr="00BF4EB9">
        <w:rPr>
          <w:i/>
        </w:rPr>
        <w:t>Modifier</w:t>
      </w:r>
      <w:r w:rsidR="004B7086">
        <w:rPr>
          <w:i/>
        </w:rPr>
        <w:t xml:space="preserve"> </w:t>
      </w:r>
      <w:r w:rsidRPr="00BF4EB9">
        <w:rPr>
          <w:i/>
        </w:rPr>
        <w:t>les</w:t>
      </w:r>
      <w:r w:rsidR="004B7086">
        <w:rPr>
          <w:i/>
        </w:rPr>
        <w:t xml:space="preserve"> </w:t>
      </w:r>
      <w:r w:rsidRPr="00BF4EB9">
        <w:rPr>
          <w:i/>
        </w:rPr>
        <w:t>nouveaux</w:t>
      </w:r>
      <w:r w:rsidR="004B7086">
        <w:rPr>
          <w:i/>
        </w:rPr>
        <w:t xml:space="preserve"> </w:t>
      </w:r>
      <w:r w:rsidR="00023E07" w:rsidRPr="00BF4EB9">
        <w:rPr>
          <w:i/>
        </w:rPr>
        <w:t>paragraphes</w:t>
      </w:r>
      <w:r w:rsidR="004B7086">
        <w:rPr>
          <w:i/>
        </w:rPr>
        <w:t xml:space="preserve"> </w:t>
      </w:r>
      <w:r w:rsidRPr="00BF4EB9">
        <w:rPr>
          <w:bCs/>
          <w:i/>
        </w:rPr>
        <w:t>5.1.2.4</w:t>
      </w:r>
      <w:r w:rsidR="004B7086">
        <w:rPr>
          <w:bCs/>
          <w:i/>
        </w:rPr>
        <w:t xml:space="preserve"> </w:t>
      </w:r>
      <w:r w:rsidRPr="00BF4EB9">
        <w:rPr>
          <w:bCs/>
          <w:i/>
        </w:rPr>
        <w:t>et</w:t>
      </w:r>
      <w:r w:rsidR="004B7086">
        <w:rPr>
          <w:bCs/>
          <w:i/>
        </w:rPr>
        <w:t xml:space="preserve"> </w:t>
      </w:r>
      <w:r w:rsidRPr="00BF4EB9">
        <w:rPr>
          <w:bCs/>
          <w:i/>
        </w:rPr>
        <w:t>suivants</w:t>
      </w:r>
      <w:r w:rsidR="004B7086">
        <w:rPr>
          <w:bCs/>
          <w:i/>
        </w:rPr>
        <w:t xml:space="preserve"> </w:t>
      </w:r>
      <w:r w:rsidRPr="00BF4EB9">
        <w:rPr>
          <w:bCs/>
          <w:iCs/>
        </w:rPr>
        <w:t>comme</w:t>
      </w:r>
      <w:r w:rsidR="004B7086">
        <w:rPr>
          <w:bCs/>
          <w:iCs/>
        </w:rPr>
        <w:t xml:space="preserve"> </w:t>
      </w:r>
      <w:r w:rsidRPr="00BF4EB9">
        <w:rPr>
          <w:bCs/>
          <w:iCs/>
        </w:rPr>
        <w:t>suit</w:t>
      </w:r>
      <w:r w:rsidR="004B7086">
        <w:rPr>
          <w:bCs/>
          <w:iCs/>
        </w:rPr>
        <w:t> :</w:t>
      </w:r>
    </w:p>
    <w:p w:rsidR="00DB758D" w:rsidRPr="00BF4EB9" w:rsidRDefault="00DB758D" w:rsidP="004B7086">
      <w:pPr>
        <w:pStyle w:val="SingleTxtG"/>
        <w:ind w:left="2268" w:hanging="1134"/>
        <w:rPr>
          <w:b/>
        </w:rPr>
      </w:pPr>
      <w:r w:rsidRPr="00BF4EB9">
        <w:rPr>
          <w:b/>
        </w:rPr>
        <w:t>5.1.2.4</w:t>
      </w:r>
      <w:r w:rsidRPr="00BF4EB9">
        <w:rPr>
          <w:b/>
        </w:rPr>
        <w:tab/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d’endurance</w:t>
      </w:r>
    </w:p>
    <w:p w:rsidR="00DB758D" w:rsidRPr="00BF4EB9" w:rsidRDefault="00DB758D" w:rsidP="00F4764E">
      <w:pPr>
        <w:pStyle w:val="SingleTxtG"/>
        <w:ind w:left="2268"/>
        <w:rPr>
          <w:b/>
        </w:rPr>
      </w:pPr>
      <w:r w:rsidRPr="00F4764E">
        <w:rPr>
          <w:rFonts w:asciiTheme="majorBidi" w:hAnsiTheme="majorBidi" w:cstheme="majorBidi"/>
          <w:b/>
          <w:bCs/>
          <w:snapToGrid w:val="0"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d’endurance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doit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permettre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maintenir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vitesse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constante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descente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pendant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longue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durée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sans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utilisation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friction.</w:t>
      </w:r>
    </w:p>
    <w:p w:rsidR="00DB758D" w:rsidRPr="00BF4EB9" w:rsidRDefault="00DB758D" w:rsidP="00F4764E">
      <w:pPr>
        <w:pStyle w:val="SingleTxtG"/>
        <w:ind w:left="2268"/>
        <w:rPr>
          <w:b/>
        </w:rPr>
      </w:pPr>
      <w:r w:rsidRPr="00BF4EB9">
        <w:rPr>
          <w:b/>
        </w:rPr>
        <w:t>Les</w:t>
      </w:r>
      <w:r w:rsidR="004B7086">
        <w:rPr>
          <w:b/>
        </w:rPr>
        <w:t xml:space="preserve"> </w:t>
      </w:r>
      <w:r w:rsidRPr="00BF4EB9">
        <w:rPr>
          <w:b/>
        </w:rPr>
        <w:t>prescriptions</w:t>
      </w:r>
      <w:r w:rsidR="004B7086">
        <w:rPr>
          <w:b/>
        </w:rPr>
        <w:t xml:space="preserve"> </w:t>
      </w:r>
      <w:r w:rsidRPr="00BF4EB9">
        <w:rPr>
          <w:b/>
        </w:rPr>
        <w:t>ci-dessous</w:t>
      </w:r>
      <w:r w:rsidR="004B7086">
        <w:rPr>
          <w:b/>
        </w:rPr>
        <w:t xml:space="preserve"> </w:t>
      </w:r>
      <w:r w:rsidRPr="00BF4EB9">
        <w:rPr>
          <w:b/>
        </w:rPr>
        <w:t>s’appliquent</w:t>
      </w:r>
      <w:r w:rsidR="004B7086">
        <w:rPr>
          <w:b/>
        </w:rPr>
        <w:t xml:space="preserve"> </w:t>
      </w:r>
      <w:r w:rsidRPr="00BF4EB9">
        <w:rPr>
          <w:b/>
        </w:rPr>
        <w:t>seulement</w:t>
      </w:r>
      <w:r w:rsidR="004B7086">
        <w:rPr>
          <w:b/>
        </w:rPr>
        <w:t xml:space="preserve"> </w:t>
      </w:r>
      <w:r w:rsidRPr="00BF4EB9">
        <w:rPr>
          <w:b/>
        </w:rPr>
        <w:t>aux</w:t>
      </w:r>
      <w:r w:rsidR="004B7086">
        <w:rPr>
          <w:b/>
        </w:rPr>
        <w:t xml:space="preserve"> </w:t>
      </w:r>
      <w:r w:rsidRPr="00BF4EB9">
        <w:rPr>
          <w:b/>
        </w:rPr>
        <w:t>véhicules</w:t>
      </w:r>
      <w:r w:rsidR="004B7086">
        <w:rPr>
          <w:b/>
        </w:rPr>
        <w:t xml:space="preserve"> </w:t>
      </w:r>
      <w:r w:rsidRPr="00BF4EB9">
        <w:rPr>
          <w:b/>
        </w:rPr>
        <w:t>spécifiés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</w:t>
      </w:r>
      <w:r w:rsidR="004B7086">
        <w:rPr>
          <w:b/>
        </w:rPr>
        <w:t xml:space="preserve"> </w:t>
      </w:r>
      <w:r w:rsidRPr="00BF4EB9">
        <w:rPr>
          <w:b/>
        </w:rPr>
        <w:t>1.8.1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</w:t>
      </w:r>
      <w:r w:rsidR="00023E07" w:rsidRPr="00BF4EB9">
        <w:rPr>
          <w:b/>
        </w:rPr>
        <w:t>annexe</w:t>
      </w:r>
      <w:r w:rsidR="004B7086">
        <w:rPr>
          <w:b/>
        </w:rPr>
        <w:t xml:space="preserve"> </w:t>
      </w:r>
      <w:r w:rsidRPr="00BF4EB9">
        <w:rPr>
          <w:b/>
        </w:rPr>
        <w:t>4.</w:t>
      </w:r>
      <w:r w:rsidR="004B7086">
        <w:rPr>
          <w:b/>
        </w:rPr>
        <w:t xml:space="preserve"> </w:t>
      </w:r>
      <w:r w:rsidRPr="00BF4EB9">
        <w:rPr>
          <w:b/>
        </w:rPr>
        <w:t>Elles</w:t>
      </w:r>
      <w:r w:rsidR="004B7086">
        <w:rPr>
          <w:b/>
        </w:rPr>
        <w:t xml:space="preserve"> </w:t>
      </w:r>
      <w:r w:rsidRPr="00BF4EB9">
        <w:rPr>
          <w:b/>
        </w:rPr>
        <w:t>sont</w:t>
      </w:r>
      <w:r w:rsidR="004B7086">
        <w:rPr>
          <w:b/>
        </w:rPr>
        <w:t xml:space="preserve"> </w:t>
      </w:r>
      <w:r w:rsidRPr="00BF4EB9">
        <w:rPr>
          <w:b/>
        </w:rPr>
        <w:t>réputées</w:t>
      </w:r>
      <w:r w:rsidR="004B7086">
        <w:rPr>
          <w:b/>
        </w:rPr>
        <w:t xml:space="preserve"> </w:t>
      </w:r>
      <w:r w:rsidRPr="00BF4EB9">
        <w:rPr>
          <w:b/>
        </w:rPr>
        <w:t>satisfaites</w:t>
      </w:r>
      <w:r w:rsidR="004B7086">
        <w:rPr>
          <w:b/>
        </w:rPr>
        <w:t xml:space="preserve"> </w:t>
      </w:r>
      <w:r w:rsidRPr="00BF4EB9">
        <w:rPr>
          <w:b/>
        </w:rPr>
        <w:t>si</w:t>
      </w:r>
      <w:r w:rsidR="004B7086">
        <w:rPr>
          <w:b/>
        </w:rPr>
        <w:t xml:space="preserve"> </w:t>
      </w:r>
      <w:r w:rsidRPr="00BF4EB9">
        <w:rPr>
          <w:b/>
        </w:rPr>
        <w:t>les</w:t>
      </w:r>
      <w:r w:rsidR="004B7086">
        <w:rPr>
          <w:b/>
        </w:rPr>
        <w:t xml:space="preserve"> </w:t>
      </w:r>
      <w:r w:rsidRPr="00BF4EB9">
        <w:rPr>
          <w:b/>
        </w:rPr>
        <w:t>prescriptions</w:t>
      </w:r>
      <w:r w:rsidR="004B7086">
        <w:rPr>
          <w:b/>
        </w:rPr>
        <w:t xml:space="preserve"> </w:t>
      </w:r>
      <w:r w:rsidRPr="00BF4EB9">
        <w:rPr>
          <w:b/>
        </w:rPr>
        <w:t>d’essai</w:t>
      </w:r>
      <w:r w:rsidR="004B7086">
        <w:rPr>
          <w:b/>
        </w:rPr>
        <w:t xml:space="preserve"> </w:t>
      </w:r>
      <w:r w:rsidRPr="00BF4EB9">
        <w:rPr>
          <w:b/>
        </w:rPr>
        <w:t>pertinentes</w:t>
      </w:r>
      <w:r w:rsidR="004B7086">
        <w:rPr>
          <w:b/>
        </w:rPr>
        <w:t xml:space="preserve"> </w:t>
      </w:r>
      <w:r w:rsidRPr="00BF4EB9">
        <w:rPr>
          <w:b/>
        </w:rPr>
        <w:t>spécifiées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</w:t>
      </w:r>
      <w:r w:rsidR="004B7086">
        <w:rPr>
          <w:b/>
        </w:rPr>
        <w:t xml:space="preserve"> </w:t>
      </w:r>
      <w:r w:rsidRPr="00BF4EB9">
        <w:rPr>
          <w:b/>
        </w:rPr>
        <w:t>1.8.1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</w:t>
      </w:r>
      <w:r w:rsidR="00023E07" w:rsidRPr="00BF4EB9">
        <w:rPr>
          <w:b/>
        </w:rPr>
        <w:t>annexe</w:t>
      </w:r>
      <w:r w:rsidR="004B7086">
        <w:rPr>
          <w:b/>
        </w:rPr>
        <w:t xml:space="preserve"> </w:t>
      </w:r>
      <w:r w:rsidRPr="00BF4EB9">
        <w:rPr>
          <w:b/>
        </w:rPr>
        <w:t>4</w:t>
      </w:r>
      <w:r w:rsidR="004B7086">
        <w:rPr>
          <w:b/>
        </w:rPr>
        <w:t xml:space="preserve"> </w:t>
      </w:r>
      <w:r w:rsidRPr="00BF4EB9">
        <w:rPr>
          <w:b/>
        </w:rPr>
        <w:t>sont</w:t>
      </w:r>
      <w:r w:rsidR="004B7086">
        <w:rPr>
          <w:b/>
        </w:rPr>
        <w:t xml:space="preserve"> </w:t>
      </w:r>
      <w:r w:rsidRPr="00BF4EB9">
        <w:rPr>
          <w:b/>
        </w:rPr>
        <w:t>respectées.</w:t>
      </w:r>
    </w:p>
    <w:p w:rsidR="00DB758D" w:rsidRPr="00BF4EB9" w:rsidRDefault="00DB758D" w:rsidP="004B7086">
      <w:pPr>
        <w:pStyle w:val="SingleTxtG"/>
        <w:ind w:left="2268" w:hanging="1134"/>
        <w:rPr>
          <w:b/>
          <w:bCs/>
        </w:rPr>
      </w:pPr>
      <w:r w:rsidRPr="00BF4EB9">
        <w:rPr>
          <w:b/>
        </w:rPr>
        <w:t>5.1.2.4.1</w:t>
      </w:r>
      <w:r w:rsidRPr="00BF4EB9">
        <w:rPr>
          <w:b/>
        </w:rPr>
        <w:tab/>
      </w:r>
      <w:r w:rsidRPr="00BF4EB9">
        <w:rPr>
          <w:b/>
          <w:bCs/>
        </w:rPr>
        <w:t>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estime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qu’un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laps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temps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d’au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moins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[</w:t>
      </w:r>
      <w:r w:rsidRPr="00BF4EB9">
        <w:rPr>
          <w:b/>
          <w:bCs/>
          <w:highlight w:val="lightGray"/>
        </w:rPr>
        <w:t>12</w:t>
      </w:r>
      <w:r w:rsidRPr="00BF4EB9">
        <w:rPr>
          <w:b/>
          <w:bCs/>
        </w:rPr>
        <w:t>]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minutes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assimilable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longue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durée.</w:t>
      </w:r>
    </w:p>
    <w:p w:rsidR="00DB758D" w:rsidRPr="00BF4EB9" w:rsidRDefault="00DB758D" w:rsidP="00023E07">
      <w:pPr>
        <w:spacing w:after="120"/>
        <w:ind w:left="2268" w:right="1134" w:hanging="1134"/>
        <w:jc w:val="both"/>
        <w:rPr>
          <w:b/>
        </w:rPr>
      </w:pPr>
      <w:r w:rsidRPr="00BF4EB9">
        <w:rPr>
          <w:b/>
        </w:rPr>
        <w:t>5.1.2.4.2</w:t>
      </w:r>
      <w:r w:rsidRPr="00BF4EB9">
        <w:rPr>
          <w:b/>
        </w:rPr>
        <w:tab/>
      </w:r>
      <w:r w:rsidRPr="00BF4EB9">
        <w:rPr>
          <w:b/>
          <w:bCs/>
        </w:rPr>
        <w:t>Pendant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laps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temps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visé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="00023E07" w:rsidRPr="00BF4EB9">
        <w:rPr>
          <w:b/>
          <w:bCs/>
        </w:rPr>
        <w:t>paragraphe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5.1.2.4.1,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d’endurance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doit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pouvoir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maintenir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vitesse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moyenne</w:t>
      </w:r>
      <w:r w:rsidR="004B7086">
        <w:rPr>
          <w:b/>
          <w:bCs/>
        </w:rPr>
        <w:t xml:space="preserve"> </w:t>
      </w:r>
      <w:r w:rsidRPr="00BF4EB9">
        <w:rPr>
          <w:b/>
          <w:bCs/>
          <w:strike/>
        </w:rPr>
        <w:t>constante</w:t>
      </w:r>
      <w:r w:rsidR="004B7086">
        <w:rPr>
          <w:b/>
          <w:bCs/>
        </w:rPr>
        <w:t xml:space="preserve"> </w:t>
      </w:r>
      <w:r w:rsidRPr="00BF4EB9">
        <w:rPr>
          <w:b/>
          <w:bCs/>
          <w:strike/>
        </w:rPr>
        <w:t>de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[</w:t>
      </w:r>
      <w:r w:rsidRPr="00BF4EB9">
        <w:rPr>
          <w:b/>
          <w:bCs/>
          <w:strike/>
          <w:highlight w:val="lightGray"/>
        </w:rPr>
        <w:t>35</w:t>
      </w:r>
      <w:r w:rsidRPr="00BF4EB9">
        <w:rPr>
          <w:b/>
          <w:bCs/>
          <w:strike/>
        </w:rPr>
        <w:t>]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km/h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au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maximum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[</w:t>
      </w:r>
      <w:r w:rsidRPr="00BF4EB9">
        <w:rPr>
          <w:b/>
          <w:bCs/>
          <w:highlight w:val="lightGray"/>
        </w:rPr>
        <w:t>30</w:t>
      </w:r>
      <w:r w:rsidRPr="00BF4EB9">
        <w:rPr>
          <w:b/>
          <w:bCs/>
        </w:rPr>
        <w:t>]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km/h</w:t>
      </w:r>
      <w:r w:rsidR="004B7086">
        <w:rPr>
          <w:b/>
          <w:bCs/>
        </w:rPr>
        <w:t xml:space="preserve"> </w:t>
      </w:r>
      <w:r w:rsidRPr="00BF4EB9">
        <w:rPr>
          <w:b/>
          <w:bCs/>
          <w:strike/>
        </w:rPr>
        <w:t>au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minimum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dans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descente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7</w:t>
      </w:r>
      <w:r w:rsidR="0091610F">
        <w:rPr>
          <w:b/>
          <w:bCs/>
        </w:rPr>
        <w:t> </w:t>
      </w:r>
      <w:r w:rsidRPr="00BF4EB9">
        <w:rPr>
          <w:b/>
          <w:bCs/>
        </w:rPr>
        <w:t>%</w:t>
      </w:r>
      <w:r w:rsidR="004B7086">
        <w:rPr>
          <w:b/>
          <w:bCs/>
        </w:rPr>
        <w:t xml:space="preserve"> </w:t>
      </w:r>
      <w:r w:rsidRPr="00BF4EB9">
        <w:rPr>
          <w:b/>
          <w:bCs/>
          <w:strike/>
        </w:rPr>
        <w:t>sur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une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distance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6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km</w:t>
      </w:r>
      <w:r w:rsidRPr="00BF4EB9">
        <w:rPr>
          <w:b/>
          <w:bCs/>
        </w:rPr>
        <w:t>.</w:t>
      </w:r>
    </w:p>
    <w:p w:rsidR="00DB758D" w:rsidRPr="00BF4EB9" w:rsidRDefault="00DB758D" w:rsidP="00F4764E">
      <w:pPr>
        <w:pStyle w:val="SingleTxtG"/>
        <w:ind w:left="2268"/>
        <w:rPr>
          <w:b/>
        </w:rPr>
      </w:pPr>
      <w:r w:rsidRPr="00F4764E">
        <w:rPr>
          <w:rFonts w:asciiTheme="majorBidi" w:hAnsiTheme="majorBidi" w:cstheme="majorBidi"/>
          <w:b/>
          <w:bCs/>
          <w:snapToGrid w:val="0"/>
        </w:rPr>
        <w:t>Toutefois</w:t>
      </w:r>
      <w:r w:rsidRPr="00BF4EB9">
        <w:rPr>
          <w:b/>
        </w:rPr>
        <w:t>,</w:t>
      </w:r>
      <w:r w:rsidR="004B7086">
        <w:rPr>
          <w:b/>
        </w:rPr>
        <w:t xml:space="preserve"> </w:t>
      </w:r>
      <w:r w:rsidRPr="00BF4EB9">
        <w:rPr>
          <w:b/>
        </w:rPr>
        <w:t>pour</w:t>
      </w:r>
      <w:r w:rsidR="004B7086">
        <w:rPr>
          <w:b/>
        </w:rPr>
        <w:t xml:space="preserve"> </w:t>
      </w:r>
      <w:r w:rsidRPr="00BF4EB9">
        <w:rPr>
          <w:b/>
        </w:rPr>
        <w:t>les</w:t>
      </w:r>
      <w:r w:rsidR="004B7086">
        <w:rPr>
          <w:b/>
        </w:rPr>
        <w:t xml:space="preserve"> </w:t>
      </w:r>
      <w:r w:rsidRPr="00BF4EB9">
        <w:rPr>
          <w:b/>
        </w:rPr>
        <w:t>véhicules</w:t>
      </w:r>
      <w:r w:rsidR="004B7086">
        <w:rPr>
          <w:b/>
        </w:rPr>
        <w:t xml:space="preserve"> </w:t>
      </w:r>
      <w:r w:rsidRPr="00BF4EB9">
        <w:rPr>
          <w:b/>
        </w:rPr>
        <w:t>dont</w:t>
      </w:r>
      <w:r w:rsidR="004B7086">
        <w:rPr>
          <w:b/>
        </w:rPr>
        <w:t xml:space="preserve"> </w:t>
      </w:r>
      <w:r w:rsidRPr="00BF4EB9">
        <w:rPr>
          <w:b/>
        </w:rPr>
        <w:t>l’énergie</w:t>
      </w:r>
      <w:r w:rsidR="004B7086">
        <w:rPr>
          <w:b/>
        </w:rPr>
        <w:t xml:space="preserve"> </w:t>
      </w:r>
      <w:r w:rsidRPr="00BF4EB9">
        <w:rPr>
          <w:b/>
        </w:rPr>
        <w:t>est</w:t>
      </w:r>
      <w:r w:rsidR="004B7086">
        <w:rPr>
          <w:b/>
        </w:rPr>
        <w:t xml:space="preserve"> </w:t>
      </w:r>
      <w:r w:rsidRPr="00BF4EB9">
        <w:rPr>
          <w:b/>
        </w:rPr>
        <w:t>absorbée</w:t>
      </w:r>
      <w:r w:rsidR="004B7086">
        <w:rPr>
          <w:b/>
        </w:rPr>
        <w:t xml:space="preserve"> </w:t>
      </w:r>
      <w:r w:rsidRPr="00BF4EB9">
        <w:rPr>
          <w:b/>
        </w:rPr>
        <w:t>seulement</w:t>
      </w:r>
      <w:r w:rsidR="004B7086">
        <w:rPr>
          <w:b/>
        </w:rPr>
        <w:t xml:space="preserve"> </w:t>
      </w:r>
      <w:r w:rsidRPr="00BF4EB9">
        <w:rPr>
          <w:b/>
        </w:rPr>
        <w:t>par</w:t>
      </w:r>
      <w:r w:rsidR="004B7086">
        <w:rPr>
          <w:b/>
        </w:rPr>
        <w:t xml:space="preserve"> </w:t>
      </w:r>
      <w:r w:rsidRPr="00BF4EB9">
        <w:rPr>
          <w:b/>
        </w:rPr>
        <w:t>l’action</w:t>
      </w:r>
      <w:r w:rsidR="004B7086">
        <w:rPr>
          <w:b/>
        </w:rPr>
        <w:t xml:space="preserve"> </w:t>
      </w:r>
      <w:proofErr w:type="spellStart"/>
      <w:r w:rsidRPr="00BF4EB9">
        <w:rPr>
          <w:b/>
        </w:rPr>
        <w:t>freinante</w:t>
      </w:r>
      <w:proofErr w:type="spellEnd"/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moteur,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tolérance</w:t>
      </w:r>
      <w:r w:rsidR="004B7086">
        <w:rPr>
          <w:b/>
        </w:rPr>
        <w:t xml:space="preserve"> </w:t>
      </w:r>
      <w:r w:rsidRPr="00BF4EB9">
        <w:rPr>
          <w:b/>
        </w:rPr>
        <w:t>concernant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vitesse</w:t>
      </w:r>
      <w:r w:rsidR="004B7086">
        <w:rPr>
          <w:b/>
        </w:rPr>
        <w:t xml:space="preserve"> </w:t>
      </w:r>
      <w:r w:rsidRPr="00BF4EB9">
        <w:rPr>
          <w:b/>
        </w:rPr>
        <w:t>moyenne,</w:t>
      </w:r>
      <w:r w:rsidR="004B7086">
        <w:rPr>
          <w:b/>
        </w:rPr>
        <w:t xml:space="preserve"> </w:t>
      </w:r>
      <w:r w:rsidRPr="00BF4EB9">
        <w:rPr>
          <w:b/>
        </w:rPr>
        <w:t>telle</w:t>
      </w:r>
      <w:r w:rsidR="004B7086">
        <w:rPr>
          <w:b/>
        </w:rPr>
        <w:t xml:space="preserve"> </w:t>
      </w:r>
      <w:r w:rsidRPr="00BF4EB9">
        <w:rPr>
          <w:b/>
        </w:rPr>
        <w:t>que</w:t>
      </w:r>
      <w:r w:rsidR="004B7086">
        <w:rPr>
          <w:b/>
        </w:rPr>
        <w:t xml:space="preserve"> </w:t>
      </w:r>
      <w:r w:rsidRPr="00BF4EB9">
        <w:rPr>
          <w:b/>
        </w:rPr>
        <w:t>spécifiée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</w:t>
      </w:r>
      <w:r w:rsidR="004B7086">
        <w:rPr>
          <w:b/>
        </w:rPr>
        <w:t xml:space="preserve"> </w:t>
      </w:r>
      <w:r w:rsidRPr="00BF4EB9">
        <w:rPr>
          <w:b/>
        </w:rPr>
        <w:t>1.8.2.3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</w:t>
      </w:r>
      <w:r w:rsidR="00023E07" w:rsidRPr="00BF4EB9">
        <w:rPr>
          <w:b/>
        </w:rPr>
        <w:t>annexe</w:t>
      </w:r>
      <w:r w:rsidR="004B7086">
        <w:rPr>
          <w:b/>
        </w:rPr>
        <w:t xml:space="preserve"> </w:t>
      </w:r>
      <w:r w:rsidRPr="00BF4EB9">
        <w:rPr>
          <w:b/>
        </w:rPr>
        <w:t>4,</w:t>
      </w:r>
      <w:r w:rsidR="004B7086">
        <w:rPr>
          <w:b/>
        </w:rPr>
        <w:t xml:space="preserve"> </w:t>
      </w:r>
      <w:r w:rsidRPr="00BF4EB9">
        <w:rPr>
          <w:b/>
        </w:rPr>
        <w:t>doit</w:t>
      </w:r>
      <w:r w:rsidR="004B7086">
        <w:rPr>
          <w:b/>
        </w:rPr>
        <w:t xml:space="preserve"> </w:t>
      </w:r>
      <w:r w:rsidRPr="00BF4EB9">
        <w:rPr>
          <w:b/>
        </w:rPr>
        <w:t>être</w:t>
      </w:r>
      <w:r w:rsidR="004B7086">
        <w:rPr>
          <w:b/>
        </w:rPr>
        <w:t xml:space="preserve"> </w:t>
      </w:r>
      <w:r w:rsidRPr="00BF4EB9">
        <w:rPr>
          <w:b/>
        </w:rPr>
        <w:t>appliquée.</w:t>
      </w:r>
    </w:p>
    <w:p w:rsidR="00DB758D" w:rsidRPr="00347951" w:rsidRDefault="00DB758D" w:rsidP="00023E07">
      <w:pPr>
        <w:tabs>
          <w:tab w:val="left" w:pos="3544"/>
        </w:tabs>
        <w:spacing w:after="120"/>
        <w:ind w:left="2268" w:right="1134" w:hanging="1134"/>
        <w:jc w:val="both"/>
        <w:rPr>
          <w:b/>
          <w:spacing w:val="-2"/>
        </w:rPr>
      </w:pPr>
      <w:r w:rsidRPr="00347951">
        <w:rPr>
          <w:b/>
          <w:spacing w:val="-2"/>
        </w:rPr>
        <w:t>5.1.2.4.3</w:t>
      </w:r>
      <w:r w:rsidRPr="00347951">
        <w:rPr>
          <w:b/>
          <w:spacing w:val="-2"/>
        </w:rPr>
        <w:tab/>
        <w:t>Prescriptions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particulières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applicables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à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un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système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de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freinage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d’endurance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comprenant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des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systèmes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de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freinage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électrique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à</w:t>
      </w:r>
      <w:r w:rsidR="004B7086" w:rsidRPr="00347951">
        <w:rPr>
          <w:b/>
          <w:spacing w:val="-2"/>
        </w:rPr>
        <w:t xml:space="preserve"> </w:t>
      </w:r>
      <w:r w:rsidRPr="00347951">
        <w:rPr>
          <w:b/>
          <w:spacing w:val="-2"/>
        </w:rPr>
        <w:t>récupération</w:t>
      </w:r>
    </w:p>
    <w:p w:rsidR="00DB758D" w:rsidRPr="00BF4EB9" w:rsidRDefault="00DB758D" w:rsidP="00023E07">
      <w:pPr>
        <w:tabs>
          <w:tab w:val="left" w:pos="3544"/>
        </w:tabs>
        <w:spacing w:after="120"/>
        <w:ind w:left="2268" w:right="1134" w:hanging="1134"/>
        <w:jc w:val="both"/>
        <w:rPr>
          <w:b/>
          <w:bCs/>
        </w:rPr>
      </w:pPr>
      <w:r w:rsidRPr="00BF4EB9">
        <w:rPr>
          <w:b/>
        </w:rPr>
        <w:t>5.1.2.4.3.1</w:t>
      </w:r>
      <w:r w:rsidRPr="00BF4EB9">
        <w:rPr>
          <w:b/>
        </w:rPr>
        <w:tab/>
      </w:r>
      <w:bookmarkStart w:id="68" w:name="_Hlk61516930"/>
      <w:r w:rsidRPr="00BF4EB9">
        <w:rPr>
          <w:b/>
          <w:bCs/>
          <w:strike/>
        </w:rPr>
        <w:t>Un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système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freinage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d’endurance</w:t>
      </w:r>
      <w:r w:rsidR="004B7086">
        <w:rPr>
          <w:b/>
          <w:bCs/>
          <w:strike/>
        </w:rPr>
        <w:t xml:space="preserve"> </w:t>
      </w:r>
      <w:bookmarkEnd w:id="68"/>
      <w:r w:rsidRPr="00BF4EB9">
        <w:rPr>
          <w:b/>
          <w:bCs/>
          <w:strike/>
        </w:rPr>
        <w:t>comprenant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des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systèmes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de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freinage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électrique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à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récupération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est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réputé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conforme</w:t>
      </w:r>
      <w:r w:rsidR="004B7086">
        <w:rPr>
          <w:b/>
          <w:bCs/>
          <w:strike/>
        </w:rPr>
        <w:t xml:space="preserve"> </w:t>
      </w:r>
      <w:r w:rsidRPr="00BF4EB9">
        <w:rPr>
          <w:b/>
          <w:bCs/>
          <w:strike/>
        </w:rPr>
        <w:t>aux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tel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d’endurance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réputé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conforme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aux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prescriptions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</w:t>
      </w:r>
      <w:r w:rsidR="004B7086">
        <w:rPr>
          <w:b/>
          <w:bCs/>
        </w:rPr>
        <w:t xml:space="preserve"> </w:t>
      </w:r>
      <w:r w:rsidR="00023E07" w:rsidRPr="00BF4EB9">
        <w:rPr>
          <w:b/>
          <w:bCs/>
        </w:rPr>
        <w:t>paragraphes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5.1.2.4.1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5.1.2.4.2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si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véhicule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qui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équipé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capable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stocker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et/ou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dissiper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[(par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exemple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l’aide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d’endurance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renforcée)]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l’énergie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dénivelé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négatif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maximal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(nécessitant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capacité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stockage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d’énergie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dans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batterie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traction)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pouvant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descendu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véhicule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(consommant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l’énergie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stockée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dans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batterie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traction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pendant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trajet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vers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descente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question),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cette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valeur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étant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limitée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niveau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d’énergie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prescrit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aux</w:t>
      </w:r>
      <w:r w:rsidR="004B7086">
        <w:rPr>
          <w:b/>
          <w:bCs/>
        </w:rPr>
        <w:t xml:space="preserve"> </w:t>
      </w:r>
      <w:r w:rsidR="00023E07" w:rsidRPr="00BF4EB9">
        <w:rPr>
          <w:b/>
          <w:bCs/>
        </w:rPr>
        <w:t>paragraphes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5.1.2.4.1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5.1.2.4.2,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tenant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compte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l’état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charge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électrique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l’aide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d’outils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tels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qu’un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mondial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navigation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par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satellite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associé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modèle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topographique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gestion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batterie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intelligent.</w:t>
      </w:r>
    </w:p>
    <w:p w:rsidR="00DB758D" w:rsidRPr="00BF4EB9" w:rsidRDefault="00DB758D" w:rsidP="00023E07">
      <w:pPr>
        <w:spacing w:after="120"/>
        <w:ind w:left="2268" w:right="1134"/>
        <w:jc w:val="both"/>
        <w:rPr>
          <w:b/>
        </w:rPr>
      </w:pPr>
      <w:r w:rsidRPr="00BF4EB9">
        <w:rPr>
          <w:b/>
        </w:rPr>
        <w:t>Cela</w:t>
      </w:r>
      <w:r w:rsidR="004B7086">
        <w:rPr>
          <w:b/>
        </w:rPr>
        <w:t xml:space="preserve"> </w:t>
      </w:r>
      <w:r w:rsidRPr="00BF4EB9">
        <w:rPr>
          <w:b/>
        </w:rPr>
        <w:t>doit</w:t>
      </w:r>
      <w:r w:rsidR="004B7086">
        <w:rPr>
          <w:b/>
        </w:rPr>
        <w:t xml:space="preserve"> </w:t>
      </w:r>
      <w:r w:rsidRPr="00BF4EB9">
        <w:rPr>
          <w:b/>
        </w:rPr>
        <w:t>faire</w:t>
      </w:r>
      <w:r w:rsidR="004B7086">
        <w:rPr>
          <w:b/>
        </w:rPr>
        <w:t xml:space="preserve"> </w:t>
      </w:r>
      <w:r w:rsidRPr="00BF4EB9">
        <w:rPr>
          <w:b/>
        </w:rPr>
        <w:t>l’objet</w:t>
      </w:r>
      <w:r w:rsidR="004B7086">
        <w:rPr>
          <w:b/>
        </w:rPr>
        <w:t xml:space="preserve"> </w:t>
      </w:r>
      <w:r w:rsidRPr="00BF4EB9">
        <w:rPr>
          <w:b/>
        </w:rPr>
        <w:t>d’une</w:t>
      </w:r>
      <w:r w:rsidR="004B7086">
        <w:rPr>
          <w:b/>
        </w:rPr>
        <w:t xml:space="preserve"> </w:t>
      </w:r>
      <w:r w:rsidRPr="00BF4EB9">
        <w:rPr>
          <w:b/>
        </w:rPr>
        <w:t>démonstration</w:t>
      </w:r>
      <w:r w:rsidR="004B7086">
        <w:rPr>
          <w:b/>
        </w:rPr>
        <w:t xml:space="preserve"> </w:t>
      </w:r>
      <w:r w:rsidRPr="00BF4EB9">
        <w:rPr>
          <w:b/>
        </w:rPr>
        <w:t>à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satisfaction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service</w:t>
      </w:r>
      <w:r w:rsidR="004B7086">
        <w:rPr>
          <w:b/>
        </w:rPr>
        <w:t xml:space="preserve"> </w:t>
      </w:r>
      <w:r w:rsidRPr="00BF4EB9">
        <w:rPr>
          <w:b/>
        </w:rPr>
        <w:t>technique.</w:t>
      </w:r>
    </w:p>
    <w:p w:rsidR="00DB758D" w:rsidRPr="00BF4EB9" w:rsidRDefault="00DB758D" w:rsidP="00023E07">
      <w:pPr>
        <w:spacing w:after="120"/>
        <w:ind w:left="2268" w:right="1134" w:hanging="1134"/>
        <w:jc w:val="both"/>
        <w:rPr>
          <w:b/>
        </w:rPr>
      </w:pPr>
      <w:r w:rsidRPr="00BF4EB9">
        <w:rPr>
          <w:b/>
        </w:rPr>
        <w:lastRenderedPageBreak/>
        <w:t>5.1.2.4.</w:t>
      </w:r>
      <w:r w:rsidRPr="00BF4EB9">
        <w:rPr>
          <w:b/>
          <w:strike/>
        </w:rPr>
        <w:t>4.</w:t>
      </w:r>
      <w:r w:rsidRPr="00BF4EB9">
        <w:rPr>
          <w:b/>
        </w:rPr>
        <w:t>3.2</w:t>
      </w:r>
      <w:r w:rsidRPr="00BF4EB9">
        <w:rPr>
          <w:b/>
        </w:rPr>
        <w:tab/>
        <w:t>À</w:t>
      </w:r>
      <w:r w:rsidR="004B7086">
        <w:rPr>
          <w:b/>
        </w:rPr>
        <w:t xml:space="preserve"> </w:t>
      </w:r>
      <w:r w:rsidRPr="00BF4EB9">
        <w:rPr>
          <w:b/>
        </w:rPr>
        <w:t>défaut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se</w:t>
      </w:r>
      <w:r w:rsidR="004B7086">
        <w:rPr>
          <w:b/>
        </w:rPr>
        <w:t xml:space="preserve"> </w:t>
      </w:r>
      <w:r w:rsidRPr="00BF4EB9">
        <w:rPr>
          <w:b/>
        </w:rPr>
        <w:t>conformer</w:t>
      </w:r>
      <w:r w:rsidR="004B7086">
        <w:rPr>
          <w:b/>
        </w:rPr>
        <w:t xml:space="preserve"> </w:t>
      </w:r>
      <w:r w:rsidRPr="00BF4EB9">
        <w:rPr>
          <w:b/>
        </w:rPr>
        <w:t>aux</w:t>
      </w:r>
      <w:r w:rsidR="004B7086">
        <w:rPr>
          <w:b/>
        </w:rPr>
        <w:t xml:space="preserve"> </w:t>
      </w:r>
      <w:r w:rsidRPr="00BF4EB9">
        <w:rPr>
          <w:b/>
        </w:rPr>
        <w:t>prescriptions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</w:t>
      </w:r>
      <w:r w:rsidR="004B7086">
        <w:rPr>
          <w:b/>
        </w:rPr>
        <w:t xml:space="preserve"> </w:t>
      </w:r>
      <w:r w:rsidRPr="00BF4EB9">
        <w:rPr>
          <w:b/>
        </w:rPr>
        <w:t>5.1.2.4.3.1,</w:t>
      </w:r>
      <w:r w:rsidR="004B7086">
        <w:rPr>
          <w:b/>
        </w:rPr>
        <w:t xml:space="preserve"> </w:t>
      </w:r>
      <w:r w:rsidRPr="00BF4EB9">
        <w:rPr>
          <w:b/>
          <w:strike/>
        </w:rPr>
        <w:t>les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systèmes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freinage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d’endurance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comprenant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des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systèmes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freinage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électrique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à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récupération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peuvent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utiliser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le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système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freinage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service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lorsque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la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batterie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traction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du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véhicule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n’est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pas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en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mesure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stocker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l’énergie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récupérée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en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raison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d’un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état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charge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élevé,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à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condition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que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ledit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système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service</w:t>
      </w:r>
      <w:r w:rsidR="004B7086">
        <w:rPr>
          <w:b/>
        </w:rPr>
        <w:t xml:space="preserve"> </w:t>
      </w:r>
      <w:r w:rsidRPr="00BF4EB9">
        <w:rPr>
          <w:b/>
          <w:strike/>
        </w:rPr>
        <w:t>soit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en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mesure</w:t>
      </w:r>
      <w:r w:rsidR="004B7086">
        <w:rPr>
          <w:b/>
          <w:strike/>
        </w:rPr>
        <w:t xml:space="preserve"> </w:t>
      </w:r>
      <w:r w:rsidRPr="00BF4EB9">
        <w:rPr>
          <w:b/>
          <w:strike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doit</w:t>
      </w:r>
      <w:r w:rsidR="004B7086">
        <w:rPr>
          <w:b/>
        </w:rPr>
        <w:t xml:space="preserve"> </w:t>
      </w:r>
      <w:r w:rsidRPr="00BF4EB9">
        <w:rPr>
          <w:b/>
        </w:rPr>
        <w:t>satisfaire</w:t>
      </w:r>
      <w:r w:rsidR="004B7086">
        <w:rPr>
          <w:b/>
        </w:rPr>
        <w:t xml:space="preserve"> </w:t>
      </w:r>
      <w:r w:rsidRPr="00BF4EB9">
        <w:rPr>
          <w:b/>
        </w:rPr>
        <w:t>aux</w:t>
      </w:r>
      <w:r w:rsidR="004B7086">
        <w:rPr>
          <w:b/>
        </w:rPr>
        <w:t xml:space="preserve"> </w:t>
      </w:r>
      <w:r w:rsidRPr="00BF4EB9">
        <w:rPr>
          <w:b/>
        </w:rPr>
        <w:t>prescriptions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</w:t>
      </w:r>
      <w:r w:rsidR="004B7086">
        <w:rPr>
          <w:b/>
        </w:rPr>
        <w:t xml:space="preserve"> </w:t>
      </w:r>
      <w:r w:rsidRPr="00BF4EB9">
        <w:rPr>
          <w:b/>
          <w:strike/>
        </w:rPr>
        <w:t>1.8.2.4</w:t>
      </w:r>
      <w:r w:rsidR="004B7086">
        <w:rPr>
          <w:b/>
        </w:rPr>
        <w:t xml:space="preserve"> </w:t>
      </w:r>
      <w:r w:rsidRPr="00BF4EB9">
        <w:rPr>
          <w:b/>
        </w:rPr>
        <w:t>1.8.2.5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</w:t>
      </w:r>
      <w:r w:rsidR="00023E07" w:rsidRPr="00BF4EB9">
        <w:rPr>
          <w:b/>
        </w:rPr>
        <w:t>annexe</w:t>
      </w:r>
      <w:r w:rsidR="004B7086">
        <w:rPr>
          <w:b/>
        </w:rPr>
        <w:t xml:space="preserve"> </w:t>
      </w:r>
      <w:r w:rsidRPr="00BF4EB9">
        <w:rPr>
          <w:b/>
        </w:rPr>
        <w:t>4.</w:t>
      </w:r>
    </w:p>
    <w:p w:rsidR="00DB758D" w:rsidRPr="00BF4EB9" w:rsidRDefault="00DB758D" w:rsidP="00023E07">
      <w:pPr>
        <w:spacing w:after="120"/>
        <w:ind w:left="2268" w:right="1134"/>
        <w:jc w:val="both"/>
        <w:rPr>
          <w:b/>
        </w:rPr>
      </w:pPr>
      <w:r w:rsidRPr="00BF4EB9">
        <w:rPr>
          <w:b/>
        </w:rPr>
        <w:t>En</w:t>
      </w:r>
      <w:r w:rsidR="004B7086">
        <w:rPr>
          <w:b/>
        </w:rPr>
        <w:t xml:space="preserve"> </w:t>
      </w:r>
      <w:r w:rsidRPr="00BF4EB9">
        <w:rPr>
          <w:b/>
        </w:rPr>
        <w:t>outre,</w:t>
      </w:r>
      <w:r w:rsidR="004B7086">
        <w:rPr>
          <w:b/>
        </w:rPr>
        <w:t xml:space="preserve"> </w:t>
      </w:r>
      <w:r w:rsidRPr="00BF4EB9">
        <w:rPr>
          <w:b/>
        </w:rPr>
        <w:t>un</w:t>
      </w:r>
      <w:r w:rsidR="004B7086">
        <w:rPr>
          <w:b/>
        </w:rPr>
        <w:t xml:space="preserve"> </w:t>
      </w:r>
      <w:r w:rsidRPr="00BF4EB9">
        <w:rPr>
          <w:b/>
        </w:rPr>
        <w:t>estimateur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doit</w:t>
      </w:r>
      <w:r w:rsidR="004B7086">
        <w:rPr>
          <w:b/>
        </w:rPr>
        <w:t xml:space="preserve"> </w:t>
      </w:r>
      <w:r w:rsidRPr="00BF4EB9">
        <w:rPr>
          <w:b/>
        </w:rPr>
        <w:t>avertir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conducteur</w:t>
      </w:r>
      <w:r w:rsidR="004B7086">
        <w:rPr>
          <w:b/>
        </w:rPr>
        <w:t xml:space="preserve"> </w:t>
      </w:r>
      <w:r w:rsidRPr="00BF4EB9">
        <w:rPr>
          <w:b/>
        </w:rPr>
        <w:t>conformément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</w:t>
      </w:r>
      <w:r w:rsidR="004B7086">
        <w:rPr>
          <w:b/>
        </w:rPr>
        <w:t xml:space="preserve"> </w:t>
      </w:r>
      <w:r w:rsidRPr="00BF4EB9">
        <w:rPr>
          <w:b/>
        </w:rPr>
        <w:t>5.2.1.29.7.</w:t>
      </w:r>
    </w:p>
    <w:p w:rsidR="00DB758D" w:rsidRPr="00BF4EB9" w:rsidRDefault="00DB758D" w:rsidP="00023E07">
      <w:pPr>
        <w:spacing w:after="120"/>
        <w:ind w:left="2268" w:right="1134" w:hanging="1134"/>
        <w:jc w:val="both"/>
        <w:rPr>
          <w:b/>
          <w:bCs/>
        </w:rPr>
      </w:pPr>
      <w:r w:rsidRPr="00BF4EB9">
        <w:rPr>
          <w:b/>
        </w:rPr>
        <w:t>5.1.2.4.3.3</w:t>
      </w:r>
      <w:r w:rsidRPr="00BF4EB9">
        <w:rPr>
          <w:b/>
        </w:rPr>
        <w:tab/>
        <w:t>Prescription</w:t>
      </w:r>
      <w:r w:rsidR="004B7086">
        <w:rPr>
          <w:b/>
        </w:rPr>
        <w:t xml:space="preserve"> </w:t>
      </w:r>
      <w:r w:rsidRPr="00BF4EB9">
        <w:rPr>
          <w:b/>
        </w:rPr>
        <w:t>additionnelle</w:t>
      </w:r>
      <w:r w:rsidR="004B7086">
        <w:rPr>
          <w:b/>
        </w:rPr>
        <w:t xml:space="preserve"> </w:t>
      </w:r>
      <w:r w:rsidRPr="00BF4EB9">
        <w:rPr>
          <w:b/>
        </w:rPr>
        <w:t>dans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cas</w:t>
      </w:r>
      <w:r w:rsidR="004B7086">
        <w:rPr>
          <w:b/>
        </w:rPr>
        <w:t xml:space="preserve"> </w:t>
      </w:r>
      <w:r w:rsidRPr="00BF4EB9">
        <w:rPr>
          <w:b/>
        </w:rPr>
        <w:t>d’un</w:t>
      </w:r>
      <w:r w:rsidR="004B7086">
        <w:rPr>
          <w:b/>
        </w:rPr>
        <w:t xml:space="preserve"> </w:t>
      </w:r>
      <w:r w:rsidRPr="00BF4EB9">
        <w:rPr>
          <w:b/>
        </w:rPr>
        <w:t>système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d’endurance</w:t>
      </w:r>
      <w:r w:rsidR="004B7086">
        <w:rPr>
          <w:b/>
        </w:rPr>
        <w:t xml:space="preserve"> </w:t>
      </w:r>
      <w:r w:rsidRPr="00BF4EB9">
        <w:rPr>
          <w:b/>
        </w:rPr>
        <w:t>fonctionnant</w:t>
      </w:r>
      <w:r w:rsidR="004B7086">
        <w:rPr>
          <w:b/>
        </w:rPr>
        <w:t xml:space="preserve"> </w:t>
      </w:r>
      <w:r w:rsidRPr="00BF4EB9">
        <w:rPr>
          <w:b/>
        </w:rPr>
        <w:t>exclusivement</w:t>
      </w:r>
      <w:r w:rsidR="004B7086">
        <w:rPr>
          <w:b/>
        </w:rPr>
        <w:t xml:space="preserve"> </w:t>
      </w:r>
      <w:r w:rsidRPr="00BF4EB9">
        <w:rPr>
          <w:b/>
        </w:rPr>
        <w:t>grâce</w:t>
      </w:r>
      <w:r w:rsidR="004B7086">
        <w:rPr>
          <w:b/>
        </w:rPr>
        <w:t xml:space="preserve"> </w:t>
      </w:r>
      <w:r w:rsidRPr="00BF4EB9">
        <w:rPr>
          <w:b/>
        </w:rPr>
        <w:t>à</w:t>
      </w:r>
      <w:r w:rsidR="004B7086">
        <w:rPr>
          <w:b/>
        </w:rPr>
        <w:t xml:space="preserve"> </w:t>
      </w:r>
      <w:r w:rsidRPr="00BF4EB9">
        <w:rPr>
          <w:b/>
        </w:rPr>
        <w:t>un</w:t>
      </w:r>
      <w:r w:rsidR="004B7086">
        <w:rPr>
          <w:b/>
        </w:rPr>
        <w:t xml:space="preserve"> </w:t>
      </w:r>
      <w:r w:rsidRPr="00BF4EB9">
        <w:rPr>
          <w:b/>
        </w:rPr>
        <w:t>système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électrique</w:t>
      </w:r>
      <w:r w:rsidR="004B7086">
        <w:rPr>
          <w:b/>
        </w:rPr>
        <w:t xml:space="preserve"> </w:t>
      </w:r>
      <w:r w:rsidRPr="00BF4EB9">
        <w:rPr>
          <w:b/>
        </w:rPr>
        <w:t>à</w:t>
      </w:r>
      <w:r w:rsidR="004B7086">
        <w:rPr>
          <w:b/>
        </w:rPr>
        <w:t xml:space="preserve"> </w:t>
      </w:r>
      <w:r w:rsidRPr="00BF4EB9">
        <w:rPr>
          <w:b/>
        </w:rPr>
        <w:t>récupération</w:t>
      </w:r>
      <w:r w:rsidR="004B7086">
        <w:rPr>
          <w:b/>
        </w:rPr>
        <w:t> :</w:t>
      </w:r>
    </w:p>
    <w:p w:rsidR="00DB758D" w:rsidRPr="00BF4EB9" w:rsidRDefault="00DB758D" w:rsidP="00023E07">
      <w:pPr>
        <w:spacing w:after="120"/>
        <w:ind w:left="2268" w:right="1134"/>
        <w:jc w:val="both"/>
        <w:rPr>
          <w:b/>
          <w:bCs/>
        </w:rPr>
      </w:pPr>
      <w:r w:rsidRPr="00BF4EB9">
        <w:rPr>
          <w:b/>
          <w:bCs/>
        </w:rPr>
        <w:t>Avant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système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électrique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à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récupération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soit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plus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mesure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d’exercer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force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freinage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(par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exemple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lorsque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batterie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est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pleinement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chargée),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conducteur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doit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être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informé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situation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(par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exemple,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au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moyen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information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sur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capacité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décélération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restante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ou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d’une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diminution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la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force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de</w:t>
      </w:r>
      <w:r w:rsidR="004B7086">
        <w:rPr>
          <w:b/>
          <w:bCs/>
        </w:rPr>
        <w:t xml:space="preserve"> </w:t>
      </w:r>
      <w:r w:rsidRPr="00BF4EB9">
        <w:rPr>
          <w:b/>
          <w:bCs/>
        </w:rPr>
        <w:t>décélération).</w:t>
      </w:r>
    </w:p>
    <w:p w:rsidR="00DB758D" w:rsidRPr="00BF4EB9" w:rsidRDefault="00DB758D" w:rsidP="00023E07">
      <w:pPr>
        <w:spacing w:after="120"/>
        <w:ind w:left="1134" w:right="1134"/>
        <w:rPr>
          <w:i/>
        </w:rPr>
      </w:pPr>
      <w:r w:rsidRPr="00BF4EB9">
        <w:rPr>
          <w:i/>
        </w:rPr>
        <w:t>Ajouter</w:t>
      </w:r>
      <w:r w:rsidR="004B7086">
        <w:rPr>
          <w:i/>
        </w:rPr>
        <w:t xml:space="preserve"> </w:t>
      </w:r>
      <w:r w:rsidRPr="00BF4EB9">
        <w:rPr>
          <w:i/>
        </w:rPr>
        <w:t>un</w:t>
      </w:r>
      <w:r w:rsidR="004B7086">
        <w:rPr>
          <w:i/>
        </w:rPr>
        <w:t xml:space="preserve"> </w:t>
      </w:r>
      <w:r w:rsidRPr="00BF4EB9">
        <w:rPr>
          <w:i/>
        </w:rPr>
        <w:t>nouveau</w:t>
      </w:r>
      <w:r w:rsidR="004B7086">
        <w:rPr>
          <w:i/>
        </w:rPr>
        <w:t xml:space="preserve"> </w:t>
      </w:r>
      <w:r w:rsidR="00023E07" w:rsidRPr="00BF4EB9">
        <w:rPr>
          <w:i/>
        </w:rPr>
        <w:t>paragraphe</w:t>
      </w:r>
      <w:r w:rsidR="004B7086">
        <w:rPr>
          <w:i/>
        </w:rPr>
        <w:t xml:space="preserve"> </w:t>
      </w:r>
      <w:r w:rsidRPr="00BF4EB9">
        <w:rPr>
          <w:i/>
        </w:rPr>
        <w:t>5.2.1.29.7</w:t>
      </w:r>
      <w:r w:rsidRPr="00BF4EB9">
        <w:t>,</w:t>
      </w:r>
      <w:r w:rsidR="004B7086">
        <w:t xml:space="preserve"> </w:t>
      </w:r>
      <w:r w:rsidRPr="00BF4EB9">
        <w:t>ainsi</w:t>
      </w:r>
      <w:r w:rsidR="004B7086">
        <w:t xml:space="preserve"> </w:t>
      </w:r>
      <w:r w:rsidRPr="00BF4EB9">
        <w:t>conçu</w:t>
      </w:r>
      <w:r w:rsidR="004B7086">
        <w:t> :</w:t>
      </w:r>
    </w:p>
    <w:p w:rsidR="00DB758D" w:rsidRPr="00BF4EB9" w:rsidRDefault="00DB758D" w:rsidP="00023E07">
      <w:pPr>
        <w:spacing w:after="120"/>
        <w:ind w:left="2268" w:right="1134" w:hanging="1134"/>
        <w:jc w:val="both"/>
        <w:rPr>
          <w:b/>
        </w:rPr>
      </w:pPr>
      <w:r w:rsidRPr="00BF4EB9">
        <w:rPr>
          <w:b/>
        </w:rPr>
        <w:t>5.2.1.29.7</w:t>
      </w:r>
      <w:r w:rsidRPr="00BF4EB9">
        <w:rPr>
          <w:b/>
        </w:rPr>
        <w:tab/>
        <w:t>Les</w:t>
      </w:r>
      <w:r w:rsidR="004B7086">
        <w:rPr>
          <w:b/>
        </w:rPr>
        <w:t xml:space="preserve"> </w:t>
      </w:r>
      <w:r w:rsidRPr="00BF4EB9">
        <w:rPr>
          <w:b/>
        </w:rPr>
        <w:t>véhicules</w:t>
      </w:r>
      <w:r w:rsidR="004B7086">
        <w:rPr>
          <w:b/>
        </w:rPr>
        <w:t xml:space="preserve"> </w:t>
      </w:r>
      <w:r w:rsidRPr="00BF4EB9">
        <w:rPr>
          <w:b/>
        </w:rPr>
        <w:t>équipés</w:t>
      </w:r>
      <w:r w:rsidR="004B7086">
        <w:rPr>
          <w:b/>
        </w:rPr>
        <w:t xml:space="preserve"> </w:t>
      </w:r>
      <w:r w:rsidRPr="00BF4EB9">
        <w:rPr>
          <w:b/>
        </w:rPr>
        <w:t>d’un</w:t>
      </w:r>
      <w:r w:rsidR="004B7086">
        <w:rPr>
          <w:b/>
        </w:rPr>
        <w:t xml:space="preserve"> </w:t>
      </w:r>
      <w:r w:rsidRPr="00BF4EB9">
        <w:rPr>
          <w:b/>
        </w:rPr>
        <w:t>système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électrique</w:t>
      </w:r>
      <w:r w:rsidR="004B7086">
        <w:rPr>
          <w:b/>
        </w:rPr>
        <w:t xml:space="preserve"> </w:t>
      </w:r>
      <w:r w:rsidRPr="00BF4EB9">
        <w:rPr>
          <w:b/>
        </w:rPr>
        <w:t>à</w:t>
      </w:r>
      <w:r w:rsidR="004B7086">
        <w:rPr>
          <w:b/>
        </w:rPr>
        <w:t xml:space="preserve"> </w:t>
      </w:r>
      <w:r w:rsidRPr="00BF4EB9">
        <w:rPr>
          <w:b/>
        </w:rPr>
        <w:t>récupération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catégorie</w:t>
      </w:r>
      <w:r w:rsidR="004B7086">
        <w:rPr>
          <w:b/>
        </w:rPr>
        <w:t xml:space="preserve"> </w:t>
      </w:r>
      <w:r w:rsidRPr="00BF4EB9">
        <w:rPr>
          <w:b/>
        </w:rPr>
        <w:t>A</w:t>
      </w:r>
      <w:r w:rsidR="004B7086">
        <w:rPr>
          <w:b/>
        </w:rPr>
        <w:t xml:space="preserve"> </w:t>
      </w:r>
      <w:r w:rsidRPr="00BF4EB9">
        <w:rPr>
          <w:b/>
        </w:rPr>
        <w:t>ou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catégorie</w:t>
      </w:r>
      <w:r w:rsidR="004B7086">
        <w:rPr>
          <w:b/>
        </w:rPr>
        <w:t xml:space="preserve"> </w:t>
      </w:r>
      <w:r w:rsidRPr="00BF4EB9">
        <w:rPr>
          <w:b/>
        </w:rPr>
        <w:t>B</w:t>
      </w:r>
      <w:r w:rsidR="004B7086">
        <w:rPr>
          <w:b/>
        </w:rPr>
        <w:t xml:space="preserve"> </w:t>
      </w:r>
      <w:r w:rsidRPr="00BF4EB9">
        <w:rPr>
          <w:b/>
        </w:rPr>
        <w:t>(telles</w:t>
      </w:r>
      <w:r w:rsidR="004B7086">
        <w:rPr>
          <w:b/>
        </w:rPr>
        <w:t xml:space="preserve"> </w:t>
      </w:r>
      <w:r w:rsidRPr="00BF4EB9">
        <w:rPr>
          <w:b/>
        </w:rPr>
        <w:t>que</w:t>
      </w:r>
      <w:r w:rsidR="004B7086">
        <w:rPr>
          <w:b/>
        </w:rPr>
        <w:t xml:space="preserve"> </w:t>
      </w:r>
      <w:r w:rsidRPr="00BF4EB9">
        <w:rPr>
          <w:b/>
        </w:rPr>
        <w:t>définies</w:t>
      </w:r>
      <w:r w:rsidR="004B7086">
        <w:rPr>
          <w:b/>
        </w:rPr>
        <w:t xml:space="preserve"> </w:t>
      </w:r>
      <w:r w:rsidRPr="00BF4EB9">
        <w:rPr>
          <w:b/>
        </w:rPr>
        <w:t>aux</w:t>
      </w:r>
      <w:r w:rsidR="004B7086">
        <w:rPr>
          <w:b/>
        </w:rPr>
        <w:t xml:space="preserve"> </w:t>
      </w:r>
      <w:r w:rsidR="00023E07" w:rsidRPr="00BF4EB9">
        <w:rPr>
          <w:b/>
        </w:rPr>
        <w:t>paragraphes</w:t>
      </w:r>
      <w:r w:rsidR="004B7086">
        <w:rPr>
          <w:b/>
        </w:rPr>
        <w:t xml:space="preserve"> </w:t>
      </w:r>
      <w:r w:rsidRPr="00BF4EB9">
        <w:rPr>
          <w:b/>
        </w:rPr>
        <w:t>2.21.2</w:t>
      </w:r>
      <w:r w:rsidR="004B7086">
        <w:rPr>
          <w:b/>
        </w:rPr>
        <w:t xml:space="preserve"> </w:t>
      </w:r>
      <w:r w:rsidRPr="00BF4EB9">
        <w:rPr>
          <w:b/>
        </w:rPr>
        <w:t>et</w:t>
      </w:r>
      <w:r w:rsidR="004B7086">
        <w:rPr>
          <w:b/>
        </w:rPr>
        <w:t xml:space="preserve"> </w:t>
      </w:r>
      <w:r w:rsidRPr="00BF4EB9">
        <w:rPr>
          <w:b/>
        </w:rPr>
        <w:t>2.21.3),</w:t>
      </w:r>
      <w:r w:rsidR="004B7086">
        <w:rPr>
          <w:b/>
        </w:rPr>
        <w:t xml:space="preserve"> </w:t>
      </w:r>
      <w:r w:rsidRPr="00BF4EB9">
        <w:rPr>
          <w:b/>
        </w:rPr>
        <w:t>utilisant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système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service</w:t>
      </w:r>
      <w:r w:rsidR="004B7086">
        <w:rPr>
          <w:b/>
        </w:rPr>
        <w:t xml:space="preserve"> </w:t>
      </w:r>
      <w:r w:rsidRPr="00BF4EB9">
        <w:rPr>
          <w:b/>
        </w:rPr>
        <w:t>en</w:t>
      </w:r>
      <w:r w:rsidR="004B7086">
        <w:rPr>
          <w:b/>
        </w:rPr>
        <w:t xml:space="preserve"> </w:t>
      </w:r>
      <w:r w:rsidRPr="00BF4EB9">
        <w:rPr>
          <w:b/>
        </w:rPr>
        <w:t>renfort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système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d’endurance</w:t>
      </w:r>
      <w:r w:rsidR="004B7086">
        <w:rPr>
          <w:b/>
        </w:rPr>
        <w:t xml:space="preserve"> </w:t>
      </w:r>
      <w:r w:rsidRPr="00BF4EB9">
        <w:rPr>
          <w:b/>
        </w:rPr>
        <w:t>uniquement</w:t>
      </w:r>
      <w:r w:rsidR="004B7086">
        <w:rPr>
          <w:b/>
        </w:rPr>
        <w:t xml:space="preserve"> </w:t>
      </w:r>
      <w:r w:rsidRPr="00BF4EB9">
        <w:rPr>
          <w:b/>
        </w:rPr>
        <w:t>lorsque</w:t>
      </w:r>
      <w:r w:rsidR="004B7086">
        <w:rPr>
          <w:b/>
        </w:rPr>
        <w:t xml:space="preserve"> </w:t>
      </w:r>
      <w:r w:rsidRPr="00BF4EB9">
        <w:rPr>
          <w:b/>
        </w:rPr>
        <w:t>l’état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charge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batterie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traction</w:t>
      </w:r>
      <w:r w:rsidR="004B7086">
        <w:rPr>
          <w:b/>
        </w:rPr>
        <w:t xml:space="preserve"> </w:t>
      </w:r>
      <w:r w:rsidRPr="00BF4EB9">
        <w:rPr>
          <w:b/>
        </w:rPr>
        <w:t>est</w:t>
      </w:r>
      <w:r w:rsidR="004B7086">
        <w:rPr>
          <w:b/>
        </w:rPr>
        <w:t xml:space="preserve"> </w:t>
      </w:r>
      <w:r w:rsidRPr="00BF4EB9">
        <w:rPr>
          <w:b/>
        </w:rPr>
        <w:t>élevé</w:t>
      </w:r>
      <w:r w:rsidR="004B7086">
        <w:rPr>
          <w:b/>
        </w:rPr>
        <w:t xml:space="preserve"> </w:t>
      </w:r>
      <w:r w:rsidRPr="00BF4EB9">
        <w:rPr>
          <w:b/>
        </w:rPr>
        <w:t>et</w:t>
      </w:r>
      <w:r w:rsidR="004B7086">
        <w:rPr>
          <w:b/>
        </w:rPr>
        <w:t xml:space="preserve"> </w:t>
      </w:r>
      <w:r w:rsidRPr="00BF4EB9">
        <w:rPr>
          <w:b/>
        </w:rPr>
        <w:t>ne</w:t>
      </w:r>
      <w:r w:rsidR="004B7086">
        <w:rPr>
          <w:b/>
        </w:rPr>
        <w:t xml:space="preserve"> </w:t>
      </w:r>
      <w:r w:rsidRPr="00BF4EB9">
        <w:rPr>
          <w:b/>
        </w:rPr>
        <w:t>permet</w:t>
      </w:r>
      <w:r w:rsidR="004B7086">
        <w:rPr>
          <w:b/>
        </w:rPr>
        <w:t xml:space="preserve"> </w:t>
      </w:r>
      <w:r w:rsidRPr="00BF4EB9">
        <w:rPr>
          <w:b/>
        </w:rPr>
        <w:t>pas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stockage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l’énergie,</w:t>
      </w:r>
      <w:r w:rsidR="004B7086">
        <w:rPr>
          <w:b/>
        </w:rPr>
        <w:t xml:space="preserve"> </w:t>
      </w:r>
      <w:r w:rsidRPr="00BF4EB9">
        <w:rPr>
          <w:b/>
        </w:rPr>
        <w:t>doivent</w:t>
      </w:r>
      <w:r w:rsidR="004B7086">
        <w:rPr>
          <w:b/>
        </w:rPr>
        <w:t xml:space="preserve"> </w:t>
      </w:r>
      <w:r w:rsidRPr="00BF4EB9">
        <w:rPr>
          <w:b/>
        </w:rPr>
        <w:t>avertir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conducteur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Pr="00BF4EB9">
        <w:rPr>
          <w:b/>
        </w:rPr>
        <w:t>plus</w:t>
      </w:r>
      <w:r w:rsidR="004B7086">
        <w:rPr>
          <w:b/>
        </w:rPr>
        <w:t xml:space="preserve"> </w:t>
      </w:r>
      <w:r w:rsidRPr="00BF4EB9">
        <w:rPr>
          <w:b/>
        </w:rPr>
        <w:t>tard</w:t>
      </w:r>
      <w:r w:rsidR="004B7086">
        <w:rPr>
          <w:b/>
        </w:rPr>
        <w:t xml:space="preserve"> </w:t>
      </w:r>
      <w:r w:rsidRPr="00BF4EB9">
        <w:rPr>
          <w:b/>
        </w:rPr>
        <w:t>lorsque</w:t>
      </w:r>
      <w:r w:rsidR="004B7086">
        <w:rPr>
          <w:b/>
        </w:rPr>
        <w:t xml:space="preserve"> </w:t>
      </w:r>
      <w:r w:rsidRPr="00BF4EB9">
        <w:rPr>
          <w:b/>
        </w:rPr>
        <w:t>l’efficacité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service</w:t>
      </w:r>
      <w:r w:rsidR="004B7086">
        <w:rPr>
          <w:b/>
        </w:rPr>
        <w:t xml:space="preserve"> </w:t>
      </w:r>
      <w:r w:rsidRPr="00BF4EB9">
        <w:rPr>
          <w:b/>
        </w:rPr>
        <w:t>est</w:t>
      </w:r>
      <w:r w:rsidR="004B7086">
        <w:rPr>
          <w:b/>
        </w:rPr>
        <w:t xml:space="preserve"> </w:t>
      </w:r>
      <w:r w:rsidRPr="00BF4EB9">
        <w:rPr>
          <w:b/>
        </w:rPr>
        <w:t>réduite</w:t>
      </w:r>
      <w:r w:rsidR="004B7086">
        <w:rPr>
          <w:b/>
        </w:rPr>
        <w:t xml:space="preserve"> </w:t>
      </w:r>
      <w:r w:rsidRPr="00BF4EB9">
        <w:rPr>
          <w:b/>
        </w:rPr>
        <w:t>et</w:t>
      </w:r>
      <w:r w:rsidR="004B7086">
        <w:rPr>
          <w:b/>
        </w:rPr>
        <w:t xml:space="preserve"> </w:t>
      </w:r>
      <w:r w:rsidRPr="00BF4EB9">
        <w:rPr>
          <w:b/>
        </w:rPr>
        <w:t>n’atteint</w:t>
      </w:r>
      <w:r w:rsidR="004B7086">
        <w:rPr>
          <w:b/>
        </w:rPr>
        <w:t xml:space="preserve"> </w:t>
      </w:r>
      <w:r w:rsidRPr="00BF4EB9">
        <w:rPr>
          <w:b/>
        </w:rPr>
        <w:t>plus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seuil</w:t>
      </w:r>
      <w:r w:rsidR="004B7086">
        <w:rPr>
          <w:b/>
        </w:rPr>
        <w:t xml:space="preserve"> </w:t>
      </w:r>
      <w:r w:rsidRPr="00BF4EB9">
        <w:rPr>
          <w:b/>
        </w:rPr>
        <w:t>d’efficacité</w:t>
      </w:r>
      <w:r w:rsidR="004B7086">
        <w:rPr>
          <w:b/>
        </w:rPr>
        <w:t xml:space="preserve"> </w:t>
      </w:r>
      <w:r w:rsidRPr="00BF4EB9">
        <w:rPr>
          <w:b/>
        </w:rPr>
        <w:t>minimale</w:t>
      </w:r>
      <w:r w:rsidR="004B7086">
        <w:rPr>
          <w:b/>
        </w:rPr>
        <w:t xml:space="preserve"> </w:t>
      </w:r>
      <w:r w:rsidRPr="00BF4EB9">
        <w:rPr>
          <w:b/>
        </w:rPr>
        <w:t>spécifié</w:t>
      </w:r>
      <w:r w:rsidR="004B7086">
        <w:rPr>
          <w:b/>
        </w:rPr>
        <w:t> :</w:t>
      </w:r>
    </w:p>
    <w:p w:rsidR="00DB758D" w:rsidRPr="00BF4EB9" w:rsidRDefault="00DB758D" w:rsidP="00023E07">
      <w:pPr>
        <w:pStyle w:val="Paragraphedeliste"/>
        <w:spacing w:after="120" w:line="240" w:lineRule="atLeast"/>
        <w:ind w:left="2268" w:right="1134"/>
        <w:jc w:val="both"/>
        <w:rPr>
          <w:b/>
          <w:sz w:val="20"/>
          <w:szCs w:val="20"/>
        </w:rPr>
      </w:pPr>
      <w:r w:rsidRPr="00BF4EB9">
        <w:rPr>
          <w:b/>
          <w:sz w:val="20"/>
          <w:szCs w:val="20"/>
        </w:rPr>
        <w:t>a)</w:t>
      </w:r>
      <w:r w:rsidRPr="00BF4EB9">
        <w:rPr>
          <w:b/>
          <w:sz w:val="20"/>
          <w:szCs w:val="20"/>
        </w:rPr>
        <w:tab/>
        <w:t>Au</w:t>
      </w:r>
      <w:r w:rsidR="004B7086">
        <w:rPr>
          <w:b/>
          <w:sz w:val="20"/>
          <w:szCs w:val="20"/>
        </w:rPr>
        <w:t xml:space="preserve"> </w:t>
      </w:r>
      <w:r w:rsidR="00023E07" w:rsidRPr="00BF4EB9">
        <w:rPr>
          <w:b/>
          <w:sz w:val="20"/>
          <w:szCs w:val="20"/>
        </w:rPr>
        <w:t>paragraphe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1.6.3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de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l’</w:t>
      </w:r>
      <w:r w:rsidR="00023E07" w:rsidRPr="00BF4EB9">
        <w:rPr>
          <w:b/>
          <w:sz w:val="20"/>
          <w:szCs w:val="20"/>
        </w:rPr>
        <w:t>annexe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4,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au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moyen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du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signal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d’avertissement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jaune,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conformément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au</w:t>
      </w:r>
      <w:r w:rsidR="004B7086">
        <w:rPr>
          <w:b/>
          <w:sz w:val="20"/>
          <w:szCs w:val="20"/>
        </w:rPr>
        <w:t xml:space="preserve"> </w:t>
      </w:r>
      <w:r w:rsidR="00023E07" w:rsidRPr="00BF4EB9">
        <w:rPr>
          <w:b/>
          <w:sz w:val="20"/>
          <w:szCs w:val="20"/>
        </w:rPr>
        <w:t>paragraphe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5.2.1.29.1.2,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et</w:t>
      </w:r>
    </w:p>
    <w:p w:rsidR="00DB758D" w:rsidRPr="00BF4EB9" w:rsidRDefault="00DB758D" w:rsidP="00023E07">
      <w:pPr>
        <w:pStyle w:val="Paragraphedeliste"/>
        <w:spacing w:after="120" w:line="240" w:lineRule="atLeast"/>
        <w:ind w:left="2268" w:right="1134"/>
        <w:jc w:val="both"/>
        <w:rPr>
          <w:b/>
          <w:sz w:val="20"/>
          <w:szCs w:val="20"/>
        </w:rPr>
      </w:pPr>
      <w:r w:rsidRPr="00BF4EB9">
        <w:rPr>
          <w:b/>
          <w:sz w:val="20"/>
          <w:szCs w:val="20"/>
        </w:rPr>
        <w:t>b)</w:t>
      </w:r>
      <w:r w:rsidRPr="00BF4EB9">
        <w:rPr>
          <w:b/>
          <w:sz w:val="20"/>
          <w:szCs w:val="20"/>
        </w:rPr>
        <w:tab/>
        <w:t>Au</w:t>
      </w:r>
      <w:r w:rsidR="004B7086">
        <w:rPr>
          <w:b/>
          <w:sz w:val="20"/>
          <w:szCs w:val="20"/>
        </w:rPr>
        <w:t xml:space="preserve"> </w:t>
      </w:r>
      <w:r w:rsidR="00023E07" w:rsidRPr="00BF4EB9">
        <w:rPr>
          <w:b/>
          <w:sz w:val="20"/>
          <w:szCs w:val="20"/>
        </w:rPr>
        <w:t>paragraphe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2.2.1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de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l’</w:t>
      </w:r>
      <w:r w:rsidR="00023E07" w:rsidRPr="00BF4EB9">
        <w:rPr>
          <w:b/>
          <w:sz w:val="20"/>
          <w:szCs w:val="20"/>
        </w:rPr>
        <w:t>annexe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4,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au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moyen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du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signal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d’avertissement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rouge,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conformément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au</w:t>
      </w:r>
      <w:r w:rsidR="004B7086">
        <w:rPr>
          <w:b/>
          <w:sz w:val="20"/>
          <w:szCs w:val="20"/>
        </w:rPr>
        <w:t xml:space="preserve"> </w:t>
      </w:r>
      <w:r w:rsidR="00023E07" w:rsidRPr="00BF4EB9">
        <w:rPr>
          <w:b/>
          <w:sz w:val="20"/>
          <w:szCs w:val="20"/>
        </w:rPr>
        <w:t>paragraphe</w:t>
      </w:r>
      <w:r w:rsidR="004B7086">
        <w:rPr>
          <w:b/>
          <w:sz w:val="20"/>
          <w:szCs w:val="20"/>
        </w:rPr>
        <w:t xml:space="preserve"> </w:t>
      </w:r>
      <w:r w:rsidRPr="00BF4EB9">
        <w:rPr>
          <w:b/>
          <w:sz w:val="20"/>
          <w:szCs w:val="20"/>
        </w:rPr>
        <w:t>5.2.1.29.1.1.</w:t>
      </w:r>
    </w:p>
    <w:p w:rsidR="00DB758D" w:rsidRPr="00BF4EB9" w:rsidRDefault="00DB758D" w:rsidP="00023E07">
      <w:pPr>
        <w:spacing w:after="120"/>
        <w:ind w:left="2268" w:right="1134"/>
        <w:jc w:val="both"/>
        <w:rPr>
          <w:b/>
        </w:rPr>
      </w:pP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méthode</w:t>
      </w:r>
      <w:r w:rsidR="004B7086">
        <w:rPr>
          <w:b/>
        </w:rPr>
        <w:t xml:space="preserve"> </w:t>
      </w:r>
      <w:r w:rsidRPr="00BF4EB9">
        <w:rPr>
          <w:b/>
        </w:rPr>
        <w:t>d’évaluation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l’efficacité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freinage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service</w:t>
      </w:r>
      <w:r w:rsidR="004B7086">
        <w:rPr>
          <w:b/>
        </w:rPr>
        <w:t xml:space="preserve"> </w:t>
      </w:r>
      <w:r w:rsidRPr="00BF4EB9">
        <w:rPr>
          <w:b/>
        </w:rPr>
        <w:t>(par</w:t>
      </w:r>
      <w:r w:rsidR="004B7086">
        <w:rPr>
          <w:b/>
        </w:rPr>
        <w:t xml:space="preserve"> </w:t>
      </w:r>
      <w:r w:rsidRPr="00BF4EB9">
        <w:rPr>
          <w:b/>
        </w:rPr>
        <w:t>exemple,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Pr="00BF4EB9">
        <w:rPr>
          <w:b/>
        </w:rPr>
        <w:t>moyen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calcul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température/de</w:t>
      </w:r>
      <w:r w:rsidR="004B7086">
        <w:rPr>
          <w:b/>
        </w:rPr>
        <w:t xml:space="preserve"> </w:t>
      </w:r>
      <w:r w:rsidRPr="00BF4EB9">
        <w:rPr>
          <w:b/>
        </w:rPr>
        <w:t>l’énergie</w:t>
      </w:r>
      <w:r w:rsidR="004B7086">
        <w:rPr>
          <w:b/>
        </w:rPr>
        <w:t xml:space="preserve"> </w:t>
      </w:r>
      <w:r w:rsidRPr="00BF4EB9">
        <w:rPr>
          <w:b/>
        </w:rPr>
        <w:t>ou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la</w:t>
      </w:r>
      <w:r w:rsidR="004B7086">
        <w:rPr>
          <w:b/>
        </w:rPr>
        <w:t xml:space="preserve"> </w:t>
      </w:r>
      <w:r w:rsidRPr="00BF4EB9">
        <w:rPr>
          <w:b/>
        </w:rPr>
        <w:t>commande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décélération)</w:t>
      </w:r>
      <w:r w:rsidR="004B7086">
        <w:rPr>
          <w:b/>
        </w:rPr>
        <w:t xml:space="preserve"> </w:t>
      </w:r>
      <w:r w:rsidRPr="00BF4EB9">
        <w:rPr>
          <w:b/>
        </w:rPr>
        <w:t>doit</w:t>
      </w:r>
      <w:r w:rsidR="004B7086">
        <w:rPr>
          <w:b/>
        </w:rPr>
        <w:t xml:space="preserve"> </w:t>
      </w:r>
      <w:r w:rsidRPr="00BF4EB9">
        <w:rPr>
          <w:b/>
        </w:rPr>
        <w:t>être</w:t>
      </w:r>
      <w:r w:rsidR="004B7086">
        <w:rPr>
          <w:b/>
        </w:rPr>
        <w:t xml:space="preserve"> </w:t>
      </w:r>
      <w:r w:rsidRPr="00BF4EB9">
        <w:rPr>
          <w:b/>
        </w:rPr>
        <w:t>décrite</w:t>
      </w:r>
      <w:r w:rsidR="004B7086">
        <w:rPr>
          <w:b/>
        </w:rPr>
        <w:t xml:space="preserve"> </w:t>
      </w:r>
      <w:r w:rsidRPr="00BF4EB9">
        <w:rPr>
          <w:b/>
        </w:rPr>
        <w:t>par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constructeur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véhicule</w:t>
      </w:r>
      <w:r w:rsidR="004B7086">
        <w:rPr>
          <w:b/>
        </w:rPr>
        <w:t xml:space="preserve"> </w:t>
      </w:r>
      <w:r w:rsidRPr="00BF4EB9">
        <w:rPr>
          <w:b/>
        </w:rPr>
        <w:t>et</w:t>
      </w:r>
      <w:r w:rsidR="004B7086">
        <w:rPr>
          <w:b/>
        </w:rPr>
        <w:t xml:space="preserve"> </w:t>
      </w:r>
      <w:r w:rsidRPr="00BF4EB9">
        <w:rPr>
          <w:b/>
        </w:rPr>
        <w:t>figurer</w:t>
      </w:r>
      <w:r w:rsidR="004B7086">
        <w:rPr>
          <w:b/>
        </w:rPr>
        <w:t xml:space="preserve"> </w:t>
      </w:r>
      <w:r w:rsidRPr="00BF4EB9">
        <w:rPr>
          <w:b/>
        </w:rPr>
        <w:t>dans</w:t>
      </w:r>
      <w:r w:rsidR="004B7086">
        <w:rPr>
          <w:b/>
        </w:rPr>
        <w:t xml:space="preserve"> </w:t>
      </w:r>
      <w:r w:rsidRPr="00BF4EB9">
        <w:rPr>
          <w:b/>
        </w:rPr>
        <w:t>le</w:t>
      </w:r>
      <w:r w:rsidR="004B7086">
        <w:rPr>
          <w:b/>
        </w:rPr>
        <w:t xml:space="preserve"> </w:t>
      </w:r>
      <w:r w:rsidRPr="00BF4EB9">
        <w:rPr>
          <w:b/>
        </w:rPr>
        <w:t>dossier</w:t>
      </w:r>
      <w:r w:rsidR="004B7086">
        <w:rPr>
          <w:b/>
        </w:rPr>
        <w:t xml:space="preserve"> </w:t>
      </w:r>
      <w:r w:rsidRPr="00BF4EB9">
        <w:rPr>
          <w:b/>
        </w:rPr>
        <w:t>à</w:t>
      </w:r>
      <w:r w:rsidR="004B7086">
        <w:rPr>
          <w:b/>
        </w:rPr>
        <w:t xml:space="preserve"> </w:t>
      </w:r>
      <w:r w:rsidRPr="00BF4EB9">
        <w:rPr>
          <w:b/>
        </w:rPr>
        <w:t>remettre</w:t>
      </w:r>
      <w:r w:rsidR="004B7086">
        <w:rPr>
          <w:b/>
        </w:rPr>
        <w:t xml:space="preserve"> </w:t>
      </w:r>
      <w:r w:rsidRPr="00BF4EB9">
        <w:rPr>
          <w:b/>
        </w:rPr>
        <w:t>au</w:t>
      </w:r>
      <w:r w:rsidR="004B7086">
        <w:rPr>
          <w:b/>
        </w:rPr>
        <w:t xml:space="preserve"> </w:t>
      </w:r>
      <w:r w:rsidRPr="00BF4EB9">
        <w:rPr>
          <w:b/>
        </w:rPr>
        <w:t>service</w:t>
      </w:r>
      <w:r w:rsidR="004B7086">
        <w:rPr>
          <w:b/>
        </w:rPr>
        <w:t xml:space="preserve"> </w:t>
      </w:r>
      <w:r w:rsidRPr="00BF4EB9">
        <w:rPr>
          <w:b/>
        </w:rPr>
        <w:t>technique</w:t>
      </w:r>
      <w:r w:rsidR="004B7086">
        <w:rPr>
          <w:b/>
        </w:rPr>
        <w:t xml:space="preserve"> </w:t>
      </w:r>
      <w:r w:rsidRPr="00BF4EB9">
        <w:rPr>
          <w:b/>
        </w:rPr>
        <w:t>en</w:t>
      </w:r>
      <w:r w:rsidR="004B7086">
        <w:rPr>
          <w:b/>
        </w:rPr>
        <w:t xml:space="preserve"> </w:t>
      </w:r>
      <w:r w:rsidRPr="00BF4EB9">
        <w:rPr>
          <w:b/>
        </w:rPr>
        <w:t>application</w:t>
      </w:r>
      <w:r w:rsidR="004B7086">
        <w:rPr>
          <w:b/>
        </w:rPr>
        <w:t xml:space="preserve"> </w:t>
      </w:r>
      <w:r w:rsidRPr="00BF4EB9">
        <w:rPr>
          <w:b/>
        </w:rPr>
        <w:t>de</w:t>
      </w:r>
      <w:r w:rsidR="004B7086">
        <w:rPr>
          <w:b/>
        </w:rPr>
        <w:t xml:space="preserve"> </w:t>
      </w:r>
      <w:r w:rsidRPr="00BF4EB9">
        <w:rPr>
          <w:b/>
        </w:rPr>
        <w:t>l’</w:t>
      </w:r>
      <w:r w:rsidR="00023E07" w:rsidRPr="00BF4EB9">
        <w:rPr>
          <w:b/>
        </w:rPr>
        <w:t>annexe</w:t>
      </w:r>
      <w:r w:rsidR="004B7086">
        <w:rPr>
          <w:b/>
        </w:rPr>
        <w:t xml:space="preserve"> </w:t>
      </w:r>
      <w:r w:rsidRPr="00BF4EB9">
        <w:rPr>
          <w:b/>
        </w:rPr>
        <w:t>18</w:t>
      </w:r>
      <w:r w:rsidR="004B7086">
        <w:rPr>
          <w:b/>
        </w:rPr>
        <w:t xml:space="preserve"> </w:t>
      </w:r>
      <w:r w:rsidRPr="00BF4EB9">
        <w:rPr>
          <w:b/>
        </w:rPr>
        <w:t>du</w:t>
      </w:r>
      <w:r w:rsidR="004B7086">
        <w:rPr>
          <w:b/>
        </w:rPr>
        <w:t xml:space="preserve"> </w:t>
      </w:r>
      <w:r w:rsidRPr="00BF4EB9">
        <w:rPr>
          <w:b/>
        </w:rPr>
        <w:t>présent</w:t>
      </w:r>
      <w:r w:rsidR="004B7086">
        <w:rPr>
          <w:b/>
        </w:rPr>
        <w:t xml:space="preserve"> </w:t>
      </w:r>
      <w:r w:rsidRPr="00BF4EB9">
        <w:rPr>
          <w:b/>
        </w:rPr>
        <w:t>Règlement</w:t>
      </w:r>
      <w:r w:rsidR="004B7086">
        <w:rPr>
          <w:b/>
        </w:rPr>
        <w:t>.</w:t>
      </w:r>
    </w:p>
    <w:p w:rsidR="00DB758D" w:rsidRPr="00BF4EB9" w:rsidRDefault="00DB758D" w:rsidP="00023E07">
      <w:pPr>
        <w:pStyle w:val="SingleTxtG"/>
      </w:pPr>
      <w:r w:rsidRPr="00BF4EB9">
        <w:rPr>
          <w:u w:val="single"/>
        </w:rPr>
        <w:t>Note</w:t>
      </w:r>
      <w:r w:rsidR="004B7086">
        <w:rPr>
          <w:u w:val="single"/>
        </w:rPr>
        <w:t> :</w:t>
      </w:r>
      <w:r w:rsidR="004B7086">
        <w:t xml:space="preserve"> </w:t>
      </w:r>
      <w:r w:rsidRPr="00BF4EB9">
        <w:t>Des</w:t>
      </w:r>
      <w:r w:rsidR="004B7086">
        <w:t xml:space="preserve"> </w:t>
      </w:r>
      <w:r w:rsidRPr="00BF4EB9">
        <w:t>modifications</w:t>
      </w:r>
      <w:r w:rsidR="004B7086">
        <w:t xml:space="preserve"> </w:t>
      </w:r>
      <w:r w:rsidRPr="00BF4EB9">
        <w:t>supplémentaires</w:t>
      </w:r>
      <w:r w:rsidR="004B7086">
        <w:t xml:space="preserve"> </w:t>
      </w:r>
      <w:r w:rsidRPr="00BF4EB9">
        <w:t>à</w:t>
      </w:r>
      <w:r w:rsidR="004B7086">
        <w:t xml:space="preserve"> </w:t>
      </w:r>
      <w:r w:rsidRPr="00BF4EB9">
        <w:t>apporter</w:t>
      </w:r>
      <w:r w:rsidR="004B7086">
        <w:t xml:space="preserve"> </w:t>
      </w:r>
      <w:r w:rsidRPr="00BF4EB9">
        <w:t>aux</w:t>
      </w:r>
      <w:r w:rsidR="004B7086">
        <w:t xml:space="preserve"> </w:t>
      </w:r>
      <w:r w:rsidRPr="00BF4EB9">
        <w:t>annexes</w:t>
      </w:r>
      <w:r w:rsidR="004B7086">
        <w:t xml:space="preserve"> </w:t>
      </w:r>
      <w:r w:rsidRPr="00BF4EB9">
        <w:t>ont</w:t>
      </w:r>
      <w:r w:rsidR="004B7086">
        <w:t xml:space="preserve"> </w:t>
      </w:r>
      <w:r w:rsidRPr="00BF4EB9">
        <w:t>été</w:t>
      </w:r>
      <w:r w:rsidR="004B7086">
        <w:t xml:space="preserve"> </w:t>
      </w:r>
      <w:r w:rsidRPr="00BF4EB9">
        <w:t>adoptées,</w:t>
      </w:r>
      <w:r w:rsidR="004B7086">
        <w:t xml:space="preserve"> </w:t>
      </w:r>
      <w:r w:rsidRPr="00BF4EB9">
        <w:t>telles</w:t>
      </w:r>
      <w:r w:rsidR="004B7086">
        <w:t xml:space="preserve"> </w:t>
      </w:r>
      <w:r w:rsidRPr="00BF4EB9">
        <w:t>qu’elles</w:t>
      </w:r>
      <w:r w:rsidR="004B7086">
        <w:t xml:space="preserve"> </w:t>
      </w:r>
      <w:r w:rsidRPr="00BF4EB9">
        <w:t>figurent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document</w:t>
      </w:r>
      <w:r w:rsidR="004B7086">
        <w:t xml:space="preserve"> </w:t>
      </w:r>
      <w:r w:rsidRPr="00BF4EB9">
        <w:t>GRVA-07-71.</w:t>
      </w:r>
      <w:r w:rsidR="004B7086">
        <w:t xml:space="preserve"> </w:t>
      </w:r>
      <w:r w:rsidRPr="00BF4EB9">
        <w:t>Elles</w:t>
      </w:r>
      <w:r w:rsidR="004B7086">
        <w:t xml:space="preserve"> </w:t>
      </w:r>
      <w:r w:rsidRPr="00BF4EB9">
        <w:t>ne</w:t>
      </w:r>
      <w:r w:rsidR="004B7086">
        <w:t xml:space="preserve"> </w:t>
      </w:r>
      <w:r w:rsidRPr="00BF4EB9">
        <w:t>sont</w:t>
      </w:r>
      <w:r w:rsidR="004B7086">
        <w:t xml:space="preserve"> </w:t>
      </w:r>
      <w:r w:rsidRPr="00BF4EB9">
        <w:t>pas</w:t>
      </w:r>
      <w:r w:rsidR="004B7086">
        <w:t xml:space="preserve"> </w:t>
      </w:r>
      <w:r w:rsidRPr="00BF4EB9">
        <w:t>reproduites</w:t>
      </w:r>
      <w:r w:rsidR="004B7086">
        <w:t xml:space="preserve"> </w:t>
      </w:r>
      <w:r w:rsidRPr="00BF4EB9">
        <w:t>dans</w:t>
      </w:r>
      <w:r w:rsidR="004B7086">
        <w:t xml:space="preserve"> </w:t>
      </w:r>
      <w:r w:rsidRPr="00BF4EB9">
        <w:t>le</w:t>
      </w:r>
      <w:r w:rsidR="004B7086">
        <w:t xml:space="preserve"> </w:t>
      </w:r>
      <w:r w:rsidRPr="00BF4EB9">
        <w:t>présent</w:t>
      </w:r>
      <w:r w:rsidR="004B7086">
        <w:t xml:space="preserve"> </w:t>
      </w:r>
      <w:r w:rsidRPr="00BF4EB9">
        <w:t>rapport</w:t>
      </w:r>
      <w:r w:rsidR="004B7086">
        <w:t xml:space="preserve"> </w:t>
      </w:r>
      <w:r w:rsidRPr="00BF4EB9">
        <w:t>en</w:t>
      </w:r>
      <w:r w:rsidR="004B7086">
        <w:t xml:space="preserve"> </w:t>
      </w:r>
      <w:r w:rsidRPr="00BF4EB9">
        <w:t>raison</w:t>
      </w:r>
      <w:r w:rsidR="004B7086">
        <w:t xml:space="preserve"> </w:t>
      </w:r>
      <w:r w:rsidRPr="00BF4EB9">
        <w:t>de</w:t>
      </w:r>
      <w:r w:rsidR="004B7086">
        <w:t xml:space="preserve"> </w:t>
      </w:r>
      <w:r w:rsidRPr="00BF4EB9">
        <w:t>leur</w:t>
      </w:r>
      <w:r w:rsidR="004B7086">
        <w:t xml:space="preserve"> </w:t>
      </w:r>
      <w:r w:rsidRPr="00BF4EB9">
        <w:t>longueur.</w:t>
      </w:r>
    </w:p>
    <w:p w:rsidR="00F9573C" w:rsidRPr="00BF4EB9" w:rsidRDefault="00DB758D" w:rsidP="00DB758D">
      <w:pPr>
        <w:pStyle w:val="SingleTxtG"/>
        <w:spacing w:before="240" w:after="0"/>
        <w:jc w:val="center"/>
        <w:rPr>
          <w:u w:val="single"/>
        </w:rPr>
      </w:pPr>
      <w:r w:rsidRPr="00BF4EB9">
        <w:rPr>
          <w:u w:val="single"/>
        </w:rPr>
        <w:tab/>
      </w:r>
      <w:r w:rsidRPr="00BF4EB9">
        <w:rPr>
          <w:u w:val="single"/>
        </w:rPr>
        <w:tab/>
      </w:r>
      <w:r w:rsidRPr="00BF4EB9">
        <w:rPr>
          <w:u w:val="single"/>
        </w:rPr>
        <w:tab/>
      </w:r>
      <w:r w:rsidR="00023E07" w:rsidRPr="00BF4EB9">
        <w:rPr>
          <w:u w:val="single"/>
        </w:rPr>
        <w:tab/>
      </w:r>
    </w:p>
    <w:sectPr w:rsidR="00F9573C" w:rsidRPr="00BF4EB9" w:rsidSect="00DB758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14" w:rsidRDefault="00380814" w:rsidP="00F95C08">
      <w:pPr>
        <w:spacing w:line="240" w:lineRule="auto"/>
      </w:pPr>
    </w:p>
  </w:endnote>
  <w:endnote w:type="continuationSeparator" w:id="0">
    <w:p w:rsidR="00380814" w:rsidRPr="00AC3823" w:rsidRDefault="00380814" w:rsidP="00AC3823">
      <w:pPr>
        <w:pStyle w:val="Pieddepage"/>
      </w:pPr>
    </w:p>
  </w:endnote>
  <w:endnote w:type="continuationNotice" w:id="1">
    <w:p w:rsidR="00380814" w:rsidRDefault="003808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14" w:rsidRPr="00DB758D" w:rsidRDefault="00380814" w:rsidP="00DB758D">
    <w:pPr>
      <w:pStyle w:val="Pieddepage"/>
      <w:tabs>
        <w:tab w:val="right" w:pos="9638"/>
      </w:tabs>
    </w:pPr>
    <w:r w:rsidRPr="00DB758D">
      <w:rPr>
        <w:b/>
        <w:sz w:val="18"/>
      </w:rPr>
      <w:fldChar w:fldCharType="begin"/>
    </w:r>
    <w:r w:rsidRPr="00DB758D">
      <w:rPr>
        <w:b/>
        <w:sz w:val="18"/>
      </w:rPr>
      <w:instrText xml:space="preserve"> PAGE  \* MERGEFORMAT </w:instrText>
    </w:r>
    <w:r w:rsidRPr="00DB758D">
      <w:rPr>
        <w:b/>
        <w:sz w:val="18"/>
      </w:rPr>
      <w:fldChar w:fldCharType="separate"/>
    </w:r>
    <w:r w:rsidRPr="00DB758D">
      <w:rPr>
        <w:b/>
        <w:noProof/>
        <w:sz w:val="18"/>
      </w:rPr>
      <w:t>2</w:t>
    </w:r>
    <w:r w:rsidRPr="00DB758D">
      <w:rPr>
        <w:b/>
        <w:sz w:val="18"/>
      </w:rPr>
      <w:fldChar w:fldCharType="end"/>
    </w:r>
    <w:r>
      <w:rPr>
        <w:b/>
        <w:sz w:val="18"/>
      </w:rPr>
      <w:tab/>
    </w:r>
    <w:r>
      <w:t>GE.20-15599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14" w:rsidRPr="00DB758D" w:rsidRDefault="00380814" w:rsidP="00DB758D">
    <w:pPr>
      <w:pStyle w:val="Pieddepage"/>
      <w:tabs>
        <w:tab w:val="right" w:pos="9638"/>
      </w:tabs>
      <w:rPr>
        <w:b/>
        <w:sz w:val="18"/>
      </w:rPr>
    </w:pPr>
    <w:r>
      <w:t>GE.20-15599</w:t>
    </w:r>
    <w:r>
      <w:tab/>
    </w:r>
    <w:r w:rsidRPr="00DB758D">
      <w:rPr>
        <w:b/>
        <w:sz w:val="18"/>
      </w:rPr>
      <w:fldChar w:fldCharType="begin"/>
    </w:r>
    <w:r w:rsidRPr="00DB758D">
      <w:rPr>
        <w:b/>
        <w:sz w:val="18"/>
      </w:rPr>
      <w:instrText xml:space="preserve"> PAGE  \* MERGEFORMAT </w:instrText>
    </w:r>
    <w:r w:rsidRPr="00DB758D">
      <w:rPr>
        <w:b/>
        <w:sz w:val="18"/>
      </w:rPr>
      <w:fldChar w:fldCharType="separate"/>
    </w:r>
    <w:r w:rsidRPr="00DB758D">
      <w:rPr>
        <w:b/>
        <w:noProof/>
        <w:sz w:val="18"/>
      </w:rPr>
      <w:t>3</w:t>
    </w:r>
    <w:r w:rsidRPr="00DB75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14" w:rsidRPr="00DB758D" w:rsidRDefault="00380814" w:rsidP="00DB758D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20-15599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150121    150121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14" w:rsidRPr="00AC3823" w:rsidRDefault="003808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0814" w:rsidRPr="00AC3823" w:rsidRDefault="003808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0814" w:rsidRPr="00AC3823" w:rsidRDefault="00380814">
      <w:pPr>
        <w:spacing w:line="240" w:lineRule="auto"/>
        <w:rPr>
          <w:sz w:val="2"/>
          <w:szCs w:val="2"/>
        </w:rPr>
      </w:pPr>
    </w:p>
  </w:footnote>
  <w:footnote w:id="2">
    <w:p w:rsidR="00380814" w:rsidRDefault="00380814" w:rsidP="009D5575">
      <w:pPr>
        <w:pStyle w:val="Notedebasdepage"/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14" w:rsidRPr="00DB758D" w:rsidRDefault="00380814">
    <w:pPr>
      <w:pStyle w:val="En-tte"/>
    </w:pPr>
    <w:fldSimple w:instr=" TITLE  \* MERGEFORMAT ">
      <w:r>
        <w:t>ECE/TRANS/WP.29/GRVA/7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14" w:rsidRPr="00DB758D" w:rsidRDefault="00380814" w:rsidP="00DB758D">
    <w:pPr>
      <w:pStyle w:val="En-tte"/>
      <w:jc w:val="right"/>
    </w:pPr>
    <w:fldSimple w:instr=" TITLE  \* MERGEFORMAT ">
      <w:r>
        <w:t>ECE/TRANS/WP.29/GRVA/7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1A49B3"/>
    <w:multiLevelType w:val="hybridMultilevel"/>
    <w:tmpl w:val="83FE10B8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59EAE7E">
      <w:start w:val="1"/>
      <w:numFmt w:val="lowerLetter"/>
      <w:lvlText w:val="%2."/>
      <w:lvlJc w:val="left"/>
      <w:pPr>
        <w:tabs>
          <w:tab w:val="num" w:pos="5464"/>
        </w:tabs>
        <w:ind w:left="5464" w:hanging="360"/>
      </w:pPr>
      <w:rPr>
        <w:color w:val="auto"/>
        <w:lang w:val="en-US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0DC6811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33F7EED"/>
    <w:multiLevelType w:val="hybridMultilevel"/>
    <w:tmpl w:val="C4FC9CBA"/>
    <w:lvl w:ilvl="0" w:tplc="05F032D6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B330A7E"/>
    <w:multiLevelType w:val="hybridMultilevel"/>
    <w:tmpl w:val="48B494B4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70019">
      <w:start w:val="1"/>
      <w:numFmt w:val="lowerLetter"/>
      <w:lvlText w:val="%3."/>
      <w:lvlJc w:val="lef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FB72ECD"/>
    <w:multiLevelType w:val="hybridMultilevel"/>
    <w:tmpl w:val="C09E1EB4"/>
    <w:lvl w:ilvl="0" w:tplc="71FC4C5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4"/>
  </w:num>
  <w:num w:numId="15">
    <w:abstractNumId w:val="18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13"/>
  </w:num>
  <w:num w:numId="21">
    <w:abstractNumId w:val="17"/>
  </w:num>
  <w:num w:numId="22">
    <w:abstractNumId w:val="14"/>
  </w:num>
  <w:num w:numId="23">
    <w:abstractNumId w:val="23"/>
  </w:num>
  <w:num w:numId="24">
    <w:abstractNumId w:val="25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80"/>
    <w:rsid w:val="00017F0A"/>
    <w:rsid w:val="00017F94"/>
    <w:rsid w:val="00023842"/>
    <w:rsid w:val="00023E07"/>
    <w:rsid w:val="000334F9"/>
    <w:rsid w:val="00045FEB"/>
    <w:rsid w:val="0007796D"/>
    <w:rsid w:val="000B7790"/>
    <w:rsid w:val="00111F2F"/>
    <w:rsid w:val="001356B5"/>
    <w:rsid w:val="0014365E"/>
    <w:rsid w:val="00143C66"/>
    <w:rsid w:val="00176178"/>
    <w:rsid w:val="0018363E"/>
    <w:rsid w:val="001F525A"/>
    <w:rsid w:val="00201148"/>
    <w:rsid w:val="00223272"/>
    <w:rsid w:val="0024779E"/>
    <w:rsid w:val="00257168"/>
    <w:rsid w:val="002744B8"/>
    <w:rsid w:val="002832AC"/>
    <w:rsid w:val="002B7064"/>
    <w:rsid w:val="002D7C93"/>
    <w:rsid w:val="00305801"/>
    <w:rsid w:val="00347951"/>
    <w:rsid w:val="00360239"/>
    <w:rsid w:val="00380814"/>
    <w:rsid w:val="003916DE"/>
    <w:rsid w:val="004121A2"/>
    <w:rsid w:val="00421996"/>
    <w:rsid w:val="00441C3B"/>
    <w:rsid w:val="00446FE5"/>
    <w:rsid w:val="00452345"/>
    <w:rsid w:val="00452396"/>
    <w:rsid w:val="00477EB2"/>
    <w:rsid w:val="004837D8"/>
    <w:rsid w:val="004B7086"/>
    <w:rsid w:val="004E2EED"/>
    <w:rsid w:val="004E468C"/>
    <w:rsid w:val="0053461A"/>
    <w:rsid w:val="005505B7"/>
    <w:rsid w:val="00573BE5"/>
    <w:rsid w:val="00586ED3"/>
    <w:rsid w:val="00596AA9"/>
    <w:rsid w:val="005A1351"/>
    <w:rsid w:val="0071601D"/>
    <w:rsid w:val="007502AA"/>
    <w:rsid w:val="00775466"/>
    <w:rsid w:val="007A62E6"/>
    <w:rsid w:val="007E4C63"/>
    <w:rsid w:val="007F20FA"/>
    <w:rsid w:val="0080684C"/>
    <w:rsid w:val="00834A84"/>
    <w:rsid w:val="00862D83"/>
    <w:rsid w:val="00871C75"/>
    <w:rsid w:val="008720E6"/>
    <w:rsid w:val="008776DC"/>
    <w:rsid w:val="008B2D66"/>
    <w:rsid w:val="008C5C24"/>
    <w:rsid w:val="008D5EF9"/>
    <w:rsid w:val="008E31AD"/>
    <w:rsid w:val="0091610F"/>
    <w:rsid w:val="009446C0"/>
    <w:rsid w:val="009705C8"/>
    <w:rsid w:val="009C1CF4"/>
    <w:rsid w:val="009D5575"/>
    <w:rsid w:val="009F6B74"/>
    <w:rsid w:val="00A3029F"/>
    <w:rsid w:val="00A30353"/>
    <w:rsid w:val="00A648C5"/>
    <w:rsid w:val="00AC3823"/>
    <w:rsid w:val="00AC5904"/>
    <w:rsid w:val="00AD6B73"/>
    <w:rsid w:val="00AE317A"/>
    <w:rsid w:val="00AE323C"/>
    <w:rsid w:val="00AF0CB5"/>
    <w:rsid w:val="00B00181"/>
    <w:rsid w:val="00B00B0D"/>
    <w:rsid w:val="00B07E45"/>
    <w:rsid w:val="00B15A15"/>
    <w:rsid w:val="00B45F2E"/>
    <w:rsid w:val="00B56ABA"/>
    <w:rsid w:val="00B765F7"/>
    <w:rsid w:val="00B77993"/>
    <w:rsid w:val="00BA0CA9"/>
    <w:rsid w:val="00BF4EB9"/>
    <w:rsid w:val="00C02897"/>
    <w:rsid w:val="00C97039"/>
    <w:rsid w:val="00CF4171"/>
    <w:rsid w:val="00D315A5"/>
    <w:rsid w:val="00D3439C"/>
    <w:rsid w:val="00D7622E"/>
    <w:rsid w:val="00DB1831"/>
    <w:rsid w:val="00DB758D"/>
    <w:rsid w:val="00DD3BFD"/>
    <w:rsid w:val="00DE7580"/>
    <w:rsid w:val="00DF6678"/>
    <w:rsid w:val="00E0299A"/>
    <w:rsid w:val="00E85C74"/>
    <w:rsid w:val="00EA6547"/>
    <w:rsid w:val="00ED7237"/>
    <w:rsid w:val="00EF2E22"/>
    <w:rsid w:val="00F35BAF"/>
    <w:rsid w:val="00F4764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6C653"/>
  <w15:docId w15:val="{4A8EE843-8095-4854-BAA4-C7CFA63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F476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F4764E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F4764E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F4764E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F4764E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F4764E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F4764E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F4764E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F4764E"/>
    <w:pPr>
      <w:outlineLvl w:val="8"/>
    </w:pPr>
  </w:style>
  <w:style w:type="character" w:default="1" w:styleId="Policepardfaut">
    <w:name w:val="Default Paragraph Font"/>
    <w:uiPriority w:val="1"/>
    <w:unhideWhenUsed/>
    <w:rsid w:val="00F4764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4764E"/>
  </w:style>
  <w:style w:type="paragraph" w:customStyle="1" w:styleId="SingleTxtG">
    <w:name w:val="_ Single Txt_G"/>
    <w:basedOn w:val="Normal"/>
    <w:link w:val="SingleTxtGChar"/>
    <w:qFormat/>
    <w:rsid w:val="00F4764E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DB758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F4764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F476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F476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F476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F476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F4764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F4764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customStyle="1" w:styleId="HChGChar">
    <w:name w:val="_ H _Ch_G Char"/>
    <w:link w:val="HChG"/>
    <w:rsid w:val="00DB758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qFormat/>
    <w:rsid w:val="00F4764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F476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F476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F4764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LG">
    <w:name w:val="__S_L_G"/>
    <w:basedOn w:val="Normal"/>
    <w:next w:val="Normal"/>
    <w:rsid w:val="00F476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F476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F476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F476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F4764E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F4764E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4764E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F476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F476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F476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F476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F4764E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F476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F476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F4764E"/>
  </w:style>
  <w:style w:type="character" w:customStyle="1" w:styleId="NotedefinCar">
    <w:name w:val="Note de fin Car"/>
    <w:aliases w:val="2_G Car"/>
    <w:basedOn w:val="Policepardfaut"/>
    <w:link w:val="Notedefin"/>
    <w:rsid w:val="00F476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F4764E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4E"/>
    <w:rPr>
      <w:rFonts w:ascii="Tahoma" w:eastAsiaTheme="minorHAns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B758D"/>
    <w:pPr>
      <w:suppressAutoHyphens w:val="0"/>
      <w:spacing w:line="240" w:lineRule="auto"/>
      <w:ind w:left="708"/>
    </w:pPr>
    <w:rPr>
      <w:rFonts w:eastAsia="MS Mincho"/>
      <w:sz w:val="24"/>
      <w:szCs w:val="24"/>
      <w:lang w:eastAsia="en-GB"/>
    </w:rPr>
  </w:style>
  <w:style w:type="paragraph" w:customStyle="1" w:styleId="para">
    <w:name w:val="para"/>
    <w:basedOn w:val="Normal"/>
    <w:link w:val="paraChar"/>
    <w:qFormat/>
    <w:rsid w:val="00DB758D"/>
    <w:pPr>
      <w:spacing w:after="120" w:line="240" w:lineRule="exact"/>
      <w:ind w:left="2268" w:right="1134" w:hanging="1134"/>
      <w:jc w:val="both"/>
    </w:pPr>
  </w:style>
  <w:style w:type="character" w:customStyle="1" w:styleId="paraChar">
    <w:name w:val="para Char"/>
    <w:link w:val="para"/>
    <w:locked/>
    <w:rsid w:val="00DB758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DB758D"/>
    <w:pPr>
      <w:tabs>
        <w:tab w:val="left" w:pos="0"/>
        <w:tab w:val="left" w:pos="1069"/>
        <w:tab w:val="left" w:pos="1425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1426" w:hanging="1426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DB758D"/>
    <w:rPr>
      <w:rFonts w:ascii="Times New Roman" w:eastAsiaTheme="minorHAnsi" w:hAnsi="Times New Roman" w:cs="Times New Roman"/>
      <w:sz w:val="24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D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tIgg7XLAaax0t-WuiMrdU8WFxH3eOO6/edit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6467B-57BB-4047-B97D-CF924038A9AC}"/>
</file>

<file path=customXml/itemProps2.xml><?xml version="1.0" encoding="utf-8"?>
<ds:datastoreItem xmlns:ds="http://schemas.openxmlformats.org/officeDocument/2006/customXml" ds:itemID="{CE47F9D1-2CA7-4126-9642-4675D7AF4D65}"/>
</file>

<file path=customXml/itemProps3.xml><?xml version="1.0" encoding="utf-8"?>
<ds:datastoreItem xmlns:ds="http://schemas.openxmlformats.org/officeDocument/2006/customXml" ds:itemID="{FE6FC1FA-51D2-4623-841B-0F7E1EB2DA4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38</Pages>
  <Words>10424</Words>
  <Characters>79225</Characters>
  <Application>Microsoft Office Word</Application>
  <DocSecurity>0</DocSecurity>
  <Lines>1553</Lines>
  <Paragraphs>1724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ECE/TRANS/WP.29/GRVA/7</vt:lpstr>
    </vt:vector>
  </TitlesOfParts>
  <Company>DCM</Company>
  <LinksUpToDate>false</LinksUpToDate>
  <CharactersWithSpaces>87925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ECE/TRANS/WP.29/GRVA/7</dc:title>
  <dc:subject/>
  <dc:creator>Nicolas MORIN</dc:creator>
  <cp:keywords/>
  <cp:lastModifiedBy>Nicolas Morin</cp:lastModifiedBy>
  <cp:revision>2</cp:revision>
  <cp:lastPrinted>2014-05-14T10:59:00Z</cp:lastPrinted>
  <dcterms:created xsi:type="dcterms:W3CDTF">2021-01-15T15:08:00Z</dcterms:created>
  <dcterms:modified xsi:type="dcterms:W3CDTF">2021-01-15T15:08:00Z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