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85AC2" w:rsidRPr="00DF0E34" w14:paraId="42A5C8D1" w14:textId="77777777" w:rsidTr="00151208">
        <w:trPr>
          <w:cantSplit/>
          <w:trHeight w:hRule="exact" w:val="846"/>
        </w:trPr>
        <w:tc>
          <w:tcPr>
            <w:tcW w:w="1276" w:type="dxa"/>
            <w:tcBorders>
              <w:bottom w:val="single" w:sz="4" w:space="0" w:color="auto"/>
            </w:tcBorders>
            <w:vAlign w:val="bottom"/>
          </w:tcPr>
          <w:p w14:paraId="046631D7" w14:textId="77777777" w:rsidR="00785AC2" w:rsidRPr="00DF0E34" w:rsidRDefault="00785AC2" w:rsidP="002E2BA8">
            <w:pPr>
              <w:spacing w:after="80"/>
              <w:rPr>
                <w:rFonts w:asciiTheme="majorBidi" w:hAnsiTheme="majorBidi" w:cstheme="majorBidi"/>
              </w:rPr>
            </w:pPr>
          </w:p>
        </w:tc>
        <w:tc>
          <w:tcPr>
            <w:tcW w:w="2268" w:type="dxa"/>
            <w:tcBorders>
              <w:bottom w:val="single" w:sz="4" w:space="0" w:color="auto"/>
            </w:tcBorders>
            <w:vAlign w:val="bottom"/>
          </w:tcPr>
          <w:p w14:paraId="5F92BB5A" w14:textId="77777777" w:rsidR="00785AC2" w:rsidRPr="00DF0E34" w:rsidRDefault="00785AC2" w:rsidP="002E2BA8">
            <w:pPr>
              <w:spacing w:after="80" w:line="300" w:lineRule="exact"/>
              <w:rPr>
                <w:rFonts w:asciiTheme="majorBidi" w:hAnsiTheme="majorBidi" w:cstheme="majorBidi"/>
                <w:b/>
                <w:sz w:val="24"/>
                <w:szCs w:val="24"/>
              </w:rPr>
            </w:pPr>
            <w:r w:rsidRPr="00DF0E34">
              <w:rPr>
                <w:rFonts w:asciiTheme="majorBidi" w:hAnsiTheme="majorBidi" w:cstheme="majorBidi"/>
                <w:sz w:val="28"/>
                <w:szCs w:val="28"/>
              </w:rPr>
              <w:t>United Nations</w:t>
            </w:r>
          </w:p>
        </w:tc>
        <w:tc>
          <w:tcPr>
            <w:tcW w:w="6095" w:type="dxa"/>
            <w:gridSpan w:val="2"/>
            <w:tcBorders>
              <w:bottom w:val="single" w:sz="4" w:space="0" w:color="auto"/>
            </w:tcBorders>
            <w:vAlign w:val="bottom"/>
          </w:tcPr>
          <w:p w14:paraId="1B2A5905" w14:textId="62C2FCEB" w:rsidR="00785AC2" w:rsidRPr="00DF0E34" w:rsidRDefault="00785AC2" w:rsidP="002E2BA8">
            <w:pPr>
              <w:jc w:val="right"/>
              <w:rPr>
                <w:rFonts w:asciiTheme="majorBidi" w:hAnsiTheme="majorBidi" w:cstheme="majorBidi"/>
              </w:rPr>
            </w:pPr>
            <w:r w:rsidRPr="00DF0E34">
              <w:rPr>
                <w:rFonts w:asciiTheme="majorBidi" w:hAnsiTheme="majorBidi" w:cstheme="majorBidi"/>
                <w:sz w:val="40"/>
              </w:rPr>
              <w:t>ECE</w:t>
            </w:r>
            <w:r w:rsidRPr="00DF0E34">
              <w:rPr>
                <w:rFonts w:asciiTheme="majorBidi" w:hAnsiTheme="majorBidi" w:cstheme="majorBidi"/>
              </w:rPr>
              <w:t>/TRANS/WP.29/GRSG/20</w:t>
            </w:r>
            <w:r w:rsidR="002B4811" w:rsidRPr="00DF0E34">
              <w:rPr>
                <w:rFonts w:asciiTheme="majorBidi" w:hAnsiTheme="majorBidi" w:cstheme="majorBidi"/>
              </w:rPr>
              <w:t>2</w:t>
            </w:r>
            <w:r w:rsidR="00810A73">
              <w:rPr>
                <w:rFonts w:asciiTheme="majorBidi" w:hAnsiTheme="majorBidi" w:cstheme="majorBidi"/>
              </w:rPr>
              <w:t>1</w:t>
            </w:r>
            <w:r w:rsidRPr="00DF0E34">
              <w:rPr>
                <w:rFonts w:asciiTheme="majorBidi" w:hAnsiTheme="majorBidi" w:cstheme="majorBidi"/>
              </w:rPr>
              <w:t>/</w:t>
            </w:r>
            <w:r w:rsidR="0078308E">
              <w:rPr>
                <w:rFonts w:asciiTheme="majorBidi" w:hAnsiTheme="majorBidi" w:cstheme="majorBidi"/>
              </w:rPr>
              <w:t>1</w:t>
            </w:r>
            <w:r w:rsidR="00B9585F">
              <w:rPr>
                <w:rFonts w:asciiTheme="majorBidi" w:hAnsiTheme="majorBidi" w:cstheme="majorBidi"/>
              </w:rPr>
              <w:t>2</w:t>
            </w:r>
          </w:p>
        </w:tc>
      </w:tr>
      <w:tr w:rsidR="00785AC2" w:rsidRPr="00DF0E34" w14:paraId="3392CB4C" w14:textId="77777777" w:rsidTr="002E2BA8">
        <w:trPr>
          <w:cantSplit/>
          <w:trHeight w:hRule="exact" w:val="2835"/>
        </w:trPr>
        <w:tc>
          <w:tcPr>
            <w:tcW w:w="1276" w:type="dxa"/>
            <w:tcBorders>
              <w:top w:val="single" w:sz="4" w:space="0" w:color="auto"/>
              <w:bottom w:val="single" w:sz="12" w:space="0" w:color="auto"/>
            </w:tcBorders>
          </w:tcPr>
          <w:p w14:paraId="6D15D603" w14:textId="77777777" w:rsidR="00785AC2" w:rsidRPr="00DF0E34" w:rsidRDefault="00785AC2" w:rsidP="002E2BA8">
            <w:pPr>
              <w:spacing w:before="120"/>
              <w:rPr>
                <w:rFonts w:asciiTheme="majorBidi" w:hAnsiTheme="majorBidi" w:cstheme="majorBidi"/>
              </w:rPr>
            </w:pPr>
            <w:r w:rsidRPr="00DF0E34">
              <w:rPr>
                <w:rFonts w:asciiTheme="majorBidi" w:hAnsiTheme="majorBidi" w:cstheme="majorBidi"/>
                <w:noProof/>
                <w:lang w:eastAsia="it-IT"/>
              </w:rPr>
              <w:drawing>
                <wp:inline distT="0" distB="0" distL="0" distR="0" wp14:anchorId="6028CD4A" wp14:editId="18588BE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6C3F9FF" w14:textId="3EB6015B" w:rsidR="00151208" w:rsidRDefault="00785AC2" w:rsidP="003551C4">
            <w:pPr>
              <w:spacing w:before="120" w:line="420" w:lineRule="exact"/>
              <w:rPr>
                <w:rFonts w:asciiTheme="majorBidi" w:hAnsiTheme="majorBidi" w:cstheme="majorBidi"/>
                <w:b/>
                <w:sz w:val="40"/>
                <w:szCs w:val="40"/>
              </w:rPr>
            </w:pPr>
            <w:r w:rsidRPr="00DF0E34">
              <w:rPr>
                <w:rFonts w:asciiTheme="majorBidi" w:hAnsiTheme="majorBidi" w:cstheme="majorBidi"/>
                <w:b/>
                <w:sz w:val="40"/>
                <w:szCs w:val="40"/>
              </w:rPr>
              <w:t>Economic and Social Council</w:t>
            </w:r>
          </w:p>
          <w:p w14:paraId="79C013FE" w14:textId="7A57D644" w:rsidR="00151208" w:rsidRPr="00151208" w:rsidRDefault="00151208" w:rsidP="00151208">
            <w:pPr>
              <w:jc w:val="right"/>
              <w:rPr>
                <w:rFonts w:asciiTheme="majorBidi" w:hAnsiTheme="majorBidi" w:cstheme="majorBidi"/>
                <w:sz w:val="40"/>
                <w:szCs w:val="40"/>
              </w:rPr>
            </w:pPr>
          </w:p>
        </w:tc>
        <w:tc>
          <w:tcPr>
            <w:tcW w:w="2835" w:type="dxa"/>
            <w:tcBorders>
              <w:top w:val="single" w:sz="4" w:space="0" w:color="auto"/>
              <w:bottom w:val="single" w:sz="12" w:space="0" w:color="auto"/>
            </w:tcBorders>
          </w:tcPr>
          <w:p w14:paraId="58CBEE7C" w14:textId="77777777" w:rsidR="00785AC2" w:rsidRPr="00DF0E34" w:rsidRDefault="00785AC2" w:rsidP="002E2BA8">
            <w:pPr>
              <w:spacing w:before="240" w:line="240" w:lineRule="exact"/>
              <w:rPr>
                <w:rFonts w:asciiTheme="majorBidi" w:hAnsiTheme="majorBidi" w:cstheme="majorBidi"/>
              </w:rPr>
            </w:pPr>
            <w:r w:rsidRPr="00DF0E34">
              <w:rPr>
                <w:rFonts w:asciiTheme="majorBidi" w:hAnsiTheme="majorBidi" w:cstheme="majorBidi"/>
              </w:rPr>
              <w:t>Distr.: General</w:t>
            </w:r>
          </w:p>
          <w:p w14:paraId="2288E497" w14:textId="3E89DC1E" w:rsidR="00785AC2" w:rsidRPr="00DF0E34" w:rsidRDefault="003551C4" w:rsidP="002E2BA8">
            <w:pPr>
              <w:spacing w:line="240" w:lineRule="exact"/>
              <w:rPr>
                <w:rFonts w:asciiTheme="majorBidi" w:hAnsiTheme="majorBidi" w:cstheme="majorBidi"/>
              </w:rPr>
            </w:pPr>
            <w:r>
              <w:rPr>
                <w:rFonts w:asciiTheme="majorBidi" w:hAnsiTheme="majorBidi" w:cstheme="majorBidi"/>
              </w:rPr>
              <w:t>29</w:t>
            </w:r>
            <w:r w:rsidR="00785AC2" w:rsidRPr="00DF0E34">
              <w:rPr>
                <w:rFonts w:asciiTheme="majorBidi" w:hAnsiTheme="majorBidi" w:cstheme="majorBidi"/>
              </w:rPr>
              <w:t xml:space="preserve"> </w:t>
            </w:r>
            <w:r w:rsidR="00810A73">
              <w:rPr>
                <w:rFonts w:asciiTheme="majorBidi" w:hAnsiTheme="majorBidi" w:cstheme="majorBidi"/>
              </w:rPr>
              <w:t>January</w:t>
            </w:r>
            <w:r w:rsidR="00785AC2" w:rsidRPr="00DF0E34">
              <w:rPr>
                <w:rFonts w:asciiTheme="majorBidi" w:hAnsiTheme="majorBidi" w:cstheme="majorBidi"/>
              </w:rPr>
              <w:t xml:space="preserve"> 20</w:t>
            </w:r>
            <w:r w:rsidR="002B4811" w:rsidRPr="00DF0E34">
              <w:rPr>
                <w:rFonts w:asciiTheme="majorBidi" w:hAnsiTheme="majorBidi" w:cstheme="majorBidi"/>
              </w:rPr>
              <w:t>2</w:t>
            </w:r>
            <w:r w:rsidR="00810A73">
              <w:rPr>
                <w:rFonts w:asciiTheme="majorBidi" w:hAnsiTheme="majorBidi" w:cstheme="majorBidi"/>
              </w:rPr>
              <w:t>1</w:t>
            </w:r>
          </w:p>
          <w:p w14:paraId="78B62AA7" w14:textId="77777777" w:rsidR="00785AC2" w:rsidRPr="00DF0E34" w:rsidRDefault="00785AC2" w:rsidP="002E2BA8">
            <w:pPr>
              <w:spacing w:line="240" w:lineRule="exact"/>
              <w:rPr>
                <w:rFonts w:asciiTheme="majorBidi" w:hAnsiTheme="majorBidi" w:cstheme="majorBidi"/>
              </w:rPr>
            </w:pPr>
          </w:p>
          <w:p w14:paraId="7F8F328A" w14:textId="77777777" w:rsidR="00785AC2" w:rsidRPr="00DF0E34" w:rsidRDefault="00785AC2" w:rsidP="002E2BA8">
            <w:pPr>
              <w:spacing w:line="240" w:lineRule="exact"/>
              <w:rPr>
                <w:rFonts w:asciiTheme="majorBidi" w:hAnsiTheme="majorBidi" w:cstheme="majorBidi"/>
              </w:rPr>
            </w:pPr>
            <w:r w:rsidRPr="00DF0E34">
              <w:rPr>
                <w:rFonts w:asciiTheme="majorBidi" w:hAnsiTheme="majorBidi" w:cstheme="majorBidi"/>
              </w:rPr>
              <w:t>Original: English</w:t>
            </w:r>
          </w:p>
        </w:tc>
      </w:tr>
    </w:tbl>
    <w:p w14:paraId="218E037E" w14:textId="77777777" w:rsidR="00785AC2" w:rsidRPr="00DF0E34" w:rsidRDefault="00785AC2" w:rsidP="00785AC2">
      <w:pPr>
        <w:spacing w:before="120"/>
        <w:rPr>
          <w:rFonts w:asciiTheme="majorBidi" w:hAnsiTheme="majorBidi" w:cstheme="majorBidi"/>
          <w:b/>
          <w:sz w:val="28"/>
          <w:szCs w:val="28"/>
        </w:rPr>
      </w:pPr>
      <w:r w:rsidRPr="00DF0E34">
        <w:rPr>
          <w:rFonts w:asciiTheme="majorBidi" w:hAnsiTheme="majorBidi" w:cstheme="majorBidi"/>
          <w:b/>
          <w:sz w:val="28"/>
          <w:szCs w:val="28"/>
        </w:rPr>
        <w:t>Economic Commission for Europe</w:t>
      </w:r>
    </w:p>
    <w:p w14:paraId="1FF657A2" w14:textId="77777777" w:rsidR="00F607C0" w:rsidRPr="00DF0E34" w:rsidRDefault="00F607C0">
      <w:pPr>
        <w:spacing w:before="120"/>
        <w:rPr>
          <w:rFonts w:asciiTheme="majorBidi" w:hAnsiTheme="majorBidi" w:cstheme="majorBidi"/>
          <w:sz w:val="28"/>
          <w:szCs w:val="28"/>
        </w:rPr>
      </w:pPr>
      <w:r w:rsidRPr="00DF0E34">
        <w:rPr>
          <w:rFonts w:asciiTheme="majorBidi" w:hAnsiTheme="majorBidi" w:cstheme="majorBidi"/>
          <w:sz w:val="28"/>
          <w:szCs w:val="28"/>
        </w:rPr>
        <w:t>Inland Transport Committee</w:t>
      </w:r>
    </w:p>
    <w:p w14:paraId="488CB120" w14:textId="77777777" w:rsidR="00F607C0" w:rsidRPr="00DF0E34" w:rsidRDefault="00F607C0">
      <w:pPr>
        <w:spacing w:before="120"/>
        <w:rPr>
          <w:rFonts w:asciiTheme="majorBidi" w:hAnsiTheme="majorBidi" w:cstheme="majorBidi"/>
          <w:b/>
          <w:sz w:val="24"/>
          <w:szCs w:val="24"/>
        </w:rPr>
      </w:pPr>
      <w:r w:rsidRPr="00DF0E34">
        <w:rPr>
          <w:rFonts w:asciiTheme="majorBidi" w:hAnsiTheme="majorBidi" w:cstheme="majorBidi"/>
          <w:b/>
          <w:sz w:val="24"/>
          <w:szCs w:val="24"/>
        </w:rPr>
        <w:t>World Forum for Harmonization of Vehicle Regulations</w:t>
      </w:r>
    </w:p>
    <w:p w14:paraId="5873F935" w14:textId="77777777" w:rsidR="00F607C0" w:rsidRPr="00DF0E34" w:rsidRDefault="00F607C0">
      <w:pPr>
        <w:spacing w:before="120"/>
        <w:rPr>
          <w:rFonts w:asciiTheme="majorBidi" w:hAnsiTheme="majorBidi" w:cstheme="majorBidi"/>
          <w:b/>
        </w:rPr>
      </w:pPr>
      <w:r w:rsidRPr="00DF0E34">
        <w:rPr>
          <w:rFonts w:asciiTheme="majorBidi" w:hAnsiTheme="majorBidi" w:cstheme="majorBidi"/>
          <w:b/>
        </w:rPr>
        <w:t>Working Party on General Safety Provisions</w:t>
      </w:r>
    </w:p>
    <w:p w14:paraId="742C4543" w14:textId="4A9CB436" w:rsidR="0082103C" w:rsidRPr="00DF0E34" w:rsidRDefault="0082103C" w:rsidP="0082103C">
      <w:pPr>
        <w:spacing w:before="120"/>
        <w:rPr>
          <w:rFonts w:asciiTheme="majorBidi" w:hAnsiTheme="majorBidi" w:cstheme="majorBidi"/>
          <w:b/>
        </w:rPr>
      </w:pPr>
      <w:bookmarkStart w:id="0" w:name="_GoBack"/>
      <w:r w:rsidRPr="00DF0E34">
        <w:rPr>
          <w:rFonts w:asciiTheme="majorBidi" w:hAnsiTheme="majorBidi" w:cstheme="majorBidi"/>
          <w:b/>
        </w:rPr>
        <w:t>1</w:t>
      </w:r>
      <w:bookmarkEnd w:id="0"/>
      <w:r w:rsidR="00810A73">
        <w:rPr>
          <w:rFonts w:asciiTheme="majorBidi" w:hAnsiTheme="majorBidi" w:cstheme="majorBidi"/>
          <w:b/>
        </w:rPr>
        <w:t>21</w:t>
      </w:r>
      <w:r w:rsidR="005A39FD">
        <w:rPr>
          <w:rFonts w:asciiTheme="majorBidi" w:hAnsiTheme="majorBidi" w:cstheme="majorBidi"/>
          <w:b/>
        </w:rPr>
        <w:t>s</w:t>
      </w:r>
      <w:r w:rsidRPr="00DF0E34">
        <w:rPr>
          <w:rFonts w:asciiTheme="majorBidi" w:hAnsiTheme="majorBidi" w:cstheme="majorBidi"/>
          <w:b/>
        </w:rPr>
        <w:t>t session</w:t>
      </w:r>
    </w:p>
    <w:p w14:paraId="616A0177" w14:textId="3BB10842" w:rsidR="0082103C" w:rsidRPr="00DF0E34" w:rsidRDefault="0082103C" w:rsidP="0082103C">
      <w:pPr>
        <w:rPr>
          <w:rFonts w:asciiTheme="majorBidi" w:hAnsiTheme="majorBidi" w:cstheme="majorBidi"/>
        </w:rPr>
      </w:pPr>
      <w:r w:rsidRPr="00DF0E34">
        <w:rPr>
          <w:rFonts w:asciiTheme="majorBidi" w:hAnsiTheme="majorBidi" w:cstheme="majorBidi"/>
        </w:rPr>
        <w:t xml:space="preserve">Geneva, </w:t>
      </w:r>
      <w:r w:rsidR="005A39FD">
        <w:rPr>
          <w:rFonts w:asciiTheme="majorBidi" w:hAnsiTheme="majorBidi" w:cstheme="majorBidi"/>
        </w:rPr>
        <w:t>12</w:t>
      </w:r>
      <w:r w:rsidR="004D5A4F" w:rsidRPr="00DF0E34">
        <w:rPr>
          <w:rFonts w:asciiTheme="majorBidi" w:hAnsiTheme="majorBidi" w:cstheme="majorBidi"/>
        </w:rPr>
        <w:t>-</w:t>
      </w:r>
      <w:r w:rsidR="005A39FD">
        <w:rPr>
          <w:rFonts w:asciiTheme="majorBidi" w:hAnsiTheme="majorBidi" w:cstheme="majorBidi"/>
        </w:rPr>
        <w:t>16</w:t>
      </w:r>
      <w:r w:rsidRPr="00DF0E34">
        <w:rPr>
          <w:rFonts w:asciiTheme="majorBidi" w:hAnsiTheme="majorBidi" w:cstheme="majorBidi"/>
        </w:rPr>
        <w:t xml:space="preserve"> </w:t>
      </w:r>
      <w:r w:rsidR="005A39FD">
        <w:rPr>
          <w:rFonts w:asciiTheme="majorBidi" w:hAnsiTheme="majorBidi" w:cstheme="majorBidi"/>
        </w:rPr>
        <w:t>April</w:t>
      </w:r>
      <w:r w:rsidRPr="00DF0E34">
        <w:rPr>
          <w:rFonts w:asciiTheme="majorBidi" w:hAnsiTheme="majorBidi" w:cstheme="majorBidi"/>
        </w:rPr>
        <w:t xml:space="preserve"> 20</w:t>
      </w:r>
      <w:r w:rsidR="002B4811" w:rsidRPr="00DF0E34">
        <w:rPr>
          <w:rFonts w:asciiTheme="majorBidi" w:hAnsiTheme="majorBidi" w:cstheme="majorBidi"/>
        </w:rPr>
        <w:t>2</w:t>
      </w:r>
      <w:r w:rsidR="005A39FD">
        <w:rPr>
          <w:rFonts w:asciiTheme="majorBidi" w:hAnsiTheme="majorBidi" w:cstheme="majorBidi"/>
        </w:rPr>
        <w:t>1</w:t>
      </w:r>
    </w:p>
    <w:p w14:paraId="3AC72240" w14:textId="33BEDA52" w:rsidR="0082103C" w:rsidRPr="00DF0E34" w:rsidRDefault="0082103C" w:rsidP="0082103C">
      <w:pPr>
        <w:rPr>
          <w:rFonts w:asciiTheme="majorBidi" w:hAnsiTheme="majorBidi" w:cstheme="majorBidi"/>
        </w:rPr>
      </w:pPr>
      <w:r w:rsidRPr="00DF0E34">
        <w:rPr>
          <w:rFonts w:asciiTheme="majorBidi" w:hAnsiTheme="majorBidi" w:cstheme="majorBidi"/>
        </w:rPr>
        <w:t xml:space="preserve">Item </w:t>
      </w:r>
      <w:r w:rsidR="002474FC">
        <w:rPr>
          <w:rFonts w:asciiTheme="majorBidi" w:hAnsiTheme="majorBidi" w:cstheme="majorBidi"/>
        </w:rPr>
        <w:t>1</w:t>
      </w:r>
      <w:r w:rsidR="00C7398C">
        <w:rPr>
          <w:rFonts w:asciiTheme="majorBidi" w:hAnsiTheme="majorBidi" w:cstheme="majorBidi"/>
        </w:rPr>
        <w:t>1</w:t>
      </w:r>
      <w:r w:rsidR="00170E8B" w:rsidRPr="00DF0E34">
        <w:rPr>
          <w:rFonts w:asciiTheme="majorBidi" w:hAnsiTheme="majorBidi" w:cstheme="majorBidi"/>
        </w:rPr>
        <w:t xml:space="preserve"> </w:t>
      </w:r>
      <w:r w:rsidRPr="00DF0E34">
        <w:rPr>
          <w:rFonts w:asciiTheme="majorBidi" w:hAnsiTheme="majorBidi" w:cstheme="majorBidi"/>
        </w:rPr>
        <w:t>of the provisional agenda</w:t>
      </w:r>
    </w:p>
    <w:p w14:paraId="2FB9AB39" w14:textId="77777777" w:rsidR="00AA3F13" w:rsidRDefault="00AA3F13" w:rsidP="00AA3F13">
      <w:pPr>
        <w:rPr>
          <w:lang w:val="en-US"/>
        </w:rPr>
      </w:pPr>
      <w:r>
        <w:rPr>
          <w:b/>
        </w:rPr>
        <w:t>UN Regulation No. 125 (Forward Field of Vision of Drivers)</w:t>
      </w:r>
    </w:p>
    <w:p w14:paraId="2074CE97" w14:textId="30FD5A5B" w:rsidR="00DF5B41" w:rsidRPr="00DF5B41" w:rsidRDefault="00065893" w:rsidP="003551C4">
      <w:pPr>
        <w:pStyle w:val="HChG"/>
        <w:rPr>
          <w:lang w:val="en-US"/>
        </w:rPr>
      </w:pPr>
      <w:r w:rsidRPr="00065893">
        <w:rPr>
          <w:lang w:val="en-US"/>
        </w:rPr>
        <w:tab/>
      </w:r>
      <w:r w:rsidR="003551C4">
        <w:rPr>
          <w:lang w:val="en-US"/>
        </w:rPr>
        <w:tab/>
      </w:r>
      <w:r w:rsidR="003551C4">
        <w:rPr>
          <w:lang w:val="en-US"/>
        </w:rPr>
        <w:tab/>
      </w:r>
      <w:r w:rsidRPr="00065893">
        <w:rPr>
          <w:lang w:val="en-US"/>
        </w:rPr>
        <w:t>Proposal for the 02 series of amendments of UN Regulation No. 125</w:t>
      </w:r>
    </w:p>
    <w:p w14:paraId="2B381787" w14:textId="08F8F1B9" w:rsidR="002E5C78" w:rsidRPr="00341F66" w:rsidRDefault="003551C4" w:rsidP="003551C4">
      <w:pPr>
        <w:pStyle w:val="H1G"/>
      </w:pPr>
      <w:r>
        <w:rPr>
          <w:lang w:val="en-US"/>
        </w:rPr>
        <w:tab/>
      </w:r>
      <w:r>
        <w:rPr>
          <w:lang w:val="en-US"/>
        </w:rPr>
        <w:tab/>
      </w:r>
      <w:r w:rsidR="00AD2A98">
        <w:rPr>
          <w:lang w:val="en-US"/>
        </w:rPr>
        <w:t xml:space="preserve">Submitted </w:t>
      </w:r>
      <w:r w:rsidR="00AD2A98" w:rsidRPr="00FE29F2">
        <w:t>by</w:t>
      </w:r>
      <w:r w:rsidR="00AD2A98">
        <w:rPr>
          <w:lang w:val="en-US"/>
        </w:rPr>
        <w:t xml:space="preserve"> the Netherlands in the name of the GRSG Task </w:t>
      </w:r>
      <w:r w:rsidR="00AD2A98" w:rsidRPr="003551C4">
        <w:t>Force</w:t>
      </w:r>
      <w:r w:rsidR="00AD2A98">
        <w:rPr>
          <w:lang w:val="en-US"/>
        </w:rPr>
        <w:t xml:space="preserve"> on FVA</w:t>
      </w:r>
      <w:r w:rsidR="00AD2A98" w:rsidRPr="00341F66">
        <w:rPr>
          <w:bCs/>
        </w:rPr>
        <w:t xml:space="preserve"> </w:t>
      </w:r>
      <w:r w:rsidR="002E5C78" w:rsidRPr="00341F66">
        <w:rPr>
          <w:bCs/>
        </w:rPr>
        <w:footnoteReference w:customMarkFollows="1" w:id="2"/>
        <w:t>*</w:t>
      </w:r>
    </w:p>
    <w:p w14:paraId="1AFF66DF" w14:textId="515E0719" w:rsidR="00436A7E" w:rsidRPr="00341F66" w:rsidRDefault="00A514AD" w:rsidP="00436A7E">
      <w:pPr>
        <w:pStyle w:val="SingleTxtG"/>
        <w:ind w:firstLine="567"/>
      </w:pPr>
      <w:r w:rsidRPr="00A514AD">
        <w:rPr>
          <w:sz w:val="19"/>
          <w:szCs w:val="19"/>
        </w:rPr>
        <w:t>The text reproduced below was prepared by the GRSG Task Force on FVA to introduce provisions for Field of Vision Assistants (FVA). It is based on Working Document GRSG/2020/12. The modifications to the current text of the UN Regulations are marked in bold</w:t>
      </w:r>
      <w:r w:rsidR="00436A7E" w:rsidRPr="00341F66">
        <w:rPr>
          <w:szCs w:val="23"/>
        </w:rPr>
        <w:t>.</w:t>
      </w:r>
    </w:p>
    <w:p w14:paraId="106A03BA" w14:textId="2B0C8963" w:rsidR="00F607C0" w:rsidRPr="00DF0E34" w:rsidRDefault="00FB6628" w:rsidP="003551C4">
      <w:pPr>
        <w:pStyle w:val="SingleTxtG"/>
      </w:pPr>
      <w:r w:rsidRPr="00FB6628">
        <w:t>.</w:t>
      </w:r>
      <w:r w:rsidR="00F607C0" w:rsidRPr="00DF0E34">
        <w:br w:type="page"/>
      </w:r>
    </w:p>
    <w:p w14:paraId="50B62D92" w14:textId="7A6A67F7" w:rsidR="00DF0E34" w:rsidRPr="006F4C48" w:rsidRDefault="00B9350C" w:rsidP="00D72971">
      <w:pPr>
        <w:pStyle w:val="HChG"/>
        <w:rPr>
          <w:rFonts w:asciiTheme="majorBidi" w:hAnsiTheme="majorBidi" w:cstheme="majorBidi"/>
          <w:b w:val="0"/>
          <w:szCs w:val="28"/>
        </w:rPr>
      </w:pPr>
      <w:r>
        <w:rPr>
          <w:rFonts w:asciiTheme="majorBidi" w:hAnsiTheme="majorBidi" w:cstheme="majorBidi"/>
          <w:szCs w:val="28"/>
        </w:rPr>
        <w:lastRenderedPageBreak/>
        <w:tab/>
      </w:r>
      <w:r w:rsidR="00DF0E34" w:rsidRPr="006F4C48">
        <w:rPr>
          <w:rFonts w:asciiTheme="majorBidi" w:hAnsiTheme="majorBidi" w:cstheme="majorBidi"/>
          <w:szCs w:val="28"/>
        </w:rPr>
        <w:t>I.</w:t>
      </w:r>
      <w:r w:rsidR="00DF0E34" w:rsidRPr="006F4C48">
        <w:rPr>
          <w:rFonts w:asciiTheme="majorBidi" w:hAnsiTheme="majorBidi" w:cstheme="majorBidi"/>
          <w:szCs w:val="28"/>
        </w:rPr>
        <w:tab/>
      </w:r>
      <w:r w:rsidR="00DF0E34" w:rsidRPr="00D72971">
        <w:t>Proposal</w:t>
      </w:r>
    </w:p>
    <w:p w14:paraId="3C7A3DC8" w14:textId="4E7E0384" w:rsidR="00F852B9" w:rsidRPr="005B45A4" w:rsidRDefault="00DE5079" w:rsidP="00F852B9">
      <w:pPr>
        <w:pStyle w:val="SingleTxtG"/>
        <w:ind w:left="1287" w:hanging="153"/>
        <w:rPr>
          <w:bCs/>
        </w:rPr>
      </w:pPr>
      <w:r>
        <w:rPr>
          <w:bCs/>
          <w:i/>
          <w:iCs/>
          <w:lang w:val="en-US"/>
        </w:rPr>
        <w:t xml:space="preserve">After paragraph 2.18., </w:t>
      </w:r>
      <w:r w:rsidRPr="00DE5079">
        <w:rPr>
          <w:bCs/>
          <w:lang w:val="en-US"/>
        </w:rPr>
        <w:t>insert</w:t>
      </w:r>
      <w:r w:rsidR="00F852B9">
        <w:rPr>
          <w:bCs/>
          <w:iCs/>
        </w:rPr>
        <w:t xml:space="preserve"> new paragraphs 2.19. and 2.20.</w:t>
      </w:r>
      <w:r w:rsidR="007772D5">
        <w:rPr>
          <w:bCs/>
          <w:iCs/>
        </w:rPr>
        <w:t xml:space="preserve"> to read</w:t>
      </w:r>
      <w:r w:rsidR="00F852B9" w:rsidRPr="005B45A4">
        <w:rPr>
          <w:bCs/>
        </w:rPr>
        <w:t>:</w:t>
      </w:r>
    </w:p>
    <w:p w14:paraId="38A0E77D" w14:textId="7A574D28" w:rsidR="00F852B9" w:rsidRDefault="00D72971" w:rsidP="00F852B9">
      <w:pPr>
        <w:pStyle w:val="Para0"/>
      </w:pPr>
      <w:r>
        <w:rPr>
          <w:b/>
          <w:bCs/>
        </w:rPr>
        <w:t>"</w:t>
      </w:r>
      <w:r w:rsidR="00F852B9" w:rsidRPr="005B45A4">
        <w:rPr>
          <w:b/>
          <w:bCs/>
        </w:rPr>
        <w:t>2.19</w:t>
      </w:r>
      <w:r w:rsidR="00F852B9">
        <w:rPr>
          <w:b/>
          <w:bCs/>
        </w:rPr>
        <w:t>.</w:t>
      </w:r>
      <w:r w:rsidR="00F852B9" w:rsidRPr="005B45A4">
        <w:rPr>
          <w:b/>
          <w:bCs/>
        </w:rPr>
        <w:tab/>
      </w:r>
      <w:r w:rsidR="00F852B9" w:rsidRPr="00A078FF">
        <w:rPr>
          <w:b/>
          <w:bCs/>
        </w:rPr>
        <w:t xml:space="preserve">Obstruction: </w:t>
      </w:r>
      <w:r w:rsidR="00F852B9">
        <w:rPr>
          <w:b/>
          <w:bCs/>
        </w:rPr>
        <w:t>mean</w:t>
      </w:r>
      <w:r w:rsidR="00F852B9" w:rsidRPr="00112191">
        <w:rPr>
          <w:b/>
          <w:bCs/>
        </w:rPr>
        <w:t xml:space="preserve">s </w:t>
      </w:r>
      <w:r w:rsidR="00F852B9" w:rsidRPr="00526925">
        <w:rPr>
          <w:b/>
          <w:bCs/>
        </w:rPr>
        <w:t xml:space="preserve">physical parts or interference in the field of vision reducing perception of light transmittance with the exception of </w:t>
      </w:r>
      <w:r w:rsidR="00F852B9" w:rsidRPr="00526925">
        <w:rPr>
          <w:b/>
        </w:rPr>
        <w:t>stray light, e.g. reflection from vehicle interior, sunlight glare.</w:t>
      </w:r>
    </w:p>
    <w:p w14:paraId="0FDD8B58" w14:textId="5792097F" w:rsidR="00F852B9" w:rsidRPr="00B26F17" w:rsidRDefault="00F852B9" w:rsidP="00F852B9">
      <w:pPr>
        <w:pStyle w:val="Para0"/>
        <w:rPr>
          <w:b/>
          <w:bCs/>
        </w:rPr>
      </w:pPr>
      <w:r w:rsidRPr="00A078FF">
        <w:rPr>
          <w:b/>
          <w:bCs/>
        </w:rPr>
        <w:t>2.2</w:t>
      </w:r>
      <w:r>
        <w:rPr>
          <w:b/>
          <w:bCs/>
        </w:rPr>
        <w:t>0</w:t>
      </w:r>
      <w:r w:rsidRPr="00A078FF">
        <w:rPr>
          <w:b/>
          <w:bCs/>
        </w:rPr>
        <w:t>.</w:t>
      </w:r>
      <w:r w:rsidRPr="00A078FF">
        <w:rPr>
          <w:b/>
          <w:bCs/>
        </w:rPr>
        <w:tab/>
      </w:r>
      <w:r w:rsidRPr="005B45A4">
        <w:rPr>
          <w:b/>
          <w:bCs/>
        </w:rPr>
        <w:t xml:space="preserve">Field of Vision Assistant (FVA): </w:t>
      </w:r>
      <w:r>
        <w:rPr>
          <w:b/>
          <w:bCs/>
        </w:rPr>
        <w:t>means</w:t>
      </w:r>
      <w:r>
        <w:rPr>
          <w:rFonts w:ascii="Arial" w:hAnsi="Arial" w:cs="Arial"/>
          <w:color w:val="1B365E"/>
        </w:rPr>
        <w:t xml:space="preserve"> </w:t>
      </w:r>
      <w:r>
        <w:rPr>
          <w:b/>
          <w:bCs/>
        </w:rPr>
        <w:t xml:space="preserve">visual information displayed on the </w:t>
      </w:r>
      <w:r w:rsidRPr="00B9062A">
        <w:rPr>
          <w:b/>
          <w:bCs/>
        </w:rPr>
        <w:t>vehicle windscreen or other glazed surface to support the awareness of the driver</w:t>
      </w:r>
      <w:r w:rsidRPr="00B9062A">
        <w:t>.</w:t>
      </w:r>
      <w:r w:rsidR="00D72971">
        <w:t>"</w:t>
      </w:r>
    </w:p>
    <w:p w14:paraId="413755C8" w14:textId="77777777" w:rsidR="00F852B9" w:rsidRPr="000E3B84" w:rsidRDefault="00F852B9" w:rsidP="00F852B9">
      <w:pPr>
        <w:pStyle w:val="Para0"/>
      </w:pPr>
      <w:r w:rsidRPr="000E3B84">
        <w:rPr>
          <w:i/>
        </w:rPr>
        <w:t>Paragraph 5.1.3.,</w:t>
      </w:r>
      <w:r w:rsidRPr="000E3B84">
        <w:t xml:space="preserve"> amend to read:</w:t>
      </w:r>
    </w:p>
    <w:p w14:paraId="02E2B6F2" w14:textId="150CD7F3" w:rsidR="00F852B9" w:rsidRPr="000E3B84" w:rsidRDefault="007772D5" w:rsidP="00F852B9">
      <w:pPr>
        <w:pStyle w:val="Para0"/>
      </w:pPr>
      <w:r>
        <w:t>"</w:t>
      </w:r>
      <w:r w:rsidR="00F852B9" w:rsidRPr="000E3B84">
        <w:t>5.1.3</w:t>
      </w:r>
      <w:r w:rsidR="00F852B9" w:rsidRPr="000E3B84">
        <w:tab/>
        <w:t xml:space="preserve">Except as provided in paragraph 5.1.3.3., 5.1.3.4. </w:t>
      </w:r>
      <w:r w:rsidR="00F852B9" w:rsidRPr="000E3B84">
        <w:rPr>
          <w:b/>
        </w:rPr>
        <w:t>or 5.1.3.5</w:t>
      </w:r>
      <w:r w:rsidR="00F852B9" w:rsidRPr="000E3B84">
        <w:t xml:space="preserve"> below, other than the obstructions created by the </w:t>
      </w:r>
      <w:r w:rsidR="00D72971">
        <w:t>"</w:t>
      </w:r>
      <w:r w:rsidR="00F852B9" w:rsidRPr="000E3B84">
        <w:t>A</w:t>
      </w:r>
      <w:r w:rsidR="00D72971">
        <w:t>"</w:t>
      </w:r>
      <w:r w:rsidR="00F852B9" w:rsidRPr="000E3B84">
        <w:t xml:space="preserve"> pillars, the fixed or movable vent or side window division bars, outside radio aerials, devices for indirect vision, covering the mandatory field of indirect vision, and windscreen wipers, there shall be. no obstruction in the driver’s 180° forward direct field of vision below a horizontal plane passing through V1, and above three planes through V2, one being perpendicular to the plane X-Z and declining forward 4° below the horizontal, and the other two being perpendicular to the plane Y-Z and declining 4° below the horizontal (see Annex 4, Appendix, Figure 4).       </w:t>
      </w:r>
    </w:p>
    <w:p w14:paraId="4E911ADC" w14:textId="77777777" w:rsidR="00F852B9" w:rsidRPr="000E3B84" w:rsidRDefault="00F852B9" w:rsidP="00F852B9">
      <w:pPr>
        <w:pStyle w:val="Para0"/>
        <w:ind w:left="3402"/>
      </w:pPr>
      <w:r w:rsidRPr="000E3B84">
        <w:t xml:space="preserve">The following are not considered to be obstructions to the field of vision: </w:t>
      </w:r>
    </w:p>
    <w:p w14:paraId="2FC04590" w14:textId="597BEF51" w:rsidR="00F852B9" w:rsidRPr="000E3B84" w:rsidRDefault="00F852B9" w:rsidP="007772D5">
      <w:pPr>
        <w:pStyle w:val="Para0"/>
        <w:ind w:left="2835" w:hanging="567"/>
      </w:pPr>
      <w:r w:rsidRPr="000E3B84">
        <w:t>(a)</w:t>
      </w:r>
      <w:r w:rsidRPr="000E3B84">
        <w:tab/>
        <w:t xml:space="preserve">Embedded or printed </w:t>
      </w:r>
      <w:r w:rsidR="00D72971">
        <w:t>"</w:t>
      </w:r>
      <w:r w:rsidRPr="000E3B84">
        <w:t>radio aerial</w:t>
      </w:r>
      <w:r w:rsidR="00D72971">
        <w:t>"</w:t>
      </w:r>
      <w:r w:rsidRPr="000E3B84">
        <w:t xml:space="preserve"> conductors, no wider than the following: </w:t>
      </w:r>
    </w:p>
    <w:p w14:paraId="7E397568" w14:textId="77777777" w:rsidR="00F852B9" w:rsidRPr="000E3B84" w:rsidRDefault="00F852B9" w:rsidP="00F852B9">
      <w:pPr>
        <w:pStyle w:val="Para0"/>
        <w:ind w:left="3402" w:hanging="567"/>
      </w:pPr>
      <w:r w:rsidRPr="000E3B84">
        <w:t>(</w:t>
      </w:r>
      <w:proofErr w:type="spellStart"/>
      <w:r w:rsidRPr="000E3B84">
        <w:t>i</w:t>
      </w:r>
      <w:proofErr w:type="spellEnd"/>
      <w:r w:rsidRPr="000E3B84">
        <w:t>)</w:t>
      </w:r>
      <w:r w:rsidRPr="000E3B84">
        <w:tab/>
        <w:t xml:space="preserve">Embedded conductors: 0.5 mm, </w:t>
      </w:r>
    </w:p>
    <w:p w14:paraId="7D5A1DA6" w14:textId="37D53B6D" w:rsidR="00F852B9" w:rsidRPr="000E3B84" w:rsidRDefault="00F852B9" w:rsidP="00F852B9">
      <w:pPr>
        <w:pStyle w:val="Para0"/>
        <w:ind w:left="3402" w:hanging="567"/>
      </w:pPr>
      <w:r w:rsidRPr="000E3B84">
        <w:t>(ii)</w:t>
      </w:r>
      <w:r w:rsidRPr="000E3B84">
        <w:tab/>
        <w:t xml:space="preserve">Printed conductors: 1.0 mm. These </w:t>
      </w:r>
      <w:r w:rsidR="00D72971">
        <w:t>"</w:t>
      </w:r>
      <w:r w:rsidRPr="000E3B84">
        <w:t>radio aerial</w:t>
      </w:r>
      <w:r w:rsidR="00D72971">
        <w:t>"</w:t>
      </w:r>
      <w:r w:rsidRPr="000E3B84">
        <w:t xml:space="preserve"> conductors shall not cross zone A5 However, three </w:t>
      </w:r>
      <w:r w:rsidR="00D72971">
        <w:t>"</w:t>
      </w:r>
      <w:r w:rsidRPr="000E3B84">
        <w:t>radio aerial</w:t>
      </w:r>
      <w:r w:rsidR="00D72971">
        <w:t>"</w:t>
      </w:r>
      <w:r w:rsidRPr="000E3B84">
        <w:t xml:space="preserve"> conductors may cross zone A if their width does not exceed 0.5 mm. </w:t>
      </w:r>
    </w:p>
    <w:p w14:paraId="053067B6" w14:textId="2BA8F055" w:rsidR="00F852B9" w:rsidRPr="000E3B84" w:rsidRDefault="00F852B9" w:rsidP="007772D5">
      <w:pPr>
        <w:pStyle w:val="Para0"/>
        <w:ind w:left="2835" w:hanging="567"/>
      </w:pPr>
      <w:r w:rsidRPr="000E3B84">
        <w:t>(b)</w:t>
      </w:r>
      <w:r w:rsidRPr="000E3B84">
        <w:tab/>
        <w:t xml:space="preserve">Within zone A located </w:t>
      </w:r>
      <w:r w:rsidR="00D72971">
        <w:t>"</w:t>
      </w:r>
      <w:r w:rsidRPr="000E3B84">
        <w:t>defrosting/demisting</w:t>
      </w:r>
      <w:r w:rsidR="00D72971">
        <w:t>"</w:t>
      </w:r>
      <w:r w:rsidRPr="000E3B84">
        <w:t xml:space="preserve"> normally in </w:t>
      </w:r>
      <w:r w:rsidR="00D72971">
        <w:t>"</w:t>
      </w:r>
      <w:r w:rsidRPr="000E3B84">
        <w:t>zigzag</w:t>
      </w:r>
      <w:r w:rsidR="00D72971">
        <w:t>"</w:t>
      </w:r>
      <w:r w:rsidRPr="000E3B84">
        <w:t xml:space="preserve"> or sinusoidal form having the following dimensions: </w:t>
      </w:r>
    </w:p>
    <w:p w14:paraId="2D077514" w14:textId="77777777" w:rsidR="00F852B9" w:rsidRPr="000E3B84" w:rsidRDefault="00F852B9" w:rsidP="00F852B9">
      <w:pPr>
        <w:pStyle w:val="Para0"/>
        <w:ind w:left="2977" w:hanging="142"/>
      </w:pPr>
      <w:r w:rsidRPr="000E3B84">
        <w:t>(</w:t>
      </w:r>
      <w:proofErr w:type="spellStart"/>
      <w:r w:rsidRPr="000E3B84">
        <w:t>i</w:t>
      </w:r>
      <w:proofErr w:type="spellEnd"/>
      <w:r w:rsidRPr="000E3B84">
        <w:t>)</w:t>
      </w:r>
      <w:r w:rsidRPr="000E3B84">
        <w:tab/>
        <w:t xml:space="preserve">Maximum visible width: 0.030 mm, </w:t>
      </w:r>
    </w:p>
    <w:p w14:paraId="12235071" w14:textId="77777777" w:rsidR="00F852B9" w:rsidRPr="000E3B84" w:rsidRDefault="00F852B9" w:rsidP="00F852B9">
      <w:pPr>
        <w:pStyle w:val="Para0"/>
        <w:ind w:left="2977" w:hanging="142"/>
      </w:pPr>
      <w:r w:rsidRPr="000E3B84">
        <w:t>(ii)</w:t>
      </w:r>
      <w:r w:rsidRPr="000E3B84">
        <w:tab/>
        <w:t xml:space="preserve">Maximum conductor density: </w:t>
      </w:r>
    </w:p>
    <w:p w14:paraId="6FD1C029" w14:textId="77777777" w:rsidR="00F852B9" w:rsidRPr="000E3B84" w:rsidRDefault="00F852B9" w:rsidP="007772D5">
      <w:pPr>
        <w:pStyle w:val="Para0"/>
        <w:ind w:left="3969" w:hanging="567"/>
      </w:pPr>
      <w:r w:rsidRPr="000E3B84">
        <w:t>a.</w:t>
      </w:r>
      <w:r w:rsidRPr="000E3B84">
        <w:tab/>
        <w:t xml:space="preserve">If the conductors are vertical: 8/cm, </w:t>
      </w:r>
    </w:p>
    <w:p w14:paraId="5CC5DF2D" w14:textId="28C54D6F" w:rsidR="00F852B9" w:rsidRDefault="00F852B9" w:rsidP="007772D5">
      <w:pPr>
        <w:pStyle w:val="Para0"/>
        <w:ind w:left="3969" w:hanging="567"/>
      </w:pPr>
      <w:r w:rsidRPr="000E3B84">
        <w:t>b.</w:t>
      </w:r>
      <w:r w:rsidRPr="000E3B84">
        <w:tab/>
        <w:t>If the conductors are horizontal: 5/cm.</w:t>
      </w:r>
      <w:r w:rsidR="007772D5">
        <w:t>"</w:t>
      </w:r>
    </w:p>
    <w:p w14:paraId="2A453524" w14:textId="5359CB13" w:rsidR="00F852B9" w:rsidRPr="005B45A4" w:rsidRDefault="00851578" w:rsidP="00F852B9">
      <w:pPr>
        <w:pStyle w:val="SingleTxtG"/>
        <w:ind w:left="1287" w:hanging="153"/>
        <w:rPr>
          <w:bCs/>
        </w:rPr>
      </w:pPr>
      <w:r>
        <w:rPr>
          <w:bCs/>
          <w:i/>
          <w:iCs/>
          <w:lang w:val="en-US"/>
        </w:rPr>
        <w:t>After</w:t>
      </w:r>
      <w:r w:rsidR="00373B86">
        <w:rPr>
          <w:bCs/>
          <w:i/>
          <w:iCs/>
          <w:lang w:val="en-US"/>
        </w:rPr>
        <w:t xml:space="preserve"> paragraph 5.1.3.4., </w:t>
      </w:r>
      <w:r w:rsidR="00373B86">
        <w:rPr>
          <w:bCs/>
          <w:lang w:val="en-US"/>
        </w:rPr>
        <w:t>insert</w:t>
      </w:r>
      <w:r w:rsidR="00F852B9" w:rsidRPr="00373B86">
        <w:rPr>
          <w:bCs/>
        </w:rPr>
        <w:t xml:space="preserve"> </w:t>
      </w:r>
      <w:r w:rsidR="007772D5">
        <w:rPr>
          <w:bCs/>
        </w:rPr>
        <w:t xml:space="preserve">a </w:t>
      </w:r>
      <w:r w:rsidR="00F852B9">
        <w:rPr>
          <w:bCs/>
          <w:iCs/>
        </w:rPr>
        <w:t>new paragraph 5.1.3.5.</w:t>
      </w:r>
      <w:r w:rsidR="007772D5">
        <w:rPr>
          <w:bCs/>
          <w:iCs/>
        </w:rPr>
        <w:t xml:space="preserve"> to read</w:t>
      </w:r>
      <w:r w:rsidR="00F852B9" w:rsidRPr="005B45A4">
        <w:rPr>
          <w:bCs/>
        </w:rPr>
        <w:t>:</w:t>
      </w:r>
    </w:p>
    <w:p w14:paraId="3C147D12" w14:textId="4CD4DD52" w:rsidR="00F852B9" w:rsidRPr="00ED4F9E" w:rsidRDefault="00D72971" w:rsidP="00F852B9">
      <w:pPr>
        <w:pStyle w:val="Para0"/>
        <w:rPr>
          <w:b/>
        </w:rPr>
      </w:pPr>
      <w:r>
        <w:t>"</w:t>
      </w:r>
      <w:r w:rsidR="00F852B9" w:rsidRPr="007D6879">
        <w:rPr>
          <w:b/>
        </w:rPr>
        <w:t>5.1.3.5</w:t>
      </w:r>
      <w:r w:rsidR="00F852B9">
        <w:rPr>
          <w:b/>
        </w:rPr>
        <w:t>.</w:t>
      </w:r>
      <w:r w:rsidR="00F852B9" w:rsidRPr="007D6879">
        <w:rPr>
          <w:b/>
        </w:rPr>
        <w:tab/>
        <w:t xml:space="preserve">The transparent field of vision as defined in paragraph 5.1.1. may be overlaid by information of a Field of Vision </w:t>
      </w:r>
      <w:r w:rsidR="00F852B9" w:rsidRPr="00ED4F9E">
        <w:rPr>
          <w:b/>
        </w:rPr>
        <w:t>Assistant</w:t>
      </w:r>
    </w:p>
    <w:p w14:paraId="790EF0F4" w14:textId="77777777" w:rsidR="00F852B9" w:rsidRPr="00B418DE" w:rsidRDefault="00F852B9" w:rsidP="00F852B9">
      <w:pPr>
        <w:pStyle w:val="Para0"/>
        <w:rPr>
          <w:b/>
        </w:rPr>
      </w:pPr>
      <w:r w:rsidRPr="00ED4F9E">
        <w:rPr>
          <w:b/>
        </w:rPr>
        <w:t>5.1.3.5.1.</w:t>
      </w:r>
      <w:r w:rsidRPr="00ED4F9E">
        <w:rPr>
          <w:b/>
        </w:rPr>
        <w:tab/>
      </w:r>
      <w:r>
        <w:rPr>
          <w:b/>
        </w:rPr>
        <w:t>W</w:t>
      </w:r>
      <w:r w:rsidRPr="00B144FE">
        <w:rPr>
          <w:b/>
        </w:rPr>
        <w:t xml:space="preserve">hen the ignition is on or the vehicle master control switch is activated (whichever is applicable) </w:t>
      </w:r>
      <w:r w:rsidRPr="00B418DE">
        <w:rPr>
          <w:b/>
        </w:rPr>
        <w:t xml:space="preserve">the FVA information shall be driving related only and limited to: </w:t>
      </w:r>
    </w:p>
    <w:p w14:paraId="4D3EC38A" w14:textId="77777777" w:rsidR="00F852B9" w:rsidRPr="00B418DE" w:rsidRDefault="00F852B9" w:rsidP="00F852B9">
      <w:pPr>
        <w:pStyle w:val="Para0"/>
        <w:ind w:left="2790" w:hanging="540"/>
        <w:rPr>
          <w:b/>
        </w:rPr>
      </w:pPr>
      <w:r w:rsidRPr="00B418DE">
        <w:rPr>
          <w:b/>
        </w:rPr>
        <w:t>(a)</w:t>
      </w:r>
      <w:r w:rsidRPr="00B418DE">
        <w:rPr>
          <w:b/>
        </w:rPr>
        <w:tab/>
        <w:t>Warning/Highlight hazardous traffic situation</w:t>
      </w:r>
    </w:p>
    <w:p w14:paraId="7BE06B8E" w14:textId="77777777" w:rsidR="00F852B9" w:rsidRPr="00B418DE" w:rsidRDefault="00F852B9" w:rsidP="00F852B9">
      <w:pPr>
        <w:pStyle w:val="Para0"/>
        <w:ind w:left="2790" w:hanging="540"/>
        <w:rPr>
          <w:b/>
        </w:rPr>
      </w:pPr>
      <w:r w:rsidRPr="00B418DE">
        <w:rPr>
          <w:b/>
        </w:rPr>
        <w:t>(b)</w:t>
      </w:r>
      <w:r w:rsidRPr="00B418DE">
        <w:rPr>
          <w:b/>
        </w:rPr>
        <w:tab/>
        <w:t>Warning/Highlight vulnerable road users or other road users which may be overseen</w:t>
      </w:r>
    </w:p>
    <w:p w14:paraId="6B8B3266" w14:textId="77777777" w:rsidR="00F852B9" w:rsidRPr="00B418DE" w:rsidRDefault="00F852B9" w:rsidP="00F852B9">
      <w:pPr>
        <w:pStyle w:val="Para0"/>
        <w:ind w:left="2790" w:hanging="540"/>
        <w:rPr>
          <w:b/>
        </w:rPr>
      </w:pPr>
      <w:r w:rsidRPr="00B418DE">
        <w:rPr>
          <w:b/>
        </w:rPr>
        <w:t>(c)</w:t>
      </w:r>
      <w:r w:rsidRPr="00B418DE">
        <w:rPr>
          <w:b/>
        </w:rPr>
        <w:tab/>
        <w:t xml:space="preserve">Information to maintain the distances to surrounding road users </w:t>
      </w:r>
    </w:p>
    <w:p w14:paraId="56197128" w14:textId="77777777" w:rsidR="00F852B9" w:rsidRDefault="00F852B9" w:rsidP="00F852B9">
      <w:pPr>
        <w:pStyle w:val="Para0"/>
        <w:ind w:left="2790" w:hanging="540"/>
        <w:rPr>
          <w:b/>
        </w:rPr>
      </w:pPr>
      <w:r w:rsidRPr="00B418DE">
        <w:rPr>
          <w:b/>
        </w:rPr>
        <w:t>(d)</w:t>
      </w:r>
      <w:r w:rsidRPr="00B418DE">
        <w:rPr>
          <w:b/>
        </w:rPr>
        <w:tab/>
        <w:t>Information to find and maintain the correct driveway</w:t>
      </w:r>
    </w:p>
    <w:p w14:paraId="29170059" w14:textId="77777777" w:rsidR="00F852B9" w:rsidRPr="00ED4F9E" w:rsidRDefault="00F852B9" w:rsidP="00F852B9">
      <w:pPr>
        <w:pStyle w:val="Para0"/>
        <w:ind w:left="2250" w:firstLine="0"/>
        <w:rPr>
          <w:b/>
        </w:rPr>
      </w:pPr>
      <w:r w:rsidRPr="00E229AE">
        <w:rPr>
          <w:b/>
        </w:rPr>
        <w:t>Examples of the above</w:t>
      </w:r>
      <w:r>
        <w:rPr>
          <w:b/>
        </w:rPr>
        <w:t xml:space="preserve"> Warning/Highlights/Information</w:t>
      </w:r>
      <w:r w:rsidRPr="00E229AE">
        <w:rPr>
          <w:b/>
        </w:rPr>
        <w:t xml:space="preserve"> are given in </w:t>
      </w:r>
      <w:r w:rsidRPr="00ED4F9E">
        <w:rPr>
          <w:b/>
        </w:rPr>
        <w:t>Annex 5.</w:t>
      </w:r>
    </w:p>
    <w:p w14:paraId="727510A0" w14:textId="63A03A5D" w:rsidR="00F852B9" w:rsidRPr="00ED4F9E" w:rsidRDefault="00F852B9" w:rsidP="00F852B9">
      <w:pPr>
        <w:pStyle w:val="Para0"/>
        <w:ind w:firstLine="0"/>
        <w:rPr>
          <w:b/>
        </w:rPr>
      </w:pPr>
      <w:r w:rsidRPr="00ED4F9E">
        <w:rPr>
          <w:b/>
        </w:rPr>
        <w:t xml:space="preserve">In the case the FVA displays information sourced external to the FVA subject to approval (e.g. external GNSS handheld device), this display shall respect the intended content (e.g. type, time, appearance, size, and </w:t>
      </w:r>
      <w:r w:rsidR="00B1170F" w:rsidRPr="00ED4F9E">
        <w:rPr>
          <w:b/>
        </w:rPr>
        <w:lastRenderedPageBreak/>
        <w:t>color</w:t>
      </w:r>
      <w:r w:rsidRPr="00ED4F9E">
        <w:rPr>
          <w:b/>
        </w:rPr>
        <w:t>) as described by the manufacturer in the Type Approval documentation. The fulfilment of the provisions of this paragraph shall be demonstrated by the manufacturer to the technical service during the inspection of the safety approach.</w:t>
      </w:r>
    </w:p>
    <w:p w14:paraId="100BB01B" w14:textId="77777777" w:rsidR="00F852B9" w:rsidRPr="007D6879" w:rsidRDefault="00F852B9" w:rsidP="00F852B9">
      <w:pPr>
        <w:pStyle w:val="Para0"/>
        <w:rPr>
          <w:b/>
        </w:rPr>
      </w:pPr>
      <w:r w:rsidRPr="007E2673">
        <w:rPr>
          <w:b/>
          <w:bCs/>
        </w:rPr>
        <w:t>5.1.3.5.</w:t>
      </w:r>
      <w:r>
        <w:rPr>
          <w:b/>
          <w:bCs/>
        </w:rPr>
        <w:t>2</w:t>
      </w:r>
      <w:r w:rsidRPr="007E2673">
        <w:rPr>
          <w:b/>
          <w:bCs/>
        </w:rPr>
        <w:t xml:space="preserve">. </w:t>
      </w:r>
      <w:r w:rsidRPr="007E2673">
        <w:rPr>
          <w:b/>
          <w:bCs/>
        </w:rPr>
        <w:tab/>
      </w:r>
      <w:r w:rsidRPr="007D6879">
        <w:rPr>
          <w:b/>
        </w:rPr>
        <w:t xml:space="preserve">The symbols and graphics shown by the FVA shall disappear when the </w:t>
      </w:r>
      <w:r w:rsidRPr="00B418DE">
        <w:rPr>
          <w:b/>
        </w:rPr>
        <w:t xml:space="preserve">underlying condition for their display </w:t>
      </w:r>
      <w:r w:rsidRPr="007D6879">
        <w:rPr>
          <w:b/>
        </w:rPr>
        <w:t>does not exist anymore.</w:t>
      </w:r>
    </w:p>
    <w:p w14:paraId="2B6FB787" w14:textId="77777777" w:rsidR="00F852B9" w:rsidRPr="007D6879" w:rsidRDefault="00F852B9" w:rsidP="00F852B9">
      <w:pPr>
        <w:pStyle w:val="Para0"/>
        <w:rPr>
          <w:b/>
        </w:rPr>
      </w:pPr>
      <w:r w:rsidRPr="007D6879">
        <w:rPr>
          <w:b/>
        </w:rPr>
        <w:t>5.1.3.5.</w:t>
      </w:r>
      <w:r>
        <w:rPr>
          <w:b/>
        </w:rPr>
        <w:t>3.</w:t>
      </w:r>
      <w:r w:rsidRPr="007D6879">
        <w:rPr>
          <w:b/>
        </w:rPr>
        <w:tab/>
        <w:t>The FVA shall</w:t>
      </w:r>
      <w:r>
        <w:rPr>
          <w:b/>
        </w:rPr>
        <w:t xml:space="preserve"> aim to minimize the </w:t>
      </w:r>
      <w:r w:rsidRPr="007D6879">
        <w:rPr>
          <w:b/>
        </w:rPr>
        <w:t>mask</w:t>
      </w:r>
      <w:r>
        <w:rPr>
          <w:b/>
        </w:rPr>
        <w:t>ing of</w:t>
      </w:r>
      <w:r w:rsidRPr="007D6879">
        <w:rPr>
          <w:b/>
        </w:rPr>
        <w:t xml:space="preserve"> objects.</w:t>
      </w:r>
    </w:p>
    <w:p w14:paraId="77E086F6" w14:textId="77777777" w:rsidR="00F852B9" w:rsidRDefault="00F852B9" w:rsidP="00F852B9">
      <w:pPr>
        <w:pStyle w:val="Para0"/>
        <w:rPr>
          <w:b/>
        </w:rPr>
      </w:pPr>
      <w:r w:rsidRPr="007D6879">
        <w:rPr>
          <w:b/>
        </w:rPr>
        <w:t>5.1.3.5.</w:t>
      </w:r>
      <w:r>
        <w:rPr>
          <w:b/>
        </w:rPr>
        <w:t>4.</w:t>
      </w:r>
      <w:r w:rsidRPr="007D6879">
        <w:rPr>
          <w:b/>
        </w:rPr>
        <w:tab/>
      </w:r>
      <w:r>
        <w:rPr>
          <w:b/>
        </w:rPr>
        <w:t xml:space="preserve">It shall be possible </w:t>
      </w:r>
      <w:r w:rsidRPr="00526925">
        <w:rPr>
          <w:b/>
        </w:rPr>
        <w:t>for the driver</w:t>
      </w:r>
      <w:r>
        <w:rPr>
          <w:b/>
        </w:rPr>
        <w:t xml:space="preserve"> </w:t>
      </w:r>
      <w:r w:rsidRPr="007D6879">
        <w:rPr>
          <w:b/>
        </w:rPr>
        <w:t>to adjust the light intensity of the FVA</w:t>
      </w:r>
      <w:r>
        <w:rPr>
          <w:b/>
        </w:rPr>
        <w:t>.</w:t>
      </w:r>
    </w:p>
    <w:p w14:paraId="7BA69229" w14:textId="77777777" w:rsidR="00F852B9" w:rsidRPr="00526925" w:rsidRDefault="00F852B9" w:rsidP="00F852B9">
      <w:pPr>
        <w:pStyle w:val="Para0"/>
        <w:rPr>
          <w:color w:val="C00000"/>
        </w:rPr>
      </w:pPr>
      <w:r>
        <w:rPr>
          <w:b/>
        </w:rPr>
        <w:t>5.1.3.5.5.</w:t>
      </w:r>
      <w:r>
        <w:rPr>
          <w:b/>
        </w:rPr>
        <w:tab/>
        <w:t xml:space="preserve">It shall be </w:t>
      </w:r>
      <w:r w:rsidRPr="00526925">
        <w:rPr>
          <w:b/>
        </w:rPr>
        <w:t>possible for the driver to</w:t>
      </w:r>
      <w:r w:rsidRPr="007D6879">
        <w:rPr>
          <w:b/>
        </w:rPr>
        <w:t xml:space="preserve"> switch off the FVA</w:t>
      </w:r>
      <w:r>
        <w:rPr>
          <w:b/>
        </w:rPr>
        <w:t xml:space="preserve"> </w:t>
      </w:r>
      <w:r w:rsidRPr="00526925">
        <w:rPr>
          <w:b/>
        </w:rPr>
        <w:t xml:space="preserve">by a </w:t>
      </w:r>
      <w:r>
        <w:rPr>
          <w:b/>
        </w:rPr>
        <w:t>direct</w:t>
      </w:r>
      <w:r w:rsidRPr="00526925">
        <w:rPr>
          <w:b/>
        </w:rPr>
        <w:t xml:space="preserve"> deliberate action</w:t>
      </w:r>
      <w:r w:rsidRPr="00526925">
        <w:t>.</w:t>
      </w:r>
    </w:p>
    <w:p w14:paraId="40422668" w14:textId="76BBD056" w:rsidR="00F852B9" w:rsidRPr="002344E4" w:rsidRDefault="00F852B9" w:rsidP="00F852B9">
      <w:pPr>
        <w:pStyle w:val="Para0"/>
        <w:rPr>
          <w:b/>
        </w:rPr>
      </w:pPr>
      <w:r w:rsidRPr="002344E4">
        <w:rPr>
          <w:b/>
        </w:rPr>
        <w:t>5.1.3.6.</w:t>
      </w:r>
      <w:r>
        <w:rPr>
          <w:b/>
        </w:rPr>
        <w:tab/>
      </w:r>
      <w:r w:rsidRPr="002344E4">
        <w:rPr>
          <w:b/>
        </w:rPr>
        <w:t>The FVA shall be deactivated automatically in case of an electrically detectable failure of the FVA that affects the visual information in an uncontrolled manner.</w:t>
      </w:r>
      <w:r w:rsidR="003752C0" w:rsidRPr="003752C0">
        <w:rPr>
          <w:bCs/>
        </w:rPr>
        <w:t>"</w:t>
      </w:r>
    </w:p>
    <w:p w14:paraId="4F52E10E" w14:textId="77777777" w:rsidR="00F852B9" w:rsidRDefault="00F852B9" w:rsidP="00F852B9">
      <w:pPr>
        <w:pStyle w:val="Para0"/>
        <w:spacing w:before="120"/>
        <w:rPr>
          <w:bCs/>
        </w:rPr>
      </w:pPr>
      <w:r>
        <w:rPr>
          <w:bCs/>
          <w:i/>
          <w:iCs/>
        </w:rPr>
        <w:t>Paragraph 12.,</w:t>
      </w:r>
      <w:r>
        <w:rPr>
          <w:bCs/>
        </w:rPr>
        <w:t xml:space="preserve"> amend to read:</w:t>
      </w:r>
    </w:p>
    <w:p w14:paraId="3990C175" w14:textId="710F5E28" w:rsidR="00F852B9" w:rsidRDefault="003752C0" w:rsidP="00F852B9">
      <w:pPr>
        <w:pStyle w:val="HChG"/>
        <w:ind w:firstLine="0"/>
      </w:pPr>
      <w:r>
        <w:t>"</w:t>
      </w:r>
      <w:r w:rsidR="00F852B9" w:rsidRPr="00964518">
        <w:t>12.</w:t>
      </w:r>
      <w:r w:rsidR="00F852B9" w:rsidRPr="00964518">
        <w:tab/>
      </w:r>
      <w:r w:rsidR="00F852B9">
        <w:tab/>
      </w:r>
      <w:r w:rsidR="00F852B9" w:rsidRPr="00964518">
        <w:t xml:space="preserve">Transitional </w:t>
      </w:r>
      <w:r w:rsidR="00F852B9">
        <w:t>p</w:t>
      </w:r>
      <w:r w:rsidR="00F852B9" w:rsidRPr="00964518">
        <w:t>rovisions</w:t>
      </w:r>
    </w:p>
    <w:p w14:paraId="015A8A83" w14:textId="77777777" w:rsidR="00F852B9" w:rsidRPr="008636E5" w:rsidRDefault="00F852B9" w:rsidP="00F852B9">
      <w:pPr>
        <w:pStyle w:val="Para0"/>
        <w:rPr>
          <w:b/>
        </w:rPr>
      </w:pPr>
      <w:r w:rsidRPr="008636E5">
        <w:rPr>
          <w:b/>
        </w:rPr>
        <w:t>12.1.</w:t>
      </w:r>
      <w:r w:rsidRPr="008636E5">
        <w:rPr>
          <w:b/>
        </w:rPr>
        <w:tab/>
        <w:t>As from the official date of entry into force of the [02] series of amendments, no Contracting Party applying this Regulation shall refuse to grant or refuse to accept type approvals under this Regulation as amended by the [02] series of amendments.</w:t>
      </w:r>
    </w:p>
    <w:p w14:paraId="09807160" w14:textId="77777777" w:rsidR="00F852B9" w:rsidRPr="00B26F17" w:rsidRDefault="00F852B9" w:rsidP="00F852B9">
      <w:pPr>
        <w:pStyle w:val="Para0"/>
        <w:rPr>
          <w:rFonts w:eastAsia="MS Mincho"/>
          <w:b/>
          <w:lang w:eastAsia="ja-JP"/>
        </w:rPr>
      </w:pPr>
      <w:r w:rsidRPr="008636E5">
        <w:rPr>
          <w:b/>
        </w:rPr>
        <w:t>12.2.</w:t>
      </w:r>
      <w:r w:rsidRPr="008636E5">
        <w:rPr>
          <w:b/>
        </w:rPr>
        <w:tab/>
      </w:r>
      <w:r w:rsidRPr="008636E5">
        <w:rPr>
          <w:b/>
        </w:rPr>
        <w:tab/>
        <w:t xml:space="preserve">As </w:t>
      </w:r>
      <w:r w:rsidRPr="008636E5">
        <w:rPr>
          <w:rFonts w:eastAsia="MS Mincho"/>
          <w:b/>
          <w:lang w:eastAsia="ja-JP"/>
        </w:rPr>
        <w:t>from</w:t>
      </w:r>
      <w:r w:rsidRPr="008636E5">
        <w:rPr>
          <w:b/>
        </w:rPr>
        <w:t xml:space="preserve"> 1 September [2023], Contracting Parties applying this Regulation shall not be obliged to accept type approvals to the preceding series of </w:t>
      </w:r>
      <w:r w:rsidRPr="00B26F17">
        <w:rPr>
          <w:b/>
        </w:rPr>
        <w:t>amendments, first issued after 1 September [2023].</w:t>
      </w:r>
    </w:p>
    <w:p w14:paraId="1F8A22AE" w14:textId="77777777" w:rsidR="00F852B9" w:rsidRPr="00B26F17" w:rsidRDefault="00F852B9" w:rsidP="00F852B9">
      <w:pPr>
        <w:spacing w:after="120"/>
        <w:ind w:left="2268" w:right="1134" w:hanging="1134"/>
        <w:jc w:val="both"/>
        <w:rPr>
          <w:rFonts w:eastAsia="MS Mincho"/>
          <w:b/>
          <w:lang w:eastAsia="ja-JP"/>
        </w:rPr>
      </w:pPr>
      <w:r w:rsidRPr="00B26F17">
        <w:rPr>
          <w:b/>
        </w:rPr>
        <w:t>12.3.</w:t>
      </w:r>
      <w:r w:rsidRPr="00B26F17">
        <w:rPr>
          <w:b/>
        </w:rPr>
        <w:tab/>
        <w:t>Until 1 September [2024] Contracting Parties applying this Regulation shall accept type approvals to the preceding series of amendments, first issued before 1 September [2023]</w:t>
      </w:r>
      <w:r w:rsidRPr="00B26F17">
        <w:rPr>
          <w:rFonts w:eastAsiaTheme="minorEastAsia"/>
          <w:b/>
          <w:lang w:eastAsia="ja-JP"/>
        </w:rPr>
        <w:t>.</w:t>
      </w:r>
    </w:p>
    <w:p w14:paraId="11613209" w14:textId="77777777" w:rsidR="00F852B9" w:rsidRPr="00B26F17" w:rsidRDefault="00F852B9" w:rsidP="00F852B9">
      <w:pPr>
        <w:spacing w:after="120"/>
        <w:ind w:left="2268" w:right="1134" w:hanging="1134"/>
        <w:jc w:val="both"/>
        <w:rPr>
          <w:b/>
        </w:rPr>
      </w:pPr>
      <w:r w:rsidRPr="00B26F17">
        <w:rPr>
          <w:b/>
        </w:rPr>
        <w:t>12.4.</w:t>
      </w:r>
      <w:r w:rsidRPr="00B26F17">
        <w:rPr>
          <w:b/>
        </w:rPr>
        <w:tab/>
        <w:t xml:space="preserve">As </w:t>
      </w:r>
      <w:r w:rsidRPr="00B26F17">
        <w:rPr>
          <w:rFonts w:eastAsia="MS Mincho"/>
          <w:b/>
          <w:lang w:eastAsia="ja-JP"/>
        </w:rPr>
        <w:t>from</w:t>
      </w:r>
      <w:r w:rsidRPr="00B26F17">
        <w:rPr>
          <w:b/>
        </w:rPr>
        <w:t xml:space="preserve"> 1 September [2024], Contracting Parties applying this Regulation shall not be obliged to accept type approvals issued to the preceding series of amendments to this Regulation.</w:t>
      </w:r>
    </w:p>
    <w:p w14:paraId="58C943AB" w14:textId="759C18BE" w:rsidR="00F852B9" w:rsidRPr="00B26F17" w:rsidRDefault="00F852B9" w:rsidP="00F852B9">
      <w:pPr>
        <w:suppressAutoHyphens w:val="0"/>
        <w:spacing w:after="120" w:line="240" w:lineRule="exact"/>
        <w:ind w:left="2268" w:right="1134" w:hanging="1134"/>
        <w:jc w:val="both"/>
        <w:rPr>
          <w:rFonts w:eastAsia="MS Mincho"/>
          <w:b/>
          <w:snapToGrid w:val="0"/>
          <w:lang w:eastAsia="ja-JP"/>
        </w:rPr>
      </w:pPr>
      <w:r w:rsidRPr="00B26F17">
        <w:rPr>
          <w:rFonts w:eastAsia="MS PGothic"/>
          <w:b/>
          <w:iCs/>
          <w:snapToGrid w:val="0"/>
          <w:lang w:eastAsia="ja-JP"/>
        </w:rPr>
        <w:t>12.</w:t>
      </w:r>
      <w:r>
        <w:rPr>
          <w:rFonts w:eastAsia="MS PGothic"/>
          <w:b/>
          <w:iCs/>
          <w:snapToGrid w:val="0"/>
          <w:lang w:eastAsia="ja-JP"/>
        </w:rPr>
        <w:t>5</w:t>
      </w:r>
      <w:r w:rsidRPr="00B26F17">
        <w:rPr>
          <w:rFonts w:eastAsia="MS PGothic"/>
          <w:b/>
          <w:iCs/>
          <w:snapToGrid w:val="0"/>
          <w:lang w:eastAsia="ja-JP"/>
        </w:rPr>
        <w:t>.</w:t>
      </w:r>
      <w:r w:rsidRPr="00B26F17">
        <w:rPr>
          <w:rFonts w:eastAsia="MS PGothic"/>
          <w:b/>
          <w:iCs/>
          <w:snapToGrid w:val="0"/>
          <w:lang w:eastAsia="ja-JP"/>
        </w:rPr>
        <w:tab/>
        <w:t xml:space="preserve">Notwithstanding paragraph </w:t>
      </w:r>
      <w:r>
        <w:rPr>
          <w:rFonts w:eastAsia="MS PGothic"/>
          <w:b/>
          <w:iCs/>
          <w:snapToGrid w:val="0"/>
          <w:lang w:eastAsia="ja-JP"/>
        </w:rPr>
        <w:t>12</w:t>
      </w:r>
      <w:r w:rsidRPr="00B26F17">
        <w:rPr>
          <w:rFonts w:eastAsia="MS PGothic"/>
          <w:b/>
          <w:iCs/>
          <w:snapToGrid w:val="0"/>
          <w:lang w:eastAsia="ja-JP"/>
        </w:rPr>
        <w:t xml:space="preserve">.4, </w:t>
      </w:r>
      <w:r w:rsidRPr="00B26F17">
        <w:rPr>
          <w:rFonts w:eastAsia="MS Mincho"/>
          <w:b/>
          <w:snapToGrid w:val="0"/>
          <w:lang w:eastAsia="ja-JP"/>
        </w:rPr>
        <w:t xml:space="preserve">Contracting Parties applying this Regulation shall continue to accept type approvals </w:t>
      </w:r>
      <w:r w:rsidRPr="00B26F17">
        <w:rPr>
          <w:b/>
        </w:rPr>
        <w:t>issued</w:t>
      </w:r>
      <w:r w:rsidRPr="00B26F17">
        <w:rPr>
          <w:b/>
          <w:iCs/>
          <w:spacing w:val="-2"/>
          <w:lang w:eastAsia="ja-JP"/>
        </w:rPr>
        <w:t xml:space="preserve"> </w:t>
      </w:r>
      <w:r w:rsidRPr="00B26F17">
        <w:rPr>
          <w:b/>
        </w:rPr>
        <w:t>according</w:t>
      </w:r>
      <w:r w:rsidRPr="00B26F17">
        <w:rPr>
          <w:b/>
          <w:iCs/>
          <w:spacing w:val="-2"/>
          <w:lang w:eastAsia="ja-JP"/>
        </w:rPr>
        <w:t xml:space="preserve"> </w:t>
      </w:r>
      <w:r w:rsidRPr="00B26F17">
        <w:rPr>
          <w:rFonts w:eastAsia="MS Mincho"/>
          <w:b/>
          <w:snapToGrid w:val="0"/>
          <w:lang w:eastAsia="ja-JP"/>
        </w:rPr>
        <w:t>to the preceding series of amendments to this Regulation, for the vehicles/vehicle systems which are not affected by the changes introduced by the [02] series of amendments.</w:t>
      </w:r>
      <w:r w:rsidR="003752C0">
        <w:rPr>
          <w:rFonts w:eastAsia="MS Mincho"/>
          <w:b/>
          <w:snapToGrid w:val="0"/>
          <w:lang w:eastAsia="ja-JP"/>
        </w:rPr>
        <w:t>"</w:t>
      </w:r>
    </w:p>
    <w:p w14:paraId="7B2EE603" w14:textId="77777777" w:rsidR="00F852B9" w:rsidRDefault="00F852B9" w:rsidP="00F852B9">
      <w:pPr>
        <w:pStyle w:val="Para0"/>
        <w:spacing w:after="0"/>
        <w:rPr>
          <w:bCs/>
        </w:rPr>
      </w:pPr>
      <w:r>
        <w:rPr>
          <w:bCs/>
          <w:i/>
          <w:iCs/>
        </w:rPr>
        <w:t xml:space="preserve">Annex 2, </w:t>
      </w:r>
      <w:r>
        <w:rPr>
          <w:bCs/>
        </w:rPr>
        <w:t>amend to read:</w:t>
      </w:r>
    </w:p>
    <w:p w14:paraId="513B003E" w14:textId="0EE52A15" w:rsidR="00F852B9" w:rsidRPr="005A4630" w:rsidRDefault="00D72971" w:rsidP="00F852B9">
      <w:pPr>
        <w:pStyle w:val="HChG"/>
      </w:pPr>
      <w:bookmarkStart w:id="1" w:name="_Toc108926532"/>
      <w:bookmarkStart w:id="2" w:name="_Toc108926533"/>
      <w:r>
        <w:rPr>
          <w:b w:val="0"/>
          <w:bCs/>
        </w:rPr>
        <w:t>"</w:t>
      </w:r>
      <w:r w:rsidR="00F852B9" w:rsidRPr="005A4630">
        <w:t>Annex 2</w:t>
      </w:r>
      <w:bookmarkEnd w:id="1"/>
    </w:p>
    <w:p w14:paraId="5F852DCD" w14:textId="77777777" w:rsidR="00F852B9" w:rsidRPr="005A4630" w:rsidRDefault="00F852B9" w:rsidP="00F852B9">
      <w:pPr>
        <w:pStyle w:val="HChG"/>
        <w:rPr>
          <w:lang w:val="en-US"/>
        </w:rPr>
      </w:pPr>
      <w:r>
        <w:rPr>
          <w:lang w:val="en-US"/>
        </w:rPr>
        <w:tab/>
      </w:r>
      <w:r>
        <w:rPr>
          <w:lang w:val="en-US"/>
        </w:rPr>
        <w:tab/>
      </w:r>
      <w:r w:rsidRPr="00FE29F2">
        <w:t>Arrangements</w:t>
      </w:r>
      <w:r w:rsidRPr="005A4630">
        <w:rPr>
          <w:lang w:val="en-US"/>
        </w:rPr>
        <w:t xml:space="preserve"> of approval marks</w:t>
      </w:r>
      <w:bookmarkEnd w:id="2"/>
    </w:p>
    <w:p w14:paraId="133B052A" w14:textId="77777777" w:rsidR="00F852B9" w:rsidRPr="005A4630" w:rsidRDefault="00F852B9" w:rsidP="00F852B9">
      <w:pPr>
        <w:pStyle w:val="Para0"/>
        <w:spacing w:after="0"/>
      </w:pPr>
      <w:r w:rsidRPr="005A4630">
        <w:t>(see paragraphs 4.4. to 4.4.2. of this Regulation)</w:t>
      </w:r>
      <w:r w:rsidRPr="005A4630">
        <w:rPr>
          <w:vanish/>
          <w:sz w:val="16"/>
          <w:szCs w:val="16"/>
        </w:rPr>
        <w:t>)</w:t>
      </w:r>
    </w:p>
    <w:p w14:paraId="5A41E11E" w14:textId="77777777" w:rsidR="00F852B9" w:rsidRPr="005A4630" w:rsidRDefault="00F852B9" w:rsidP="00F852B9">
      <w:pPr>
        <w:suppressAutoHyphens w:val="0"/>
        <w:spacing w:line="240" w:lineRule="auto"/>
        <w:rPr>
          <w:sz w:val="24"/>
        </w:rPr>
      </w:pPr>
      <w:r>
        <w:rPr>
          <w:noProof/>
          <w:lang w:val="nl-NL" w:eastAsia="nl-NL"/>
        </w:rPr>
        <mc:AlternateContent>
          <mc:Choice Requires="wps">
            <w:drawing>
              <wp:anchor distT="0" distB="0" distL="114300" distR="114300" simplePos="0" relativeHeight="251661312" behindDoc="0" locked="0" layoutInCell="1" allowOverlap="1" wp14:anchorId="75D9ED74" wp14:editId="447782B0">
                <wp:simplePos x="0" y="0"/>
                <wp:positionH relativeFrom="column">
                  <wp:posOffset>2857500</wp:posOffset>
                </wp:positionH>
                <wp:positionV relativeFrom="paragraph">
                  <wp:posOffset>578485</wp:posOffset>
                </wp:positionV>
                <wp:extent cx="1485900" cy="457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DE005" w14:textId="77777777" w:rsidR="00F852B9" w:rsidRDefault="00F852B9" w:rsidP="00F852B9">
                            <w:pPr>
                              <w:rPr>
                                <w:sz w:val="32"/>
                              </w:rPr>
                            </w:pPr>
                            <w:r>
                              <w:rPr>
                                <w:sz w:val="32"/>
                              </w:rPr>
                              <w:t>125R - 020185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9ED74" id="_x0000_t202" coordsize="21600,21600" o:spt="202" path="m,l,21600r21600,l21600,xe">
                <v:stroke joinstyle="miter"/>
                <v:path gradientshapeok="t" o:connecttype="rect"/>
              </v:shapetype>
              <v:shape id="Text Box 10" o:spid="_x0000_s1026" type="#_x0000_t202" style="position:absolute;margin-left:225pt;margin-top:45.55pt;width:1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" stroked="f">
                <v:textbox>
                  <w:txbxContent>
                    <w:p w14:paraId="04FDE005" w14:textId="77777777" w:rsidR="00F852B9" w:rsidRDefault="00F852B9" w:rsidP="00F852B9">
                      <w:pPr>
                        <w:rPr>
                          <w:sz w:val="32"/>
                        </w:rPr>
                      </w:pPr>
                      <w:r>
                        <w:rPr>
                          <w:sz w:val="32"/>
                        </w:rPr>
                        <w:t>125R - 020185</w:t>
                      </w:r>
                    </w:p>
                  </w:txbxContent>
                </v:textbox>
              </v:shape>
            </w:pict>
          </mc:Fallback>
        </mc:AlternateContent>
      </w:r>
      <w:r w:rsidR="00B8572A">
        <w:rPr>
          <w:noProof/>
          <w:sz w:val="24"/>
          <w:szCs w:val="24"/>
          <w:lang w:val="en-US"/>
        </w:rPr>
        <w:object w:dxaOrig="1440" w:dyaOrig="1440" w14:anchorId="6F5C8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85pt;margin-top:19.3pt;width:314.95pt;height:66.95pt;z-index:251658240;visibility:visible;mso-wrap-edited:f;mso-position-horizontal-relative:text;mso-position-vertical-relative:text">
            <v:imagedata r:id="rId12" o:title=""/>
            <w10:wrap type="topAndBottom"/>
          </v:shape>
          <o:OLEObject Type="Embed" ProgID="Word.Picture.8" ShapeID="_x0000_s1026" DrawAspect="Content" ObjectID="_1673437913" r:id="rId13"/>
        </w:object>
      </w:r>
      <w:r>
        <w:rPr>
          <w:noProof/>
          <w:lang w:val="nl-NL" w:eastAsia="nl-NL"/>
        </w:rPr>
        <mc:AlternateContent>
          <mc:Choice Requires="wps">
            <w:drawing>
              <wp:anchor distT="0" distB="0" distL="114300" distR="114300" simplePos="0" relativeHeight="251660288" behindDoc="0" locked="0" layoutInCell="1" allowOverlap="1" wp14:anchorId="37DD640B" wp14:editId="4353C620">
                <wp:simplePos x="0" y="0"/>
                <wp:positionH relativeFrom="column">
                  <wp:posOffset>2656205</wp:posOffset>
                </wp:positionH>
                <wp:positionV relativeFrom="paragraph">
                  <wp:posOffset>603250</wp:posOffset>
                </wp:positionV>
                <wp:extent cx="106680" cy="190500"/>
                <wp:effectExtent l="0" t="0" r="762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6899ED" w14:textId="77777777" w:rsidR="00F852B9" w:rsidRDefault="00F852B9" w:rsidP="00F85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D640B" id="Text Box 9" o:spid="_x0000_s1027" type="#_x0000_t202" style="position:absolute;margin-left:209.15pt;margin-top:47.5pt;width:8.4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" filled="f" stroked="f">
                <v:textbox>
                  <w:txbxContent>
                    <w:p w14:paraId="676899ED" w14:textId="77777777" w:rsidR="00F852B9" w:rsidRDefault="00F852B9" w:rsidP="00F852B9"/>
                  </w:txbxContent>
                </v:textbox>
              </v:shape>
            </w:pict>
          </mc:Fallback>
        </mc:AlternateContent>
      </w:r>
    </w:p>
    <w:p w14:paraId="2C6612F7" w14:textId="77777777" w:rsidR="00F852B9" w:rsidRPr="000212F4" w:rsidRDefault="00F852B9" w:rsidP="00F852B9">
      <w:pPr>
        <w:suppressAutoHyphens w:val="0"/>
        <w:spacing w:line="240" w:lineRule="auto"/>
        <w:ind w:left="7200"/>
      </w:pPr>
      <w:r w:rsidRPr="000212F4">
        <w:t>a = 8 mm min</w:t>
      </w:r>
    </w:p>
    <w:p w14:paraId="62F26A1E" w14:textId="425CFE2E" w:rsidR="00F852B9" w:rsidRDefault="00F852B9" w:rsidP="00F852B9">
      <w:pPr>
        <w:pStyle w:val="SingleTxtG"/>
        <w:spacing w:before="120"/>
        <w:ind w:firstLine="567"/>
      </w:pPr>
      <w:r w:rsidRPr="00D206A0">
        <w:lastRenderedPageBreak/>
        <w:t>The above approval mark affixed to a vehicle shows that the vehicle type concerned has been approved in Belgium (E</w:t>
      </w:r>
      <w:r>
        <w:t xml:space="preserve"> </w:t>
      </w:r>
      <w:r w:rsidRPr="00D206A0">
        <w:t xml:space="preserve">6) with regard to the driver's forward field of vision pursuant to </w:t>
      </w:r>
      <w:r>
        <w:t xml:space="preserve">UN </w:t>
      </w:r>
      <w:r w:rsidRPr="00D206A0">
        <w:t xml:space="preserve">Regulation No. 125. The first two digits of the approval number indicate that the approval was granted in accordance with the requirements of </w:t>
      </w:r>
      <w:r>
        <w:t xml:space="preserve">UN </w:t>
      </w:r>
      <w:r w:rsidRPr="00D206A0">
        <w:t xml:space="preserve">Regulation No. 125 as amended by the </w:t>
      </w:r>
      <w:r w:rsidRPr="007D6879">
        <w:rPr>
          <w:b/>
          <w:bCs/>
        </w:rPr>
        <w:t>02</w:t>
      </w:r>
      <w:r w:rsidRPr="00D206A0">
        <w:t xml:space="preserve"> series of amendments.</w:t>
      </w:r>
      <w:r w:rsidR="00D72971">
        <w:t>"</w:t>
      </w:r>
    </w:p>
    <w:p w14:paraId="08DDD951" w14:textId="27CBC781" w:rsidR="00F852B9" w:rsidRDefault="00F852B9" w:rsidP="00F852B9">
      <w:pPr>
        <w:pStyle w:val="SingleTxtG"/>
        <w:spacing w:after="0"/>
      </w:pPr>
      <w:r w:rsidRPr="007D6879">
        <w:rPr>
          <w:i/>
          <w:iCs/>
        </w:rPr>
        <w:t>After Annex 4</w:t>
      </w:r>
      <w:r>
        <w:t>, insert a new Annex 5</w:t>
      </w:r>
      <w:r w:rsidR="003752C0">
        <w:t>, to read</w:t>
      </w:r>
      <w:r>
        <w:t>:</w:t>
      </w:r>
    </w:p>
    <w:p w14:paraId="41E6B8CA" w14:textId="231E2A9A" w:rsidR="00F852B9" w:rsidRDefault="00D72971" w:rsidP="00F852B9">
      <w:pPr>
        <w:pStyle w:val="HChG"/>
      </w:pPr>
      <w:r>
        <w:t>"</w:t>
      </w:r>
      <w:r w:rsidR="00F852B9" w:rsidRPr="00C6182B">
        <w:t>Annex 5</w:t>
      </w:r>
    </w:p>
    <w:p w14:paraId="4B4BF858" w14:textId="77777777" w:rsidR="00F852B9" w:rsidRPr="00C6182B" w:rsidRDefault="00F852B9" w:rsidP="00F852B9">
      <w:pPr>
        <w:pStyle w:val="HChG"/>
      </w:pPr>
      <w:r>
        <w:tab/>
      </w:r>
      <w:r>
        <w:tab/>
      </w:r>
      <w:r w:rsidRPr="00C6182B">
        <w:t>Field of View Assistant</w:t>
      </w:r>
    </w:p>
    <w:p w14:paraId="3C833571" w14:textId="77777777" w:rsidR="00F852B9" w:rsidRPr="00F852B9" w:rsidRDefault="00F852B9" w:rsidP="005A6C69">
      <w:pPr>
        <w:pStyle w:val="Heading1"/>
        <w:ind w:left="1134"/>
        <w:rPr>
          <w:b/>
          <w:bCs/>
          <w:lang w:val="en-GB"/>
        </w:rPr>
      </w:pPr>
      <w:r w:rsidRPr="00F852B9">
        <w:rPr>
          <w:b/>
          <w:bCs/>
          <w:lang w:val="en-GB"/>
        </w:rPr>
        <w:t>Examples for Warning / Highlight / Information as specified in paragraph 5.3.5.1.:</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6"/>
        <w:gridCol w:w="3969"/>
      </w:tblGrid>
      <w:tr w:rsidR="00F852B9" w:rsidRPr="00C6182B" w14:paraId="68DDB1C4" w14:textId="77777777" w:rsidTr="009044C9">
        <w:tc>
          <w:tcPr>
            <w:tcW w:w="3686" w:type="dxa"/>
            <w:shd w:val="clear" w:color="auto" w:fill="auto"/>
          </w:tcPr>
          <w:p w14:paraId="10A5F1FE" w14:textId="77777777" w:rsidR="00F852B9" w:rsidRPr="00C6182B" w:rsidRDefault="00F852B9" w:rsidP="00545B7A">
            <w:pPr>
              <w:pStyle w:val="Para0"/>
              <w:ind w:left="57" w:right="275" w:firstLine="0"/>
              <w:jc w:val="left"/>
              <w:rPr>
                <w:b/>
                <w:bCs/>
              </w:rPr>
            </w:pPr>
          </w:p>
        </w:tc>
        <w:tc>
          <w:tcPr>
            <w:tcW w:w="3969" w:type="dxa"/>
            <w:shd w:val="clear" w:color="auto" w:fill="auto"/>
          </w:tcPr>
          <w:p w14:paraId="49414AC1" w14:textId="77777777" w:rsidR="00F852B9" w:rsidRPr="00C6182B" w:rsidRDefault="00F852B9" w:rsidP="00545B7A">
            <w:pPr>
              <w:pStyle w:val="Para0"/>
              <w:tabs>
                <w:tab w:val="left" w:pos="1595"/>
              </w:tabs>
              <w:ind w:left="57" w:right="0" w:firstLine="0"/>
              <w:jc w:val="left"/>
              <w:rPr>
                <w:b/>
                <w:bCs/>
              </w:rPr>
            </w:pPr>
            <w:r w:rsidRPr="00C6182B">
              <w:rPr>
                <w:b/>
                <w:bCs/>
              </w:rPr>
              <w:t>Examples</w:t>
            </w:r>
          </w:p>
        </w:tc>
      </w:tr>
      <w:tr w:rsidR="00F852B9" w:rsidRPr="00C6182B" w14:paraId="6213DEA3" w14:textId="77777777" w:rsidTr="009044C9">
        <w:tc>
          <w:tcPr>
            <w:tcW w:w="3686" w:type="dxa"/>
            <w:shd w:val="clear" w:color="auto" w:fill="auto"/>
          </w:tcPr>
          <w:p w14:paraId="1BF99C60" w14:textId="77777777" w:rsidR="00F852B9" w:rsidRPr="00C6182B" w:rsidRDefault="00F852B9" w:rsidP="00545B7A">
            <w:pPr>
              <w:pStyle w:val="Para0"/>
              <w:ind w:left="57" w:right="275" w:firstLine="0"/>
              <w:jc w:val="left"/>
              <w:rPr>
                <w:b/>
                <w:bCs/>
              </w:rPr>
            </w:pPr>
            <w:r w:rsidRPr="00C6182B">
              <w:rPr>
                <w:b/>
                <w:bCs/>
              </w:rPr>
              <w:t>Warning/Highlight hazardous traffic</w:t>
            </w:r>
            <w:r>
              <w:rPr>
                <w:b/>
                <w:bCs/>
              </w:rPr>
              <w:t xml:space="preserve"> </w:t>
            </w:r>
            <w:r w:rsidRPr="002B0EF4">
              <w:rPr>
                <w:b/>
                <w:bCs/>
              </w:rPr>
              <w:t>situation</w:t>
            </w:r>
          </w:p>
        </w:tc>
        <w:tc>
          <w:tcPr>
            <w:tcW w:w="3969" w:type="dxa"/>
            <w:shd w:val="clear" w:color="auto" w:fill="auto"/>
          </w:tcPr>
          <w:p w14:paraId="51F0BF21" w14:textId="77777777" w:rsidR="00F852B9" w:rsidRPr="00C6182B" w:rsidRDefault="00F852B9" w:rsidP="00545B7A">
            <w:pPr>
              <w:pStyle w:val="Para0"/>
              <w:tabs>
                <w:tab w:val="left" w:pos="1595"/>
              </w:tabs>
              <w:ind w:left="57" w:right="0" w:firstLine="0"/>
              <w:jc w:val="left"/>
              <w:rPr>
                <w:b/>
                <w:bCs/>
              </w:rPr>
            </w:pPr>
            <w:r w:rsidRPr="00C6182B">
              <w:rPr>
                <w:b/>
                <w:bCs/>
              </w:rPr>
              <w:t>Abrupt braking situations</w:t>
            </w:r>
          </w:p>
          <w:p w14:paraId="1BE12DEE" w14:textId="77777777" w:rsidR="00F852B9" w:rsidRPr="00C6182B" w:rsidRDefault="00F852B9" w:rsidP="00545B7A">
            <w:pPr>
              <w:pStyle w:val="Para0"/>
              <w:tabs>
                <w:tab w:val="left" w:pos="1595"/>
              </w:tabs>
              <w:ind w:left="57" w:right="0" w:firstLine="0"/>
              <w:jc w:val="left"/>
              <w:rPr>
                <w:b/>
                <w:bCs/>
              </w:rPr>
            </w:pPr>
            <w:r w:rsidRPr="00C6182B">
              <w:rPr>
                <w:b/>
                <w:bCs/>
              </w:rPr>
              <w:t xml:space="preserve">Oncoming traffic in turning </w:t>
            </w:r>
            <w:proofErr w:type="spellStart"/>
            <w:r w:rsidRPr="00C6182B">
              <w:rPr>
                <w:b/>
                <w:bCs/>
              </w:rPr>
              <w:t>manoeuvres</w:t>
            </w:r>
            <w:proofErr w:type="spellEnd"/>
          </w:p>
          <w:p w14:paraId="28ABCE3E" w14:textId="77777777" w:rsidR="00F852B9" w:rsidRPr="00C6182B" w:rsidRDefault="00F852B9" w:rsidP="00545B7A">
            <w:pPr>
              <w:pStyle w:val="Para0"/>
              <w:tabs>
                <w:tab w:val="left" w:pos="1595"/>
              </w:tabs>
              <w:ind w:left="57" w:right="0" w:firstLine="0"/>
              <w:jc w:val="left"/>
              <w:rPr>
                <w:b/>
                <w:bCs/>
              </w:rPr>
            </w:pPr>
            <w:r w:rsidRPr="00C6182B">
              <w:rPr>
                <w:b/>
                <w:bCs/>
              </w:rPr>
              <w:t>Vehicles leaving the lane or entering the own driving path</w:t>
            </w:r>
          </w:p>
        </w:tc>
      </w:tr>
      <w:tr w:rsidR="00F852B9" w:rsidRPr="00C6182B" w14:paraId="26AE7C90" w14:textId="77777777" w:rsidTr="009044C9">
        <w:tc>
          <w:tcPr>
            <w:tcW w:w="3686" w:type="dxa"/>
            <w:shd w:val="clear" w:color="auto" w:fill="auto"/>
          </w:tcPr>
          <w:p w14:paraId="2F51034F" w14:textId="77777777" w:rsidR="00F852B9" w:rsidRPr="00C6182B" w:rsidRDefault="00F852B9" w:rsidP="00545B7A">
            <w:pPr>
              <w:pStyle w:val="Para0"/>
              <w:ind w:left="57" w:right="275" w:firstLine="0"/>
              <w:jc w:val="left"/>
              <w:rPr>
                <w:b/>
                <w:bCs/>
              </w:rPr>
            </w:pPr>
            <w:r w:rsidRPr="00C6182B">
              <w:rPr>
                <w:b/>
                <w:bCs/>
              </w:rPr>
              <w:t>Warning/highlight vulnerable road users or other road users which may be overseen</w:t>
            </w:r>
          </w:p>
        </w:tc>
        <w:tc>
          <w:tcPr>
            <w:tcW w:w="3969" w:type="dxa"/>
            <w:shd w:val="clear" w:color="auto" w:fill="auto"/>
          </w:tcPr>
          <w:p w14:paraId="51F8BD59" w14:textId="77777777" w:rsidR="00F852B9" w:rsidRPr="00C6182B" w:rsidRDefault="00F852B9" w:rsidP="00545B7A">
            <w:pPr>
              <w:pStyle w:val="Para0"/>
              <w:tabs>
                <w:tab w:val="left" w:pos="1595"/>
              </w:tabs>
              <w:ind w:left="57" w:right="0" w:firstLine="0"/>
              <w:jc w:val="left"/>
              <w:rPr>
                <w:b/>
                <w:bCs/>
              </w:rPr>
            </w:pPr>
            <w:r w:rsidRPr="00C6182B">
              <w:rPr>
                <w:b/>
                <w:bCs/>
              </w:rPr>
              <w:t>Pedestrians</w:t>
            </w:r>
          </w:p>
          <w:p w14:paraId="4E84DC64" w14:textId="77777777" w:rsidR="00F852B9" w:rsidRPr="00C6182B" w:rsidRDefault="00F852B9" w:rsidP="00545B7A">
            <w:pPr>
              <w:pStyle w:val="Para0"/>
              <w:tabs>
                <w:tab w:val="left" w:pos="1595"/>
              </w:tabs>
              <w:ind w:left="57" w:right="0" w:firstLine="0"/>
              <w:jc w:val="left"/>
              <w:rPr>
                <w:b/>
                <w:bCs/>
              </w:rPr>
            </w:pPr>
            <w:r w:rsidRPr="00C6182B">
              <w:rPr>
                <w:b/>
                <w:bCs/>
              </w:rPr>
              <w:t>Cyclist</w:t>
            </w:r>
            <w:r w:rsidRPr="000E3B84">
              <w:rPr>
                <w:b/>
                <w:bCs/>
              </w:rPr>
              <w:t>s</w:t>
            </w:r>
          </w:p>
          <w:p w14:paraId="5A07D918" w14:textId="77777777" w:rsidR="00F852B9" w:rsidRPr="00C6182B" w:rsidRDefault="00F852B9" w:rsidP="00545B7A">
            <w:pPr>
              <w:pStyle w:val="Para0"/>
              <w:tabs>
                <w:tab w:val="left" w:pos="1595"/>
              </w:tabs>
              <w:ind w:left="57" w:right="0" w:firstLine="0"/>
              <w:jc w:val="left"/>
              <w:rPr>
                <w:b/>
                <w:bCs/>
              </w:rPr>
            </w:pPr>
            <w:r w:rsidRPr="00C6182B">
              <w:rPr>
                <w:b/>
                <w:bCs/>
              </w:rPr>
              <w:t>Crossing road users</w:t>
            </w:r>
          </w:p>
          <w:p w14:paraId="7A2055B7" w14:textId="77777777" w:rsidR="00F852B9" w:rsidRPr="00C6182B" w:rsidRDefault="00F852B9" w:rsidP="00545B7A">
            <w:pPr>
              <w:pStyle w:val="Para0"/>
              <w:tabs>
                <w:tab w:val="left" w:pos="1595"/>
              </w:tabs>
              <w:ind w:left="57" w:right="0" w:firstLine="0"/>
              <w:jc w:val="left"/>
              <w:rPr>
                <w:b/>
                <w:bCs/>
              </w:rPr>
            </w:pPr>
            <w:r w:rsidRPr="00C6182B">
              <w:rPr>
                <w:b/>
                <w:bCs/>
              </w:rPr>
              <w:t>Road users in blind spot or road users covered by other objects</w:t>
            </w:r>
          </w:p>
          <w:p w14:paraId="4585522E" w14:textId="77777777" w:rsidR="00F852B9" w:rsidRPr="00C6182B" w:rsidRDefault="00F852B9" w:rsidP="00545B7A">
            <w:pPr>
              <w:pStyle w:val="Para0"/>
              <w:tabs>
                <w:tab w:val="left" w:pos="1595"/>
              </w:tabs>
              <w:ind w:left="57" w:right="0" w:firstLine="0"/>
              <w:jc w:val="left"/>
              <w:rPr>
                <w:b/>
                <w:bCs/>
              </w:rPr>
            </w:pPr>
            <w:r w:rsidRPr="00C6182B">
              <w:rPr>
                <w:b/>
                <w:bCs/>
              </w:rPr>
              <w:t>Animals</w:t>
            </w:r>
          </w:p>
        </w:tc>
      </w:tr>
      <w:tr w:rsidR="00F852B9" w:rsidRPr="00C6182B" w14:paraId="595BE9C5" w14:textId="77777777" w:rsidTr="009044C9">
        <w:tc>
          <w:tcPr>
            <w:tcW w:w="3686" w:type="dxa"/>
            <w:shd w:val="clear" w:color="auto" w:fill="auto"/>
          </w:tcPr>
          <w:p w14:paraId="0EED6F97" w14:textId="77777777" w:rsidR="00F852B9" w:rsidRPr="00C6182B" w:rsidRDefault="00F852B9" w:rsidP="00545B7A">
            <w:pPr>
              <w:pStyle w:val="Para0"/>
              <w:ind w:left="57" w:right="275" w:firstLine="0"/>
              <w:jc w:val="left"/>
              <w:rPr>
                <w:b/>
                <w:bCs/>
              </w:rPr>
            </w:pPr>
            <w:r w:rsidRPr="00C6182B">
              <w:rPr>
                <w:b/>
                <w:bCs/>
              </w:rPr>
              <w:t>Information to maintain the distances to surrounding road user and infrastructure</w:t>
            </w:r>
          </w:p>
        </w:tc>
        <w:tc>
          <w:tcPr>
            <w:tcW w:w="3969" w:type="dxa"/>
            <w:shd w:val="clear" w:color="auto" w:fill="auto"/>
          </w:tcPr>
          <w:p w14:paraId="45DEAE13" w14:textId="77777777" w:rsidR="00F852B9" w:rsidRPr="00C6182B" w:rsidRDefault="00F852B9" w:rsidP="00545B7A">
            <w:pPr>
              <w:pStyle w:val="Para0"/>
              <w:tabs>
                <w:tab w:val="left" w:pos="1595"/>
              </w:tabs>
              <w:ind w:left="57" w:right="0" w:firstLine="0"/>
              <w:jc w:val="left"/>
              <w:rPr>
                <w:b/>
                <w:bCs/>
              </w:rPr>
            </w:pPr>
            <w:r w:rsidRPr="00C6182B">
              <w:rPr>
                <w:b/>
                <w:bCs/>
              </w:rPr>
              <w:t>Distance to vehicle in front</w:t>
            </w:r>
          </w:p>
          <w:p w14:paraId="0AC8EDEA" w14:textId="77777777" w:rsidR="00F852B9" w:rsidRPr="00C6182B" w:rsidRDefault="00F852B9" w:rsidP="00545B7A">
            <w:pPr>
              <w:pStyle w:val="Para0"/>
              <w:tabs>
                <w:tab w:val="left" w:pos="1595"/>
              </w:tabs>
              <w:ind w:left="57" w:right="0" w:firstLine="0"/>
              <w:jc w:val="left"/>
              <w:rPr>
                <w:b/>
                <w:bCs/>
              </w:rPr>
            </w:pPr>
            <w:r w:rsidRPr="00C6182B">
              <w:rPr>
                <w:b/>
                <w:bCs/>
              </w:rPr>
              <w:t>Lane keep assist</w:t>
            </w:r>
          </w:p>
        </w:tc>
      </w:tr>
      <w:tr w:rsidR="00F852B9" w:rsidRPr="00C6182B" w14:paraId="5418D046" w14:textId="77777777" w:rsidTr="009044C9">
        <w:tc>
          <w:tcPr>
            <w:tcW w:w="3686" w:type="dxa"/>
            <w:shd w:val="clear" w:color="auto" w:fill="auto"/>
          </w:tcPr>
          <w:p w14:paraId="36241A83" w14:textId="77777777" w:rsidR="00F852B9" w:rsidRPr="00C6182B" w:rsidRDefault="00F852B9" w:rsidP="00545B7A">
            <w:pPr>
              <w:pStyle w:val="Para0"/>
              <w:ind w:left="57" w:right="0" w:firstLine="0"/>
              <w:jc w:val="left"/>
              <w:rPr>
                <w:b/>
                <w:bCs/>
              </w:rPr>
            </w:pPr>
            <w:r w:rsidRPr="00C6182B">
              <w:rPr>
                <w:b/>
                <w:bCs/>
              </w:rPr>
              <w:t>Information to find and maintain the correct driveway</w:t>
            </w:r>
          </w:p>
        </w:tc>
        <w:tc>
          <w:tcPr>
            <w:tcW w:w="3969" w:type="dxa"/>
            <w:shd w:val="clear" w:color="auto" w:fill="auto"/>
          </w:tcPr>
          <w:p w14:paraId="2219D54E" w14:textId="77777777" w:rsidR="00F852B9" w:rsidRPr="00C6182B" w:rsidRDefault="00F852B9" w:rsidP="00545B7A">
            <w:pPr>
              <w:pStyle w:val="Para0"/>
              <w:tabs>
                <w:tab w:val="left" w:pos="1595"/>
              </w:tabs>
              <w:ind w:left="57" w:right="0" w:firstLine="0"/>
              <w:jc w:val="left"/>
              <w:rPr>
                <w:b/>
                <w:bCs/>
              </w:rPr>
            </w:pPr>
            <w:r w:rsidRPr="00C6182B">
              <w:rPr>
                <w:b/>
                <w:bCs/>
              </w:rPr>
              <w:t>Navigation Information</w:t>
            </w:r>
          </w:p>
        </w:tc>
      </w:tr>
    </w:tbl>
    <w:p w14:paraId="56FAFD72" w14:textId="755CDA22" w:rsidR="00F852B9" w:rsidRPr="00545B7A" w:rsidRDefault="00D72971" w:rsidP="00545B7A">
      <w:pPr>
        <w:pStyle w:val="Para0"/>
        <w:jc w:val="right"/>
        <w:rPr>
          <w:rFonts w:asciiTheme="majorBidi" w:hAnsiTheme="majorBidi" w:cstheme="majorBidi"/>
        </w:rPr>
      </w:pPr>
      <w:r w:rsidRPr="00545B7A">
        <w:rPr>
          <w:rFonts w:asciiTheme="majorBidi" w:hAnsiTheme="majorBidi" w:cstheme="majorBidi"/>
        </w:rPr>
        <w:t>"</w:t>
      </w:r>
    </w:p>
    <w:p w14:paraId="2967EA26" w14:textId="093BDA58" w:rsidR="00DF0E34" w:rsidRPr="006F4C48" w:rsidRDefault="00B9350C" w:rsidP="00545B7A">
      <w:pPr>
        <w:pStyle w:val="HChG"/>
        <w:rPr>
          <w:b w:val="0"/>
        </w:rPr>
      </w:pPr>
      <w:r w:rsidRPr="006F4C48">
        <w:tab/>
      </w:r>
      <w:r w:rsidR="00DF0E34" w:rsidRPr="006F4C48">
        <w:t>II</w:t>
      </w:r>
      <w:r w:rsidRPr="006F4C48">
        <w:t>.</w:t>
      </w:r>
      <w:r w:rsidR="00DF0E34" w:rsidRPr="006F4C48">
        <w:tab/>
      </w:r>
      <w:r w:rsidR="00DF0E34" w:rsidRPr="00545B7A">
        <w:t>Justification</w:t>
      </w:r>
    </w:p>
    <w:p w14:paraId="3FEA3BAF" w14:textId="7DD206AE" w:rsidR="00BB5FD4" w:rsidRPr="00BB5FD4" w:rsidRDefault="00545B7A" w:rsidP="00545B7A">
      <w:pPr>
        <w:pStyle w:val="SingleTxtG"/>
      </w:pPr>
      <w:r>
        <w:rPr>
          <w:lang w:eastAsia="zh-CN"/>
        </w:rPr>
        <w:t>1.</w:t>
      </w:r>
      <w:r>
        <w:rPr>
          <w:lang w:eastAsia="zh-CN"/>
        </w:rPr>
        <w:tab/>
      </w:r>
      <w:r w:rsidR="00BB5FD4" w:rsidRPr="00BB5FD4">
        <w:rPr>
          <w:lang w:eastAsia="zh-CN"/>
        </w:rPr>
        <w:t>Paragraph 2.19. adds definition of obstruction as addressed in this Regulation, from physical parts of the vehicle architecture or other light projections that may hinder perception of outside scene in the driver’s field of vision. Light reflections (that shall not come from the system) are not considered as obstructions (e.g. glaring effect).</w:t>
      </w:r>
    </w:p>
    <w:p w14:paraId="18006D36" w14:textId="035DB502" w:rsidR="00BB5FD4" w:rsidRPr="00BB5FD4" w:rsidRDefault="00545B7A" w:rsidP="00545B7A">
      <w:pPr>
        <w:pStyle w:val="SingleTxtG"/>
      </w:pPr>
      <w:r>
        <w:rPr>
          <w:lang w:eastAsia="zh-CN"/>
        </w:rPr>
        <w:t>2.</w:t>
      </w:r>
      <w:r>
        <w:rPr>
          <w:lang w:eastAsia="zh-CN"/>
        </w:rPr>
        <w:tab/>
      </w:r>
      <w:r w:rsidR="00BB5FD4" w:rsidRPr="00BB5FD4">
        <w:rPr>
          <w:lang w:eastAsia="zh-CN"/>
        </w:rPr>
        <w:t>Paragraph 2.20. adds definition of field of vision assistant as light projections in the driver’s field of vision. The visual information made of symbols and graphics shall assist the driver identifying any relevant hazards in traffic situations.</w:t>
      </w:r>
    </w:p>
    <w:p w14:paraId="636A72C7" w14:textId="67B2E758" w:rsidR="00BB5FD4" w:rsidRPr="00BB5FD4" w:rsidRDefault="00545B7A" w:rsidP="00545B7A">
      <w:pPr>
        <w:pStyle w:val="SingleTxtG"/>
      </w:pPr>
      <w:r>
        <w:rPr>
          <w:lang w:eastAsia="zh-CN"/>
        </w:rPr>
        <w:t>3.</w:t>
      </w:r>
      <w:r>
        <w:rPr>
          <w:lang w:eastAsia="zh-CN"/>
        </w:rPr>
        <w:tab/>
      </w:r>
      <w:r w:rsidR="00BB5FD4" w:rsidRPr="00BB5FD4">
        <w:rPr>
          <w:lang w:eastAsia="zh-CN"/>
        </w:rPr>
        <w:t>Paragraph 5.1.3. includes new 5.1.3.5. prescriptions to be considered for obstruction evaluation.</w:t>
      </w:r>
    </w:p>
    <w:p w14:paraId="05C2250C" w14:textId="27ACD090" w:rsidR="00BB5FD4" w:rsidRPr="00BB5FD4" w:rsidRDefault="00545B7A" w:rsidP="00545B7A">
      <w:pPr>
        <w:pStyle w:val="SingleTxtG"/>
      </w:pPr>
      <w:r>
        <w:rPr>
          <w:lang w:eastAsia="zh-CN"/>
        </w:rPr>
        <w:t>4.</w:t>
      </w:r>
      <w:r>
        <w:rPr>
          <w:lang w:eastAsia="zh-CN"/>
        </w:rPr>
        <w:tab/>
      </w:r>
      <w:r w:rsidR="00BB5FD4" w:rsidRPr="00BB5FD4">
        <w:rPr>
          <w:lang w:eastAsia="zh-CN"/>
        </w:rPr>
        <w:t>Paragraph 5.1.3.5. introduces prescriptions to allowed obstructing FVA.</w:t>
      </w:r>
    </w:p>
    <w:p w14:paraId="0BA957D1" w14:textId="04D42C6B" w:rsidR="00BB5FD4" w:rsidRPr="00BB5FD4" w:rsidRDefault="00545B7A" w:rsidP="00545B7A">
      <w:pPr>
        <w:pStyle w:val="SingleTxtG"/>
      </w:pPr>
      <w:r>
        <w:rPr>
          <w:lang w:eastAsia="zh-CN"/>
        </w:rPr>
        <w:t>5.</w:t>
      </w:r>
      <w:r>
        <w:rPr>
          <w:lang w:eastAsia="zh-CN"/>
        </w:rPr>
        <w:tab/>
      </w:r>
      <w:r w:rsidR="00BB5FD4" w:rsidRPr="00BB5FD4">
        <w:rPr>
          <w:lang w:eastAsia="zh-CN"/>
        </w:rPr>
        <w:t xml:space="preserve">Paragraph 5.1.3.5.1. defines information to be presented during the driving task. While driving, the information shall be safety </w:t>
      </w:r>
      <w:r w:rsidR="00BB5FD4" w:rsidRPr="00545B7A">
        <w:t>relevant</w:t>
      </w:r>
      <w:r w:rsidR="00BB5FD4" w:rsidRPr="00BB5FD4">
        <w:rPr>
          <w:lang w:eastAsia="zh-CN"/>
        </w:rPr>
        <w:t>. Examples are given in annex 5.</w:t>
      </w:r>
      <w:r w:rsidR="00BB5FD4" w:rsidRPr="00BB5FD4">
        <w:rPr>
          <w:lang w:eastAsia="zh-CN"/>
        </w:rPr>
        <w:tab/>
      </w:r>
      <w:r w:rsidR="00BB5FD4" w:rsidRPr="00BB5FD4">
        <w:rPr>
          <w:bCs/>
          <w:lang w:eastAsia="zh-CN"/>
        </w:rPr>
        <w:t xml:space="preserve">External information sources are possible, but shall not change the performance of approved FVA: the vehicle manufacturer shall ensure that data that are provided by an external device, that are not part of the type approval, shall not be used nor change the FVA content. </w:t>
      </w:r>
    </w:p>
    <w:p w14:paraId="7A9A929D" w14:textId="04FCE809" w:rsidR="00BB5FD4" w:rsidRPr="00BB5FD4" w:rsidRDefault="00545B7A" w:rsidP="00545B7A">
      <w:pPr>
        <w:pStyle w:val="SingleTxtG"/>
      </w:pPr>
      <w:r>
        <w:rPr>
          <w:lang w:eastAsia="zh-CN"/>
        </w:rPr>
        <w:lastRenderedPageBreak/>
        <w:t>6.</w:t>
      </w:r>
      <w:r>
        <w:rPr>
          <w:lang w:eastAsia="zh-CN"/>
        </w:rPr>
        <w:tab/>
      </w:r>
      <w:r w:rsidR="00BB5FD4" w:rsidRPr="00BB5FD4">
        <w:rPr>
          <w:lang w:eastAsia="zh-CN"/>
        </w:rPr>
        <w:t>Paragraph 5.1.3.5.3. and 5.1.3.5.4. confirms that presented information shall be temporary, as related to a dynamic traffic scenario, and optimized to reduce obstruction.</w:t>
      </w:r>
    </w:p>
    <w:p w14:paraId="16F778E3" w14:textId="34F3D43B" w:rsidR="00BB5FD4" w:rsidRPr="00BB5FD4" w:rsidRDefault="00545B7A" w:rsidP="00545B7A">
      <w:pPr>
        <w:pStyle w:val="SingleTxtG"/>
      </w:pPr>
      <w:r>
        <w:rPr>
          <w:lang w:eastAsia="zh-CN"/>
        </w:rPr>
        <w:t>7.</w:t>
      </w:r>
      <w:r>
        <w:rPr>
          <w:lang w:eastAsia="zh-CN"/>
        </w:rPr>
        <w:tab/>
      </w:r>
      <w:r w:rsidR="00BB5FD4" w:rsidRPr="00BB5FD4">
        <w:rPr>
          <w:lang w:eastAsia="zh-CN"/>
        </w:rPr>
        <w:t xml:space="preserve">Paragraph 5.1.3.5.5. and 5.1.3.5.6. allows driver’s manual setting, for an optimized contrast or a complete switch off if necessary. Switch off needs to be accessible with a command to answer driver’s fast expected reaction of the system (in case of distraction/obstruction risk), e.g. swipe and press is considered as a single action. </w:t>
      </w:r>
    </w:p>
    <w:p w14:paraId="2EE56D04" w14:textId="0B7894B1" w:rsidR="00BB5FD4" w:rsidRPr="00BB5FD4" w:rsidRDefault="00545B7A" w:rsidP="00545B7A">
      <w:pPr>
        <w:pStyle w:val="SingleTxtG"/>
      </w:pPr>
      <w:r>
        <w:rPr>
          <w:lang w:eastAsia="zh-CN"/>
        </w:rPr>
        <w:t>8.</w:t>
      </w:r>
      <w:r>
        <w:rPr>
          <w:lang w:eastAsia="zh-CN"/>
        </w:rPr>
        <w:tab/>
      </w:r>
      <w:r w:rsidR="00BB5FD4" w:rsidRPr="00BB5FD4">
        <w:rPr>
          <w:lang w:eastAsia="zh-CN"/>
        </w:rPr>
        <w:t xml:space="preserve">Paragraph 5.1.3.6. requests an automatic deactivation in case of electrical malfunction leading to excessive light projection, hence potential full obstruction of the field of vision.   </w:t>
      </w:r>
    </w:p>
    <w:p w14:paraId="3293F00C" w14:textId="0C584961" w:rsidR="00BB5FD4" w:rsidRPr="00BB5FD4" w:rsidRDefault="00545B7A" w:rsidP="00545B7A">
      <w:pPr>
        <w:pStyle w:val="SingleTxtG"/>
      </w:pPr>
      <w:r>
        <w:rPr>
          <w:lang w:eastAsia="zh-CN"/>
        </w:rPr>
        <w:t>9.</w:t>
      </w:r>
      <w:r>
        <w:rPr>
          <w:lang w:eastAsia="zh-CN"/>
        </w:rPr>
        <w:tab/>
      </w:r>
      <w:r w:rsidR="00BB5FD4" w:rsidRPr="00BB5FD4">
        <w:rPr>
          <w:lang w:eastAsia="zh-CN"/>
        </w:rPr>
        <w:t xml:space="preserve">Paragraph 12. introduces transitional provisions for </w:t>
      </w:r>
      <w:r w:rsidR="00BB5FD4" w:rsidRPr="00BB5FD4">
        <w:t>the 02 series of amendments</w:t>
      </w:r>
      <w:r w:rsidR="00BB5FD4" w:rsidRPr="00BB5FD4">
        <w:rPr>
          <w:lang w:eastAsia="zh-CN"/>
        </w:rPr>
        <w:t>.</w:t>
      </w:r>
    </w:p>
    <w:p w14:paraId="3D9EEF9D" w14:textId="2C3896EC" w:rsidR="00DA42EC" w:rsidRPr="00545B7A" w:rsidRDefault="00545B7A" w:rsidP="00545B7A">
      <w:pPr>
        <w:spacing w:before="240"/>
        <w:jc w:val="center"/>
        <w:rPr>
          <w:u w:val="single"/>
        </w:rPr>
      </w:pPr>
      <w:r>
        <w:rPr>
          <w:u w:val="single"/>
        </w:rPr>
        <w:tab/>
      </w:r>
      <w:r>
        <w:rPr>
          <w:u w:val="single"/>
        </w:rPr>
        <w:tab/>
      </w:r>
      <w:r>
        <w:rPr>
          <w:u w:val="single"/>
        </w:rPr>
        <w:tab/>
      </w:r>
    </w:p>
    <w:sectPr w:rsidR="00DA42EC" w:rsidRPr="00545B7A" w:rsidSect="0070441D">
      <w:headerReference w:type="even" r:id="rId14"/>
      <w:headerReference w:type="default" r:id="rId15"/>
      <w:footerReference w:type="even" r:id="rId16"/>
      <w:footerReference w:type="default" r:id="rId17"/>
      <w:footerReference w:type="first" r:id="rId18"/>
      <w:footnotePr>
        <w:numFmt w:val="chicago"/>
      </w:footnotePr>
      <w:pgSz w:w="11906" w:h="16838" w:code="9"/>
      <w:pgMar w:top="1418" w:right="1134" w:bottom="1134"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DAB77" w14:textId="77777777" w:rsidR="00DF1D55" w:rsidRDefault="00DF1D55" w:rsidP="00203C11">
      <w:pPr>
        <w:spacing w:line="240" w:lineRule="auto"/>
      </w:pPr>
      <w:r>
        <w:separator/>
      </w:r>
    </w:p>
  </w:endnote>
  <w:endnote w:type="continuationSeparator" w:id="0">
    <w:p w14:paraId="60255012" w14:textId="77777777" w:rsidR="00DF1D55" w:rsidRDefault="00DF1D55" w:rsidP="00203C11">
      <w:pPr>
        <w:spacing w:line="240" w:lineRule="auto"/>
      </w:pPr>
      <w:r>
        <w:continuationSeparator/>
      </w:r>
    </w:p>
  </w:endnote>
  <w:endnote w:type="continuationNotice" w:id="1">
    <w:p w14:paraId="792F9809" w14:textId="77777777" w:rsidR="00DF1D55" w:rsidRDefault="00DF1D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Segoe Print"/>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B26D" w14:textId="1134A562" w:rsidR="0070441D" w:rsidRPr="0070441D" w:rsidRDefault="0070441D" w:rsidP="0070441D">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4</w:t>
    </w:r>
    <w:r w:rsidRPr="00803BF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BF23" w14:textId="027BEF79" w:rsidR="0070441D" w:rsidRPr="0070441D" w:rsidRDefault="0070441D" w:rsidP="0070441D">
    <w:pPr>
      <w:pStyle w:val="Footer"/>
      <w:tabs>
        <w:tab w:val="right" w:pos="9638"/>
      </w:tabs>
      <w:jc w:val="right"/>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4</w:t>
    </w:r>
    <w:r w:rsidRPr="00803B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716B" w14:textId="6A6C8FDB" w:rsidR="00B8572A" w:rsidRDefault="00B8572A" w:rsidP="00B8572A">
    <w:pPr>
      <w:pStyle w:val="Footer"/>
    </w:pPr>
    <w:r w:rsidRPr="0027112F">
      <w:rPr>
        <w:noProof/>
        <w:lang w:val="en-US"/>
      </w:rPr>
      <w:drawing>
        <wp:anchor distT="0" distB="0" distL="114300" distR="114300" simplePos="0" relativeHeight="251659264" behindDoc="0" locked="1" layoutInCell="1" allowOverlap="1" wp14:anchorId="1AA42780" wp14:editId="268C2B7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1D7A8A9" w14:textId="38572469" w:rsidR="00B8572A" w:rsidRPr="00B8572A" w:rsidRDefault="00B8572A" w:rsidP="00B8572A">
    <w:pPr>
      <w:pStyle w:val="Footer"/>
      <w:ind w:right="1134"/>
      <w:rPr>
        <w:sz w:val="20"/>
      </w:rPr>
    </w:pPr>
    <w:r>
      <w:rPr>
        <w:sz w:val="20"/>
      </w:rPr>
      <w:t>GE.21-01184(E)</w:t>
    </w:r>
    <w:r>
      <w:rPr>
        <w:noProof/>
        <w:sz w:val="20"/>
      </w:rPr>
      <w:drawing>
        <wp:anchor distT="0" distB="0" distL="114300" distR="114300" simplePos="0" relativeHeight="251660288" behindDoc="0" locked="0" layoutInCell="1" allowOverlap="1" wp14:anchorId="7BF5A99C" wp14:editId="003079F8">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DECEB" w14:textId="77777777" w:rsidR="00DF1D55" w:rsidRPr="00E378AC" w:rsidRDefault="00DF1D55" w:rsidP="00E378AC">
      <w:pPr>
        <w:tabs>
          <w:tab w:val="right" w:pos="2155"/>
        </w:tabs>
        <w:spacing w:after="80"/>
        <w:ind w:left="680"/>
        <w:rPr>
          <w:u w:val="single"/>
        </w:rPr>
      </w:pPr>
      <w:r>
        <w:rPr>
          <w:u w:val="single"/>
        </w:rPr>
        <w:tab/>
      </w:r>
    </w:p>
  </w:footnote>
  <w:footnote w:type="continuationSeparator" w:id="0">
    <w:p w14:paraId="12F416B6" w14:textId="77777777" w:rsidR="00DF1D55" w:rsidRDefault="00DF1D55">
      <w:r>
        <w:continuationSeparator/>
      </w:r>
    </w:p>
  </w:footnote>
  <w:footnote w:type="continuationNotice" w:id="1">
    <w:p w14:paraId="664901FC" w14:textId="77777777" w:rsidR="00DF1D55" w:rsidRDefault="00DF1D55">
      <w:pPr>
        <w:spacing w:line="240" w:lineRule="auto"/>
      </w:pPr>
    </w:p>
  </w:footnote>
  <w:footnote w:id="2">
    <w:p w14:paraId="21EB5ECD" w14:textId="1FED1A00" w:rsidR="002E5C78" w:rsidRPr="002232AF" w:rsidRDefault="002E5C78" w:rsidP="00D72971">
      <w:pPr>
        <w:pStyle w:val="FootnoteText"/>
        <w:tabs>
          <w:tab w:val="right" w:pos="1021"/>
        </w:tabs>
        <w:spacing w:line="220" w:lineRule="exact"/>
        <w:ind w:left="1134" w:right="1134" w:hanging="1134"/>
        <w:rPr>
          <w:lang w:val="en-US"/>
        </w:rPr>
      </w:pPr>
      <w:r>
        <w:tab/>
      </w:r>
      <w:r w:rsidRPr="002232AF">
        <w:rPr>
          <w:rStyle w:val="FootnoteReference"/>
          <w:lang w:val="en-US"/>
        </w:rPr>
        <w:t>*</w:t>
      </w:r>
      <w:r w:rsidR="00D72971">
        <w:rPr>
          <w:lang w:val="en-US"/>
        </w:rPr>
        <w:tab/>
      </w:r>
      <w:r w:rsidR="00A333A6" w:rsidRPr="00D5650C">
        <w:rPr>
          <w:rStyle w:val="FootnoteReference"/>
          <w:szCs w:val="18"/>
          <w:vertAlign w:val="baseline"/>
          <w:lang w:eastAsia="fr-FR"/>
        </w:rPr>
        <w:t xml:space="preserve">In accordance with the programme of work of the Inland Transport Committee for 2021 as outlined in proposed programme budget </w:t>
      </w:r>
      <w:r w:rsidR="00A333A6" w:rsidRPr="00D72971">
        <w:rPr>
          <w:szCs w:val="22"/>
        </w:rPr>
        <w:t>for</w:t>
      </w:r>
      <w:r w:rsidR="00A333A6" w:rsidRPr="00D5650C">
        <w:rPr>
          <w:rStyle w:val="FootnoteReference"/>
          <w:szCs w:val="18"/>
          <w:vertAlign w:val="baseline"/>
          <w:lang w:eastAsia="fr-FR"/>
        </w:rPr>
        <w:t xml:space="preserve"> 2021 (A/75/6 (Sect.20), para 20.51),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1D26F" w14:textId="157DCE96" w:rsidR="00C97203" w:rsidRDefault="00C97203" w:rsidP="0040340A">
    <w:pPr>
      <w:pStyle w:val="Header"/>
    </w:pPr>
    <w:r>
      <w:t>ECE/TRANS/WP.29/GRSG/</w:t>
    </w:r>
    <w:r w:rsidRPr="00DF418A">
      <w:t>20</w:t>
    </w:r>
    <w:r>
      <w:t>2</w:t>
    </w:r>
    <w:r w:rsidR="0040340A">
      <w:t>1</w:t>
    </w:r>
    <w:r w:rsidRPr="00340A6E">
      <w:t>/</w:t>
    </w:r>
    <w:r w:rsidR="001D0DAC">
      <w:t>1</w:t>
    </w:r>
    <w:r w:rsidR="00B9585F">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AD8D" w14:textId="24BD3929" w:rsidR="00606343" w:rsidRDefault="00606343" w:rsidP="009523F1">
    <w:pPr>
      <w:pStyle w:val="Header"/>
      <w:jc w:val="right"/>
    </w:pPr>
    <w:r>
      <w:t>ECE/TRANS/WP.29/GRSG/</w:t>
    </w:r>
    <w:r w:rsidRPr="00DF418A">
      <w:t>20</w:t>
    </w:r>
    <w:r>
      <w:t>21</w:t>
    </w:r>
    <w:r w:rsidRPr="00340A6E">
      <w:t>/</w:t>
    </w:r>
    <w:r w:rsidR="001D0DAC">
      <w:t>1</w:t>
    </w:r>
    <w:r w:rsidR="00B9585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F22EF"/>
    <w:multiLevelType w:val="hybridMultilevel"/>
    <w:tmpl w:val="CFEABA3A"/>
    <w:lvl w:ilvl="0" w:tplc="0ABC540A">
      <w:numFmt w:val="bullet"/>
      <w:lvlText w:val="-"/>
      <w:lvlJc w:val="left"/>
      <w:pPr>
        <w:ind w:left="2628" w:hanging="360"/>
      </w:pPr>
      <w:rPr>
        <w:rFonts w:ascii="Times New Roman" w:eastAsia="DengXian"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1"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20968"/>
    <w:multiLevelType w:val="hybridMultilevel"/>
    <w:tmpl w:val="F4701F80"/>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30EC15F1"/>
    <w:multiLevelType w:val="multilevel"/>
    <w:tmpl w:val="CDEC752A"/>
    <w:lvl w:ilvl="0">
      <w:start w:val="5"/>
      <w:numFmt w:val="decimal"/>
      <w:lvlText w:val="%1."/>
      <w:lvlJc w:val="left"/>
      <w:pPr>
        <w:ind w:left="1494" w:hanging="360"/>
      </w:pPr>
      <w:rPr>
        <w:rFonts w:hint="default"/>
      </w:rPr>
    </w:lvl>
    <w:lvl w:ilvl="1">
      <w:start w:val="3"/>
      <w:numFmt w:val="decimal"/>
      <w:isLgl/>
      <w:lvlText w:val="%1.%2."/>
      <w:lvlJc w:val="left"/>
      <w:pPr>
        <w:ind w:left="1778" w:hanging="360"/>
      </w:pPr>
      <w:rPr>
        <w:rFonts w:hint="default"/>
        <w:strike w:val="0"/>
      </w:rPr>
    </w:lvl>
    <w:lvl w:ilvl="2">
      <w:start w:val="3"/>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4"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7AD70A7"/>
    <w:multiLevelType w:val="multilevel"/>
    <w:tmpl w:val="541073A6"/>
    <w:lvl w:ilvl="0">
      <w:start w:val="1"/>
      <w:numFmt w:val="decimal"/>
      <w:lvlText w:val="%1."/>
      <w:lvlJc w:val="left"/>
      <w:pPr>
        <w:ind w:left="1494" w:hanging="360"/>
      </w:pPr>
      <w:rPr>
        <w:rFonts w:hint="default"/>
      </w:rPr>
    </w:lvl>
    <w:lvl w:ilvl="1">
      <w:start w:val="1"/>
      <w:numFmt w:val="decimal"/>
      <w:isLgl/>
      <w:lvlText w:val="%1.%2."/>
      <w:lvlJc w:val="left"/>
      <w:pPr>
        <w:ind w:left="1636" w:hanging="360"/>
      </w:pPr>
      <w:rPr>
        <w:rFonts w:hint="default"/>
        <w:strike w:val="0"/>
        <w:lang w:val="en-GB"/>
      </w:rPr>
    </w:lvl>
    <w:lvl w:ilvl="2">
      <w:start w:val="1"/>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6" w15:restartNumberingAfterBreak="0">
    <w:nsid w:val="4C0B0359"/>
    <w:multiLevelType w:val="hybridMultilevel"/>
    <w:tmpl w:val="B5FC2FA6"/>
    <w:lvl w:ilvl="0" w:tplc="6F8E1A1A">
      <w:start w:val="1"/>
      <w:numFmt w:val="decimal"/>
      <w:lvlText w:val="%1."/>
      <w:lvlJc w:val="left"/>
      <w:pPr>
        <w:ind w:left="3704" w:hanging="360"/>
      </w:pPr>
      <w:rPr>
        <w:rFonts w:hint="default"/>
      </w:rPr>
    </w:lvl>
    <w:lvl w:ilvl="1" w:tplc="041D0019">
      <w:start w:val="1"/>
      <w:numFmt w:val="lowerLetter"/>
      <w:lvlText w:val="%2."/>
      <w:lvlJc w:val="left"/>
      <w:pPr>
        <w:ind w:left="4424" w:hanging="360"/>
      </w:pPr>
    </w:lvl>
    <w:lvl w:ilvl="2" w:tplc="041D001B" w:tentative="1">
      <w:start w:val="1"/>
      <w:numFmt w:val="lowerRoman"/>
      <w:lvlText w:val="%3."/>
      <w:lvlJc w:val="right"/>
      <w:pPr>
        <w:ind w:left="5144" w:hanging="180"/>
      </w:pPr>
    </w:lvl>
    <w:lvl w:ilvl="3" w:tplc="041D000F" w:tentative="1">
      <w:start w:val="1"/>
      <w:numFmt w:val="decimal"/>
      <w:lvlText w:val="%4."/>
      <w:lvlJc w:val="left"/>
      <w:pPr>
        <w:ind w:left="5864" w:hanging="360"/>
      </w:pPr>
    </w:lvl>
    <w:lvl w:ilvl="4" w:tplc="041D0019" w:tentative="1">
      <w:start w:val="1"/>
      <w:numFmt w:val="lowerLetter"/>
      <w:lvlText w:val="%5."/>
      <w:lvlJc w:val="left"/>
      <w:pPr>
        <w:ind w:left="6584" w:hanging="360"/>
      </w:pPr>
    </w:lvl>
    <w:lvl w:ilvl="5" w:tplc="041D001B" w:tentative="1">
      <w:start w:val="1"/>
      <w:numFmt w:val="lowerRoman"/>
      <w:lvlText w:val="%6."/>
      <w:lvlJc w:val="right"/>
      <w:pPr>
        <w:ind w:left="7304" w:hanging="180"/>
      </w:pPr>
    </w:lvl>
    <w:lvl w:ilvl="6" w:tplc="041D000F" w:tentative="1">
      <w:start w:val="1"/>
      <w:numFmt w:val="decimal"/>
      <w:lvlText w:val="%7."/>
      <w:lvlJc w:val="left"/>
      <w:pPr>
        <w:ind w:left="8024" w:hanging="360"/>
      </w:pPr>
    </w:lvl>
    <w:lvl w:ilvl="7" w:tplc="041D0019" w:tentative="1">
      <w:start w:val="1"/>
      <w:numFmt w:val="lowerLetter"/>
      <w:lvlText w:val="%8."/>
      <w:lvlJc w:val="left"/>
      <w:pPr>
        <w:ind w:left="8744" w:hanging="360"/>
      </w:pPr>
    </w:lvl>
    <w:lvl w:ilvl="8" w:tplc="041D001B" w:tentative="1">
      <w:start w:val="1"/>
      <w:numFmt w:val="lowerRoman"/>
      <w:lvlText w:val="%9."/>
      <w:lvlJc w:val="right"/>
      <w:pPr>
        <w:ind w:left="9464" w:hanging="180"/>
      </w:pPr>
    </w:lvl>
  </w:abstractNum>
  <w:abstractNum w:abstractNumId="17"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58BE32C5"/>
    <w:multiLevelType w:val="hybridMultilevel"/>
    <w:tmpl w:val="C1684772"/>
    <w:lvl w:ilvl="0" w:tplc="E238394E">
      <w:start w:val="1"/>
      <w:numFmt w:val="lowerLetter"/>
      <w:lvlText w:val="(%1)"/>
      <w:lvlJc w:val="left"/>
      <w:pPr>
        <w:ind w:left="2199" w:hanging="360"/>
      </w:pPr>
      <w:rPr>
        <w:rFonts w:hint="default"/>
      </w:rPr>
    </w:lvl>
    <w:lvl w:ilvl="1" w:tplc="040C0019" w:tentative="1">
      <w:start w:val="1"/>
      <w:numFmt w:val="lowerLetter"/>
      <w:lvlText w:val="%2."/>
      <w:lvlJc w:val="left"/>
      <w:pPr>
        <w:ind w:left="2919" w:hanging="360"/>
      </w:pPr>
    </w:lvl>
    <w:lvl w:ilvl="2" w:tplc="040C001B" w:tentative="1">
      <w:start w:val="1"/>
      <w:numFmt w:val="lowerRoman"/>
      <w:lvlText w:val="%3."/>
      <w:lvlJc w:val="right"/>
      <w:pPr>
        <w:ind w:left="3639" w:hanging="180"/>
      </w:pPr>
    </w:lvl>
    <w:lvl w:ilvl="3" w:tplc="040C000F" w:tentative="1">
      <w:start w:val="1"/>
      <w:numFmt w:val="decimal"/>
      <w:lvlText w:val="%4."/>
      <w:lvlJc w:val="left"/>
      <w:pPr>
        <w:ind w:left="4359" w:hanging="360"/>
      </w:pPr>
    </w:lvl>
    <w:lvl w:ilvl="4" w:tplc="040C0019" w:tentative="1">
      <w:start w:val="1"/>
      <w:numFmt w:val="lowerLetter"/>
      <w:lvlText w:val="%5."/>
      <w:lvlJc w:val="left"/>
      <w:pPr>
        <w:ind w:left="5079" w:hanging="360"/>
      </w:pPr>
    </w:lvl>
    <w:lvl w:ilvl="5" w:tplc="040C001B" w:tentative="1">
      <w:start w:val="1"/>
      <w:numFmt w:val="lowerRoman"/>
      <w:lvlText w:val="%6."/>
      <w:lvlJc w:val="right"/>
      <w:pPr>
        <w:ind w:left="5799" w:hanging="180"/>
      </w:pPr>
    </w:lvl>
    <w:lvl w:ilvl="6" w:tplc="040C000F" w:tentative="1">
      <w:start w:val="1"/>
      <w:numFmt w:val="decimal"/>
      <w:lvlText w:val="%7."/>
      <w:lvlJc w:val="left"/>
      <w:pPr>
        <w:ind w:left="6519" w:hanging="360"/>
      </w:pPr>
    </w:lvl>
    <w:lvl w:ilvl="7" w:tplc="040C0019" w:tentative="1">
      <w:start w:val="1"/>
      <w:numFmt w:val="lowerLetter"/>
      <w:lvlText w:val="%8."/>
      <w:lvlJc w:val="left"/>
      <w:pPr>
        <w:ind w:left="7239" w:hanging="360"/>
      </w:pPr>
    </w:lvl>
    <w:lvl w:ilvl="8" w:tplc="040C001B" w:tentative="1">
      <w:start w:val="1"/>
      <w:numFmt w:val="lowerRoman"/>
      <w:lvlText w:val="%9."/>
      <w:lvlJc w:val="right"/>
      <w:pPr>
        <w:ind w:left="7959" w:hanging="180"/>
      </w:pPr>
    </w:lvl>
  </w:abstractNum>
  <w:abstractNum w:abstractNumId="19" w15:restartNumberingAfterBreak="0">
    <w:nsid w:val="591C419D"/>
    <w:multiLevelType w:val="hybridMultilevel"/>
    <w:tmpl w:val="E8AE03E4"/>
    <w:lvl w:ilvl="0" w:tplc="0ABC540A">
      <w:numFmt w:val="bullet"/>
      <w:lvlText w:val="-"/>
      <w:lvlJc w:val="left"/>
      <w:pPr>
        <w:ind w:left="3555" w:hanging="360"/>
      </w:pPr>
      <w:rPr>
        <w:rFonts w:ascii="Times New Roman" w:eastAsia="DengXian" w:hAnsi="Times New Roman" w:cs="Times New Roman"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0" w15:restartNumberingAfterBreak="0">
    <w:nsid w:val="59B301AC"/>
    <w:multiLevelType w:val="hybridMultilevel"/>
    <w:tmpl w:val="C98A693E"/>
    <w:lvl w:ilvl="0" w:tplc="1870DAC0">
      <w:start w:val="1"/>
      <w:numFmt w:val="lowerLetter"/>
      <w:lvlText w:val="(%1)"/>
      <w:lvlJc w:val="left"/>
      <w:pPr>
        <w:ind w:left="2628" w:hanging="360"/>
      </w:pPr>
      <w:rPr>
        <w:rFonts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1" w15:restartNumberingAfterBreak="0">
    <w:nsid w:val="6280268C"/>
    <w:multiLevelType w:val="hybridMultilevel"/>
    <w:tmpl w:val="DFEE5888"/>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6AB851F6"/>
    <w:multiLevelType w:val="hybridMultilevel"/>
    <w:tmpl w:val="17F805CE"/>
    <w:lvl w:ilvl="0" w:tplc="1870DAC0">
      <w:start w:val="1"/>
      <w:numFmt w:val="lowerLetter"/>
      <w:lvlText w:val="(%1)"/>
      <w:lvlJc w:val="left"/>
      <w:pPr>
        <w:ind w:left="3555" w:hanging="360"/>
      </w:pPr>
      <w:rPr>
        <w:rFonts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3"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26"/>
  </w:num>
  <w:num w:numId="23">
    <w:abstractNumId w:val="17"/>
  </w:num>
  <w:num w:numId="24">
    <w:abstractNumId w:val="24"/>
  </w:num>
  <w:num w:numId="25">
    <w:abstractNumId w:val="23"/>
  </w:num>
  <w:num w:numId="26">
    <w:abstractNumId w:val="14"/>
  </w:num>
  <w:num w:numId="27">
    <w:abstractNumId w:val="21"/>
  </w:num>
  <w:num w:numId="28">
    <w:abstractNumId w:val="16"/>
  </w:num>
  <w:num w:numId="29">
    <w:abstractNumId w:val="18"/>
  </w:num>
  <w:num w:numId="30">
    <w:abstractNumId w:val="15"/>
  </w:num>
  <w:num w:numId="31">
    <w:abstractNumId w:val="19"/>
  </w:num>
  <w:num w:numId="32">
    <w:abstractNumId w:val="10"/>
  </w:num>
  <w:num w:numId="33">
    <w:abstractNumId w:val="13"/>
  </w:num>
  <w:num w:numId="34">
    <w:abstractNumId w:val="20"/>
  </w:num>
  <w:num w:numId="35">
    <w:abstractNumId w:val="22"/>
  </w:num>
  <w:num w:numId="36">
    <w:abstractNumId w:val="1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567"/>
  <w:hyphenationZone w:val="425"/>
  <w:evenAndOddHeaders/>
  <w:characterSpacingControl w:val="doNotCompress"/>
  <w:hdrShapeDefaults>
    <o:shapedefaults v:ext="edit" spidmax="8194"/>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11"/>
    <w:rsid w:val="00001812"/>
    <w:rsid w:val="000107D8"/>
    <w:rsid w:val="00025CF8"/>
    <w:rsid w:val="00056FD9"/>
    <w:rsid w:val="0005715A"/>
    <w:rsid w:val="00065893"/>
    <w:rsid w:val="00066E26"/>
    <w:rsid w:val="00077839"/>
    <w:rsid w:val="000A219B"/>
    <w:rsid w:val="000C356D"/>
    <w:rsid w:val="000C75E6"/>
    <w:rsid w:val="000D367D"/>
    <w:rsid w:val="000E252E"/>
    <w:rsid w:val="00101BEF"/>
    <w:rsid w:val="0011327F"/>
    <w:rsid w:val="001309F4"/>
    <w:rsid w:val="00151208"/>
    <w:rsid w:val="00156754"/>
    <w:rsid w:val="0017097E"/>
    <w:rsid w:val="00170E8B"/>
    <w:rsid w:val="00174CAC"/>
    <w:rsid w:val="00197A14"/>
    <w:rsid w:val="001B5B00"/>
    <w:rsid w:val="001C03BD"/>
    <w:rsid w:val="001D0DAC"/>
    <w:rsid w:val="001D6C5C"/>
    <w:rsid w:val="001E50C1"/>
    <w:rsid w:val="001F1DCE"/>
    <w:rsid w:val="001F27DC"/>
    <w:rsid w:val="00203BAB"/>
    <w:rsid w:val="00203C11"/>
    <w:rsid w:val="00214421"/>
    <w:rsid w:val="00216BF2"/>
    <w:rsid w:val="00222D9F"/>
    <w:rsid w:val="00223E27"/>
    <w:rsid w:val="00241002"/>
    <w:rsid w:val="00242021"/>
    <w:rsid w:val="002474FC"/>
    <w:rsid w:val="00254D5C"/>
    <w:rsid w:val="00255851"/>
    <w:rsid w:val="00255A96"/>
    <w:rsid w:val="00265779"/>
    <w:rsid w:val="0027542D"/>
    <w:rsid w:val="002879CA"/>
    <w:rsid w:val="002B3BEA"/>
    <w:rsid w:val="002B4811"/>
    <w:rsid w:val="002D24E5"/>
    <w:rsid w:val="002E1A58"/>
    <w:rsid w:val="002E3A07"/>
    <w:rsid w:val="002E5C78"/>
    <w:rsid w:val="002E6B62"/>
    <w:rsid w:val="00326F61"/>
    <w:rsid w:val="00340A6E"/>
    <w:rsid w:val="00343F08"/>
    <w:rsid w:val="00351879"/>
    <w:rsid w:val="003551C4"/>
    <w:rsid w:val="00363633"/>
    <w:rsid w:val="00363C7A"/>
    <w:rsid w:val="00373B86"/>
    <w:rsid w:val="003752C0"/>
    <w:rsid w:val="00386259"/>
    <w:rsid w:val="0039598B"/>
    <w:rsid w:val="00395AF4"/>
    <w:rsid w:val="00397754"/>
    <w:rsid w:val="003A4A40"/>
    <w:rsid w:val="003C7D56"/>
    <w:rsid w:val="003E46C0"/>
    <w:rsid w:val="0040340A"/>
    <w:rsid w:val="00411DA6"/>
    <w:rsid w:val="00416C08"/>
    <w:rsid w:val="00436A7E"/>
    <w:rsid w:val="00454729"/>
    <w:rsid w:val="00461D8F"/>
    <w:rsid w:val="004A29E9"/>
    <w:rsid w:val="004C01D3"/>
    <w:rsid w:val="004C7EC4"/>
    <w:rsid w:val="004D0240"/>
    <w:rsid w:val="004D4317"/>
    <w:rsid w:val="004D5A4F"/>
    <w:rsid w:val="004E1C7E"/>
    <w:rsid w:val="004E39C6"/>
    <w:rsid w:val="004E652D"/>
    <w:rsid w:val="00502847"/>
    <w:rsid w:val="00541748"/>
    <w:rsid w:val="00545B7A"/>
    <w:rsid w:val="00547077"/>
    <w:rsid w:val="005762BC"/>
    <w:rsid w:val="00592DED"/>
    <w:rsid w:val="005A393A"/>
    <w:rsid w:val="005A39FD"/>
    <w:rsid w:val="005A6C69"/>
    <w:rsid w:val="005B3E3F"/>
    <w:rsid w:val="005D37CC"/>
    <w:rsid w:val="005D66C8"/>
    <w:rsid w:val="006007D4"/>
    <w:rsid w:val="00602464"/>
    <w:rsid w:val="00605F2E"/>
    <w:rsid w:val="00606343"/>
    <w:rsid w:val="00627026"/>
    <w:rsid w:val="006321A9"/>
    <w:rsid w:val="00686461"/>
    <w:rsid w:val="006A2B1F"/>
    <w:rsid w:val="006B40F3"/>
    <w:rsid w:val="006C2F16"/>
    <w:rsid w:val="006F13D9"/>
    <w:rsid w:val="006F2B2E"/>
    <w:rsid w:val="006F4C48"/>
    <w:rsid w:val="006F6664"/>
    <w:rsid w:val="0070441D"/>
    <w:rsid w:val="00717F9C"/>
    <w:rsid w:val="00741F61"/>
    <w:rsid w:val="007772D5"/>
    <w:rsid w:val="0078308E"/>
    <w:rsid w:val="00785AC2"/>
    <w:rsid w:val="007B4AD8"/>
    <w:rsid w:val="007C5525"/>
    <w:rsid w:val="007C5EE4"/>
    <w:rsid w:val="007D1613"/>
    <w:rsid w:val="007D1EE3"/>
    <w:rsid w:val="007D3A93"/>
    <w:rsid w:val="007D4306"/>
    <w:rsid w:val="007D4B49"/>
    <w:rsid w:val="007E6B7A"/>
    <w:rsid w:val="007F68D2"/>
    <w:rsid w:val="008058D9"/>
    <w:rsid w:val="00810A73"/>
    <w:rsid w:val="00813236"/>
    <w:rsid w:val="0082103C"/>
    <w:rsid w:val="00831DAA"/>
    <w:rsid w:val="00840DF3"/>
    <w:rsid w:val="0084718D"/>
    <w:rsid w:val="00851340"/>
    <w:rsid w:val="00851578"/>
    <w:rsid w:val="00852CAE"/>
    <w:rsid w:val="00864117"/>
    <w:rsid w:val="008647A4"/>
    <w:rsid w:val="00873DD3"/>
    <w:rsid w:val="00875329"/>
    <w:rsid w:val="00891C12"/>
    <w:rsid w:val="008B5987"/>
    <w:rsid w:val="008D28DC"/>
    <w:rsid w:val="008D5A13"/>
    <w:rsid w:val="008F3F56"/>
    <w:rsid w:val="0092617C"/>
    <w:rsid w:val="00926B71"/>
    <w:rsid w:val="00933439"/>
    <w:rsid w:val="00941811"/>
    <w:rsid w:val="009523F1"/>
    <w:rsid w:val="00955848"/>
    <w:rsid w:val="0097132E"/>
    <w:rsid w:val="00973A7E"/>
    <w:rsid w:val="009A2543"/>
    <w:rsid w:val="009B1D25"/>
    <w:rsid w:val="009B279C"/>
    <w:rsid w:val="009B4427"/>
    <w:rsid w:val="009C2EAF"/>
    <w:rsid w:val="009C403A"/>
    <w:rsid w:val="009C5365"/>
    <w:rsid w:val="009D0DA6"/>
    <w:rsid w:val="009E1190"/>
    <w:rsid w:val="009E646F"/>
    <w:rsid w:val="009E6A52"/>
    <w:rsid w:val="00A032BE"/>
    <w:rsid w:val="00A04921"/>
    <w:rsid w:val="00A06F32"/>
    <w:rsid w:val="00A21BD6"/>
    <w:rsid w:val="00A30A47"/>
    <w:rsid w:val="00A333A6"/>
    <w:rsid w:val="00A35240"/>
    <w:rsid w:val="00A514AD"/>
    <w:rsid w:val="00A83E8D"/>
    <w:rsid w:val="00A968BD"/>
    <w:rsid w:val="00AA3F13"/>
    <w:rsid w:val="00AA7959"/>
    <w:rsid w:val="00AC4428"/>
    <w:rsid w:val="00AD2A98"/>
    <w:rsid w:val="00AD58C9"/>
    <w:rsid w:val="00AE23A3"/>
    <w:rsid w:val="00AE439A"/>
    <w:rsid w:val="00AE6268"/>
    <w:rsid w:val="00AE6E78"/>
    <w:rsid w:val="00AF702D"/>
    <w:rsid w:val="00B00785"/>
    <w:rsid w:val="00B10910"/>
    <w:rsid w:val="00B1170F"/>
    <w:rsid w:val="00B477C3"/>
    <w:rsid w:val="00B47A63"/>
    <w:rsid w:val="00B641B7"/>
    <w:rsid w:val="00B8572A"/>
    <w:rsid w:val="00B9350C"/>
    <w:rsid w:val="00B9585F"/>
    <w:rsid w:val="00BA2AF9"/>
    <w:rsid w:val="00BA51DC"/>
    <w:rsid w:val="00BA5A6C"/>
    <w:rsid w:val="00BB5FD4"/>
    <w:rsid w:val="00BE257A"/>
    <w:rsid w:val="00BE7A0C"/>
    <w:rsid w:val="00C174CE"/>
    <w:rsid w:val="00C41001"/>
    <w:rsid w:val="00C45436"/>
    <w:rsid w:val="00C539CE"/>
    <w:rsid w:val="00C7398C"/>
    <w:rsid w:val="00C74127"/>
    <w:rsid w:val="00C97203"/>
    <w:rsid w:val="00CA2168"/>
    <w:rsid w:val="00CD1564"/>
    <w:rsid w:val="00CD29FA"/>
    <w:rsid w:val="00CF5AE2"/>
    <w:rsid w:val="00D06F91"/>
    <w:rsid w:val="00D55DBE"/>
    <w:rsid w:val="00D7196E"/>
    <w:rsid w:val="00D72971"/>
    <w:rsid w:val="00D7493A"/>
    <w:rsid w:val="00D84DB0"/>
    <w:rsid w:val="00D87149"/>
    <w:rsid w:val="00D87F6B"/>
    <w:rsid w:val="00D9262A"/>
    <w:rsid w:val="00D93D8E"/>
    <w:rsid w:val="00DA42EC"/>
    <w:rsid w:val="00DC0D2A"/>
    <w:rsid w:val="00DE5079"/>
    <w:rsid w:val="00DF0E34"/>
    <w:rsid w:val="00DF1D55"/>
    <w:rsid w:val="00DF5B41"/>
    <w:rsid w:val="00E00D92"/>
    <w:rsid w:val="00E01D68"/>
    <w:rsid w:val="00E3089E"/>
    <w:rsid w:val="00E378AC"/>
    <w:rsid w:val="00E43A91"/>
    <w:rsid w:val="00E807AB"/>
    <w:rsid w:val="00E8137B"/>
    <w:rsid w:val="00E866A5"/>
    <w:rsid w:val="00E967C3"/>
    <w:rsid w:val="00EB2713"/>
    <w:rsid w:val="00EC6C24"/>
    <w:rsid w:val="00ED2A2A"/>
    <w:rsid w:val="00EE1470"/>
    <w:rsid w:val="00EE1CA3"/>
    <w:rsid w:val="00EE415B"/>
    <w:rsid w:val="00F00C55"/>
    <w:rsid w:val="00F102C5"/>
    <w:rsid w:val="00F15B64"/>
    <w:rsid w:val="00F15C8E"/>
    <w:rsid w:val="00F25052"/>
    <w:rsid w:val="00F44D0B"/>
    <w:rsid w:val="00F46647"/>
    <w:rsid w:val="00F607C0"/>
    <w:rsid w:val="00F740FA"/>
    <w:rsid w:val="00F7502A"/>
    <w:rsid w:val="00F75616"/>
    <w:rsid w:val="00F77AD7"/>
    <w:rsid w:val="00F852B9"/>
    <w:rsid w:val="00F8597C"/>
    <w:rsid w:val="00FA07FE"/>
    <w:rsid w:val="00FB6628"/>
    <w:rsid w:val="00FB6924"/>
    <w:rsid w:val="00FB7AEC"/>
    <w:rsid w:val="00FC5A7E"/>
    <w:rsid w:val="00FC653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550AD080"/>
  <w15:docId w15:val="{F3BE824B-0EEC-4387-A490-1D6D683B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lsdException w:name="Subtitle" w:locked="1" w:qFormat="1"/>
    <w:lsdException w:name="Salutation" w:locked="1" w:semiHidden="1" w:uiPriority="0"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nhideWhenUsed="1"/>
    <w:lsdException w:name="Table Web 1" w:semiHidden="1" w:unhideWhenUsed="1"/>
    <w:lsdException w:name="Table Web 2" w:semiHidden="1" w:unhideWhenUsed="1"/>
    <w:lsdException w:name="Table Web 3" w:locked="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qFormat/>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4_GR"/>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5_GR Char1"/>
    <w:link w:val="FootnoteText"/>
    <w:locked/>
    <w:rPr>
      <w:sz w:val="18"/>
      <w:lang w:val="en-GB"/>
    </w:rPr>
  </w:style>
  <w:style w:type="character" w:customStyle="1" w:styleId="HChGChar">
    <w:name w:val="_ H _Ch_G Char"/>
    <w:link w:val="HChG"/>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qFormat/>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5_GR"/>
    <w:basedOn w:val="Normal"/>
    <w:link w:val="FootnoteTextChar"/>
    <w:qFormat/>
    <w:rsid w:val="00203C11"/>
  </w:style>
  <w:style w:type="character" w:customStyle="1" w:styleId="FootnoteTextChar1">
    <w:name w:val="Footnote Text Char1"/>
    <w:aliases w:val="5_GR Char,Footnote Text Char Char"/>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uiPriority w:val="99"/>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qFormat/>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FE845-EBBE-47EC-B2D2-F090260E9226}">
  <ds:schemaRefs>
    <ds:schemaRef ds:uri="http://purl.org/dc/terms/"/>
    <ds:schemaRef ds:uri="http://purl.org/dc/dcmitype/"/>
    <ds:schemaRef ds:uri="http://schemas.microsoft.com/office/infopath/2007/PartnerControls"/>
    <ds:schemaRef ds:uri="acccb6d4-dbe5-46d2-b4d3-5733603d8cc6"/>
    <ds:schemaRef ds:uri="http://purl.org/dc/elements/1.1/"/>
    <ds:schemaRef ds:uri="http://schemas.microsoft.com/office/2006/documentManagement/types"/>
    <ds:schemaRef ds:uri="http://www.w3.org/XML/1998/namespace"/>
    <ds:schemaRef ds:uri="http://schemas.openxmlformats.org/package/2006/metadata/core-properties"/>
    <ds:schemaRef ds:uri="4b4a1c0d-4a69-4996-a84a-fc699b9f49de"/>
    <ds:schemaRef ds:uri="http://schemas.microsoft.com/office/2006/metadata/properties"/>
  </ds:schemaRefs>
</ds:datastoreItem>
</file>

<file path=customXml/itemProps2.xml><?xml version="1.0" encoding="utf-8"?>
<ds:datastoreItem xmlns:ds="http://schemas.openxmlformats.org/officeDocument/2006/customXml" ds:itemID="{78AAF6A4-B3FB-4CC1-9D16-FCA0EAEDF8D0}">
  <ds:schemaRefs>
    <ds:schemaRef ds:uri="http://schemas.microsoft.com/sharepoint/v3/contenttype/forms"/>
  </ds:schemaRefs>
</ds:datastoreItem>
</file>

<file path=customXml/itemProps3.xml><?xml version="1.0" encoding="utf-8"?>
<ds:datastoreItem xmlns:ds="http://schemas.openxmlformats.org/officeDocument/2006/customXml" ds:itemID="{6665F112-5ABD-419F-8C7F-252591871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8BEBA-C9FD-4CF2-94B7-065C2885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7508</Characters>
  <Application>Microsoft Office Word</Application>
  <DocSecurity>0</DocSecurity>
  <Lines>173</Lines>
  <Paragraphs>91</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ECE/TRANS/WP.29/GRSG/2019/34</vt:lpstr>
      <vt:lpstr>ECE/TRANS/WP.29/GRSG/2019/34</vt:lpstr>
      <vt:lpstr>ECE/TRANS/WP.29/GRSG/2019/11</vt:lpstr>
    </vt:vector>
  </TitlesOfParts>
  <Company>MIT</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ECE/TRANS/WP.29/GRSG/2021/12</dc:title>
  <dc:subject>2101184</dc:subject>
  <dc:creator>MIT</dc:creator>
  <cp:keywords/>
  <dc:description/>
  <cp:lastModifiedBy>Edna KAY</cp:lastModifiedBy>
  <cp:revision>2</cp:revision>
  <cp:lastPrinted>2019-07-19T11:29:00Z</cp:lastPrinted>
  <dcterms:created xsi:type="dcterms:W3CDTF">2021-01-29T14:05:00Z</dcterms:created>
  <dcterms:modified xsi:type="dcterms:W3CDTF">2021-01-29T14:05:00Z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y fmtid="{D5CDD505-2E9C-101B-9397-08002B2CF9AE}" pid="10" name="Order">
    <vt:r8>7078600</vt:r8>
  </property>
</Properties>
</file>