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45C58CB" w14:textId="77777777" w:rsidTr="00C97039">
        <w:trPr>
          <w:trHeight w:hRule="exact" w:val="851"/>
        </w:trPr>
        <w:tc>
          <w:tcPr>
            <w:tcW w:w="1276" w:type="dxa"/>
            <w:tcBorders>
              <w:bottom w:val="single" w:sz="4" w:space="0" w:color="auto"/>
            </w:tcBorders>
          </w:tcPr>
          <w:p w14:paraId="17E3923A" w14:textId="77777777" w:rsidR="00F35BAF" w:rsidRPr="00DB58B5" w:rsidRDefault="00F35BAF" w:rsidP="00562394"/>
        </w:tc>
        <w:tc>
          <w:tcPr>
            <w:tcW w:w="2268" w:type="dxa"/>
            <w:tcBorders>
              <w:bottom w:val="single" w:sz="4" w:space="0" w:color="auto"/>
            </w:tcBorders>
            <w:vAlign w:val="bottom"/>
          </w:tcPr>
          <w:p w14:paraId="106D85DA"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4B4BA4F" w14:textId="77777777" w:rsidR="00F35BAF" w:rsidRPr="00DB58B5" w:rsidRDefault="00562394" w:rsidP="00562394">
            <w:pPr>
              <w:jc w:val="right"/>
            </w:pPr>
            <w:r w:rsidRPr="00562394">
              <w:rPr>
                <w:sz w:val="40"/>
              </w:rPr>
              <w:t>ECE</w:t>
            </w:r>
            <w:r>
              <w:t>/TRANS/WP.29/GRSG/2021/11</w:t>
            </w:r>
          </w:p>
        </w:tc>
      </w:tr>
      <w:tr w:rsidR="00F35BAF" w:rsidRPr="00DB58B5" w14:paraId="1239D6E4" w14:textId="77777777" w:rsidTr="00C97039">
        <w:trPr>
          <w:trHeight w:hRule="exact" w:val="2835"/>
        </w:trPr>
        <w:tc>
          <w:tcPr>
            <w:tcW w:w="1276" w:type="dxa"/>
            <w:tcBorders>
              <w:top w:val="single" w:sz="4" w:space="0" w:color="auto"/>
              <w:bottom w:val="single" w:sz="12" w:space="0" w:color="auto"/>
            </w:tcBorders>
          </w:tcPr>
          <w:p w14:paraId="55C73365" w14:textId="77777777" w:rsidR="00F35BAF" w:rsidRPr="00DB58B5" w:rsidRDefault="00F35BAF" w:rsidP="00C97039">
            <w:pPr>
              <w:spacing w:before="120"/>
              <w:jc w:val="center"/>
            </w:pPr>
            <w:r>
              <w:rPr>
                <w:noProof/>
                <w:lang w:eastAsia="fr-CH"/>
              </w:rPr>
              <w:drawing>
                <wp:inline distT="0" distB="0" distL="0" distR="0" wp14:anchorId="2EC7D881" wp14:editId="43C9A1A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60B86C0"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33D6485" w14:textId="77777777" w:rsidR="00F35BAF" w:rsidRDefault="00562394" w:rsidP="00C97039">
            <w:pPr>
              <w:spacing w:before="240"/>
            </w:pPr>
            <w:r>
              <w:t>Distr. générale</w:t>
            </w:r>
          </w:p>
          <w:p w14:paraId="354603F4" w14:textId="77777777" w:rsidR="00562394" w:rsidRDefault="00562394" w:rsidP="00562394">
            <w:pPr>
              <w:spacing w:line="240" w:lineRule="exact"/>
            </w:pPr>
            <w:r>
              <w:t>29 janvier 2021</w:t>
            </w:r>
          </w:p>
          <w:p w14:paraId="5A1285F9" w14:textId="77777777" w:rsidR="00562394" w:rsidRDefault="00562394" w:rsidP="00562394">
            <w:pPr>
              <w:spacing w:line="240" w:lineRule="exact"/>
            </w:pPr>
            <w:r>
              <w:t>Français</w:t>
            </w:r>
          </w:p>
          <w:p w14:paraId="13AA9599" w14:textId="77777777" w:rsidR="00562394" w:rsidRPr="00DB58B5" w:rsidRDefault="00562394" w:rsidP="00562394">
            <w:pPr>
              <w:spacing w:line="240" w:lineRule="exact"/>
            </w:pPr>
            <w:r>
              <w:t>Original</w:t>
            </w:r>
            <w:r w:rsidR="00C26925">
              <w:t> :</w:t>
            </w:r>
            <w:r>
              <w:t xml:space="preserve"> anglais</w:t>
            </w:r>
          </w:p>
        </w:tc>
      </w:tr>
    </w:tbl>
    <w:p w14:paraId="4FF5A72B" w14:textId="77777777" w:rsidR="007F20FA" w:rsidRPr="000312C0" w:rsidRDefault="007F20FA" w:rsidP="007F20FA">
      <w:pPr>
        <w:spacing w:before="120"/>
        <w:rPr>
          <w:b/>
          <w:sz w:val="28"/>
          <w:szCs w:val="28"/>
        </w:rPr>
      </w:pPr>
      <w:r w:rsidRPr="000312C0">
        <w:rPr>
          <w:b/>
          <w:sz w:val="28"/>
          <w:szCs w:val="28"/>
        </w:rPr>
        <w:t>Commission économique pour l’Europe</w:t>
      </w:r>
    </w:p>
    <w:p w14:paraId="1E1AFB42" w14:textId="77777777" w:rsidR="007F20FA" w:rsidRDefault="007F20FA" w:rsidP="007F20FA">
      <w:pPr>
        <w:spacing w:before="120"/>
        <w:rPr>
          <w:sz w:val="28"/>
          <w:szCs w:val="28"/>
        </w:rPr>
      </w:pPr>
      <w:r w:rsidRPr="00685843">
        <w:rPr>
          <w:sz w:val="28"/>
          <w:szCs w:val="28"/>
        </w:rPr>
        <w:t>Comité des transports intérieurs</w:t>
      </w:r>
    </w:p>
    <w:p w14:paraId="0C25D644" w14:textId="77777777" w:rsidR="00C26925" w:rsidRPr="00C26925" w:rsidRDefault="00C26925" w:rsidP="00C26925">
      <w:pPr>
        <w:spacing w:before="120"/>
        <w:rPr>
          <w:b/>
          <w:sz w:val="24"/>
          <w:szCs w:val="24"/>
          <w:lang w:val="fr-FR"/>
        </w:rPr>
      </w:pPr>
      <w:r w:rsidRPr="00C26925">
        <w:rPr>
          <w:b/>
          <w:bCs/>
          <w:sz w:val="24"/>
          <w:szCs w:val="24"/>
          <w:lang w:val="fr-FR"/>
        </w:rPr>
        <w:t xml:space="preserve">Forum mondial de l’harmonisation </w:t>
      </w:r>
      <w:r w:rsidRPr="00C26925">
        <w:rPr>
          <w:b/>
          <w:bCs/>
          <w:sz w:val="24"/>
          <w:szCs w:val="24"/>
          <w:lang w:val="fr-FR"/>
        </w:rPr>
        <w:br/>
        <w:t>des Règlements concernant les véhicules</w:t>
      </w:r>
    </w:p>
    <w:p w14:paraId="2299A687" w14:textId="77777777" w:rsidR="00C26925" w:rsidRPr="00DD1BE0" w:rsidRDefault="00C26925" w:rsidP="00C26925">
      <w:pPr>
        <w:spacing w:before="120"/>
        <w:rPr>
          <w:b/>
          <w:lang w:val="fr-FR"/>
        </w:rPr>
      </w:pPr>
      <w:r w:rsidRPr="00DD1BE0">
        <w:rPr>
          <w:b/>
          <w:bCs/>
          <w:lang w:val="fr-FR"/>
        </w:rPr>
        <w:t>Groupe de travail des dispositions générales de sécurité</w:t>
      </w:r>
    </w:p>
    <w:p w14:paraId="7B9648E1" w14:textId="77777777" w:rsidR="00C26925" w:rsidRPr="00DD1BE0" w:rsidRDefault="00C26925" w:rsidP="00C26925">
      <w:pPr>
        <w:spacing w:before="120"/>
        <w:rPr>
          <w:b/>
          <w:lang w:val="fr-FR"/>
        </w:rPr>
      </w:pPr>
      <w:r w:rsidRPr="00DD1BE0">
        <w:rPr>
          <w:b/>
          <w:bCs/>
          <w:lang w:val="fr-FR"/>
        </w:rPr>
        <w:t>121</w:t>
      </w:r>
      <w:r w:rsidRPr="00DD1BE0">
        <w:rPr>
          <w:b/>
          <w:bCs/>
          <w:vertAlign w:val="superscript"/>
          <w:lang w:val="fr-FR"/>
        </w:rPr>
        <w:t>e</w:t>
      </w:r>
      <w:r w:rsidRPr="00DD1BE0">
        <w:rPr>
          <w:b/>
          <w:bCs/>
          <w:lang w:val="fr-FR"/>
        </w:rPr>
        <w:t xml:space="preserve"> session</w:t>
      </w:r>
    </w:p>
    <w:p w14:paraId="4F76D6A6" w14:textId="77777777" w:rsidR="00C26925" w:rsidRPr="00DD1BE0" w:rsidRDefault="00C26925" w:rsidP="00C26925">
      <w:pPr>
        <w:rPr>
          <w:lang w:val="fr-FR"/>
        </w:rPr>
      </w:pPr>
      <w:r w:rsidRPr="00DD1BE0">
        <w:rPr>
          <w:lang w:val="fr-FR"/>
        </w:rPr>
        <w:t>Genève, 12-16 avril 2021</w:t>
      </w:r>
    </w:p>
    <w:p w14:paraId="1D158256" w14:textId="77777777" w:rsidR="00C26925" w:rsidRPr="00DD1BE0" w:rsidRDefault="00C26925" w:rsidP="00C26925">
      <w:pPr>
        <w:rPr>
          <w:lang w:val="fr-FR"/>
        </w:rPr>
      </w:pPr>
      <w:r w:rsidRPr="00DD1BE0">
        <w:rPr>
          <w:lang w:val="fr-FR"/>
        </w:rPr>
        <w:t>Point 10 a) de l’ordre du jour provisoire</w:t>
      </w:r>
    </w:p>
    <w:p w14:paraId="5D35E386" w14:textId="77777777" w:rsidR="00C26925" w:rsidRPr="00DD1BE0" w:rsidRDefault="00C26925" w:rsidP="00C26925">
      <w:pPr>
        <w:rPr>
          <w:b/>
          <w:lang w:val="fr-FR"/>
        </w:rPr>
      </w:pPr>
      <w:r w:rsidRPr="00DD1BE0">
        <w:rPr>
          <w:b/>
          <w:bCs/>
          <w:lang w:val="fr-FR"/>
        </w:rPr>
        <w:t xml:space="preserve">Amendements aux Règlements relatifs aux dispositifs de protection </w:t>
      </w:r>
      <w:r>
        <w:rPr>
          <w:b/>
          <w:bCs/>
          <w:lang w:val="fr-FR"/>
        </w:rPr>
        <w:br/>
      </w:r>
      <w:r w:rsidRPr="00DD1BE0">
        <w:rPr>
          <w:b/>
          <w:bCs/>
          <w:lang w:val="fr-FR"/>
        </w:rPr>
        <w:t xml:space="preserve">contre une utilisation non autorisée, aux dispositifs d’immobilisation </w:t>
      </w:r>
      <w:r>
        <w:rPr>
          <w:b/>
          <w:bCs/>
          <w:lang w:val="fr-FR"/>
        </w:rPr>
        <w:br/>
      </w:r>
      <w:r w:rsidRPr="00DD1BE0">
        <w:rPr>
          <w:b/>
          <w:bCs/>
          <w:lang w:val="fr-FR"/>
        </w:rPr>
        <w:t>et aux systèmes d’alarme pour véhicules</w:t>
      </w:r>
      <w:r>
        <w:rPr>
          <w:b/>
          <w:bCs/>
          <w:lang w:val="fr-FR"/>
        </w:rPr>
        <w:br/>
      </w:r>
      <w:r w:rsidRPr="00DD1BE0">
        <w:rPr>
          <w:b/>
          <w:bCs/>
          <w:lang w:val="fr-FR"/>
        </w:rPr>
        <w:t>Règlement ONU n</w:t>
      </w:r>
      <w:r w:rsidRPr="00DD1BE0">
        <w:rPr>
          <w:b/>
          <w:bCs/>
          <w:vertAlign w:val="superscript"/>
          <w:lang w:val="fr-FR"/>
        </w:rPr>
        <w:t>o</w:t>
      </w:r>
      <w:r>
        <w:rPr>
          <w:b/>
          <w:bCs/>
          <w:lang w:val="fr-FR"/>
        </w:rPr>
        <w:t> </w:t>
      </w:r>
      <w:r w:rsidRPr="00DD1BE0">
        <w:rPr>
          <w:b/>
          <w:bCs/>
          <w:lang w:val="fr-FR"/>
        </w:rPr>
        <w:t>116 (Dispositifs antivol et systèmes d’alarme)</w:t>
      </w:r>
    </w:p>
    <w:p w14:paraId="7766740D" w14:textId="77777777" w:rsidR="00C26925" w:rsidRPr="00DD1BE0" w:rsidRDefault="00C26925" w:rsidP="00C26925">
      <w:pPr>
        <w:pStyle w:val="HChG"/>
        <w:rPr>
          <w:lang w:val="fr-FR"/>
        </w:rPr>
      </w:pPr>
      <w:r w:rsidRPr="00DD1BE0">
        <w:rPr>
          <w:lang w:val="fr-FR"/>
        </w:rPr>
        <w:tab/>
      </w:r>
      <w:r w:rsidRPr="00DD1BE0">
        <w:rPr>
          <w:lang w:val="fr-FR"/>
        </w:rPr>
        <w:tab/>
        <w:t>Proposition de série 01 d’amendements au Règlement ONU n</w:t>
      </w:r>
      <w:r w:rsidRPr="00DD1BE0">
        <w:rPr>
          <w:vertAlign w:val="superscript"/>
          <w:lang w:val="fr-FR"/>
        </w:rPr>
        <w:t>o</w:t>
      </w:r>
      <w:r>
        <w:rPr>
          <w:lang w:val="fr-FR"/>
        </w:rPr>
        <w:t> </w:t>
      </w:r>
      <w:r w:rsidRPr="00DD1BE0">
        <w:rPr>
          <w:lang w:val="fr-FR"/>
        </w:rPr>
        <w:t>116 (Dispositifs antivol et systèmes d’alarme)</w:t>
      </w:r>
    </w:p>
    <w:p w14:paraId="307F17E6" w14:textId="77777777" w:rsidR="00C26925" w:rsidRDefault="00C26925" w:rsidP="00C26925">
      <w:pPr>
        <w:pStyle w:val="H1G"/>
        <w:rPr>
          <w:lang w:val="fr-FR"/>
        </w:rPr>
      </w:pPr>
      <w:r w:rsidRPr="00DD1BE0">
        <w:rPr>
          <w:lang w:val="fr-FR"/>
        </w:rPr>
        <w:tab/>
      </w:r>
      <w:r w:rsidRPr="00DD1BE0">
        <w:rPr>
          <w:lang w:val="fr-FR"/>
        </w:rPr>
        <w:tab/>
        <w:t>Communication des experts de l’équipe spéciale du GRSG chargée du</w:t>
      </w:r>
      <w:r>
        <w:rPr>
          <w:lang w:val="fr-FR"/>
        </w:rPr>
        <w:t> </w:t>
      </w:r>
      <w:r w:rsidRPr="00DD1BE0">
        <w:rPr>
          <w:lang w:val="fr-FR"/>
        </w:rPr>
        <w:t>Règlement ONU n</w:t>
      </w:r>
      <w:r w:rsidRPr="00DD1BE0">
        <w:rPr>
          <w:vertAlign w:val="superscript"/>
          <w:lang w:val="fr-FR"/>
        </w:rPr>
        <w:t>o</w:t>
      </w:r>
      <w:r w:rsidR="00CB7D17">
        <w:rPr>
          <w:lang w:val="fr-FR"/>
        </w:rPr>
        <w:t> 1</w:t>
      </w:r>
      <w:r w:rsidRPr="00DD1BE0">
        <w:rPr>
          <w:lang w:val="fr-FR"/>
        </w:rPr>
        <w:t>16 sur les clefs</w:t>
      </w:r>
      <w:r w:rsidRPr="00C26925">
        <w:rPr>
          <w:b w:val="0"/>
          <w:bCs/>
          <w:sz w:val="20"/>
          <w:lang w:val="fr-FR"/>
        </w:rPr>
        <w:footnoteReference w:customMarkFollows="1" w:id="2"/>
        <w:t>*</w:t>
      </w:r>
    </w:p>
    <w:p w14:paraId="16C4B217" w14:textId="77777777" w:rsidR="00C26925" w:rsidRPr="00DD1BE0" w:rsidRDefault="00C26925" w:rsidP="00C26925">
      <w:pPr>
        <w:pStyle w:val="SingleTxtG"/>
        <w:ind w:firstLine="567"/>
        <w:rPr>
          <w:lang w:val="fr-FR"/>
        </w:rPr>
      </w:pPr>
      <w:r w:rsidRPr="00DD1BE0">
        <w:rPr>
          <w:lang w:val="fr-FR"/>
        </w:rPr>
        <w:t>Le texte ci-après a été élaboré par les experts de l’équipe spéciale du GRSG chargée du Règlement ONU n</w:t>
      </w:r>
      <w:r w:rsidRPr="00DD1BE0">
        <w:rPr>
          <w:vertAlign w:val="superscript"/>
          <w:lang w:val="fr-FR"/>
        </w:rPr>
        <w:t>o</w:t>
      </w:r>
      <w:r>
        <w:rPr>
          <w:lang w:val="fr-FR"/>
        </w:rPr>
        <w:t> </w:t>
      </w:r>
      <w:r w:rsidRPr="00DD1BE0">
        <w:rPr>
          <w:lang w:val="fr-FR"/>
        </w:rPr>
        <w:t xml:space="preserve">116 sur les clefs, en remplacement de la proposition de l’OICA publiée sous la cote </w:t>
      </w:r>
      <w:bookmarkStart w:id="0" w:name="_Hlk64272941"/>
      <w:r w:rsidRPr="00DD1BE0">
        <w:rPr>
          <w:lang w:val="fr-FR"/>
        </w:rPr>
        <w:t>ECE/TRANS/WP.29/GRSG/2020/24</w:t>
      </w:r>
      <w:bookmarkEnd w:id="0"/>
      <w:r w:rsidRPr="00DD1BE0">
        <w:rPr>
          <w:lang w:val="fr-FR"/>
        </w:rPr>
        <w:t>. Les modifications qu’il est proposé d’apporter au texte actuel du Règlement ONU n</w:t>
      </w:r>
      <w:r w:rsidRPr="00DD1BE0">
        <w:rPr>
          <w:vertAlign w:val="superscript"/>
          <w:lang w:val="fr-FR"/>
        </w:rPr>
        <w:t>o</w:t>
      </w:r>
      <w:r>
        <w:rPr>
          <w:lang w:val="fr-FR"/>
        </w:rPr>
        <w:t> </w:t>
      </w:r>
      <w:r w:rsidRPr="00DD1BE0">
        <w:rPr>
          <w:lang w:val="fr-FR"/>
        </w:rPr>
        <w:t>116 figurent en caractères gras.</w:t>
      </w:r>
    </w:p>
    <w:p w14:paraId="12F0E68A" w14:textId="77777777" w:rsidR="00C26925" w:rsidRDefault="00C26925">
      <w:pPr>
        <w:suppressAutoHyphens w:val="0"/>
        <w:kinsoku/>
        <w:overflowPunct/>
        <w:autoSpaceDE/>
        <w:autoSpaceDN/>
        <w:adjustRightInd/>
        <w:snapToGrid/>
        <w:spacing w:after="200" w:line="276" w:lineRule="auto"/>
        <w:rPr>
          <w:b/>
          <w:sz w:val="28"/>
          <w:lang w:val="fr-FR"/>
        </w:rPr>
      </w:pPr>
      <w:r>
        <w:rPr>
          <w:lang w:val="fr-FR"/>
        </w:rPr>
        <w:br w:type="page"/>
      </w:r>
    </w:p>
    <w:p w14:paraId="3EC8E8DE" w14:textId="77777777" w:rsidR="00C26925" w:rsidRPr="00DD1BE0" w:rsidRDefault="00C26925" w:rsidP="00C26925">
      <w:pPr>
        <w:pStyle w:val="HChG"/>
        <w:rPr>
          <w:lang w:val="fr-FR"/>
        </w:rPr>
      </w:pPr>
      <w:r>
        <w:rPr>
          <w:lang w:val="fr-FR"/>
        </w:rPr>
        <w:lastRenderedPageBreak/>
        <w:tab/>
      </w:r>
      <w:r w:rsidRPr="00DD1BE0">
        <w:rPr>
          <w:lang w:val="fr-FR"/>
        </w:rPr>
        <w:t>I.</w:t>
      </w:r>
      <w:r w:rsidRPr="00DD1BE0">
        <w:rPr>
          <w:lang w:val="fr-FR"/>
        </w:rPr>
        <w:tab/>
        <w:t>Proposition</w:t>
      </w:r>
    </w:p>
    <w:p w14:paraId="3C9A50FC" w14:textId="77777777" w:rsidR="00C26925" w:rsidRPr="00DD1BE0" w:rsidRDefault="00C26925" w:rsidP="00C26925">
      <w:pPr>
        <w:pStyle w:val="SingleTxtG"/>
        <w:rPr>
          <w:rFonts w:eastAsia="DengXian"/>
          <w:lang w:val="fr-FR"/>
        </w:rPr>
      </w:pPr>
      <w:r w:rsidRPr="00C26925">
        <w:rPr>
          <w:i/>
          <w:iCs/>
          <w:lang w:val="fr-FR"/>
        </w:rPr>
        <w:t>Paragraphe 5.1.5</w:t>
      </w:r>
      <w:r w:rsidRPr="00DD1BE0">
        <w:rPr>
          <w:lang w:val="fr-FR"/>
        </w:rPr>
        <w:t>, lire</w:t>
      </w:r>
      <w:r>
        <w:rPr>
          <w:lang w:val="fr-FR"/>
        </w:rPr>
        <w:t> :</w:t>
      </w:r>
    </w:p>
    <w:p w14:paraId="0721A034" w14:textId="77777777" w:rsidR="00C26925" w:rsidRPr="00DD1BE0" w:rsidRDefault="00C26925" w:rsidP="00C26925">
      <w:pPr>
        <w:pStyle w:val="SingleTxtG"/>
        <w:ind w:left="2268" w:hanging="1134"/>
        <w:rPr>
          <w:rFonts w:eastAsia="DengXian"/>
          <w:lang w:val="fr-FR"/>
        </w:rPr>
      </w:pPr>
      <w:r w:rsidRPr="00DD1BE0">
        <w:rPr>
          <w:lang w:val="fr-FR"/>
        </w:rPr>
        <w:t>« 5.1.5</w:t>
      </w:r>
      <w:r w:rsidRPr="00DD1BE0">
        <w:rPr>
          <w:lang w:val="fr-FR"/>
        </w:rPr>
        <w:tab/>
      </w:r>
      <w:bookmarkStart w:id="1" w:name="_Hlk63685238"/>
      <w:r w:rsidRPr="00DD1BE0">
        <w:rPr>
          <w:lang w:val="fr-FR"/>
        </w:rPr>
        <w:t xml:space="preserve">Par </w:t>
      </w:r>
      <w:r w:rsidR="009E7732">
        <w:rPr>
          <w:lang w:val="fr-FR"/>
        </w:rPr>
        <w:t>“</w:t>
      </w:r>
      <w:r w:rsidRPr="00DD1BE0">
        <w:rPr>
          <w:i/>
          <w:iCs/>
          <w:lang w:val="fr-FR"/>
        </w:rPr>
        <w:t>clef</w:t>
      </w:r>
      <w:r w:rsidR="009E7732">
        <w:rPr>
          <w:lang w:val="fr-FR"/>
        </w:rPr>
        <w:t>”</w:t>
      </w:r>
      <w:r w:rsidRPr="00DD1BE0">
        <w:rPr>
          <w:lang w:val="fr-FR"/>
        </w:rPr>
        <w:t>, tout</w:t>
      </w:r>
      <w:r w:rsidRPr="00DD1BE0">
        <w:rPr>
          <w:b/>
          <w:bCs/>
          <w:lang w:val="fr-FR"/>
        </w:rPr>
        <w:t>e</w:t>
      </w:r>
      <w:r w:rsidRPr="00DD1BE0">
        <w:rPr>
          <w:lang w:val="fr-FR"/>
        </w:rPr>
        <w:t xml:space="preserve"> </w:t>
      </w:r>
      <w:r w:rsidRPr="00DD1BE0">
        <w:rPr>
          <w:strike/>
          <w:lang w:val="fr-FR"/>
        </w:rPr>
        <w:t>dispositif</w:t>
      </w:r>
      <w:r w:rsidRPr="00DD1BE0">
        <w:rPr>
          <w:lang w:val="fr-FR"/>
        </w:rPr>
        <w:t xml:space="preserve"> </w:t>
      </w:r>
      <w:r w:rsidRPr="00DD1BE0">
        <w:rPr>
          <w:b/>
          <w:bCs/>
          <w:lang w:val="fr-FR"/>
        </w:rPr>
        <w:t>solution</w:t>
      </w:r>
      <w:r w:rsidRPr="00DD1BE0">
        <w:rPr>
          <w:lang w:val="fr-FR"/>
        </w:rPr>
        <w:t xml:space="preserve"> </w:t>
      </w:r>
      <w:r w:rsidRPr="00DD1BE0">
        <w:rPr>
          <w:b/>
          <w:bCs/>
          <w:lang w:val="fr-FR"/>
        </w:rPr>
        <w:t>mécanique ou électronique</w:t>
      </w:r>
      <w:r w:rsidRPr="00DD1BE0">
        <w:rPr>
          <w:lang w:val="fr-FR"/>
        </w:rPr>
        <w:t xml:space="preserve"> conçu</w:t>
      </w:r>
      <w:r w:rsidRPr="00DD1BE0">
        <w:rPr>
          <w:b/>
          <w:bCs/>
          <w:lang w:val="fr-FR"/>
        </w:rPr>
        <w:t>e</w:t>
      </w:r>
      <w:r w:rsidRPr="00DD1BE0">
        <w:rPr>
          <w:lang w:val="fr-FR"/>
        </w:rPr>
        <w:t xml:space="preserve"> et construit</w:t>
      </w:r>
      <w:r w:rsidRPr="00DD1BE0">
        <w:rPr>
          <w:b/>
          <w:bCs/>
          <w:lang w:val="fr-FR"/>
        </w:rPr>
        <w:t>e</w:t>
      </w:r>
      <w:r w:rsidRPr="00DD1BE0">
        <w:rPr>
          <w:lang w:val="fr-FR"/>
        </w:rPr>
        <w:t xml:space="preserve"> pour faire fonctionner un système de verrouillage, lui-même conçu et construit pour pouvoir être actionné </w:t>
      </w:r>
      <w:r w:rsidRPr="00DD1BE0">
        <w:rPr>
          <w:strike/>
          <w:lang w:val="fr-FR"/>
        </w:rPr>
        <w:t xml:space="preserve">uniquement </w:t>
      </w:r>
      <w:r w:rsidRPr="00DD1BE0">
        <w:rPr>
          <w:lang w:val="fr-FR"/>
        </w:rPr>
        <w:t xml:space="preserve">par </w:t>
      </w:r>
      <w:r w:rsidRPr="00DD1BE0">
        <w:rPr>
          <w:strike/>
          <w:lang w:val="fr-FR"/>
        </w:rPr>
        <w:t xml:space="preserve">ce dispositif </w:t>
      </w:r>
      <w:r w:rsidRPr="00DD1BE0">
        <w:rPr>
          <w:lang w:val="fr-FR"/>
        </w:rPr>
        <w:t xml:space="preserve">cette </w:t>
      </w:r>
      <w:r w:rsidRPr="00DD1BE0">
        <w:rPr>
          <w:b/>
          <w:bCs/>
          <w:lang w:val="fr-FR"/>
        </w:rPr>
        <w:t>solution mécanique ou électronique</w:t>
      </w:r>
      <w:bookmarkEnd w:id="1"/>
      <w:r w:rsidR="009E7732" w:rsidRPr="009E7732">
        <w:rPr>
          <w:b/>
          <w:bCs/>
          <w:lang w:val="fr-FR"/>
        </w:rPr>
        <w:t> </w:t>
      </w:r>
      <w:r w:rsidR="009E7732" w:rsidRPr="00CB7D17">
        <w:rPr>
          <w:lang w:val="fr-FR"/>
        </w:rPr>
        <w:t>;</w:t>
      </w:r>
      <w:r w:rsidRPr="00CB7D17">
        <w:rPr>
          <w:lang w:val="fr-FR"/>
        </w:rPr>
        <w:t> </w:t>
      </w:r>
      <w:r w:rsidRPr="00DD1BE0">
        <w:rPr>
          <w:lang w:val="fr-FR"/>
        </w:rPr>
        <w:t>».</w:t>
      </w:r>
    </w:p>
    <w:p w14:paraId="300B9766" w14:textId="77777777" w:rsidR="00C26925" w:rsidRPr="00DD1BE0" w:rsidRDefault="00C26925" w:rsidP="00C26925">
      <w:pPr>
        <w:pStyle w:val="SingleTxtG"/>
        <w:rPr>
          <w:rFonts w:eastAsia="DengXian"/>
          <w:lang w:val="fr-FR"/>
        </w:rPr>
      </w:pPr>
      <w:r w:rsidRPr="00C26925">
        <w:rPr>
          <w:i/>
          <w:iCs/>
          <w:lang w:val="fr-FR"/>
        </w:rPr>
        <w:t>Ajouter les nouveaux paragraphes 5.1.7 à 5.1.9</w:t>
      </w:r>
      <w:r w:rsidRPr="00DD1BE0">
        <w:rPr>
          <w:lang w:val="fr-FR"/>
        </w:rPr>
        <w:t>, libellés comme suit</w:t>
      </w:r>
      <w:r>
        <w:rPr>
          <w:lang w:val="fr-FR"/>
        </w:rPr>
        <w:t> :</w:t>
      </w:r>
    </w:p>
    <w:p w14:paraId="47BBF9D9" w14:textId="77777777" w:rsidR="00C26925" w:rsidRPr="00CB7D17" w:rsidRDefault="00C26925" w:rsidP="00C26925">
      <w:pPr>
        <w:pStyle w:val="SingleTxtG"/>
        <w:ind w:left="2268" w:hanging="1134"/>
        <w:rPr>
          <w:rFonts w:eastAsia="DengXian"/>
          <w:b/>
          <w:bCs/>
          <w:lang w:val="fr-FR"/>
        </w:rPr>
      </w:pPr>
      <w:r w:rsidRPr="00C26925">
        <w:rPr>
          <w:lang w:val="fr-FR"/>
        </w:rPr>
        <w:t>«</w:t>
      </w:r>
      <w:r w:rsidRPr="00DD1BE0">
        <w:rPr>
          <w:b/>
          <w:bCs/>
          <w:lang w:val="fr-FR"/>
        </w:rPr>
        <w:t> 5.1.7</w:t>
      </w:r>
      <w:r w:rsidRPr="00DD1BE0">
        <w:rPr>
          <w:lang w:val="fr-FR"/>
        </w:rPr>
        <w:tab/>
      </w:r>
      <w:r w:rsidRPr="00DD1BE0">
        <w:rPr>
          <w:lang w:val="fr-FR"/>
        </w:rPr>
        <w:tab/>
      </w:r>
      <w:r w:rsidRPr="00DD1BE0">
        <w:rPr>
          <w:b/>
          <w:bCs/>
          <w:lang w:val="fr-FR"/>
        </w:rPr>
        <w:t xml:space="preserve">Par </w:t>
      </w:r>
      <w:r w:rsidR="009E7732">
        <w:rPr>
          <w:b/>
          <w:bCs/>
          <w:lang w:val="fr-FR"/>
        </w:rPr>
        <w:t>“</w:t>
      </w:r>
      <w:r w:rsidRPr="00DD1BE0">
        <w:rPr>
          <w:b/>
          <w:bCs/>
          <w:i/>
          <w:iCs/>
          <w:lang w:val="fr-FR"/>
        </w:rPr>
        <w:t>utilisateur principal</w:t>
      </w:r>
      <w:r w:rsidR="009E7732">
        <w:rPr>
          <w:b/>
          <w:bCs/>
          <w:lang w:val="fr-FR"/>
        </w:rPr>
        <w:t>”</w:t>
      </w:r>
      <w:r w:rsidRPr="00DD1BE0">
        <w:rPr>
          <w:b/>
          <w:bCs/>
          <w:lang w:val="fr-FR"/>
        </w:rPr>
        <w:t xml:space="preserve">, un utilisateur habilité à autoriser des clefs </w:t>
      </w:r>
      <w:r w:rsidRPr="00CB7D17">
        <w:rPr>
          <w:b/>
          <w:bCs/>
          <w:lang w:val="fr-FR"/>
        </w:rPr>
        <w:t>numériques. Il peut y avoir plus d’un utilisateur principal ;</w:t>
      </w:r>
    </w:p>
    <w:p w14:paraId="116CD2DA" w14:textId="77777777" w:rsidR="00C26925" w:rsidRPr="00CB7D17" w:rsidRDefault="00C26925" w:rsidP="00C26925">
      <w:pPr>
        <w:pStyle w:val="SingleTxtG"/>
        <w:ind w:left="2268" w:hanging="1134"/>
        <w:rPr>
          <w:b/>
          <w:bCs/>
          <w:lang w:val="fr-FR"/>
        </w:rPr>
      </w:pPr>
      <w:r w:rsidRPr="00CB7D17">
        <w:rPr>
          <w:b/>
          <w:bCs/>
          <w:lang w:val="fr-FR"/>
        </w:rPr>
        <w:t>5.1.8</w:t>
      </w:r>
      <w:r w:rsidRPr="00CB7D17">
        <w:rPr>
          <w:b/>
          <w:bCs/>
          <w:lang w:val="fr-FR"/>
        </w:rPr>
        <w:tab/>
        <w:t xml:space="preserve">Par </w:t>
      </w:r>
      <w:r w:rsidR="009E7732" w:rsidRPr="00CB7D17">
        <w:rPr>
          <w:b/>
          <w:bCs/>
          <w:lang w:val="fr-FR"/>
        </w:rPr>
        <w:t>“</w:t>
      </w:r>
      <w:r w:rsidRPr="00CB7D17">
        <w:rPr>
          <w:b/>
          <w:bCs/>
          <w:i/>
          <w:iCs/>
          <w:lang w:val="fr-FR"/>
        </w:rPr>
        <w:t>cl</w:t>
      </w:r>
      <w:r w:rsidR="009E7732" w:rsidRPr="00CB7D17">
        <w:rPr>
          <w:b/>
          <w:bCs/>
          <w:i/>
          <w:iCs/>
          <w:lang w:val="fr-FR"/>
        </w:rPr>
        <w:t>ef</w:t>
      </w:r>
      <w:r w:rsidRPr="00CB7D17">
        <w:rPr>
          <w:b/>
          <w:bCs/>
          <w:i/>
          <w:iCs/>
          <w:lang w:val="fr-FR"/>
        </w:rPr>
        <w:t xml:space="preserve"> numérique</w:t>
      </w:r>
      <w:r w:rsidR="009E7732" w:rsidRPr="00CB7D17">
        <w:rPr>
          <w:b/>
          <w:bCs/>
          <w:lang w:val="fr-FR"/>
        </w:rPr>
        <w:t>”</w:t>
      </w:r>
      <w:r w:rsidRPr="00CB7D17">
        <w:rPr>
          <w:b/>
          <w:bCs/>
          <w:lang w:val="fr-FR"/>
        </w:rPr>
        <w:t>, une clef conçue de manière à être transférée sur plusieurs dispositifs par le ou les utilisateurs principaux au moyen de procédures ad hoc ;</w:t>
      </w:r>
    </w:p>
    <w:p w14:paraId="16E1A095" w14:textId="77777777" w:rsidR="00C26925" w:rsidRPr="00DD1BE0" w:rsidRDefault="00C26925" w:rsidP="00C26925">
      <w:pPr>
        <w:pStyle w:val="SingleTxtG"/>
        <w:ind w:left="2268" w:hanging="1134"/>
        <w:rPr>
          <w:rFonts w:eastAsia="DengXian"/>
          <w:b/>
          <w:lang w:val="fr-FR"/>
        </w:rPr>
      </w:pPr>
      <w:r w:rsidRPr="00CB7D17">
        <w:rPr>
          <w:b/>
          <w:bCs/>
          <w:lang w:val="fr-FR"/>
        </w:rPr>
        <w:t>5.1.9</w:t>
      </w:r>
      <w:r w:rsidRPr="00CB7D17">
        <w:rPr>
          <w:b/>
          <w:bCs/>
          <w:lang w:val="fr-FR"/>
        </w:rPr>
        <w:tab/>
      </w:r>
      <w:r w:rsidRPr="00DD1BE0">
        <w:rPr>
          <w:b/>
          <w:bCs/>
          <w:lang w:val="fr-FR"/>
        </w:rPr>
        <w:t xml:space="preserve">Par </w:t>
      </w:r>
      <w:r w:rsidR="009E7732">
        <w:rPr>
          <w:b/>
          <w:bCs/>
          <w:lang w:val="fr-FR"/>
        </w:rPr>
        <w:t>“</w:t>
      </w:r>
      <w:r w:rsidRPr="00DD1BE0">
        <w:rPr>
          <w:b/>
          <w:bCs/>
          <w:i/>
          <w:iCs/>
          <w:lang w:val="fr-FR"/>
        </w:rPr>
        <w:t>proximité immédiate</w:t>
      </w:r>
      <w:r w:rsidR="009E7732">
        <w:rPr>
          <w:b/>
          <w:bCs/>
          <w:lang w:val="fr-FR"/>
        </w:rPr>
        <w:t>”</w:t>
      </w:r>
      <w:r w:rsidRPr="00DD1BE0">
        <w:rPr>
          <w:b/>
          <w:bCs/>
          <w:lang w:val="fr-FR"/>
        </w:rPr>
        <w:t>, une distance inférieure à [6</w:t>
      </w:r>
      <w:r w:rsidR="009E7732">
        <w:rPr>
          <w:b/>
          <w:bCs/>
          <w:lang w:val="fr-FR"/>
        </w:rPr>
        <w:t> </w:t>
      </w:r>
      <w:r w:rsidRPr="00DD1BE0">
        <w:rPr>
          <w:b/>
          <w:bCs/>
          <w:lang w:val="fr-FR"/>
        </w:rPr>
        <w:t>m]. </w:t>
      </w:r>
      <w:r w:rsidRPr="00DD1BE0">
        <w:rPr>
          <w:lang w:val="fr-FR"/>
        </w:rPr>
        <w:t>».</w:t>
      </w:r>
    </w:p>
    <w:p w14:paraId="68DA2E1F" w14:textId="77777777" w:rsidR="00C26925" w:rsidRPr="00DD1BE0" w:rsidRDefault="00C26925" w:rsidP="00C26925">
      <w:pPr>
        <w:pStyle w:val="SingleTxtG"/>
        <w:rPr>
          <w:rFonts w:eastAsia="DengXian"/>
          <w:lang w:val="fr-FR"/>
        </w:rPr>
      </w:pPr>
      <w:r w:rsidRPr="00C26925">
        <w:rPr>
          <w:i/>
          <w:iCs/>
          <w:lang w:val="fr-FR"/>
        </w:rPr>
        <w:t>Ajouter le nouveau paragraphe 5.2.16</w:t>
      </w:r>
      <w:r w:rsidRPr="00DD1BE0">
        <w:rPr>
          <w:lang w:val="fr-FR"/>
        </w:rPr>
        <w:t>, libellé comme suit</w:t>
      </w:r>
      <w:r>
        <w:rPr>
          <w:lang w:val="fr-FR"/>
        </w:rPr>
        <w:t> :</w:t>
      </w:r>
    </w:p>
    <w:p w14:paraId="15284BBB" w14:textId="77777777" w:rsidR="00C26925" w:rsidRPr="00DD1BE0" w:rsidRDefault="00C26925" w:rsidP="00C26925">
      <w:pPr>
        <w:pStyle w:val="SingleTxtG"/>
        <w:ind w:left="2268" w:hanging="1134"/>
        <w:rPr>
          <w:rFonts w:eastAsia="DengXian"/>
          <w:lang w:val="fr-FR"/>
        </w:rPr>
      </w:pPr>
      <w:r w:rsidRPr="00DD1BE0">
        <w:rPr>
          <w:lang w:val="fr-FR"/>
        </w:rPr>
        <w:t>« </w:t>
      </w:r>
      <w:r w:rsidRPr="00DD1BE0">
        <w:rPr>
          <w:b/>
          <w:bCs/>
          <w:lang w:val="fr-FR"/>
        </w:rPr>
        <w:t>5.2.16</w:t>
      </w:r>
      <w:r w:rsidRPr="00DD1BE0">
        <w:rPr>
          <w:lang w:val="fr-FR"/>
        </w:rPr>
        <w:tab/>
      </w:r>
      <w:r w:rsidRPr="00DD1BE0">
        <w:rPr>
          <w:b/>
          <w:bCs/>
          <w:lang w:val="fr-FR"/>
        </w:rPr>
        <w:t>En outre, les clefs numériques doivent satisfaire aux dispositions de l’annexe 11. </w:t>
      </w:r>
      <w:r w:rsidRPr="00DD1BE0">
        <w:rPr>
          <w:lang w:val="fr-FR"/>
        </w:rPr>
        <w:t>».</w:t>
      </w:r>
    </w:p>
    <w:p w14:paraId="45EE1110" w14:textId="77777777" w:rsidR="00C26925" w:rsidRDefault="00C26925" w:rsidP="00C26925">
      <w:pPr>
        <w:pStyle w:val="SingleTxtG"/>
        <w:rPr>
          <w:lang w:val="fr-FR"/>
        </w:rPr>
      </w:pPr>
      <w:r w:rsidRPr="00C26925">
        <w:rPr>
          <w:i/>
          <w:iCs/>
          <w:lang w:val="fr-FR"/>
        </w:rPr>
        <w:t>Paragraphe 6.1.8</w:t>
      </w:r>
      <w:r w:rsidRPr="00DD1BE0">
        <w:rPr>
          <w:lang w:val="fr-FR"/>
        </w:rPr>
        <w:t>, lire</w:t>
      </w:r>
      <w:r>
        <w:rPr>
          <w:lang w:val="fr-FR"/>
        </w:rPr>
        <w:t> :</w:t>
      </w:r>
    </w:p>
    <w:p w14:paraId="59115B44" w14:textId="77777777" w:rsidR="00C26925" w:rsidRPr="00DD1BE0" w:rsidRDefault="00C26925" w:rsidP="00C26925">
      <w:pPr>
        <w:pStyle w:val="SingleTxtG"/>
        <w:ind w:left="2268" w:hanging="1134"/>
        <w:rPr>
          <w:rFonts w:eastAsia="DengXian"/>
          <w:lang w:val="fr-FR"/>
        </w:rPr>
      </w:pPr>
      <w:r w:rsidRPr="00DD1BE0">
        <w:rPr>
          <w:lang w:val="fr-FR"/>
        </w:rPr>
        <w:t>« 6.1.8</w:t>
      </w:r>
      <w:r w:rsidR="009E7732">
        <w:rPr>
          <w:lang w:val="fr-FR"/>
        </w:rPr>
        <w:tab/>
      </w:r>
      <w:r w:rsidRPr="00DD1BE0">
        <w:rPr>
          <w:lang w:val="fr-FR"/>
        </w:rPr>
        <w:t xml:space="preserve">Par </w:t>
      </w:r>
      <w:r w:rsidR="00CB7D17">
        <w:rPr>
          <w:lang w:val="fr-FR"/>
        </w:rPr>
        <w:t>“</w:t>
      </w:r>
      <w:r w:rsidRPr="00DD1BE0">
        <w:rPr>
          <w:i/>
          <w:iCs/>
          <w:lang w:val="fr-FR"/>
        </w:rPr>
        <w:t>clef</w:t>
      </w:r>
      <w:r w:rsidR="009E7732">
        <w:rPr>
          <w:lang w:val="fr-FR"/>
        </w:rPr>
        <w:t>”</w:t>
      </w:r>
      <w:r w:rsidRPr="00DD1BE0">
        <w:rPr>
          <w:lang w:val="fr-FR"/>
        </w:rPr>
        <w:t>, tout</w:t>
      </w:r>
      <w:r w:rsidRPr="00DD1BE0">
        <w:rPr>
          <w:b/>
          <w:bCs/>
          <w:lang w:val="fr-FR"/>
        </w:rPr>
        <w:t>e</w:t>
      </w:r>
      <w:r w:rsidRPr="00DD1BE0">
        <w:rPr>
          <w:lang w:val="fr-FR"/>
        </w:rPr>
        <w:t xml:space="preserve"> </w:t>
      </w:r>
      <w:r w:rsidRPr="00DD1BE0">
        <w:rPr>
          <w:strike/>
          <w:lang w:val="fr-FR"/>
        </w:rPr>
        <w:t>dispositif</w:t>
      </w:r>
      <w:r w:rsidRPr="00DD1BE0">
        <w:rPr>
          <w:lang w:val="fr-FR"/>
        </w:rPr>
        <w:t xml:space="preserve"> </w:t>
      </w:r>
      <w:r w:rsidRPr="00DD1BE0">
        <w:rPr>
          <w:b/>
          <w:bCs/>
          <w:lang w:val="fr-FR"/>
        </w:rPr>
        <w:t>solution</w:t>
      </w:r>
      <w:r w:rsidRPr="00DD1BE0">
        <w:rPr>
          <w:lang w:val="fr-FR"/>
        </w:rPr>
        <w:t xml:space="preserve"> </w:t>
      </w:r>
      <w:r w:rsidRPr="00DD1BE0">
        <w:rPr>
          <w:b/>
          <w:bCs/>
          <w:lang w:val="fr-FR"/>
        </w:rPr>
        <w:t>mécanique ou électronique</w:t>
      </w:r>
      <w:r w:rsidRPr="00DD1BE0">
        <w:rPr>
          <w:lang w:val="fr-FR"/>
        </w:rPr>
        <w:t xml:space="preserve"> conçu</w:t>
      </w:r>
      <w:r w:rsidRPr="00DD1BE0">
        <w:rPr>
          <w:b/>
          <w:bCs/>
          <w:lang w:val="fr-FR"/>
        </w:rPr>
        <w:t>e</w:t>
      </w:r>
      <w:r w:rsidRPr="00DD1BE0">
        <w:rPr>
          <w:lang w:val="fr-FR"/>
        </w:rPr>
        <w:t xml:space="preserve"> et construit</w:t>
      </w:r>
      <w:r w:rsidRPr="00DD1BE0">
        <w:rPr>
          <w:b/>
          <w:bCs/>
          <w:lang w:val="fr-FR"/>
        </w:rPr>
        <w:t>e</w:t>
      </w:r>
      <w:r w:rsidRPr="00DD1BE0">
        <w:rPr>
          <w:lang w:val="fr-FR"/>
        </w:rPr>
        <w:t xml:space="preserve"> pour faire fonctionner un système de verrouillage, lui-même conçu et construit pour pouvoir être actionné </w:t>
      </w:r>
      <w:r w:rsidRPr="00DD1BE0">
        <w:rPr>
          <w:strike/>
          <w:lang w:val="fr-FR"/>
        </w:rPr>
        <w:t xml:space="preserve">uniquement </w:t>
      </w:r>
      <w:r w:rsidRPr="00DD1BE0">
        <w:rPr>
          <w:lang w:val="fr-FR"/>
        </w:rPr>
        <w:t xml:space="preserve">par </w:t>
      </w:r>
      <w:r w:rsidRPr="00DD1BE0">
        <w:rPr>
          <w:strike/>
          <w:lang w:val="fr-FR"/>
        </w:rPr>
        <w:t xml:space="preserve">ce dispositif </w:t>
      </w:r>
      <w:r w:rsidRPr="00DD1BE0">
        <w:rPr>
          <w:lang w:val="fr-FR"/>
        </w:rPr>
        <w:t xml:space="preserve">cette </w:t>
      </w:r>
      <w:r w:rsidRPr="00DD1BE0">
        <w:rPr>
          <w:b/>
          <w:bCs/>
          <w:lang w:val="fr-FR"/>
        </w:rPr>
        <w:t>solution mécanique ou électronique</w:t>
      </w:r>
      <w:r>
        <w:rPr>
          <w:lang w:val="fr-FR"/>
        </w:rPr>
        <w:t> ;</w:t>
      </w:r>
      <w:r w:rsidRPr="00DD1BE0">
        <w:rPr>
          <w:lang w:val="fr-FR"/>
        </w:rPr>
        <w:t> ».</w:t>
      </w:r>
    </w:p>
    <w:p w14:paraId="09E73259" w14:textId="77777777" w:rsidR="00C26925" w:rsidRPr="00DD1BE0" w:rsidRDefault="00C26925" w:rsidP="00C26925">
      <w:pPr>
        <w:pStyle w:val="SingleTxtG"/>
        <w:rPr>
          <w:rFonts w:eastAsia="DengXian"/>
          <w:lang w:val="fr-FR"/>
        </w:rPr>
      </w:pPr>
      <w:r w:rsidRPr="00C26925">
        <w:rPr>
          <w:i/>
          <w:iCs/>
          <w:lang w:val="fr-FR"/>
        </w:rPr>
        <w:t>Ajouter les nouveaux paragraphes 6.1.13 à 6.1.15</w:t>
      </w:r>
      <w:r w:rsidRPr="00DD1BE0">
        <w:rPr>
          <w:lang w:val="fr-FR"/>
        </w:rPr>
        <w:t>, libellés comme suit</w:t>
      </w:r>
      <w:r>
        <w:rPr>
          <w:lang w:val="fr-FR"/>
        </w:rPr>
        <w:t> :</w:t>
      </w:r>
    </w:p>
    <w:p w14:paraId="0583305D" w14:textId="77777777" w:rsidR="00C26925" w:rsidRPr="00CB7D17" w:rsidRDefault="00C26925" w:rsidP="00C26925">
      <w:pPr>
        <w:pStyle w:val="SingleTxtG"/>
        <w:ind w:left="2268" w:hanging="1134"/>
        <w:rPr>
          <w:rFonts w:eastAsia="DengXian"/>
          <w:b/>
          <w:bCs/>
          <w:lang w:val="fr-FR"/>
        </w:rPr>
      </w:pPr>
      <w:r w:rsidRPr="00DD1BE0">
        <w:rPr>
          <w:lang w:val="fr-FR"/>
        </w:rPr>
        <w:t>« </w:t>
      </w:r>
      <w:r w:rsidRPr="00DD1BE0">
        <w:rPr>
          <w:b/>
          <w:bCs/>
          <w:lang w:val="fr-FR"/>
        </w:rPr>
        <w:t>6.1.13</w:t>
      </w:r>
      <w:r w:rsidRPr="00DD1BE0">
        <w:rPr>
          <w:lang w:val="fr-FR"/>
        </w:rPr>
        <w:tab/>
      </w:r>
      <w:r w:rsidRPr="00DD1BE0">
        <w:rPr>
          <w:lang w:val="fr-FR"/>
        </w:rPr>
        <w:tab/>
      </w:r>
      <w:r w:rsidRPr="00DD1BE0">
        <w:rPr>
          <w:b/>
          <w:bCs/>
          <w:lang w:val="fr-FR"/>
        </w:rPr>
        <w:t xml:space="preserve">Par </w:t>
      </w:r>
      <w:r w:rsidR="009E7732">
        <w:rPr>
          <w:b/>
          <w:bCs/>
          <w:lang w:val="fr-FR"/>
        </w:rPr>
        <w:t>“</w:t>
      </w:r>
      <w:r w:rsidRPr="00DD1BE0">
        <w:rPr>
          <w:b/>
          <w:bCs/>
          <w:i/>
          <w:iCs/>
          <w:lang w:val="fr-FR"/>
        </w:rPr>
        <w:t>utilisateur principal</w:t>
      </w:r>
      <w:r w:rsidR="009E7732">
        <w:rPr>
          <w:b/>
          <w:bCs/>
          <w:lang w:val="fr-FR"/>
        </w:rPr>
        <w:t>”</w:t>
      </w:r>
      <w:r w:rsidRPr="00DD1BE0">
        <w:rPr>
          <w:b/>
          <w:bCs/>
          <w:lang w:val="fr-FR"/>
        </w:rPr>
        <w:t xml:space="preserve">, un utilisateur habilité à autoriser des clefs </w:t>
      </w:r>
      <w:r w:rsidRPr="00CB7D17">
        <w:rPr>
          <w:b/>
          <w:bCs/>
          <w:lang w:val="fr-FR"/>
        </w:rPr>
        <w:t>numériques. Il peut y avoir plus d’un utilisateur principal ;</w:t>
      </w:r>
    </w:p>
    <w:p w14:paraId="14E323D3" w14:textId="77777777" w:rsidR="00C26925" w:rsidRPr="00CB7D17" w:rsidRDefault="00C26925" w:rsidP="00C26925">
      <w:pPr>
        <w:pStyle w:val="SingleTxtG"/>
        <w:ind w:left="2268" w:hanging="1134"/>
        <w:rPr>
          <w:rFonts w:eastAsia="DengXian"/>
          <w:b/>
          <w:bCs/>
          <w:lang w:val="fr-FR"/>
        </w:rPr>
      </w:pPr>
      <w:r w:rsidRPr="00CB7D17">
        <w:rPr>
          <w:b/>
          <w:bCs/>
          <w:lang w:val="fr-FR"/>
        </w:rPr>
        <w:t>6.1.14</w:t>
      </w:r>
      <w:r w:rsidRPr="00CB7D17">
        <w:rPr>
          <w:b/>
          <w:bCs/>
          <w:lang w:val="fr-FR"/>
        </w:rPr>
        <w:tab/>
        <w:t xml:space="preserve">Par </w:t>
      </w:r>
      <w:r w:rsidR="009E7732" w:rsidRPr="00CB7D17">
        <w:rPr>
          <w:b/>
          <w:bCs/>
          <w:lang w:val="fr-FR"/>
        </w:rPr>
        <w:t>“</w:t>
      </w:r>
      <w:r w:rsidRPr="00CB7D17">
        <w:rPr>
          <w:b/>
          <w:bCs/>
          <w:i/>
          <w:iCs/>
          <w:lang w:val="fr-FR"/>
        </w:rPr>
        <w:t>clef numérique</w:t>
      </w:r>
      <w:r w:rsidR="009E7732" w:rsidRPr="00CB7D17">
        <w:rPr>
          <w:b/>
          <w:bCs/>
          <w:lang w:val="fr-FR"/>
        </w:rPr>
        <w:t>”</w:t>
      </w:r>
      <w:r w:rsidRPr="00CB7D17">
        <w:rPr>
          <w:b/>
          <w:bCs/>
          <w:lang w:val="fr-FR"/>
        </w:rPr>
        <w:t>, une clef conçue de manière à être transférée sur plusieurs dispositifs par le ou les utilisateurs principaux au moyen de procédures ad hoc ;</w:t>
      </w:r>
    </w:p>
    <w:p w14:paraId="68E2066E" w14:textId="77777777" w:rsidR="00C26925" w:rsidRPr="00DD1BE0" w:rsidRDefault="00C26925" w:rsidP="00C26925">
      <w:pPr>
        <w:pStyle w:val="SingleTxtG"/>
        <w:ind w:left="2268" w:hanging="1134"/>
        <w:rPr>
          <w:rFonts w:eastAsia="DengXian"/>
          <w:b/>
          <w:i/>
          <w:iCs/>
          <w:lang w:val="fr-FR"/>
        </w:rPr>
      </w:pPr>
      <w:r w:rsidRPr="00CB7D17">
        <w:rPr>
          <w:b/>
          <w:bCs/>
          <w:lang w:val="fr-FR"/>
        </w:rPr>
        <w:t>6.1.15</w:t>
      </w:r>
      <w:r w:rsidRPr="00CB7D17">
        <w:rPr>
          <w:b/>
          <w:bCs/>
          <w:lang w:val="fr-FR"/>
        </w:rPr>
        <w:tab/>
      </w:r>
      <w:r w:rsidRPr="00DD1BE0">
        <w:rPr>
          <w:b/>
          <w:bCs/>
          <w:lang w:val="fr-FR"/>
        </w:rPr>
        <w:t xml:space="preserve">Par </w:t>
      </w:r>
      <w:r w:rsidR="009E7732">
        <w:rPr>
          <w:b/>
          <w:bCs/>
          <w:lang w:val="fr-FR"/>
        </w:rPr>
        <w:t>“</w:t>
      </w:r>
      <w:r w:rsidRPr="00DD1BE0">
        <w:rPr>
          <w:b/>
          <w:bCs/>
          <w:i/>
          <w:iCs/>
          <w:lang w:val="fr-FR"/>
        </w:rPr>
        <w:t>proximité immédiate</w:t>
      </w:r>
      <w:r w:rsidRPr="00DD1BE0">
        <w:rPr>
          <w:b/>
          <w:bCs/>
          <w:lang w:val="fr-FR"/>
        </w:rPr>
        <w:t> </w:t>
      </w:r>
      <w:r w:rsidR="009E7732">
        <w:rPr>
          <w:b/>
          <w:bCs/>
          <w:lang w:val="fr-FR"/>
        </w:rPr>
        <w:t>”</w:t>
      </w:r>
      <w:r w:rsidRPr="00DD1BE0">
        <w:rPr>
          <w:b/>
          <w:bCs/>
          <w:lang w:val="fr-FR"/>
        </w:rPr>
        <w:t xml:space="preserve"> une distance inférieure à [6</w:t>
      </w:r>
      <w:r w:rsidR="009E7732">
        <w:rPr>
          <w:b/>
          <w:bCs/>
          <w:lang w:val="fr-FR"/>
        </w:rPr>
        <w:t> </w:t>
      </w:r>
      <w:r w:rsidRPr="00DD1BE0">
        <w:rPr>
          <w:b/>
          <w:bCs/>
          <w:lang w:val="fr-FR"/>
        </w:rPr>
        <w:t>m].</w:t>
      </w:r>
      <w:r w:rsidRPr="00DD1BE0">
        <w:rPr>
          <w:lang w:val="fr-FR"/>
        </w:rPr>
        <w:t>».</w:t>
      </w:r>
    </w:p>
    <w:p w14:paraId="421D8D51" w14:textId="77777777" w:rsidR="00C26925" w:rsidRPr="00DD1BE0" w:rsidRDefault="00C26925" w:rsidP="00C26925">
      <w:pPr>
        <w:pStyle w:val="SingleTxtG"/>
        <w:rPr>
          <w:rFonts w:eastAsia="DengXian"/>
          <w:lang w:val="fr-FR"/>
        </w:rPr>
      </w:pPr>
      <w:r w:rsidRPr="00C26925">
        <w:rPr>
          <w:i/>
          <w:iCs/>
          <w:lang w:val="fr-FR"/>
        </w:rPr>
        <w:t>Ajouter le nouveau paragraphe 6.2.10</w:t>
      </w:r>
      <w:r w:rsidRPr="00DD1BE0">
        <w:rPr>
          <w:lang w:val="fr-FR"/>
        </w:rPr>
        <w:t>, libellé comme suit</w:t>
      </w:r>
      <w:r>
        <w:rPr>
          <w:lang w:val="fr-FR"/>
        </w:rPr>
        <w:t> :</w:t>
      </w:r>
    </w:p>
    <w:p w14:paraId="02C330B9" w14:textId="77777777" w:rsidR="00C26925" w:rsidRPr="00DD1BE0" w:rsidRDefault="00C26925" w:rsidP="00C26925">
      <w:pPr>
        <w:pStyle w:val="SingleTxtG"/>
        <w:ind w:left="2268" w:hanging="1134"/>
        <w:rPr>
          <w:rFonts w:eastAsia="DengXian"/>
          <w:lang w:val="fr-FR"/>
        </w:rPr>
      </w:pPr>
      <w:r w:rsidRPr="00DD1BE0">
        <w:rPr>
          <w:lang w:val="fr-FR"/>
        </w:rPr>
        <w:t>« </w:t>
      </w:r>
      <w:r w:rsidRPr="00DD1BE0">
        <w:rPr>
          <w:b/>
          <w:bCs/>
          <w:lang w:val="fr-FR"/>
        </w:rPr>
        <w:t>6.2.10</w:t>
      </w:r>
      <w:r w:rsidRPr="00DD1BE0">
        <w:rPr>
          <w:lang w:val="fr-FR"/>
        </w:rPr>
        <w:tab/>
      </w:r>
      <w:r w:rsidRPr="00DD1BE0">
        <w:rPr>
          <w:b/>
          <w:bCs/>
          <w:lang w:val="fr-FR"/>
        </w:rPr>
        <w:t>En outre, les clefs numériques doivent satisfaire aux dispositions de l’annexe 11.</w:t>
      </w:r>
      <w:r w:rsidRPr="009E7732">
        <w:rPr>
          <w:lang w:val="fr-FR"/>
        </w:rPr>
        <w:t> ».</w:t>
      </w:r>
    </w:p>
    <w:p w14:paraId="1530E9F3" w14:textId="77777777" w:rsidR="00C26925" w:rsidRPr="00DD1BE0" w:rsidRDefault="00C26925" w:rsidP="00C26925">
      <w:pPr>
        <w:pStyle w:val="SingleTxtG"/>
        <w:rPr>
          <w:lang w:val="fr-FR"/>
        </w:rPr>
      </w:pPr>
      <w:r w:rsidRPr="00C26925">
        <w:rPr>
          <w:i/>
          <w:iCs/>
          <w:lang w:val="fr-FR"/>
        </w:rPr>
        <w:t>Ajouter le nouveau paragraphe 7.2.7</w:t>
      </w:r>
      <w:r w:rsidRPr="00DD1BE0">
        <w:rPr>
          <w:lang w:val="fr-FR"/>
        </w:rPr>
        <w:t>, libellé comme suit</w:t>
      </w:r>
      <w:r>
        <w:rPr>
          <w:lang w:val="fr-FR"/>
        </w:rPr>
        <w:t> :</w:t>
      </w:r>
    </w:p>
    <w:p w14:paraId="108BC05C" w14:textId="77777777" w:rsidR="00C26925" w:rsidRPr="00DD1BE0" w:rsidRDefault="00C26925" w:rsidP="00C26925">
      <w:pPr>
        <w:pStyle w:val="SingleTxtG"/>
        <w:ind w:left="2268" w:hanging="1134"/>
        <w:rPr>
          <w:rFonts w:eastAsia="DengXian"/>
          <w:lang w:val="fr-FR"/>
        </w:rPr>
      </w:pPr>
      <w:r w:rsidRPr="00DD1BE0">
        <w:rPr>
          <w:lang w:val="fr-FR"/>
        </w:rPr>
        <w:t>« </w:t>
      </w:r>
      <w:r w:rsidRPr="00DD1BE0">
        <w:rPr>
          <w:b/>
          <w:bCs/>
          <w:lang w:val="fr-FR"/>
        </w:rPr>
        <w:t>7.2.7</w:t>
      </w:r>
      <w:r w:rsidRPr="00DD1BE0">
        <w:rPr>
          <w:lang w:val="fr-FR"/>
        </w:rPr>
        <w:tab/>
      </w:r>
      <w:r w:rsidRPr="00DD1BE0">
        <w:rPr>
          <w:b/>
          <w:bCs/>
          <w:lang w:val="fr-FR"/>
        </w:rPr>
        <w:t>En outre, les clefs numériques doivent satisfaire aux dispositions de l’annexe 11. </w:t>
      </w:r>
      <w:r w:rsidRPr="00DD1BE0">
        <w:rPr>
          <w:lang w:val="fr-FR"/>
        </w:rPr>
        <w:t>».</w:t>
      </w:r>
    </w:p>
    <w:p w14:paraId="5C5F52ED" w14:textId="77777777" w:rsidR="00C26925" w:rsidRPr="00DD1BE0" w:rsidRDefault="00C26925" w:rsidP="00C26925">
      <w:pPr>
        <w:pStyle w:val="SingleTxtG"/>
        <w:rPr>
          <w:rFonts w:eastAsia="DengXian"/>
          <w:lang w:val="fr-FR"/>
        </w:rPr>
      </w:pPr>
      <w:r w:rsidRPr="00C26925">
        <w:rPr>
          <w:i/>
          <w:iCs/>
          <w:lang w:val="fr-FR"/>
        </w:rPr>
        <w:t>Paragraphe 8.1.6</w:t>
      </w:r>
      <w:r w:rsidRPr="00DD1BE0">
        <w:rPr>
          <w:lang w:val="fr-FR"/>
        </w:rPr>
        <w:t>, lire</w:t>
      </w:r>
      <w:r>
        <w:rPr>
          <w:lang w:val="fr-FR"/>
        </w:rPr>
        <w:t> :</w:t>
      </w:r>
    </w:p>
    <w:p w14:paraId="4FFD2F34" w14:textId="77777777" w:rsidR="00C26925" w:rsidRPr="00DD1BE0" w:rsidRDefault="00C26925" w:rsidP="00C26925">
      <w:pPr>
        <w:pStyle w:val="SingleTxtG"/>
        <w:ind w:left="2268" w:hanging="1134"/>
        <w:rPr>
          <w:rFonts w:eastAsia="DengXian"/>
          <w:lang w:val="fr-FR"/>
        </w:rPr>
      </w:pPr>
      <w:r w:rsidRPr="00DD1BE0">
        <w:rPr>
          <w:lang w:val="fr-FR"/>
        </w:rPr>
        <w:t>« 8.1.6.</w:t>
      </w:r>
      <w:r w:rsidRPr="00DD1BE0">
        <w:rPr>
          <w:lang w:val="fr-FR"/>
        </w:rPr>
        <w:tab/>
        <w:t xml:space="preserve">Par </w:t>
      </w:r>
      <w:r w:rsidR="009E7732">
        <w:rPr>
          <w:lang w:val="fr-FR"/>
        </w:rPr>
        <w:t>“</w:t>
      </w:r>
      <w:r w:rsidRPr="00DD1BE0">
        <w:rPr>
          <w:i/>
          <w:iCs/>
          <w:lang w:val="fr-FR"/>
        </w:rPr>
        <w:t>clef</w:t>
      </w:r>
      <w:r w:rsidR="009E7732" w:rsidRPr="009E7732">
        <w:rPr>
          <w:lang w:val="fr-FR"/>
        </w:rPr>
        <w:t>”</w:t>
      </w:r>
      <w:r w:rsidRPr="00DD1BE0">
        <w:rPr>
          <w:lang w:val="fr-FR"/>
        </w:rPr>
        <w:t>, tout</w:t>
      </w:r>
      <w:r w:rsidRPr="00DD1BE0">
        <w:rPr>
          <w:b/>
          <w:bCs/>
          <w:lang w:val="fr-FR"/>
        </w:rPr>
        <w:t>e</w:t>
      </w:r>
      <w:r w:rsidRPr="00DD1BE0">
        <w:rPr>
          <w:lang w:val="fr-FR"/>
        </w:rPr>
        <w:t xml:space="preserve"> </w:t>
      </w:r>
      <w:r w:rsidRPr="00DD1BE0">
        <w:rPr>
          <w:strike/>
          <w:lang w:val="fr-FR"/>
        </w:rPr>
        <w:t>dispositif</w:t>
      </w:r>
      <w:r w:rsidRPr="00DD1BE0">
        <w:rPr>
          <w:lang w:val="fr-FR"/>
        </w:rPr>
        <w:t xml:space="preserve"> </w:t>
      </w:r>
      <w:r w:rsidRPr="00DD1BE0">
        <w:rPr>
          <w:b/>
          <w:bCs/>
          <w:lang w:val="fr-FR"/>
        </w:rPr>
        <w:t>solution</w:t>
      </w:r>
      <w:r w:rsidRPr="00DD1BE0">
        <w:rPr>
          <w:lang w:val="fr-FR"/>
        </w:rPr>
        <w:t xml:space="preserve"> </w:t>
      </w:r>
      <w:r w:rsidRPr="00DD1BE0">
        <w:rPr>
          <w:b/>
          <w:bCs/>
          <w:lang w:val="fr-FR"/>
        </w:rPr>
        <w:t>mécanique ou électronique</w:t>
      </w:r>
      <w:r w:rsidRPr="00DD1BE0">
        <w:rPr>
          <w:lang w:val="fr-FR"/>
        </w:rPr>
        <w:t xml:space="preserve"> conçu</w:t>
      </w:r>
      <w:r w:rsidRPr="00DD1BE0">
        <w:rPr>
          <w:b/>
          <w:bCs/>
          <w:lang w:val="fr-FR"/>
        </w:rPr>
        <w:t>e</w:t>
      </w:r>
      <w:r w:rsidRPr="00DD1BE0">
        <w:rPr>
          <w:lang w:val="fr-FR"/>
        </w:rPr>
        <w:t xml:space="preserve"> et construit</w:t>
      </w:r>
      <w:r w:rsidRPr="00DD1BE0">
        <w:rPr>
          <w:b/>
          <w:bCs/>
          <w:lang w:val="fr-FR"/>
        </w:rPr>
        <w:t>e</w:t>
      </w:r>
      <w:r w:rsidRPr="00DD1BE0">
        <w:rPr>
          <w:lang w:val="fr-FR"/>
        </w:rPr>
        <w:t xml:space="preserve"> pour faire fonctionner un système de verrouillage, lui-même conçu et construit pour pouvoir être actionné </w:t>
      </w:r>
      <w:r w:rsidRPr="00DD1BE0">
        <w:rPr>
          <w:strike/>
          <w:lang w:val="fr-FR"/>
        </w:rPr>
        <w:t xml:space="preserve">uniquement </w:t>
      </w:r>
      <w:r w:rsidRPr="00DD1BE0">
        <w:rPr>
          <w:lang w:val="fr-FR"/>
        </w:rPr>
        <w:t xml:space="preserve">par </w:t>
      </w:r>
      <w:r w:rsidRPr="00DD1BE0">
        <w:rPr>
          <w:strike/>
          <w:lang w:val="fr-FR"/>
        </w:rPr>
        <w:t xml:space="preserve">ce dispositif </w:t>
      </w:r>
      <w:r w:rsidRPr="00DD1BE0">
        <w:rPr>
          <w:lang w:val="fr-FR"/>
        </w:rPr>
        <w:t xml:space="preserve">cette </w:t>
      </w:r>
      <w:r w:rsidRPr="00DD1BE0">
        <w:rPr>
          <w:b/>
          <w:bCs/>
          <w:lang w:val="fr-FR"/>
        </w:rPr>
        <w:t>solution mécanique ou électronique</w:t>
      </w:r>
      <w:r>
        <w:rPr>
          <w:b/>
          <w:bCs/>
          <w:lang w:val="fr-FR"/>
        </w:rPr>
        <w:t> </w:t>
      </w:r>
      <w:r w:rsidRPr="00342B9B">
        <w:rPr>
          <w:lang w:val="fr-FR"/>
        </w:rPr>
        <w:t>; </w:t>
      </w:r>
      <w:r w:rsidRPr="00DD1BE0">
        <w:rPr>
          <w:lang w:val="fr-FR"/>
        </w:rPr>
        <w:t>».</w:t>
      </w:r>
    </w:p>
    <w:p w14:paraId="3F08C751" w14:textId="77777777" w:rsidR="00C26925" w:rsidRPr="00DD1BE0" w:rsidRDefault="00C26925" w:rsidP="00C26925">
      <w:pPr>
        <w:pStyle w:val="SingleTxtG"/>
        <w:rPr>
          <w:rFonts w:eastAsia="DengXian"/>
          <w:lang w:val="fr-FR"/>
        </w:rPr>
      </w:pPr>
      <w:r w:rsidRPr="00C26925">
        <w:rPr>
          <w:i/>
          <w:iCs/>
          <w:lang w:val="fr-FR"/>
        </w:rPr>
        <w:t>Ajouter les nouveaux paragraphes 8.1.11 à 8.1.13</w:t>
      </w:r>
      <w:r w:rsidRPr="00DD1BE0">
        <w:rPr>
          <w:lang w:val="fr-FR"/>
        </w:rPr>
        <w:t>, libellés comme suit</w:t>
      </w:r>
      <w:r>
        <w:rPr>
          <w:lang w:val="fr-FR"/>
        </w:rPr>
        <w:t> :</w:t>
      </w:r>
    </w:p>
    <w:p w14:paraId="4ED337B4" w14:textId="77777777" w:rsidR="00C26925" w:rsidRPr="00DD1BE0" w:rsidRDefault="00C26925" w:rsidP="00C26925">
      <w:pPr>
        <w:pStyle w:val="SingleTxtG"/>
        <w:ind w:left="2268" w:hanging="1134"/>
        <w:rPr>
          <w:rFonts w:eastAsia="DengXian"/>
          <w:lang w:val="fr-FR"/>
        </w:rPr>
      </w:pPr>
      <w:r w:rsidRPr="00DD1BE0">
        <w:rPr>
          <w:b/>
          <w:bCs/>
          <w:lang w:val="fr-FR"/>
        </w:rPr>
        <w:t>« 8.1.11</w:t>
      </w:r>
      <w:r w:rsidRPr="00DD1BE0">
        <w:rPr>
          <w:lang w:val="fr-FR"/>
        </w:rPr>
        <w:tab/>
      </w:r>
      <w:r w:rsidRPr="00DD1BE0">
        <w:rPr>
          <w:lang w:val="fr-FR"/>
        </w:rPr>
        <w:tab/>
      </w:r>
      <w:r w:rsidRPr="00DD1BE0">
        <w:rPr>
          <w:b/>
          <w:bCs/>
          <w:lang w:val="fr-FR"/>
        </w:rPr>
        <w:t xml:space="preserve">Par </w:t>
      </w:r>
      <w:r w:rsidR="009E7732">
        <w:rPr>
          <w:b/>
          <w:bCs/>
          <w:lang w:val="fr-FR"/>
        </w:rPr>
        <w:t>“</w:t>
      </w:r>
      <w:r w:rsidRPr="00DD1BE0">
        <w:rPr>
          <w:b/>
          <w:bCs/>
          <w:i/>
          <w:iCs/>
          <w:lang w:val="fr-FR"/>
        </w:rPr>
        <w:t>utilisateur principal</w:t>
      </w:r>
      <w:r w:rsidR="009E7732">
        <w:rPr>
          <w:b/>
          <w:bCs/>
          <w:lang w:val="fr-FR"/>
        </w:rPr>
        <w:t>”</w:t>
      </w:r>
      <w:r w:rsidRPr="00DD1BE0">
        <w:rPr>
          <w:b/>
          <w:bCs/>
          <w:lang w:val="fr-FR"/>
        </w:rPr>
        <w:t>, un utilisateur habilité à autoriser des clefs numériques.</w:t>
      </w:r>
      <w:r w:rsidRPr="00DD1BE0">
        <w:rPr>
          <w:lang w:val="fr-FR"/>
        </w:rPr>
        <w:t xml:space="preserve"> </w:t>
      </w:r>
      <w:r w:rsidRPr="00DD1BE0">
        <w:rPr>
          <w:b/>
          <w:bCs/>
          <w:lang w:val="fr-FR"/>
        </w:rPr>
        <w:t>Il peut y avoir plus d’un utilisateur principal</w:t>
      </w:r>
      <w:r>
        <w:rPr>
          <w:b/>
          <w:bCs/>
          <w:lang w:val="fr-FR"/>
        </w:rPr>
        <w:t> ;</w:t>
      </w:r>
    </w:p>
    <w:p w14:paraId="180CE6F5" w14:textId="77777777" w:rsidR="00C26925" w:rsidRPr="00DD1BE0" w:rsidRDefault="00C26925" w:rsidP="00C26925">
      <w:pPr>
        <w:pStyle w:val="SingleTxtG"/>
        <w:ind w:left="2268" w:hanging="1134"/>
        <w:rPr>
          <w:rFonts w:eastAsia="DengXian"/>
          <w:b/>
          <w:bCs/>
          <w:lang w:val="fr-FR"/>
        </w:rPr>
      </w:pPr>
      <w:r w:rsidRPr="00DD1BE0">
        <w:rPr>
          <w:b/>
          <w:bCs/>
          <w:lang w:val="fr-FR"/>
        </w:rPr>
        <w:t>8.1.12</w:t>
      </w:r>
      <w:r w:rsidRPr="00DD1BE0">
        <w:rPr>
          <w:b/>
          <w:bCs/>
          <w:lang w:val="fr-FR"/>
        </w:rPr>
        <w:tab/>
        <w:t xml:space="preserve">Par </w:t>
      </w:r>
      <w:r w:rsidR="009E7732">
        <w:rPr>
          <w:b/>
          <w:bCs/>
          <w:lang w:val="fr-FR"/>
        </w:rPr>
        <w:t>“</w:t>
      </w:r>
      <w:r w:rsidRPr="00DD1BE0">
        <w:rPr>
          <w:b/>
          <w:bCs/>
          <w:i/>
          <w:iCs/>
          <w:lang w:val="fr-FR"/>
        </w:rPr>
        <w:t>clef numérique</w:t>
      </w:r>
      <w:r w:rsidR="009E7732">
        <w:rPr>
          <w:b/>
          <w:bCs/>
          <w:lang w:val="fr-FR"/>
        </w:rPr>
        <w:t>”</w:t>
      </w:r>
      <w:r w:rsidRPr="00DD1BE0">
        <w:rPr>
          <w:b/>
          <w:bCs/>
          <w:lang w:val="fr-FR"/>
        </w:rPr>
        <w:t>, une clef conçue de manière à être transférée sur plusieurs dispositifs par le ou les utilisateurs principaux au moyen de procédures ad hoc</w:t>
      </w:r>
      <w:r>
        <w:rPr>
          <w:b/>
          <w:bCs/>
          <w:lang w:val="fr-FR"/>
        </w:rPr>
        <w:t> ;</w:t>
      </w:r>
    </w:p>
    <w:p w14:paraId="4205146E" w14:textId="77777777" w:rsidR="00C26925" w:rsidRPr="00DD1BE0" w:rsidRDefault="00C26925" w:rsidP="00C26925">
      <w:pPr>
        <w:pStyle w:val="SingleTxtG"/>
        <w:ind w:left="2268" w:hanging="1134"/>
        <w:rPr>
          <w:rFonts w:eastAsia="DengXian"/>
          <w:b/>
          <w:lang w:val="fr-FR"/>
        </w:rPr>
      </w:pPr>
      <w:r w:rsidRPr="00DD1BE0">
        <w:rPr>
          <w:b/>
          <w:bCs/>
          <w:lang w:val="fr-FR"/>
        </w:rPr>
        <w:t>8.1.13</w:t>
      </w:r>
      <w:r w:rsidRPr="00DD1BE0">
        <w:rPr>
          <w:lang w:val="fr-FR"/>
        </w:rPr>
        <w:tab/>
      </w:r>
      <w:r w:rsidRPr="00DD1BE0">
        <w:rPr>
          <w:b/>
          <w:bCs/>
          <w:lang w:val="fr-FR"/>
        </w:rPr>
        <w:t xml:space="preserve">Par </w:t>
      </w:r>
      <w:r w:rsidR="009E7732">
        <w:rPr>
          <w:b/>
          <w:bCs/>
          <w:lang w:val="fr-FR"/>
        </w:rPr>
        <w:t>“</w:t>
      </w:r>
      <w:r w:rsidRPr="00DD1BE0">
        <w:rPr>
          <w:b/>
          <w:bCs/>
          <w:i/>
          <w:iCs/>
          <w:lang w:val="fr-FR"/>
        </w:rPr>
        <w:t>proximité immédiate</w:t>
      </w:r>
      <w:r w:rsidR="009E7732">
        <w:rPr>
          <w:b/>
          <w:bCs/>
          <w:lang w:val="fr-FR"/>
        </w:rPr>
        <w:t>”</w:t>
      </w:r>
      <w:r w:rsidRPr="00DD1BE0">
        <w:rPr>
          <w:b/>
          <w:bCs/>
          <w:lang w:val="fr-FR"/>
        </w:rPr>
        <w:t>, une distance inférieure à [6</w:t>
      </w:r>
      <w:r w:rsidR="009E7732">
        <w:rPr>
          <w:b/>
          <w:bCs/>
          <w:lang w:val="fr-FR"/>
        </w:rPr>
        <w:t> </w:t>
      </w:r>
      <w:r w:rsidRPr="00DD1BE0">
        <w:rPr>
          <w:b/>
          <w:bCs/>
          <w:lang w:val="fr-FR"/>
        </w:rPr>
        <w:t>m].</w:t>
      </w:r>
      <w:r w:rsidRPr="00DD1BE0">
        <w:rPr>
          <w:lang w:val="fr-FR"/>
        </w:rPr>
        <w:t> ».</w:t>
      </w:r>
    </w:p>
    <w:p w14:paraId="57ED881E" w14:textId="77777777" w:rsidR="00C26925" w:rsidRPr="00DD1BE0" w:rsidRDefault="00C26925" w:rsidP="00C26925">
      <w:pPr>
        <w:pStyle w:val="SingleTxtG"/>
        <w:rPr>
          <w:rFonts w:eastAsia="DengXian"/>
          <w:lang w:val="fr-FR"/>
        </w:rPr>
      </w:pPr>
      <w:r w:rsidRPr="00C26925">
        <w:rPr>
          <w:i/>
          <w:iCs/>
          <w:lang w:val="fr-FR"/>
        </w:rPr>
        <w:lastRenderedPageBreak/>
        <w:t>Ajouter le nouveau paragraphe 8.2.11</w:t>
      </w:r>
      <w:r w:rsidRPr="00DD1BE0">
        <w:rPr>
          <w:lang w:val="fr-FR"/>
        </w:rPr>
        <w:t>, libellé comme suit</w:t>
      </w:r>
      <w:r>
        <w:rPr>
          <w:lang w:val="fr-FR"/>
        </w:rPr>
        <w:t> :</w:t>
      </w:r>
    </w:p>
    <w:p w14:paraId="4E8BBDAA" w14:textId="77777777" w:rsidR="00C26925" w:rsidRPr="00DD1BE0" w:rsidRDefault="00C26925" w:rsidP="00C26925">
      <w:pPr>
        <w:pStyle w:val="SingleTxtG"/>
        <w:ind w:left="2268" w:hanging="1134"/>
        <w:rPr>
          <w:rFonts w:eastAsia="DengXian"/>
          <w:i/>
          <w:iCs/>
          <w:color w:val="000000" w:themeColor="text1"/>
          <w:lang w:val="fr-FR"/>
        </w:rPr>
      </w:pPr>
      <w:r w:rsidRPr="00DD1BE0">
        <w:rPr>
          <w:lang w:val="fr-FR"/>
        </w:rPr>
        <w:t>« </w:t>
      </w:r>
      <w:r w:rsidRPr="00DD1BE0">
        <w:rPr>
          <w:b/>
          <w:bCs/>
          <w:lang w:val="fr-FR"/>
        </w:rPr>
        <w:t>8.2.11</w:t>
      </w:r>
      <w:r w:rsidRPr="00DD1BE0">
        <w:rPr>
          <w:lang w:val="fr-FR"/>
        </w:rPr>
        <w:tab/>
      </w:r>
      <w:r w:rsidRPr="00DD1BE0">
        <w:rPr>
          <w:b/>
          <w:bCs/>
          <w:lang w:val="fr-FR"/>
        </w:rPr>
        <w:t>En outre, les clefs numériques doivent satisfaire aux dispositions de l’annexe 11.</w:t>
      </w:r>
      <w:r w:rsidRPr="00DD1BE0">
        <w:rPr>
          <w:lang w:val="fr-FR"/>
        </w:rPr>
        <w:t> ».</w:t>
      </w:r>
    </w:p>
    <w:p w14:paraId="61F809A2" w14:textId="77777777" w:rsidR="00C26925" w:rsidRPr="00DD1BE0" w:rsidRDefault="00C26925" w:rsidP="00C26925">
      <w:pPr>
        <w:pStyle w:val="SingleTxtG"/>
        <w:rPr>
          <w:rFonts w:eastAsia="DengXian"/>
          <w:lang w:val="fr-FR"/>
        </w:rPr>
      </w:pPr>
      <w:r w:rsidRPr="00C26925">
        <w:rPr>
          <w:i/>
          <w:iCs/>
          <w:lang w:val="fr-FR"/>
        </w:rPr>
        <w:t>Ajouter les nouveaux paragraphes 13.3 et 13.4</w:t>
      </w:r>
      <w:r w:rsidRPr="00DD1BE0">
        <w:rPr>
          <w:lang w:val="fr-FR"/>
        </w:rPr>
        <w:t>, libellés comme suit</w:t>
      </w:r>
      <w:r>
        <w:rPr>
          <w:lang w:val="fr-FR"/>
        </w:rPr>
        <w:t> :</w:t>
      </w:r>
    </w:p>
    <w:p w14:paraId="039674C1" w14:textId="77777777" w:rsidR="00C26925" w:rsidRPr="00DD1BE0" w:rsidRDefault="00C26925" w:rsidP="00C26925">
      <w:pPr>
        <w:pStyle w:val="SingleTxtG"/>
        <w:ind w:left="2268" w:hanging="1134"/>
        <w:rPr>
          <w:rFonts w:eastAsia="DengXian"/>
          <w:b/>
          <w:bCs/>
          <w:lang w:val="fr-FR"/>
        </w:rPr>
      </w:pPr>
      <w:bookmarkStart w:id="2" w:name="1_372"/>
      <w:r w:rsidRPr="00DD1BE0">
        <w:rPr>
          <w:lang w:val="fr-FR"/>
        </w:rPr>
        <w:t>« </w:t>
      </w:r>
      <w:r w:rsidRPr="00DD1BE0">
        <w:rPr>
          <w:b/>
          <w:bCs/>
          <w:lang w:val="fr-FR"/>
        </w:rPr>
        <w:t>13.3</w:t>
      </w:r>
      <w:r>
        <w:rPr>
          <w:b/>
          <w:bCs/>
          <w:lang w:val="fr-FR"/>
        </w:rPr>
        <w:tab/>
      </w:r>
      <w:r w:rsidRPr="00DD1BE0">
        <w:rPr>
          <w:b/>
          <w:bCs/>
          <w:lang w:val="fr-FR"/>
        </w:rPr>
        <w:t>Dispositions transitoires applicables à la série 01 d’amendements</w:t>
      </w:r>
      <w:r>
        <w:rPr>
          <w:b/>
          <w:bCs/>
          <w:lang w:val="fr-FR"/>
        </w:rPr>
        <w:t> :</w:t>
      </w:r>
      <w:bookmarkEnd w:id="2"/>
    </w:p>
    <w:p w14:paraId="3E09CEFB" w14:textId="77777777" w:rsidR="00C26925" w:rsidRPr="00DD1BE0" w:rsidRDefault="00C26925" w:rsidP="00C26925">
      <w:pPr>
        <w:pStyle w:val="SingleTxtG"/>
        <w:ind w:left="2268" w:hanging="1134"/>
        <w:rPr>
          <w:rFonts w:eastAsia="DengXian"/>
          <w:b/>
          <w:bCs/>
          <w:lang w:val="fr-FR"/>
        </w:rPr>
      </w:pPr>
      <w:r w:rsidRPr="00DD1BE0">
        <w:rPr>
          <w:b/>
          <w:bCs/>
          <w:lang w:val="fr-FR"/>
        </w:rPr>
        <w:t>13.3.1</w:t>
      </w:r>
      <w:r>
        <w:rPr>
          <w:b/>
          <w:bCs/>
          <w:lang w:val="fr-FR"/>
        </w:rPr>
        <w:tab/>
      </w:r>
      <w:r w:rsidRPr="00DD1BE0">
        <w:rPr>
          <w:b/>
          <w:bCs/>
          <w:lang w:val="fr-FR"/>
        </w:rPr>
        <w:t>À compter de la date officielle d’entrée en vigueur de la série 01 d’amendements, aucune Partie contractante appliquant le présent Règlement ne pourra refuser d’accorder ou d’accepter une homologation de type ONU en vertu dudit Règlement tel que modifié par la série 01 d’amendements.</w:t>
      </w:r>
    </w:p>
    <w:p w14:paraId="195635DF" w14:textId="77777777" w:rsidR="00C26925" w:rsidRPr="00DD1BE0" w:rsidRDefault="00C26925" w:rsidP="00C26925">
      <w:pPr>
        <w:pStyle w:val="SingleTxtG"/>
        <w:ind w:left="2268" w:hanging="1134"/>
        <w:rPr>
          <w:rFonts w:eastAsia="DengXian"/>
          <w:b/>
          <w:bCs/>
          <w:lang w:val="fr-FR"/>
        </w:rPr>
      </w:pPr>
      <w:r w:rsidRPr="00DD1BE0">
        <w:rPr>
          <w:b/>
          <w:bCs/>
          <w:lang w:val="fr-FR"/>
        </w:rPr>
        <w:t>13.3.2</w:t>
      </w:r>
      <w:r>
        <w:rPr>
          <w:b/>
          <w:bCs/>
          <w:lang w:val="fr-FR"/>
        </w:rPr>
        <w:tab/>
      </w:r>
      <w:r w:rsidRPr="00DD1BE0">
        <w:rPr>
          <w:b/>
          <w:bCs/>
          <w:lang w:val="fr-FR"/>
        </w:rPr>
        <w:t>À compter du 1</w:t>
      </w:r>
      <w:r w:rsidRPr="00DD1BE0">
        <w:rPr>
          <w:b/>
          <w:bCs/>
          <w:vertAlign w:val="superscript"/>
          <w:lang w:val="fr-FR"/>
        </w:rPr>
        <w:t>er</w:t>
      </w:r>
      <w:r w:rsidR="009E7732">
        <w:rPr>
          <w:b/>
          <w:bCs/>
          <w:lang w:val="fr-FR"/>
        </w:rPr>
        <w:t> </w:t>
      </w:r>
      <w:r w:rsidRPr="00DD1BE0">
        <w:rPr>
          <w:b/>
          <w:bCs/>
          <w:lang w:val="fr-FR"/>
        </w:rPr>
        <w:t>septembre 2022, les Parties contractantes appliquant le présent Règlement ne seront plus tenues d’accepter les homologations de type ONU établies conformément à la précédente série d’amendements, délivrées pour la première fois après le 1</w:t>
      </w:r>
      <w:r w:rsidRPr="00DD1BE0">
        <w:rPr>
          <w:b/>
          <w:bCs/>
          <w:vertAlign w:val="superscript"/>
          <w:lang w:val="fr-FR"/>
        </w:rPr>
        <w:t>er</w:t>
      </w:r>
      <w:r w:rsidR="009E7732">
        <w:rPr>
          <w:b/>
          <w:bCs/>
          <w:lang w:val="fr-FR"/>
        </w:rPr>
        <w:t> </w:t>
      </w:r>
      <w:r w:rsidRPr="00DD1BE0">
        <w:rPr>
          <w:b/>
          <w:bCs/>
          <w:lang w:val="fr-FR"/>
        </w:rPr>
        <w:t>septembre 2022.</w:t>
      </w:r>
    </w:p>
    <w:p w14:paraId="1B5D78D1" w14:textId="77777777" w:rsidR="00C26925" w:rsidRPr="00DD1BE0" w:rsidRDefault="00C26925" w:rsidP="00C26925">
      <w:pPr>
        <w:pStyle w:val="SingleTxtG"/>
        <w:ind w:left="2268" w:hanging="1134"/>
        <w:rPr>
          <w:rFonts w:eastAsia="DengXian"/>
          <w:b/>
          <w:bCs/>
          <w:lang w:val="fr-FR"/>
        </w:rPr>
      </w:pPr>
      <w:r w:rsidRPr="00DD1BE0">
        <w:rPr>
          <w:b/>
          <w:bCs/>
          <w:lang w:val="fr-FR"/>
        </w:rPr>
        <w:t>13.3.3</w:t>
      </w:r>
      <w:r>
        <w:rPr>
          <w:b/>
          <w:bCs/>
          <w:lang w:val="fr-FR"/>
        </w:rPr>
        <w:tab/>
      </w:r>
      <w:r w:rsidRPr="00DD1BE0">
        <w:rPr>
          <w:b/>
          <w:bCs/>
          <w:lang w:val="fr-FR"/>
        </w:rPr>
        <w:t>Jusqu’au 1</w:t>
      </w:r>
      <w:r w:rsidRPr="00DD1BE0">
        <w:rPr>
          <w:b/>
          <w:bCs/>
          <w:vertAlign w:val="superscript"/>
          <w:lang w:val="fr-FR"/>
        </w:rPr>
        <w:t>er</w:t>
      </w:r>
      <w:r w:rsidR="009E7732">
        <w:rPr>
          <w:b/>
          <w:bCs/>
          <w:lang w:val="fr-FR"/>
        </w:rPr>
        <w:t> </w:t>
      </w:r>
      <w:r w:rsidRPr="00DD1BE0">
        <w:rPr>
          <w:b/>
          <w:bCs/>
          <w:lang w:val="fr-FR"/>
        </w:rPr>
        <w:t>septembre 2024, les Parties contractantes appliquant le présent Règlement continueront de reconnaître les homologations de type ONU établies conformément à la précédente série d’amendements audit Règlement, délivrées pour la première fois avant le 1</w:t>
      </w:r>
      <w:r w:rsidRPr="00DD1BE0">
        <w:rPr>
          <w:b/>
          <w:bCs/>
          <w:vertAlign w:val="superscript"/>
          <w:lang w:val="fr-FR"/>
        </w:rPr>
        <w:t>er</w:t>
      </w:r>
      <w:r w:rsidR="009E7732">
        <w:rPr>
          <w:b/>
          <w:bCs/>
          <w:lang w:val="fr-FR"/>
        </w:rPr>
        <w:t> </w:t>
      </w:r>
      <w:r w:rsidRPr="00DD1BE0">
        <w:rPr>
          <w:b/>
          <w:bCs/>
          <w:lang w:val="fr-FR"/>
        </w:rPr>
        <w:t>septembre 2022.</w:t>
      </w:r>
    </w:p>
    <w:p w14:paraId="6BF0A45E" w14:textId="77777777" w:rsidR="00C26925" w:rsidRPr="00DD1BE0" w:rsidRDefault="00C26925" w:rsidP="00C26925">
      <w:pPr>
        <w:pStyle w:val="SingleTxtG"/>
        <w:ind w:left="2268" w:hanging="1134"/>
        <w:rPr>
          <w:rFonts w:eastAsia="DengXian"/>
          <w:b/>
          <w:lang w:val="fr-FR"/>
        </w:rPr>
      </w:pPr>
      <w:r w:rsidRPr="00DD1BE0">
        <w:rPr>
          <w:b/>
          <w:bCs/>
          <w:lang w:val="fr-FR"/>
        </w:rPr>
        <w:t>13.3.4</w:t>
      </w:r>
      <w:r>
        <w:rPr>
          <w:lang w:val="fr-FR"/>
        </w:rPr>
        <w:tab/>
      </w:r>
      <w:r w:rsidRPr="00DD1BE0">
        <w:rPr>
          <w:b/>
          <w:bCs/>
          <w:lang w:val="fr-FR"/>
        </w:rPr>
        <w:t>À compter du 1</w:t>
      </w:r>
      <w:r w:rsidRPr="00DD1BE0">
        <w:rPr>
          <w:b/>
          <w:bCs/>
          <w:vertAlign w:val="superscript"/>
          <w:lang w:val="fr-FR"/>
        </w:rPr>
        <w:t>er</w:t>
      </w:r>
      <w:r w:rsidR="009E7732">
        <w:rPr>
          <w:b/>
          <w:bCs/>
          <w:lang w:val="fr-FR"/>
        </w:rPr>
        <w:t> </w:t>
      </w:r>
      <w:r w:rsidRPr="00DD1BE0">
        <w:rPr>
          <w:b/>
          <w:bCs/>
          <w:lang w:val="fr-FR"/>
        </w:rPr>
        <w:t>septembre 2024, les Parties contractantes appliquant le présent Règlement ne seront plus tenues d’accepter les homologations de type délivrées en vertu de la précédente série d’amendements au présent Règlement.</w:t>
      </w:r>
    </w:p>
    <w:p w14:paraId="09DE9E11" w14:textId="5DC18F61" w:rsidR="00C26925" w:rsidRPr="00DD1BE0" w:rsidRDefault="00C26925" w:rsidP="00C26925">
      <w:pPr>
        <w:pStyle w:val="SingleTxtG"/>
        <w:ind w:left="2268" w:hanging="1134"/>
        <w:rPr>
          <w:rFonts w:eastAsia="DengXian"/>
          <w:b/>
          <w:bCs/>
          <w:lang w:val="fr-FR"/>
        </w:rPr>
      </w:pPr>
      <w:r w:rsidRPr="00DD1BE0">
        <w:rPr>
          <w:b/>
          <w:bCs/>
          <w:lang w:val="fr-FR"/>
        </w:rPr>
        <w:t>13.3.5</w:t>
      </w:r>
      <w:r>
        <w:rPr>
          <w:b/>
          <w:bCs/>
          <w:lang w:val="fr-FR"/>
        </w:rPr>
        <w:tab/>
      </w:r>
      <w:r w:rsidRPr="00DD1BE0">
        <w:rPr>
          <w:b/>
          <w:bCs/>
          <w:lang w:val="fr-FR"/>
        </w:rPr>
        <w:t xml:space="preserve">Nonobstant les dispositions </w:t>
      </w:r>
      <w:r w:rsidR="005A6B9A">
        <w:rPr>
          <w:b/>
          <w:bCs/>
          <w:lang w:val="fr-FR"/>
        </w:rPr>
        <w:t>du</w:t>
      </w:r>
      <w:r w:rsidRPr="00DD1BE0">
        <w:rPr>
          <w:b/>
          <w:bCs/>
          <w:lang w:val="fr-FR"/>
        </w:rPr>
        <w:t xml:space="preserve"> paragraphe 13.3.4, les Parties contractantes appliquant le présent Règlement continueront de reconnaître les homologations de type ONU délivrées au titre de la précédente série d’amendements audit Règlement pour les véhicules non concernés par les dispositions introduites par la série 01 d’amendements.</w:t>
      </w:r>
    </w:p>
    <w:p w14:paraId="3C62A5A7" w14:textId="77777777" w:rsidR="00C26925" w:rsidRDefault="00C26925" w:rsidP="00C26925">
      <w:pPr>
        <w:pStyle w:val="SingleTxtG"/>
        <w:ind w:left="2268" w:hanging="1134"/>
        <w:rPr>
          <w:b/>
          <w:bCs/>
          <w:lang w:val="fr-FR"/>
        </w:rPr>
      </w:pPr>
      <w:r w:rsidRPr="00DD1BE0">
        <w:rPr>
          <w:b/>
          <w:bCs/>
          <w:lang w:val="fr-FR"/>
        </w:rPr>
        <w:t>13.4</w:t>
      </w:r>
      <w:r w:rsidRPr="00DD1BE0">
        <w:rPr>
          <w:b/>
          <w:bCs/>
          <w:lang w:val="fr-FR"/>
        </w:rPr>
        <w:tab/>
        <w:t>Dispositions transitoires générales</w:t>
      </w:r>
    </w:p>
    <w:p w14:paraId="2F79C957" w14:textId="77777777" w:rsidR="00C26925" w:rsidRDefault="00C26925" w:rsidP="00C26925">
      <w:pPr>
        <w:pStyle w:val="SingleTxtG"/>
        <w:ind w:left="2268" w:hanging="1134"/>
        <w:rPr>
          <w:b/>
          <w:bCs/>
          <w:lang w:val="fr-FR"/>
        </w:rPr>
      </w:pPr>
      <w:r w:rsidRPr="00DD1BE0">
        <w:rPr>
          <w:b/>
          <w:bCs/>
          <w:lang w:val="fr-FR"/>
        </w:rPr>
        <w:t>13.4.1</w:t>
      </w:r>
      <w:r w:rsidRPr="00DD1BE0">
        <w:rPr>
          <w:lang w:val="fr-FR"/>
        </w:rPr>
        <w:tab/>
      </w:r>
      <w:r w:rsidRPr="00DD1BE0">
        <w:rPr>
          <w:b/>
          <w:bCs/>
          <w:lang w:val="fr-FR"/>
        </w:rPr>
        <w:t>Les Parties contractantes appliquant le présent Règlement ONU peuvent accorder des homologations de type en vertu de l’une quelconque des précédentes séries d’amendements audit Règlement.</w:t>
      </w:r>
    </w:p>
    <w:p w14:paraId="6E2DE7FE" w14:textId="77777777" w:rsidR="00C26925" w:rsidRPr="00DD1BE0" w:rsidRDefault="00C26925" w:rsidP="00C26925">
      <w:pPr>
        <w:pStyle w:val="SingleTxtG"/>
        <w:ind w:left="2268" w:hanging="1134"/>
        <w:rPr>
          <w:rFonts w:eastAsia="DengXian"/>
          <w:b/>
          <w:lang w:val="fr-FR"/>
        </w:rPr>
      </w:pPr>
      <w:r w:rsidRPr="00DD1BE0">
        <w:rPr>
          <w:b/>
          <w:bCs/>
          <w:lang w:val="fr-FR"/>
        </w:rPr>
        <w:t>13.4.2</w:t>
      </w:r>
      <w:r w:rsidRPr="00DD1BE0">
        <w:rPr>
          <w:lang w:val="fr-FR"/>
        </w:rPr>
        <w:tab/>
      </w:r>
      <w:r w:rsidRPr="00DD1BE0">
        <w:rPr>
          <w:b/>
          <w:bCs/>
          <w:lang w:val="fr-FR"/>
        </w:rPr>
        <w:t>Les Parties contractantes appliquant le présent Règlement ONU doivent continuer d’accorder des extensions aux homologations déjà délivrées en vertu de l’une quelconque des précédentes séries d’amendements audit Règlement. </w:t>
      </w:r>
      <w:r w:rsidRPr="00DD1BE0">
        <w:rPr>
          <w:lang w:val="fr-FR"/>
        </w:rPr>
        <w:t>».</w:t>
      </w:r>
    </w:p>
    <w:p w14:paraId="7229EFDC" w14:textId="77777777" w:rsidR="00C26925" w:rsidRPr="00DD1BE0" w:rsidRDefault="00C26925" w:rsidP="00C26925">
      <w:pPr>
        <w:pStyle w:val="SingleTxtG"/>
        <w:rPr>
          <w:rFonts w:eastAsia="DengXian"/>
          <w:lang w:val="fr-FR"/>
        </w:rPr>
      </w:pPr>
      <w:r w:rsidRPr="00C26925">
        <w:rPr>
          <w:i/>
          <w:iCs/>
          <w:lang w:val="fr-FR"/>
        </w:rPr>
        <w:t>Ajouter une nouvelle annexe 11</w:t>
      </w:r>
      <w:r w:rsidRPr="00DD1BE0">
        <w:rPr>
          <w:lang w:val="fr-FR"/>
        </w:rPr>
        <w:t>, libellée comme suit</w:t>
      </w:r>
      <w:r>
        <w:rPr>
          <w:lang w:val="fr-FR"/>
        </w:rPr>
        <w:t> :</w:t>
      </w:r>
    </w:p>
    <w:p w14:paraId="4DE3BD0A" w14:textId="77777777" w:rsidR="00C26925" w:rsidRDefault="00C26925" w:rsidP="00C26925">
      <w:pPr>
        <w:pStyle w:val="HChG"/>
        <w:rPr>
          <w:lang w:val="fr-FR"/>
        </w:rPr>
      </w:pPr>
      <w:r w:rsidRPr="00C26925">
        <w:rPr>
          <w:b w:val="0"/>
          <w:bCs/>
          <w:sz w:val="20"/>
          <w:lang w:val="fr-FR"/>
        </w:rPr>
        <w:t>« </w:t>
      </w:r>
      <w:r w:rsidRPr="00DD1BE0">
        <w:rPr>
          <w:lang w:val="fr-FR"/>
        </w:rPr>
        <w:t>Annexe 11</w:t>
      </w:r>
    </w:p>
    <w:p w14:paraId="34D7F4B0" w14:textId="77777777" w:rsidR="00C26925" w:rsidRPr="00DD1BE0" w:rsidRDefault="00C26925" w:rsidP="00C26925">
      <w:pPr>
        <w:pStyle w:val="HChG"/>
        <w:ind w:left="2268"/>
        <w:rPr>
          <w:lang w:val="fr-FR"/>
        </w:rPr>
      </w:pPr>
      <w:r w:rsidRPr="00DD1BE0">
        <w:rPr>
          <w:lang w:val="fr-FR"/>
        </w:rPr>
        <w:t>Dispositions de sécurité pour les clefs numériques</w:t>
      </w:r>
    </w:p>
    <w:p w14:paraId="5BD2C56C" w14:textId="77777777" w:rsidR="00C26925" w:rsidRPr="00DD1BE0" w:rsidRDefault="00C26925" w:rsidP="00C26925">
      <w:pPr>
        <w:pStyle w:val="SingleTxtG"/>
        <w:ind w:left="2268" w:hanging="1134"/>
        <w:rPr>
          <w:rFonts w:eastAsia="DengXian"/>
          <w:b/>
          <w:bCs/>
          <w:lang w:val="fr-FR"/>
        </w:rPr>
      </w:pPr>
      <w:bookmarkStart w:id="3" w:name="2_221"/>
      <w:r>
        <w:rPr>
          <w:b/>
          <w:bCs/>
          <w:lang w:val="fr-FR"/>
        </w:rPr>
        <w:t>1.</w:t>
      </w:r>
      <w:r>
        <w:rPr>
          <w:b/>
          <w:bCs/>
          <w:lang w:val="fr-FR"/>
        </w:rPr>
        <w:tab/>
      </w:r>
      <w:r w:rsidRPr="00DD1BE0">
        <w:rPr>
          <w:b/>
          <w:bCs/>
          <w:lang w:val="fr-FR"/>
        </w:rPr>
        <w:t>Généralités</w:t>
      </w:r>
      <w:bookmarkEnd w:id="3"/>
    </w:p>
    <w:p w14:paraId="3FECB6FF" w14:textId="77777777" w:rsidR="00C26925" w:rsidRPr="009E7732" w:rsidRDefault="00C26925" w:rsidP="009E7732">
      <w:pPr>
        <w:pStyle w:val="SingleTxtG"/>
        <w:ind w:left="2268"/>
        <w:rPr>
          <w:b/>
          <w:bCs/>
          <w:lang w:val="fr-FR"/>
        </w:rPr>
      </w:pPr>
      <w:r w:rsidRPr="009E7732">
        <w:rPr>
          <w:b/>
          <w:bCs/>
          <w:lang w:val="fr-FR"/>
        </w:rPr>
        <w:t>La présente annexe a pour objet d’énoncer les prescriptions relatives aux documents à présenter et aux vérifications à effectuer en ce qui concerne les clefs numériques utilisées pour faire fonctionner le dispositif de protection contre une utilisation non autorisée, le système d’alarme ou le dispositif d’immobilisation du véhicule.</w:t>
      </w:r>
    </w:p>
    <w:p w14:paraId="77352AA7" w14:textId="77777777" w:rsidR="00C26925" w:rsidRDefault="00C26925" w:rsidP="00C26925">
      <w:pPr>
        <w:pStyle w:val="SingleTxtG"/>
        <w:ind w:left="2268" w:hanging="1134"/>
        <w:rPr>
          <w:lang w:val="fr-FR"/>
        </w:rPr>
      </w:pPr>
      <w:r>
        <w:rPr>
          <w:b/>
          <w:bCs/>
          <w:lang w:val="fr-FR"/>
        </w:rPr>
        <w:t>2.</w:t>
      </w:r>
      <w:r>
        <w:rPr>
          <w:b/>
          <w:bCs/>
          <w:lang w:val="fr-FR"/>
        </w:rPr>
        <w:tab/>
      </w:r>
      <w:r w:rsidRPr="00DD1BE0">
        <w:rPr>
          <w:b/>
          <w:bCs/>
          <w:lang w:val="fr-FR"/>
        </w:rPr>
        <w:t>Définitions</w:t>
      </w:r>
    </w:p>
    <w:p w14:paraId="4DB23696" w14:textId="77777777" w:rsidR="00C26925" w:rsidRDefault="00C26925" w:rsidP="00C26925">
      <w:pPr>
        <w:pStyle w:val="SingleTxtG"/>
        <w:ind w:left="2268" w:hanging="1134"/>
        <w:rPr>
          <w:lang w:val="fr-FR"/>
        </w:rPr>
      </w:pPr>
      <w:r>
        <w:rPr>
          <w:b/>
          <w:bCs/>
          <w:lang w:val="fr-FR"/>
        </w:rPr>
        <w:t>2.1</w:t>
      </w:r>
      <w:r>
        <w:rPr>
          <w:b/>
          <w:bCs/>
          <w:lang w:val="fr-FR"/>
        </w:rPr>
        <w:tab/>
      </w:r>
      <w:r w:rsidRPr="00DD1BE0">
        <w:rPr>
          <w:b/>
          <w:bCs/>
          <w:lang w:val="fr-FR"/>
        </w:rPr>
        <w:t xml:space="preserve">Par </w:t>
      </w:r>
      <w:r w:rsidR="009E7732">
        <w:rPr>
          <w:b/>
          <w:bCs/>
          <w:lang w:val="fr-FR"/>
        </w:rPr>
        <w:t>“</w:t>
      </w:r>
      <w:r w:rsidRPr="00DD1BE0">
        <w:rPr>
          <w:b/>
          <w:bCs/>
          <w:i/>
          <w:iCs/>
          <w:lang w:val="fr-FR"/>
        </w:rPr>
        <w:t>procédure d’autorisation</w:t>
      </w:r>
      <w:r w:rsidR="009E7732" w:rsidRPr="009E7732">
        <w:rPr>
          <w:b/>
          <w:bCs/>
          <w:lang w:val="fr-FR"/>
        </w:rPr>
        <w:t>”</w:t>
      </w:r>
      <w:r w:rsidRPr="00DD1BE0">
        <w:rPr>
          <w:b/>
          <w:bCs/>
          <w:lang w:val="fr-FR"/>
        </w:rPr>
        <w:t xml:space="preserve">, on entend toute méthode visant à fournir la clef numérique pouvant faire fonctionner le dispositif de protection </w:t>
      </w:r>
      <w:r w:rsidRPr="00DD1BE0">
        <w:rPr>
          <w:b/>
          <w:bCs/>
          <w:lang w:val="fr-FR"/>
        </w:rPr>
        <w:lastRenderedPageBreak/>
        <w:t>contre une utilisation non autorisée, le système d’alarme ou le dispositif d’immobilisation du véhicule.</w:t>
      </w:r>
    </w:p>
    <w:p w14:paraId="48E50450" w14:textId="77777777" w:rsidR="00C26925" w:rsidRPr="00DD1BE0" w:rsidRDefault="00C26925" w:rsidP="00C26925">
      <w:pPr>
        <w:pStyle w:val="SingleTxtG"/>
        <w:ind w:left="2268" w:hanging="1134"/>
        <w:rPr>
          <w:rFonts w:eastAsia="DengXian"/>
          <w:b/>
          <w:bCs/>
          <w:lang w:val="fr-FR"/>
        </w:rPr>
      </w:pPr>
      <w:r>
        <w:rPr>
          <w:b/>
          <w:bCs/>
          <w:lang w:val="fr-FR"/>
        </w:rPr>
        <w:t>2.2</w:t>
      </w:r>
      <w:r>
        <w:rPr>
          <w:b/>
          <w:bCs/>
          <w:lang w:val="fr-FR"/>
        </w:rPr>
        <w:tab/>
      </w:r>
      <w:r w:rsidRPr="00DD1BE0">
        <w:rPr>
          <w:b/>
          <w:bCs/>
          <w:lang w:val="fr-FR"/>
        </w:rPr>
        <w:t xml:space="preserve">Par </w:t>
      </w:r>
      <w:r w:rsidR="009E7732">
        <w:rPr>
          <w:b/>
          <w:bCs/>
          <w:lang w:val="fr-FR"/>
        </w:rPr>
        <w:t>“</w:t>
      </w:r>
      <w:r w:rsidRPr="00DD1BE0">
        <w:rPr>
          <w:b/>
          <w:bCs/>
          <w:i/>
          <w:iCs/>
          <w:lang w:val="fr-FR"/>
        </w:rPr>
        <w:t>procédure d’annulation</w:t>
      </w:r>
      <w:r w:rsidR="009E7732">
        <w:rPr>
          <w:b/>
          <w:bCs/>
          <w:lang w:val="fr-FR"/>
        </w:rPr>
        <w:t>”</w:t>
      </w:r>
      <w:r w:rsidRPr="00DD1BE0">
        <w:rPr>
          <w:b/>
          <w:bCs/>
          <w:lang w:val="fr-FR"/>
        </w:rPr>
        <w:t>, on entend toute méthode visant à empêcher la clef numérique de faire fonctionner le dispositif de protection contre une utilisation non autorisée, le système d’alarme ou le dispositif d’immobilisation du véhicule.</w:t>
      </w:r>
    </w:p>
    <w:p w14:paraId="14E35984" w14:textId="77777777" w:rsidR="00C26925" w:rsidRPr="00DD1BE0" w:rsidRDefault="00C26925" w:rsidP="00C26925">
      <w:pPr>
        <w:pStyle w:val="SingleTxtG"/>
        <w:ind w:left="2268" w:hanging="1134"/>
        <w:rPr>
          <w:rFonts w:eastAsia="DengXian"/>
          <w:b/>
          <w:bCs/>
          <w:color w:val="002060"/>
          <w:lang w:val="fr-FR"/>
        </w:rPr>
      </w:pPr>
      <w:r>
        <w:rPr>
          <w:b/>
          <w:bCs/>
          <w:lang w:val="fr-FR"/>
        </w:rPr>
        <w:t>2.3</w:t>
      </w:r>
      <w:r>
        <w:rPr>
          <w:b/>
          <w:bCs/>
          <w:lang w:val="fr-FR"/>
        </w:rPr>
        <w:tab/>
      </w:r>
      <w:r w:rsidRPr="00DD1BE0">
        <w:rPr>
          <w:b/>
          <w:bCs/>
          <w:lang w:val="fr-FR"/>
        </w:rPr>
        <w:t xml:space="preserve">Par </w:t>
      </w:r>
      <w:r w:rsidR="009E7732">
        <w:rPr>
          <w:b/>
          <w:bCs/>
          <w:lang w:val="fr-FR"/>
        </w:rPr>
        <w:t>“</w:t>
      </w:r>
      <w:r w:rsidRPr="00DD1BE0">
        <w:rPr>
          <w:b/>
          <w:bCs/>
          <w:i/>
          <w:iCs/>
          <w:lang w:val="fr-FR"/>
        </w:rPr>
        <w:t>limites de fonctionnement</w:t>
      </w:r>
      <w:r w:rsidR="009E7732">
        <w:rPr>
          <w:b/>
          <w:bCs/>
          <w:lang w:val="fr-FR"/>
        </w:rPr>
        <w:t>”</w:t>
      </w:r>
      <w:r w:rsidRPr="00DD1BE0">
        <w:rPr>
          <w:b/>
          <w:bCs/>
          <w:lang w:val="fr-FR"/>
        </w:rPr>
        <w:t>, on entend les limites physiques extérieures (par exemple la distance) dans lesquelles la clef numérique peut faire fonctionner le dispositif de protection contre une utilisation non autorisée ou le dispositif d’immobilisation.</w:t>
      </w:r>
    </w:p>
    <w:p w14:paraId="70EDD85E" w14:textId="77777777" w:rsidR="00C26925" w:rsidRPr="00DD1BE0" w:rsidRDefault="00C26925" w:rsidP="00C26925">
      <w:pPr>
        <w:pStyle w:val="SingleTxtG"/>
        <w:ind w:left="2268" w:hanging="1134"/>
        <w:rPr>
          <w:rFonts w:eastAsia="DengXian"/>
          <w:b/>
          <w:bCs/>
          <w:lang w:val="fr-FR"/>
        </w:rPr>
      </w:pPr>
      <w:r>
        <w:rPr>
          <w:b/>
          <w:bCs/>
          <w:lang w:val="fr-FR"/>
        </w:rPr>
        <w:t>3.</w:t>
      </w:r>
      <w:r>
        <w:rPr>
          <w:b/>
          <w:bCs/>
          <w:lang w:val="fr-FR"/>
        </w:rPr>
        <w:tab/>
      </w:r>
      <w:r w:rsidRPr="00DD1BE0">
        <w:rPr>
          <w:b/>
          <w:bCs/>
          <w:lang w:val="fr-FR"/>
        </w:rPr>
        <w:t>Documentation</w:t>
      </w:r>
    </w:p>
    <w:p w14:paraId="6F928FEC" w14:textId="77777777" w:rsidR="00C26925" w:rsidRPr="00DD1BE0" w:rsidRDefault="00C26925" w:rsidP="00C26925">
      <w:pPr>
        <w:spacing w:after="120"/>
        <w:ind w:left="2268" w:right="1140"/>
        <w:rPr>
          <w:rFonts w:eastAsia="DengXian"/>
          <w:b/>
          <w:bCs/>
          <w:lang w:val="fr-FR"/>
        </w:rPr>
      </w:pPr>
      <w:r w:rsidRPr="00DD1BE0">
        <w:rPr>
          <w:b/>
          <w:bCs/>
          <w:lang w:val="fr-FR"/>
        </w:rPr>
        <w:t>Le constructeur du véhicule doit fournir les documents suivants pour l’homologation de type</w:t>
      </w:r>
      <w:r>
        <w:rPr>
          <w:b/>
          <w:bCs/>
          <w:lang w:val="fr-FR"/>
        </w:rPr>
        <w:t> :</w:t>
      </w:r>
    </w:p>
    <w:p w14:paraId="64A841A6" w14:textId="77777777" w:rsidR="00C26925" w:rsidRPr="00DD1BE0" w:rsidRDefault="00C26925" w:rsidP="00C26925">
      <w:pPr>
        <w:pStyle w:val="SingleTxtG"/>
        <w:ind w:left="2268" w:hanging="1134"/>
        <w:rPr>
          <w:rFonts w:eastAsia="DengXian"/>
          <w:b/>
          <w:bCs/>
          <w:lang w:val="fr-FR"/>
        </w:rPr>
      </w:pPr>
      <w:r>
        <w:rPr>
          <w:b/>
          <w:bCs/>
          <w:lang w:val="fr-FR"/>
        </w:rPr>
        <w:t>3.1</w:t>
      </w:r>
      <w:r>
        <w:rPr>
          <w:b/>
          <w:bCs/>
          <w:lang w:val="fr-FR"/>
        </w:rPr>
        <w:tab/>
      </w:r>
      <w:r w:rsidRPr="00DD1BE0">
        <w:rPr>
          <w:b/>
          <w:bCs/>
          <w:lang w:val="fr-FR"/>
        </w:rPr>
        <w:t>Une description de la procédure d’autorisation.</w:t>
      </w:r>
    </w:p>
    <w:p w14:paraId="25EB7352" w14:textId="77777777" w:rsidR="00C26925" w:rsidRDefault="00C26925" w:rsidP="00C26925">
      <w:pPr>
        <w:pStyle w:val="SingleTxtG"/>
        <w:ind w:left="2268" w:hanging="1134"/>
        <w:rPr>
          <w:lang w:val="fr-FR"/>
        </w:rPr>
      </w:pPr>
      <w:r>
        <w:rPr>
          <w:b/>
          <w:bCs/>
          <w:lang w:val="fr-FR"/>
        </w:rPr>
        <w:t>3.2</w:t>
      </w:r>
      <w:r>
        <w:rPr>
          <w:b/>
          <w:bCs/>
          <w:lang w:val="fr-FR"/>
        </w:rPr>
        <w:tab/>
      </w:r>
      <w:r w:rsidRPr="00DD1BE0">
        <w:rPr>
          <w:b/>
          <w:bCs/>
          <w:lang w:val="fr-FR"/>
        </w:rPr>
        <w:t>Une description de la procédure d’annulation.</w:t>
      </w:r>
    </w:p>
    <w:p w14:paraId="54B3C77C" w14:textId="77777777" w:rsidR="00C26925" w:rsidRPr="00DD1BE0" w:rsidRDefault="00C26925" w:rsidP="00C26925">
      <w:pPr>
        <w:pStyle w:val="SingleTxtG"/>
        <w:ind w:left="2268" w:hanging="1134"/>
        <w:rPr>
          <w:rFonts w:eastAsia="DengXian"/>
          <w:b/>
          <w:bCs/>
          <w:lang w:val="fr-FR"/>
        </w:rPr>
      </w:pPr>
      <w:r>
        <w:rPr>
          <w:b/>
          <w:bCs/>
          <w:lang w:val="fr-FR"/>
        </w:rPr>
        <w:t>3.3</w:t>
      </w:r>
      <w:r>
        <w:rPr>
          <w:b/>
          <w:bCs/>
          <w:lang w:val="fr-FR"/>
        </w:rPr>
        <w:tab/>
      </w:r>
      <w:r w:rsidRPr="00DD1BE0">
        <w:rPr>
          <w:b/>
          <w:bCs/>
          <w:lang w:val="fr-FR"/>
        </w:rPr>
        <w:t>Une description des limites de fonctionnement.</w:t>
      </w:r>
    </w:p>
    <w:p w14:paraId="0FF8D0D1" w14:textId="77777777" w:rsidR="00C26925" w:rsidRPr="00DD1BE0" w:rsidRDefault="00C26925" w:rsidP="00C26925">
      <w:pPr>
        <w:pStyle w:val="SingleTxtG"/>
        <w:ind w:left="2268" w:hanging="1134"/>
        <w:rPr>
          <w:rFonts w:eastAsia="DengXian"/>
          <w:b/>
          <w:bCs/>
          <w:lang w:val="fr-FR"/>
        </w:rPr>
      </w:pPr>
      <w:r>
        <w:rPr>
          <w:b/>
          <w:bCs/>
          <w:lang w:val="fr-FR"/>
        </w:rPr>
        <w:t>3.4</w:t>
      </w:r>
      <w:r>
        <w:rPr>
          <w:b/>
          <w:bCs/>
          <w:lang w:val="fr-FR"/>
        </w:rPr>
        <w:tab/>
      </w:r>
      <w:r w:rsidRPr="00DD1BE0">
        <w:rPr>
          <w:b/>
          <w:bCs/>
          <w:lang w:val="fr-FR"/>
        </w:rPr>
        <w:t>Une description des mesures de sécurité prévues dans le cadre de la procédure d’annulation de la clef numérique pour garantir le fonctionnement du véhicule en toute sécurité.</w:t>
      </w:r>
    </w:p>
    <w:p w14:paraId="576FA390" w14:textId="77777777" w:rsidR="00C26925" w:rsidRDefault="00C26925" w:rsidP="00C26925">
      <w:pPr>
        <w:pStyle w:val="SingleTxtG"/>
        <w:ind w:left="2268" w:hanging="1134"/>
        <w:rPr>
          <w:lang w:val="fr-FR"/>
        </w:rPr>
      </w:pPr>
      <w:r>
        <w:rPr>
          <w:b/>
          <w:bCs/>
          <w:lang w:val="fr-FR"/>
        </w:rPr>
        <w:t>4.</w:t>
      </w:r>
      <w:r>
        <w:rPr>
          <w:b/>
          <w:bCs/>
          <w:lang w:val="fr-FR"/>
        </w:rPr>
        <w:tab/>
      </w:r>
      <w:r w:rsidRPr="00DD1BE0">
        <w:rPr>
          <w:b/>
          <w:bCs/>
          <w:lang w:val="fr-FR"/>
        </w:rPr>
        <w:t>Prescriptions pour un fonctionnement en toute sécurité</w:t>
      </w:r>
    </w:p>
    <w:p w14:paraId="70E2A9A5" w14:textId="77777777" w:rsidR="00C26925" w:rsidRPr="00DD1BE0" w:rsidRDefault="00C26925" w:rsidP="00C26925">
      <w:pPr>
        <w:pStyle w:val="SingleTxtG"/>
        <w:ind w:left="2268" w:hanging="1134"/>
        <w:rPr>
          <w:rFonts w:eastAsia="DengXian"/>
          <w:b/>
          <w:bCs/>
          <w:lang w:val="fr-FR"/>
        </w:rPr>
      </w:pPr>
      <w:r>
        <w:rPr>
          <w:b/>
          <w:bCs/>
          <w:lang w:val="fr-FR"/>
        </w:rPr>
        <w:t>4.1</w:t>
      </w:r>
      <w:r>
        <w:rPr>
          <w:b/>
          <w:bCs/>
          <w:lang w:val="fr-FR"/>
        </w:rPr>
        <w:tab/>
      </w:r>
      <w:r w:rsidRPr="00DD1BE0">
        <w:rPr>
          <w:b/>
          <w:bCs/>
          <w:lang w:val="fr-FR"/>
        </w:rPr>
        <w:t>Le transfert d’une clef numérique sur un dispositif ne doit être possible qu’en suivant la procédure d’autorisation.</w:t>
      </w:r>
    </w:p>
    <w:p w14:paraId="42931315" w14:textId="77777777" w:rsidR="00C26925" w:rsidRDefault="00C26925" w:rsidP="00C26925">
      <w:pPr>
        <w:pStyle w:val="SingleTxtG"/>
        <w:ind w:left="2268" w:hanging="1134"/>
        <w:rPr>
          <w:lang w:val="fr-FR"/>
        </w:rPr>
      </w:pPr>
      <w:r>
        <w:rPr>
          <w:b/>
          <w:bCs/>
          <w:lang w:val="fr-FR"/>
        </w:rPr>
        <w:t>4.2</w:t>
      </w:r>
      <w:r>
        <w:rPr>
          <w:b/>
          <w:bCs/>
          <w:lang w:val="fr-FR"/>
        </w:rPr>
        <w:tab/>
      </w:r>
      <w:r w:rsidRPr="00DD1BE0">
        <w:rPr>
          <w:b/>
          <w:bCs/>
          <w:lang w:val="fr-FR"/>
        </w:rPr>
        <w:t>Une procédure d’annulation doit être prévue.</w:t>
      </w:r>
    </w:p>
    <w:p w14:paraId="1F4FD516" w14:textId="77777777" w:rsidR="00C26925" w:rsidRDefault="00C26925" w:rsidP="00C26925">
      <w:pPr>
        <w:pStyle w:val="SingleTxtG"/>
        <w:ind w:left="2268" w:hanging="1134"/>
        <w:rPr>
          <w:lang w:val="fr-FR"/>
        </w:rPr>
      </w:pPr>
      <w:r>
        <w:rPr>
          <w:b/>
          <w:bCs/>
          <w:lang w:val="fr-FR"/>
        </w:rPr>
        <w:t>4.2.1</w:t>
      </w:r>
      <w:r>
        <w:rPr>
          <w:b/>
          <w:bCs/>
          <w:lang w:val="fr-FR"/>
        </w:rPr>
        <w:tab/>
      </w:r>
      <w:r w:rsidRPr="00DD1BE0">
        <w:rPr>
          <w:b/>
          <w:bCs/>
          <w:lang w:val="fr-FR"/>
        </w:rPr>
        <w:t>L’annulation d’une clef numérique ne doit pas être un facteur d’insécurité.</w:t>
      </w:r>
    </w:p>
    <w:p w14:paraId="54AE7945" w14:textId="77777777" w:rsidR="00C26925" w:rsidRPr="00DD1BE0" w:rsidRDefault="00C26925" w:rsidP="009E7732">
      <w:pPr>
        <w:pStyle w:val="SingleTxtG"/>
        <w:ind w:left="2268"/>
        <w:rPr>
          <w:rFonts w:eastAsia="DengXian"/>
          <w:b/>
          <w:bCs/>
          <w:lang w:val="fr-FR"/>
        </w:rPr>
      </w:pPr>
      <w:r w:rsidRPr="00DD1BE0">
        <w:rPr>
          <w:b/>
          <w:bCs/>
          <w:lang w:val="fr-FR"/>
        </w:rPr>
        <w:t>Une analyse de réduction des risques s’appuyant sur une norme de sécurité fonctionnelle telle que la norme ISO 26262 et sur une norme relative à la sécurité de la fonction attendue telle que la norme ISO/PAS 21448, et présentant les risques pour les occupants du véhicule de l’annulation d’une clef numérique ainsi que la réduction de ces risques du fait de la mise en œuvre des fonctions ou caractéristiques d’atténuation des risques recensés, doit être réalisée.</w:t>
      </w:r>
    </w:p>
    <w:p w14:paraId="446F2275" w14:textId="77777777" w:rsidR="00C26925" w:rsidRDefault="00C26925" w:rsidP="00C26925">
      <w:pPr>
        <w:pStyle w:val="SingleTxtG"/>
        <w:ind w:left="2268" w:hanging="1134"/>
        <w:rPr>
          <w:lang w:val="fr-FR"/>
        </w:rPr>
      </w:pPr>
      <w:r>
        <w:rPr>
          <w:b/>
          <w:bCs/>
          <w:lang w:val="fr-FR"/>
        </w:rPr>
        <w:t>4.2.2</w:t>
      </w:r>
      <w:r>
        <w:rPr>
          <w:b/>
          <w:bCs/>
          <w:lang w:val="fr-FR"/>
        </w:rPr>
        <w:tab/>
      </w:r>
      <w:r w:rsidRPr="00DD1BE0">
        <w:rPr>
          <w:b/>
          <w:bCs/>
          <w:lang w:val="fr-FR"/>
        </w:rPr>
        <w:t>Le ou les utilisateurs principaux doivent pouvoir connaître le nombre de clefs numériques enregistrées autorisées.</w:t>
      </w:r>
    </w:p>
    <w:p w14:paraId="7689CCE6" w14:textId="77777777" w:rsidR="00C26925" w:rsidRPr="00DD1BE0" w:rsidRDefault="00C26925" w:rsidP="00C26925">
      <w:pPr>
        <w:pStyle w:val="SingleTxtG"/>
        <w:ind w:left="2268" w:hanging="1134"/>
        <w:rPr>
          <w:rFonts w:eastAsia="DengXian"/>
          <w:b/>
          <w:bCs/>
          <w:lang w:val="fr-FR"/>
        </w:rPr>
      </w:pPr>
      <w:r>
        <w:rPr>
          <w:b/>
          <w:bCs/>
          <w:lang w:val="fr-FR"/>
        </w:rPr>
        <w:t>4.3</w:t>
      </w:r>
      <w:r>
        <w:rPr>
          <w:b/>
          <w:bCs/>
          <w:lang w:val="fr-FR"/>
        </w:rPr>
        <w:tab/>
      </w:r>
      <w:r w:rsidRPr="00DD1BE0">
        <w:rPr>
          <w:b/>
          <w:bCs/>
          <w:lang w:val="fr-FR"/>
        </w:rPr>
        <w:t>Limites de fonctionnement du dispositif de protection contre une utilisation non autorisée et du dispositif d’immobilisation</w:t>
      </w:r>
      <w:r>
        <w:rPr>
          <w:b/>
          <w:bCs/>
          <w:lang w:val="fr-FR"/>
        </w:rPr>
        <w:t> :</w:t>
      </w:r>
    </w:p>
    <w:p w14:paraId="1F869110" w14:textId="77777777" w:rsidR="00C26925" w:rsidRPr="00DD1BE0" w:rsidRDefault="00C26925" w:rsidP="00C26925">
      <w:pPr>
        <w:pStyle w:val="SingleTxtG"/>
        <w:ind w:left="2268" w:hanging="1134"/>
        <w:rPr>
          <w:lang w:val="fr-FR"/>
        </w:rPr>
      </w:pPr>
      <w:r w:rsidRPr="00DD1BE0">
        <w:rPr>
          <w:b/>
          <w:bCs/>
          <w:lang w:val="fr-FR"/>
        </w:rPr>
        <w:t>4.3.1</w:t>
      </w:r>
      <w:r w:rsidRPr="00DD1BE0">
        <w:rPr>
          <w:lang w:val="fr-FR"/>
        </w:rPr>
        <w:tab/>
      </w:r>
      <w:r w:rsidRPr="00DD1BE0">
        <w:rPr>
          <w:b/>
          <w:bCs/>
          <w:lang w:val="fr-FR"/>
        </w:rPr>
        <w:t>Le dispositif de protection contre une utilisation non autorisée ne doit pouvoir être déverrouillé que lorsqu’une clef numérique enregistrée autorisée est détectée à l’intérieur du véhicule, ou à proximité immédiate de celui-ci.</w:t>
      </w:r>
    </w:p>
    <w:p w14:paraId="0877CFE2" w14:textId="77777777" w:rsidR="00C26925" w:rsidRPr="00DD1BE0" w:rsidRDefault="00C26925" w:rsidP="00C26925">
      <w:pPr>
        <w:pStyle w:val="SingleTxtG"/>
        <w:ind w:left="2268" w:hanging="1134"/>
        <w:rPr>
          <w:b/>
          <w:lang w:val="fr-FR"/>
        </w:rPr>
      </w:pPr>
      <w:r w:rsidRPr="00DD1BE0">
        <w:rPr>
          <w:b/>
          <w:bCs/>
          <w:lang w:val="fr-FR"/>
        </w:rPr>
        <w:t>4.3.2</w:t>
      </w:r>
      <w:r w:rsidRPr="00DD1BE0">
        <w:rPr>
          <w:lang w:val="fr-FR"/>
        </w:rPr>
        <w:tab/>
      </w:r>
      <w:r w:rsidRPr="00DD1BE0">
        <w:rPr>
          <w:b/>
          <w:bCs/>
          <w:lang w:val="fr-FR"/>
        </w:rPr>
        <w:t>Le dispositif d’immobilisation ne doit pouvoir être mis hors fonction que lorsqu’une clef numérique enregistrée autorisée est détectée à l’intérieur du véhicule, ou par une action intentionnelle de l’utilisateur à proximité du véhicule.</w:t>
      </w:r>
    </w:p>
    <w:p w14:paraId="776EC5FF" w14:textId="77777777" w:rsidR="00C26925" w:rsidRPr="00DD1BE0" w:rsidRDefault="00C26925" w:rsidP="009E7732">
      <w:pPr>
        <w:pStyle w:val="SingleTxtG"/>
        <w:ind w:left="2268"/>
        <w:rPr>
          <w:b/>
          <w:lang w:val="fr-FR"/>
        </w:rPr>
      </w:pPr>
      <w:r w:rsidRPr="00DD1BE0">
        <w:rPr>
          <w:lang w:val="fr-FR"/>
        </w:rPr>
        <w:tab/>
      </w:r>
      <w:r w:rsidRPr="00DD1BE0">
        <w:rPr>
          <w:b/>
          <w:bCs/>
          <w:lang w:val="fr-FR"/>
        </w:rPr>
        <w:t>La distance maximale à laquelle le dispositif d’immobilisation peut être mis hors fonction par détection d’une clef à l’intérieur du véhicule doit être vérifiée au moyen de la procédure suivante, avec une tolérance de [1</w:t>
      </w:r>
      <w:r w:rsidR="009E7732">
        <w:rPr>
          <w:b/>
          <w:bCs/>
          <w:lang w:val="fr-FR"/>
        </w:rPr>
        <w:t> </w:t>
      </w:r>
      <w:r w:rsidRPr="00DD1BE0">
        <w:rPr>
          <w:b/>
          <w:bCs/>
          <w:lang w:val="fr-FR"/>
        </w:rPr>
        <w:t>m/2</w:t>
      </w:r>
      <w:r w:rsidR="009E7732">
        <w:rPr>
          <w:b/>
          <w:bCs/>
          <w:lang w:val="fr-FR"/>
        </w:rPr>
        <w:t> </w:t>
      </w:r>
      <w:r w:rsidRPr="00DD1BE0">
        <w:rPr>
          <w:b/>
          <w:bCs/>
          <w:lang w:val="fr-FR"/>
        </w:rPr>
        <w:t>m] autour du périmètre du véhicule</w:t>
      </w:r>
      <w:r>
        <w:rPr>
          <w:b/>
          <w:bCs/>
          <w:lang w:val="fr-FR"/>
        </w:rPr>
        <w:t> :</w:t>
      </w:r>
    </w:p>
    <w:p w14:paraId="6FAED0FA" w14:textId="77777777" w:rsidR="00C26925" w:rsidRPr="00DD1BE0" w:rsidRDefault="00C26925" w:rsidP="009E7732">
      <w:pPr>
        <w:pStyle w:val="SingleTxtG"/>
        <w:ind w:left="2835" w:hanging="567"/>
        <w:rPr>
          <w:b/>
          <w:bCs/>
          <w:lang w:val="fr-FR"/>
        </w:rPr>
      </w:pPr>
      <w:r>
        <w:rPr>
          <w:b/>
          <w:bCs/>
          <w:lang w:val="fr-FR"/>
        </w:rPr>
        <w:t>a)</w:t>
      </w:r>
      <w:r>
        <w:rPr>
          <w:b/>
          <w:bCs/>
          <w:lang w:val="fr-FR"/>
        </w:rPr>
        <w:tab/>
      </w:r>
      <w:r w:rsidRPr="00DD1BE0">
        <w:rPr>
          <w:b/>
          <w:bCs/>
          <w:lang w:val="fr-FR"/>
        </w:rPr>
        <w:t>Le véhicule doit être garé en sécurité en conditions de champ libre dégagé, c’est-à-dire moteur coupé et fenêtres, portes et toit fermés</w:t>
      </w:r>
      <w:r>
        <w:rPr>
          <w:b/>
          <w:bCs/>
          <w:lang w:val="fr-FR"/>
        </w:rPr>
        <w:t> ;</w:t>
      </w:r>
    </w:p>
    <w:p w14:paraId="20940514" w14:textId="1919D23D" w:rsidR="00C26925" w:rsidRPr="00DD1BE0" w:rsidRDefault="00977122" w:rsidP="009E7732">
      <w:pPr>
        <w:pStyle w:val="SingleTxtG"/>
        <w:ind w:left="2835" w:hanging="567"/>
        <w:rPr>
          <w:b/>
          <w:lang w:val="fr-FR"/>
        </w:rPr>
      </w:pPr>
      <w:r>
        <w:rPr>
          <w:b/>
          <w:bCs/>
          <w:lang w:val="fr-FR"/>
        </w:rPr>
        <w:lastRenderedPageBreak/>
        <w:t>b</w:t>
      </w:r>
      <w:bookmarkStart w:id="4" w:name="_GoBack"/>
      <w:bookmarkEnd w:id="4"/>
      <w:r w:rsidR="00C26925">
        <w:rPr>
          <w:b/>
          <w:bCs/>
          <w:lang w:val="fr-FR"/>
        </w:rPr>
        <w:t>)</w:t>
      </w:r>
      <w:r w:rsidR="00C26925">
        <w:rPr>
          <w:b/>
          <w:bCs/>
          <w:lang w:val="fr-FR"/>
        </w:rPr>
        <w:tab/>
      </w:r>
      <w:r w:rsidR="00C26925" w:rsidRPr="00DD1BE0">
        <w:rPr>
          <w:b/>
          <w:bCs/>
          <w:lang w:val="fr-FR"/>
        </w:rPr>
        <w:t>Le constructeur du véhicule doit fournir un dispositif utilisateur type pour l’essai en accord avec le service technique.</w:t>
      </w:r>
      <w:r w:rsidR="00C26925" w:rsidRPr="00DD1BE0">
        <w:rPr>
          <w:lang w:val="fr-FR"/>
        </w:rPr>
        <w:t xml:space="preserve"> </w:t>
      </w:r>
      <w:r w:rsidR="00C26925" w:rsidRPr="00DD1BE0">
        <w:rPr>
          <w:b/>
          <w:bCs/>
          <w:lang w:val="fr-FR"/>
        </w:rPr>
        <w:t>L’état de charge de la batterie du dispositif à clef numérique doit être au maximum</w:t>
      </w:r>
      <w:r w:rsidR="00C26925">
        <w:rPr>
          <w:b/>
          <w:bCs/>
          <w:lang w:val="fr-FR"/>
        </w:rPr>
        <w:t> ;</w:t>
      </w:r>
    </w:p>
    <w:p w14:paraId="69938649" w14:textId="77777777" w:rsidR="00C26925" w:rsidRPr="00DD1BE0" w:rsidRDefault="00C26925" w:rsidP="009E7732">
      <w:pPr>
        <w:pStyle w:val="SingleTxtG"/>
        <w:ind w:left="2835" w:hanging="567"/>
        <w:rPr>
          <w:b/>
          <w:lang w:val="fr-FR"/>
        </w:rPr>
      </w:pPr>
      <w:r>
        <w:rPr>
          <w:b/>
          <w:bCs/>
          <w:lang w:val="fr-FR"/>
        </w:rPr>
        <w:t>c)</w:t>
      </w:r>
      <w:r>
        <w:rPr>
          <w:b/>
          <w:bCs/>
          <w:lang w:val="fr-FR"/>
        </w:rPr>
        <w:tab/>
      </w:r>
      <w:r w:rsidRPr="00DD1BE0">
        <w:rPr>
          <w:b/>
          <w:bCs/>
          <w:lang w:val="fr-FR"/>
        </w:rPr>
        <w:t>Le service technique définit quatre points d’essais autour du périmètre du véhicule à une distance supérieure à [1</w:t>
      </w:r>
      <w:r w:rsidR="009E7732">
        <w:rPr>
          <w:b/>
          <w:bCs/>
          <w:lang w:val="fr-FR"/>
        </w:rPr>
        <w:t> </w:t>
      </w:r>
      <w:r w:rsidRPr="00DD1BE0">
        <w:rPr>
          <w:b/>
          <w:bCs/>
          <w:lang w:val="fr-FR"/>
        </w:rPr>
        <w:t>m/2</w:t>
      </w:r>
      <w:r w:rsidR="009E7732">
        <w:rPr>
          <w:b/>
          <w:bCs/>
          <w:lang w:val="fr-FR"/>
        </w:rPr>
        <w:t> </w:t>
      </w:r>
      <w:r w:rsidRPr="00DD1BE0">
        <w:rPr>
          <w:b/>
          <w:bCs/>
          <w:lang w:val="fr-FR"/>
        </w:rPr>
        <w:t>m].</w:t>
      </w:r>
      <w:r w:rsidRPr="00DD1BE0">
        <w:rPr>
          <w:lang w:val="fr-FR"/>
        </w:rPr>
        <w:t xml:space="preserve"> </w:t>
      </w:r>
      <w:r w:rsidRPr="00DD1BE0">
        <w:rPr>
          <w:b/>
          <w:bCs/>
          <w:lang w:val="fr-FR"/>
        </w:rPr>
        <w:t>Par distance, on entend la distance entre le point le plus proche du véhicule à moteur et le dispositif utilisateur</w:t>
      </w:r>
      <w:r>
        <w:rPr>
          <w:b/>
          <w:bCs/>
          <w:lang w:val="fr-FR"/>
        </w:rPr>
        <w:t> ;</w:t>
      </w:r>
    </w:p>
    <w:p w14:paraId="5B939D4C" w14:textId="77777777" w:rsidR="00C26925" w:rsidRPr="00DD1BE0" w:rsidRDefault="00C26925" w:rsidP="009E7732">
      <w:pPr>
        <w:pStyle w:val="SingleTxtG"/>
        <w:ind w:left="2835" w:hanging="567"/>
        <w:rPr>
          <w:b/>
          <w:lang w:val="fr-FR"/>
        </w:rPr>
      </w:pPr>
      <w:r>
        <w:rPr>
          <w:b/>
          <w:bCs/>
          <w:lang w:val="fr-FR"/>
        </w:rPr>
        <w:t>d)</w:t>
      </w:r>
      <w:r>
        <w:rPr>
          <w:b/>
          <w:bCs/>
          <w:lang w:val="fr-FR"/>
        </w:rPr>
        <w:tab/>
      </w:r>
      <w:r w:rsidRPr="00DD1BE0">
        <w:rPr>
          <w:b/>
          <w:bCs/>
          <w:lang w:val="fr-FR"/>
        </w:rPr>
        <w:t>Le dispositif utilisateur est placé à chacun des points d’essai.</w:t>
      </w:r>
      <w:r w:rsidRPr="00DD1BE0">
        <w:rPr>
          <w:lang w:val="fr-FR"/>
        </w:rPr>
        <w:t xml:space="preserve"> </w:t>
      </w:r>
      <w:r w:rsidRPr="00DD1BE0">
        <w:rPr>
          <w:b/>
          <w:bCs/>
          <w:lang w:val="fr-FR"/>
        </w:rPr>
        <w:t>Pendant la tentative de mise en mouvement du véhicule par ses propres moyens, la porte de celui-ci doit être fermée.</w:t>
      </w:r>
      <w:r w:rsidRPr="00DD1BE0">
        <w:rPr>
          <w:lang w:val="fr-FR"/>
        </w:rPr>
        <w:t xml:space="preserve"> </w:t>
      </w:r>
      <w:r w:rsidRPr="00DD1BE0">
        <w:rPr>
          <w:b/>
          <w:bCs/>
          <w:lang w:val="fr-FR"/>
        </w:rPr>
        <w:t>Il n’est pas satisfait à la prescription si, à l’un des points d’essai, le véhicule peut se mettre en mouvement par ses propres moyens.</w:t>
      </w:r>
    </w:p>
    <w:p w14:paraId="49065356" w14:textId="77777777" w:rsidR="00C26925" w:rsidRPr="00DD1BE0" w:rsidRDefault="00C26925" w:rsidP="00C26925">
      <w:pPr>
        <w:pStyle w:val="SingleTxtG"/>
        <w:ind w:left="2268" w:hanging="1134"/>
        <w:rPr>
          <w:rFonts w:eastAsia="DengXian"/>
          <w:b/>
          <w:bCs/>
          <w:lang w:val="fr-FR"/>
        </w:rPr>
      </w:pPr>
      <w:r w:rsidRPr="00DD1BE0">
        <w:rPr>
          <w:b/>
          <w:bCs/>
          <w:lang w:val="fr-FR"/>
        </w:rPr>
        <w:t>4.3.3</w:t>
      </w:r>
      <w:r w:rsidRPr="00DD1BE0">
        <w:rPr>
          <w:b/>
          <w:bCs/>
          <w:lang w:val="fr-FR"/>
        </w:rPr>
        <w:tab/>
        <w:t>Les prescriptions des paragraphes 4.3.1 et 4.3.2 ne s’appliquent pas pendant une manœuvre télécommandée telle que définie dans le Règlement ONU n</w:t>
      </w:r>
      <w:r w:rsidRPr="00DD1BE0">
        <w:rPr>
          <w:b/>
          <w:bCs/>
          <w:vertAlign w:val="superscript"/>
          <w:lang w:val="fr-FR"/>
        </w:rPr>
        <w:t>o</w:t>
      </w:r>
      <w:r w:rsidRPr="00DD1BE0">
        <w:rPr>
          <w:b/>
          <w:bCs/>
          <w:lang w:val="fr-FR"/>
        </w:rPr>
        <w:t> 79.</w:t>
      </w:r>
    </w:p>
    <w:p w14:paraId="12B7E535" w14:textId="77777777" w:rsidR="00C26925" w:rsidRPr="00DD1BE0" w:rsidRDefault="00C26925" w:rsidP="00C26925">
      <w:pPr>
        <w:pStyle w:val="SingleTxtG"/>
        <w:ind w:left="2268" w:hanging="1134"/>
        <w:rPr>
          <w:b/>
          <w:lang w:val="fr-FR"/>
        </w:rPr>
      </w:pPr>
      <w:r w:rsidRPr="00DD1BE0">
        <w:rPr>
          <w:b/>
          <w:bCs/>
          <w:lang w:val="fr-FR"/>
        </w:rPr>
        <w:t>4.4</w:t>
      </w:r>
      <w:r w:rsidRPr="00DD1BE0">
        <w:rPr>
          <w:b/>
          <w:bCs/>
          <w:lang w:val="fr-FR"/>
        </w:rPr>
        <w:tab/>
        <w:t>Des informations détaillées doivent figurer dans le manuel d’utilisation du véhicule ou pouvoir être obtenues par tout autre moyen de communication à bord du véhicule</w:t>
      </w:r>
      <w:r>
        <w:rPr>
          <w:b/>
          <w:bCs/>
          <w:lang w:val="fr-FR"/>
        </w:rPr>
        <w:t> ;</w:t>
      </w:r>
      <w:r w:rsidRPr="00DD1BE0">
        <w:rPr>
          <w:lang w:val="fr-FR"/>
        </w:rPr>
        <w:t xml:space="preserve"> </w:t>
      </w:r>
      <w:r w:rsidRPr="00DD1BE0">
        <w:rPr>
          <w:b/>
          <w:bCs/>
          <w:lang w:val="fr-FR"/>
        </w:rPr>
        <w:t>ces informations doivent comprendre au moins</w:t>
      </w:r>
      <w:r>
        <w:rPr>
          <w:b/>
          <w:bCs/>
          <w:lang w:val="fr-FR"/>
        </w:rPr>
        <w:t> :</w:t>
      </w:r>
    </w:p>
    <w:p w14:paraId="33E0E95D" w14:textId="77777777" w:rsidR="00C26925" w:rsidRPr="00DD1BE0" w:rsidRDefault="00C26925" w:rsidP="009E7732">
      <w:pPr>
        <w:pStyle w:val="SingleTxtG"/>
        <w:ind w:left="2835" w:hanging="567"/>
        <w:rPr>
          <w:rFonts w:eastAsia="DengXian"/>
          <w:b/>
          <w:bCs/>
          <w:lang w:val="fr-FR"/>
        </w:rPr>
      </w:pPr>
      <w:r>
        <w:rPr>
          <w:b/>
          <w:bCs/>
          <w:lang w:val="fr-FR"/>
        </w:rPr>
        <w:t>a)</w:t>
      </w:r>
      <w:r>
        <w:rPr>
          <w:b/>
          <w:bCs/>
          <w:lang w:val="fr-FR"/>
        </w:rPr>
        <w:tab/>
      </w:r>
      <w:r w:rsidRPr="00DD1BE0">
        <w:rPr>
          <w:b/>
          <w:bCs/>
          <w:lang w:val="fr-FR"/>
        </w:rPr>
        <w:t>La ou les méthodes d’autorisation de la clef numérique</w:t>
      </w:r>
      <w:r>
        <w:rPr>
          <w:b/>
          <w:bCs/>
          <w:lang w:val="fr-FR"/>
        </w:rPr>
        <w:t> ;</w:t>
      </w:r>
    </w:p>
    <w:p w14:paraId="566556B9" w14:textId="77777777" w:rsidR="00C26925" w:rsidRPr="00DD1BE0" w:rsidRDefault="00C26925" w:rsidP="009E7732">
      <w:pPr>
        <w:pStyle w:val="SingleTxtG"/>
        <w:ind w:left="2835" w:hanging="567"/>
        <w:rPr>
          <w:rFonts w:eastAsia="DengXian"/>
          <w:b/>
          <w:bCs/>
          <w:lang w:val="fr-FR"/>
        </w:rPr>
      </w:pPr>
      <w:r>
        <w:rPr>
          <w:b/>
          <w:bCs/>
          <w:lang w:val="fr-FR"/>
        </w:rPr>
        <w:t>b)</w:t>
      </w:r>
      <w:r>
        <w:rPr>
          <w:b/>
          <w:bCs/>
          <w:lang w:val="fr-FR"/>
        </w:rPr>
        <w:tab/>
      </w:r>
      <w:r w:rsidRPr="00DD1BE0">
        <w:rPr>
          <w:b/>
          <w:bCs/>
          <w:lang w:val="fr-FR"/>
        </w:rPr>
        <w:t>La ou les méthodes d’annulation de la clef numérique.</w:t>
      </w:r>
    </w:p>
    <w:p w14:paraId="08BCCB0E" w14:textId="77777777" w:rsidR="00C26925" w:rsidRPr="00DD1BE0" w:rsidRDefault="00C26925" w:rsidP="00C26925">
      <w:pPr>
        <w:pStyle w:val="SingleTxtG"/>
        <w:ind w:left="2268" w:hanging="1134"/>
        <w:rPr>
          <w:rFonts w:eastAsia="DengXian"/>
          <w:b/>
          <w:bCs/>
          <w:lang w:val="fr-FR"/>
        </w:rPr>
      </w:pPr>
      <w:r>
        <w:rPr>
          <w:b/>
          <w:bCs/>
          <w:lang w:val="fr-FR"/>
        </w:rPr>
        <w:t>5.</w:t>
      </w:r>
      <w:r>
        <w:rPr>
          <w:b/>
          <w:bCs/>
          <w:lang w:val="fr-FR"/>
        </w:rPr>
        <w:tab/>
      </w:r>
      <w:r w:rsidRPr="00DD1BE0">
        <w:rPr>
          <w:b/>
          <w:bCs/>
          <w:lang w:val="fr-FR"/>
        </w:rPr>
        <w:t>L’efficacité du système ne doit pas être compromise par des cyberattaques, des cybermenaces et des vulnérabilités.</w:t>
      </w:r>
      <w:r w:rsidRPr="00DD1BE0">
        <w:rPr>
          <w:lang w:val="fr-FR"/>
        </w:rPr>
        <w:t xml:space="preserve"> </w:t>
      </w:r>
      <w:r w:rsidRPr="00DD1BE0">
        <w:rPr>
          <w:b/>
          <w:bCs/>
          <w:lang w:val="fr-FR"/>
        </w:rPr>
        <w:t>L’efficacité des mesures de sécurité doit être démontrée par le respect du Règlement ONU n</w:t>
      </w:r>
      <w:r w:rsidRPr="00DD1BE0">
        <w:rPr>
          <w:b/>
          <w:bCs/>
          <w:vertAlign w:val="superscript"/>
          <w:lang w:val="fr-FR"/>
        </w:rPr>
        <w:t>o</w:t>
      </w:r>
      <w:r w:rsidR="009E7732">
        <w:rPr>
          <w:b/>
          <w:bCs/>
          <w:lang w:val="fr-FR"/>
        </w:rPr>
        <w:t> </w:t>
      </w:r>
      <w:r w:rsidRPr="00DD1BE0">
        <w:rPr>
          <w:b/>
          <w:bCs/>
          <w:lang w:val="fr-FR"/>
        </w:rPr>
        <w:t>155.</w:t>
      </w:r>
    </w:p>
    <w:p w14:paraId="4DC69560" w14:textId="77777777" w:rsidR="00C26925" w:rsidRPr="00DD1BE0" w:rsidRDefault="00C26925" w:rsidP="00C26925">
      <w:pPr>
        <w:pStyle w:val="SingleTxtG"/>
        <w:ind w:left="2268" w:hanging="1134"/>
        <w:rPr>
          <w:rFonts w:eastAsia="DengXian"/>
          <w:b/>
          <w:bCs/>
          <w:lang w:val="fr-FR"/>
        </w:rPr>
      </w:pPr>
      <w:r>
        <w:rPr>
          <w:b/>
          <w:bCs/>
          <w:lang w:val="fr-FR"/>
        </w:rPr>
        <w:t>6.</w:t>
      </w:r>
      <w:r>
        <w:rPr>
          <w:b/>
          <w:bCs/>
          <w:lang w:val="fr-FR"/>
        </w:rPr>
        <w:tab/>
      </w:r>
      <w:r w:rsidRPr="00DD1BE0">
        <w:rPr>
          <w:b/>
          <w:bCs/>
          <w:lang w:val="fr-FR"/>
        </w:rPr>
        <w:t>Vérification</w:t>
      </w:r>
    </w:p>
    <w:p w14:paraId="565D740B" w14:textId="77777777" w:rsidR="00C26925" w:rsidRPr="00DD1BE0" w:rsidRDefault="00C26925" w:rsidP="009E7732">
      <w:pPr>
        <w:pStyle w:val="SingleTxtG"/>
        <w:ind w:left="2268"/>
        <w:rPr>
          <w:b/>
          <w:bCs/>
          <w:lang w:val="fr-FR"/>
        </w:rPr>
      </w:pPr>
      <w:r w:rsidRPr="00DD1BE0">
        <w:rPr>
          <w:b/>
          <w:bCs/>
          <w:lang w:val="fr-FR"/>
        </w:rPr>
        <w:t>La vérification du bon fonctionnement de la clef numérique doit être effectuée sur la base de la documentation fournie par le constructeur telle que décrite au paragraphe 3.</w:t>
      </w:r>
    </w:p>
    <w:p w14:paraId="5A39A09D" w14:textId="77777777" w:rsidR="00C26925" w:rsidRPr="00C26925" w:rsidRDefault="00C26925" w:rsidP="00C26925">
      <w:pPr>
        <w:pStyle w:val="SingleTxtG"/>
        <w:ind w:left="2268" w:hanging="1134"/>
        <w:rPr>
          <w:rFonts w:eastAsia="DengXian"/>
          <w:b/>
          <w:bCs/>
          <w:lang w:val="fr-FR"/>
        </w:rPr>
      </w:pPr>
      <w:bookmarkStart w:id="5" w:name="7_841"/>
      <w:r w:rsidRPr="00294289">
        <w:rPr>
          <w:b/>
          <w:bCs/>
          <w:lang w:val="fr-FR"/>
        </w:rPr>
        <w:t>7.</w:t>
      </w:r>
      <w:r w:rsidRPr="00C26925">
        <w:rPr>
          <w:b/>
          <w:bCs/>
          <w:lang w:val="fr-FR"/>
        </w:rPr>
        <w:tab/>
        <w:t>Compétence des vérificateurs et des évaluateurs</w:t>
      </w:r>
      <w:bookmarkEnd w:id="5"/>
    </w:p>
    <w:p w14:paraId="6FD37FF9" w14:textId="77777777" w:rsidR="00C26925" w:rsidRPr="00DD1BE0" w:rsidRDefault="00C26925" w:rsidP="00C26925">
      <w:pPr>
        <w:pStyle w:val="SingleTxtG"/>
        <w:ind w:left="2268"/>
        <w:rPr>
          <w:rFonts w:eastAsia="DengXian"/>
          <w:lang w:val="fr-FR"/>
        </w:rPr>
      </w:pPr>
      <w:r w:rsidRPr="00C26925">
        <w:rPr>
          <w:b/>
          <w:bCs/>
          <w:lang w:val="fr-FR"/>
        </w:rPr>
        <w:t xml:space="preserve">Les évaluations prévues par la présente annexe ne doivent être effectuées que par des vérificateurs et des évaluateurs possédant les connaissances techniques et administratives nécessaires à cette fin. Ceux-ci doivent notamment être en mesure d’évaluer le respect des normes ISO 26262-2018 (Véhicules routiers </w:t>
      </w:r>
      <w:r w:rsidR="009E7732">
        <w:rPr>
          <w:b/>
          <w:bCs/>
          <w:lang w:val="fr-FR"/>
        </w:rPr>
        <w:t>−</w:t>
      </w:r>
      <w:r w:rsidRPr="00C26925">
        <w:rPr>
          <w:b/>
          <w:bCs/>
          <w:lang w:val="fr-FR"/>
        </w:rPr>
        <w:t xml:space="preserve"> Sécurité fonctionnelle) et ISO/PAS 21448 (Véhicules routiers − Sécurité de la fonction attendue) et d’établir le lien nécessaire avec les questions de cybersécurité conformément au Règlement ONU n</w:t>
      </w:r>
      <w:r w:rsidRPr="00C26925">
        <w:rPr>
          <w:b/>
          <w:bCs/>
          <w:vertAlign w:val="superscript"/>
          <w:lang w:val="fr-FR"/>
        </w:rPr>
        <w:t>o</w:t>
      </w:r>
      <w:r w:rsidR="009E7732">
        <w:rPr>
          <w:b/>
          <w:bCs/>
          <w:lang w:val="fr-FR"/>
        </w:rPr>
        <w:t> </w:t>
      </w:r>
      <w:r w:rsidRPr="00C26925">
        <w:rPr>
          <w:b/>
          <w:bCs/>
          <w:lang w:val="fr-FR"/>
        </w:rPr>
        <w:t>155 et à la norme ISO/SAE 21434. Cette compétence doit être démontrée par des qualifications appropriées ou des attestations de formations équivalentes.</w:t>
      </w:r>
      <w:r w:rsidRPr="00DD1BE0">
        <w:rPr>
          <w:lang w:val="fr-FR"/>
        </w:rPr>
        <w:t> ».</w:t>
      </w:r>
    </w:p>
    <w:p w14:paraId="1FE1649A" w14:textId="77777777" w:rsidR="00C26925" w:rsidRPr="00DD1BE0" w:rsidRDefault="00C26925" w:rsidP="00C26925">
      <w:pPr>
        <w:pStyle w:val="HChG"/>
        <w:rPr>
          <w:lang w:val="fr-FR"/>
        </w:rPr>
      </w:pPr>
      <w:r>
        <w:rPr>
          <w:lang w:val="fr-FR"/>
        </w:rPr>
        <w:tab/>
      </w:r>
      <w:r w:rsidRPr="00DD1BE0">
        <w:rPr>
          <w:lang w:val="fr-FR"/>
        </w:rPr>
        <w:t>II.</w:t>
      </w:r>
      <w:r w:rsidRPr="00DD1BE0">
        <w:rPr>
          <w:lang w:val="fr-FR"/>
        </w:rPr>
        <w:tab/>
        <w:t>Justification</w:t>
      </w:r>
    </w:p>
    <w:p w14:paraId="24DD2636" w14:textId="77777777" w:rsidR="00C26925" w:rsidRPr="00DD1BE0" w:rsidRDefault="00C26925" w:rsidP="00C26925">
      <w:pPr>
        <w:pStyle w:val="SingleTxtG"/>
        <w:rPr>
          <w:lang w:val="fr-FR"/>
        </w:rPr>
      </w:pPr>
      <w:r w:rsidRPr="00DD1BE0">
        <w:rPr>
          <w:lang w:val="fr-FR"/>
        </w:rPr>
        <w:t>1.</w:t>
      </w:r>
      <w:r w:rsidRPr="00DD1BE0">
        <w:rPr>
          <w:lang w:val="fr-FR"/>
        </w:rPr>
        <w:tab/>
        <w:t>Paragraphes 5.1.5, 6.1.8 et 8.1.6</w:t>
      </w:r>
      <w:r>
        <w:rPr>
          <w:lang w:val="fr-FR"/>
        </w:rPr>
        <w:t> :</w:t>
      </w:r>
      <w:r w:rsidRPr="00DD1BE0">
        <w:rPr>
          <w:lang w:val="fr-FR"/>
        </w:rPr>
        <w:t xml:space="preserve"> précision apportée à la définition du terme «</w:t>
      </w:r>
      <w:r w:rsidR="009E7732">
        <w:rPr>
          <w:lang w:val="fr-FR"/>
        </w:rPr>
        <w:t> </w:t>
      </w:r>
      <w:r w:rsidRPr="00DD1BE0">
        <w:rPr>
          <w:lang w:val="fr-FR"/>
        </w:rPr>
        <w:t>clef ». Le dispositif a été interprété comme étant le support de la clef</w:t>
      </w:r>
      <w:r>
        <w:rPr>
          <w:lang w:val="fr-FR"/>
        </w:rPr>
        <w:t> ;</w:t>
      </w:r>
      <w:r w:rsidRPr="00DD1BE0">
        <w:rPr>
          <w:lang w:val="fr-FR"/>
        </w:rPr>
        <w:t xml:space="preserve"> appeler la clef une solution permet de préciser que celle-ci n’est pas nécessairement un dispositif mécanique. Aujourd’hui, le système de verrouillage d’un dispositif de protection donné (dispositif de protection contre une utilisation non autorisée, dispositif d’immobilisation ou système d’alarme) peut être actionné au moyen de plusieurs clefs mécaniques ou solutions électroniques. La suppression de « uniquement » dissipe toute confusion à ce sujet.</w:t>
      </w:r>
    </w:p>
    <w:p w14:paraId="530FBD48" w14:textId="77777777" w:rsidR="00C26925" w:rsidRPr="00DD1BE0" w:rsidRDefault="00C26925" w:rsidP="009E7732">
      <w:pPr>
        <w:pStyle w:val="SingleTxtG"/>
        <w:keepLines/>
        <w:rPr>
          <w:lang w:val="fr-FR"/>
        </w:rPr>
      </w:pPr>
      <w:r w:rsidRPr="00DD1BE0">
        <w:rPr>
          <w:lang w:val="fr-FR"/>
        </w:rPr>
        <w:lastRenderedPageBreak/>
        <w:t>2.</w:t>
      </w:r>
      <w:r w:rsidRPr="00DD1BE0">
        <w:rPr>
          <w:lang w:val="fr-FR"/>
        </w:rPr>
        <w:tab/>
        <w:t>Paragraphes 5.1.7, 6.1.13 et 8.1.11</w:t>
      </w:r>
      <w:r>
        <w:rPr>
          <w:lang w:val="fr-FR"/>
        </w:rPr>
        <w:t> :</w:t>
      </w:r>
      <w:r w:rsidRPr="00DD1BE0">
        <w:rPr>
          <w:lang w:val="fr-FR"/>
        </w:rPr>
        <w:t xml:space="preserve"> ajout de la définition du terme « utilisateur principal ». L’idée selon laquelle il existe deux catégories d’utilisateurs d’un véhicule a évolué au fil des débats tenus à la quatrième réunion de l’équipe spéciale. Le Règlement ONU dont il est question ici ne reconnaît que le conducteur et les passagers. Étant donné la facilité avec laquelle des clefs numériques peuvent être transférées d’un conducteur à l’autre, il a été demandé qu’une distinction soit établie entre le propriétaire du véhicule, qui conduit son propre véhicule, et un conducteur, qui emprunte ou loue un véhicule. Ainsi, l’utilisateur principal peut être une société de location, qui transfère la clef numérique à un conducteur louant un véhicule. Cette société n’autorise pas le conducteur qui loue la voiture à donner la clef à d’autres personnes</w:t>
      </w:r>
      <w:r>
        <w:rPr>
          <w:lang w:val="fr-FR"/>
        </w:rPr>
        <w:t> ;</w:t>
      </w:r>
      <w:r w:rsidRPr="00DD1BE0">
        <w:rPr>
          <w:lang w:val="fr-FR"/>
        </w:rPr>
        <w:t xml:space="preserve"> le conducteur ne deviendra donc pas un utilisateur principal, habilité à autoriser des clefs numériques. L’ajout d’un « utilisateur principal » correspond au fait qu’il peut y avoir différentes catégories d’utilisateurs.</w:t>
      </w:r>
    </w:p>
    <w:p w14:paraId="1DDD60EE" w14:textId="77777777" w:rsidR="00C26925" w:rsidRPr="00DD1BE0" w:rsidRDefault="00C26925" w:rsidP="00C26925">
      <w:pPr>
        <w:pStyle w:val="SingleTxtG"/>
        <w:rPr>
          <w:lang w:val="fr-FR"/>
        </w:rPr>
      </w:pPr>
      <w:r w:rsidRPr="00DD1BE0">
        <w:rPr>
          <w:lang w:val="fr-FR"/>
        </w:rPr>
        <w:t>3.</w:t>
      </w:r>
      <w:r w:rsidRPr="00DD1BE0">
        <w:rPr>
          <w:lang w:val="fr-FR"/>
        </w:rPr>
        <w:tab/>
        <w:t>Paragraphes 5.1.8, 6.1.14 et 8.1.12</w:t>
      </w:r>
      <w:r>
        <w:rPr>
          <w:lang w:val="fr-FR"/>
        </w:rPr>
        <w:t> :</w:t>
      </w:r>
      <w:r w:rsidRPr="00DD1BE0">
        <w:rPr>
          <w:lang w:val="fr-FR"/>
        </w:rPr>
        <w:t xml:space="preserve"> ajout d’une définition du terme « clef numérique ». La principale différence avec la « clef » précédente est le transfert possible de la clef numérique sur plusieurs dispositifs selon une procédure définie par le constructeur du véhicule. C’est cet élément qui sert de base à la nouvelle définition. Il a été décidé d’appeler « clef numérique » cette solution électronique spécifique pour reprendre le terme utilisé par le CCC (Connected Car Consortium).</w:t>
      </w:r>
    </w:p>
    <w:p w14:paraId="50DC41E8" w14:textId="77777777" w:rsidR="00C26925" w:rsidRDefault="00C26925" w:rsidP="00C26925">
      <w:pPr>
        <w:pStyle w:val="SingleTxtG"/>
        <w:rPr>
          <w:lang w:val="fr-FR"/>
        </w:rPr>
      </w:pPr>
      <w:r w:rsidRPr="00DD1BE0">
        <w:rPr>
          <w:lang w:val="fr-FR"/>
        </w:rPr>
        <w:t>4.</w:t>
      </w:r>
      <w:r w:rsidRPr="00DD1BE0">
        <w:rPr>
          <w:lang w:val="fr-FR"/>
        </w:rPr>
        <w:tab/>
        <w:t>Paragraphes 5.1.9, 6.1.15 et 8.1.13</w:t>
      </w:r>
      <w:r>
        <w:rPr>
          <w:lang w:val="fr-FR"/>
        </w:rPr>
        <w:t> :</w:t>
      </w:r>
      <w:r w:rsidRPr="00DD1BE0">
        <w:rPr>
          <w:lang w:val="fr-FR"/>
        </w:rPr>
        <w:t xml:space="preserve"> ajout d’une définition du terme « proximité immédiate ».</w:t>
      </w:r>
    </w:p>
    <w:p w14:paraId="2CD94B02" w14:textId="77777777" w:rsidR="00C26925" w:rsidRPr="00DD1BE0" w:rsidRDefault="00C26925" w:rsidP="00C26925">
      <w:pPr>
        <w:pStyle w:val="SingleTxtG"/>
        <w:rPr>
          <w:lang w:val="fr-FR"/>
        </w:rPr>
      </w:pPr>
      <w:r w:rsidRPr="00DD1BE0">
        <w:rPr>
          <w:lang w:val="fr-FR"/>
        </w:rPr>
        <w:t>5.</w:t>
      </w:r>
      <w:r w:rsidRPr="00DD1BE0">
        <w:rPr>
          <w:lang w:val="fr-FR"/>
        </w:rPr>
        <w:tab/>
        <w:t>Paragraphes 5.2.16, 6.2.10, 7.2.7 et 8.2.11</w:t>
      </w:r>
      <w:r>
        <w:rPr>
          <w:lang w:val="fr-FR"/>
        </w:rPr>
        <w:t> :</w:t>
      </w:r>
      <w:r w:rsidRPr="00DD1BE0">
        <w:rPr>
          <w:lang w:val="fr-FR"/>
        </w:rPr>
        <w:t xml:space="preserve"> ajout de nouveaux renvois à l’annexe 11 pour les clefs numériques (voir ci-dessous).</w:t>
      </w:r>
    </w:p>
    <w:p w14:paraId="271F4A85" w14:textId="77777777" w:rsidR="00C26925" w:rsidRPr="00DD1BE0" w:rsidRDefault="00C26925" w:rsidP="00C26925">
      <w:pPr>
        <w:pStyle w:val="SingleTxtG"/>
        <w:rPr>
          <w:lang w:val="fr-FR"/>
        </w:rPr>
      </w:pPr>
      <w:r w:rsidRPr="00DD1BE0">
        <w:rPr>
          <w:lang w:val="fr-FR"/>
        </w:rPr>
        <w:t>6.</w:t>
      </w:r>
      <w:r>
        <w:rPr>
          <w:lang w:val="fr-FR"/>
        </w:rPr>
        <w:tab/>
      </w:r>
      <w:r w:rsidRPr="00DD1BE0">
        <w:rPr>
          <w:lang w:val="fr-FR"/>
        </w:rPr>
        <w:t>Paragraphes 2.1, 3.1 et 4.1 de l’annexe 11</w:t>
      </w:r>
      <w:r>
        <w:rPr>
          <w:lang w:val="fr-FR"/>
        </w:rPr>
        <w:t> :</w:t>
      </w:r>
      <w:r w:rsidRPr="00DD1BE0">
        <w:rPr>
          <w:lang w:val="fr-FR"/>
        </w:rPr>
        <w:t xml:space="preserve"> les clefs numériques nécessitent la mise en place d’une procédure d’autorisation.</w:t>
      </w:r>
    </w:p>
    <w:p w14:paraId="767A8C08" w14:textId="77777777" w:rsidR="00C26925" w:rsidRPr="00DD1BE0" w:rsidRDefault="00C26925" w:rsidP="00C26925">
      <w:pPr>
        <w:pStyle w:val="SingleTxtG"/>
        <w:rPr>
          <w:lang w:val="fr-FR"/>
        </w:rPr>
      </w:pPr>
      <w:r w:rsidRPr="00DD1BE0">
        <w:rPr>
          <w:lang w:val="fr-FR"/>
        </w:rPr>
        <w:t>7.</w:t>
      </w:r>
      <w:r w:rsidRPr="00DD1BE0">
        <w:rPr>
          <w:lang w:val="fr-FR"/>
        </w:rPr>
        <w:tab/>
        <w:t>Paragraphes 2.2, 3.2, 3.4 et 4.2 de l’annexe 11</w:t>
      </w:r>
      <w:r>
        <w:rPr>
          <w:lang w:val="fr-FR"/>
        </w:rPr>
        <w:t> :</w:t>
      </w:r>
      <w:r w:rsidRPr="00DD1BE0">
        <w:rPr>
          <w:lang w:val="fr-FR"/>
        </w:rPr>
        <w:t xml:space="preserve"> les clefs numériques nécessitent la mise en place d’une procédure d’annulation. L’annulation a été considérée comme étant le principal facteur de risque pour le fonctionnement du véhicule</w:t>
      </w:r>
      <w:r>
        <w:rPr>
          <w:lang w:val="fr-FR"/>
        </w:rPr>
        <w:t> ;</w:t>
      </w:r>
      <w:r w:rsidRPr="00DD1BE0">
        <w:rPr>
          <w:lang w:val="fr-FR"/>
        </w:rPr>
        <w:t xml:space="preserve"> des mesures spécifiques doivent donc être prévues pour garantir un fonctionnement dans des conditions de sécurité.</w:t>
      </w:r>
    </w:p>
    <w:p w14:paraId="565B0631" w14:textId="77777777" w:rsidR="00C26925" w:rsidRPr="00DD1BE0" w:rsidRDefault="00C26925" w:rsidP="00C26925">
      <w:pPr>
        <w:pStyle w:val="SingleTxtG"/>
        <w:rPr>
          <w:lang w:val="fr-FR"/>
        </w:rPr>
      </w:pPr>
      <w:r w:rsidRPr="00DD1BE0">
        <w:rPr>
          <w:lang w:val="fr-FR"/>
        </w:rPr>
        <w:t>8.</w:t>
      </w:r>
      <w:r w:rsidRPr="00DD1BE0">
        <w:rPr>
          <w:lang w:val="fr-FR"/>
        </w:rPr>
        <w:tab/>
        <w:t>Paragraphes 4.2.1 et 7</w:t>
      </w:r>
      <w:r w:rsidR="009E7732">
        <w:rPr>
          <w:lang w:val="fr-FR"/>
        </w:rPr>
        <w:t xml:space="preserve"> </w:t>
      </w:r>
      <w:r w:rsidRPr="00DD1BE0">
        <w:rPr>
          <w:lang w:val="fr-FR"/>
        </w:rPr>
        <w:t>de l’annexe 11</w:t>
      </w:r>
      <w:r>
        <w:rPr>
          <w:lang w:val="fr-FR"/>
        </w:rPr>
        <w:t> :</w:t>
      </w:r>
      <w:r w:rsidRPr="00DD1BE0">
        <w:rPr>
          <w:lang w:val="fr-FR"/>
        </w:rPr>
        <w:t xml:space="preserve"> ajout de prescriptions relatives à une méthode normalisée d’analyse des risques. Le texte du paragraphe 4.2.1 provient du Règlement ONU n</w:t>
      </w:r>
      <w:r w:rsidRPr="00DD1BE0">
        <w:rPr>
          <w:vertAlign w:val="superscript"/>
          <w:lang w:val="fr-FR"/>
        </w:rPr>
        <w:t>o</w:t>
      </w:r>
      <w:r w:rsidRPr="00DD1BE0">
        <w:rPr>
          <w:lang w:val="fr-FR"/>
        </w:rPr>
        <w:t> 100</w:t>
      </w:r>
      <w:r>
        <w:rPr>
          <w:lang w:val="fr-FR"/>
        </w:rPr>
        <w:t> ;</w:t>
      </w:r>
      <w:r w:rsidRPr="00DD1BE0">
        <w:rPr>
          <w:lang w:val="fr-FR"/>
        </w:rPr>
        <w:t xml:space="preserve"> des modifications ont été apportées pour indiquer la préférence pour les normes ISO. Le texte du paragraphe 7 est tiré du Règlement ONU n</w:t>
      </w:r>
      <w:r w:rsidRPr="00DD1BE0">
        <w:rPr>
          <w:vertAlign w:val="superscript"/>
          <w:lang w:val="fr-FR"/>
        </w:rPr>
        <w:t>o</w:t>
      </w:r>
      <w:r w:rsidRPr="00DD1BE0">
        <w:rPr>
          <w:lang w:val="fr-FR"/>
        </w:rPr>
        <w:t> 157.</w:t>
      </w:r>
    </w:p>
    <w:p w14:paraId="7D09663B" w14:textId="77777777" w:rsidR="00C26925" w:rsidRPr="00DD1BE0" w:rsidRDefault="00C26925" w:rsidP="00C26925">
      <w:pPr>
        <w:pStyle w:val="SingleTxtG"/>
        <w:rPr>
          <w:lang w:val="fr-FR"/>
        </w:rPr>
      </w:pPr>
      <w:r w:rsidRPr="00DD1BE0">
        <w:rPr>
          <w:lang w:val="fr-FR"/>
        </w:rPr>
        <w:t>9.</w:t>
      </w:r>
      <w:r w:rsidRPr="00DD1BE0">
        <w:rPr>
          <w:lang w:val="fr-FR"/>
        </w:rPr>
        <w:tab/>
        <w:t>Paragraphes 2.3, 3.3 et 4.3 de l’annexe 11</w:t>
      </w:r>
      <w:r>
        <w:rPr>
          <w:lang w:val="fr-FR"/>
        </w:rPr>
        <w:t> :</w:t>
      </w:r>
      <w:r w:rsidRPr="00DD1BE0">
        <w:rPr>
          <w:lang w:val="fr-FR"/>
        </w:rPr>
        <w:t xml:space="preserve"> les clefs numériques nécessitent l’imposition d’une limite au déverrouillage du dispositif de protection contre une utilisation non autorisée et à la mise hors fonction à distance du dispositif d’immobilisation.</w:t>
      </w:r>
    </w:p>
    <w:p w14:paraId="6CA3DCDE" w14:textId="77777777" w:rsidR="00C26925" w:rsidRDefault="00C26925" w:rsidP="00C26925">
      <w:pPr>
        <w:pStyle w:val="SingleTxtG"/>
        <w:ind w:firstLine="567"/>
        <w:rPr>
          <w:lang w:val="fr-FR"/>
        </w:rPr>
      </w:pPr>
      <w:r w:rsidRPr="00DD1BE0">
        <w:rPr>
          <w:lang w:val="fr-FR"/>
        </w:rPr>
        <w:t>Le texte actuel du règlement ONU n</w:t>
      </w:r>
      <w:r w:rsidRPr="00DD1BE0">
        <w:rPr>
          <w:vertAlign w:val="superscript"/>
          <w:lang w:val="fr-FR"/>
        </w:rPr>
        <w:t>o</w:t>
      </w:r>
      <w:r w:rsidRPr="00DD1BE0">
        <w:rPr>
          <w:lang w:val="fr-FR"/>
        </w:rPr>
        <w:t> 116 ne limite pas la portée de la télécommande. La portée des systèmes (entre 6 et 11</w:t>
      </w:r>
      <w:r w:rsidR="009E7732">
        <w:rPr>
          <w:lang w:val="fr-FR"/>
        </w:rPr>
        <w:t> </w:t>
      </w:r>
      <w:r w:rsidRPr="00DD1BE0">
        <w:rPr>
          <w:lang w:val="fr-FR"/>
        </w:rPr>
        <w:t>mètres) dépend de la technologie utilisée et des conditions d’essai.</w:t>
      </w:r>
    </w:p>
    <w:p w14:paraId="655D1F2A" w14:textId="77777777" w:rsidR="00C26925" w:rsidRDefault="00C26925" w:rsidP="00C26925">
      <w:pPr>
        <w:pStyle w:val="SingleTxtG"/>
        <w:ind w:firstLine="567"/>
        <w:rPr>
          <w:lang w:val="fr-FR"/>
        </w:rPr>
      </w:pPr>
      <w:r w:rsidRPr="00DD1BE0">
        <w:rPr>
          <w:lang w:val="fr-FR"/>
        </w:rPr>
        <w:t>La proposition vise à établir trois niveaux d’activation à distance des clefs numériques selon la tâche que le dispositif doit accomplir</w:t>
      </w:r>
      <w:r>
        <w:rPr>
          <w:lang w:val="fr-FR"/>
        </w:rPr>
        <w:t> :</w:t>
      </w:r>
    </w:p>
    <w:p w14:paraId="40818B77" w14:textId="77777777" w:rsidR="00C26925" w:rsidRPr="00DD1BE0" w:rsidRDefault="00C26925" w:rsidP="00C26925">
      <w:pPr>
        <w:pStyle w:val="SingleTxtG"/>
        <w:ind w:firstLine="567"/>
        <w:rPr>
          <w:lang w:val="fr-FR"/>
        </w:rPr>
      </w:pPr>
      <w:r w:rsidRPr="00DD1BE0">
        <w:rPr>
          <w:lang w:val="fr-FR"/>
        </w:rPr>
        <w:t>a)</w:t>
      </w:r>
      <w:r>
        <w:rPr>
          <w:lang w:val="fr-FR"/>
        </w:rPr>
        <w:tab/>
      </w:r>
      <w:r w:rsidRPr="00DD1BE0">
        <w:rPr>
          <w:lang w:val="fr-FR"/>
        </w:rPr>
        <w:t>Aucune limite n’est imposée aux systèmes d’alarme, afin de permettre aux utilisateurs d’utiliser le coffre de leur véhicule pour la livraison de colis tout en gardant le contrôle du réglage de l’alarme. L’utilisateur peut définir une plage horaire pendant laquelle l’alarme de son véhicule est désactivée, afin que la livraison puisse avoir lieu</w:t>
      </w:r>
      <w:r>
        <w:rPr>
          <w:lang w:val="fr-FR"/>
        </w:rPr>
        <w:t> ;</w:t>
      </w:r>
    </w:p>
    <w:p w14:paraId="44D01BB6" w14:textId="77777777" w:rsidR="00C26925" w:rsidRDefault="00C26925" w:rsidP="00C26925">
      <w:pPr>
        <w:pStyle w:val="SingleTxtG"/>
        <w:ind w:firstLine="567"/>
        <w:rPr>
          <w:lang w:val="fr-FR"/>
        </w:rPr>
      </w:pPr>
      <w:r w:rsidRPr="00DD1BE0">
        <w:rPr>
          <w:lang w:val="fr-FR"/>
        </w:rPr>
        <w:t>b)</w:t>
      </w:r>
      <w:r>
        <w:rPr>
          <w:lang w:val="fr-FR"/>
        </w:rPr>
        <w:tab/>
      </w:r>
      <w:r w:rsidRPr="00DD1BE0">
        <w:rPr>
          <w:lang w:val="fr-FR"/>
        </w:rPr>
        <w:t>Paragraphe 4.3.1 de l’annexe 11</w:t>
      </w:r>
      <w:r>
        <w:rPr>
          <w:lang w:val="fr-FR"/>
        </w:rPr>
        <w:t> :</w:t>
      </w:r>
      <w:r w:rsidRPr="00DD1BE0">
        <w:rPr>
          <w:lang w:val="fr-FR"/>
        </w:rPr>
        <w:t xml:space="preserve"> une limite est imposée pour les dispositifs visant à empêcher une utilisation non autorisée, la clef devant se trouver à proximité immédiate du véhicule. L’objectif principal du dispositif est de prévenir les vols par remorquage. Il est donc proposé que la clef se trouve dans un périmètre tel que</w:t>
      </w:r>
      <w:r>
        <w:rPr>
          <w:lang w:val="fr-FR"/>
        </w:rPr>
        <w:t xml:space="preserve"> </w:t>
      </w:r>
      <w:r w:rsidRPr="00DD1BE0">
        <w:rPr>
          <w:lang w:val="fr-FR"/>
        </w:rPr>
        <w:t>l’utilisateur remarquerait une tentative de remorquage.</w:t>
      </w:r>
      <w:r w:rsidRPr="00DD1BE0">
        <w:rPr>
          <w:lang w:val="fr-FR"/>
        </w:rPr>
        <w:tab/>
      </w:r>
    </w:p>
    <w:p w14:paraId="7EC3F9E4" w14:textId="77777777" w:rsidR="00C26925" w:rsidRPr="00DD1BE0" w:rsidRDefault="00C26925" w:rsidP="00C26925">
      <w:pPr>
        <w:pStyle w:val="SingleTxtG"/>
        <w:ind w:firstLine="567"/>
        <w:rPr>
          <w:lang w:val="fr-FR"/>
        </w:rPr>
      </w:pPr>
      <w:r w:rsidRPr="00DD1BE0">
        <w:rPr>
          <w:lang w:val="fr-FR"/>
        </w:rPr>
        <w:t>c)</w:t>
      </w:r>
      <w:r>
        <w:rPr>
          <w:lang w:val="fr-FR"/>
        </w:rPr>
        <w:tab/>
      </w:r>
      <w:r w:rsidRPr="00DD1BE0">
        <w:rPr>
          <w:lang w:val="fr-FR"/>
        </w:rPr>
        <w:t>Paragraphe 4.3.2 de l’annexe 11</w:t>
      </w:r>
      <w:r>
        <w:rPr>
          <w:lang w:val="fr-FR"/>
        </w:rPr>
        <w:t> :</w:t>
      </w:r>
      <w:r w:rsidRPr="00DD1BE0">
        <w:rPr>
          <w:lang w:val="fr-FR"/>
        </w:rPr>
        <w:t xml:space="preserve"> une limite est imposée pour les dispositifs d’immobilisation, la clef devant se trouver soit à l’intérieur du véhicule pour les systèmes de démarrage passifs (smart start), qui nécessitent la détection de la clef numérique autorisée pour pouvoir démarrer le moteur, soit à proximité immédiate du véhicule, associée à un </w:t>
      </w:r>
      <w:r w:rsidRPr="00DD1BE0">
        <w:rPr>
          <w:lang w:val="fr-FR"/>
        </w:rPr>
        <w:lastRenderedPageBreak/>
        <w:t>actionnement volontaire du dispositif utilisé comme clef du véhicule par l’utilisateur. Le dispositif d’immobilisation empêche le démarrage du véhicule et sa conduite. L’imposition d’une limite plus stricte à l’activation à distance du système d’immobilisation vise à protéger l’utilisateur contre une tentative de vol par une personne qui se tiendrait à proximité du véhicule. Le critère de proximité immédiate est donc combiné à une action intentionnelle de l’utilisateur</w:t>
      </w:r>
      <w:r>
        <w:rPr>
          <w:lang w:val="fr-FR"/>
        </w:rPr>
        <w:t> :</w:t>
      </w:r>
      <w:r w:rsidRPr="00DD1BE0">
        <w:rPr>
          <w:lang w:val="fr-FR"/>
        </w:rPr>
        <w:t xml:space="preserve"> la notion d’« action intentionnelle de l’utilisateur », est ajoutée pour indiquer clairement qu’un déclenchement volontaire de la part de l’utilisateur (par exemple au moyen d’un code PIN, d’un code-barre ou d’un code QR ou du balayage de son empreinte digitale)</w:t>
      </w:r>
      <w:r w:rsidR="0063607A">
        <w:rPr>
          <w:lang w:val="fr-FR"/>
        </w:rPr>
        <w:t xml:space="preserve"> </w:t>
      </w:r>
      <w:r w:rsidRPr="00DD1BE0">
        <w:rPr>
          <w:lang w:val="fr-FR"/>
        </w:rPr>
        <w:t>est requis lorsque celui-ci se trouve à proximité immédiate du véhicule.</w:t>
      </w:r>
    </w:p>
    <w:p w14:paraId="3F56ABCB" w14:textId="77777777" w:rsidR="00C26925" w:rsidRPr="00DD1BE0" w:rsidRDefault="00C26925" w:rsidP="00C26925">
      <w:pPr>
        <w:pStyle w:val="SingleTxtG"/>
        <w:ind w:firstLine="567"/>
        <w:rPr>
          <w:color w:val="4F6228" w:themeColor="accent3" w:themeShade="80"/>
          <w:lang w:val="fr-FR"/>
        </w:rPr>
      </w:pPr>
      <w:r w:rsidRPr="00DD1BE0">
        <w:rPr>
          <w:lang w:val="fr-FR"/>
        </w:rPr>
        <w:t>Le champ du récepteur/de l’antenne est généralement circulaire, alors que le périmètre des véhicules ne l’est pas. Le récepteur du dispositif d’immobilisation est généralement davantage orienté du côté du conducteur que du côté du passager. En outre, les champs électriques concernés ne sont pas limités par les matériaux utilisés dans la carrosserie du véhicule. Il est donc techniquement impossible de faire coïncider exactement les limites du champ du récepteur et celles de l’intérieur du véhicule. C’est pourquoi une procédure d’essai prévoyant une tolérance liée à la définition de l’« intérieur du véhicule » et précisant les critères de réussite ou d’échec a été ajoutée au cas d’utilisation du système de démarrage passif (smart start).</w:t>
      </w:r>
    </w:p>
    <w:p w14:paraId="7B097045" w14:textId="77777777" w:rsidR="00C26925" w:rsidRPr="00DD1BE0" w:rsidRDefault="00C26925" w:rsidP="00C26925">
      <w:pPr>
        <w:pStyle w:val="SingleTxtG"/>
        <w:rPr>
          <w:lang w:val="fr-FR"/>
        </w:rPr>
      </w:pPr>
      <w:r w:rsidRPr="00DD1BE0">
        <w:rPr>
          <w:lang w:val="fr-FR"/>
        </w:rPr>
        <w:t>10.</w:t>
      </w:r>
      <w:r w:rsidRPr="00DD1BE0">
        <w:rPr>
          <w:lang w:val="fr-FR"/>
        </w:rPr>
        <w:tab/>
        <w:t>Paragraphe 4.4 de l’annexe 11</w:t>
      </w:r>
      <w:r>
        <w:rPr>
          <w:lang w:val="fr-FR"/>
        </w:rPr>
        <w:t> :</w:t>
      </w:r>
      <w:r w:rsidRPr="00DD1BE0">
        <w:rPr>
          <w:lang w:val="fr-FR"/>
        </w:rPr>
        <w:t xml:space="preserve"> des informations supplémentaires concernant les clefs numériques (un manuel d’utilisation par exemple) doivent se trouver dans le véhicule.</w:t>
      </w:r>
    </w:p>
    <w:p w14:paraId="34250BFE" w14:textId="77777777" w:rsidR="00C26925" w:rsidRPr="00DD1BE0" w:rsidRDefault="00C26925" w:rsidP="00C26925">
      <w:pPr>
        <w:pStyle w:val="SingleTxtG"/>
        <w:rPr>
          <w:lang w:val="fr-FR"/>
        </w:rPr>
      </w:pPr>
      <w:r w:rsidRPr="00DD1BE0">
        <w:rPr>
          <w:lang w:val="fr-FR"/>
        </w:rPr>
        <w:t>11.</w:t>
      </w:r>
      <w:r w:rsidRPr="00DD1BE0">
        <w:rPr>
          <w:lang w:val="fr-FR"/>
        </w:rPr>
        <w:tab/>
        <w:t>Paragraphe 5 de l’annexe 11</w:t>
      </w:r>
      <w:r>
        <w:rPr>
          <w:lang w:val="fr-FR"/>
        </w:rPr>
        <w:t> :</w:t>
      </w:r>
      <w:r w:rsidRPr="00DD1BE0">
        <w:rPr>
          <w:lang w:val="fr-FR"/>
        </w:rPr>
        <w:t xml:space="preserve"> les clefs numériques doivent être conformes aux dispositions du Règlement ONU n</w:t>
      </w:r>
      <w:r w:rsidRPr="00DD1BE0">
        <w:rPr>
          <w:vertAlign w:val="superscript"/>
          <w:lang w:val="fr-FR"/>
        </w:rPr>
        <w:t>o</w:t>
      </w:r>
      <w:r w:rsidRPr="00DD1BE0">
        <w:rPr>
          <w:lang w:val="fr-FR"/>
        </w:rPr>
        <w:t> 155 sur la cybersécurité.</w:t>
      </w:r>
    </w:p>
    <w:p w14:paraId="0C49CBBE" w14:textId="77777777" w:rsidR="00C26925" w:rsidRPr="00DD1BE0" w:rsidRDefault="00C26925" w:rsidP="00C26925">
      <w:pPr>
        <w:pStyle w:val="SingleTxtG"/>
        <w:rPr>
          <w:lang w:val="fr-FR"/>
        </w:rPr>
      </w:pPr>
      <w:r w:rsidRPr="00DD1BE0">
        <w:rPr>
          <w:lang w:val="fr-FR"/>
        </w:rPr>
        <w:t>12.</w:t>
      </w:r>
      <w:r w:rsidRPr="00DD1BE0">
        <w:rPr>
          <w:lang w:val="fr-FR"/>
        </w:rPr>
        <w:tab/>
        <w:t>Paragraphes 13.3 et 13.4</w:t>
      </w:r>
      <w:r>
        <w:rPr>
          <w:lang w:val="fr-FR"/>
        </w:rPr>
        <w:t> :</w:t>
      </w:r>
      <w:r w:rsidRPr="00DD1BE0">
        <w:rPr>
          <w:lang w:val="fr-FR"/>
        </w:rPr>
        <w:t xml:space="preserve"> ajout de dispositions transitoires alignées sur les dispositions relatives à la cybersécurité du Règlement européen relatif à la sécurité générale</w:t>
      </w:r>
      <w:r>
        <w:rPr>
          <w:lang w:val="fr-FR"/>
        </w:rPr>
        <w:t xml:space="preserve"> </w:t>
      </w:r>
      <w:r w:rsidRPr="00DD1BE0">
        <w:rPr>
          <w:lang w:val="fr-FR"/>
        </w:rPr>
        <w:t>(deuxième révision) et sur la décision prise par le WP.29 à sa 182</w:t>
      </w:r>
      <w:r w:rsidRPr="00DD1BE0">
        <w:rPr>
          <w:vertAlign w:val="superscript"/>
          <w:lang w:val="fr-FR"/>
        </w:rPr>
        <w:t>e</w:t>
      </w:r>
      <w:r w:rsidR="009E7732">
        <w:rPr>
          <w:lang w:val="fr-FR"/>
        </w:rPr>
        <w:t> </w:t>
      </w:r>
      <w:r w:rsidRPr="00DD1BE0">
        <w:rPr>
          <w:lang w:val="fr-FR"/>
        </w:rPr>
        <w:t>session (novembre 2020).</w:t>
      </w:r>
    </w:p>
    <w:p w14:paraId="061A01E8" w14:textId="77777777" w:rsidR="00F9573C" w:rsidRPr="00C26925" w:rsidRDefault="00C26925" w:rsidP="00C26925">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F9573C" w:rsidRPr="00C26925" w:rsidSect="0056239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13184" w14:textId="77777777" w:rsidR="00C26925" w:rsidRDefault="00C26925" w:rsidP="00F95C08">
      <w:pPr>
        <w:spacing w:line="240" w:lineRule="auto"/>
      </w:pPr>
    </w:p>
  </w:endnote>
  <w:endnote w:type="continuationSeparator" w:id="0">
    <w:p w14:paraId="61488009" w14:textId="77777777" w:rsidR="00C26925" w:rsidRPr="00AC3823" w:rsidRDefault="00C26925" w:rsidP="00AC3823">
      <w:pPr>
        <w:pStyle w:val="Pieddepage"/>
      </w:pPr>
    </w:p>
  </w:endnote>
  <w:endnote w:type="continuationNotice" w:id="1">
    <w:p w14:paraId="737FE79C" w14:textId="77777777" w:rsidR="00C26925" w:rsidRDefault="00C269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F464" w14:textId="77777777" w:rsidR="00C26925" w:rsidRPr="00562394" w:rsidRDefault="00C26925" w:rsidP="00562394">
    <w:pPr>
      <w:pStyle w:val="Pieddepage"/>
      <w:tabs>
        <w:tab w:val="right" w:pos="9638"/>
      </w:tabs>
    </w:pPr>
    <w:r w:rsidRPr="00562394">
      <w:rPr>
        <w:b/>
        <w:sz w:val="18"/>
      </w:rPr>
      <w:fldChar w:fldCharType="begin"/>
    </w:r>
    <w:r w:rsidRPr="00562394">
      <w:rPr>
        <w:b/>
        <w:sz w:val="18"/>
      </w:rPr>
      <w:instrText xml:space="preserve"> PAGE  \* MERGEFORMAT </w:instrText>
    </w:r>
    <w:r w:rsidRPr="00562394">
      <w:rPr>
        <w:b/>
        <w:sz w:val="18"/>
      </w:rPr>
      <w:fldChar w:fldCharType="separate"/>
    </w:r>
    <w:r w:rsidRPr="00562394">
      <w:rPr>
        <w:b/>
        <w:noProof/>
        <w:sz w:val="18"/>
      </w:rPr>
      <w:t>2</w:t>
    </w:r>
    <w:r w:rsidRPr="00562394">
      <w:rPr>
        <w:b/>
        <w:sz w:val="18"/>
      </w:rPr>
      <w:fldChar w:fldCharType="end"/>
    </w:r>
    <w:r>
      <w:rPr>
        <w:b/>
        <w:sz w:val="18"/>
      </w:rPr>
      <w:tab/>
    </w:r>
    <w:r>
      <w:t>GE.21-01183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31BF" w14:textId="77777777" w:rsidR="00C26925" w:rsidRPr="00562394" w:rsidRDefault="00C26925" w:rsidP="00562394">
    <w:pPr>
      <w:pStyle w:val="Pieddepage"/>
      <w:tabs>
        <w:tab w:val="right" w:pos="9638"/>
      </w:tabs>
      <w:rPr>
        <w:b/>
        <w:sz w:val="18"/>
      </w:rPr>
    </w:pPr>
    <w:r>
      <w:t>GE.21-01183</w:t>
    </w:r>
    <w:r>
      <w:tab/>
    </w:r>
    <w:r w:rsidRPr="00562394">
      <w:rPr>
        <w:b/>
        <w:sz w:val="18"/>
      </w:rPr>
      <w:fldChar w:fldCharType="begin"/>
    </w:r>
    <w:r w:rsidRPr="00562394">
      <w:rPr>
        <w:b/>
        <w:sz w:val="18"/>
      </w:rPr>
      <w:instrText xml:space="preserve"> PAGE  \* MERGEFORMAT </w:instrText>
    </w:r>
    <w:r w:rsidRPr="00562394">
      <w:rPr>
        <w:b/>
        <w:sz w:val="18"/>
      </w:rPr>
      <w:fldChar w:fldCharType="separate"/>
    </w:r>
    <w:r w:rsidRPr="00562394">
      <w:rPr>
        <w:b/>
        <w:noProof/>
        <w:sz w:val="18"/>
      </w:rPr>
      <w:t>3</w:t>
    </w:r>
    <w:r w:rsidRPr="0056239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60D6" w14:textId="77777777" w:rsidR="00C26925" w:rsidRPr="00562394" w:rsidRDefault="00C26925" w:rsidP="00562394">
    <w:pPr>
      <w:pStyle w:val="Pieddepage"/>
      <w:spacing w:before="120"/>
      <w:rPr>
        <w:sz w:val="20"/>
      </w:rPr>
    </w:pPr>
    <w:r>
      <w:rPr>
        <w:sz w:val="20"/>
      </w:rPr>
      <w:t>GE.</w:t>
    </w:r>
    <w:r>
      <w:rPr>
        <w:noProof/>
        <w:lang w:eastAsia="fr-CH"/>
      </w:rPr>
      <w:drawing>
        <wp:anchor distT="0" distB="0" distL="114300" distR="114300" simplePos="0" relativeHeight="251659264" behindDoc="0" locked="0" layoutInCell="1" allowOverlap="0" wp14:anchorId="7AFE971D" wp14:editId="13F82C53">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21-01183  (F)</w:t>
    </w:r>
    <w:r>
      <w:rPr>
        <w:noProof/>
        <w:sz w:val="20"/>
      </w:rPr>
      <w:drawing>
        <wp:anchor distT="0" distB="0" distL="114300" distR="114300" simplePos="0" relativeHeight="251660288" behindDoc="0" locked="0" layoutInCell="1" allowOverlap="1" wp14:anchorId="648BA238" wp14:editId="5BDB3A80">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150221    150221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8EBF2" w14:textId="77777777" w:rsidR="00C26925" w:rsidRPr="00AC3823" w:rsidRDefault="00C26925" w:rsidP="00AC3823">
      <w:pPr>
        <w:pStyle w:val="Pieddepage"/>
        <w:tabs>
          <w:tab w:val="right" w:pos="2155"/>
        </w:tabs>
        <w:spacing w:after="80" w:line="240" w:lineRule="atLeast"/>
        <w:ind w:left="680"/>
        <w:rPr>
          <w:u w:val="single"/>
        </w:rPr>
      </w:pPr>
      <w:r>
        <w:rPr>
          <w:u w:val="single"/>
        </w:rPr>
        <w:tab/>
      </w:r>
    </w:p>
  </w:footnote>
  <w:footnote w:type="continuationSeparator" w:id="0">
    <w:p w14:paraId="31CBD349" w14:textId="77777777" w:rsidR="00C26925" w:rsidRPr="00AC3823" w:rsidRDefault="00C26925" w:rsidP="00AC3823">
      <w:pPr>
        <w:pStyle w:val="Pieddepage"/>
        <w:tabs>
          <w:tab w:val="right" w:pos="2155"/>
        </w:tabs>
        <w:spacing w:after="80" w:line="240" w:lineRule="atLeast"/>
        <w:ind w:left="680"/>
        <w:rPr>
          <w:u w:val="single"/>
        </w:rPr>
      </w:pPr>
      <w:r>
        <w:rPr>
          <w:u w:val="single"/>
        </w:rPr>
        <w:tab/>
      </w:r>
    </w:p>
  </w:footnote>
  <w:footnote w:type="continuationNotice" w:id="1">
    <w:p w14:paraId="7A9C12D3" w14:textId="77777777" w:rsidR="00C26925" w:rsidRPr="00AC3823" w:rsidRDefault="00C26925">
      <w:pPr>
        <w:spacing w:line="240" w:lineRule="auto"/>
        <w:rPr>
          <w:sz w:val="2"/>
          <w:szCs w:val="2"/>
        </w:rPr>
      </w:pPr>
    </w:p>
  </w:footnote>
  <w:footnote w:id="2">
    <w:p w14:paraId="04601985" w14:textId="77777777" w:rsidR="00C26925" w:rsidRPr="00DE0303" w:rsidRDefault="00C26925" w:rsidP="00C26925">
      <w:pPr>
        <w:pStyle w:val="Notedebasdepage"/>
      </w:pPr>
      <w:r w:rsidRPr="00C26925">
        <w:rPr>
          <w:sz w:val="20"/>
          <w:lang w:val="fr-FR"/>
        </w:rPr>
        <w:tab/>
        <w:t>*</w:t>
      </w:r>
      <w:r w:rsidRPr="00C26925">
        <w:rPr>
          <w:sz w:val="20"/>
          <w:lang w:val="fr-FR"/>
        </w:rPr>
        <w:tab/>
      </w:r>
      <w:r>
        <w:rPr>
          <w:lang w:val="fr-FR"/>
        </w:rPr>
        <w:t>Conformément au programme de travail du Comité des transports intérieurs pour 2021 tel qu’il figure dans le projet de budget-programme pour 2021 (A/75/6 (Sect.</w:t>
      </w:r>
      <w:r w:rsidR="00CB7D17">
        <w:rPr>
          <w:lang w:val="fr-FR"/>
        </w:rPr>
        <w:t> </w:t>
      </w:r>
      <w:r>
        <w:rPr>
          <w:lang w:val="fr-FR"/>
        </w:rPr>
        <w:t>20), par.</w:t>
      </w:r>
      <w:r w:rsidR="00CB7D17">
        <w:rPr>
          <w:lang w:val="fr-FR"/>
        </w:rPr>
        <w:t> </w:t>
      </w:r>
      <w:r>
        <w:rPr>
          <w:lang w:val="fr-FR"/>
        </w:rPr>
        <w:t>20.51),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05E" w14:textId="6ADDC8C0" w:rsidR="00C26925" w:rsidRPr="00562394" w:rsidRDefault="00977122">
    <w:pPr>
      <w:pStyle w:val="En-tte"/>
    </w:pPr>
    <w:r>
      <w:fldChar w:fldCharType="begin"/>
    </w:r>
    <w:r>
      <w:instrText xml:space="preserve"> TITLE  \* MERGEFORMAT </w:instrText>
    </w:r>
    <w:r>
      <w:fldChar w:fldCharType="separate"/>
    </w:r>
    <w:r w:rsidR="00D60823">
      <w:t>ECE/TRANS/WP.29/GRSG/2021/11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B25F" w14:textId="06B9DA2C" w:rsidR="00C26925" w:rsidRPr="00562394" w:rsidRDefault="00977122" w:rsidP="00562394">
    <w:pPr>
      <w:pStyle w:val="En-tte"/>
      <w:jc w:val="right"/>
    </w:pPr>
    <w:r>
      <w:fldChar w:fldCharType="begin"/>
    </w:r>
    <w:r>
      <w:instrText xml:space="preserve"> TITLE  \* MERGEFORMAT </w:instrText>
    </w:r>
    <w:r>
      <w:fldChar w:fldCharType="separate"/>
    </w:r>
    <w:r w:rsidR="00D60823">
      <w:t>ECE/TRANS/WP.29/GRSG/2021/11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22EF"/>
    <w:multiLevelType w:val="hybridMultilevel"/>
    <w:tmpl w:val="CFEABA3A"/>
    <w:lvl w:ilvl="0" w:tplc="0ABC540A">
      <w:numFmt w:val="bullet"/>
      <w:lvlText w:val="-"/>
      <w:lvlJc w:val="left"/>
      <w:pPr>
        <w:ind w:left="2628" w:hanging="360"/>
      </w:pPr>
      <w:rPr>
        <w:rFonts w:ascii="Times New Roman" w:eastAsia="DengXi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1"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20968"/>
    <w:multiLevelType w:val="hybridMultilevel"/>
    <w:tmpl w:val="F4701F80"/>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4" w15:restartNumberingAfterBreak="0">
    <w:nsid w:val="30EC15F1"/>
    <w:multiLevelType w:val="multilevel"/>
    <w:tmpl w:val="CDEC752A"/>
    <w:lvl w:ilvl="0">
      <w:start w:val="5"/>
      <w:numFmt w:val="decimal"/>
      <w:lvlText w:val="%1."/>
      <w:lvlJc w:val="left"/>
      <w:pPr>
        <w:ind w:left="1494" w:hanging="360"/>
      </w:pPr>
      <w:rPr>
        <w:rFonts w:hint="default"/>
      </w:rPr>
    </w:lvl>
    <w:lvl w:ilvl="1">
      <w:start w:val="3"/>
      <w:numFmt w:val="decimal"/>
      <w:isLgl/>
      <w:lvlText w:val="%1.%2."/>
      <w:lvlJc w:val="left"/>
      <w:pPr>
        <w:ind w:left="1778" w:hanging="360"/>
      </w:pPr>
      <w:rPr>
        <w:rFonts w:hint="default"/>
        <w:strike w:val="0"/>
      </w:rPr>
    </w:lvl>
    <w:lvl w:ilvl="2">
      <w:start w:val="3"/>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5"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47AD70A7"/>
    <w:multiLevelType w:val="multilevel"/>
    <w:tmpl w:val="541073A6"/>
    <w:lvl w:ilvl="0">
      <w:start w:val="1"/>
      <w:numFmt w:val="decimal"/>
      <w:lvlText w:val="%1."/>
      <w:lvlJc w:val="left"/>
      <w:pPr>
        <w:ind w:left="1494" w:hanging="360"/>
      </w:pPr>
      <w:rPr>
        <w:rFonts w:hint="default"/>
      </w:rPr>
    </w:lvl>
    <w:lvl w:ilvl="1">
      <w:start w:val="1"/>
      <w:numFmt w:val="decimal"/>
      <w:isLgl/>
      <w:lvlText w:val="%1.%2."/>
      <w:lvlJc w:val="left"/>
      <w:pPr>
        <w:ind w:left="1636" w:hanging="360"/>
      </w:pPr>
      <w:rPr>
        <w:rFonts w:hint="default"/>
        <w:strike w:val="0"/>
        <w:lang w:val="en-GB"/>
      </w:rPr>
    </w:lvl>
    <w:lvl w:ilvl="2">
      <w:start w:val="1"/>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8"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19"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21" w15:restartNumberingAfterBreak="0">
    <w:nsid w:val="591C419D"/>
    <w:multiLevelType w:val="hybridMultilevel"/>
    <w:tmpl w:val="E8AE03E4"/>
    <w:lvl w:ilvl="0" w:tplc="0ABC540A">
      <w:numFmt w:val="bullet"/>
      <w:lvlText w:val="-"/>
      <w:lvlJc w:val="left"/>
      <w:pPr>
        <w:ind w:left="3555" w:hanging="360"/>
      </w:pPr>
      <w:rPr>
        <w:rFonts w:ascii="Times New Roman" w:eastAsia="DengXian"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2" w15:restartNumberingAfterBreak="0">
    <w:nsid w:val="59B301AC"/>
    <w:multiLevelType w:val="hybridMultilevel"/>
    <w:tmpl w:val="C98A693E"/>
    <w:lvl w:ilvl="0" w:tplc="1870DAC0">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3"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6AB851F6"/>
    <w:multiLevelType w:val="hybridMultilevel"/>
    <w:tmpl w:val="17F805CE"/>
    <w:lvl w:ilvl="0" w:tplc="1870DAC0">
      <w:start w:val="1"/>
      <w:numFmt w:val="lowerLetter"/>
      <w:lvlText w:val="(%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6"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abstractNumId w:val="24"/>
  </w:num>
  <w:num w:numId="2">
    <w:abstractNumId w:val="16"/>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6"/>
  </w:num>
  <w:num w:numId="16">
    <w:abstractNumId w:val="11"/>
  </w:num>
  <w:num w:numId="17">
    <w:abstractNumId w:val="12"/>
  </w:num>
  <w:num w:numId="18">
    <w:abstractNumId w:val="28"/>
  </w:num>
  <w:num w:numId="19">
    <w:abstractNumId w:val="19"/>
  </w:num>
  <w:num w:numId="20">
    <w:abstractNumId w:val="27"/>
  </w:num>
  <w:num w:numId="21">
    <w:abstractNumId w:val="26"/>
  </w:num>
  <w:num w:numId="22">
    <w:abstractNumId w:val="15"/>
  </w:num>
  <w:num w:numId="23">
    <w:abstractNumId w:val="23"/>
  </w:num>
  <w:num w:numId="24">
    <w:abstractNumId w:val="18"/>
  </w:num>
  <w:num w:numId="25">
    <w:abstractNumId w:val="20"/>
  </w:num>
  <w:num w:numId="26">
    <w:abstractNumId w:val="17"/>
    <w:lvlOverride w:ilvl="0">
      <w:lvl w:ilvl="0">
        <w:start w:val="1"/>
        <w:numFmt w:val="decimal"/>
        <w:lvlText w:val="%1."/>
        <w:lvlJc w:val="left"/>
        <w:pPr>
          <w:ind w:left="1494" w:hanging="360"/>
        </w:pPr>
        <w:rPr>
          <w:rFonts w:hint="default"/>
        </w:rPr>
      </w:lvl>
    </w:lvlOverride>
    <w:lvlOverride w:ilvl="1">
      <w:lvl w:ilvl="1">
        <w:start w:val="1"/>
        <w:numFmt w:val="decimal"/>
        <w:isLgl/>
        <w:lvlText w:val="%1.%2."/>
        <w:lvlJc w:val="left"/>
        <w:pPr>
          <w:ind w:left="1636" w:hanging="360"/>
        </w:pPr>
        <w:rPr>
          <w:rFonts w:hint="default"/>
          <w:strike w:val="0"/>
          <w:lang w:val="en-GB"/>
        </w:rPr>
      </w:lvl>
    </w:lvlOverride>
    <w:lvlOverride w:ilvl="2">
      <w:lvl w:ilvl="2">
        <w:start w:val="1"/>
        <w:numFmt w:val="decimal"/>
        <w:isLgl/>
        <w:lvlText w:val="%1.%2.%3."/>
        <w:lvlJc w:val="left"/>
        <w:pPr>
          <w:ind w:left="2847" w:hanging="720"/>
        </w:pPr>
        <w:rPr>
          <w:rFonts w:hint="default"/>
        </w:rPr>
      </w:lvl>
    </w:lvlOverride>
  </w:num>
  <w:num w:numId="27">
    <w:abstractNumId w:val="21"/>
  </w:num>
  <w:num w:numId="28">
    <w:abstractNumId w:val="10"/>
  </w:num>
  <w:num w:numId="29">
    <w:abstractNumId w:val="14"/>
    <w:lvlOverride w:ilvl="0">
      <w:lvl w:ilvl="0">
        <w:start w:val="5"/>
        <w:numFmt w:val="decimal"/>
        <w:lvlText w:val="%1."/>
        <w:lvlJc w:val="left"/>
        <w:pPr>
          <w:ind w:left="1494" w:hanging="360"/>
        </w:pPr>
        <w:rPr>
          <w:rFonts w:hint="default"/>
        </w:rPr>
      </w:lvl>
    </w:lvlOverride>
  </w:num>
  <w:num w:numId="30">
    <w:abstractNumId w:val="22"/>
    <w:lvlOverride w:ilvl="0">
      <w:lvl w:ilvl="0" w:tplc="1870DAC0">
        <w:start w:val="1"/>
        <w:numFmt w:val="lowerLetter"/>
        <w:lvlText w:val="%1)"/>
        <w:lvlJc w:val="left"/>
        <w:pPr>
          <w:ind w:left="2628" w:hanging="360"/>
        </w:pPr>
        <w:rPr>
          <w:rFonts w:hint="default"/>
        </w:rPr>
      </w:lvl>
    </w:lvlOverride>
  </w:num>
  <w:num w:numId="31">
    <w:abstractNumId w:val="25"/>
    <w:lvlOverride w:ilvl="0">
      <w:lvl w:ilvl="0" w:tplc="1870DAC0">
        <w:start w:val="1"/>
        <w:numFmt w:val="lowerLetter"/>
        <w:lvlText w:val="%1)"/>
        <w:lvlJc w:val="left"/>
        <w:pPr>
          <w:ind w:left="3555" w:hanging="360"/>
        </w:pPr>
        <w:rPr>
          <w:rFonts w:hint="default"/>
        </w:rPr>
      </w:lvl>
    </w:lvlOverride>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76"/>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94289"/>
    <w:rsid w:val="002D7C93"/>
    <w:rsid w:val="00305801"/>
    <w:rsid w:val="00342B9B"/>
    <w:rsid w:val="003916DE"/>
    <w:rsid w:val="00421996"/>
    <w:rsid w:val="00441C3B"/>
    <w:rsid w:val="00446FE5"/>
    <w:rsid w:val="00452396"/>
    <w:rsid w:val="00477EB2"/>
    <w:rsid w:val="004837D8"/>
    <w:rsid w:val="004E2EED"/>
    <w:rsid w:val="004E468C"/>
    <w:rsid w:val="005505B7"/>
    <w:rsid w:val="00562394"/>
    <w:rsid w:val="00573BE5"/>
    <w:rsid w:val="00586ED3"/>
    <w:rsid w:val="00596AA9"/>
    <w:rsid w:val="005A6B9A"/>
    <w:rsid w:val="0063607A"/>
    <w:rsid w:val="0071601D"/>
    <w:rsid w:val="00777E76"/>
    <w:rsid w:val="00792216"/>
    <w:rsid w:val="007A62E6"/>
    <w:rsid w:val="007F20FA"/>
    <w:rsid w:val="0080684C"/>
    <w:rsid w:val="00871C75"/>
    <w:rsid w:val="008776DC"/>
    <w:rsid w:val="008D5EF9"/>
    <w:rsid w:val="009446C0"/>
    <w:rsid w:val="009705C8"/>
    <w:rsid w:val="00977122"/>
    <w:rsid w:val="009C1CF4"/>
    <w:rsid w:val="009E7732"/>
    <w:rsid w:val="009F6B74"/>
    <w:rsid w:val="00A3029F"/>
    <w:rsid w:val="00A30353"/>
    <w:rsid w:val="00AC3823"/>
    <w:rsid w:val="00AE323C"/>
    <w:rsid w:val="00AF0CB5"/>
    <w:rsid w:val="00B00181"/>
    <w:rsid w:val="00B00B0D"/>
    <w:rsid w:val="00B45F2E"/>
    <w:rsid w:val="00B765F7"/>
    <w:rsid w:val="00B77993"/>
    <w:rsid w:val="00BA0CA9"/>
    <w:rsid w:val="00C02897"/>
    <w:rsid w:val="00C26925"/>
    <w:rsid w:val="00C97039"/>
    <w:rsid w:val="00CB7D17"/>
    <w:rsid w:val="00CC6198"/>
    <w:rsid w:val="00D3439C"/>
    <w:rsid w:val="00D60823"/>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DF2C6"/>
  <w15:docId w15:val="{04AF8422-FBA6-462B-B23B-68D94868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B77993"/>
    <w:pPr>
      <w:spacing w:after="120"/>
      <w:ind w:left="1134" w:right="1134"/>
      <w:jc w:val="both"/>
    </w:pPr>
  </w:style>
  <w:style w:type="character" w:customStyle="1" w:styleId="SingleTxtGChar">
    <w:name w:val="_ Single Txt_G Char"/>
    <w:link w:val="SingleTxtG"/>
    <w:qFormat/>
    <w:locked/>
    <w:rsid w:val="00C26925"/>
    <w:rPr>
      <w:rFonts w:ascii="Times New Roman" w:eastAsiaTheme="minorHAnsi" w:hAnsi="Times New Roman" w:cs="Times New Roman"/>
      <w:sz w:val="20"/>
      <w:szCs w:val="20"/>
      <w:lang w:eastAsia="en-US"/>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character" w:customStyle="1" w:styleId="HChGChar">
    <w:name w:val="_ H _Ch_G Char"/>
    <w:link w:val="HChG"/>
    <w:locked/>
    <w:rsid w:val="00C26925"/>
    <w:rPr>
      <w:rFonts w:ascii="Times New Roman" w:eastAsiaTheme="minorHAnsi" w:hAnsi="Times New Roman" w:cs="Times New Roman"/>
      <w:b/>
      <w:sz w:val="28"/>
      <w:szCs w:val="20"/>
      <w:lang w:eastAsia="en-US"/>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paragraph" w:styleId="NormalWeb">
    <w:name w:val="Normal (Web)"/>
    <w:basedOn w:val="Normal"/>
    <w:uiPriority w:val="99"/>
    <w:semiHidden/>
    <w:rsid w:val="00C26925"/>
    <w:rPr>
      <w:sz w:val="24"/>
      <w:szCs w:val="24"/>
    </w:rPr>
  </w:style>
  <w:style w:type="paragraph" w:styleId="Paragraphedeliste">
    <w:name w:val="List Paragraph"/>
    <w:basedOn w:val="Normal"/>
    <w:uiPriority w:val="34"/>
    <w:qFormat/>
    <w:rsid w:val="00C26925"/>
    <w:pPr>
      <w:suppressAutoHyphens w:val="0"/>
      <w:spacing w:line="240" w:lineRule="auto"/>
      <w:ind w:left="720"/>
    </w:pPr>
    <w:rPr>
      <w:rFonts w:ascii="Calibri" w:hAnsi="Calibri"/>
      <w:sz w:val="22"/>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237</TotalTime>
  <Pages>7</Pages>
  <Words>2567</Words>
  <Characters>16690</Characters>
  <Application>Microsoft Office Word</Application>
  <DocSecurity>0</DocSecurity>
  <Lines>1669</Lines>
  <Paragraphs>1132</Paragraphs>
  <ScaleCrop>false</ScaleCrop>
  <HeadingPairs>
    <vt:vector size="2" baseType="variant">
      <vt:variant>
        <vt:lpstr>Titre</vt:lpstr>
      </vt:variant>
      <vt:variant>
        <vt:i4>1</vt:i4>
      </vt:variant>
    </vt:vector>
  </HeadingPairs>
  <TitlesOfParts>
    <vt:vector size="1" baseType="lpstr">
      <vt:lpstr>ECE/TRANS/WP.29/GRSG/2021/11</vt:lpstr>
    </vt:vector>
  </TitlesOfParts>
  <Company>DCM</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ECE/TRANS/WP.29/GRSG/2021/11</dc:title>
  <dc:subject/>
  <dc:creator>Nicolas MORIN</dc:creator>
  <cp:keywords/>
  <cp:lastModifiedBy>Nicolas Morin</cp:lastModifiedBy>
  <cp:revision>3</cp:revision>
  <cp:lastPrinted>2021-02-15T08:54:00Z</cp:lastPrinted>
  <dcterms:created xsi:type="dcterms:W3CDTF">2021-02-15T13:05:00Z</dcterms:created>
  <dcterms:modified xsi:type="dcterms:W3CDTF">2021-02-15T13:47:00Z</dcterms:modified>
</cp:coreProperties>
</file>