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A64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A6439" w:rsidP="004A6439">
            <w:pPr>
              <w:jc w:val="right"/>
            </w:pPr>
            <w:r w:rsidRPr="004A6439">
              <w:rPr>
                <w:sz w:val="40"/>
              </w:rPr>
              <w:t>ECE</w:t>
            </w:r>
            <w:r>
              <w:t>/TRANS/WP.29/GRSG/2021/10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A6439" w:rsidP="00C97039">
            <w:pPr>
              <w:spacing w:before="240"/>
            </w:pPr>
            <w:r>
              <w:t>Distr. générale</w:t>
            </w:r>
          </w:p>
          <w:p w:rsidR="004A6439" w:rsidRDefault="004A6439" w:rsidP="004A6439">
            <w:pPr>
              <w:spacing w:line="240" w:lineRule="exact"/>
            </w:pPr>
            <w:r>
              <w:t>29 janvier 2021</w:t>
            </w:r>
          </w:p>
          <w:p w:rsidR="004A6439" w:rsidRDefault="004A6439" w:rsidP="004A6439">
            <w:pPr>
              <w:spacing w:line="240" w:lineRule="exact"/>
            </w:pPr>
            <w:r>
              <w:t>Français</w:t>
            </w:r>
          </w:p>
          <w:p w:rsidR="004A6439" w:rsidRPr="00DB58B5" w:rsidRDefault="004A6439" w:rsidP="004A643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</w:t>
      </w:r>
      <w:bookmarkStart w:id="0" w:name="_GoBack"/>
      <w:bookmarkEnd w:id="0"/>
      <w:r w:rsidRPr="000312C0">
        <w:rPr>
          <w:b/>
          <w:sz w:val="28"/>
          <w:szCs w:val="28"/>
        </w:rPr>
        <w:t>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A6439" w:rsidRDefault="004A643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A6439" w:rsidRDefault="004A6439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4A6439" w:rsidRPr="006A0B26" w:rsidRDefault="004A6439" w:rsidP="004A6439">
      <w:pPr>
        <w:spacing w:before="120"/>
        <w:rPr>
          <w:rFonts w:asciiTheme="majorBidi" w:hAnsiTheme="majorBidi" w:cstheme="majorBidi"/>
          <w:b/>
          <w:lang w:val="fr-FR"/>
        </w:rPr>
      </w:pPr>
      <w:r>
        <w:rPr>
          <w:b/>
          <w:bCs/>
          <w:lang w:val="fr-FR"/>
        </w:rPr>
        <w:t>121</w:t>
      </w:r>
      <w:r w:rsidRPr="00206710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:rsidR="004A6439" w:rsidRPr="006A0B26" w:rsidRDefault="004A6439" w:rsidP="004A6439">
      <w:pPr>
        <w:rPr>
          <w:rFonts w:asciiTheme="majorBidi" w:hAnsiTheme="majorBidi" w:cstheme="majorBidi"/>
          <w:lang w:val="fr-FR"/>
        </w:rPr>
      </w:pPr>
      <w:r>
        <w:rPr>
          <w:lang w:val="fr-FR"/>
        </w:rPr>
        <w:t>Genève, 12-16 avril 2021</w:t>
      </w:r>
    </w:p>
    <w:p w:rsidR="004A6439" w:rsidRPr="006A0B26" w:rsidRDefault="004A6439" w:rsidP="004A6439">
      <w:pPr>
        <w:rPr>
          <w:rFonts w:asciiTheme="majorBidi" w:hAnsiTheme="majorBidi" w:cstheme="majorBidi"/>
          <w:lang w:val="fr-FR"/>
        </w:rPr>
      </w:pPr>
      <w:r>
        <w:rPr>
          <w:lang w:val="fr-FR"/>
        </w:rPr>
        <w:t>Point 8 b) de l’ordre du jour provisoire</w:t>
      </w:r>
    </w:p>
    <w:p w:rsidR="004A6439" w:rsidRDefault="004A6439" w:rsidP="004A6439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Amendements aux Règlements concernant les véhicules fonctionnant au gaz </w:t>
      </w:r>
    </w:p>
    <w:p w:rsidR="004A6439" w:rsidRDefault="004A6439" w:rsidP="004A6439">
      <w:pPr>
        <w:spacing w:line="240" w:lineRule="exact"/>
      </w:pPr>
      <w:r>
        <w:rPr>
          <w:b/>
          <w:bCs/>
          <w:lang w:val="fr-FR"/>
        </w:rPr>
        <w:t xml:space="preserve">Règlement ONU </w:t>
      </w:r>
      <w:r w:rsidRPr="00A53104">
        <w:rPr>
          <w:b/>
          <w:bCs/>
          <w:lang w:val="fr-FR"/>
        </w:rPr>
        <w:t>n</w:t>
      </w:r>
      <w:r w:rsidRPr="00A53104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 xml:space="preserve"> 110 (Véhicules alimentés au GNC ou au GNL)</w:t>
      </w:r>
    </w:p>
    <w:p w:rsidR="004A6439" w:rsidRPr="006A0B26" w:rsidRDefault="004A6439" w:rsidP="004A643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d’amendements au Règlement ONU </w:t>
      </w:r>
      <w:r w:rsidRPr="003C3EA5">
        <w:rPr>
          <w:lang w:val="fr-FR"/>
        </w:rPr>
        <w:t>n</w:t>
      </w:r>
      <w:r w:rsidRPr="003C3EA5">
        <w:rPr>
          <w:vertAlign w:val="superscript"/>
          <w:lang w:val="fr-FR"/>
        </w:rPr>
        <w:t>o</w:t>
      </w:r>
      <w:r>
        <w:rPr>
          <w:lang w:val="fr-FR"/>
        </w:rPr>
        <w:t xml:space="preserve"> 110</w:t>
      </w:r>
    </w:p>
    <w:p w:rsidR="004A6439" w:rsidRPr="006A0B26" w:rsidRDefault="004A6439" w:rsidP="004A643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 l’expert de l’Organisation internationale </w:t>
      </w:r>
      <w:r>
        <w:rPr>
          <w:lang w:val="fr-FR"/>
        </w:rPr>
        <w:br/>
        <w:t>des constructeurs d’automobiles</w:t>
      </w:r>
      <w:r w:rsidRPr="004A6439">
        <w:rPr>
          <w:b w:val="0"/>
          <w:bCs/>
          <w:sz w:val="20"/>
          <w:lang w:val="fr-FR"/>
        </w:rPr>
        <w:footnoteReference w:customMarkFollows="1" w:id="2"/>
        <w:t>*</w:t>
      </w:r>
      <w:r>
        <w:rPr>
          <w:lang w:val="fr-FR"/>
        </w:rPr>
        <w:t xml:space="preserve"> </w:t>
      </w:r>
    </w:p>
    <w:p w:rsidR="004A6439" w:rsidRPr="006A0B26" w:rsidRDefault="004A6439" w:rsidP="004A6439">
      <w:pPr>
        <w:pStyle w:val="SingleTxtG"/>
        <w:ind w:firstLine="425"/>
        <w:rPr>
          <w:rFonts w:asciiTheme="majorBidi" w:hAnsiTheme="majorBidi" w:cstheme="majorBidi"/>
          <w:lang w:val="fr-FR"/>
        </w:rPr>
      </w:pPr>
      <w:r w:rsidRPr="00206710">
        <w:rPr>
          <w:lang w:val="fr-FR"/>
        </w:rPr>
        <w:t>Le document ci-après, établi par l</w:t>
      </w:r>
      <w:r>
        <w:rPr>
          <w:lang w:val="fr-FR"/>
        </w:rPr>
        <w:t>’</w:t>
      </w:r>
      <w:r w:rsidRPr="00206710">
        <w:rPr>
          <w:lang w:val="fr-FR"/>
        </w:rPr>
        <w:t>expert de l</w:t>
      </w:r>
      <w:r>
        <w:rPr>
          <w:lang w:val="fr-FR"/>
        </w:rPr>
        <w:t>’</w:t>
      </w:r>
      <w:r w:rsidRPr="00206710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206710">
        <w:rPr>
          <w:lang w:val="fr-FR"/>
        </w:rPr>
        <w:t>automobiles (OICA), vise à ajouter,</w:t>
      </w:r>
      <w:r w:rsidRPr="00206710">
        <w:rPr>
          <w:b/>
          <w:bCs/>
          <w:lang w:val="fr-FR"/>
        </w:rPr>
        <w:t xml:space="preserve"> </w:t>
      </w:r>
      <w:r w:rsidRPr="00206710">
        <w:rPr>
          <w:lang w:val="fr-FR"/>
        </w:rPr>
        <w:t>pour certains composants</w:t>
      </w:r>
      <w:r w:rsidRPr="00206710">
        <w:rPr>
          <w:b/>
          <w:bCs/>
          <w:lang w:val="fr-FR"/>
        </w:rPr>
        <w:t>,</w:t>
      </w:r>
      <w:r w:rsidRPr="00206710">
        <w:rPr>
          <w:lang w:val="fr-FR"/>
        </w:rPr>
        <w:t xml:space="preserve"> des dispositions relatives aux limiteurs de débit qui peuvent arrêter le flux de carburant</w:t>
      </w:r>
      <w:r w:rsidRPr="00206710">
        <w:rPr>
          <w:b/>
          <w:bCs/>
          <w:lang w:val="fr-FR"/>
        </w:rPr>
        <w:t xml:space="preserve"> </w:t>
      </w:r>
      <w:r w:rsidRPr="00206710">
        <w:rPr>
          <w:lang w:val="fr-FR"/>
        </w:rPr>
        <w:t>pendant le fonctionnement du système. Les modifications qu</w:t>
      </w:r>
      <w:r>
        <w:rPr>
          <w:lang w:val="fr-FR"/>
        </w:rPr>
        <w:t>’</w:t>
      </w:r>
      <w:r w:rsidRPr="00206710">
        <w:rPr>
          <w:lang w:val="fr-FR"/>
        </w:rPr>
        <w:t>il est proposé d</w:t>
      </w:r>
      <w:r>
        <w:rPr>
          <w:lang w:val="fr-FR"/>
        </w:rPr>
        <w:t>’</w:t>
      </w:r>
      <w:r w:rsidRPr="00206710">
        <w:rPr>
          <w:lang w:val="fr-FR"/>
        </w:rPr>
        <w:t xml:space="preserve">apporter au texte actuel du Règlement figurent en caractères gras pour les ajouts et biffés pour les suppressions. </w:t>
      </w:r>
    </w:p>
    <w:p w:rsidR="004A6439" w:rsidRDefault="004A6439" w:rsidP="004A6439">
      <w:pPr>
        <w:suppressAutoHyphens w:val="0"/>
        <w:spacing w:line="240" w:lineRule="auto"/>
        <w:rPr>
          <w:b/>
          <w:sz w:val="28"/>
          <w:lang w:val="fr-FR" w:eastAsia="fr-FR"/>
        </w:rPr>
      </w:pPr>
      <w:r>
        <w:rPr>
          <w:lang w:val="fr-FR"/>
        </w:rPr>
        <w:br w:type="page"/>
      </w:r>
    </w:p>
    <w:p w:rsidR="004A6439" w:rsidRPr="006A0B26" w:rsidRDefault="004A6439" w:rsidP="004A6439">
      <w:pPr>
        <w:pStyle w:val="HChG"/>
        <w:rPr>
          <w:rFonts w:asciiTheme="majorBidi" w:hAnsiTheme="majorBidi" w:cstheme="majorBidi"/>
          <w:b w:val="0"/>
          <w:szCs w:val="28"/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:rsidR="004A6439" w:rsidRPr="006A0B26" w:rsidRDefault="004A6439" w:rsidP="004A6439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Paragraphe 4.21</w:t>
      </w:r>
      <w:r>
        <w:rPr>
          <w:lang w:val="fr-FR"/>
        </w:rPr>
        <w:t>, lire :</w:t>
      </w:r>
    </w:p>
    <w:p w:rsidR="004A6439" w:rsidRPr="006A0B26" w:rsidRDefault="004A6439" w:rsidP="004A6439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4.21</w:t>
      </w:r>
      <w:r>
        <w:rPr>
          <w:lang w:val="fr-FR"/>
        </w:rPr>
        <w:tab/>
        <w:t xml:space="preserve">Par </w:t>
      </w:r>
      <w:r w:rsidRPr="00D06062">
        <w:t>“</w:t>
      </w:r>
      <w:r w:rsidRPr="00D06062">
        <w:rPr>
          <w:i/>
          <w:iCs/>
          <w:lang w:val="fr-FR"/>
        </w:rPr>
        <w:t>limiteur de débit</w:t>
      </w:r>
      <w:r w:rsidRPr="00D06062">
        <w:t>”</w:t>
      </w:r>
      <w:r>
        <w:rPr>
          <w:lang w:val="fr-FR"/>
        </w:rPr>
        <w:t xml:space="preserve"> (dispositif limiteur de débit), une soupape qui se ferme automatiquement ou qui limite le débit de gaz ou de fluide lorsque ce dernier dépasse une valeur prédéfinie.</w:t>
      </w:r>
    </w:p>
    <w:p w:rsidR="004A6439" w:rsidRPr="006A0B26" w:rsidRDefault="004A6439" w:rsidP="004A6439">
      <w:pPr>
        <w:pStyle w:val="SingleTxtG"/>
        <w:ind w:left="2268" w:hanging="1134"/>
        <w:rPr>
          <w:b/>
          <w:bCs/>
          <w:lang w:val="fr-FR"/>
        </w:rPr>
      </w:pPr>
      <w:r w:rsidRPr="000E368A">
        <w:rPr>
          <w:b/>
          <w:bCs/>
          <w:lang w:val="fr-FR"/>
        </w:rPr>
        <w:t>4.21.1</w:t>
      </w:r>
      <w:r w:rsidRPr="000E368A">
        <w:rPr>
          <w:b/>
          <w:bCs/>
          <w:lang w:val="fr-FR"/>
        </w:rPr>
        <w:tab/>
        <w:t xml:space="preserve">Par </w:t>
      </w:r>
      <w:r w:rsidRPr="00D06062">
        <w:rPr>
          <w:b/>
          <w:bCs/>
        </w:rPr>
        <w:t>“</w:t>
      </w:r>
      <w:r w:rsidRPr="00D06062">
        <w:rPr>
          <w:b/>
          <w:bCs/>
          <w:i/>
          <w:iCs/>
          <w:lang w:val="fr-FR"/>
        </w:rPr>
        <w:t>limiteur de débit à égalisation de pression</w:t>
      </w:r>
      <w:r w:rsidRPr="00D06062">
        <w:rPr>
          <w:b/>
          <w:bCs/>
        </w:rPr>
        <w:t>”</w:t>
      </w:r>
      <w:r w:rsidRPr="000E368A">
        <w:rPr>
          <w:b/>
          <w:bCs/>
          <w:lang w:val="fr-FR"/>
        </w:rPr>
        <w:t xml:space="preserve">, un limiteur de débit qui se </w:t>
      </w:r>
      <w:r>
        <w:rPr>
          <w:b/>
          <w:bCs/>
          <w:lang w:val="fr-FR"/>
        </w:rPr>
        <w:t xml:space="preserve">remet </w:t>
      </w:r>
      <w:r w:rsidRPr="000E368A">
        <w:rPr>
          <w:b/>
          <w:bCs/>
          <w:lang w:val="fr-FR"/>
        </w:rPr>
        <w:t xml:space="preserve">automatiquement </w:t>
      </w:r>
      <w:r>
        <w:rPr>
          <w:b/>
          <w:bCs/>
          <w:lang w:val="fr-FR"/>
        </w:rPr>
        <w:t xml:space="preserve">en position neutre </w:t>
      </w:r>
      <w:r w:rsidRPr="000E368A">
        <w:rPr>
          <w:b/>
          <w:bCs/>
          <w:lang w:val="fr-FR"/>
        </w:rPr>
        <w:t>lorsque le débit n</w:t>
      </w:r>
      <w:r>
        <w:rPr>
          <w:b/>
          <w:bCs/>
          <w:lang w:val="fr-FR"/>
        </w:rPr>
        <w:t>’</w:t>
      </w:r>
      <w:r w:rsidRPr="000E368A">
        <w:rPr>
          <w:b/>
          <w:bCs/>
          <w:lang w:val="fr-FR"/>
        </w:rPr>
        <w:t>est plus trop élevé.</w:t>
      </w:r>
    </w:p>
    <w:p w:rsidR="004A6439" w:rsidRPr="00AF3112" w:rsidRDefault="004A6439" w:rsidP="004A6439">
      <w:pPr>
        <w:pStyle w:val="SingleTxtG"/>
        <w:ind w:left="2268" w:hanging="1134"/>
        <w:rPr>
          <w:lang w:val="fr-FR"/>
        </w:rPr>
      </w:pPr>
      <w:r w:rsidRPr="000E368A">
        <w:rPr>
          <w:b/>
          <w:bCs/>
          <w:lang w:val="fr-FR"/>
        </w:rPr>
        <w:t>4.21.2</w:t>
      </w:r>
      <w:r>
        <w:rPr>
          <w:lang w:val="fr-FR"/>
        </w:rPr>
        <w:tab/>
      </w:r>
      <w:r>
        <w:rPr>
          <w:b/>
          <w:bCs/>
          <w:lang w:val="fr-FR"/>
        </w:rPr>
        <w:t xml:space="preserve">Par </w:t>
      </w:r>
      <w:r w:rsidRPr="00D06062">
        <w:rPr>
          <w:b/>
          <w:bCs/>
        </w:rPr>
        <w:t>“</w:t>
      </w:r>
      <w:r w:rsidRPr="00AF3112">
        <w:rPr>
          <w:b/>
          <w:bCs/>
          <w:i/>
          <w:iCs/>
          <w:lang w:val="fr-FR"/>
        </w:rPr>
        <w:t>limiteur de débit à fermeture</w:t>
      </w:r>
      <w:r w:rsidRPr="00D06062">
        <w:rPr>
          <w:b/>
          <w:bCs/>
        </w:rPr>
        <w:t>”</w:t>
      </w:r>
      <w:r w:rsidRPr="00AF3112">
        <w:rPr>
          <w:b/>
          <w:bCs/>
          <w:lang w:val="fr-FR"/>
        </w:rPr>
        <w:t>, un limiteur de débit qui arrête le flux lorsqu</w:t>
      </w:r>
      <w:r>
        <w:rPr>
          <w:b/>
          <w:bCs/>
          <w:lang w:val="fr-FR"/>
        </w:rPr>
        <w:t>’</w:t>
      </w:r>
      <w:r w:rsidRPr="00AF3112">
        <w:rPr>
          <w:b/>
          <w:bCs/>
          <w:lang w:val="fr-FR"/>
        </w:rPr>
        <w:t>il est en position fermée et qui doit être remis en fonction par une opération manuelle. </w:t>
      </w:r>
      <w:r w:rsidRPr="00AF3112">
        <w:rPr>
          <w:lang w:val="fr-FR"/>
        </w:rPr>
        <w:t>»</w:t>
      </w:r>
      <w:r>
        <w:rPr>
          <w:lang w:val="fr-FR"/>
        </w:rPr>
        <w:t>.</w:t>
      </w:r>
    </w:p>
    <w:p w:rsidR="004A6439" w:rsidRPr="00AF3112" w:rsidRDefault="004A6439" w:rsidP="004A6439">
      <w:pPr>
        <w:pStyle w:val="SingleTxtG"/>
        <w:rPr>
          <w:bCs/>
          <w:lang w:val="fr-FR"/>
        </w:rPr>
      </w:pPr>
      <w:bookmarkStart w:id="1" w:name="A0_S2_1"/>
      <w:r w:rsidRPr="00AF3112">
        <w:rPr>
          <w:i/>
          <w:iCs/>
          <w:lang w:val="fr-FR"/>
        </w:rPr>
        <w:t>Paragraphe 18.5.3.1</w:t>
      </w:r>
      <w:r w:rsidRPr="00AF3112">
        <w:rPr>
          <w:lang w:val="fr-FR"/>
        </w:rPr>
        <w:t>, lire</w:t>
      </w:r>
      <w:r>
        <w:rPr>
          <w:lang w:val="fr-FR"/>
        </w:rPr>
        <w:t> </w:t>
      </w:r>
      <w:r w:rsidRPr="00AF3112">
        <w:rPr>
          <w:lang w:val="fr-FR"/>
        </w:rPr>
        <w:t>:</w:t>
      </w:r>
    </w:p>
    <w:p w:rsidR="004A6439" w:rsidRPr="00AF3112" w:rsidRDefault="004A6439" w:rsidP="004A6439">
      <w:pPr>
        <w:pStyle w:val="SingleTxtG"/>
        <w:ind w:left="2268" w:hanging="1134"/>
        <w:rPr>
          <w:lang w:val="fr-FR"/>
        </w:rPr>
      </w:pPr>
      <w:r w:rsidRPr="00AF3112">
        <w:rPr>
          <w:lang w:val="fr-FR"/>
        </w:rPr>
        <w:t>« 18.5.3.1</w:t>
      </w:r>
      <w:r w:rsidRPr="00AF3112">
        <w:rPr>
          <w:lang w:val="fr-FR"/>
        </w:rPr>
        <w:tab/>
        <w:t xml:space="preserve">Le limiteur de débit doit être fixé dans le ou les réservoirs à GNC ainsi que sur chaque </w:t>
      </w:r>
      <w:r w:rsidRPr="00AF3112">
        <w:rPr>
          <w:b/>
          <w:bCs/>
          <w:lang w:val="fr-FR"/>
        </w:rPr>
        <w:t xml:space="preserve">vanne des </w:t>
      </w:r>
      <w:r w:rsidRPr="00AF3112">
        <w:rPr>
          <w:lang w:val="fr-FR"/>
        </w:rPr>
        <w:t>accumulateur</w:t>
      </w:r>
      <w:r w:rsidRPr="00AF3112">
        <w:rPr>
          <w:b/>
          <w:bCs/>
          <w:lang w:val="fr-FR"/>
        </w:rPr>
        <w:t xml:space="preserve">s </w:t>
      </w:r>
      <w:r w:rsidRPr="00AF3112">
        <w:rPr>
          <w:lang w:val="fr-FR"/>
        </w:rPr>
        <w:t>de GNC</w:t>
      </w:r>
      <w:r w:rsidRPr="00AF3112">
        <w:rPr>
          <w:strike/>
          <w:lang w:val="fr-FR"/>
        </w:rPr>
        <w:t>, sur la vanne automatique de la bouteille</w:t>
      </w:r>
      <w:r w:rsidRPr="00AF3112">
        <w:rPr>
          <w:lang w:val="fr-FR"/>
        </w:rPr>
        <w:t>.</w:t>
      </w:r>
      <w:bookmarkEnd w:id="1"/>
      <w:r w:rsidRPr="00AF3112">
        <w:rPr>
          <w:lang w:val="fr-FR"/>
        </w:rPr>
        <w:t> »</w:t>
      </w:r>
      <w:r>
        <w:rPr>
          <w:lang w:val="fr-FR"/>
        </w:rPr>
        <w:t>.</w:t>
      </w:r>
    </w:p>
    <w:p w:rsidR="004A6439" w:rsidRPr="00AF3112" w:rsidRDefault="004A6439" w:rsidP="004A6439">
      <w:pPr>
        <w:pStyle w:val="SingleTxtG"/>
        <w:rPr>
          <w:bCs/>
          <w:i/>
          <w:lang w:val="fr-FR"/>
        </w:rPr>
      </w:pPr>
      <w:r w:rsidRPr="00AF3112">
        <w:rPr>
          <w:i/>
          <w:iCs/>
          <w:lang w:val="fr-FR"/>
        </w:rPr>
        <w:t>Ajouter le nouveau paragraphe 18.5.4.2</w:t>
      </w:r>
      <w:r w:rsidRPr="00AF3112">
        <w:rPr>
          <w:lang w:val="fr-FR"/>
        </w:rPr>
        <w:t>, libellé comme suit</w:t>
      </w:r>
      <w:r>
        <w:rPr>
          <w:lang w:val="fr-FR"/>
        </w:rPr>
        <w:t> </w:t>
      </w:r>
      <w:r w:rsidRPr="00AF3112">
        <w:rPr>
          <w:lang w:val="fr-FR"/>
        </w:rPr>
        <w:t>:</w:t>
      </w:r>
    </w:p>
    <w:p w:rsidR="004A6439" w:rsidRPr="00AF3112" w:rsidRDefault="004A6439" w:rsidP="004A6439">
      <w:pPr>
        <w:pStyle w:val="SingleTxtG"/>
        <w:ind w:left="2268" w:hanging="1134"/>
        <w:rPr>
          <w:b/>
          <w:lang w:val="fr-FR"/>
        </w:rPr>
      </w:pPr>
      <w:r w:rsidRPr="00AF3112">
        <w:rPr>
          <w:lang w:val="fr-FR"/>
        </w:rPr>
        <w:t>« </w:t>
      </w:r>
      <w:r w:rsidRPr="00AF3112">
        <w:rPr>
          <w:b/>
          <w:bCs/>
          <w:lang w:val="fr-FR"/>
        </w:rPr>
        <w:t>18.5.4.2</w:t>
      </w:r>
      <w:r w:rsidRPr="00AF3112">
        <w:rPr>
          <w:lang w:val="fr-FR"/>
        </w:rPr>
        <w:tab/>
      </w:r>
      <w:r w:rsidRPr="00AF3112">
        <w:rPr>
          <w:b/>
          <w:bCs/>
          <w:lang w:val="fr-FR"/>
        </w:rPr>
        <w:t>Si le limiteur de débit installé dans le réservoir est un limiteur de débit à fermeture comme indiqué au paragraphe 18.5.1.1, les couvercles d</w:t>
      </w:r>
      <w:r>
        <w:rPr>
          <w:b/>
          <w:bCs/>
          <w:lang w:val="fr-FR"/>
        </w:rPr>
        <w:t>’</w:t>
      </w:r>
      <w:r w:rsidRPr="00AF3112">
        <w:rPr>
          <w:b/>
          <w:bCs/>
          <w:lang w:val="fr-FR"/>
        </w:rPr>
        <w:t>accès à la vanne manuelle doivent être facilement amovibles sans l</w:t>
      </w:r>
      <w:r>
        <w:rPr>
          <w:b/>
          <w:bCs/>
          <w:lang w:val="fr-FR"/>
        </w:rPr>
        <w:t>’</w:t>
      </w:r>
      <w:r w:rsidRPr="00AF3112">
        <w:rPr>
          <w:b/>
          <w:bCs/>
          <w:lang w:val="fr-FR"/>
        </w:rPr>
        <w:t>aide d</w:t>
      </w:r>
      <w:r>
        <w:rPr>
          <w:b/>
          <w:bCs/>
          <w:lang w:val="fr-FR"/>
        </w:rPr>
        <w:t>’</w:t>
      </w:r>
      <w:r w:rsidRPr="00AF3112">
        <w:rPr>
          <w:b/>
          <w:bCs/>
          <w:lang w:val="fr-FR"/>
        </w:rPr>
        <w:t>outils ou d</w:t>
      </w:r>
      <w:r>
        <w:rPr>
          <w:b/>
          <w:bCs/>
          <w:lang w:val="fr-FR"/>
        </w:rPr>
        <w:t>’</w:t>
      </w:r>
      <w:r w:rsidRPr="00AF3112">
        <w:rPr>
          <w:b/>
          <w:bCs/>
          <w:lang w:val="fr-FR"/>
        </w:rPr>
        <w:t>autres équipements, de manière à ce que cette vanne soit accessible. </w:t>
      </w:r>
      <w:r w:rsidRPr="00AF3112">
        <w:rPr>
          <w:lang w:val="fr-FR"/>
        </w:rPr>
        <w:t>»</w:t>
      </w:r>
      <w:r>
        <w:rPr>
          <w:lang w:val="fr-FR"/>
        </w:rPr>
        <w:t>.</w:t>
      </w:r>
    </w:p>
    <w:p w:rsidR="004A6439" w:rsidRPr="00AF3112" w:rsidRDefault="004A6439" w:rsidP="004A6439">
      <w:pPr>
        <w:pStyle w:val="SingleTxtG"/>
        <w:rPr>
          <w:bCs/>
          <w:i/>
          <w:lang w:val="fr-FR"/>
        </w:rPr>
      </w:pPr>
      <w:r w:rsidRPr="00AF3112">
        <w:rPr>
          <w:i/>
          <w:iCs/>
          <w:lang w:val="fr-FR"/>
        </w:rPr>
        <w:t>Annexe 4A</w:t>
      </w:r>
    </w:p>
    <w:p w:rsidR="004A6439" w:rsidRPr="00AF3112" w:rsidRDefault="004A6439" w:rsidP="004A6439">
      <w:pPr>
        <w:pStyle w:val="SingleTxtG"/>
        <w:rPr>
          <w:i/>
          <w:lang w:val="fr-FR"/>
        </w:rPr>
      </w:pPr>
      <w:r w:rsidRPr="00AF3112">
        <w:rPr>
          <w:i/>
          <w:iCs/>
          <w:lang w:val="fr-FR"/>
        </w:rPr>
        <w:t>Paragraphe 5.4</w:t>
      </w:r>
      <w:r w:rsidRPr="00AF3112">
        <w:rPr>
          <w:lang w:val="fr-FR"/>
        </w:rPr>
        <w:t>, lire</w:t>
      </w:r>
      <w:r>
        <w:rPr>
          <w:lang w:val="fr-FR"/>
        </w:rPr>
        <w:t> </w:t>
      </w:r>
      <w:r w:rsidRPr="00AF3112">
        <w:rPr>
          <w:lang w:val="fr-FR"/>
        </w:rPr>
        <w:t>:</w:t>
      </w:r>
    </w:p>
    <w:p w:rsidR="004A6439" w:rsidRPr="00AF3112" w:rsidRDefault="004A6439" w:rsidP="004A6439">
      <w:pPr>
        <w:pStyle w:val="SingleTxtG"/>
        <w:ind w:left="2268" w:hanging="1134"/>
        <w:rPr>
          <w:bCs/>
          <w:lang w:val="fr-FR"/>
        </w:rPr>
      </w:pPr>
      <w:r w:rsidRPr="00AF3112">
        <w:rPr>
          <w:lang w:val="fr-FR"/>
        </w:rPr>
        <w:t>« 5.4</w:t>
      </w:r>
      <w:r w:rsidRPr="00AF3112">
        <w:rPr>
          <w:lang w:val="fr-FR"/>
        </w:rPr>
        <w:tab/>
        <w:t xml:space="preserve">Le limiteur de débit </w:t>
      </w:r>
      <w:r w:rsidRPr="00AF3112">
        <w:rPr>
          <w:b/>
          <w:bCs/>
          <w:lang w:val="fr-FR"/>
        </w:rPr>
        <w:t xml:space="preserve">à égalisation de pression </w:t>
      </w:r>
      <w:r w:rsidRPr="00AF3112">
        <w:rPr>
          <w:lang w:val="fr-FR"/>
        </w:rPr>
        <w:t>doit comporter un tube de dégagement pour permettre l</w:t>
      </w:r>
      <w:r>
        <w:rPr>
          <w:lang w:val="fr-FR"/>
        </w:rPr>
        <w:t>’</w:t>
      </w:r>
      <w:r w:rsidRPr="00AF3112">
        <w:rPr>
          <w:lang w:val="fr-FR"/>
        </w:rPr>
        <w:t>égalisation des pressions.</w:t>
      </w:r>
    </w:p>
    <w:p w:rsidR="004A6439" w:rsidRPr="00AF3112" w:rsidRDefault="004A6439" w:rsidP="004A6439">
      <w:pPr>
        <w:pStyle w:val="SingleTxtG"/>
        <w:ind w:left="2268"/>
        <w:rPr>
          <w:b/>
          <w:lang w:val="fr-FR"/>
        </w:rPr>
      </w:pPr>
      <w:r w:rsidRPr="00AF3112">
        <w:rPr>
          <w:b/>
          <w:bCs/>
          <w:lang w:val="fr-FR"/>
        </w:rPr>
        <w:t>Le limiteur de débit à fermeture doit comporter un mécanisme de remise en fonctionnement manuel. </w:t>
      </w:r>
      <w:r w:rsidRPr="00AF3112">
        <w:rPr>
          <w:lang w:val="fr-FR"/>
        </w:rPr>
        <w:t>»</w:t>
      </w:r>
      <w:r>
        <w:rPr>
          <w:lang w:val="fr-FR"/>
        </w:rPr>
        <w:t>.</w:t>
      </w:r>
    </w:p>
    <w:p w:rsidR="004A6439" w:rsidRPr="00AF3112" w:rsidRDefault="004A6439" w:rsidP="004A6439">
      <w:pPr>
        <w:pStyle w:val="SingleTxtG"/>
        <w:rPr>
          <w:i/>
          <w:lang w:val="fr-FR"/>
        </w:rPr>
      </w:pPr>
      <w:r w:rsidRPr="00AF3112">
        <w:rPr>
          <w:i/>
          <w:iCs/>
          <w:lang w:val="fr-FR"/>
        </w:rPr>
        <w:t>Paragraphe 5.6</w:t>
      </w:r>
      <w:r w:rsidRPr="00AF3112">
        <w:rPr>
          <w:lang w:val="fr-FR"/>
        </w:rPr>
        <w:t>, lire</w:t>
      </w:r>
      <w:r>
        <w:rPr>
          <w:lang w:val="fr-FR"/>
        </w:rPr>
        <w:t> </w:t>
      </w:r>
      <w:r w:rsidRPr="00AF3112">
        <w:rPr>
          <w:lang w:val="fr-FR"/>
        </w:rPr>
        <w:t>:</w:t>
      </w:r>
    </w:p>
    <w:p w:rsidR="004A6439" w:rsidRPr="00AF3112" w:rsidRDefault="004A6439" w:rsidP="004A6439">
      <w:pPr>
        <w:pStyle w:val="SingleTxtG"/>
        <w:ind w:left="2268" w:hanging="1134"/>
        <w:rPr>
          <w:bCs/>
          <w:lang w:val="fr-FR"/>
        </w:rPr>
      </w:pPr>
      <w:r w:rsidRPr="00AF3112">
        <w:rPr>
          <w:lang w:val="fr-FR"/>
        </w:rPr>
        <w:t>« 5.6</w:t>
      </w:r>
      <w:r w:rsidRPr="00AF3112">
        <w:rPr>
          <w:lang w:val="fr-FR"/>
        </w:rPr>
        <w:tab/>
        <w:t xml:space="preserve">Lorsque le limiteur de débit </w:t>
      </w:r>
      <w:r w:rsidRPr="00AF3112">
        <w:rPr>
          <w:b/>
          <w:bCs/>
          <w:lang w:val="fr-FR"/>
        </w:rPr>
        <w:t xml:space="preserve">à égalisation de pression </w:t>
      </w:r>
      <w:r w:rsidRPr="00AF3112">
        <w:rPr>
          <w:lang w:val="fr-FR"/>
        </w:rPr>
        <w:t>est en position fermée, le débit de dégagement par la soupape ne doit pas dépasser 0,05 m</w:t>
      </w:r>
      <w:r w:rsidRPr="00D06062">
        <w:rPr>
          <w:vertAlign w:val="superscript"/>
          <w:lang w:val="fr-FR"/>
        </w:rPr>
        <w:t>3</w:t>
      </w:r>
      <w:r w:rsidRPr="00AF3112">
        <w:rPr>
          <w:lang w:val="fr-FR"/>
        </w:rPr>
        <w:t>/min normalisé à une pression différentielle de 10 000 kPa.</w:t>
      </w:r>
    </w:p>
    <w:p w:rsidR="004A6439" w:rsidRPr="004A6439" w:rsidRDefault="004A6439" w:rsidP="004A6439">
      <w:pPr>
        <w:pStyle w:val="SingleTxtG"/>
        <w:ind w:left="2268"/>
        <w:rPr>
          <w:b/>
          <w:bCs/>
          <w:lang w:val="fr-FR"/>
        </w:rPr>
      </w:pPr>
      <w:r w:rsidRPr="004A6439">
        <w:rPr>
          <w:b/>
          <w:bCs/>
          <w:lang w:val="fr-FR"/>
        </w:rPr>
        <w:t xml:space="preserve">Lorsque le limiteur de débit à fermeture est en position fermée, le débit du carburant s’échappant par la soupape ne doit pas dépasser </w:t>
      </w:r>
      <w:r w:rsidRPr="004A6439">
        <w:rPr>
          <w:b/>
          <w:bCs/>
          <w:lang w:val="fr-FR"/>
        </w:rPr>
        <w:br/>
      </w:r>
      <w:r w:rsidRPr="004A6439">
        <w:rPr>
          <w:b/>
          <w:bCs/>
          <w:lang w:val="fr-FR"/>
        </w:rPr>
        <w:t>2,5x10</w:t>
      </w:r>
      <w:r w:rsidRPr="004A6439">
        <w:rPr>
          <w:b/>
          <w:bCs/>
          <w:vertAlign w:val="superscript"/>
          <w:lang w:val="fr-FR"/>
        </w:rPr>
        <w:t>-7</w:t>
      </w:r>
      <w:r w:rsidRPr="004A6439">
        <w:rPr>
          <w:b/>
          <w:bCs/>
          <w:vertAlign w:val="superscript"/>
          <w:lang w:val="fr-FR"/>
        </w:rPr>
        <w:t> </w:t>
      </w:r>
      <w:r w:rsidRPr="004A6439">
        <w:rPr>
          <w:b/>
          <w:bCs/>
          <w:lang w:val="fr-FR"/>
        </w:rPr>
        <w:t>m</w:t>
      </w:r>
      <w:r w:rsidRPr="004A6439">
        <w:rPr>
          <w:b/>
          <w:bCs/>
          <w:vertAlign w:val="superscript"/>
          <w:lang w:val="fr-FR"/>
        </w:rPr>
        <w:t>3</w:t>
      </w:r>
      <w:r w:rsidRPr="004A6439">
        <w:rPr>
          <w:b/>
          <w:bCs/>
          <w:lang w:val="fr-FR"/>
        </w:rPr>
        <w:t>/min normalisé pendant le fonctionnement. ».</w:t>
      </w:r>
    </w:p>
    <w:p w:rsidR="004A6439" w:rsidRPr="006A0B26" w:rsidRDefault="004A6439" w:rsidP="004A6439">
      <w:pPr>
        <w:pStyle w:val="SingleTxtG"/>
        <w:rPr>
          <w:b/>
          <w:lang w:val="fr-FR"/>
        </w:rPr>
      </w:pPr>
      <w:r>
        <w:rPr>
          <w:i/>
          <w:iCs/>
          <w:lang w:val="fr-FR"/>
        </w:rPr>
        <w:t>Annexe 5C</w:t>
      </w:r>
    </w:p>
    <w:p w:rsidR="004A6439" w:rsidRPr="006A0B26" w:rsidRDefault="004A6439" w:rsidP="004A6439">
      <w:pPr>
        <w:pStyle w:val="SingleTxtG"/>
        <w:rPr>
          <w:bCs/>
          <w:i/>
          <w:lang w:val="fr-FR"/>
        </w:rPr>
      </w:pPr>
      <w:r>
        <w:rPr>
          <w:i/>
          <w:iCs/>
          <w:lang w:val="fr-FR"/>
        </w:rPr>
        <w:t>Ajouter le nouveau paragraphe 9</w:t>
      </w:r>
      <w:r>
        <w:rPr>
          <w:lang w:val="fr-FR"/>
        </w:rPr>
        <w:t>, libellé comme suit :</w:t>
      </w:r>
    </w:p>
    <w:p w:rsidR="004A6439" w:rsidRPr="006A0B26" w:rsidRDefault="004A6439" w:rsidP="004A6439">
      <w:pPr>
        <w:pStyle w:val="SingleTxtG"/>
        <w:ind w:leftChars="567" w:left="2268" w:hangingChars="567" w:hanging="1134"/>
        <w:rPr>
          <w:bCs/>
          <w:lang w:val="fr-FR"/>
        </w:rPr>
      </w:pPr>
      <w:r>
        <w:rPr>
          <w:lang w:val="fr-FR"/>
        </w:rPr>
        <w:t>« </w:t>
      </w:r>
      <w:r w:rsidRPr="00B8513F">
        <w:rPr>
          <w:b/>
          <w:bCs/>
          <w:lang w:val="fr-FR"/>
        </w:rPr>
        <w:t>9.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t xml:space="preserve">Un limiteur de débit à fermeture doit pouvoir arrêter la fuite de carburant dépassant la valeur prescrite lorsqu’elle se produit à une </w:t>
      </w:r>
      <w:r w:rsidRPr="00B8513F">
        <w:rPr>
          <w:b/>
          <w:bCs/>
          <w:lang w:val="fr-FR"/>
        </w:rPr>
        <w:t>pression différentielle de 10 000 kPa</w:t>
      </w:r>
      <w:r>
        <w:rPr>
          <w:b/>
          <w:bCs/>
          <w:i/>
          <w:iCs/>
          <w:lang w:val="fr-FR"/>
        </w:rPr>
        <w:t xml:space="preserve"> </w:t>
      </w:r>
      <w:r>
        <w:rPr>
          <w:b/>
          <w:bCs/>
          <w:lang w:val="fr-FR"/>
        </w:rPr>
        <w:t>en état de fonctionnement. </w:t>
      </w:r>
      <w:r w:rsidRPr="00B8513F">
        <w:rPr>
          <w:lang w:val="fr-FR"/>
        </w:rPr>
        <w:t>»</w:t>
      </w:r>
      <w:r>
        <w:rPr>
          <w:lang w:val="fr-FR"/>
        </w:rPr>
        <w:t>.</w:t>
      </w:r>
    </w:p>
    <w:p w:rsidR="004A6439" w:rsidRPr="006A0B26" w:rsidRDefault="004A6439" w:rsidP="004A6439">
      <w:pPr>
        <w:pStyle w:val="HChG"/>
        <w:rPr>
          <w:b w:val="0"/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>
        <w:rPr>
          <w:bCs/>
          <w:lang w:val="fr-FR"/>
        </w:rPr>
        <w:t>Justification</w:t>
      </w:r>
    </w:p>
    <w:p w:rsidR="004A6439" w:rsidRPr="006A0B26" w:rsidRDefault="004A6439" w:rsidP="004A6439">
      <w:pPr>
        <w:pStyle w:val="SingleTxtG"/>
        <w:rPr>
          <w:lang w:val="fr-FR"/>
        </w:rPr>
      </w:pPr>
      <w:r w:rsidRPr="00206710">
        <w:rPr>
          <w:lang w:val="fr-FR"/>
        </w:rPr>
        <w:t>1.</w:t>
      </w:r>
      <w:r w:rsidRPr="00206710">
        <w:rPr>
          <w:lang w:val="fr-FR"/>
        </w:rPr>
        <w:tab/>
        <w:t xml:space="preserve">Dans le Règlement ONU </w:t>
      </w:r>
      <w:r w:rsidRPr="00D06062">
        <w:rPr>
          <w:rFonts w:eastAsia="MS Mincho"/>
          <w:lang w:val="fr-FR"/>
        </w:rPr>
        <w:t>n</w:t>
      </w:r>
      <w:r w:rsidRPr="00D0606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206710">
        <w:rPr>
          <w:lang w:val="fr-FR"/>
        </w:rPr>
        <w:t>110, seul le limiteur de débit à égalisation de pression est autorisé. Pendant le fonctionnement, le limiteur de débit à égalisation de pression n</w:t>
      </w:r>
      <w:r>
        <w:rPr>
          <w:lang w:val="fr-FR"/>
        </w:rPr>
        <w:t>’</w:t>
      </w:r>
      <w:r w:rsidRPr="00206710">
        <w:rPr>
          <w:lang w:val="fr-FR"/>
        </w:rPr>
        <w:t xml:space="preserve">arrête pas complètement le flux de gaz de combustion. Dans le Règlement ONU </w:t>
      </w:r>
      <w:r w:rsidRPr="00D06062">
        <w:rPr>
          <w:rFonts w:eastAsia="MS Mincho"/>
          <w:lang w:val="fr-FR"/>
        </w:rPr>
        <w:t>n</w:t>
      </w:r>
      <w:r w:rsidRPr="00D0606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206710">
        <w:rPr>
          <w:lang w:val="fr-FR"/>
        </w:rPr>
        <w:t>110, le limiteur de débit à égalisation de pression permet de limiter le débit de gaz pendant le fonctionnement. En cas d</w:t>
      </w:r>
      <w:r>
        <w:rPr>
          <w:lang w:val="fr-FR"/>
        </w:rPr>
        <w:t>’</w:t>
      </w:r>
      <w:r w:rsidRPr="00206710">
        <w:rPr>
          <w:lang w:val="fr-FR"/>
        </w:rPr>
        <w:t>accident, par exemple en cas de fuite de carburant, la soupape automatique fixée à la vanne de la bouteille arrête complètement le flux de carburant.</w:t>
      </w:r>
    </w:p>
    <w:p w:rsidR="004A6439" w:rsidRPr="006A0B26" w:rsidRDefault="004A6439" w:rsidP="004A6439">
      <w:pPr>
        <w:pStyle w:val="SingleTxtG"/>
        <w:rPr>
          <w:spacing w:val="-2"/>
          <w:lang w:val="fr-FR"/>
        </w:rPr>
      </w:pPr>
      <w:r w:rsidRPr="00206710">
        <w:rPr>
          <w:lang w:val="fr-FR"/>
        </w:rPr>
        <w:lastRenderedPageBreak/>
        <w:t>2.</w:t>
      </w:r>
      <w:r w:rsidRPr="00206710">
        <w:rPr>
          <w:lang w:val="fr-FR"/>
        </w:rPr>
        <w:tab/>
        <w:t>Dans le présent document, l</w:t>
      </w:r>
      <w:r>
        <w:rPr>
          <w:lang w:val="fr-FR"/>
        </w:rPr>
        <w:t>’</w:t>
      </w:r>
      <w:r w:rsidRPr="00206710">
        <w:rPr>
          <w:lang w:val="fr-FR"/>
        </w:rPr>
        <w:t>OICA propose, comme solution de remplacement au limiteur de débit à égalisation de pression utilisé actuellement, un autre type de limiteur de débit qui peut arrêter complètement le flux de carburant.</w:t>
      </w:r>
    </w:p>
    <w:p w:rsidR="00F9573C" w:rsidRDefault="004A6439" w:rsidP="004A6439">
      <w:pPr>
        <w:pStyle w:val="SingleTxtG"/>
        <w:rPr>
          <w:lang w:val="fr-FR"/>
        </w:rPr>
      </w:pPr>
      <w:r w:rsidRPr="00206710">
        <w:rPr>
          <w:lang w:val="fr-FR"/>
        </w:rPr>
        <w:t>3.</w:t>
      </w:r>
      <w:r w:rsidRPr="00206710">
        <w:rPr>
          <w:lang w:val="fr-FR"/>
        </w:rPr>
        <w:tab/>
        <w:t xml:space="preserve">Le fonctionnement du limiteur de débit </w:t>
      </w:r>
      <w:r>
        <w:rPr>
          <w:lang w:val="fr-FR"/>
        </w:rPr>
        <w:t>par</w:t>
      </w:r>
      <w:r w:rsidRPr="00206710">
        <w:rPr>
          <w:lang w:val="fr-FR"/>
        </w:rPr>
        <w:t xml:space="preserve"> fermeture peut être interrompu en actionnant la vanne manuelle.</w:t>
      </w:r>
    </w:p>
    <w:p w:rsidR="004A6439" w:rsidRPr="004A6439" w:rsidRDefault="004A6439" w:rsidP="004A643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6439" w:rsidRPr="004A6439" w:rsidSect="004A64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6C" w:rsidRDefault="0072326C" w:rsidP="00F95C08">
      <w:pPr>
        <w:spacing w:line="240" w:lineRule="auto"/>
      </w:pPr>
    </w:p>
  </w:endnote>
  <w:endnote w:type="continuationSeparator" w:id="0">
    <w:p w:rsidR="0072326C" w:rsidRPr="00AC3823" w:rsidRDefault="0072326C" w:rsidP="00AC3823">
      <w:pPr>
        <w:pStyle w:val="Pieddepage"/>
      </w:pPr>
    </w:p>
  </w:endnote>
  <w:endnote w:type="continuationNotice" w:id="1">
    <w:p w:rsidR="0072326C" w:rsidRDefault="007232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439" w:rsidRPr="004A6439" w:rsidRDefault="004A6439" w:rsidP="004A6439">
    <w:pPr>
      <w:pStyle w:val="Pieddepage"/>
      <w:tabs>
        <w:tab w:val="right" w:pos="9638"/>
      </w:tabs>
    </w:pPr>
    <w:r w:rsidRPr="004A6439">
      <w:rPr>
        <w:b/>
        <w:sz w:val="18"/>
      </w:rPr>
      <w:fldChar w:fldCharType="begin"/>
    </w:r>
    <w:r w:rsidRPr="004A6439">
      <w:rPr>
        <w:b/>
        <w:sz w:val="18"/>
      </w:rPr>
      <w:instrText xml:space="preserve"> PAGE  \* MERGEFORMAT </w:instrText>
    </w:r>
    <w:r w:rsidRPr="004A6439">
      <w:rPr>
        <w:b/>
        <w:sz w:val="18"/>
      </w:rPr>
      <w:fldChar w:fldCharType="separate"/>
    </w:r>
    <w:r w:rsidRPr="004A6439">
      <w:rPr>
        <w:b/>
        <w:noProof/>
        <w:sz w:val="18"/>
      </w:rPr>
      <w:t>2</w:t>
    </w:r>
    <w:r w:rsidRPr="004A6439">
      <w:rPr>
        <w:b/>
        <w:sz w:val="18"/>
      </w:rPr>
      <w:fldChar w:fldCharType="end"/>
    </w:r>
    <w:r>
      <w:rPr>
        <w:b/>
        <w:sz w:val="18"/>
      </w:rPr>
      <w:tab/>
    </w:r>
    <w:r>
      <w:t>GE.21-01182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439" w:rsidRPr="004A6439" w:rsidRDefault="004A6439" w:rsidP="004A6439">
    <w:pPr>
      <w:pStyle w:val="Pieddepage"/>
      <w:tabs>
        <w:tab w:val="right" w:pos="9638"/>
      </w:tabs>
      <w:rPr>
        <w:b/>
        <w:sz w:val="18"/>
      </w:rPr>
    </w:pPr>
    <w:r>
      <w:t>GE.21-01182</w:t>
    </w:r>
    <w:r>
      <w:tab/>
    </w:r>
    <w:r w:rsidRPr="004A6439">
      <w:rPr>
        <w:b/>
        <w:sz w:val="18"/>
      </w:rPr>
      <w:fldChar w:fldCharType="begin"/>
    </w:r>
    <w:r w:rsidRPr="004A6439">
      <w:rPr>
        <w:b/>
        <w:sz w:val="18"/>
      </w:rPr>
      <w:instrText xml:space="preserve"> PAGE  \* MERGEFORMAT </w:instrText>
    </w:r>
    <w:r w:rsidRPr="004A6439">
      <w:rPr>
        <w:b/>
        <w:sz w:val="18"/>
      </w:rPr>
      <w:fldChar w:fldCharType="separate"/>
    </w:r>
    <w:r w:rsidRPr="004A6439">
      <w:rPr>
        <w:b/>
        <w:noProof/>
        <w:sz w:val="18"/>
      </w:rPr>
      <w:t>3</w:t>
    </w:r>
    <w:r w:rsidRPr="004A64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A6439" w:rsidRDefault="004A6439" w:rsidP="004A643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21-01182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110221    110221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6C" w:rsidRPr="00AC3823" w:rsidRDefault="0072326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326C" w:rsidRPr="00AC3823" w:rsidRDefault="0072326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2326C" w:rsidRPr="00AC3823" w:rsidRDefault="0072326C">
      <w:pPr>
        <w:spacing w:line="240" w:lineRule="auto"/>
        <w:rPr>
          <w:sz w:val="2"/>
          <w:szCs w:val="2"/>
        </w:rPr>
      </w:pPr>
    </w:p>
  </w:footnote>
  <w:footnote w:id="2">
    <w:p w:rsidR="004A6439" w:rsidRPr="005509D0" w:rsidRDefault="004A6439" w:rsidP="004A6439">
      <w:pPr>
        <w:pStyle w:val="Notedebasdepage"/>
        <w:rPr>
          <w:lang w:val="fr-FR"/>
        </w:rPr>
      </w:pPr>
      <w:r>
        <w:rPr>
          <w:lang w:val="fr-FR"/>
        </w:rPr>
        <w:tab/>
      </w:r>
      <w:r w:rsidRPr="004A6439">
        <w:rPr>
          <w:sz w:val="20"/>
          <w:lang w:val="fr-FR"/>
        </w:rPr>
        <w:t>*</w:t>
      </w:r>
      <w:r w:rsidRPr="00431DE6">
        <w:rPr>
          <w:lang w:val="fr-FR"/>
        </w:rPr>
        <w:tab/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</w:t>
      </w:r>
      <w:r>
        <w:rPr>
          <w:lang w:val="fr-FR"/>
        </w:rPr>
        <w:t xml:space="preserve">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439" w:rsidRPr="004A6439" w:rsidRDefault="004A6439">
    <w:pPr>
      <w:pStyle w:val="En-tte"/>
    </w:pPr>
    <w:fldSimple w:instr=" TITLE  \* MERGEFORMAT ">
      <w:r>
        <w:t>ECE/TRANS/WP.29/GRSG/2021/10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439" w:rsidRPr="004A6439" w:rsidRDefault="004A6439" w:rsidP="004A6439">
    <w:pPr>
      <w:pStyle w:val="En-tte"/>
      <w:jc w:val="right"/>
    </w:pPr>
    <w:fldSimple w:instr=" TITLE  \* MERGEFORMAT ">
      <w:r>
        <w:t>ECE/TRANS/WP.29/GRSG/2021/10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6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A6439"/>
    <w:rsid w:val="004E2EED"/>
    <w:rsid w:val="004E468C"/>
    <w:rsid w:val="005505B7"/>
    <w:rsid w:val="00573BE5"/>
    <w:rsid w:val="00586ED3"/>
    <w:rsid w:val="00596AA9"/>
    <w:rsid w:val="0071601D"/>
    <w:rsid w:val="0072326C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C44BB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1D93F5"/>
  <w15:docId w15:val="{C40E65DA-743A-41CF-972F-78BFB02B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4A64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4A6439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650</Words>
  <Characters>3487</Characters>
  <Application>Microsoft Office Word</Application>
  <DocSecurity>0</DocSecurity>
  <Lines>80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ECE/TRANS/WP.29/GRSG/2021/10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2021-02-11T12:10:00Z</dcterms:created>
  <dcterms:modified xsi:type="dcterms:W3CDTF">2021-02-11T12:10:00Z</dcterms:modified>
</cp:coreProperties>
</file>