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6015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60150" w:rsidP="00D60150">
            <w:pPr>
              <w:jc w:val="right"/>
            </w:pPr>
            <w:r w:rsidRPr="00D60150">
              <w:rPr>
                <w:sz w:val="40"/>
              </w:rPr>
              <w:t>ECE</w:t>
            </w:r>
            <w:r>
              <w:t>/TRANS/WP.29/GRSG/2021/8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6015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D60150" w:rsidRDefault="00D60150" w:rsidP="00D60150">
            <w:pPr>
              <w:spacing w:line="240" w:lineRule="exact"/>
            </w:pPr>
            <w:r>
              <w:t>29 janvier 2021</w:t>
            </w:r>
          </w:p>
          <w:p w:rsidR="00D60150" w:rsidRDefault="00D60150" w:rsidP="00D60150">
            <w:pPr>
              <w:spacing w:line="240" w:lineRule="exact"/>
            </w:pPr>
            <w:r>
              <w:t>Français</w:t>
            </w:r>
          </w:p>
          <w:p w:rsidR="00D60150" w:rsidRPr="00DB58B5" w:rsidRDefault="00D60150" w:rsidP="00D60150">
            <w:pPr>
              <w:spacing w:line="240" w:lineRule="exact"/>
            </w:pPr>
            <w:r>
              <w:t>Original</w:t>
            </w:r>
            <w:r w:rsidR="00CE5882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D4560" w:rsidRDefault="000D456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D4560" w:rsidRDefault="000D4560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0D4560" w:rsidRPr="00DC6942" w:rsidRDefault="000D4560" w:rsidP="000D4560">
      <w:pPr>
        <w:spacing w:before="120"/>
        <w:rPr>
          <w:rFonts w:asciiTheme="majorBidi" w:hAnsiTheme="majorBidi" w:cstheme="majorBidi"/>
          <w:b/>
          <w:lang w:val="fr-FR"/>
        </w:rPr>
      </w:pPr>
      <w:r w:rsidRPr="00DC6942">
        <w:rPr>
          <w:b/>
          <w:bCs/>
          <w:lang w:val="fr-FR"/>
        </w:rPr>
        <w:t>121</w:t>
      </w:r>
      <w:r w:rsidRPr="00DC6942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 w:rsidRPr="00DC6942">
        <w:rPr>
          <w:b/>
          <w:bCs/>
          <w:lang w:val="fr-FR"/>
        </w:rPr>
        <w:t>session</w:t>
      </w:r>
    </w:p>
    <w:p w:rsidR="000D4560" w:rsidRPr="00DC6942" w:rsidRDefault="000D4560" w:rsidP="000D4560">
      <w:pPr>
        <w:rPr>
          <w:rFonts w:asciiTheme="majorBidi" w:hAnsiTheme="majorBidi" w:cstheme="majorBidi"/>
          <w:lang w:val="fr-FR"/>
        </w:rPr>
      </w:pPr>
      <w:r w:rsidRPr="00DC6942">
        <w:rPr>
          <w:lang w:val="fr-FR"/>
        </w:rPr>
        <w:t>Genève, 12-16 avril 2021</w:t>
      </w:r>
    </w:p>
    <w:p w:rsidR="000D4560" w:rsidRPr="00DC6942" w:rsidRDefault="000D4560" w:rsidP="000D4560">
      <w:pPr>
        <w:rPr>
          <w:rFonts w:asciiTheme="majorBidi" w:hAnsiTheme="majorBidi" w:cstheme="majorBidi"/>
          <w:lang w:val="fr-FR"/>
        </w:rPr>
      </w:pPr>
      <w:r w:rsidRPr="00DC6942">
        <w:rPr>
          <w:lang w:val="fr-FR"/>
        </w:rPr>
        <w:t>Point 8 a) de l</w:t>
      </w:r>
      <w:r>
        <w:rPr>
          <w:lang w:val="fr-FR"/>
        </w:rPr>
        <w:t>’</w:t>
      </w:r>
      <w:r w:rsidRPr="00DC6942">
        <w:rPr>
          <w:lang w:val="fr-FR"/>
        </w:rPr>
        <w:t>ordre du jour provisoire</w:t>
      </w:r>
    </w:p>
    <w:p w:rsidR="000D4560" w:rsidRPr="00DC6942" w:rsidRDefault="000D4560" w:rsidP="000D4560">
      <w:pPr>
        <w:rPr>
          <w:rFonts w:asciiTheme="majorBidi" w:hAnsiTheme="majorBidi" w:cstheme="majorBidi"/>
          <w:b/>
          <w:lang w:val="fr-FR"/>
        </w:rPr>
      </w:pPr>
      <w:r w:rsidRPr="00DC6942">
        <w:rPr>
          <w:b/>
          <w:bCs/>
          <w:lang w:val="fr-FR"/>
        </w:rPr>
        <w:t xml:space="preserve">Amendements aux Règlements concernant les véhicules </w:t>
      </w:r>
      <w:r w:rsidR="00066AE3">
        <w:rPr>
          <w:b/>
          <w:bCs/>
          <w:lang w:val="fr-FR"/>
        </w:rPr>
        <w:br/>
      </w:r>
      <w:r w:rsidRPr="00DC6942">
        <w:rPr>
          <w:b/>
          <w:bCs/>
          <w:lang w:val="fr-FR"/>
        </w:rPr>
        <w:t>fonctionnant au gaz</w:t>
      </w:r>
    </w:p>
    <w:p w:rsidR="000D4560" w:rsidRPr="00DC6942" w:rsidRDefault="000D4560" w:rsidP="000D4560">
      <w:pPr>
        <w:rPr>
          <w:rFonts w:asciiTheme="majorBidi" w:hAnsiTheme="majorBidi" w:cstheme="majorBidi"/>
          <w:b/>
          <w:lang w:val="fr-FR"/>
        </w:rPr>
      </w:pPr>
      <w:r w:rsidRPr="00DC6942">
        <w:rPr>
          <w:b/>
          <w:bCs/>
          <w:lang w:val="fr-FR"/>
        </w:rPr>
        <w:t>Règlement ONU n</w:t>
      </w:r>
      <w:r w:rsidRPr="00DC6942">
        <w:rPr>
          <w:b/>
          <w:bCs/>
          <w:vertAlign w:val="superscript"/>
          <w:lang w:val="fr-FR"/>
        </w:rPr>
        <w:t>o</w:t>
      </w:r>
      <w:r w:rsidR="00066AE3">
        <w:rPr>
          <w:b/>
          <w:bCs/>
          <w:lang w:val="fr-FR"/>
        </w:rPr>
        <w:t> </w:t>
      </w:r>
      <w:r w:rsidRPr="00DC6942">
        <w:rPr>
          <w:b/>
          <w:bCs/>
          <w:lang w:val="fr-FR"/>
        </w:rPr>
        <w:t>67 (Véhicules alimentés au GPL)</w:t>
      </w:r>
    </w:p>
    <w:p w:rsidR="000D4560" w:rsidRPr="00DC6942" w:rsidRDefault="000D4560" w:rsidP="00066AE3">
      <w:pPr>
        <w:pStyle w:val="HChG"/>
        <w:rPr>
          <w:lang w:val="fr-FR"/>
        </w:rPr>
      </w:pPr>
      <w:r w:rsidRPr="00DC6942">
        <w:rPr>
          <w:lang w:val="fr-FR"/>
        </w:rPr>
        <w:tab/>
      </w:r>
      <w:r w:rsidRPr="00DC6942">
        <w:rPr>
          <w:lang w:val="fr-FR"/>
        </w:rPr>
        <w:tab/>
        <w:t>Proposition de série 04 d</w:t>
      </w:r>
      <w:r>
        <w:rPr>
          <w:lang w:val="fr-FR"/>
        </w:rPr>
        <w:t>’</w:t>
      </w:r>
      <w:r w:rsidRPr="00DC6942">
        <w:rPr>
          <w:lang w:val="fr-FR"/>
        </w:rPr>
        <w:t>amendements au Règlement ONU n</w:t>
      </w:r>
      <w:r w:rsidRPr="00DC6942">
        <w:rPr>
          <w:vertAlign w:val="superscript"/>
          <w:lang w:val="fr-FR"/>
        </w:rPr>
        <w:t>o</w:t>
      </w:r>
      <w:r w:rsidR="00066AE3">
        <w:rPr>
          <w:lang w:val="fr-FR"/>
        </w:rPr>
        <w:t> </w:t>
      </w:r>
      <w:r w:rsidRPr="00DC6942">
        <w:rPr>
          <w:lang w:val="fr-FR"/>
        </w:rPr>
        <w:t>67 (Véhicules alimentés au GPL)</w:t>
      </w:r>
    </w:p>
    <w:p w:rsidR="000D4560" w:rsidRPr="00DC6942" w:rsidRDefault="000D4560" w:rsidP="002224CC">
      <w:pPr>
        <w:pStyle w:val="H1G"/>
        <w:rPr>
          <w:lang w:val="fr-FR"/>
        </w:rPr>
      </w:pPr>
      <w:r w:rsidRPr="00DC6942">
        <w:rPr>
          <w:lang w:val="fr-FR"/>
        </w:rPr>
        <w:tab/>
      </w:r>
      <w:r w:rsidRPr="00DC6942">
        <w:rPr>
          <w:lang w:val="fr-FR"/>
        </w:rPr>
        <w:tab/>
        <w:t>Communication de l</w:t>
      </w:r>
      <w:r>
        <w:rPr>
          <w:lang w:val="fr-FR"/>
        </w:rPr>
        <w:t>’</w:t>
      </w:r>
      <w:r w:rsidRPr="00DC6942">
        <w:rPr>
          <w:lang w:val="fr-FR"/>
        </w:rPr>
        <w:t>expert des Pays-Bas</w:t>
      </w:r>
      <w:r w:rsidRPr="002224CC">
        <w:rPr>
          <w:b w:val="0"/>
          <w:bCs/>
          <w:sz w:val="20"/>
          <w:lang w:val="fr-FR"/>
        </w:rPr>
        <w:footnoteReference w:customMarkFollows="1" w:id="2"/>
        <w:t>*</w:t>
      </w:r>
      <w:r w:rsidRPr="00DC6942">
        <w:rPr>
          <w:lang w:val="fr-FR"/>
        </w:rPr>
        <w:t xml:space="preserve"> </w:t>
      </w:r>
    </w:p>
    <w:p w:rsidR="000D4560" w:rsidRDefault="000D4560" w:rsidP="000D4560">
      <w:pPr>
        <w:pStyle w:val="SingleTxtG"/>
        <w:ind w:firstLine="425"/>
        <w:rPr>
          <w:lang w:val="fr-FR"/>
        </w:rPr>
      </w:pPr>
      <w:r w:rsidRPr="00DC6942">
        <w:rPr>
          <w:lang w:val="fr-FR"/>
        </w:rPr>
        <w:t>Le texte ci-après, établi par l</w:t>
      </w:r>
      <w:r>
        <w:rPr>
          <w:lang w:val="fr-FR"/>
        </w:rPr>
        <w:t>’</w:t>
      </w:r>
      <w:r w:rsidRPr="00DC6942">
        <w:rPr>
          <w:lang w:val="fr-FR"/>
        </w:rPr>
        <w:t xml:space="preserve">expert des Pays-Bas, vise à actualiser les prescriptions </w:t>
      </w:r>
      <w:r>
        <w:rPr>
          <w:lang w:val="fr-FR"/>
        </w:rPr>
        <w:t>actuelles</w:t>
      </w:r>
      <w:r w:rsidRPr="00DC6942">
        <w:rPr>
          <w:lang w:val="fr-FR"/>
        </w:rPr>
        <w:t xml:space="preserve"> en matière de signalisation des bus fonctionnant au GPL et à introduire des prescriptions de signalisation similaires en ce qui concerne les camions. Les modifications qu</w:t>
      </w:r>
      <w:r>
        <w:rPr>
          <w:lang w:val="fr-FR"/>
        </w:rPr>
        <w:t>’</w:t>
      </w:r>
      <w:r w:rsidRPr="00DC6942">
        <w:rPr>
          <w:lang w:val="fr-FR"/>
        </w:rPr>
        <w:t>il est proposé d</w:t>
      </w:r>
      <w:r>
        <w:rPr>
          <w:lang w:val="fr-FR"/>
        </w:rPr>
        <w:t>’</w:t>
      </w:r>
      <w:r w:rsidRPr="00DC6942">
        <w:rPr>
          <w:lang w:val="fr-FR"/>
        </w:rPr>
        <w:t>apporter au texte actuel du Règlement ONU figurent en caractères gras pour les ajouts et biffés pour les suppressions.</w:t>
      </w:r>
    </w:p>
    <w:p w:rsidR="000D4560" w:rsidRDefault="000D4560" w:rsidP="000D4560">
      <w:pPr>
        <w:suppressAutoHyphens w:val="0"/>
        <w:spacing w:line="240" w:lineRule="auto"/>
        <w:rPr>
          <w:lang w:val="fr-FR"/>
        </w:rPr>
      </w:pPr>
      <w:r>
        <w:rPr>
          <w:lang w:val="fr-FR"/>
        </w:rPr>
        <w:br w:type="page"/>
      </w:r>
    </w:p>
    <w:p w:rsidR="000D4560" w:rsidRPr="00DC6942" w:rsidRDefault="000D4560" w:rsidP="00A71280">
      <w:pPr>
        <w:pStyle w:val="HChG"/>
        <w:rPr>
          <w:rFonts w:asciiTheme="majorBidi" w:hAnsiTheme="majorBidi" w:cstheme="majorBidi"/>
          <w:szCs w:val="28"/>
          <w:lang w:val="fr-FR"/>
        </w:rPr>
      </w:pPr>
      <w:r>
        <w:rPr>
          <w:lang w:val="fr-FR"/>
        </w:rPr>
        <w:lastRenderedPageBreak/>
        <w:tab/>
      </w:r>
      <w:r w:rsidRPr="00DC6942">
        <w:rPr>
          <w:lang w:val="fr-FR"/>
        </w:rPr>
        <w:t>I.</w:t>
      </w:r>
      <w:r w:rsidRPr="00DC6942">
        <w:rPr>
          <w:lang w:val="fr-FR"/>
        </w:rPr>
        <w:tab/>
        <w:t>Proposition</w:t>
      </w:r>
    </w:p>
    <w:p w:rsidR="000D4560" w:rsidRPr="00DC6942" w:rsidRDefault="000D4560" w:rsidP="000D4560">
      <w:pPr>
        <w:pStyle w:val="SingleTxtG"/>
        <w:ind w:left="2268" w:hanging="1134"/>
        <w:rPr>
          <w:i/>
          <w:lang w:val="fr-FR"/>
        </w:rPr>
      </w:pPr>
      <w:r w:rsidRPr="00DC6942">
        <w:rPr>
          <w:i/>
          <w:iCs/>
          <w:lang w:val="fr-FR"/>
        </w:rPr>
        <w:t>Paragraphe 5.2</w:t>
      </w:r>
      <w:r w:rsidRPr="00DC6942">
        <w:rPr>
          <w:lang w:val="fr-FR"/>
        </w:rPr>
        <w:t>, lire</w:t>
      </w:r>
      <w:r w:rsidR="00CE5882">
        <w:rPr>
          <w:lang w:val="fr-FR"/>
        </w:rPr>
        <w:t> :</w:t>
      </w:r>
    </w:p>
    <w:p w:rsidR="000D4560" w:rsidRPr="00DC6942" w:rsidRDefault="000D4560" w:rsidP="00672F4D">
      <w:pPr>
        <w:pStyle w:val="SingleTxtG"/>
        <w:ind w:left="2268" w:hanging="1134"/>
        <w:rPr>
          <w:b/>
          <w:lang w:val="fr-FR"/>
        </w:rPr>
      </w:pPr>
      <w:r>
        <w:rPr>
          <w:lang w:val="fr-FR"/>
        </w:rPr>
        <w:t>« </w:t>
      </w:r>
      <w:r w:rsidRPr="00DC6942">
        <w:rPr>
          <w:lang w:val="fr-FR"/>
        </w:rPr>
        <w:t>5.2</w:t>
      </w:r>
      <w:r w:rsidRPr="00DC6942">
        <w:rPr>
          <w:lang w:val="fr-FR"/>
        </w:rPr>
        <w:tab/>
        <w:t>Un numéro d</w:t>
      </w:r>
      <w:r>
        <w:rPr>
          <w:lang w:val="fr-FR"/>
        </w:rPr>
        <w:t>’</w:t>
      </w:r>
      <w:r w:rsidRPr="00DC6942">
        <w:rPr>
          <w:lang w:val="fr-FR"/>
        </w:rPr>
        <w:t>homologation est attribué à chaque type d</w:t>
      </w:r>
      <w:r>
        <w:rPr>
          <w:lang w:val="fr-FR"/>
        </w:rPr>
        <w:t>’</w:t>
      </w:r>
      <w:r w:rsidRPr="00DC6942">
        <w:rPr>
          <w:lang w:val="fr-FR"/>
        </w:rPr>
        <w:t>équipement homologué</w:t>
      </w:r>
      <w:r w:rsidRPr="00DC6942">
        <w:rPr>
          <w:b/>
          <w:bCs/>
          <w:lang w:val="fr-FR"/>
        </w:rPr>
        <w:t>, conformément à l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annexe</w:t>
      </w:r>
      <w:r w:rsidR="00672F4D">
        <w:rPr>
          <w:b/>
          <w:bCs/>
          <w:lang w:val="fr-FR"/>
        </w:rPr>
        <w:t> </w:t>
      </w:r>
      <w:r w:rsidRPr="00DC6942">
        <w:rPr>
          <w:b/>
          <w:bCs/>
          <w:lang w:val="fr-FR"/>
        </w:rPr>
        <w:t>4 de l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Accord (E/ECE/TRANS/</w:t>
      </w:r>
      <w:r w:rsidR="00672F4D">
        <w:rPr>
          <w:b/>
          <w:bCs/>
          <w:lang w:val="fr-FR"/>
        </w:rPr>
        <w:t xml:space="preserve"> </w:t>
      </w:r>
      <w:r w:rsidRPr="00DC6942">
        <w:rPr>
          <w:b/>
          <w:bCs/>
          <w:lang w:val="fr-FR"/>
        </w:rPr>
        <w:t>505/Rev.3)</w:t>
      </w:r>
      <w:r w:rsidRPr="00DC6942">
        <w:rPr>
          <w:lang w:val="fr-FR"/>
        </w:rPr>
        <w:t xml:space="preserve">. </w:t>
      </w:r>
      <w:r w:rsidRPr="00683E8F">
        <w:rPr>
          <w:strike/>
          <w:lang w:val="fr-FR"/>
        </w:rPr>
        <w:t xml:space="preserve">Ses deux premiers chiffres </w:t>
      </w:r>
      <w:r w:rsidRPr="00DC6942">
        <w:rPr>
          <w:strike/>
          <w:lang w:val="fr-FR"/>
        </w:rPr>
        <w:t>(actuellement 03 pour la série 03 d</w:t>
      </w:r>
      <w:r>
        <w:rPr>
          <w:strike/>
          <w:lang w:val="fr-FR"/>
        </w:rPr>
        <w:t>’</w:t>
      </w:r>
      <w:r w:rsidRPr="00DC6942">
        <w:rPr>
          <w:strike/>
          <w:lang w:val="fr-FR"/>
        </w:rPr>
        <w:t>amendements) doivent indiquer la série d</w:t>
      </w:r>
      <w:r>
        <w:rPr>
          <w:strike/>
          <w:lang w:val="fr-FR"/>
        </w:rPr>
        <w:t>’</w:t>
      </w:r>
      <w:r w:rsidRPr="00DC6942">
        <w:rPr>
          <w:strike/>
          <w:lang w:val="fr-FR"/>
        </w:rPr>
        <w:t>amendements correspondant aux plus récentes modifications techniques majeures apportées au Règlement à la date où l</w:t>
      </w:r>
      <w:r>
        <w:rPr>
          <w:strike/>
          <w:lang w:val="fr-FR"/>
        </w:rPr>
        <w:t>’</w:t>
      </w:r>
      <w:r w:rsidRPr="00DC6942">
        <w:rPr>
          <w:strike/>
          <w:lang w:val="fr-FR"/>
        </w:rPr>
        <w:t>homologation est délivrée.</w:t>
      </w:r>
      <w:r w:rsidRPr="00DC6942">
        <w:rPr>
          <w:lang w:val="fr-FR"/>
        </w:rPr>
        <w:t xml:space="preserve"> </w:t>
      </w:r>
      <w:r w:rsidRPr="00DC6942">
        <w:rPr>
          <w:strike/>
          <w:lang w:val="fr-FR"/>
        </w:rPr>
        <w:t>Une même Partie contractante ne peut attribuer le même numéro d</w:t>
      </w:r>
      <w:r>
        <w:rPr>
          <w:strike/>
          <w:lang w:val="fr-FR"/>
        </w:rPr>
        <w:t>’</w:t>
      </w:r>
      <w:r w:rsidRPr="00DC6942">
        <w:rPr>
          <w:strike/>
          <w:lang w:val="fr-FR"/>
        </w:rPr>
        <w:t>homologation à un autre type d</w:t>
      </w:r>
      <w:r>
        <w:rPr>
          <w:strike/>
          <w:lang w:val="fr-FR"/>
        </w:rPr>
        <w:t>’</w:t>
      </w:r>
      <w:r w:rsidRPr="00DC6942">
        <w:rPr>
          <w:strike/>
          <w:lang w:val="fr-FR"/>
        </w:rPr>
        <w:t>équipement</w:t>
      </w:r>
      <w:r w:rsidRPr="00DC6942">
        <w:rPr>
          <w:lang w:val="fr-FR"/>
        </w:rPr>
        <w:t>.</w:t>
      </w:r>
      <w:r>
        <w:rPr>
          <w:lang w:val="fr-FR"/>
        </w:rPr>
        <w:t> »</w:t>
      </w:r>
      <w:r w:rsidRPr="00DC6942">
        <w:rPr>
          <w:lang w:val="fr-FR"/>
        </w:rPr>
        <w:t>.</w:t>
      </w:r>
    </w:p>
    <w:p w:rsidR="000D4560" w:rsidRPr="00DC6942" w:rsidRDefault="000D4560" w:rsidP="000D4560">
      <w:pPr>
        <w:pStyle w:val="SingleTxtG"/>
        <w:ind w:left="2268" w:hanging="1134"/>
        <w:rPr>
          <w:i/>
          <w:lang w:val="fr-FR"/>
        </w:rPr>
      </w:pPr>
      <w:r w:rsidRPr="00DC6942">
        <w:rPr>
          <w:i/>
          <w:iCs/>
          <w:lang w:val="fr-FR"/>
        </w:rPr>
        <w:t>Paragraphe 16.2</w:t>
      </w:r>
      <w:r w:rsidRPr="00DC6942">
        <w:rPr>
          <w:lang w:val="fr-FR"/>
        </w:rPr>
        <w:t>, lire</w:t>
      </w:r>
      <w:r w:rsidR="00CE5882">
        <w:rPr>
          <w:lang w:val="fr-FR"/>
        </w:rPr>
        <w:t> :</w:t>
      </w:r>
    </w:p>
    <w:p w:rsidR="000D4560" w:rsidRPr="00DC6942" w:rsidRDefault="000D4560" w:rsidP="000D4560">
      <w:pPr>
        <w:pStyle w:val="SingleTxtG"/>
        <w:ind w:left="2268" w:hanging="1134"/>
        <w:rPr>
          <w:i/>
          <w:lang w:val="fr-FR"/>
        </w:rPr>
      </w:pPr>
      <w:r>
        <w:rPr>
          <w:lang w:val="fr-FR"/>
        </w:rPr>
        <w:t>« </w:t>
      </w:r>
      <w:r w:rsidRPr="00DC6942">
        <w:rPr>
          <w:lang w:val="fr-FR"/>
        </w:rPr>
        <w:t>16.2</w:t>
      </w:r>
      <w:r w:rsidRPr="00DC6942">
        <w:rPr>
          <w:lang w:val="fr-FR"/>
        </w:rPr>
        <w:tab/>
        <w:t>Un numéro d</w:t>
      </w:r>
      <w:r>
        <w:rPr>
          <w:lang w:val="fr-FR"/>
        </w:rPr>
        <w:t>’</w:t>
      </w:r>
      <w:r w:rsidRPr="00DC6942">
        <w:rPr>
          <w:lang w:val="fr-FR"/>
        </w:rPr>
        <w:t>homologation est attribué à chaque type de véhicule homologué</w:t>
      </w:r>
      <w:r w:rsidRPr="00DC6942">
        <w:rPr>
          <w:b/>
          <w:bCs/>
          <w:lang w:val="fr-FR"/>
        </w:rPr>
        <w:t>, conformément à l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annexe 4 de l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Accord (E/ECE/TRANS/505/Rev.3)</w:t>
      </w:r>
      <w:r w:rsidRPr="00DC6942">
        <w:rPr>
          <w:lang w:val="fr-FR"/>
        </w:rPr>
        <w:t xml:space="preserve">. </w:t>
      </w:r>
      <w:r w:rsidRPr="00DC6942">
        <w:rPr>
          <w:strike/>
          <w:lang w:val="fr-FR"/>
        </w:rPr>
        <w:t>Les deux premiers chiffres indiquent la série d</w:t>
      </w:r>
      <w:r>
        <w:rPr>
          <w:strike/>
          <w:lang w:val="fr-FR"/>
        </w:rPr>
        <w:t>’</w:t>
      </w:r>
      <w:r w:rsidRPr="00DC6942">
        <w:rPr>
          <w:strike/>
          <w:lang w:val="fr-FR"/>
        </w:rPr>
        <w:t>amendements correspondant aux plus récentes modifications techniques majeures apportées au Règlement à la date où l</w:t>
      </w:r>
      <w:r>
        <w:rPr>
          <w:strike/>
          <w:lang w:val="fr-FR"/>
        </w:rPr>
        <w:t>’</w:t>
      </w:r>
      <w:r w:rsidRPr="00DC6942">
        <w:rPr>
          <w:strike/>
          <w:lang w:val="fr-FR"/>
        </w:rPr>
        <w:t>homologation est délivrée.</w:t>
      </w:r>
      <w:r w:rsidRPr="00DC6942">
        <w:rPr>
          <w:lang w:val="fr-FR"/>
        </w:rPr>
        <w:t> ».</w:t>
      </w:r>
    </w:p>
    <w:p w:rsidR="000D4560" w:rsidRPr="00DC6942" w:rsidRDefault="000D4560" w:rsidP="0021357C">
      <w:pPr>
        <w:pStyle w:val="SingleTxtG"/>
        <w:keepNext/>
        <w:ind w:left="2268" w:hanging="1134"/>
        <w:rPr>
          <w:i/>
          <w:lang w:val="fr-FR"/>
        </w:rPr>
      </w:pPr>
      <w:r w:rsidRPr="00DC6942">
        <w:rPr>
          <w:i/>
          <w:iCs/>
          <w:lang w:val="fr-FR"/>
        </w:rPr>
        <w:t>Paragraphes 17.1.8 à 17.1.8.2</w:t>
      </w:r>
      <w:r w:rsidRPr="00DC6942">
        <w:rPr>
          <w:lang w:val="fr-FR"/>
        </w:rPr>
        <w:t>, lire</w:t>
      </w:r>
      <w:r w:rsidR="00CE5882">
        <w:rPr>
          <w:lang w:val="fr-FR"/>
        </w:rPr>
        <w:t> :</w:t>
      </w:r>
    </w:p>
    <w:p w:rsidR="000D4560" w:rsidRPr="00DC6942" w:rsidRDefault="000D4560" w:rsidP="0021357C">
      <w:pPr>
        <w:pStyle w:val="SingleTxtG"/>
        <w:keepNext/>
        <w:ind w:left="2268" w:hanging="1134"/>
        <w:jc w:val="left"/>
        <w:rPr>
          <w:b/>
          <w:lang w:val="fr-FR"/>
        </w:rPr>
      </w:pPr>
      <w:r>
        <w:rPr>
          <w:lang w:val="fr-FR"/>
        </w:rPr>
        <w:t>« </w:t>
      </w:r>
      <w:r w:rsidRPr="00DC6942">
        <w:rPr>
          <w:lang w:val="fr-FR"/>
        </w:rPr>
        <w:t>17.1.8</w:t>
      </w:r>
      <w:r w:rsidRPr="00DC6942">
        <w:rPr>
          <w:lang w:val="fr-FR"/>
        </w:rPr>
        <w:tab/>
      </w:r>
      <w:r w:rsidRPr="00DC6942">
        <w:rPr>
          <w:b/>
          <w:bCs/>
          <w:lang w:val="fr-FR"/>
        </w:rPr>
        <w:t>Signalisation des véhicules fonctionnant au GPL</w:t>
      </w:r>
    </w:p>
    <w:p w:rsidR="000D4560" w:rsidRPr="00DC6942" w:rsidRDefault="000D4560" w:rsidP="000D4560">
      <w:pPr>
        <w:pStyle w:val="SingleTxtG"/>
        <w:ind w:left="2268" w:hanging="1134"/>
        <w:rPr>
          <w:lang w:val="fr-FR"/>
        </w:rPr>
      </w:pPr>
      <w:r w:rsidRPr="00DC6942">
        <w:rPr>
          <w:lang w:val="fr-FR"/>
        </w:rPr>
        <w:t>17.1.8.1</w:t>
      </w:r>
      <w:r w:rsidRPr="00DC6942">
        <w:rPr>
          <w:lang w:val="fr-FR"/>
        </w:rPr>
        <w:tab/>
        <w:t>Les véhicules des catégories M</w:t>
      </w:r>
      <w:r w:rsidRPr="00DC6942">
        <w:rPr>
          <w:vertAlign w:val="subscript"/>
          <w:lang w:val="fr-FR"/>
        </w:rPr>
        <w:t>2</w:t>
      </w:r>
      <w:r w:rsidRPr="00DC6942">
        <w:rPr>
          <w:b/>
          <w:bCs/>
          <w:lang w:val="fr-FR"/>
        </w:rPr>
        <w:t>/N</w:t>
      </w:r>
      <w:r w:rsidRPr="00DC6942">
        <w:rPr>
          <w:b/>
          <w:bCs/>
          <w:vertAlign w:val="subscript"/>
          <w:lang w:val="fr-FR"/>
        </w:rPr>
        <w:t>2</w:t>
      </w:r>
      <w:r w:rsidRPr="00DC6942">
        <w:rPr>
          <w:lang w:val="fr-FR"/>
        </w:rPr>
        <w:t xml:space="preserve"> et M</w:t>
      </w:r>
      <w:r w:rsidRPr="00DC6942">
        <w:rPr>
          <w:vertAlign w:val="subscript"/>
          <w:lang w:val="fr-FR"/>
        </w:rPr>
        <w:t>3</w:t>
      </w:r>
      <w:r w:rsidRPr="00DC6942">
        <w:rPr>
          <w:b/>
          <w:bCs/>
          <w:lang w:val="fr-FR"/>
        </w:rPr>
        <w:t>/N</w:t>
      </w:r>
      <w:r w:rsidRPr="00DC6942">
        <w:rPr>
          <w:b/>
          <w:bCs/>
          <w:vertAlign w:val="subscript"/>
          <w:lang w:val="fr-FR"/>
        </w:rPr>
        <w:t>3</w:t>
      </w:r>
      <w:r w:rsidRPr="00DC6942">
        <w:rPr>
          <w:lang w:val="fr-FR"/>
        </w:rPr>
        <w:t xml:space="preserve"> doivent porter </w:t>
      </w:r>
      <w:r w:rsidRPr="00DC6942">
        <w:rPr>
          <w:b/>
          <w:bCs/>
          <w:lang w:val="fr-FR"/>
        </w:rPr>
        <w:t>des étiquettes</w:t>
      </w:r>
      <w:r w:rsidRPr="00DC6942">
        <w:rPr>
          <w:lang w:val="fr-FR"/>
        </w:rPr>
        <w:t xml:space="preserve"> conforme</w:t>
      </w:r>
      <w:r w:rsidRPr="00DC6942">
        <w:rPr>
          <w:b/>
          <w:bCs/>
          <w:lang w:val="fr-FR"/>
        </w:rPr>
        <w:t>s</w:t>
      </w:r>
      <w:r w:rsidRPr="00DC6942">
        <w:rPr>
          <w:lang w:val="fr-FR"/>
        </w:rPr>
        <w:t xml:space="preserve"> aux prescriptions de l</w:t>
      </w:r>
      <w:r>
        <w:rPr>
          <w:lang w:val="fr-FR"/>
        </w:rPr>
        <w:t>’</w:t>
      </w:r>
      <w:r w:rsidRPr="00DC6942">
        <w:rPr>
          <w:lang w:val="fr-FR"/>
        </w:rPr>
        <w:t xml:space="preserve">annexe 17 </w:t>
      </w:r>
      <w:r w:rsidRPr="006A4185">
        <w:rPr>
          <w:lang w:val="fr-FR"/>
        </w:rPr>
        <w:t>du présent Règlement</w:t>
      </w:r>
      <w:bookmarkStart w:id="0" w:name="_GoBack"/>
      <w:bookmarkEnd w:id="0"/>
      <w:r w:rsidRPr="00DC6942">
        <w:rPr>
          <w:lang w:val="fr-FR"/>
        </w:rPr>
        <w:t>.</w:t>
      </w:r>
    </w:p>
    <w:p w:rsidR="000D4560" w:rsidRPr="00DC6942" w:rsidRDefault="000D4560" w:rsidP="000D4560">
      <w:pPr>
        <w:pStyle w:val="SingleTxtG"/>
        <w:ind w:left="2268" w:hanging="1134"/>
        <w:rPr>
          <w:b/>
          <w:bCs/>
          <w:lang w:val="fr-FR"/>
        </w:rPr>
      </w:pPr>
      <w:r w:rsidRPr="00DC6942">
        <w:rPr>
          <w:lang w:val="fr-FR"/>
        </w:rPr>
        <w:t>17.1.8.2</w:t>
      </w:r>
      <w:r w:rsidRPr="00DC6942">
        <w:rPr>
          <w:lang w:val="fr-FR"/>
        </w:rPr>
        <w:tab/>
      </w:r>
      <w:r w:rsidRPr="00DC6942">
        <w:rPr>
          <w:b/>
          <w:bCs/>
          <w:lang w:val="fr-FR"/>
        </w:rPr>
        <w:t>Ces étiquettes doivent être placées à l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avant du véhicule, ainsi que sur les côtés gauche et droit de celui-ci</w:t>
      </w:r>
      <w:r w:rsidR="00855341">
        <w:rPr>
          <w:b/>
          <w:bCs/>
          <w:lang w:val="fr-FR"/>
        </w:rPr>
        <w:t> </w:t>
      </w:r>
      <w:r w:rsidRPr="00DC6942">
        <w:rPr>
          <w:b/>
          <w:bCs/>
          <w:lang w:val="fr-FR"/>
        </w:rPr>
        <w:t>;</w:t>
      </w:r>
      <w:r w:rsidRPr="00DC6942">
        <w:rPr>
          <w:lang w:val="fr-FR"/>
        </w:rPr>
        <w:t xml:space="preserve"> </w:t>
      </w:r>
      <w:r w:rsidRPr="00DC6942">
        <w:rPr>
          <w:b/>
          <w:bCs/>
          <w:lang w:val="fr-FR"/>
        </w:rPr>
        <w:t>les étiquettes placées sur les côtés devraient l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être à proximité d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 xml:space="preserve">une porte avant, </w:t>
      </w:r>
      <w:r>
        <w:rPr>
          <w:b/>
          <w:bCs/>
          <w:lang w:val="fr-FR"/>
        </w:rPr>
        <w:t>s’il y en a une</w:t>
      </w:r>
      <w:r w:rsidRPr="00DC6942">
        <w:rPr>
          <w:b/>
          <w:bCs/>
          <w:lang w:val="fr-FR"/>
        </w:rPr>
        <w:t>.</w:t>
      </w:r>
      <w:r w:rsidRPr="00DC6942">
        <w:rPr>
          <w:lang w:val="fr-FR"/>
        </w:rPr>
        <w:t xml:space="preserve"> </w:t>
      </w:r>
      <w:r w:rsidRPr="00DC6942">
        <w:rPr>
          <w:b/>
          <w:bCs/>
          <w:lang w:val="fr-FR"/>
        </w:rPr>
        <w:t>En l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absence de porte avant, l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étiquette doit être placée sur le premier tiers de la longueur du véhicule.</w:t>
      </w:r>
      <w:r w:rsidRPr="00DC6942">
        <w:rPr>
          <w:lang w:val="fr-FR"/>
        </w:rPr>
        <w:t xml:space="preserve"> </w:t>
      </w:r>
      <w:r w:rsidRPr="00DC6942">
        <w:rPr>
          <w:b/>
          <w:bCs/>
          <w:lang w:val="fr-FR"/>
        </w:rPr>
        <w:t>En outre, pour les véhicules des catégories M</w:t>
      </w:r>
      <w:r w:rsidRPr="00DC6942">
        <w:rPr>
          <w:b/>
          <w:bCs/>
          <w:vertAlign w:val="subscript"/>
          <w:lang w:val="fr-FR"/>
        </w:rPr>
        <w:t>2</w:t>
      </w:r>
      <w:r w:rsidRPr="00DC6942">
        <w:rPr>
          <w:b/>
          <w:bCs/>
          <w:lang w:val="fr-FR"/>
        </w:rPr>
        <w:t xml:space="preserve"> et M</w:t>
      </w:r>
      <w:r w:rsidRPr="00DC6942">
        <w:rPr>
          <w:b/>
          <w:bCs/>
          <w:vertAlign w:val="subscript"/>
          <w:lang w:val="fr-FR"/>
        </w:rPr>
        <w:t>3</w:t>
      </w:r>
      <w:r w:rsidRPr="00DC6942">
        <w:rPr>
          <w:b/>
          <w:bCs/>
          <w:lang w:val="fr-FR"/>
        </w:rPr>
        <w:t>, une étiquette doit être apposée à l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arrière du véhicule.</w:t>
      </w:r>
    </w:p>
    <w:p w:rsidR="000D4560" w:rsidRPr="00DC6942" w:rsidRDefault="000D4560" w:rsidP="000D4560">
      <w:pPr>
        <w:pStyle w:val="SingleTxtG"/>
        <w:ind w:left="2268"/>
        <w:rPr>
          <w:lang w:val="fr-FR"/>
        </w:rPr>
      </w:pPr>
      <w:r w:rsidRPr="00DC6942">
        <w:rPr>
          <w:strike/>
          <w:lang w:val="fr-FR"/>
        </w:rPr>
        <w:t>Cette plaque doit être apposée à l</w:t>
      </w:r>
      <w:r>
        <w:rPr>
          <w:strike/>
          <w:lang w:val="fr-FR"/>
        </w:rPr>
        <w:t>’</w:t>
      </w:r>
      <w:r w:rsidRPr="00DC6942">
        <w:rPr>
          <w:strike/>
          <w:lang w:val="fr-FR"/>
        </w:rPr>
        <w:t>avant et à l</w:t>
      </w:r>
      <w:r>
        <w:rPr>
          <w:strike/>
          <w:lang w:val="fr-FR"/>
        </w:rPr>
        <w:t>’</w:t>
      </w:r>
      <w:r w:rsidRPr="00DC6942">
        <w:rPr>
          <w:strike/>
          <w:lang w:val="fr-FR"/>
        </w:rPr>
        <w:t>arrière des véhicules des catégories M</w:t>
      </w:r>
      <w:r w:rsidRPr="00DC6942">
        <w:rPr>
          <w:strike/>
          <w:vertAlign w:val="subscript"/>
          <w:lang w:val="fr-FR"/>
        </w:rPr>
        <w:t>2</w:t>
      </w:r>
      <w:r w:rsidRPr="00DC6942">
        <w:rPr>
          <w:strike/>
          <w:lang w:val="fr-FR"/>
        </w:rPr>
        <w:t xml:space="preserve"> et M</w:t>
      </w:r>
      <w:r w:rsidRPr="00DC6942">
        <w:rPr>
          <w:strike/>
          <w:vertAlign w:val="subscript"/>
          <w:lang w:val="fr-FR"/>
        </w:rPr>
        <w:t>3</w:t>
      </w:r>
      <w:r w:rsidRPr="00DC6942">
        <w:rPr>
          <w:strike/>
          <w:lang w:val="fr-FR"/>
        </w:rPr>
        <w:t xml:space="preserve"> et à l</w:t>
      </w:r>
      <w:r>
        <w:rPr>
          <w:strike/>
          <w:lang w:val="fr-FR"/>
        </w:rPr>
        <w:t>’</w:t>
      </w:r>
      <w:r w:rsidRPr="00DC6942">
        <w:rPr>
          <w:strike/>
          <w:lang w:val="fr-FR"/>
        </w:rPr>
        <w:t>extérieur des portes du côté gauche pour les véhicules à conduite à droite et du côté droit pour les véhicules à conduite à gauche.</w:t>
      </w:r>
      <w:r>
        <w:rPr>
          <w:lang w:val="fr-FR"/>
        </w:rPr>
        <w:t> »</w:t>
      </w:r>
      <w:r w:rsidRPr="00DC6942">
        <w:rPr>
          <w:lang w:val="fr-FR"/>
        </w:rPr>
        <w:t>.</w:t>
      </w:r>
    </w:p>
    <w:p w:rsidR="000D4560" w:rsidRPr="00DC6942" w:rsidRDefault="000D4560" w:rsidP="00855341">
      <w:pPr>
        <w:keepNext/>
        <w:spacing w:after="120"/>
        <w:ind w:left="2268" w:right="1134" w:hanging="1134"/>
        <w:jc w:val="both"/>
        <w:rPr>
          <w:i/>
          <w:lang w:val="fr-FR"/>
        </w:rPr>
      </w:pPr>
      <w:r w:rsidRPr="00DC6942">
        <w:rPr>
          <w:i/>
          <w:iCs/>
          <w:lang w:val="fr-FR"/>
        </w:rPr>
        <w:t>Ajouter les nouveaux paragraphes 22.19 à 22.23</w:t>
      </w:r>
      <w:r w:rsidRPr="00DC6942">
        <w:rPr>
          <w:lang w:val="fr-FR"/>
        </w:rPr>
        <w:t>, libellés comme suit</w:t>
      </w:r>
      <w:r w:rsidR="00CE5882">
        <w:rPr>
          <w:lang w:val="fr-FR"/>
        </w:rPr>
        <w:t> :</w:t>
      </w:r>
      <w:r w:rsidRPr="00DC6942">
        <w:rPr>
          <w:lang w:val="fr-FR"/>
        </w:rPr>
        <w:t xml:space="preserve"> </w:t>
      </w:r>
    </w:p>
    <w:p w:rsidR="000D4560" w:rsidRPr="00DC6942" w:rsidRDefault="000D4560" w:rsidP="000D4560">
      <w:pPr>
        <w:suppressAutoHyphens w:val="0"/>
        <w:spacing w:after="120"/>
        <w:ind w:left="2268" w:right="1134" w:hanging="1134"/>
        <w:jc w:val="both"/>
        <w:rPr>
          <w:rFonts w:eastAsia="Yu Mincho"/>
          <w:b/>
          <w:bCs/>
          <w:snapToGrid w:val="0"/>
          <w:lang w:val="fr-FR"/>
        </w:rPr>
      </w:pPr>
      <w:r>
        <w:rPr>
          <w:lang w:val="fr-FR"/>
        </w:rPr>
        <w:t>« </w:t>
      </w:r>
      <w:r w:rsidRPr="00DC6942">
        <w:rPr>
          <w:b/>
          <w:bCs/>
          <w:lang w:val="fr-FR"/>
        </w:rPr>
        <w:t>22.19</w:t>
      </w:r>
      <w:r w:rsidRPr="00DC6942">
        <w:rPr>
          <w:b/>
          <w:bCs/>
          <w:lang w:val="fr-FR"/>
        </w:rPr>
        <w:tab/>
        <w:t>À compter de la date officielle d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entrée en vigueur de la série 04 d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amendements, aucune Partie contractante appliquant le présent Règlement ne pourra refuser d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accorder ou d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accepter une homologation de type en vertu dudit Règlement tel que modifié par la</w:t>
      </w:r>
      <w:r>
        <w:rPr>
          <w:b/>
          <w:bCs/>
          <w:lang w:val="fr-FR"/>
        </w:rPr>
        <w:t>dite</w:t>
      </w:r>
      <w:r w:rsidRPr="00DC6942">
        <w:rPr>
          <w:b/>
          <w:bCs/>
          <w:lang w:val="fr-FR"/>
        </w:rPr>
        <w:t xml:space="preserve"> série.</w:t>
      </w:r>
    </w:p>
    <w:p w:rsidR="000D4560" w:rsidRPr="00DC6942" w:rsidRDefault="000D4560" w:rsidP="000D4560">
      <w:pPr>
        <w:suppressAutoHyphens w:val="0"/>
        <w:spacing w:after="120"/>
        <w:ind w:left="2268" w:right="1134" w:hanging="1134"/>
        <w:jc w:val="both"/>
        <w:rPr>
          <w:rFonts w:eastAsia="Yu Mincho"/>
          <w:b/>
          <w:bCs/>
          <w:snapToGrid w:val="0"/>
          <w:lang w:val="fr-FR"/>
        </w:rPr>
      </w:pPr>
      <w:r w:rsidRPr="00DC6942">
        <w:rPr>
          <w:b/>
          <w:bCs/>
          <w:lang w:val="fr-FR"/>
        </w:rPr>
        <w:t>22.20</w:t>
      </w:r>
      <w:r w:rsidRPr="00DC6942">
        <w:rPr>
          <w:b/>
          <w:bCs/>
          <w:lang w:val="fr-FR"/>
        </w:rPr>
        <w:tab/>
        <w:t>À compter du [1</w:t>
      </w:r>
      <w:r w:rsidRPr="00DC6942">
        <w:rPr>
          <w:b/>
          <w:bCs/>
          <w:vertAlign w:val="superscript"/>
          <w:lang w:val="fr-FR"/>
        </w:rPr>
        <w:t>er</w:t>
      </w:r>
      <w:r w:rsidR="00855341">
        <w:rPr>
          <w:b/>
          <w:bCs/>
          <w:lang w:val="fr-FR"/>
        </w:rPr>
        <w:t> </w:t>
      </w:r>
      <w:r w:rsidRPr="00DC6942">
        <w:rPr>
          <w:b/>
          <w:bCs/>
          <w:lang w:val="fr-FR"/>
        </w:rPr>
        <w:t>septembre 2023], les Parties contractantes appliquant le présent Règlement ne seront plus tenues d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accepter les homologations de type établies conformément aux précédentes séries d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amendements, délivrées pour la première fois après le [1</w:t>
      </w:r>
      <w:r w:rsidRPr="00DC6942">
        <w:rPr>
          <w:b/>
          <w:bCs/>
          <w:vertAlign w:val="superscript"/>
          <w:lang w:val="fr-FR"/>
        </w:rPr>
        <w:t>er</w:t>
      </w:r>
      <w:r w:rsidR="00082186">
        <w:rPr>
          <w:b/>
          <w:bCs/>
          <w:lang w:val="fr-FR"/>
        </w:rPr>
        <w:t> </w:t>
      </w:r>
      <w:r w:rsidRPr="00DC6942">
        <w:rPr>
          <w:b/>
          <w:bCs/>
          <w:lang w:val="fr-FR"/>
        </w:rPr>
        <w:t>septembre 2023].</w:t>
      </w:r>
    </w:p>
    <w:p w:rsidR="000D4560" w:rsidRPr="00DC6942" w:rsidRDefault="000D4560" w:rsidP="000D4560">
      <w:pPr>
        <w:suppressAutoHyphens w:val="0"/>
        <w:spacing w:after="120"/>
        <w:ind w:left="2268" w:right="1134" w:hanging="1134"/>
        <w:jc w:val="both"/>
        <w:rPr>
          <w:rFonts w:eastAsia="Yu Mincho"/>
          <w:b/>
          <w:bCs/>
          <w:snapToGrid w:val="0"/>
          <w:lang w:val="fr-FR"/>
        </w:rPr>
      </w:pPr>
      <w:r w:rsidRPr="00DC6942">
        <w:rPr>
          <w:b/>
          <w:bCs/>
          <w:lang w:val="fr-FR"/>
        </w:rPr>
        <w:t>22.21</w:t>
      </w:r>
      <w:r w:rsidRPr="00DC6942">
        <w:rPr>
          <w:b/>
          <w:bCs/>
          <w:lang w:val="fr-FR"/>
        </w:rPr>
        <w:tab/>
        <w:t>Jusqu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au [1</w:t>
      </w:r>
      <w:r w:rsidRPr="00DC6942">
        <w:rPr>
          <w:b/>
          <w:bCs/>
          <w:vertAlign w:val="superscript"/>
          <w:lang w:val="fr-FR"/>
        </w:rPr>
        <w:t>er</w:t>
      </w:r>
      <w:r w:rsidR="00082186">
        <w:rPr>
          <w:b/>
          <w:bCs/>
          <w:lang w:val="fr-FR"/>
        </w:rPr>
        <w:t> </w:t>
      </w:r>
      <w:r w:rsidRPr="00DC6942">
        <w:rPr>
          <w:b/>
          <w:bCs/>
          <w:lang w:val="fr-FR"/>
        </w:rPr>
        <w:t>septembre 2025], les Parties contractantes appliquant le présent Règlement seront tenues d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accepter les homologations de type établies conformément aux précédentes séries d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amendements, délivrées pour la première fois avant le [1</w:t>
      </w:r>
      <w:r w:rsidRPr="00DC6942">
        <w:rPr>
          <w:b/>
          <w:bCs/>
          <w:vertAlign w:val="superscript"/>
          <w:lang w:val="fr-FR"/>
        </w:rPr>
        <w:t>er</w:t>
      </w:r>
      <w:r w:rsidR="00082186">
        <w:rPr>
          <w:b/>
          <w:bCs/>
          <w:lang w:val="fr-FR"/>
        </w:rPr>
        <w:t> </w:t>
      </w:r>
      <w:r w:rsidRPr="00DC6942">
        <w:rPr>
          <w:b/>
          <w:bCs/>
          <w:lang w:val="fr-FR"/>
        </w:rPr>
        <w:t>septembre 2023].</w:t>
      </w:r>
    </w:p>
    <w:p w:rsidR="000D4560" w:rsidRPr="00DC6942" w:rsidRDefault="000D4560" w:rsidP="000D4560">
      <w:pPr>
        <w:suppressAutoHyphens w:val="0"/>
        <w:spacing w:after="120"/>
        <w:ind w:left="2268" w:right="1134" w:hanging="1134"/>
        <w:jc w:val="both"/>
        <w:rPr>
          <w:rFonts w:eastAsia="Yu Mincho"/>
          <w:b/>
          <w:bCs/>
          <w:snapToGrid w:val="0"/>
          <w:lang w:val="fr-FR"/>
        </w:rPr>
      </w:pPr>
      <w:r w:rsidRPr="00DC6942">
        <w:rPr>
          <w:b/>
          <w:bCs/>
          <w:lang w:val="fr-FR"/>
        </w:rPr>
        <w:t>22.22</w:t>
      </w:r>
      <w:r w:rsidRPr="00DC6942">
        <w:rPr>
          <w:b/>
          <w:bCs/>
          <w:lang w:val="fr-FR"/>
        </w:rPr>
        <w:tab/>
        <w:t>À compter du [1</w:t>
      </w:r>
      <w:r w:rsidRPr="00DC6942">
        <w:rPr>
          <w:b/>
          <w:bCs/>
          <w:vertAlign w:val="superscript"/>
          <w:lang w:val="fr-FR"/>
        </w:rPr>
        <w:t>er</w:t>
      </w:r>
      <w:r w:rsidR="00082186">
        <w:rPr>
          <w:b/>
          <w:bCs/>
          <w:lang w:val="fr-FR"/>
        </w:rPr>
        <w:t> </w:t>
      </w:r>
      <w:r w:rsidRPr="00DC6942">
        <w:rPr>
          <w:b/>
          <w:bCs/>
          <w:lang w:val="fr-FR"/>
        </w:rPr>
        <w:t>septembre 2025], les Parties contractantes appliquant le présent Règlement ne seront plus tenues d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accepter les homologations de type délivrées au titre des précédentes séries d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amendements audit Règlement.</w:t>
      </w:r>
    </w:p>
    <w:p w:rsidR="000D4560" w:rsidRPr="00DC6942" w:rsidRDefault="000D4560" w:rsidP="000D4560">
      <w:pPr>
        <w:suppressAutoHyphens w:val="0"/>
        <w:spacing w:after="120"/>
        <w:ind w:left="2268" w:right="1134" w:hanging="1134"/>
        <w:jc w:val="both"/>
        <w:rPr>
          <w:i/>
          <w:lang w:val="fr-FR"/>
        </w:rPr>
      </w:pPr>
      <w:r w:rsidRPr="00DC6942">
        <w:rPr>
          <w:b/>
          <w:bCs/>
          <w:lang w:val="fr-FR"/>
        </w:rPr>
        <w:t>22.23</w:t>
      </w:r>
      <w:r w:rsidRPr="00DC6942">
        <w:rPr>
          <w:b/>
          <w:bCs/>
          <w:lang w:val="fr-FR"/>
        </w:rPr>
        <w:tab/>
        <w:t>Nonobstant les dispositions du paragraphe</w:t>
      </w:r>
      <w:r w:rsidR="00082186">
        <w:rPr>
          <w:b/>
          <w:bCs/>
          <w:lang w:val="fr-FR"/>
        </w:rPr>
        <w:t> </w:t>
      </w:r>
      <w:r w:rsidRPr="00DC6942">
        <w:rPr>
          <w:b/>
          <w:bCs/>
          <w:lang w:val="fr-FR"/>
        </w:rPr>
        <w:t>22.22 ci-dessus, les Parties contractantes appliquant le présent Règlement continueront de reconnaître les homologations de type délivrées au titre des précédentes séries d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amendements audit Règlement</w:t>
      </w:r>
      <w:r w:rsidR="00365AD0">
        <w:rPr>
          <w:b/>
          <w:bCs/>
          <w:lang w:val="fr-FR"/>
        </w:rPr>
        <w:t xml:space="preserve"> </w:t>
      </w:r>
      <w:r w:rsidRPr="00DC6942">
        <w:rPr>
          <w:b/>
          <w:bCs/>
          <w:lang w:val="fr-FR"/>
        </w:rPr>
        <w:t>pour les véhicules, les systèmes pour véhicules ou les éléments du véhicule non concernés par les modifications apportées par la série</w:t>
      </w:r>
      <w:r w:rsidR="00365AD0">
        <w:rPr>
          <w:b/>
          <w:bCs/>
          <w:lang w:val="fr-FR"/>
        </w:rPr>
        <w:t> </w:t>
      </w:r>
      <w:r>
        <w:rPr>
          <w:b/>
          <w:bCs/>
          <w:lang w:val="fr-FR"/>
        </w:rPr>
        <w:t>0</w:t>
      </w:r>
      <w:r w:rsidRPr="00DC6942">
        <w:rPr>
          <w:b/>
          <w:bCs/>
          <w:lang w:val="fr-FR"/>
        </w:rPr>
        <w:t>4 d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amendements.</w:t>
      </w:r>
      <w:r>
        <w:rPr>
          <w:b/>
          <w:bCs/>
          <w:lang w:val="fr-FR"/>
        </w:rPr>
        <w:t> </w:t>
      </w:r>
      <w:r w:rsidRPr="00365AD0">
        <w:rPr>
          <w:lang w:val="fr-FR"/>
        </w:rPr>
        <w:t>».</w:t>
      </w:r>
    </w:p>
    <w:p w:rsidR="000D4560" w:rsidRPr="00DC6942" w:rsidRDefault="000D4560" w:rsidP="000D4560">
      <w:pPr>
        <w:keepNext/>
        <w:keepLines/>
        <w:ind w:left="1134"/>
        <w:rPr>
          <w:i/>
          <w:lang w:val="fr-FR"/>
        </w:rPr>
      </w:pPr>
      <w:r w:rsidRPr="00DC6942">
        <w:rPr>
          <w:i/>
          <w:iCs/>
          <w:lang w:val="fr-FR"/>
        </w:rPr>
        <w:lastRenderedPageBreak/>
        <w:t>Annexe 17</w:t>
      </w:r>
      <w:r w:rsidRPr="00DC6942">
        <w:rPr>
          <w:lang w:val="fr-FR"/>
        </w:rPr>
        <w:t>, lire</w:t>
      </w:r>
      <w:r w:rsidR="00CE5882">
        <w:rPr>
          <w:lang w:val="fr-FR"/>
        </w:rPr>
        <w:t> :</w:t>
      </w:r>
    </w:p>
    <w:p w:rsidR="000D4560" w:rsidRPr="00DC6942" w:rsidRDefault="000D4560" w:rsidP="00AF5518">
      <w:pPr>
        <w:pStyle w:val="HChG"/>
        <w:rPr>
          <w:lang w:val="fr-FR"/>
        </w:rPr>
      </w:pPr>
      <w:r w:rsidRPr="00AF5518">
        <w:rPr>
          <w:b w:val="0"/>
          <w:bCs/>
          <w:sz w:val="20"/>
          <w:lang w:val="fr-FR"/>
        </w:rPr>
        <w:t>« </w:t>
      </w:r>
      <w:r w:rsidRPr="00DC6942">
        <w:rPr>
          <w:lang w:val="fr-FR"/>
        </w:rPr>
        <w:t>Annexe 17</w:t>
      </w:r>
    </w:p>
    <w:p w:rsidR="000D4560" w:rsidRPr="00DC6942" w:rsidRDefault="00AF5518" w:rsidP="00AF551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0D4560" w:rsidRPr="00DC6942">
        <w:rPr>
          <w:lang w:val="fr-FR"/>
        </w:rPr>
        <w:t>Prescriptions relatives aux marques GPL pour les véhicules des catégories M</w:t>
      </w:r>
      <w:r w:rsidR="000D4560" w:rsidRPr="00DC6942">
        <w:rPr>
          <w:vertAlign w:val="subscript"/>
          <w:lang w:val="fr-FR"/>
        </w:rPr>
        <w:t>2</w:t>
      </w:r>
      <w:r w:rsidR="000D4560" w:rsidRPr="00DC6942">
        <w:rPr>
          <w:lang w:val="fr-FR"/>
        </w:rPr>
        <w:t>/N</w:t>
      </w:r>
      <w:r w:rsidR="000D4560" w:rsidRPr="00DC6942">
        <w:rPr>
          <w:vertAlign w:val="subscript"/>
          <w:lang w:val="fr-FR"/>
        </w:rPr>
        <w:t>2</w:t>
      </w:r>
      <w:r w:rsidR="000D4560" w:rsidRPr="00DC6942">
        <w:rPr>
          <w:lang w:val="fr-FR"/>
        </w:rPr>
        <w:t xml:space="preserve"> et M</w:t>
      </w:r>
      <w:r w:rsidR="000D4560" w:rsidRPr="00DC6942">
        <w:rPr>
          <w:vertAlign w:val="subscript"/>
          <w:lang w:val="fr-FR"/>
        </w:rPr>
        <w:t>3</w:t>
      </w:r>
      <w:r w:rsidR="000D4560" w:rsidRPr="00DC6942">
        <w:rPr>
          <w:lang w:val="fr-FR"/>
        </w:rPr>
        <w:t>/N</w:t>
      </w:r>
      <w:r w:rsidR="000D4560" w:rsidRPr="00DC6942">
        <w:rPr>
          <w:vertAlign w:val="subscript"/>
          <w:lang w:val="fr-FR"/>
        </w:rPr>
        <w:t>3</w:t>
      </w:r>
      <w:r w:rsidR="000D4560" w:rsidRPr="00DC6942">
        <w:rPr>
          <w:lang w:val="fr-FR"/>
        </w:rPr>
        <w:t xml:space="preserve"> </w:t>
      </w:r>
    </w:p>
    <w:p w:rsidR="000D4560" w:rsidRPr="00DC6942" w:rsidRDefault="000D4560" w:rsidP="000D4560">
      <w:pPr>
        <w:spacing w:after="120"/>
        <w:ind w:left="2268" w:right="1134" w:hanging="1134"/>
        <w:jc w:val="both"/>
        <w:rPr>
          <w:b/>
          <w:lang w:val="fr-FR"/>
        </w:rPr>
      </w:pPr>
      <w:r w:rsidRPr="00DC6942">
        <w:rPr>
          <w:b/>
          <w:bCs/>
          <w:lang w:val="fr-FR"/>
        </w:rPr>
        <w:t>(</w:t>
      </w:r>
      <w:r>
        <w:rPr>
          <w:b/>
          <w:bCs/>
          <w:lang w:val="fr-FR"/>
        </w:rPr>
        <w:t>Par</w:t>
      </w:r>
      <w:r w:rsidR="00AF5518">
        <w:rPr>
          <w:b/>
          <w:bCs/>
          <w:lang w:val="fr-FR"/>
        </w:rPr>
        <w:t>. </w:t>
      </w:r>
      <w:r w:rsidRPr="00DC6942">
        <w:rPr>
          <w:b/>
          <w:bCs/>
          <w:lang w:val="fr-FR"/>
        </w:rPr>
        <w:t>17.1.8 du présent Règlement)</w:t>
      </w:r>
    </w:p>
    <w:p w:rsidR="000D4560" w:rsidRPr="00DC6942" w:rsidRDefault="000D4560" w:rsidP="003A052C">
      <w:pPr>
        <w:ind w:left="1134" w:right="1134"/>
        <w:rPr>
          <w:i/>
          <w:lang w:val="fr-FR"/>
        </w:rPr>
      </w:pPr>
      <w:r w:rsidRPr="00DC6942">
        <w:rPr>
          <w:i/>
          <w:noProof/>
          <w:lang w:val="fr-FR" w:eastAsia="nl-NL"/>
        </w:rPr>
        <w:drawing>
          <wp:inline distT="0" distB="0" distL="0" distR="0" wp14:anchorId="7BFA6027" wp14:editId="4F47AD5B">
            <wp:extent cx="4320000" cy="3135600"/>
            <wp:effectExtent l="0" t="0" r="4445" b="8255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1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60" w:rsidRPr="00DC6942" w:rsidRDefault="000D4560" w:rsidP="000D4560">
      <w:pPr>
        <w:spacing w:before="120" w:after="120" w:line="240" w:lineRule="auto"/>
        <w:ind w:left="1134" w:right="1134"/>
        <w:jc w:val="both"/>
        <w:rPr>
          <w:b/>
          <w:lang w:val="fr-FR"/>
        </w:rPr>
      </w:pPr>
      <w:r w:rsidRPr="00DC6942"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étiquette doit résister aux intempéries.</w:t>
      </w:r>
    </w:p>
    <w:p w:rsidR="000D4560" w:rsidRPr="00DC6942" w:rsidRDefault="000D4560" w:rsidP="000D4560">
      <w:pPr>
        <w:spacing w:before="120" w:after="120" w:line="240" w:lineRule="auto"/>
        <w:ind w:left="1134" w:right="1134"/>
        <w:jc w:val="both"/>
        <w:rPr>
          <w:b/>
          <w:lang w:val="fr-FR"/>
        </w:rPr>
      </w:pPr>
      <w:r w:rsidRPr="00DC6942">
        <w:rPr>
          <w:b/>
          <w:bCs/>
          <w:lang w:val="fr-FR"/>
        </w:rPr>
        <w:t>La zone centrale indique la source d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énergie première.</w:t>
      </w:r>
    </w:p>
    <w:p w:rsidR="000D4560" w:rsidRPr="00DC6942" w:rsidRDefault="000D4560" w:rsidP="000D4560">
      <w:pPr>
        <w:tabs>
          <w:tab w:val="left" w:pos="3402"/>
        </w:tabs>
        <w:spacing w:after="120" w:line="240" w:lineRule="auto"/>
        <w:ind w:left="1134" w:right="1134"/>
        <w:jc w:val="both"/>
        <w:rPr>
          <w:b/>
          <w:lang w:val="fr-FR"/>
        </w:rPr>
      </w:pPr>
      <w:r w:rsidRPr="00DC6942">
        <w:rPr>
          <w:b/>
          <w:bCs/>
          <w:lang w:val="fr-FR"/>
        </w:rPr>
        <w:t>La zone supérieure indique la source d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énergie secondaire.</w:t>
      </w:r>
    </w:p>
    <w:p w:rsidR="000D4560" w:rsidRPr="00DC6942" w:rsidRDefault="000D4560" w:rsidP="000D4560">
      <w:pPr>
        <w:tabs>
          <w:tab w:val="left" w:pos="3402"/>
        </w:tabs>
        <w:spacing w:after="120" w:line="240" w:lineRule="auto"/>
        <w:ind w:left="1134" w:right="1134"/>
        <w:jc w:val="both"/>
        <w:rPr>
          <w:b/>
          <w:lang w:val="fr-FR"/>
        </w:rPr>
      </w:pPr>
      <w:r w:rsidRPr="00DC6942">
        <w:rPr>
          <w:b/>
          <w:bCs/>
          <w:lang w:val="fr-FR"/>
        </w:rPr>
        <w:t>La zone de gauche indique le comportement du gaz en raison de sa densité.</w:t>
      </w:r>
    </w:p>
    <w:p w:rsidR="000D4560" w:rsidRPr="00DC6942" w:rsidRDefault="000D4560" w:rsidP="000D4560">
      <w:pPr>
        <w:spacing w:after="120" w:line="240" w:lineRule="auto"/>
        <w:ind w:left="1134" w:right="1134"/>
        <w:jc w:val="both"/>
        <w:rPr>
          <w:b/>
          <w:lang w:val="fr-FR"/>
        </w:rPr>
      </w:pPr>
      <w:r w:rsidRPr="00DC6942">
        <w:rPr>
          <w:b/>
          <w:bCs/>
          <w:lang w:val="fr-FR"/>
        </w:rPr>
        <w:t>La zone de droite indique l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état d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agrégation du carburant gazeux présent dans le réservoir.</w:t>
      </w:r>
      <w:r w:rsidRPr="00DC6942">
        <w:rPr>
          <w:lang w:val="fr-FR"/>
        </w:rPr>
        <w:t xml:space="preserve"> </w:t>
      </w:r>
    </w:p>
    <w:p w:rsidR="000D4560" w:rsidRPr="00DC6942" w:rsidRDefault="000D4560" w:rsidP="000D4560">
      <w:pPr>
        <w:tabs>
          <w:tab w:val="left" w:pos="3402"/>
        </w:tabs>
        <w:spacing w:after="120" w:line="240" w:lineRule="auto"/>
        <w:ind w:left="3402" w:right="1134" w:hanging="2268"/>
        <w:jc w:val="both"/>
        <w:rPr>
          <w:b/>
          <w:lang w:val="fr-FR"/>
        </w:rPr>
      </w:pPr>
      <w:r w:rsidRPr="00DC6942">
        <w:rPr>
          <w:b/>
          <w:bCs/>
          <w:lang w:val="fr-FR"/>
        </w:rPr>
        <w:t>Le schéma et les symboles doivent être conformes à la norme ISO 17840-4</w:t>
      </w:r>
      <w:r w:rsidR="00CE5882">
        <w:rPr>
          <w:b/>
          <w:bCs/>
          <w:lang w:val="fr-FR"/>
        </w:rPr>
        <w:t>:</w:t>
      </w:r>
      <w:r w:rsidRPr="00DC6942">
        <w:rPr>
          <w:b/>
          <w:bCs/>
          <w:lang w:val="fr-FR"/>
        </w:rPr>
        <w:t>2018.</w:t>
      </w:r>
    </w:p>
    <w:p w:rsidR="000D4560" w:rsidRPr="00DC6942" w:rsidRDefault="000D4560" w:rsidP="003A052C">
      <w:pPr>
        <w:keepNext/>
        <w:tabs>
          <w:tab w:val="left" w:pos="3402"/>
        </w:tabs>
        <w:spacing w:after="120" w:line="240" w:lineRule="auto"/>
        <w:ind w:left="1134" w:right="1134"/>
        <w:jc w:val="both"/>
        <w:rPr>
          <w:b/>
          <w:lang w:val="fr-FR"/>
        </w:rPr>
      </w:pPr>
      <w:r w:rsidRPr="00DC6942">
        <w:rPr>
          <w:b/>
          <w:bCs/>
          <w:lang w:val="fr-FR"/>
        </w:rPr>
        <w:t>Les couleurs et les dimensions de l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étiquette doivent être conformes aux prescriptions</w:t>
      </w:r>
      <w:r>
        <w:rPr>
          <w:b/>
          <w:bCs/>
          <w:lang w:val="fr-FR"/>
        </w:rPr>
        <w:t xml:space="preserve"> </w:t>
      </w:r>
      <w:r w:rsidRPr="00DC6942">
        <w:rPr>
          <w:b/>
          <w:bCs/>
          <w:lang w:val="fr-FR"/>
        </w:rPr>
        <w:t>suivantes</w:t>
      </w:r>
      <w:r w:rsidR="00CE5882">
        <w:rPr>
          <w:b/>
          <w:bCs/>
          <w:lang w:val="fr-FR"/>
        </w:rPr>
        <w:t> :</w:t>
      </w:r>
    </w:p>
    <w:p w:rsidR="000D4560" w:rsidRPr="00DC6942" w:rsidRDefault="000D4560" w:rsidP="00F10430">
      <w:pPr>
        <w:keepNext/>
        <w:tabs>
          <w:tab w:val="left" w:pos="3402"/>
        </w:tabs>
        <w:spacing w:after="120" w:line="240" w:lineRule="auto"/>
        <w:ind w:left="3402" w:right="1134" w:hanging="2268"/>
        <w:jc w:val="both"/>
        <w:rPr>
          <w:b/>
          <w:bCs/>
          <w:lang w:val="fr-FR"/>
        </w:rPr>
      </w:pPr>
      <w:r w:rsidRPr="00DC6942">
        <w:rPr>
          <w:b/>
          <w:bCs/>
          <w:lang w:val="fr-FR"/>
        </w:rPr>
        <w:t>Couleurs</w:t>
      </w:r>
      <w:r w:rsidR="00CE5882">
        <w:rPr>
          <w:b/>
          <w:bCs/>
          <w:lang w:val="fr-FR"/>
        </w:rPr>
        <w:t> :</w:t>
      </w:r>
    </w:p>
    <w:p w:rsidR="000D4560" w:rsidRPr="00DC6942" w:rsidRDefault="000D4560" w:rsidP="00F10430">
      <w:pPr>
        <w:tabs>
          <w:tab w:val="left" w:pos="3808"/>
        </w:tabs>
        <w:spacing w:after="120" w:line="240" w:lineRule="auto"/>
        <w:ind w:left="1701" w:right="1134"/>
        <w:jc w:val="both"/>
        <w:rPr>
          <w:b/>
          <w:bCs/>
          <w:lang w:val="fr-FR"/>
        </w:rPr>
      </w:pPr>
      <w:r w:rsidRPr="00DC6942">
        <w:rPr>
          <w:b/>
          <w:bCs/>
          <w:lang w:val="fr-FR"/>
        </w:rPr>
        <w:t>Fond</w:t>
      </w:r>
      <w:r w:rsidR="00CE5882">
        <w:rPr>
          <w:b/>
          <w:bCs/>
          <w:lang w:val="fr-FR"/>
        </w:rPr>
        <w:t> :</w:t>
      </w:r>
      <w:r w:rsidRPr="00DC6942">
        <w:rPr>
          <w:b/>
          <w:bCs/>
          <w:lang w:val="fr-FR"/>
        </w:rPr>
        <w:tab/>
        <w:t>vert, code RVB 0, 176, 80</w:t>
      </w:r>
    </w:p>
    <w:p w:rsidR="000D4560" w:rsidRPr="00DC6942" w:rsidRDefault="000D4560" w:rsidP="00F10430">
      <w:pPr>
        <w:tabs>
          <w:tab w:val="left" w:pos="3808"/>
        </w:tabs>
        <w:spacing w:after="120" w:line="240" w:lineRule="auto"/>
        <w:ind w:left="1701" w:right="1134"/>
        <w:jc w:val="both"/>
        <w:rPr>
          <w:b/>
          <w:bCs/>
          <w:lang w:val="fr-FR"/>
        </w:rPr>
      </w:pPr>
      <w:r w:rsidRPr="00DC6942">
        <w:rPr>
          <w:b/>
          <w:bCs/>
          <w:lang w:val="fr-FR"/>
        </w:rPr>
        <w:t>Bordure</w:t>
      </w:r>
      <w:r w:rsidR="00CE5882">
        <w:rPr>
          <w:b/>
          <w:bCs/>
          <w:lang w:val="fr-FR"/>
        </w:rPr>
        <w:t> :</w:t>
      </w:r>
      <w:r w:rsidRPr="00DC6942">
        <w:rPr>
          <w:b/>
          <w:bCs/>
          <w:lang w:val="fr-FR"/>
        </w:rPr>
        <w:tab/>
        <w:t>blanc réfléchissant</w:t>
      </w:r>
    </w:p>
    <w:p w:rsidR="000D4560" w:rsidRPr="00DC6942" w:rsidRDefault="000D4560" w:rsidP="00F10430">
      <w:pPr>
        <w:tabs>
          <w:tab w:val="left" w:pos="3808"/>
        </w:tabs>
        <w:spacing w:after="120" w:line="240" w:lineRule="auto"/>
        <w:ind w:left="1701" w:right="1134"/>
        <w:jc w:val="both"/>
        <w:rPr>
          <w:b/>
          <w:bCs/>
          <w:lang w:val="fr-FR"/>
        </w:rPr>
      </w:pPr>
      <w:r w:rsidRPr="00DC6942">
        <w:rPr>
          <w:b/>
          <w:bCs/>
          <w:lang w:val="fr-FR"/>
        </w:rPr>
        <w:t>Lettres et symboles</w:t>
      </w:r>
      <w:r w:rsidR="00CE5882">
        <w:rPr>
          <w:b/>
          <w:bCs/>
          <w:lang w:val="fr-FR"/>
        </w:rPr>
        <w:t> :</w:t>
      </w:r>
      <w:r w:rsidRPr="00DC6942">
        <w:rPr>
          <w:b/>
          <w:bCs/>
          <w:lang w:val="fr-FR"/>
        </w:rPr>
        <w:tab/>
        <w:t>blanc réfléchissant</w:t>
      </w:r>
    </w:p>
    <w:p w:rsidR="000D4560" w:rsidRPr="00DC6942" w:rsidRDefault="000D4560" w:rsidP="00F10430">
      <w:pPr>
        <w:keepNext/>
        <w:tabs>
          <w:tab w:val="left" w:pos="3402"/>
          <w:tab w:val="left" w:pos="3808"/>
        </w:tabs>
        <w:spacing w:after="120" w:line="240" w:lineRule="auto"/>
        <w:ind w:left="3402" w:right="1134" w:hanging="2268"/>
        <w:jc w:val="both"/>
        <w:rPr>
          <w:b/>
          <w:bCs/>
          <w:lang w:val="fr-FR"/>
        </w:rPr>
      </w:pPr>
      <w:r w:rsidRPr="00DC6942">
        <w:rPr>
          <w:b/>
          <w:bCs/>
          <w:lang w:val="fr-FR"/>
        </w:rPr>
        <w:t>Dimensions</w:t>
      </w:r>
      <w:r w:rsidR="00CE5882">
        <w:rPr>
          <w:b/>
          <w:bCs/>
          <w:lang w:val="fr-FR"/>
        </w:rPr>
        <w:t> :</w:t>
      </w:r>
    </w:p>
    <w:p w:rsidR="000D4560" w:rsidRPr="00DC6942" w:rsidRDefault="000D4560" w:rsidP="00F10430">
      <w:pPr>
        <w:tabs>
          <w:tab w:val="left" w:pos="3808"/>
        </w:tabs>
        <w:spacing w:after="120" w:line="240" w:lineRule="auto"/>
        <w:ind w:left="3969" w:right="1134" w:hanging="2268"/>
        <w:jc w:val="both"/>
        <w:rPr>
          <w:b/>
          <w:bCs/>
          <w:lang w:val="fr-FR"/>
        </w:rPr>
      </w:pPr>
      <w:r w:rsidRPr="00DC6942">
        <w:rPr>
          <w:b/>
          <w:bCs/>
          <w:lang w:val="fr-FR"/>
        </w:rPr>
        <w:t>Largeur de l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étiquette</w:t>
      </w:r>
      <w:r w:rsidR="00CE5882">
        <w:rPr>
          <w:b/>
          <w:bCs/>
          <w:lang w:val="fr-FR"/>
        </w:rPr>
        <w:t> :</w:t>
      </w:r>
      <w:r w:rsidRPr="00DC6942">
        <w:rPr>
          <w:b/>
          <w:bCs/>
          <w:lang w:val="fr-FR"/>
        </w:rPr>
        <w:tab/>
        <w:t>≥110 mm</w:t>
      </w:r>
    </w:p>
    <w:p w:rsidR="000D4560" w:rsidRDefault="000D4560" w:rsidP="00F10430">
      <w:pPr>
        <w:tabs>
          <w:tab w:val="left" w:pos="3808"/>
        </w:tabs>
        <w:spacing w:after="120" w:line="240" w:lineRule="auto"/>
        <w:ind w:left="3969" w:right="1134" w:hanging="2268"/>
        <w:jc w:val="both"/>
        <w:rPr>
          <w:b/>
          <w:bCs/>
          <w:lang w:val="fr-FR"/>
        </w:rPr>
      </w:pPr>
      <w:r w:rsidRPr="00DC6942">
        <w:rPr>
          <w:b/>
          <w:bCs/>
          <w:lang w:val="fr-FR"/>
        </w:rPr>
        <w:t>Hauteur de l</w:t>
      </w:r>
      <w:r>
        <w:rPr>
          <w:b/>
          <w:bCs/>
          <w:lang w:val="fr-FR"/>
        </w:rPr>
        <w:t>’</w:t>
      </w:r>
      <w:r w:rsidRPr="00DC6942">
        <w:rPr>
          <w:b/>
          <w:bCs/>
          <w:lang w:val="fr-FR"/>
        </w:rPr>
        <w:t>étiquette</w:t>
      </w:r>
      <w:r w:rsidR="00CE5882">
        <w:rPr>
          <w:b/>
          <w:bCs/>
          <w:lang w:val="fr-FR"/>
        </w:rPr>
        <w:t> :</w:t>
      </w:r>
      <w:r w:rsidRPr="00DC6942">
        <w:rPr>
          <w:b/>
          <w:bCs/>
          <w:lang w:val="fr-FR"/>
        </w:rPr>
        <w:t xml:space="preserve"> </w:t>
      </w:r>
      <w:r w:rsidRPr="00DC6942">
        <w:rPr>
          <w:b/>
          <w:bCs/>
          <w:lang w:val="fr-FR"/>
        </w:rPr>
        <w:tab/>
        <w:t xml:space="preserve">≥80 </w:t>
      </w:r>
      <w:proofErr w:type="spellStart"/>
      <w:r w:rsidRPr="00DC6942">
        <w:rPr>
          <w:b/>
          <w:bCs/>
          <w:lang w:val="fr-FR"/>
        </w:rPr>
        <w:t>mm</w:t>
      </w:r>
      <w:r w:rsidR="00F10430">
        <w:rPr>
          <w:b/>
          <w:bCs/>
          <w:lang w:val="fr-FR"/>
        </w:rPr>
        <w:t>.</w:t>
      </w:r>
      <w:proofErr w:type="spellEnd"/>
      <w:r w:rsidRPr="00DC6942">
        <w:rPr>
          <w:b/>
          <w:bCs/>
          <w:lang w:val="fr-FR"/>
        </w:rPr>
        <w:t xml:space="preserve"> </w:t>
      </w:r>
      <w:r w:rsidRPr="00F10430">
        <w:rPr>
          <w:lang w:val="fr-FR"/>
        </w:rPr>
        <w:t>»</w:t>
      </w:r>
      <w:r w:rsidRPr="00683E8F">
        <w:rPr>
          <w:lang w:val="fr-FR"/>
        </w:rPr>
        <w:t>.</w:t>
      </w:r>
    </w:p>
    <w:p w:rsidR="000D4560" w:rsidRPr="00DC6942" w:rsidRDefault="000D4560" w:rsidP="000D4560">
      <w:pPr>
        <w:suppressAutoHyphens w:val="0"/>
        <w:spacing w:line="240" w:lineRule="auto"/>
        <w:rPr>
          <w:b/>
          <w:lang w:val="fr-FR"/>
        </w:rPr>
      </w:pPr>
      <w:r w:rsidRPr="00DC6942">
        <w:rPr>
          <w:b/>
          <w:lang w:val="fr-FR"/>
        </w:rPr>
        <w:br w:type="page"/>
      </w:r>
    </w:p>
    <w:p w:rsidR="000D4560" w:rsidRPr="00DC6942" w:rsidRDefault="000D4560" w:rsidP="00BD7C0C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DC6942">
        <w:rPr>
          <w:lang w:val="fr-FR"/>
        </w:rPr>
        <w:t>II.</w:t>
      </w:r>
      <w:r w:rsidRPr="00DC6942">
        <w:rPr>
          <w:lang w:val="fr-FR"/>
        </w:rPr>
        <w:tab/>
        <w:t>Justification</w:t>
      </w:r>
    </w:p>
    <w:p w:rsidR="000D4560" w:rsidRPr="00DC6942" w:rsidRDefault="000D4560" w:rsidP="00BD7C0C">
      <w:pPr>
        <w:pStyle w:val="SingleTxtG"/>
        <w:rPr>
          <w:lang w:val="fr-FR"/>
        </w:rPr>
      </w:pPr>
      <w:r w:rsidRPr="00DC6942">
        <w:rPr>
          <w:lang w:val="fr-FR"/>
        </w:rPr>
        <w:t>1.</w:t>
      </w:r>
      <w:r w:rsidRPr="00DC6942">
        <w:rPr>
          <w:lang w:val="fr-FR"/>
        </w:rPr>
        <w:tab/>
        <w:t>Des dispositions relatives aux carburants gazeux et liquéfiés ont été établies dans les Règlements ONU pour les véhicules fonctionnant au GPL des catégories M</w:t>
      </w:r>
      <w:r w:rsidRPr="00641580">
        <w:rPr>
          <w:vertAlign w:val="subscript"/>
          <w:lang w:val="fr-FR"/>
        </w:rPr>
        <w:t>2</w:t>
      </w:r>
      <w:r w:rsidRPr="00DC6942">
        <w:rPr>
          <w:lang w:val="fr-FR"/>
        </w:rPr>
        <w:t xml:space="preserve"> et M</w:t>
      </w:r>
      <w:r w:rsidRPr="00641580">
        <w:rPr>
          <w:vertAlign w:val="subscript"/>
          <w:lang w:val="fr-FR"/>
        </w:rPr>
        <w:t>3</w:t>
      </w:r>
      <w:r w:rsidRPr="00DC6942">
        <w:rPr>
          <w:lang w:val="fr-FR"/>
        </w:rPr>
        <w:t xml:space="preserve"> seulement (Règlement ONU </w:t>
      </w:r>
      <w:r w:rsidR="00BD7C0C" w:rsidRPr="00BD7C0C">
        <w:rPr>
          <w:rFonts w:eastAsia="MS Mincho"/>
          <w:lang w:val="fr-FR"/>
        </w:rPr>
        <w:t>n</w:t>
      </w:r>
      <w:r w:rsidR="00BD7C0C" w:rsidRPr="00BD7C0C">
        <w:rPr>
          <w:rFonts w:eastAsia="MS Mincho"/>
          <w:vertAlign w:val="superscript"/>
          <w:lang w:val="fr-FR"/>
        </w:rPr>
        <w:t>o</w:t>
      </w:r>
      <w:r w:rsidR="00BD7C0C">
        <w:rPr>
          <w:lang w:val="fr-FR"/>
        </w:rPr>
        <w:t> </w:t>
      </w:r>
      <w:r w:rsidRPr="00DC6942">
        <w:rPr>
          <w:lang w:val="fr-FR"/>
        </w:rPr>
        <w:t>67, par.</w:t>
      </w:r>
      <w:r w:rsidR="00BD7C0C">
        <w:rPr>
          <w:lang w:val="fr-FR"/>
        </w:rPr>
        <w:t> </w:t>
      </w:r>
      <w:r w:rsidRPr="00DC6942">
        <w:rPr>
          <w:lang w:val="fr-FR"/>
        </w:rPr>
        <w:t>17.1.8, y compris l</w:t>
      </w:r>
      <w:r>
        <w:rPr>
          <w:lang w:val="fr-FR"/>
        </w:rPr>
        <w:t>’</w:t>
      </w:r>
      <w:r w:rsidRPr="00DC6942">
        <w:rPr>
          <w:lang w:val="fr-FR"/>
        </w:rPr>
        <w:t>annexe</w:t>
      </w:r>
      <w:r w:rsidR="00671527">
        <w:rPr>
          <w:lang w:val="fr-FR"/>
        </w:rPr>
        <w:t> </w:t>
      </w:r>
      <w:r>
        <w:rPr>
          <w:lang w:val="fr-FR"/>
        </w:rPr>
        <w:t>17</w:t>
      </w:r>
      <w:r w:rsidRPr="00DC6942">
        <w:rPr>
          <w:lang w:val="fr-FR"/>
        </w:rPr>
        <w:t xml:space="preserve"> pour les détails), pour les véhicules fonctionnant au GNC/GNL des catégories M</w:t>
      </w:r>
      <w:r w:rsidRPr="00641580">
        <w:rPr>
          <w:vertAlign w:val="subscript"/>
          <w:lang w:val="fr-FR"/>
        </w:rPr>
        <w:t>2</w:t>
      </w:r>
      <w:r w:rsidRPr="00DC6942">
        <w:rPr>
          <w:lang w:val="fr-FR"/>
        </w:rPr>
        <w:t xml:space="preserve"> et M</w:t>
      </w:r>
      <w:r w:rsidRPr="00641580">
        <w:rPr>
          <w:vertAlign w:val="subscript"/>
          <w:lang w:val="fr-FR"/>
        </w:rPr>
        <w:t>3</w:t>
      </w:r>
      <w:r w:rsidRPr="00DC6942">
        <w:rPr>
          <w:lang w:val="fr-FR"/>
        </w:rPr>
        <w:t xml:space="preserve"> seulement (Règlement ONU </w:t>
      </w:r>
      <w:r w:rsidR="00BD7C0C" w:rsidRPr="00BD7C0C">
        <w:rPr>
          <w:rFonts w:eastAsia="MS Mincho"/>
          <w:lang w:val="fr-FR"/>
        </w:rPr>
        <w:t>n</w:t>
      </w:r>
      <w:r w:rsidR="00BD7C0C" w:rsidRPr="00BD7C0C">
        <w:rPr>
          <w:rFonts w:eastAsia="MS Mincho"/>
          <w:vertAlign w:val="superscript"/>
          <w:lang w:val="fr-FR"/>
        </w:rPr>
        <w:t>o</w:t>
      </w:r>
      <w:r w:rsidR="00BD7C0C">
        <w:rPr>
          <w:lang w:val="fr-FR"/>
        </w:rPr>
        <w:t> </w:t>
      </w:r>
      <w:r w:rsidRPr="00DC6942">
        <w:rPr>
          <w:lang w:val="fr-FR"/>
        </w:rPr>
        <w:t>110, par.</w:t>
      </w:r>
      <w:r w:rsidR="00671527">
        <w:rPr>
          <w:lang w:val="fr-FR"/>
        </w:rPr>
        <w:t> </w:t>
      </w:r>
      <w:r w:rsidRPr="00DC6942">
        <w:rPr>
          <w:lang w:val="fr-FR"/>
        </w:rPr>
        <w:t xml:space="preserve">18.1.8, y compris les annexes 6 et 7 pour les détails) et pour les véhicules à hydrogène (Règlement ONU </w:t>
      </w:r>
      <w:r w:rsidR="00BD7C0C" w:rsidRPr="00BD7C0C">
        <w:rPr>
          <w:rFonts w:eastAsia="MS Mincho"/>
          <w:lang w:val="fr-FR"/>
        </w:rPr>
        <w:t>n</w:t>
      </w:r>
      <w:r w:rsidR="00BD7C0C" w:rsidRPr="00BD7C0C">
        <w:rPr>
          <w:rFonts w:eastAsia="MS Mincho"/>
          <w:vertAlign w:val="superscript"/>
          <w:lang w:val="fr-FR"/>
        </w:rPr>
        <w:t>o</w:t>
      </w:r>
      <w:r w:rsidR="00BD7C0C">
        <w:rPr>
          <w:lang w:val="fr-FR"/>
        </w:rPr>
        <w:t> </w:t>
      </w:r>
      <w:r w:rsidRPr="00DC6942">
        <w:rPr>
          <w:lang w:val="fr-FR"/>
        </w:rPr>
        <w:t>134, par.</w:t>
      </w:r>
      <w:r w:rsidR="00671527">
        <w:rPr>
          <w:lang w:val="fr-FR"/>
        </w:rPr>
        <w:t> </w:t>
      </w:r>
      <w:r w:rsidRPr="00DC6942">
        <w:rPr>
          <w:lang w:val="fr-FR"/>
        </w:rPr>
        <w:t>7.1.7, y compris l</w:t>
      </w:r>
      <w:r>
        <w:rPr>
          <w:lang w:val="fr-FR"/>
        </w:rPr>
        <w:t>’</w:t>
      </w:r>
      <w:r w:rsidRPr="00DC6942">
        <w:rPr>
          <w:lang w:val="fr-FR"/>
        </w:rPr>
        <w:t>annexe</w:t>
      </w:r>
      <w:r w:rsidR="00671527">
        <w:rPr>
          <w:lang w:val="fr-FR"/>
        </w:rPr>
        <w:t> </w:t>
      </w:r>
      <w:r w:rsidRPr="00DC6942">
        <w:rPr>
          <w:lang w:val="fr-FR"/>
        </w:rPr>
        <w:t>6 pour les détails).</w:t>
      </w:r>
    </w:p>
    <w:p w:rsidR="000D4560" w:rsidRPr="00DC6942" w:rsidRDefault="000D4560" w:rsidP="00BD7C0C">
      <w:pPr>
        <w:pStyle w:val="SingleTxtG"/>
        <w:rPr>
          <w:lang w:val="fr-FR"/>
        </w:rPr>
      </w:pPr>
      <w:r w:rsidRPr="00DC6942">
        <w:rPr>
          <w:lang w:val="fr-FR"/>
        </w:rPr>
        <w:t>2.</w:t>
      </w:r>
      <w:r w:rsidRPr="00DC6942">
        <w:rPr>
          <w:lang w:val="fr-FR"/>
        </w:rPr>
        <w:tab/>
        <w:t>L</w:t>
      </w:r>
      <w:r>
        <w:rPr>
          <w:lang w:val="fr-FR"/>
        </w:rPr>
        <w:t>’</w:t>
      </w:r>
      <w:r w:rsidRPr="00DC6942">
        <w:rPr>
          <w:lang w:val="fr-FR"/>
        </w:rPr>
        <w:t>étiquetage proposé ci-dessus a pour but d</w:t>
      </w:r>
      <w:r>
        <w:rPr>
          <w:lang w:val="fr-FR"/>
        </w:rPr>
        <w:t>’</w:t>
      </w:r>
      <w:r w:rsidRPr="00DC6942">
        <w:rPr>
          <w:lang w:val="fr-FR"/>
        </w:rPr>
        <w:t>aider les services d</w:t>
      </w:r>
      <w:r>
        <w:rPr>
          <w:lang w:val="fr-FR"/>
        </w:rPr>
        <w:t>’</w:t>
      </w:r>
      <w:r w:rsidRPr="00DC6942">
        <w:rPr>
          <w:lang w:val="fr-FR"/>
        </w:rPr>
        <w:t>urgence à déterminer le mode d</w:t>
      </w:r>
      <w:r>
        <w:rPr>
          <w:lang w:val="fr-FR"/>
        </w:rPr>
        <w:t>’</w:t>
      </w:r>
      <w:r w:rsidRPr="00DC6942">
        <w:rPr>
          <w:lang w:val="fr-FR"/>
        </w:rPr>
        <w:t>intervention à adopter vis-à-vis des véhicules en cas d</w:t>
      </w:r>
      <w:r>
        <w:rPr>
          <w:lang w:val="fr-FR"/>
        </w:rPr>
        <w:t>’</w:t>
      </w:r>
      <w:r w:rsidRPr="00DC6942">
        <w:rPr>
          <w:lang w:val="fr-FR"/>
        </w:rPr>
        <w:t>incendie. (Face à un feu, on peut décider de refroidir les réservoirs ou les bouteilles pour éviter l</w:t>
      </w:r>
      <w:r>
        <w:rPr>
          <w:lang w:val="fr-FR"/>
        </w:rPr>
        <w:t>’</w:t>
      </w:r>
      <w:r w:rsidRPr="00DC6942">
        <w:rPr>
          <w:lang w:val="fr-FR"/>
        </w:rPr>
        <w:t>activation des dispositifs de décompression actionnés par la chaleur (TPRD) ou, si l</w:t>
      </w:r>
      <w:r>
        <w:rPr>
          <w:lang w:val="fr-FR"/>
        </w:rPr>
        <w:t>’</w:t>
      </w:r>
      <w:r w:rsidRPr="00DC6942">
        <w:rPr>
          <w:lang w:val="fr-FR"/>
        </w:rPr>
        <w:t>incendie a progressé au-delà de ce stade, de prendre des mesures pour atténuer les effets d</w:t>
      </w:r>
      <w:r>
        <w:rPr>
          <w:lang w:val="fr-FR"/>
        </w:rPr>
        <w:t>’</w:t>
      </w:r>
      <w:r w:rsidRPr="00DC6942">
        <w:rPr>
          <w:lang w:val="fr-FR"/>
        </w:rPr>
        <w:t>un feu torche ou d</w:t>
      </w:r>
      <w:r>
        <w:rPr>
          <w:lang w:val="fr-FR"/>
        </w:rPr>
        <w:t>’</w:t>
      </w:r>
      <w:r w:rsidRPr="00DC6942">
        <w:rPr>
          <w:lang w:val="fr-FR"/>
        </w:rPr>
        <w:t>une explosion. Les gaz comprimés et liquéfiés se comportent de manière différente dans les incendies.)</w:t>
      </w:r>
    </w:p>
    <w:p w:rsidR="000D4560" w:rsidRPr="00DC6942" w:rsidRDefault="000D4560" w:rsidP="00BD7C0C">
      <w:pPr>
        <w:pStyle w:val="SingleTxtG"/>
        <w:rPr>
          <w:lang w:val="fr-FR"/>
        </w:rPr>
      </w:pPr>
      <w:r w:rsidRPr="00DC6942">
        <w:rPr>
          <w:lang w:val="fr-FR"/>
        </w:rPr>
        <w:t>3.</w:t>
      </w:r>
      <w:r w:rsidRPr="00DC6942">
        <w:rPr>
          <w:lang w:val="fr-FR"/>
        </w:rPr>
        <w:tab/>
        <w:t>Il est nécessaire d</w:t>
      </w:r>
      <w:r>
        <w:rPr>
          <w:lang w:val="fr-FR"/>
        </w:rPr>
        <w:t>’</w:t>
      </w:r>
      <w:r w:rsidRPr="00DC6942">
        <w:rPr>
          <w:lang w:val="fr-FR"/>
        </w:rPr>
        <w:t>étendre le champ d</w:t>
      </w:r>
      <w:r>
        <w:rPr>
          <w:lang w:val="fr-FR"/>
        </w:rPr>
        <w:t>’</w:t>
      </w:r>
      <w:r w:rsidRPr="00DC6942">
        <w:rPr>
          <w:lang w:val="fr-FR"/>
        </w:rPr>
        <w:t>application du Règlement aux véhicules des catégories N</w:t>
      </w:r>
      <w:r w:rsidRPr="00641580">
        <w:rPr>
          <w:vertAlign w:val="subscript"/>
          <w:lang w:val="fr-FR"/>
        </w:rPr>
        <w:t>2</w:t>
      </w:r>
      <w:r>
        <w:rPr>
          <w:lang w:val="fr-FR"/>
        </w:rPr>
        <w:t xml:space="preserve"> et </w:t>
      </w:r>
      <w:r w:rsidRPr="00DC6942">
        <w:rPr>
          <w:lang w:val="fr-FR"/>
        </w:rPr>
        <w:t>N</w:t>
      </w:r>
      <w:r w:rsidRPr="00641580">
        <w:rPr>
          <w:vertAlign w:val="subscript"/>
          <w:lang w:val="fr-FR"/>
        </w:rPr>
        <w:t>3</w:t>
      </w:r>
      <w:r w:rsidRPr="00DC6942">
        <w:rPr>
          <w:lang w:val="fr-FR"/>
        </w:rPr>
        <w:t xml:space="preserve"> en raison de la grande diversité des véhicules visés à l</w:t>
      </w:r>
      <w:r>
        <w:rPr>
          <w:lang w:val="fr-FR"/>
        </w:rPr>
        <w:t>’</w:t>
      </w:r>
      <w:r w:rsidRPr="00DC6942">
        <w:rPr>
          <w:lang w:val="fr-FR"/>
        </w:rPr>
        <w:t>heure actuelle, alors que par le passé ils étaient généralement alimentés au gazole.</w:t>
      </w:r>
    </w:p>
    <w:p w:rsidR="000D4560" w:rsidRPr="00DC6942" w:rsidRDefault="000D4560" w:rsidP="00BD7C0C">
      <w:pPr>
        <w:pStyle w:val="SingleTxtG"/>
        <w:rPr>
          <w:lang w:val="fr-FR"/>
        </w:rPr>
      </w:pPr>
      <w:r w:rsidRPr="00DC6942">
        <w:rPr>
          <w:lang w:val="fr-FR"/>
        </w:rPr>
        <w:t>4.</w:t>
      </w:r>
      <w:r w:rsidRPr="00DC6942">
        <w:rPr>
          <w:lang w:val="fr-FR"/>
        </w:rPr>
        <w:tab/>
        <w:t xml:space="preserve">En ce qui concerne </w:t>
      </w:r>
      <w:r>
        <w:rPr>
          <w:lang w:val="fr-FR"/>
        </w:rPr>
        <w:t>la disposition</w:t>
      </w:r>
      <w:r w:rsidRPr="00DC6942">
        <w:rPr>
          <w:lang w:val="fr-FR"/>
        </w:rPr>
        <w:t xml:space="preserve"> des étiquettes, la présente proposition vise la cohérence avec le Règlement ONU </w:t>
      </w:r>
      <w:r w:rsidR="00BD7C0C" w:rsidRPr="00BD7C0C">
        <w:rPr>
          <w:rFonts w:eastAsia="MS Mincho"/>
          <w:lang w:val="fr-FR"/>
        </w:rPr>
        <w:t>n</w:t>
      </w:r>
      <w:r w:rsidR="00BD7C0C" w:rsidRPr="00BD7C0C">
        <w:rPr>
          <w:rFonts w:eastAsia="MS Mincho"/>
          <w:vertAlign w:val="superscript"/>
          <w:lang w:val="fr-FR"/>
        </w:rPr>
        <w:t>o</w:t>
      </w:r>
      <w:r w:rsidR="00BD7C0C">
        <w:rPr>
          <w:lang w:val="fr-FR"/>
        </w:rPr>
        <w:t> </w:t>
      </w:r>
      <w:r w:rsidRPr="00DC6942">
        <w:rPr>
          <w:lang w:val="fr-FR"/>
        </w:rPr>
        <w:t>134.</w:t>
      </w:r>
    </w:p>
    <w:p w:rsidR="000D4560" w:rsidRPr="00DC6942" w:rsidRDefault="000D4560" w:rsidP="00BD7C0C">
      <w:pPr>
        <w:pStyle w:val="SingleTxtG"/>
        <w:rPr>
          <w:lang w:val="fr-FR"/>
        </w:rPr>
      </w:pPr>
      <w:r w:rsidRPr="00DC6942">
        <w:rPr>
          <w:lang w:val="fr-FR"/>
        </w:rPr>
        <w:t>5.</w:t>
      </w:r>
      <w:r w:rsidRPr="00DC6942">
        <w:rPr>
          <w:lang w:val="fr-FR"/>
        </w:rPr>
        <w:tab/>
        <w:t xml:space="preserve">Le CTIF </w:t>
      </w:r>
      <w:r w:rsidRPr="00641580">
        <w:rPr>
          <w:lang w:val="fr-FR"/>
        </w:rPr>
        <w:t>(Comité technique international de prévention et d</w:t>
      </w:r>
      <w:r>
        <w:rPr>
          <w:lang w:val="fr-FR"/>
        </w:rPr>
        <w:t>’</w:t>
      </w:r>
      <w:r w:rsidRPr="00641580">
        <w:rPr>
          <w:lang w:val="fr-FR"/>
        </w:rPr>
        <w:t>extinction du feu)</w:t>
      </w:r>
      <w:r>
        <w:rPr>
          <w:lang w:val="fr-FR"/>
        </w:rPr>
        <w:t xml:space="preserve"> </w:t>
      </w:r>
      <w:r w:rsidRPr="00DC6942">
        <w:rPr>
          <w:lang w:val="fr-FR"/>
        </w:rPr>
        <w:t>recommande l</w:t>
      </w:r>
      <w:r>
        <w:rPr>
          <w:lang w:val="fr-FR"/>
        </w:rPr>
        <w:t>’</w:t>
      </w:r>
      <w:r w:rsidRPr="00DC6942">
        <w:rPr>
          <w:lang w:val="fr-FR"/>
        </w:rPr>
        <w:t>utilisation de symboles conformes à la norme internationale ISO</w:t>
      </w:r>
      <w:r w:rsidR="00136E4A">
        <w:rPr>
          <w:lang w:val="fr-FR"/>
        </w:rPr>
        <w:t> </w:t>
      </w:r>
      <w:r w:rsidRPr="00DC6942">
        <w:rPr>
          <w:lang w:val="fr-FR"/>
        </w:rPr>
        <w:t>17840-4, Identification de l</w:t>
      </w:r>
      <w:r>
        <w:rPr>
          <w:lang w:val="fr-FR"/>
        </w:rPr>
        <w:t>’</w:t>
      </w:r>
      <w:r w:rsidRPr="00DC6942">
        <w:rPr>
          <w:lang w:val="fr-FR"/>
        </w:rPr>
        <w:t>énergie de propulsion.</w:t>
      </w:r>
    </w:p>
    <w:p w:rsidR="000D4560" w:rsidRPr="00DC6942" w:rsidRDefault="000D4560" w:rsidP="000D4560">
      <w:pPr>
        <w:pStyle w:val="SingleTxtG"/>
        <w:rPr>
          <w:lang w:val="fr-FR"/>
        </w:rPr>
      </w:pPr>
      <w:r w:rsidRPr="00DC6942">
        <w:rPr>
          <w:lang w:val="fr-FR"/>
        </w:rPr>
        <w:t>6.</w:t>
      </w:r>
      <w:r w:rsidRPr="00DC6942">
        <w:rPr>
          <w:lang w:val="fr-FR"/>
        </w:rPr>
        <w:tab/>
        <w:t>La présente proposition vise à harmoniser l</w:t>
      </w:r>
      <w:r>
        <w:rPr>
          <w:lang w:val="fr-FR"/>
        </w:rPr>
        <w:t>’</w:t>
      </w:r>
      <w:r w:rsidRPr="00DC6942">
        <w:rPr>
          <w:lang w:val="fr-FR"/>
        </w:rPr>
        <w:t>aspect de l</w:t>
      </w:r>
      <w:r>
        <w:rPr>
          <w:lang w:val="fr-FR"/>
        </w:rPr>
        <w:t>’</w:t>
      </w:r>
      <w:r w:rsidRPr="00DC6942">
        <w:rPr>
          <w:lang w:val="fr-FR"/>
        </w:rPr>
        <w:t>étiquette avec la norme ISO susmentionnée.</w:t>
      </w:r>
    </w:p>
    <w:p w:rsidR="000D4560" w:rsidRPr="00DC6942" w:rsidRDefault="000D4560" w:rsidP="000D4560">
      <w:pPr>
        <w:pStyle w:val="SingleTxtG"/>
        <w:rPr>
          <w:rFonts w:asciiTheme="majorBidi" w:hAnsiTheme="majorBidi" w:cstheme="majorBidi"/>
          <w:lang w:val="fr-FR"/>
        </w:rPr>
      </w:pPr>
      <w:r w:rsidRPr="00DC6942">
        <w:rPr>
          <w:lang w:val="fr-FR"/>
        </w:rPr>
        <w:t>7.</w:t>
      </w:r>
      <w:r w:rsidRPr="00DC6942">
        <w:rPr>
          <w:lang w:val="fr-FR"/>
        </w:rPr>
        <w:tab/>
      </w:r>
      <w:r>
        <w:rPr>
          <w:lang w:val="fr-FR"/>
        </w:rPr>
        <w:t>La disposition</w:t>
      </w:r>
      <w:r w:rsidRPr="00DC6942">
        <w:rPr>
          <w:lang w:val="fr-FR"/>
        </w:rPr>
        <w:t xml:space="preserve"> des étiquettes est conforme aux recommandations du CTIF.</w:t>
      </w:r>
    </w:p>
    <w:p w:rsidR="00F9573C" w:rsidRPr="000D4560" w:rsidRDefault="000D4560" w:rsidP="000D456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0D4560" w:rsidSect="00D6015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496" w:rsidRDefault="00367496" w:rsidP="00F95C08">
      <w:pPr>
        <w:spacing w:line="240" w:lineRule="auto"/>
      </w:pPr>
    </w:p>
  </w:endnote>
  <w:endnote w:type="continuationSeparator" w:id="0">
    <w:p w:rsidR="00367496" w:rsidRPr="00AC3823" w:rsidRDefault="00367496" w:rsidP="00AC3823">
      <w:pPr>
        <w:pStyle w:val="Pieddepage"/>
      </w:pPr>
    </w:p>
  </w:endnote>
  <w:endnote w:type="continuationNotice" w:id="1">
    <w:p w:rsidR="00367496" w:rsidRDefault="003674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150" w:rsidRPr="00D60150" w:rsidRDefault="00D60150" w:rsidP="00D60150">
    <w:pPr>
      <w:pStyle w:val="Pieddepage"/>
      <w:tabs>
        <w:tab w:val="right" w:pos="9638"/>
      </w:tabs>
    </w:pPr>
    <w:r w:rsidRPr="00D60150">
      <w:rPr>
        <w:b/>
        <w:sz w:val="18"/>
      </w:rPr>
      <w:fldChar w:fldCharType="begin"/>
    </w:r>
    <w:r w:rsidRPr="00D60150">
      <w:rPr>
        <w:b/>
        <w:sz w:val="18"/>
      </w:rPr>
      <w:instrText xml:space="preserve"> PAGE  \* MERGEFORMAT </w:instrText>
    </w:r>
    <w:r w:rsidRPr="00D60150">
      <w:rPr>
        <w:b/>
        <w:sz w:val="18"/>
      </w:rPr>
      <w:fldChar w:fldCharType="separate"/>
    </w:r>
    <w:r w:rsidRPr="00D60150">
      <w:rPr>
        <w:b/>
        <w:noProof/>
        <w:sz w:val="18"/>
      </w:rPr>
      <w:t>2</w:t>
    </w:r>
    <w:r w:rsidRPr="00D60150">
      <w:rPr>
        <w:b/>
        <w:sz w:val="18"/>
      </w:rPr>
      <w:fldChar w:fldCharType="end"/>
    </w:r>
    <w:r>
      <w:rPr>
        <w:b/>
        <w:sz w:val="18"/>
      </w:rPr>
      <w:tab/>
    </w:r>
    <w:r>
      <w:t>GE.21-01180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150" w:rsidRPr="00D60150" w:rsidRDefault="00D60150" w:rsidP="00D60150">
    <w:pPr>
      <w:pStyle w:val="Pieddepage"/>
      <w:tabs>
        <w:tab w:val="right" w:pos="9638"/>
      </w:tabs>
      <w:rPr>
        <w:b/>
        <w:sz w:val="18"/>
      </w:rPr>
    </w:pPr>
    <w:r>
      <w:t>GE.21-01180</w:t>
    </w:r>
    <w:r>
      <w:tab/>
    </w:r>
    <w:r w:rsidRPr="00D60150">
      <w:rPr>
        <w:b/>
        <w:sz w:val="18"/>
      </w:rPr>
      <w:fldChar w:fldCharType="begin"/>
    </w:r>
    <w:r w:rsidRPr="00D60150">
      <w:rPr>
        <w:b/>
        <w:sz w:val="18"/>
      </w:rPr>
      <w:instrText xml:space="preserve"> PAGE  \* MERGEFORMAT </w:instrText>
    </w:r>
    <w:r w:rsidRPr="00D60150">
      <w:rPr>
        <w:b/>
        <w:sz w:val="18"/>
      </w:rPr>
      <w:fldChar w:fldCharType="separate"/>
    </w:r>
    <w:r w:rsidRPr="00D60150">
      <w:rPr>
        <w:b/>
        <w:noProof/>
        <w:sz w:val="18"/>
      </w:rPr>
      <w:t>3</w:t>
    </w:r>
    <w:r w:rsidRPr="00D601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D60150" w:rsidRDefault="00D60150" w:rsidP="00D6015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21-01180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180221    180221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496" w:rsidRPr="00AC3823" w:rsidRDefault="0036749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67496" w:rsidRPr="00AC3823" w:rsidRDefault="0036749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67496" w:rsidRPr="00AC3823" w:rsidRDefault="00367496">
      <w:pPr>
        <w:spacing w:line="240" w:lineRule="auto"/>
        <w:rPr>
          <w:sz w:val="2"/>
          <w:szCs w:val="2"/>
        </w:rPr>
      </w:pPr>
    </w:p>
  </w:footnote>
  <w:footnote w:id="2">
    <w:p w:rsidR="000D4560" w:rsidRPr="00DC6942" w:rsidRDefault="000D4560" w:rsidP="000D4560">
      <w:pPr>
        <w:pStyle w:val="Notedebasdepage"/>
        <w:rPr>
          <w:lang w:val="fr-FR"/>
        </w:rPr>
      </w:pPr>
      <w:r>
        <w:rPr>
          <w:lang w:val="fr-FR"/>
        </w:rPr>
        <w:tab/>
      </w:r>
      <w:r w:rsidRPr="002224CC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</w:t>
      </w:r>
      <w:r w:rsidR="002224CC">
        <w:rPr>
          <w:lang w:val="fr-FR"/>
        </w:rPr>
        <w:t>s</w:t>
      </w:r>
      <w:r>
        <w:rPr>
          <w:lang w:val="fr-FR"/>
        </w:rPr>
        <w:t>ect.</w:t>
      </w:r>
      <w:r w:rsidR="002224CC">
        <w:rPr>
          <w:lang w:val="fr-FR"/>
        </w:rPr>
        <w:t> </w:t>
      </w:r>
      <w:r>
        <w:rPr>
          <w:lang w:val="fr-FR"/>
        </w:rPr>
        <w:t>20), par.</w:t>
      </w:r>
      <w:r w:rsidR="002224CC">
        <w:rPr>
          <w:lang w:val="fr-FR"/>
        </w:rPr>
        <w:t> </w:t>
      </w:r>
      <w:r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150" w:rsidRPr="00D60150" w:rsidRDefault="00D60150">
    <w:pPr>
      <w:pStyle w:val="En-tte"/>
    </w:pPr>
    <w:fldSimple w:instr=" TITLE  \* MERGEFORMAT ">
      <w:r>
        <w:t>ECE/TRANS/WP.29/GRSG/2021/8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150" w:rsidRPr="00D60150" w:rsidRDefault="00D60150" w:rsidP="00D60150">
    <w:pPr>
      <w:pStyle w:val="En-tte"/>
      <w:jc w:val="right"/>
    </w:pPr>
    <w:fldSimple w:instr=" TITLE  \* MERGEFORMAT ">
      <w:r>
        <w:t>ECE/TRANS/WP.29/GRSG/2021/8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96"/>
    <w:rsid w:val="00017F94"/>
    <w:rsid w:val="00023842"/>
    <w:rsid w:val="000334F9"/>
    <w:rsid w:val="00045FEB"/>
    <w:rsid w:val="00066AE3"/>
    <w:rsid w:val="0007796D"/>
    <w:rsid w:val="00082186"/>
    <w:rsid w:val="000B7790"/>
    <w:rsid w:val="000D4560"/>
    <w:rsid w:val="00111F2F"/>
    <w:rsid w:val="00136E4A"/>
    <w:rsid w:val="0014365E"/>
    <w:rsid w:val="00143C66"/>
    <w:rsid w:val="00176178"/>
    <w:rsid w:val="001F525A"/>
    <w:rsid w:val="00201148"/>
    <w:rsid w:val="0021357C"/>
    <w:rsid w:val="002224CC"/>
    <w:rsid w:val="00223272"/>
    <w:rsid w:val="0024779E"/>
    <w:rsid w:val="00257168"/>
    <w:rsid w:val="002744B8"/>
    <w:rsid w:val="002832AC"/>
    <w:rsid w:val="002D7C93"/>
    <w:rsid w:val="00305801"/>
    <w:rsid w:val="00310456"/>
    <w:rsid w:val="0033247C"/>
    <w:rsid w:val="00365AD0"/>
    <w:rsid w:val="00367496"/>
    <w:rsid w:val="003916DE"/>
    <w:rsid w:val="003A052C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71527"/>
    <w:rsid w:val="00672F4D"/>
    <w:rsid w:val="006A4185"/>
    <w:rsid w:val="0071601D"/>
    <w:rsid w:val="007A62E6"/>
    <w:rsid w:val="007F20FA"/>
    <w:rsid w:val="0080684C"/>
    <w:rsid w:val="00855341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71280"/>
    <w:rsid w:val="00AC3823"/>
    <w:rsid w:val="00AE323C"/>
    <w:rsid w:val="00AF0CB5"/>
    <w:rsid w:val="00AF5518"/>
    <w:rsid w:val="00B00181"/>
    <w:rsid w:val="00B00B0D"/>
    <w:rsid w:val="00B45F2E"/>
    <w:rsid w:val="00B765F7"/>
    <w:rsid w:val="00B77993"/>
    <w:rsid w:val="00BA0CA9"/>
    <w:rsid w:val="00BD7C0C"/>
    <w:rsid w:val="00C02897"/>
    <w:rsid w:val="00C97039"/>
    <w:rsid w:val="00CE5882"/>
    <w:rsid w:val="00CE607A"/>
    <w:rsid w:val="00D3439C"/>
    <w:rsid w:val="00D60150"/>
    <w:rsid w:val="00D67377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10430"/>
    <w:rsid w:val="00F35BAF"/>
    <w:rsid w:val="00F4546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2EBF4A7"/>
  <w15:docId w15:val="{30FF6E5C-96C7-446F-81E7-1116029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0D456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0D4560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895</Words>
  <Characters>6268</Characters>
  <Application>Microsoft Office Word</Application>
  <DocSecurity>0</DocSecurity>
  <Lines>522</Lines>
  <Paragraphs>286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ECE/TRANS/WP.29/GRSG/2021/8</vt:lpstr>
    </vt:vector>
  </TitlesOfParts>
  <Company>DCM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ECE/TRANS/WP.29/GRSG/2021/8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2021-02-18T16:10:00Z</dcterms:created>
  <dcterms:modified xsi:type="dcterms:W3CDTF">2021-02-18T16:10:00Z</dcterms:modified>
</cp:coreProperties>
</file>