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D293" w14:textId="77777777" w:rsidR="002C10D9" w:rsidRDefault="002C10D9"/>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384D8F5" w14:textId="77777777" w:rsidTr="006476E1">
        <w:trPr>
          <w:trHeight w:val="851"/>
        </w:trPr>
        <w:tc>
          <w:tcPr>
            <w:tcW w:w="1259" w:type="dxa"/>
            <w:tcBorders>
              <w:top w:val="nil"/>
              <w:left w:val="nil"/>
              <w:bottom w:val="single" w:sz="4" w:space="0" w:color="auto"/>
              <w:right w:val="nil"/>
            </w:tcBorders>
          </w:tcPr>
          <w:p w14:paraId="24A216D8" w14:textId="77777777" w:rsidR="00E52109" w:rsidRPr="002A32CB" w:rsidRDefault="00E52109" w:rsidP="004858F5"/>
        </w:tc>
        <w:tc>
          <w:tcPr>
            <w:tcW w:w="2236" w:type="dxa"/>
            <w:tcBorders>
              <w:top w:val="nil"/>
              <w:left w:val="nil"/>
              <w:bottom w:val="single" w:sz="4" w:space="0" w:color="auto"/>
              <w:right w:val="nil"/>
            </w:tcBorders>
            <w:vAlign w:val="bottom"/>
          </w:tcPr>
          <w:p w14:paraId="79532C0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6CD7818" w14:textId="74371B29" w:rsidR="00E52109" w:rsidRDefault="003119C7" w:rsidP="003119C7">
            <w:pPr>
              <w:suppressAutoHyphens w:val="0"/>
              <w:jc w:val="right"/>
            </w:pPr>
            <w:r w:rsidRPr="003119C7">
              <w:rPr>
                <w:sz w:val="40"/>
              </w:rPr>
              <w:t>ST</w:t>
            </w:r>
            <w:r>
              <w:t>/SG/AC.10/C.4/78</w:t>
            </w:r>
          </w:p>
        </w:tc>
      </w:tr>
      <w:tr w:rsidR="00E52109" w14:paraId="74A4882A" w14:textId="77777777" w:rsidTr="006476E1">
        <w:trPr>
          <w:trHeight w:val="2835"/>
        </w:trPr>
        <w:tc>
          <w:tcPr>
            <w:tcW w:w="1259" w:type="dxa"/>
            <w:tcBorders>
              <w:top w:val="single" w:sz="4" w:space="0" w:color="auto"/>
              <w:left w:val="nil"/>
              <w:bottom w:val="single" w:sz="12" w:space="0" w:color="auto"/>
              <w:right w:val="nil"/>
            </w:tcBorders>
          </w:tcPr>
          <w:p w14:paraId="6A83F73C" w14:textId="77777777" w:rsidR="00E52109" w:rsidRDefault="00E52109" w:rsidP="006476E1">
            <w:pPr>
              <w:spacing w:before="120"/>
              <w:jc w:val="center"/>
            </w:pPr>
            <w:r>
              <w:rPr>
                <w:noProof/>
                <w:lang w:val="fr-CH" w:eastAsia="fr-CH"/>
              </w:rPr>
              <w:drawing>
                <wp:inline distT="0" distB="0" distL="0" distR="0" wp14:anchorId="550759F5" wp14:editId="1613010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3B0968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FCD6ED7" w14:textId="77777777" w:rsidR="00D94B05" w:rsidRDefault="003119C7" w:rsidP="003119C7">
            <w:pPr>
              <w:suppressAutoHyphens w:val="0"/>
              <w:spacing w:before="240" w:line="240" w:lineRule="exact"/>
            </w:pPr>
            <w:r>
              <w:t>Distr.: General</w:t>
            </w:r>
          </w:p>
          <w:p w14:paraId="1A690926" w14:textId="20CB5864" w:rsidR="003119C7" w:rsidRDefault="003407DE" w:rsidP="003119C7">
            <w:pPr>
              <w:suppressAutoHyphens w:val="0"/>
              <w:spacing w:line="240" w:lineRule="exact"/>
            </w:pPr>
            <w:r w:rsidRPr="003407DE">
              <w:t>14 January</w:t>
            </w:r>
            <w:r w:rsidR="00D341A7">
              <w:t xml:space="preserve"> </w:t>
            </w:r>
            <w:r w:rsidR="003119C7">
              <w:t>202</w:t>
            </w:r>
            <w:r w:rsidR="00463E65">
              <w:t>1</w:t>
            </w:r>
            <w:bookmarkStart w:id="0" w:name="_GoBack"/>
            <w:bookmarkEnd w:id="0"/>
          </w:p>
          <w:p w14:paraId="2F9E6741" w14:textId="77777777" w:rsidR="003119C7" w:rsidRDefault="003119C7" w:rsidP="003119C7">
            <w:pPr>
              <w:suppressAutoHyphens w:val="0"/>
              <w:spacing w:line="240" w:lineRule="exact"/>
            </w:pPr>
          </w:p>
          <w:p w14:paraId="088BC22A" w14:textId="6AEBF543" w:rsidR="003119C7" w:rsidRDefault="003119C7" w:rsidP="003119C7">
            <w:pPr>
              <w:suppressAutoHyphens w:val="0"/>
              <w:spacing w:line="240" w:lineRule="exact"/>
            </w:pPr>
            <w:r>
              <w:t>Original: English</w:t>
            </w:r>
          </w:p>
        </w:tc>
      </w:tr>
    </w:tbl>
    <w:p w14:paraId="662CB80C" w14:textId="77777777" w:rsidR="002B5637" w:rsidRPr="009F0F06" w:rsidRDefault="002B5637"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5C9D7F3F" w14:textId="77777777" w:rsidR="002B5637" w:rsidRPr="009F0F06" w:rsidRDefault="002B5637"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2EB3E56B" w14:textId="0A67EB71" w:rsidR="00357D3B" w:rsidRDefault="00357D3B" w:rsidP="00357D3B">
      <w:pPr>
        <w:pStyle w:val="HChG"/>
      </w:pPr>
      <w:r>
        <w:tab/>
      </w:r>
      <w:r>
        <w:tab/>
      </w:r>
      <w:r w:rsidR="00D63533">
        <w:t>Report of the Sub-Committee of Experts on the Globally Harmonized System of Classification and Labelling of Chemicals on its thirty-</w:t>
      </w:r>
      <w:r>
        <w:t>ninth</w:t>
      </w:r>
      <w:r w:rsidR="00D63533">
        <w:t xml:space="preserve"> session </w:t>
      </w:r>
    </w:p>
    <w:p w14:paraId="194C00CF" w14:textId="4F79B140" w:rsidR="00D63533" w:rsidRDefault="00D63533" w:rsidP="00357D3B">
      <w:pPr>
        <w:pStyle w:val="SingleTxtG"/>
      </w:pPr>
      <w:r>
        <w:t xml:space="preserve">held in Geneva from </w:t>
      </w:r>
      <w:r w:rsidR="00357D3B">
        <w:t>9</w:t>
      </w:r>
      <w:r>
        <w:t xml:space="preserve"> to 1</w:t>
      </w:r>
      <w:r w:rsidR="00357D3B">
        <w:t>1</w:t>
      </w:r>
      <w:r>
        <w:t xml:space="preserve"> December </w:t>
      </w:r>
      <w:r w:rsidR="00357D3B">
        <w:t>2020</w:t>
      </w:r>
    </w:p>
    <w:p w14:paraId="0FEFA24B" w14:textId="7731CBFE" w:rsidR="00E36400" w:rsidRDefault="00E36400" w:rsidP="00E36400"/>
    <w:p w14:paraId="7AF1D199" w14:textId="77777777" w:rsidR="00F234F8" w:rsidRDefault="00F234F8" w:rsidP="006E5E26">
      <w:pPr>
        <w:spacing w:after="120"/>
        <w:rPr>
          <w:sz w:val="28"/>
        </w:rPr>
      </w:pPr>
      <w:r>
        <w:rPr>
          <w:sz w:val="28"/>
        </w:rPr>
        <w:t>Contents</w:t>
      </w:r>
    </w:p>
    <w:p w14:paraId="2A02D0E5" w14:textId="77777777" w:rsidR="00F234F8" w:rsidRDefault="00F234F8" w:rsidP="006E5E26">
      <w:pPr>
        <w:tabs>
          <w:tab w:val="right" w:pos="8929"/>
          <w:tab w:val="right" w:pos="9638"/>
        </w:tabs>
        <w:spacing w:after="120"/>
        <w:ind w:left="283"/>
      </w:pPr>
      <w:r>
        <w:rPr>
          <w:i/>
          <w:sz w:val="18"/>
        </w:rPr>
        <w:tab/>
        <w:t>Paragraphs</w:t>
      </w:r>
      <w:r>
        <w:rPr>
          <w:i/>
          <w:sz w:val="18"/>
        </w:rPr>
        <w:tab/>
        <w:t>Page</w:t>
      </w:r>
    </w:p>
    <w:p w14:paraId="4914B3D6" w14:textId="59CDFA7D" w:rsidR="00F234F8" w:rsidRDefault="00817C10" w:rsidP="006E5E26">
      <w:pPr>
        <w:tabs>
          <w:tab w:val="right" w:pos="850"/>
          <w:tab w:val="left" w:pos="1134"/>
          <w:tab w:val="left" w:pos="1559"/>
          <w:tab w:val="left" w:pos="1984"/>
          <w:tab w:val="left" w:leader="dot" w:pos="7654"/>
          <w:tab w:val="right" w:pos="8929"/>
          <w:tab w:val="right" w:pos="9638"/>
        </w:tabs>
        <w:spacing w:after="120"/>
      </w:pPr>
      <w:r>
        <w:tab/>
      </w:r>
      <w:r w:rsidRPr="003E30EF">
        <w:t>I.</w:t>
      </w:r>
      <w:r w:rsidRPr="003E30EF">
        <w:tab/>
        <w:t>Attendance</w:t>
      </w:r>
      <w:r>
        <w:tab/>
      </w:r>
      <w:r>
        <w:tab/>
      </w:r>
      <w:r w:rsidR="00534942">
        <w:t>1-5</w:t>
      </w:r>
      <w:r>
        <w:tab/>
      </w:r>
      <w:r w:rsidR="00534942">
        <w:t>3</w:t>
      </w:r>
    </w:p>
    <w:p w14:paraId="52F9715D" w14:textId="6907FBAE" w:rsidR="00817C10" w:rsidRDefault="001C1FF8" w:rsidP="006E5E26">
      <w:pPr>
        <w:tabs>
          <w:tab w:val="right" w:pos="850"/>
          <w:tab w:val="left" w:pos="1134"/>
          <w:tab w:val="left" w:pos="1559"/>
          <w:tab w:val="left" w:pos="1984"/>
          <w:tab w:val="left" w:leader="dot" w:pos="7654"/>
          <w:tab w:val="right" w:pos="8929"/>
          <w:tab w:val="right" w:pos="9638"/>
        </w:tabs>
        <w:spacing w:after="120"/>
      </w:pPr>
      <w:r>
        <w:tab/>
        <w:t>II</w:t>
      </w:r>
      <w:r w:rsidRPr="007A297D">
        <w:t>.</w:t>
      </w:r>
      <w:r w:rsidRPr="007A297D">
        <w:tab/>
        <w:t>Organizational matters</w:t>
      </w:r>
      <w:r>
        <w:tab/>
      </w:r>
      <w:r>
        <w:tab/>
      </w:r>
      <w:r w:rsidR="00D52778">
        <w:t>6-9</w:t>
      </w:r>
      <w:r>
        <w:tab/>
      </w:r>
      <w:r w:rsidR="00D52778">
        <w:t>3</w:t>
      </w:r>
    </w:p>
    <w:p w14:paraId="6953D034" w14:textId="391BBA3D" w:rsidR="001C1FF8" w:rsidRDefault="001C1FF8" w:rsidP="001C1FF8">
      <w:pPr>
        <w:tabs>
          <w:tab w:val="right" w:pos="850"/>
          <w:tab w:val="left" w:pos="1134"/>
          <w:tab w:val="left" w:pos="1559"/>
          <w:tab w:val="left" w:pos="1984"/>
          <w:tab w:val="left" w:leader="dot" w:pos="7654"/>
          <w:tab w:val="right" w:pos="8929"/>
          <w:tab w:val="right" w:pos="9638"/>
        </w:tabs>
        <w:spacing w:after="120"/>
      </w:pPr>
      <w:r>
        <w:tab/>
      </w:r>
      <w:r w:rsidRPr="006B1422">
        <w:t>III.</w:t>
      </w:r>
      <w:r w:rsidRPr="006B1422">
        <w:tab/>
        <w:t>Adoption of the agenda (agenda item 1)</w:t>
      </w:r>
      <w:r>
        <w:tab/>
      </w:r>
      <w:r>
        <w:tab/>
      </w:r>
      <w:r w:rsidR="00D52778">
        <w:t>10</w:t>
      </w:r>
      <w:r>
        <w:tab/>
      </w:r>
      <w:r w:rsidR="00D52778">
        <w:t>4</w:t>
      </w:r>
    </w:p>
    <w:p w14:paraId="6B2886F4" w14:textId="14408B57" w:rsidR="001C1FF8" w:rsidRDefault="001C1FF8" w:rsidP="001C1FF8">
      <w:pPr>
        <w:tabs>
          <w:tab w:val="right" w:pos="850"/>
          <w:tab w:val="left" w:pos="1134"/>
          <w:tab w:val="left" w:pos="1559"/>
          <w:tab w:val="left" w:pos="1984"/>
          <w:tab w:val="left" w:leader="dot" w:pos="7654"/>
          <w:tab w:val="right" w:pos="8929"/>
          <w:tab w:val="right" w:pos="9638"/>
        </w:tabs>
        <w:spacing w:after="120"/>
      </w:pPr>
      <w:r>
        <w:tab/>
        <w:t>IV.</w:t>
      </w:r>
      <w:r>
        <w:tab/>
        <w:t xml:space="preserve">Recommendations made by the Sub-Committee </w:t>
      </w:r>
      <w:r w:rsidRPr="005939D2">
        <w:t xml:space="preserve">at its thirty-seventh </w:t>
      </w:r>
      <w:r>
        <w:br/>
      </w:r>
      <w:r>
        <w:tab/>
      </w:r>
      <w:r>
        <w:tab/>
      </w:r>
      <w:r w:rsidRPr="005939D2">
        <w:t>and thirty-eighth sessions</w:t>
      </w:r>
      <w:r>
        <w:t xml:space="preserve"> (agenda item 2)</w:t>
      </w:r>
      <w:r>
        <w:tab/>
      </w:r>
      <w:r>
        <w:tab/>
      </w:r>
      <w:r w:rsidR="00D52778">
        <w:t>11</w:t>
      </w:r>
      <w:r>
        <w:tab/>
      </w:r>
      <w:r w:rsidR="00D52778">
        <w:t>4</w:t>
      </w:r>
    </w:p>
    <w:p w14:paraId="1A14E3FD" w14:textId="43361700" w:rsidR="001C1FF8" w:rsidRDefault="001C1FF8" w:rsidP="001C1FF8">
      <w:pPr>
        <w:tabs>
          <w:tab w:val="right" w:pos="850"/>
          <w:tab w:val="left" w:pos="1134"/>
          <w:tab w:val="left" w:pos="1559"/>
          <w:tab w:val="left" w:pos="1984"/>
          <w:tab w:val="left" w:leader="dot" w:pos="7654"/>
          <w:tab w:val="right" w:pos="8929"/>
          <w:tab w:val="right" w:pos="9638"/>
        </w:tabs>
        <w:spacing w:after="120"/>
      </w:pPr>
      <w:r>
        <w:tab/>
        <w:t>V</w:t>
      </w:r>
      <w:r w:rsidRPr="008631D8">
        <w:t>.</w:t>
      </w:r>
      <w:r w:rsidRPr="008631D8">
        <w:tab/>
        <w:t>Classification criteria and related hazard communication</w:t>
      </w:r>
      <w:r>
        <w:t xml:space="preserve"> (agenda item 3)</w:t>
      </w:r>
      <w:r>
        <w:tab/>
      </w:r>
      <w:r>
        <w:tab/>
      </w:r>
      <w:r w:rsidR="00A24B97">
        <w:t>12-36</w:t>
      </w:r>
      <w:r>
        <w:tab/>
      </w:r>
      <w:r w:rsidR="00A24B97">
        <w:t>4</w:t>
      </w:r>
    </w:p>
    <w:p w14:paraId="1A66BB08" w14:textId="34648A30" w:rsidR="001C1FF8" w:rsidRDefault="001C1FF8" w:rsidP="00537A7E">
      <w:pPr>
        <w:tabs>
          <w:tab w:val="right" w:pos="850"/>
          <w:tab w:val="left" w:pos="1134"/>
          <w:tab w:val="left" w:pos="1559"/>
          <w:tab w:val="left" w:pos="1984"/>
          <w:tab w:val="left" w:leader="dot" w:pos="7654"/>
          <w:tab w:val="right" w:pos="8929"/>
          <w:tab w:val="right" w:pos="9638"/>
        </w:tabs>
        <w:spacing w:after="120"/>
        <w:ind w:left="1560" w:hanging="1560"/>
      </w:pPr>
      <w:r>
        <w:tab/>
      </w:r>
      <w:r>
        <w:tab/>
        <w:t>A.</w:t>
      </w:r>
      <w:r w:rsidRPr="00283442">
        <w:tab/>
        <w:t xml:space="preserve">Work of the Sub-Committee of Experts on the Transport of Dangerous Goods </w:t>
      </w:r>
      <w:r w:rsidR="008A1E1F">
        <w:br/>
      </w:r>
      <w:r w:rsidRPr="00283442">
        <w:t>(TDG)</w:t>
      </w:r>
      <w:r w:rsidR="008A1E1F">
        <w:t xml:space="preserve"> </w:t>
      </w:r>
      <w:r>
        <w:t>on matters of interest to the GHS Sub-Committee</w:t>
      </w:r>
      <w:r>
        <w:tab/>
      </w:r>
      <w:r>
        <w:tab/>
      </w:r>
      <w:r w:rsidR="00A24B97">
        <w:t>12-13</w:t>
      </w:r>
      <w:r>
        <w:tab/>
      </w:r>
      <w:r w:rsidR="00176698">
        <w:t>4</w:t>
      </w:r>
    </w:p>
    <w:p w14:paraId="7221EA82" w14:textId="32E461B7" w:rsidR="001C1FF8" w:rsidRDefault="00D12FDE" w:rsidP="00D12FDE">
      <w:pPr>
        <w:tabs>
          <w:tab w:val="right" w:pos="850"/>
          <w:tab w:val="left" w:pos="1134"/>
          <w:tab w:val="left" w:pos="1559"/>
          <w:tab w:val="left" w:pos="1984"/>
          <w:tab w:val="left" w:leader="dot" w:pos="7654"/>
          <w:tab w:val="right" w:pos="8929"/>
          <w:tab w:val="right" w:pos="9638"/>
        </w:tabs>
        <w:spacing w:after="120"/>
        <w:ind w:left="1560" w:hanging="1560"/>
      </w:pPr>
      <w:r>
        <w:tab/>
      </w:r>
      <w:r>
        <w:tab/>
      </w:r>
      <w:r>
        <w:tab/>
        <w:t>1</w:t>
      </w:r>
      <w:r w:rsidR="001C1FF8">
        <w:t xml:space="preserve">. </w:t>
      </w:r>
      <w:r w:rsidR="001C1FF8">
        <w:tab/>
        <w:t xml:space="preserve">Manual of Tests and Criteria, review of Test Series H: </w:t>
      </w:r>
      <w:r>
        <w:br/>
      </w:r>
      <w:r>
        <w:tab/>
      </w:r>
      <w:r w:rsidR="001C1FF8">
        <w:t>determination of self-accelerating decomposition temperature</w:t>
      </w:r>
      <w:r>
        <w:tab/>
      </w:r>
      <w:r>
        <w:tab/>
      </w:r>
      <w:r w:rsidR="00176698">
        <w:t>12</w:t>
      </w:r>
      <w:r>
        <w:tab/>
      </w:r>
      <w:r w:rsidR="00176698">
        <w:t>4</w:t>
      </w:r>
    </w:p>
    <w:p w14:paraId="1B97AC3C" w14:textId="1FA3F913" w:rsidR="00C909B2" w:rsidRDefault="00C909B2" w:rsidP="00C909B2">
      <w:pPr>
        <w:tabs>
          <w:tab w:val="right" w:pos="850"/>
          <w:tab w:val="left" w:pos="1134"/>
          <w:tab w:val="left" w:pos="1559"/>
          <w:tab w:val="left" w:pos="1984"/>
          <w:tab w:val="left" w:leader="dot" w:pos="7654"/>
          <w:tab w:val="right" w:pos="8929"/>
          <w:tab w:val="right" w:pos="9638"/>
        </w:tabs>
        <w:spacing w:after="120"/>
        <w:ind w:left="1560" w:hanging="1560"/>
      </w:pPr>
      <w:r>
        <w:tab/>
      </w:r>
      <w:r>
        <w:tab/>
      </w:r>
      <w:r>
        <w:tab/>
        <w:t xml:space="preserve">2. </w:t>
      </w:r>
      <w:r>
        <w:tab/>
      </w:r>
      <w:r w:rsidRPr="005E67A5">
        <w:t>Tests for oxidizing liquids and oxidizing solids</w:t>
      </w:r>
      <w:r>
        <w:t xml:space="preserve">: </w:t>
      </w:r>
      <w:r w:rsidRPr="005E67A5">
        <w:t xml:space="preserve">improvement regarding </w:t>
      </w:r>
      <w:r>
        <w:br/>
      </w:r>
      <w:r>
        <w:tab/>
      </w:r>
      <w:r w:rsidRPr="005E67A5">
        <w:t>consideration for particle size, friable or coated materials</w:t>
      </w:r>
      <w:r>
        <w:tab/>
      </w:r>
      <w:r>
        <w:tab/>
      </w:r>
      <w:r w:rsidR="00176698">
        <w:t>13</w:t>
      </w:r>
      <w:r>
        <w:tab/>
      </w:r>
      <w:r w:rsidR="00635FF6">
        <w:t>4</w:t>
      </w:r>
    </w:p>
    <w:p w14:paraId="70554E07" w14:textId="5A64AE0E" w:rsidR="00C909B2" w:rsidRDefault="00C909B2" w:rsidP="00C909B2">
      <w:pPr>
        <w:tabs>
          <w:tab w:val="right" w:pos="850"/>
          <w:tab w:val="left" w:pos="1134"/>
          <w:tab w:val="left" w:pos="1559"/>
          <w:tab w:val="left" w:pos="1984"/>
          <w:tab w:val="left" w:leader="dot" w:pos="7654"/>
          <w:tab w:val="right" w:pos="8929"/>
          <w:tab w:val="right" w:pos="9638"/>
        </w:tabs>
        <w:spacing w:after="120"/>
        <w:ind w:left="1560" w:hanging="1560"/>
      </w:pPr>
      <w:r>
        <w:tab/>
      </w:r>
      <w:r>
        <w:tab/>
        <w:t>B.</w:t>
      </w:r>
      <w:r w:rsidRPr="00283442">
        <w:tab/>
      </w:r>
      <w:r w:rsidRPr="002F0773">
        <w:t>Review of Chapter 2.1</w:t>
      </w:r>
      <w:r>
        <w:tab/>
      </w:r>
      <w:r>
        <w:tab/>
      </w:r>
      <w:r w:rsidR="00176698">
        <w:t>14-</w:t>
      </w:r>
      <w:r w:rsidR="007A062D">
        <w:t>23</w:t>
      </w:r>
      <w:r>
        <w:tab/>
      </w:r>
      <w:r w:rsidR="007A062D">
        <w:t>5</w:t>
      </w:r>
    </w:p>
    <w:p w14:paraId="2E920367" w14:textId="433A6CD8" w:rsidR="00C909B2" w:rsidRDefault="00C909B2" w:rsidP="00C909B2">
      <w:pPr>
        <w:tabs>
          <w:tab w:val="right" w:pos="850"/>
          <w:tab w:val="left" w:pos="1134"/>
          <w:tab w:val="left" w:pos="1559"/>
          <w:tab w:val="left" w:pos="1984"/>
          <w:tab w:val="left" w:leader="dot" w:pos="7654"/>
          <w:tab w:val="right" w:pos="8929"/>
          <w:tab w:val="right" w:pos="9638"/>
        </w:tabs>
        <w:spacing w:after="120"/>
        <w:ind w:left="1560" w:hanging="1560"/>
      </w:pPr>
      <w:r w:rsidRPr="002F0773">
        <w:tab/>
      </w:r>
      <w:r>
        <w:tab/>
        <w:t>C.</w:t>
      </w:r>
      <w:r w:rsidRPr="002F0773">
        <w:tab/>
        <w:t>Clarification of 2.9.3.4.3.4 of the Model Regulations and 4.1.3.3.4 of the GHS</w:t>
      </w:r>
      <w:r>
        <w:tab/>
      </w:r>
      <w:r w:rsidR="007A062D">
        <w:t>24</w:t>
      </w:r>
      <w:r>
        <w:tab/>
      </w:r>
      <w:r w:rsidR="007C52DC">
        <w:t>6</w:t>
      </w:r>
    </w:p>
    <w:p w14:paraId="66E994F1" w14:textId="4E241150" w:rsidR="00C909B2" w:rsidRPr="000A1129" w:rsidRDefault="00C909B2" w:rsidP="00D66281">
      <w:pPr>
        <w:tabs>
          <w:tab w:val="right" w:pos="850"/>
          <w:tab w:val="left" w:pos="1134"/>
          <w:tab w:val="left" w:pos="1559"/>
          <w:tab w:val="left" w:pos="1984"/>
          <w:tab w:val="left" w:leader="dot" w:pos="7654"/>
          <w:tab w:val="right" w:pos="8929"/>
          <w:tab w:val="right" w:pos="9638"/>
        </w:tabs>
        <w:spacing w:after="120"/>
        <w:ind w:left="1560" w:hanging="1560"/>
      </w:pPr>
      <w:r>
        <w:tab/>
      </w:r>
      <w:r>
        <w:tab/>
        <w:t>D.</w:t>
      </w:r>
      <w:r>
        <w:tab/>
      </w:r>
      <w:r w:rsidRPr="002F0773">
        <w:t xml:space="preserve">Simultaneous classification in physical hazard classes and </w:t>
      </w:r>
      <w:r w:rsidR="008A1E1F">
        <w:br/>
      </w:r>
      <w:r w:rsidRPr="002F0773">
        <w:t xml:space="preserve">precedence of </w:t>
      </w:r>
      <w:r w:rsidRPr="000A1129">
        <w:t>hazards</w:t>
      </w:r>
      <w:r>
        <w:tab/>
      </w:r>
      <w:r>
        <w:tab/>
      </w:r>
      <w:r w:rsidR="007A062D">
        <w:t>25</w:t>
      </w:r>
      <w:r w:rsidR="007A062D">
        <w:tab/>
        <w:t>7</w:t>
      </w:r>
    </w:p>
    <w:p w14:paraId="2A03D624" w14:textId="4CBAF5CB" w:rsidR="00C909B2" w:rsidRDefault="00C909B2" w:rsidP="00D66281">
      <w:pPr>
        <w:tabs>
          <w:tab w:val="right" w:pos="850"/>
          <w:tab w:val="left" w:pos="1134"/>
          <w:tab w:val="left" w:pos="1559"/>
          <w:tab w:val="left" w:pos="1984"/>
          <w:tab w:val="left" w:leader="dot" w:pos="7654"/>
          <w:tab w:val="right" w:pos="8929"/>
          <w:tab w:val="right" w:pos="9638"/>
        </w:tabs>
        <w:spacing w:after="120"/>
        <w:ind w:left="1560" w:hanging="1560"/>
      </w:pPr>
      <w:r w:rsidRPr="002F0773">
        <w:tab/>
      </w:r>
      <w:r>
        <w:tab/>
        <w:t>E.</w:t>
      </w:r>
      <w:r w:rsidRPr="002F0773">
        <w:tab/>
        <w:t>Use of non-animal testing methods for classification of health hazards</w:t>
      </w:r>
      <w:r>
        <w:tab/>
      </w:r>
      <w:r>
        <w:tab/>
      </w:r>
      <w:r w:rsidR="007A062D">
        <w:t>26</w:t>
      </w:r>
      <w:r>
        <w:tab/>
      </w:r>
      <w:r w:rsidR="00FD638A">
        <w:t>7</w:t>
      </w:r>
    </w:p>
    <w:p w14:paraId="703AEED4" w14:textId="413E2FB4" w:rsidR="00C909B2" w:rsidRDefault="00C909B2" w:rsidP="00D66281">
      <w:pPr>
        <w:tabs>
          <w:tab w:val="right" w:pos="850"/>
          <w:tab w:val="left" w:pos="1134"/>
          <w:tab w:val="left" w:pos="1559"/>
          <w:tab w:val="left" w:pos="1984"/>
          <w:tab w:val="left" w:leader="dot" w:pos="7654"/>
          <w:tab w:val="right" w:pos="8929"/>
          <w:tab w:val="right" w:pos="9638"/>
        </w:tabs>
        <w:spacing w:after="120"/>
        <w:ind w:left="1560" w:hanging="1560"/>
      </w:pPr>
      <w:r w:rsidRPr="002F0773">
        <w:tab/>
      </w:r>
      <w:r>
        <w:tab/>
        <w:t>F.</w:t>
      </w:r>
      <w:r w:rsidRPr="002F0773">
        <w:tab/>
      </w:r>
      <w:r>
        <w:t>Practical classification issues</w:t>
      </w:r>
      <w:r>
        <w:tab/>
      </w:r>
      <w:r>
        <w:tab/>
      </w:r>
      <w:r w:rsidR="00FD638A">
        <w:t>27</w:t>
      </w:r>
      <w:r>
        <w:tab/>
      </w:r>
      <w:r w:rsidR="00FD638A">
        <w:t>7</w:t>
      </w:r>
    </w:p>
    <w:p w14:paraId="1FE92D5C" w14:textId="2BC11A5C" w:rsidR="00C909B2" w:rsidRDefault="00C909B2" w:rsidP="00D66281">
      <w:pPr>
        <w:tabs>
          <w:tab w:val="right" w:pos="850"/>
          <w:tab w:val="left" w:pos="1134"/>
          <w:tab w:val="left" w:pos="1559"/>
          <w:tab w:val="left" w:pos="1984"/>
          <w:tab w:val="left" w:leader="dot" w:pos="7654"/>
          <w:tab w:val="right" w:pos="8929"/>
          <w:tab w:val="right" w:pos="9638"/>
        </w:tabs>
        <w:spacing w:after="120"/>
        <w:ind w:left="1560" w:hanging="1560"/>
      </w:pPr>
      <w:r>
        <w:tab/>
      </w:r>
      <w:r>
        <w:tab/>
        <w:t>G.</w:t>
      </w:r>
      <w:r w:rsidRPr="002F0773">
        <w:tab/>
      </w:r>
      <w:r>
        <w:t>Aspiration hazard</w:t>
      </w:r>
      <w:r>
        <w:tab/>
      </w:r>
      <w:r>
        <w:tab/>
      </w:r>
      <w:r w:rsidR="00FD638A">
        <w:t>28</w:t>
      </w:r>
      <w:r>
        <w:tab/>
      </w:r>
      <w:r w:rsidR="00FD638A">
        <w:t>7</w:t>
      </w:r>
    </w:p>
    <w:p w14:paraId="4F7DDD17" w14:textId="43DAAC5E" w:rsidR="00C909B2" w:rsidRDefault="00C909B2" w:rsidP="00D66281">
      <w:pPr>
        <w:tabs>
          <w:tab w:val="right" w:pos="850"/>
          <w:tab w:val="left" w:pos="1134"/>
          <w:tab w:val="left" w:pos="1559"/>
          <w:tab w:val="left" w:pos="1984"/>
          <w:tab w:val="left" w:leader="dot" w:pos="7654"/>
          <w:tab w:val="right" w:pos="8929"/>
          <w:tab w:val="right" w:pos="9638"/>
        </w:tabs>
        <w:spacing w:after="120"/>
        <w:ind w:left="1560" w:hanging="1560"/>
      </w:pPr>
      <w:r>
        <w:tab/>
      </w:r>
      <w:r>
        <w:tab/>
        <w:t>H.</w:t>
      </w:r>
      <w:r w:rsidRPr="002F0773">
        <w:tab/>
      </w:r>
      <w:r>
        <w:t>Nanomaterials</w:t>
      </w:r>
      <w:r>
        <w:tab/>
      </w:r>
      <w:r>
        <w:tab/>
      </w:r>
      <w:r w:rsidR="00700203">
        <w:t>29</w:t>
      </w:r>
      <w:r>
        <w:tab/>
      </w:r>
      <w:r w:rsidR="00435D0D">
        <w:t>7</w:t>
      </w:r>
    </w:p>
    <w:p w14:paraId="2A979DD0" w14:textId="7D764DD9" w:rsidR="00C909B2" w:rsidRDefault="00C909B2" w:rsidP="003A145B">
      <w:pPr>
        <w:keepNext/>
        <w:keepLines/>
        <w:tabs>
          <w:tab w:val="right" w:pos="850"/>
          <w:tab w:val="left" w:pos="1134"/>
          <w:tab w:val="left" w:pos="1559"/>
          <w:tab w:val="left" w:pos="1984"/>
          <w:tab w:val="left" w:leader="dot" w:pos="7654"/>
          <w:tab w:val="right" w:pos="8929"/>
          <w:tab w:val="right" w:pos="9638"/>
        </w:tabs>
        <w:spacing w:after="120"/>
        <w:ind w:left="1559" w:hanging="1559"/>
      </w:pPr>
      <w:r>
        <w:lastRenderedPageBreak/>
        <w:tab/>
      </w:r>
      <w:r>
        <w:tab/>
        <w:t>I.</w:t>
      </w:r>
      <w:r w:rsidRPr="002F0773">
        <w:tab/>
      </w:r>
      <w:r>
        <w:t>Other issues</w:t>
      </w:r>
      <w:r>
        <w:tab/>
      </w:r>
      <w:r>
        <w:tab/>
      </w:r>
      <w:r w:rsidR="00700203">
        <w:t>30-36</w:t>
      </w:r>
      <w:r>
        <w:tab/>
      </w:r>
      <w:r w:rsidR="00435D0D">
        <w:t>7</w:t>
      </w:r>
    </w:p>
    <w:p w14:paraId="1FD23EB3" w14:textId="08085155" w:rsidR="00C909B2" w:rsidRPr="00CC22CB" w:rsidRDefault="00C909B2" w:rsidP="00D66281">
      <w:pPr>
        <w:tabs>
          <w:tab w:val="right" w:pos="850"/>
          <w:tab w:val="left" w:pos="1134"/>
          <w:tab w:val="left" w:pos="1559"/>
          <w:tab w:val="left" w:pos="1984"/>
          <w:tab w:val="left" w:leader="dot" w:pos="7654"/>
          <w:tab w:val="right" w:pos="8929"/>
          <w:tab w:val="right" w:pos="9638"/>
        </w:tabs>
        <w:spacing w:after="120"/>
        <w:ind w:left="1560"/>
      </w:pPr>
      <w:r>
        <w:t>1.</w:t>
      </w:r>
      <w:r>
        <w:tab/>
        <w:t>Definitions and use of acronyms and abbreviation in the GHS</w:t>
      </w:r>
      <w:r>
        <w:tab/>
      </w:r>
      <w:r>
        <w:tab/>
      </w:r>
      <w:r w:rsidR="001515ED">
        <w:t>30</w:t>
      </w:r>
      <w:r>
        <w:tab/>
      </w:r>
      <w:r w:rsidR="00435D0D">
        <w:t>7</w:t>
      </w:r>
    </w:p>
    <w:p w14:paraId="0B0E02D8" w14:textId="5707E275" w:rsidR="00C909B2" w:rsidRDefault="00C909B2" w:rsidP="00C909B2">
      <w:pPr>
        <w:tabs>
          <w:tab w:val="right" w:pos="850"/>
          <w:tab w:val="left" w:pos="1134"/>
          <w:tab w:val="left" w:pos="1559"/>
          <w:tab w:val="left" w:pos="1984"/>
          <w:tab w:val="left" w:leader="dot" w:pos="7654"/>
          <w:tab w:val="right" w:pos="8929"/>
          <w:tab w:val="right" w:pos="9638"/>
        </w:tabs>
        <w:spacing w:after="120"/>
        <w:ind w:left="1560"/>
      </w:pPr>
      <w:r>
        <w:t>2.</w:t>
      </w:r>
      <w:r>
        <w:tab/>
        <w:t>Review of the decision logics</w:t>
      </w:r>
      <w:r>
        <w:tab/>
      </w:r>
      <w:r>
        <w:tab/>
      </w:r>
      <w:r w:rsidR="001515ED">
        <w:t>31-33</w:t>
      </w:r>
      <w:r>
        <w:tab/>
      </w:r>
      <w:r w:rsidR="001515ED">
        <w:t>8</w:t>
      </w:r>
    </w:p>
    <w:p w14:paraId="4F82BCA4" w14:textId="6C3C6F4A" w:rsidR="00C909B2" w:rsidRDefault="00C909B2" w:rsidP="00D66281">
      <w:pPr>
        <w:tabs>
          <w:tab w:val="right" w:pos="850"/>
          <w:tab w:val="left" w:pos="1134"/>
          <w:tab w:val="left" w:pos="1559"/>
          <w:tab w:val="left" w:pos="1984"/>
          <w:tab w:val="left" w:leader="dot" w:pos="7654"/>
          <w:tab w:val="right" w:pos="8929"/>
          <w:tab w:val="right" w:pos="9638"/>
        </w:tabs>
        <w:spacing w:after="120"/>
        <w:ind w:left="1560"/>
      </w:pPr>
      <w:r>
        <w:t>3.</w:t>
      </w:r>
      <w:r>
        <w:tab/>
        <w:t>Workplace labelling: clarification of 1.4.10.5.5.1</w:t>
      </w:r>
      <w:r>
        <w:tab/>
      </w:r>
      <w:r>
        <w:tab/>
      </w:r>
      <w:r w:rsidR="001515ED">
        <w:t>34</w:t>
      </w:r>
      <w:r>
        <w:tab/>
      </w:r>
      <w:r w:rsidR="001515ED">
        <w:t>8</w:t>
      </w:r>
    </w:p>
    <w:p w14:paraId="658BCD1F" w14:textId="1D15C92C" w:rsidR="00C909B2" w:rsidRDefault="00C909B2" w:rsidP="00D66281">
      <w:pPr>
        <w:tabs>
          <w:tab w:val="right" w:pos="850"/>
          <w:tab w:val="left" w:pos="1134"/>
          <w:tab w:val="left" w:pos="1559"/>
          <w:tab w:val="left" w:pos="1984"/>
          <w:tab w:val="left" w:leader="dot" w:pos="7654"/>
          <w:tab w:val="right" w:pos="8929"/>
          <w:tab w:val="right" w:pos="9638"/>
        </w:tabs>
        <w:spacing w:after="120"/>
        <w:ind w:left="1560"/>
      </w:pPr>
      <w:r>
        <w:t>4.</w:t>
      </w:r>
      <w:r>
        <w:tab/>
        <w:t xml:space="preserve">Clarification of the criteria for classification for </w:t>
      </w:r>
      <w:r>
        <w:br/>
      </w:r>
      <w:r>
        <w:tab/>
        <w:t>germ cell mutagenicity in category 1B</w:t>
      </w:r>
      <w:r>
        <w:tab/>
      </w:r>
      <w:r>
        <w:tab/>
      </w:r>
      <w:r w:rsidR="009D558E">
        <w:t>35</w:t>
      </w:r>
      <w:r>
        <w:tab/>
      </w:r>
      <w:r w:rsidR="00435D0D">
        <w:t>8</w:t>
      </w:r>
    </w:p>
    <w:p w14:paraId="3F490D88" w14:textId="54F0702F" w:rsidR="00C909B2" w:rsidRDefault="00C909B2" w:rsidP="00C909B2">
      <w:pPr>
        <w:tabs>
          <w:tab w:val="right" w:pos="850"/>
          <w:tab w:val="left" w:pos="1134"/>
          <w:tab w:val="left" w:pos="1559"/>
          <w:tab w:val="left" w:pos="1984"/>
          <w:tab w:val="left" w:leader="dot" w:pos="7654"/>
          <w:tab w:val="right" w:pos="8929"/>
          <w:tab w:val="right" w:pos="9638"/>
        </w:tabs>
        <w:spacing w:after="120"/>
        <w:ind w:left="1560"/>
      </w:pPr>
      <w:r>
        <w:t>5.</w:t>
      </w:r>
      <w:r>
        <w:tab/>
        <w:t>New proposals</w:t>
      </w:r>
      <w:r>
        <w:tab/>
      </w:r>
      <w:r>
        <w:tab/>
      </w:r>
      <w:r w:rsidR="009D558E">
        <w:t>36</w:t>
      </w:r>
      <w:r>
        <w:tab/>
      </w:r>
      <w:r w:rsidR="009D558E">
        <w:t>9</w:t>
      </w:r>
    </w:p>
    <w:p w14:paraId="4E3537F5" w14:textId="68A17A46" w:rsidR="00CF0E94" w:rsidRDefault="00CF0E94" w:rsidP="00CF0E94">
      <w:pPr>
        <w:tabs>
          <w:tab w:val="right" w:pos="850"/>
          <w:tab w:val="left" w:pos="1134"/>
          <w:tab w:val="left" w:pos="1559"/>
          <w:tab w:val="left" w:pos="1984"/>
          <w:tab w:val="left" w:leader="dot" w:pos="7654"/>
          <w:tab w:val="right" w:pos="8929"/>
          <w:tab w:val="right" w:pos="9638"/>
        </w:tabs>
        <w:spacing w:after="120"/>
        <w:ind w:left="1560" w:hanging="1560"/>
      </w:pPr>
      <w:r w:rsidRPr="00A54A3A">
        <w:tab/>
        <w:t>VI.</w:t>
      </w:r>
      <w:r w:rsidRPr="00A54A3A">
        <w:tab/>
        <w:t>Hazard communication (agenda item 4)</w:t>
      </w:r>
      <w:r>
        <w:tab/>
      </w:r>
      <w:r>
        <w:tab/>
      </w:r>
      <w:r w:rsidR="009D558E">
        <w:t>37-43</w:t>
      </w:r>
      <w:r>
        <w:tab/>
      </w:r>
      <w:r w:rsidR="009D558E">
        <w:t>9</w:t>
      </w:r>
    </w:p>
    <w:p w14:paraId="0DFBAB7D" w14:textId="5E217E19" w:rsidR="00CF0E94" w:rsidRPr="000A77A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tab/>
      </w:r>
      <w:r>
        <w:tab/>
      </w:r>
      <w:r w:rsidRPr="000A77AA">
        <w:t>A.</w:t>
      </w:r>
      <w:r w:rsidRPr="000A77AA">
        <w:tab/>
        <w:t>Practical labelling issues</w:t>
      </w:r>
      <w:r w:rsidR="00CC6E38">
        <w:tab/>
      </w:r>
      <w:r w:rsidR="00CC6E38">
        <w:tab/>
        <w:t>37</w:t>
      </w:r>
      <w:r w:rsidR="00CC6E38">
        <w:tab/>
        <w:t>9</w:t>
      </w:r>
    </w:p>
    <w:p w14:paraId="0AEE9861" w14:textId="6B19D376" w:rsidR="00CF0E94" w:rsidRPr="000A77A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rsidRPr="003D6A71">
        <w:tab/>
      </w:r>
      <w:r>
        <w:tab/>
      </w:r>
      <w:r w:rsidRPr="000A77AA">
        <w:t>B.</w:t>
      </w:r>
      <w:r w:rsidRPr="000A77AA">
        <w:tab/>
        <w:t xml:space="preserve">Improvement of annexes 1 to 3 and further rationalization </w:t>
      </w:r>
      <w:r w:rsidR="00100DB9">
        <w:br/>
      </w:r>
      <w:r w:rsidRPr="000A77AA">
        <w:t>of precautionary statements</w:t>
      </w:r>
      <w:r>
        <w:tab/>
      </w:r>
      <w:r>
        <w:tab/>
      </w:r>
      <w:r w:rsidR="00CC6E38">
        <w:t>38</w:t>
      </w:r>
      <w:r w:rsidR="00CC6E38">
        <w:tab/>
        <w:t>9</w:t>
      </w:r>
    </w:p>
    <w:p w14:paraId="7E587D07" w14:textId="239F1F0B" w:rsidR="00CF0E94" w:rsidRPr="000A77A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rsidRPr="000A77AA">
        <w:tab/>
      </w:r>
      <w:r>
        <w:tab/>
      </w:r>
      <w:r w:rsidRPr="000A77AA">
        <w:t>C.</w:t>
      </w:r>
      <w:r w:rsidRPr="000A77AA">
        <w:tab/>
        <w:t>Review of Annex 4, sub-section A4.3.3.2.3</w:t>
      </w:r>
      <w:r w:rsidR="00CC6E38">
        <w:tab/>
      </w:r>
      <w:r w:rsidR="00CC6E38">
        <w:tab/>
        <w:t>39</w:t>
      </w:r>
      <w:r w:rsidR="00CC6E38">
        <w:tab/>
        <w:t>9</w:t>
      </w:r>
    </w:p>
    <w:p w14:paraId="23C173CD" w14:textId="7B5B4BE0" w:rsidR="00CF0E94" w:rsidRPr="000A77A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rsidRPr="003D6A71">
        <w:tab/>
      </w:r>
      <w:r>
        <w:tab/>
      </w:r>
      <w:r w:rsidRPr="000A77AA">
        <w:t>D.</w:t>
      </w:r>
      <w:r w:rsidRPr="000A77AA">
        <w:tab/>
        <w:t>Other issues</w:t>
      </w:r>
      <w:r w:rsidR="00CC6E38">
        <w:tab/>
      </w:r>
      <w:r w:rsidR="00CC6E38">
        <w:tab/>
        <w:t>40-42</w:t>
      </w:r>
      <w:r w:rsidR="00CC6E38">
        <w:tab/>
      </w:r>
      <w:r w:rsidR="00B92FB7">
        <w:t>9</w:t>
      </w:r>
    </w:p>
    <w:p w14:paraId="4F84357F" w14:textId="0B13FC06" w:rsidR="00CF0E94" w:rsidRDefault="00CF0E94">
      <w:pPr>
        <w:tabs>
          <w:tab w:val="right" w:pos="850"/>
          <w:tab w:val="left" w:pos="1134"/>
          <w:tab w:val="left" w:pos="1559"/>
          <w:tab w:val="left" w:pos="1984"/>
          <w:tab w:val="left" w:leader="dot" w:pos="7654"/>
          <w:tab w:val="right" w:pos="8929"/>
          <w:tab w:val="right" w:pos="9638"/>
        </w:tabs>
        <w:spacing w:after="120"/>
        <w:ind w:left="1560"/>
      </w:pPr>
      <w:r w:rsidRPr="00A54A3A">
        <w:t xml:space="preserve">1. </w:t>
      </w:r>
      <w:r w:rsidRPr="00A54A3A">
        <w:tab/>
        <w:t xml:space="preserve">Review and update of references to documents and test guidelines </w:t>
      </w:r>
      <w:r>
        <w:br/>
      </w:r>
      <w:r>
        <w:tab/>
      </w:r>
      <w:r w:rsidRPr="00A54A3A">
        <w:t>in annexes 9 and 10 of the GHS</w:t>
      </w:r>
      <w:r>
        <w:tab/>
      </w:r>
      <w:r>
        <w:tab/>
      </w:r>
      <w:r w:rsidR="00295EC8">
        <w:t>40-41</w:t>
      </w:r>
      <w:r w:rsidR="00295EC8">
        <w:tab/>
      </w:r>
      <w:r w:rsidR="00B92FB7">
        <w:t>9</w:t>
      </w:r>
    </w:p>
    <w:p w14:paraId="65F4046A" w14:textId="475A949C" w:rsidR="00CF0E94" w:rsidRPr="00A54A3A" w:rsidRDefault="00CF0E94" w:rsidP="00D66281">
      <w:pPr>
        <w:tabs>
          <w:tab w:val="right" w:pos="850"/>
          <w:tab w:val="left" w:pos="1134"/>
          <w:tab w:val="left" w:pos="1559"/>
          <w:tab w:val="left" w:pos="1984"/>
          <w:tab w:val="left" w:leader="dot" w:pos="7654"/>
          <w:tab w:val="right" w:pos="8929"/>
          <w:tab w:val="right" w:pos="9638"/>
        </w:tabs>
        <w:spacing w:after="120"/>
        <w:ind w:left="1560"/>
      </w:pPr>
      <w:r w:rsidRPr="00A54A3A">
        <w:t>2.</w:t>
      </w:r>
      <w:r w:rsidRPr="00A54A3A">
        <w:tab/>
        <w:t xml:space="preserve">Alignment of Annex 9 (section 9.7) and Annex 10 (on metals and </w:t>
      </w:r>
      <w:r w:rsidR="00100DB9">
        <w:br/>
      </w:r>
      <w:r w:rsidR="00100DB9">
        <w:tab/>
      </w:r>
      <w:r w:rsidRPr="00A54A3A">
        <w:t xml:space="preserve">metal compounds) to the criteria in Chapter 4.1 and the generic </w:t>
      </w:r>
      <w:r w:rsidR="00100DB9">
        <w:br/>
      </w:r>
      <w:r w:rsidR="00100DB9">
        <w:tab/>
      </w:r>
      <w:r w:rsidRPr="00A54A3A">
        <w:t>environmental hazard guidance</w:t>
      </w:r>
      <w:r>
        <w:tab/>
      </w:r>
      <w:r>
        <w:tab/>
      </w:r>
      <w:r w:rsidR="00295EC8">
        <w:t>42</w:t>
      </w:r>
      <w:r w:rsidR="00295EC8">
        <w:tab/>
        <w:t>10</w:t>
      </w:r>
    </w:p>
    <w:p w14:paraId="5D5A5489" w14:textId="1BEB43A9" w:rsidR="00CF0E94" w:rsidRPr="00A54A3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rsidRPr="00A54A3A">
        <w:tab/>
      </w:r>
      <w:r>
        <w:tab/>
      </w:r>
      <w:r w:rsidRPr="00A54A3A">
        <w:t>E.</w:t>
      </w:r>
      <w:r w:rsidRPr="00A54A3A">
        <w:tab/>
        <w:t>New proposals</w:t>
      </w:r>
      <w:r>
        <w:tab/>
      </w:r>
      <w:r>
        <w:tab/>
      </w:r>
      <w:r w:rsidR="00160785">
        <w:t>43</w:t>
      </w:r>
      <w:r w:rsidR="00160785">
        <w:tab/>
        <w:t>10</w:t>
      </w:r>
    </w:p>
    <w:p w14:paraId="6D69F989" w14:textId="155D3081" w:rsidR="00CF0E94" w:rsidRPr="00A54A3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rsidRPr="00A54A3A">
        <w:tab/>
        <w:t>VII.</w:t>
      </w:r>
      <w:r w:rsidRPr="00A54A3A">
        <w:tab/>
        <w:t>Implementation of the GHS (agenda item 5)</w:t>
      </w:r>
      <w:r>
        <w:tab/>
      </w:r>
      <w:r>
        <w:tab/>
      </w:r>
      <w:r w:rsidR="001325DB">
        <w:t>44-50</w:t>
      </w:r>
      <w:r>
        <w:tab/>
      </w:r>
      <w:r w:rsidR="001325DB">
        <w:t>10</w:t>
      </w:r>
    </w:p>
    <w:p w14:paraId="159700F2" w14:textId="6C593810" w:rsidR="00CF0E94" w:rsidRPr="00A54A3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rsidRPr="00A54A3A">
        <w:tab/>
      </w:r>
      <w:r>
        <w:tab/>
      </w:r>
      <w:r w:rsidRPr="00A54A3A">
        <w:t>A.</w:t>
      </w:r>
      <w:r w:rsidRPr="00A54A3A">
        <w:tab/>
        <w:t xml:space="preserve">Possible development of a list of chemicals classified </w:t>
      </w:r>
      <w:r w:rsidR="00100DB9">
        <w:br/>
      </w:r>
      <w:r w:rsidRPr="00A54A3A">
        <w:t>in accordance with the GHS</w:t>
      </w:r>
      <w:r>
        <w:tab/>
      </w:r>
      <w:r>
        <w:tab/>
      </w:r>
      <w:r w:rsidR="00183273">
        <w:t>44-45</w:t>
      </w:r>
      <w:r w:rsidR="00183273">
        <w:tab/>
        <w:t>10</w:t>
      </w:r>
    </w:p>
    <w:p w14:paraId="5D0C0746" w14:textId="78D68E7E" w:rsidR="00CF0E94" w:rsidRPr="00A54A3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rsidRPr="00A54A3A">
        <w:tab/>
      </w:r>
      <w:r>
        <w:tab/>
      </w:r>
      <w:r w:rsidRPr="00A54A3A">
        <w:t>B.</w:t>
      </w:r>
      <w:r w:rsidRPr="00A54A3A">
        <w:tab/>
        <w:t>Reports on the status of implementation</w:t>
      </w:r>
      <w:r>
        <w:tab/>
      </w:r>
      <w:r>
        <w:tab/>
      </w:r>
      <w:r w:rsidR="00183273">
        <w:t>46-48</w:t>
      </w:r>
      <w:r>
        <w:tab/>
      </w:r>
      <w:r w:rsidR="00183273">
        <w:t>10</w:t>
      </w:r>
    </w:p>
    <w:p w14:paraId="317FED96" w14:textId="75252376" w:rsidR="00CF0E94" w:rsidRPr="00A54A3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rsidRPr="00A54A3A">
        <w:tab/>
      </w:r>
      <w:r>
        <w:tab/>
      </w:r>
      <w:r w:rsidRPr="00A54A3A">
        <w:t>C.</w:t>
      </w:r>
      <w:r w:rsidRPr="00A54A3A">
        <w:tab/>
        <w:t>Cooperation with other bodies or international organizations</w:t>
      </w:r>
      <w:r>
        <w:tab/>
      </w:r>
      <w:r>
        <w:tab/>
      </w:r>
      <w:r w:rsidR="00183273">
        <w:t>49</w:t>
      </w:r>
      <w:r>
        <w:tab/>
      </w:r>
      <w:r w:rsidR="00183273">
        <w:t>11</w:t>
      </w:r>
    </w:p>
    <w:p w14:paraId="13CA4F37" w14:textId="07D3F274" w:rsidR="00CF0E94" w:rsidRPr="00A54A3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rsidRPr="00A54A3A">
        <w:tab/>
      </w:r>
      <w:r>
        <w:tab/>
      </w:r>
      <w:r w:rsidRPr="00A54A3A">
        <w:t xml:space="preserve">D. </w:t>
      </w:r>
      <w:r w:rsidRPr="00A54A3A">
        <w:tab/>
        <w:t>Miscellaneous</w:t>
      </w:r>
      <w:r>
        <w:tab/>
      </w:r>
      <w:r>
        <w:tab/>
      </w:r>
      <w:r w:rsidR="00893A3C">
        <w:t>50</w:t>
      </w:r>
      <w:r>
        <w:tab/>
      </w:r>
      <w:r w:rsidR="00893A3C">
        <w:t>11</w:t>
      </w:r>
    </w:p>
    <w:p w14:paraId="534D9B8A" w14:textId="78378069" w:rsidR="00CF0E94" w:rsidRPr="00A54A3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rsidRPr="00A54A3A">
        <w:tab/>
        <w:t>VIII.</w:t>
      </w:r>
      <w:r w:rsidRPr="00A54A3A">
        <w:tab/>
        <w:t>Development of guidance on the application of GHS criteria (agenda item 6)</w:t>
      </w:r>
      <w:r>
        <w:tab/>
      </w:r>
      <w:r>
        <w:tab/>
      </w:r>
      <w:r w:rsidR="00893A3C">
        <w:t>51</w:t>
      </w:r>
      <w:r>
        <w:tab/>
      </w:r>
      <w:r w:rsidR="00893A3C">
        <w:t>11</w:t>
      </w:r>
    </w:p>
    <w:p w14:paraId="6354DD90" w14:textId="03E30AA2" w:rsidR="00CF0E94" w:rsidRPr="00A54A3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rsidRPr="00A54A3A">
        <w:tab/>
        <w:t xml:space="preserve">IX. </w:t>
      </w:r>
      <w:r w:rsidRPr="00A54A3A">
        <w:tab/>
        <w:t>Capacity building (agenda item 7)</w:t>
      </w:r>
      <w:r>
        <w:tab/>
      </w:r>
      <w:r>
        <w:tab/>
      </w:r>
      <w:r w:rsidR="00893A3C">
        <w:t>52-53</w:t>
      </w:r>
      <w:r>
        <w:tab/>
      </w:r>
      <w:r w:rsidR="00893A3C">
        <w:t>11</w:t>
      </w:r>
    </w:p>
    <w:p w14:paraId="49C4D4BF" w14:textId="068FDDE2" w:rsidR="00CF0E94" w:rsidRPr="00A54A3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rsidRPr="00A54A3A">
        <w:tab/>
        <w:t xml:space="preserve">X. </w:t>
      </w:r>
      <w:r w:rsidRPr="00A54A3A">
        <w:tab/>
        <w:t>Programme of work for the biennium 2021-2022 (agenda item 8)</w:t>
      </w:r>
      <w:r>
        <w:tab/>
      </w:r>
      <w:r>
        <w:tab/>
      </w:r>
      <w:r w:rsidR="00267F30">
        <w:t>54-55</w:t>
      </w:r>
      <w:r w:rsidR="00DF7EC3">
        <w:tab/>
      </w:r>
      <w:r w:rsidR="001C5AAB">
        <w:t>1</w:t>
      </w:r>
      <w:r w:rsidR="0034007B">
        <w:t>1</w:t>
      </w:r>
    </w:p>
    <w:p w14:paraId="1F2291C2" w14:textId="7BEFD035" w:rsidR="00CF0E94" w:rsidRPr="00A54A3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rsidRPr="00A54A3A">
        <w:tab/>
        <w:t xml:space="preserve">XI. </w:t>
      </w:r>
      <w:r w:rsidRPr="00A54A3A">
        <w:tab/>
        <w:t>Draft Resolution 2021/… of the Economic and Social Council (agenda item 9)</w:t>
      </w:r>
      <w:r w:rsidR="00DF7EC3">
        <w:tab/>
      </w:r>
      <w:r w:rsidR="00DF7EC3">
        <w:tab/>
      </w:r>
      <w:r w:rsidR="001C5AAB">
        <w:t>56</w:t>
      </w:r>
      <w:r w:rsidR="00DF7EC3">
        <w:tab/>
      </w:r>
      <w:r w:rsidR="001C5AAB">
        <w:t>12</w:t>
      </w:r>
    </w:p>
    <w:p w14:paraId="0C3E884F" w14:textId="642962F3" w:rsidR="00CF0E94" w:rsidRPr="00A54A3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rsidRPr="00A54A3A">
        <w:tab/>
        <w:t xml:space="preserve">XII. </w:t>
      </w:r>
      <w:r w:rsidRPr="00A54A3A">
        <w:tab/>
        <w:t>Election of officers for the biennium 2021-2022 (agenda item 10)</w:t>
      </w:r>
      <w:r w:rsidR="00DF7EC3">
        <w:tab/>
      </w:r>
      <w:r w:rsidR="00DF7EC3">
        <w:tab/>
      </w:r>
      <w:r w:rsidR="001C5AAB">
        <w:t>57-58</w:t>
      </w:r>
      <w:r w:rsidR="00DF7EC3">
        <w:tab/>
      </w:r>
      <w:r w:rsidR="001C5AAB">
        <w:t>12</w:t>
      </w:r>
    </w:p>
    <w:p w14:paraId="56000774" w14:textId="234B518A" w:rsidR="00CF0E94" w:rsidRPr="00A54A3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rsidRPr="00A54A3A">
        <w:tab/>
        <w:t>XI</w:t>
      </w:r>
      <w:r w:rsidR="003900A5">
        <w:t>I</w:t>
      </w:r>
      <w:r w:rsidR="007415C2">
        <w:t>I</w:t>
      </w:r>
      <w:r w:rsidRPr="00A54A3A">
        <w:t xml:space="preserve">. </w:t>
      </w:r>
      <w:r w:rsidRPr="00A54A3A">
        <w:tab/>
        <w:t>Other business (agenda item 11)</w:t>
      </w:r>
      <w:r w:rsidR="00DF7EC3">
        <w:tab/>
      </w:r>
      <w:r w:rsidR="00DF7EC3">
        <w:tab/>
      </w:r>
      <w:r w:rsidR="00585134">
        <w:t>59-61</w:t>
      </w:r>
      <w:r w:rsidR="00DF7EC3">
        <w:tab/>
      </w:r>
      <w:r w:rsidR="00585134">
        <w:t>1</w:t>
      </w:r>
      <w:r w:rsidR="0034007B">
        <w:t>2</w:t>
      </w:r>
    </w:p>
    <w:p w14:paraId="5A2AD54A" w14:textId="2F8DAF50" w:rsidR="00CF0E94" w:rsidRPr="00A54A3A" w:rsidRDefault="00DF7EC3" w:rsidP="00D66281">
      <w:pPr>
        <w:tabs>
          <w:tab w:val="right" w:pos="850"/>
          <w:tab w:val="left" w:pos="1134"/>
          <w:tab w:val="left" w:pos="1559"/>
          <w:tab w:val="left" w:pos="1984"/>
          <w:tab w:val="left" w:leader="dot" w:pos="7654"/>
          <w:tab w:val="right" w:pos="8929"/>
          <w:tab w:val="right" w:pos="9638"/>
        </w:tabs>
        <w:spacing w:after="120"/>
        <w:ind w:left="1560" w:hanging="1560"/>
      </w:pPr>
      <w:r>
        <w:tab/>
      </w:r>
      <w:r>
        <w:tab/>
        <w:t>A</w:t>
      </w:r>
      <w:r w:rsidR="00CF0E94">
        <w:t>.</w:t>
      </w:r>
      <w:r w:rsidR="00CF0E94" w:rsidRPr="00A54A3A">
        <w:tab/>
        <w:t>Tribute</w:t>
      </w:r>
      <w:r w:rsidR="00E40E60">
        <w:t>s</w:t>
      </w:r>
      <w:r w:rsidR="00CF0E94" w:rsidRPr="00A54A3A">
        <w:t xml:space="preserve"> </w:t>
      </w:r>
      <w:r w:rsidR="00E40E60">
        <w:tab/>
      </w:r>
      <w:r w:rsidR="00E40E60">
        <w:tab/>
      </w:r>
      <w:r w:rsidR="00585134">
        <w:t>59-60</w:t>
      </w:r>
      <w:r w:rsidR="00E40E60">
        <w:tab/>
      </w:r>
      <w:r w:rsidR="00585134">
        <w:t>1</w:t>
      </w:r>
      <w:r w:rsidR="0034007B">
        <w:t>2</w:t>
      </w:r>
    </w:p>
    <w:p w14:paraId="38456428" w14:textId="4D594B4D" w:rsidR="00CF0E94" w:rsidRDefault="00E40E60" w:rsidP="00D66281">
      <w:pPr>
        <w:tabs>
          <w:tab w:val="right" w:pos="850"/>
          <w:tab w:val="left" w:pos="1134"/>
          <w:tab w:val="left" w:pos="1559"/>
          <w:tab w:val="left" w:pos="1984"/>
          <w:tab w:val="left" w:leader="dot" w:pos="7654"/>
          <w:tab w:val="right" w:pos="8929"/>
          <w:tab w:val="right" w:pos="9638"/>
        </w:tabs>
        <w:spacing w:after="120"/>
        <w:ind w:left="1560" w:hanging="1560"/>
      </w:pPr>
      <w:r>
        <w:tab/>
      </w:r>
      <w:r>
        <w:tab/>
      </w:r>
      <w:r w:rsidR="00DF7EC3">
        <w:t>B</w:t>
      </w:r>
      <w:r w:rsidR="00CF0E94" w:rsidRPr="00ED5EFC">
        <w:t>.</w:t>
      </w:r>
      <w:r w:rsidR="00CF0E94" w:rsidRPr="00ED5EFC">
        <w:tab/>
        <w:t>Dates of the next session and document submission deadline</w:t>
      </w:r>
      <w:r>
        <w:tab/>
      </w:r>
      <w:r>
        <w:tab/>
      </w:r>
      <w:r w:rsidR="00585134">
        <w:t>61</w:t>
      </w:r>
      <w:r>
        <w:tab/>
      </w:r>
      <w:r w:rsidR="00585134">
        <w:t>13</w:t>
      </w:r>
    </w:p>
    <w:p w14:paraId="59201810" w14:textId="75832266" w:rsidR="00CF0E94" w:rsidRPr="00A54A3A" w:rsidRDefault="00CF0E94" w:rsidP="00D66281">
      <w:pPr>
        <w:tabs>
          <w:tab w:val="right" w:pos="850"/>
          <w:tab w:val="left" w:pos="1134"/>
          <w:tab w:val="left" w:pos="1559"/>
          <w:tab w:val="left" w:pos="1984"/>
          <w:tab w:val="left" w:leader="dot" w:pos="7654"/>
          <w:tab w:val="right" w:pos="8929"/>
          <w:tab w:val="right" w:pos="9638"/>
        </w:tabs>
        <w:spacing w:after="120"/>
        <w:ind w:left="1560" w:hanging="1560"/>
      </w:pPr>
      <w:r w:rsidRPr="00A54A3A">
        <w:tab/>
        <w:t>X</w:t>
      </w:r>
      <w:r w:rsidR="003900A5">
        <w:t>I</w:t>
      </w:r>
      <w:r w:rsidR="007415C2">
        <w:t>V</w:t>
      </w:r>
      <w:r w:rsidRPr="00A54A3A">
        <w:t xml:space="preserve">. </w:t>
      </w:r>
      <w:r w:rsidRPr="00A54A3A">
        <w:tab/>
        <w:t>Adoption of the report (agenda item 12)</w:t>
      </w:r>
      <w:r w:rsidR="00E40E60">
        <w:tab/>
      </w:r>
      <w:r w:rsidR="00E40E60">
        <w:tab/>
      </w:r>
      <w:r w:rsidR="00585134">
        <w:t>62</w:t>
      </w:r>
      <w:r w:rsidR="00E40E60">
        <w:tab/>
      </w:r>
      <w:r w:rsidR="00585134">
        <w:t>13</w:t>
      </w:r>
    </w:p>
    <w:p w14:paraId="44434DAC" w14:textId="22DF5BD3" w:rsidR="00C909B2" w:rsidRDefault="00C909B2" w:rsidP="00C909B2">
      <w:pPr>
        <w:tabs>
          <w:tab w:val="right" w:pos="850"/>
          <w:tab w:val="left" w:pos="1134"/>
          <w:tab w:val="left" w:pos="1559"/>
          <w:tab w:val="left" w:pos="1984"/>
          <w:tab w:val="left" w:leader="dot" w:pos="7654"/>
          <w:tab w:val="right" w:pos="8929"/>
          <w:tab w:val="right" w:pos="9638"/>
        </w:tabs>
        <w:spacing w:after="120"/>
        <w:ind w:left="1560" w:hanging="1560"/>
      </w:pPr>
    </w:p>
    <w:p w14:paraId="4482D694" w14:textId="0B0D6817" w:rsidR="00E40E60" w:rsidRDefault="00E40E60" w:rsidP="00C909B2">
      <w:pPr>
        <w:tabs>
          <w:tab w:val="right" w:pos="850"/>
          <w:tab w:val="left" w:pos="1134"/>
          <w:tab w:val="left" w:pos="1559"/>
          <w:tab w:val="left" w:pos="1984"/>
          <w:tab w:val="left" w:leader="dot" w:pos="7654"/>
          <w:tab w:val="right" w:pos="8929"/>
          <w:tab w:val="right" w:pos="9638"/>
        </w:tabs>
        <w:spacing w:after="120"/>
        <w:ind w:left="1560" w:hanging="1560"/>
      </w:pPr>
      <w:r>
        <w:t xml:space="preserve">Annexes </w:t>
      </w:r>
    </w:p>
    <w:p w14:paraId="4C6BCAAE" w14:textId="43845CB4" w:rsidR="00E36400" w:rsidRDefault="00761AC1" w:rsidP="00D66281">
      <w:pPr>
        <w:tabs>
          <w:tab w:val="right" w:pos="850"/>
          <w:tab w:val="left" w:pos="1134"/>
          <w:tab w:val="left" w:pos="1559"/>
          <w:tab w:val="left" w:pos="1984"/>
          <w:tab w:val="left" w:leader="dot" w:pos="8931"/>
          <w:tab w:val="right" w:pos="9638"/>
        </w:tabs>
        <w:spacing w:after="120"/>
        <w:ind w:left="1560" w:hanging="1560"/>
      </w:pPr>
      <w:r>
        <w:tab/>
        <w:t>I.</w:t>
      </w:r>
      <w:r>
        <w:tab/>
      </w:r>
      <w:r w:rsidRPr="00761AC1">
        <w:t xml:space="preserve">Draft amendments to the eighth revised edition of the </w:t>
      </w:r>
      <w:r w:rsidR="00432867">
        <w:t>GHS</w:t>
      </w:r>
      <w:r w:rsidRPr="00761AC1">
        <w:t xml:space="preserve"> (ST/SG/AC.10/30/Rev.8)</w:t>
      </w:r>
      <w:r w:rsidR="00B00A01">
        <w:tab/>
      </w:r>
      <w:r w:rsidR="00B00A01">
        <w:tab/>
      </w:r>
      <w:r w:rsidR="00FE341C">
        <w:t>14</w:t>
      </w:r>
    </w:p>
    <w:p w14:paraId="0B15EC89" w14:textId="3E140A7F" w:rsidR="00E36400" w:rsidRDefault="00761AC1" w:rsidP="00D66281">
      <w:pPr>
        <w:tabs>
          <w:tab w:val="right" w:pos="850"/>
          <w:tab w:val="left" w:pos="1134"/>
          <w:tab w:val="left" w:pos="1559"/>
          <w:tab w:val="left" w:pos="1984"/>
          <w:tab w:val="left" w:leader="dot" w:pos="8931"/>
          <w:tab w:val="right" w:pos="9638"/>
        </w:tabs>
        <w:spacing w:after="120"/>
        <w:ind w:left="1560" w:hanging="1560"/>
      </w:pPr>
      <w:r>
        <w:tab/>
      </w:r>
      <w:r w:rsidRPr="00D66281">
        <w:t>II.</w:t>
      </w:r>
      <w:r w:rsidRPr="00D66281">
        <w:tab/>
      </w:r>
      <w:r w:rsidR="003934FE" w:rsidRPr="00D66281">
        <w:rPr>
          <w:lang w:eastAsia="en-US"/>
        </w:rPr>
        <w:t>Programme of work of the Sub-Committee for 2021-2022</w:t>
      </w:r>
      <w:r>
        <w:tab/>
      </w:r>
      <w:r>
        <w:tab/>
      </w:r>
      <w:r w:rsidR="00FE341C">
        <w:t>20</w:t>
      </w:r>
    </w:p>
    <w:p w14:paraId="10276A04" w14:textId="531ADA9E" w:rsidR="00E36400" w:rsidRDefault="00E36400">
      <w:pPr>
        <w:suppressAutoHyphens w:val="0"/>
        <w:kinsoku/>
        <w:overflowPunct/>
        <w:autoSpaceDE/>
        <w:autoSpaceDN/>
        <w:adjustRightInd/>
        <w:snapToGrid/>
        <w:spacing w:after="200" w:line="276" w:lineRule="auto"/>
      </w:pPr>
      <w:r>
        <w:br w:type="page"/>
      </w:r>
    </w:p>
    <w:p w14:paraId="713C3E90" w14:textId="7990423D" w:rsidR="00E36400" w:rsidRPr="003E30EF" w:rsidRDefault="003E30EF" w:rsidP="003E30EF">
      <w:pPr>
        <w:pStyle w:val="HChG"/>
      </w:pPr>
      <w:r w:rsidRPr="003E30EF">
        <w:lastRenderedPageBreak/>
        <w:tab/>
      </w:r>
      <w:r w:rsidR="00E36400" w:rsidRPr="003E30EF">
        <w:t>I.</w:t>
      </w:r>
      <w:r w:rsidR="00E36400" w:rsidRPr="003E30EF">
        <w:tab/>
        <w:t>Attendance</w:t>
      </w:r>
    </w:p>
    <w:p w14:paraId="2F3914BF" w14:textId="77777777" w:rsidR="00E36400" w:rsidRDefault="00E36400" w:rsidP="00E36400">
      <w:pPr>
        <w:pStyle w:val="SingleTxtG"/>
      </w:pPr>
      <w:r>
        <w:t>1.</w:t>
      </w:r>
      <w:r>
        <w:tab/>
        <w:t>The Sub-Committee of Experts on the Globally Harmonized System of Classification and Labelling of Chemicals held its thirty-ninth session from 9 to 11 December 2020, with Ms. Maureen Ruskin (United States of America) as Chairperson.</w:t>
      </w:r>
    </w:p>
    <w:p w14:paraId="3BDDB5BC" w14:textId="6AA1EDA0" w:rsidR="00E36400" w:rsidRPr="00144EFA" w:rsidRDefault="00E36400" w:rsidP="00E36400">
      <w:pPr>
        <w:pStyle w:val="SingleTxtG"/>
      </w:pPr>
      <w:r w:rsidRPr="00144EFA">
        <w:t>2.</w:t>
      </w:r>
      <w:r w:rsidRPr="00144EFA">
        <w:tab/>
        <w:t xml:space="preserve">Experts from the following countries took part in the session: Argentina, Australia, Austria, Brazil, Canada, China, Finland, France, Germany, Italy, Japan, Netherlands, New Zealand, Norway, Poland, Republic of Korea, Serbia, </w:t>
      </w:r>
      <w:r w:rsidR="00880B94">
        <w:t xml:space="preserve">South Africa, </w:t>
      </w:r>
      <w:r w:rsidRPr="00144EFA">
        <w:t>Spain, Sweden, United Kingdom, United States of America and Zambia.</w:t>
      </w:r>
    </w:p>
    <w:p w14:paraId="4391B8AD" w14:textId="6126089C" w:rsidR="00E36400" w:rsidRPr="007562BB" w:rsidRDefault="00E36400" w:rsidP="00E36400">
      <w:pPr>
        <w:pStyle w:val="SingleTxtG"/>
      </w:pPr>
      <w:r w:rsidRPr="007562BB">
        <w:t>3.</w:t>
      </w:r>
      <w:r w:rsidRPr="007562BB">
        <w:tab/>
        <w:t>Under rule 72 of the rules of procedure of the Economic and Social Council, observers from Chile, Myanmar, Peru</w:t>
      </w:r>
      <w:r w:rsidR="00A159D7">
        <w:t>,</w:t>
      </w:r>
      <w:r w:rsidRPr="007562BB">
        <w:t xml:space="preserve"> the Philippines </w:t>
      </w:r>
      <w:r w:rsidR="00A159D7">
        <w:t xml:space="preserve">and Switzerland </w:t>
      </w:r>
      <w:r w:rsidRPr="007562BB">
        <w:t>also took part.</w:t>
      </w:r>
    </w:p>
    <w:p w14:paraId="2255E975" w14:textId="4C1E4F50" w:rsidR="00E36400" w:rsidRPr="00491335" w:rsidRDefault="00A32EC4" w:rsidP="00E36400">
      <w:pPr>
        <w:pStyle w:val="SingleTxtG"/>
      </w:pPr>
      <w:r>
        <w:t>4</w:t>
      </w:r>
      <w:r w:rsidR="00E36400" w:rsidRPr="00491335">
        <w:t>.</w:t>
      </w:r>
      <w:r w:rsidR="00E36400" w:rsidRPr="00491335">
        <w:tab/>
        <w:t>The following intergovernmental organizations were also represented: European Union and Organisation for Economic Cooperation and Development (OECD).</w:t>
      </w:r>
    </w:p>
    <w:p w14:paraId="54EA0026" w14:textId="68011CFB" w:rsidR="00E36400" w:rsidRPr="002E1B67" w:rsidRDefault="00A32EC4">
      <w:pPr>
        <w:pStyle w:val="SingleTxtG"/>
      </w:pPr>
      <w:r>
        <w:t>5</w:t>
      </w:r>
      <w:r w:rsidR="00E36400" w:rsidRPr="002E1B67">
        <w:t>.</w:t>
      </w:r>
      <w:r w:rsidR="00E36400" w:rsidRPr="002E1B67">
        <w:tab/>
        <w:t>Representatives of the following non-governmental organizations took part in the discussion of items of concern to their organizations: Australian Explosives Industry and Safety Group Incorporated (AEISG); Compressed Gas Association (CGA); Croplife International; Dangerous Goods Advisory Council (DGAC); European Association of Automotive Suppliers (CLEPA); European Chemical Industry Council (C</w:t>
      </w:r>
      <w:r w:rsidR="00E36400">
        <w:t>efic</w:t>
      </w:r>
      <w:r w:rsidR="00E36400" w:rsidRPr="002E1B67">
        <w:t xml:space="preserve">); European Industrial Gases Association (EIGA); </w:t>
      </w:r>
      <w:r w:rsidR="00E36400" w:rsidRPr="007F1628">
        <w:t>Federation of European Aerosol Associations (FEA)</w:t>
      </w:r>
      <w:r w:rsidR="00E36400">
        <w:t xml:space="preserve">; </w:t>
      </w:r>
      <w:r w:rsidR="00E36400" w:rsidRPr="009D71ED">
        <w:t>Industrial</w:t>
      </w:r>
      <w:r w:rsidR="00E36400" w:rsidRPr="0043324D">
        <w:t xml:space="preserve"> Federation Paints and Coats of Mercosul (IFPCM); </w:t>
      </w:r>
      <w:r w:rsidR="00AE4588">
        <w:t xml:space="preserve">International Association for Soaps, Detergents and Maintenance Products (AISE); </w:t>
      </w:r>
      <w:r w:rsidR="00A159D7">
        <w:t xml:space="preserve">International Council </w:t>
      </w:r>
      <w:r w:rsidR="00FF00CB">
        <w:t xml:space="preserve">on Mining and Metals (ICMM); </w:t>
      </w:r>
      <w:r w:rsidR="00E36400" w:rsidRPr="002E1B67">
        <w:t>International Petroleum Industry Environmental Conservation Association (IPIECA); Institute of Makers of Explosives (IME); Responsible Packaging Management Association of Southern Africa (RPMASA); Sporting Arms and Ammunition Manufacturers’ Institute (SAAMI)</w:t>
      </w:r>
      <w:r w:rsidR="00E36400">
        <w:t xml:space="preserve"> and World Coatings Council (formerly IPPIC)</w:t>
      </w:r>
      <w:r w:rsidR="00E36400" w:rsidRPr="002E1B67">
        <w:t>.</w:t>
      </w:r>
    </w:p>
    <w:p w14:paraId="3014990F" w14:textId="77777777" w:rsidR="00E36400" w:rsidRDefault="00E36400" w:rsidP="003E30EF">
      <w:pPr>
        <w:pStyle w:val="HChG"/>
      </w:pPr>
      <w:r>
        <w:tab/>
        <w:t>II</w:t>
      </w:r>
      <w:r w:rsidRPr="007A297D">
        <w:t>.</w:t>
      </w:r>
      <w:r w:rsidRPr="007A297D">
        <w:tab/>
        <w:t>Organizational matters</w:t>
      </w:r>
    </w:p>
    <w:p w14:paraId="21409377" w14:textId="354B3019" w:rsidR="00E36400" w:rsidRDefault="00E36400" w:rsidP="00E36400">
      <w:pPr>
        <w:pStyle w:val="SingleTxtG"/>
        <w:ind w:left="3402" w:hanging="2268"/>
        <w:jc w:val="left"/>
      </w:pPr>
      <w:r w:rsidRPr="00A7198A">
        <w:rPr>
          <w:i/>
        </w:rPr>
        <w:t>Informal document</w:t>
      </w:r>
      <w:r w:rsidRPr="00A7198A">
        <w:t xml:space="preserve">: </w:t>
      </w:r>
      <w:r w:rsidRPr="00A7198A">
        <w:tab/>
        <w:t>INF.1</w:t>
      </w:r>
      <w:r>
        <w:t xml:space="preserve">7 </w:t>
      </w:r>
      <w:r w:rsidRPr="00A7198A">
        <w:t>(</w:t>
      </w:r>
      <w:r>
        <w:t>secretariat</w:t>
      </w:r>
      <w:r w:rsidRPr="00A7198A">
        <w:t xml:space="preserve">) </w:t>
      </w:r>
    </w:p>
    <w:p w14:paraId="45660CDA" w14:textId="0DC1B861" w:rsidR="00E36400" w:rsidRPr="00F67EE5" w:rsidRDefault="00A32EC4" w:rsidP="00E36400">
      <w:pPr>
        <w:suppressAutoHyphens w:val="0"/>
        <w:spacing w:after="120" w:line="240" w:lineRule="auto"/>
        <w:ind w:left="1134" w:right="1134"/>
        <w:jc w:val="both"/>
      </w:pPr>
      <w:r>
        <w:t>6</w:t>
      </w:r>
      <w:r w:rsidR="00E36400" w:rsidRPr="006723B4">
        <w:t>.</w:t>
      </w:r>
      <w:r w:rsidR="00E36400" w:rsidRPr="006723B4">
        <w:tab/>
        <w:t>Due to the outbreak and evolution of the coronavirus (COVID-19) pandemic</w:t>
      </w:r>
      <w:r w:rsidR="00E36400">
        <w:t xml:space="preserve"> during the first half of 2020</w:t>
      </w:r>
      <w:r w:rsidR="00E36400" w:rsidRPr="006723B4">
        <w:t>, the thirty-ninth session of the Sub-Committee, initially scheduled to take place from 8 to 10 July 2020 was postponed until December. To help the Sub-Committee progress with the proposals that had already been submitted for the July session, the secretariat set up an online platform for exchange of comments in writing</w:t>
      </w:r>
      <w:r w:rsidR="00E36400">
        <w:t xml:space="preserve"> and organised informal virtual meetings for those proposals for which additional discussion was needed to clarify the feedback received in writing.</w:t>
      </w:r>
      <w:r w:rsidR="00E36400" w:rsidRPr="006723B4">
        <w:t xml:space="preserve"> </w:t>
      </w:r>
      <w:r w:rsidR="00E36400">
        <w:t xml:space="preserve">As a result of these exchanges, several proposals </w:t>
      </w:r>
      <w:r w:rsidR="00E36400" w:rsidRPr="00F67EE5">
        <w:t>were modified to take account of the comments received and were submitted as revisions or addenda to the original documents, for consideration at the December session.</w:t>
      </w:r>
    </w:p>
    <w:p w14:paraId="7707F21D" w14:textId="5BCB29FE" w:rsidR="00E36400" w:rsidRPr="00F67EE5" w:rsidRDefault="00A32EC4" w:rsidP="00E36400">
      <w:pPr>
        <w:suppressAutoHyphens w:val="0"/>
        <w:spacing w:after="120" w:line="240" w:lineRule="auto"/>
        <w:ind w:left="1134" w:right="1134"/>
        <w:jc w:val="both"/>
      </w:pPr>
      <w:r>
        <w:t>7</w:t>
      </w:r>
      <w:r w:rsidR="00E36400" w:rsidRPr="00F67EE5">
        <w:t>.</w:t>
      </w:r>
      <w:r w:rsidR="00E36400" w:rsidRPr="00F67EE5">
        <w:tab/>
        <w:t xml:space="preserve">After the deadline for submission of official documents, the secretariat was informed that due to a combination of COVID-19 response measures, financial constraints triggered by the United Nations liquidity crisis, ongoing renovation work at the Palais des Nations under the strategic heritage plan and technical constraints related to the </w:t>
      </w:r>
      <w:r w:rsidR="00E36400">
        <w:t>amount</w:t>
      </w:r>
      <w:r w:rsidR="00E36400" w:rsidRPr="00F67EE5">
        <w:t xml:space="preserve"> of meeting rooms available for hybrid meetings, the share of meetings with interpretation allocated to meetings serviced by the Economic Commission for </w:t>
      </w:r>
      <w:r w:rsidR="00E36400" w:rsidRPr="00450AFB">
        <w:t xml:space="preserve">Europe had been significantly reduced </w:t>
      </w:r>
      <w:r w:rsidR="00E36400" w:rsidRPr="00F67EE5">
        <w:t xml:space="preserve">for the last quarter of 2020. With this in mind and taking into account the quarantine and travel restrictions in force worldwide, the secretariat </w:t>
      </w:r>
      <w:r w:rsidR="00E36400">
        <w:t xml:space="preserve">consulted with Conference Services on possible </w:t>
      </w:r>
      <w:r w:rsidR="00E36400" w:rsidRPr="00F67EE5">
        <w:t>available options to adapt the format of the thirty-ninth session.</w:t>
      </w:r>
    </w:p>
    <w:p w14:paraId="06E04A75" w14:textId="1C16DD6D" w:rsidR="00E36400" w:rsidRPr="00F67EE5" w:rsidRDefault="00A32EC4" w:rsidP="00E36400">
      <w:pPr>
        <w:suppressAutoHyphens w:val="0"/>
        <w:spacing w:after="120" w:line="240" w:lineRule="auto"/>
        <w:ind w:left="1134" w:right="1134"/>
        <w:jc w:val="both"/>
      </w:pPr>
      <w:r>
        <w:t>8</w:t>
      </w:r>
      <w:r w:rsidR="00E36400" w:rsidRPr="00F67EE5">
        <w:t>.</w:t>
      </w:r>
      <w:r w:rsidR="00E36400" w:rsidRPr="00F67EE5">
        <w:tab/>
        <w:t xml:space="preserve">A letter from the Chairperson was sent on 12 October 2020 to all participants in the work of the Sub-Committee during the period 2019-2020 and their Permanent Missions of Member to the United Nations Office at Geneva, with a proposal for the working arrangements for the thirty-ninth session and a request for consideration through silence procedure. </w:t>
      </w:r>
      <w:r w:rsidR="00E36400">
        <w:t>In the absence of objections received within</w:t>
      </w:r>
      <w:r w:rsidR="00E36400" w:rsidRPr="00F67EE5">
        <w:t xml:space="preserve"> the established deadline the proposed working arrangements were deemed accepted.</w:t>
      </w:r>
    </w:p>
    <w:p w14:paraId="65953129" w14:textId="34396482" w:rsidR="00E36400" w:rsidRDefault="00A32EC4" w:rsidP="00D66281">
      <w:pPr>
        <w:keepNext/>
        <w:keepLines/>
        <w:suppressAutoHyphens w:val="0"/>
        <w:spacing w:after="120" w:line="240" w:lineRule="auto"/>
        <w:ind w:left="1134" w:right="1134"/>
        <w:jc w:val="both"/>
      </w:pPr>
      <w:r>
        <w:lastRenderedPageBreak/>
        <w:t>9</w:t>
      </w:r>
      <w:r w:rsidR="00E36400" w:rsidRPr="000007B5">
        <w:t>.</w:t>
      </w:r>
      <w:r w:rsidR="00E36400" w:rsidRPr="000007B5">
        <w:tab/>
        <w:t>Accordingly, the secretariat set up again the online platform to exchange comments in writing on all proposals submitted for consideration at the thirty-ninth session in December and made the necessary arrangements to organise it in a format allowing remote and on-site participation, with a combination of informal and official meetings, as indicated in informal document INF.17.</w:t>
      </w:r>
    </w:p>
    <w:p w14:paraId="278BD6C0" w14:textId="77777777" w:rsidR="00E36400" w:rsidRPr="006B1422" w:rsidRDefault="00E36400" w:rsidP="00E36400">
      <w:pPr>
        <w:pStyle w:val="HChG"/>
      </w:pPr>
      <w:r w:rsidRPr="006B1422">
        <w:tab/>
        <w:t>III.</w:t>
      </w:r>
      <w:r w:rsidRPr="006B1422">
        <w:tab/>
        <w:t>Adoption of the agenda (agenda item 1)</w:t>
      </w:r>
    </w:p>
    <w:p w14:paraId="3ABA49F5" w14:textId="77777777" w:rsidR="00E36400" w:rsidRPr="00A7198A" w:rsidRDefault="00E36400" w:rsidP="00E36400">
      <w:pPr>
        <w:pStyle w:val="SingleTxtG"/>
        <w:tabs>
          <w:tab w:val="left" w:pos="3119"/>
        </w:tabs>
        <w:ind w:left="3402" w:hanging="2268"/>
        <w:jc w:val="left"/>
      </w:pPr>
      <w:r w:rsidRPr="00A7198A">
        <w:rPr>
          <w:i/>
        </w:rPr>
        <w:t>Documents:</w:t>
      </w:r>
      <w:r w:rsidRPr="00A7198A">
        <w:t xml:space="preserve"> </w:t>
      </w:r>
      <w:r w:rsidRPr="00A7198A">
        <w:tab/>
      </w:r>
      <w:r w:rsidRPr="00A7198A">
        <w:tab/>
        <w:t xml:space="preserve">ST/SG/AC.10/C.4/77/Rev.1 </w:t>
      </w:r>
      <w:r>
        <w:t xml:space="preserve">and </w:t>
      </w:r>
      <w:r w:rsidRPr="00A7198A">
        <w:t>ST/SG/AC.10/C.4/77/Rev.1/Add.1 (</w:t>
      </w:r>
      <w:r>
        <w:t>secretariat</w:t>
      </w:r>
      <w:r w:rsidRPr="00A7198A">
        <w:t>)</w:t>
      </w:r>
    </w:p>
    <w:p w14:paraId="17B41D6A" w14:textId="77777777" w:rsidR="00E36400" w:rsidRDefault="00E36400" w:rsidP="00E36400">
      <w:pPr>
        <w:pStyle w:val="SingleTxtG"/>
        <w:ind w:left="3402" w:hanging="2268"/>
        <w:jc w:val="left"/>
      </w:pPr>
      <w:r w:rsidRPr="00A7198A">
        <w:rPr>
          <w:i/>
        </w:rPr>
        <w:t>Informal documents</w:t>
      </w:r>
      <w:r w:rsidRPr="00A7198A">
        <w:t xml:space="preserve">: </w:t>
      </w:r>
      <w:r w:rsidRPr="00A7198A">
        <w:tab/>
        <w:t>INF.1, INF.2</w:t>
      </w:r>
      <w:r>
        <w:t xml:space="preserve"> and INF.35 </w:t>
      </w:r>
      <w:r w:rsidRPr="00A7198A">
        <w:t>(</w:t>
      </w:r>
      <w:r>
        <w:t>secretariat</w:t>
      </w:r>
      <w:r w:rsidRPr="00A7198A">
        <w:t xml:space="preserve">) </w:t>
      </w:r>
      <w:r w:rsidRPr="00A7198A">
        <w:br/>
      </w:r>
    </w:p>
    <w:p w14:paraId="73D92413" w14:textId="3B44C5E5" w:rsidR="00E36400" w:rsidRPr="003F6C63" w:rsidRDefault="00A32EC4" w:rsidP="00E36400">
      <w:pPr>
        <w:pStyle w:val="SingleTxtG"/>
      </w:pPr>
      <w:r>
        <w:t>10</w:t>
      </w:r>
      <w:r w:rsidR="00E36400" w:rsidRPr="00A7198A">
        <w:t>.</w:t>
      </w:r>
      <w:r w:rsidR="00E36400" w:rsidRPr="00A7198A">
        <w:tab/>
        <w:t>The Sub-Committee adopted the provisional agenda prepared by the secretariat after amending it to take account of informal documents INF.1 to INF.</w:t>
      </w:r>
      <w:r w:rsidR="00473544">
        <w:t>37</w:t>
      </w:r>
      <w:r w:rsidR="00E36400" w:rsidRPr="00A7198A">
        <w:t xml:space="preserve">. </w:t>
      </w:r>
      <w:r w:rsidR="00E36400">
        <w:t>I</w:t>
      </w:r>
      <w:r w:rsidR="00E36400" w:rsidRPr="00A7198A">
        <w:t xml:space="preserve">nformal document INF.11 containing the timetable for the informal discussions held in July in preparation for the thirty-ninth session was no longer relevant and </w:t>
      </w:r>
      <w:r w:rsidR="00E36400">
        <w:t>was not considered during the session</w:t>
      </w:r>
      <w:r w:rsidR="00E36400" w:rsidRPr="00A7198A">
        <w:t>.</w:t>
      </w:r>
    </w:p>
    <w:p w14:paraId="6C49F26C" w14:textId="77777777" w:rsidR="00E36400" w:rsidRDefault="00E36400" w:rsidP="00E36400">
      <w:pPr>
        <w:pStyle w:val="HChG"/>
      </w:pPr>
      <w:r>
        <w:tab/>
        <w:t>IV.</w:t>
      </w:r>
      <w:r>
        <w:tab/>
        <w:t xml:space="preserve">Recommendations made by the Sub-Committee </w:t>
      </w:r>
      <w:r w:rsidRPr="005939D2">
        <w:t>at its thirty-seventh and thirty-eighth sessions</w:t>
      </w:r>
      <w:r>
        <w:t xml:space="preserve"> (agenda item 2)</w:t>
      </w:r>
    </w:p>
    <w:p w14:paraId="6BE60D72" w14:textId="77777777" w:rsidR="00E36400" w:rsidRDefault="00E36400" w:rsidP="00E36400">
      <w:pPr>
        <w:pStyle w:val="SingleTxtG"/>
        <w:jc w:val="left"/>
      </w:pPr>
      <w:r w:rsidRPr="00A7198A">
        <w:rPr>
          <w:i/>
        </w:rPr>
        <w:t>Document:</w:t>
      </w:r>
      <w:r w:rsidRPr="00A7198A">
        <w:t xml:space="preserve"> </w:t>
      </w:r>
      <w:r w:rsidRPr="00A7198A">
        <w:tab/>
      </w:r>
      <w:r w:rsidRPr="00A7198A">
        <w:tab/>
        <w:t>ST/SG/AC.10/C.4/</w:t>
      </w:r>
      <w:r>
        <w:t>2020/15</w:t>
      </w:r>
      <w:r w:rsidRPr="00A7198A">
        <w:t xml:space="preserve"> (</w:t>
      </w:r>
      <w:r>
        <w:t>secretariat</w:t>
      </w:r>
      <w:r w:rsidRPr="00A7198A">
        <w:t>)</w:t>
      </w:r>
    </w:p>
    <w:p w14:paraId="739EC420" w14:textId="7CE12F93" w:rsidR="00E36400" w:rsidRPr="008C2224" w:rsidRDefault="00D341A7" w:rsidP="00E36400">
      <w:pPr>
        <w:pStyle w:val="SingleTxtG"/>
        <w:rPr>
          <w:bCs/>
          <w:highlight w:val="yellow"/>
        </w:rPr>
      </w:pPr>
      <w:r>
        <w:rPr>
          <w:bCs/>
        </w:rPr>
        <w:t>11</w:t>
      </w:r>
      <w:r w:rsidR="00E36400">
        <w:rPr>
          <w:bCs/>
        </w:rPr>
        <w:t>.</w:t>
      </w:r>
      <w:r w:rsidR="00E36400">
        <w:rPr>
          <w:bCs/>
        </w:rPr>
        <w:tab/>
      </w:r>
      <w:r w:rsidR="00E36400" w:rsidRPr="008C2224">
        <w:rPr>
          <w:bCs/>
        </w:rPr>
        <w:t>The Sub-Committee confirmed the decisions taken at its thirty-seventh and thirty-eight sessions in document ST/SG/AC.10/C.4/2020/15, with a correction to the matrix to the precautionary statements in Annex 3 and the note under table A1.5 in Annex 1 (see</w:t>
      </w:r>
      <w:r w:rsidR="00473544">
        <w:rPr>
          <w:bCs/>
        </w:rPr>
        <w:t> </w:t>
      </w:r>
      <w:r w:rsidR="00E36400" w:rsidRPr="008C2224">
        <w:rPr>
          <w:bCs/>
        </w:rPr>
        <w:t>annex</w:t>
      </w:r>
      <w:r w:rsidR="00473544">
        <w:rPr>
          <w:bCs/>
        </w:rPr>
        <w:t> I</w:t>
      </w:r>
      <w:r w:rsidR="00E36400" w:rsidRPr="008C2224">
        <w:rPr>
          <w:bCs/>
        </w:rPr>
        <w:t xml:space="preserve">). </w:t>
      </w:r>
    </w:p>
    <w:p w14:paraId="2CD6E741" w14:textId="77777777" w:rsidR="00E36400" w:rsidRPr="008631D8" w:rsidRDefault="00E36400" w:rsidP="00E36400">
      <w:pPr>
        <w:pStyle w:val="HChG"/>
      </w:pPr>
      <w:r>
        <w:tab/>
        <w:t>V</w:t>
      </w:r>
      <w:r w:rsidRPr="008631D8">
        <w:t>.</w:t>
      </w:r>
      <w:r w:rsidRPr="008631D8">
        <w:tab/>
        <w:t>Classification criteria and related hazard communication</w:t>
      </w:r>
      <w:r>
        <w:t xml:space="preserve"> (agenda item 3)</w:t>
      </w:r>
    </w:p>
    <w:p w14:paraId="4B72642E" w14:textId="77777777" w:rsidR="00E36400" w:rsidRDefault="00E36400" w:rsidP="00E36400">
      <w:pPr>
        <w:pStyle w:val="H1G"/>
      </w:pPr>
      <w:r>
        <w:tab/>
        <w:t>A.</w:t>
      </w:r>
      <w:r w:rsidRPr="00283442">
        <w:tab/>
        <w:t>Work of the Sub-Committee of Experts on the Transport of Dangerous Goods (TDG)</w:t>
      </w:r>
      <w:r>
        <w:t xml:space="preserve"> on matters of interest to the GHS Sub-Committee</w:t>
      </w:r>
    </w:p>
    <w:p w14:paraId="7E7A220E" w14:textId="77777777" w:rsidR="00E36400" w:rsidRDefault="00E36400" w:rsidP="00E36400">
      <w:pPr>
        <w:pStyle w:val="H23G"/>
      </w:pPr>
      <w:r>
        <w:tab/>
        <w:t xml:space="preserve">1. </w:t>
      </w:r>
      <w:r>
        <w:tab/>
        <w:t>Manual of Tests and Criteria, review of Test Series H: determination of self-accelerating decomposition temperature</w:t>
      </w:r>
    </w:p>
    <w:p w14:paraId="2E798220" w14:textId="77777777" w:rsidR="00E36400" w:rsidRDefault="00E36400" w:rsidP="00E36400">
      <w:pPr>
        <w:tabs>
          <w:tab w:val="left" w:pos="1134"/>
          <w:tab w:val="left" w:pos="3119"/>
        </w:tabs>
        <w:spacing w:before="40"/>
        <w:ind w:right="1276"/>
      </w:pPr>
      <w:r>
        <w:rPr>
          <w:i/>
        </w:rPr>
        <w:tab/>
      </w:r>
      <w:r w:rsidRPr="00A7198A">
        <w:rPr>
          <w:i/>
        </w:rPr>
        <w:t>Document</w:t>
      </w:r>
      <w:r>
        <w:rPr>
          <w:i/>
        </w:rPr>
        <w:t>s</w:t>
      </w:r>
      <w:r w:rsidRPr="00A7198A">
        <w:rPr>
          <w:i/>
        </w:rPr>
        <w:t>:</w:t>
      </w:r>
      <w:r w:rsidRPr="00A7198A">
        <w:t xml:space="preserve"> </w:t>
      </w:r>
      <w:r w:rsidRPr="00A7198A">
        <w:tab/>
      </w:r>
      <w:r>
        <w:t xml:space="preserve">ST/SG/AC.10/C.4/2020/4 and </w:t>
      </w:r>
    </w:p>
    <w:p w14:paraId="0681D607" w14:textId="77777777" w:rsidR="00E36400" w:rsidRDefault="00E36400" w:rsidP="00E36400">
      <w:pPr>
        <w:tabs>
          <w:tab w:val="left" w:pos="1134"/>
          <w:tab w:val="left" w:pos="3119"/>
        </w:tabs>
        <w:spacing w:before="40" w:after="120"/>
        <w:ind w:right="1276"/>
      </w:pPr>
      <w:r>
        <w:tab/>
      </w:r>
      <w:r>
        <w:tab/>
        <w:t xml:space="preserve">ST/SG/AC.10/C.4/2020/4/Add.1 (Chairman of the Working </w:t>
      </w:r>
      <w:r>
        <w:tab/>
      </w:r>
      <w:r>
        <w:tab/>
        <w:t xml:space="preserve">Group on </w:t>
      </w:r>
      <w:r>
        <w:tab/>
        <w:t>Explosives)</w:t>
      </w:r>
    </w:p>
    <w:p w14:paraId="3DFC7A33" w14:textId="77777777" w:rsidR="00E36400" w:rsidRPr="00790265" w:rsidRDefault="00E36400" w:rsidP="00E36400">
      <w:pPr>
        <w:pStyle w:val="SingleTxtG"/>
        <w:tabs>
          <w:tab w:val="left" w:pos="3119"/>
        </w:tabs>
        <w:spacing w:after="0"/>
        <w:ind w:left="3402" w:hanging="2268"/>
        <w:jc w:val="left"/>
      </w:pPr>
      <w:r w:rsidRPr="00A7198A">
        <w:rPr>
          <w:i/>
        </w:rPr>
        <w:t>Informal documents</w:t>
      </w:r>
      <w:r w:rsidRPr="00A7198A">
        <w:t xml:space="preserve">: </w:t>
      </w:r>
      <w:r w:rsidRPr="00A7198A">
        <w:tab/>
      </w:r>
      <w:r w:rsidRPr="00790265">
        <w:t>INF.3 (Chairman of the Working Group on Explosives)</w:t>
      </w:r>
    </w:p>
    <w:p w14:paraId="19E8BE16" w14:textId="77777777" w:rsidR="00E36400" w:rsidRDefault="00E36400" w:rsidP="00E36400">
      <w:pPr>
        <w:pStyle w:val="SingleTxtG"/>
        <w:tabs>
          <w:tab w:val="left" w:pos="3119"/>
        </w:tabs>
        <w:ind w:left="3402" w:hanging="2268"/>
        <w:jc w:val="left"/>
      </w:pPr>
      <w:r w:rsidRPr="00790265">
        <w:tab/>
        <w:t>INF.36 (secretariat), paragraph 5</w:t>
      </w:r>
    </w:p>
    <w:p w14:paraId="10D11761" w14:textId="65EB2218" w:rsidR="00E36400" w:rsidRPr="00790265" w:rsidRDefault="00D341A7" w:rsidP="00E36400">
      <w:pPr>
        <w:pStyle w:val="SingleTxtG"/>
      </w:pPr>
      <w:r>
        <w:t>12</w:t>
      </w:r>
      <w:r w:rsidR="00E36400">
        <w:t>.</w:t>
      </w:r>
      <w:r w:rsidR="00E36400">
        <w:tab/>
      </w:r>
      <w:r w:rsidR="00E36400" w:rsidRPr="00790265">
        <w:t xml:space="preserve">The Sub-Committee </w:t>
      </w:r>
      <w:r w:rsidR="00E36400">
        <w:t xml:space="preserve">was informed </w:t>
      </w:r>
      <w:r w:rsidR="00E36400" w:rsidRPr="00790265">
        <w:t xml:space="preserve">that the TDG Sub-Committee endorsed the recommendation of its Working Group on Explosives to </w:t>
      </w:r>
      <w:r w:rsidR="00E36400">
        <w:t xml:space="preserve">amend </w:t>
      </w:r>
      <w:r w:rsidR="00E36400" w:rsidRPr="00790265">
        <w:t>Test Series H</w:t>
      </w:r>
      <w:r w:rsidR="00E36400">
        <w:t xml:space="preserve"> in section 28 of the Manual of Tests and Criteria</w:t>
      </w:r>
      <w:r w:rsidR="00E36400" w:rsidRPr="00790265">
        <w:t xml:space="preserve"> as proposed in documents ST/SG/AC.10/C.4/2020/4 and ST/SG/AC.10/C.4/2020/4/Add.1</w:t>
      </w:r>
      <w:r w:rsidR="00E36400">
        <w:t xml:space="preserve"> and concurred with this decision</w:t>
      </w:r>
      <w:r w:rsidR="00E36400" w:rsidRPr="00790265">
        <w:t>.</w:t>
      </w:r>
      <w:r w:rsidR="00200AFE" w:rsidRPr="00200AFE">
        <w:rPr>
          <w:rStyle w:val="FootnoteReference"/>
        </w:rPr>
        <w:t xml:space="preserve"> </w:t>
      </w:r>
      <w:r w:rsidR="00200AFE">
        <w:rPr>
          <w:rStyle w:val="FootnoteReference"/>
        </w:rPr>
        <w:footnoteReference w:id="2"/>
      </w:r>
    </w:p>
    <w:p w14:paraId="407A9F5B" w14:textId="77777777" w:rsidR="00E36400" w:rsidRDefault="00E36400" w:rsidP="00E36400">
      <w:pPr>
        <w:pStyle w:val="H23G"/>
      </w:pPr>
      <w:r>
        <w:tab/>
        <w:t xml:space="preserve">2. </w:t>
      </w:r>
      <w:r>
        <w:tab/>
      </w:r>
      <w:r w:rsidRPr="005E67A5">
        <w:t>Tests for oxidizing liquids and oxidizing solids</w:t>
      </w:r>
      <w:r>
        <w:t xml:space="preserve">: </w:t>
      </w:r>
      <w:r w:rsidRPr="005E67A5">
        <w:t>improvement regarding consideration for particle size, friable or coated materials</w:t>
      </w:r>
    </w:p>
    <w:p w14:paraId="3B404BF6" w14:textId="77777777" w:rsidR="00E36400" w:rsidRDefault="00E36400" w:rsidP="00E36400">
      <w:pPr>
        <w:spacing w:before="40" w:after="120"/>
      </w:pPr>
      <w:r>
        <w:rPr>
          <w:i/>
        </w:rPr>
        <w:tab/>
      </w:r>
      <w:r>
        <w:rPr>
          <w:i/>
        </w:rPr>
        <w:tab/>
      </w:r>
      <w:r w:rsidRPr="00A7198A">
        <w:rPr>
          <w:i/>
        </w:rPr>
        <w:t>Document:</w:t>
      </w:r>
      <w:r w:rsidRPr="00A7198A">
        <w:t xml:space="preserve"> </w:t>
      </w:r>
      <w:r w:rsidRPr="00A7198A">
        <w:tab/>
      </w:r>
      <w:r w:rsidRPr="00A7198A">
        <w:tab/>
      </w:r>
      <w:r>
        <w:t>ST/SG/AC.10/C.4/2020/9 (France)</w:t>
      </w:r>
    </w:p>
    <w:p w14:paraId="2CAEF768" w14:textId="77777777" w:rsidR="00E36400" w:rsidRDefault="00E36400" w:rsidP="00E36400">
      <w:pPr>
        <w:pStyle w:val="SingleTxtG"/>
        <w:ind w:left="3402" w:hanging="2268"/>
        <w:jc w:val="left"/>
      </w:pPr>
      <w:r w:rsidRPr="00790265">
        <w:rPr>
          <w:i/>
        </w:rPr>
        <w:t>Informal document</w:t>
      </w:r>
      <w:r w:rsidRPr="00790265">
        <w:t>:   INF.36 (secretariat), paragraph 6</w:t>
      </w:r>
    </w:p>
    <w:p w14:paraId="4F561EDB" w14:textId="1DF9F790" w:rsidR="00E36400" w:rsidRPr="008B2B6C" w:rsidRDefault="00D341A7" w:rsidP="00E36400">
      <w:pPr>
        <w:pStyle w:val="SingleTxtG"/>
      </w:pPr>
      <w:r>
        <w:lastRenderedPageBreak/>
        <w:t>13</w:t>
      </w:r>
      <w:r w:rsidR="00E36400">
        <w:t>.</w:t>
      </w:r>
      <w:r w:rsidR="00E36400">
        <w:tab/>
      </w:r>
      <w:r w:rsidR="00E36400" w:rsidRPr="00A22729">
        <w:t xml:space="preserve">The Sub-Committee </w:t>
      </w:r>
      <w:r w:rsidR="00E36400">
        <w:t>noted</w:t>
      </w:r>
      <w:r w:rsidR="00E36400" w:rsidRPr="00A22729">
        <w:t xml:space="preserve"> the outcome of the discussions on this topic by the </w:t>
      </w:r>
      <w:r w:rsidR="001A1260">
        <w:br/>
      </w:r>
      <w:r w:rsidR="00E36400" w:rsidRPr="00A22729">
        <w:t>TDG Sub-Committee and concurred with its recommendation to insert a note in section 34 of the Manual and Tests and Criteria.</w:t>
      </w:r>
      <w:r w:rsidR="00E26E2A" w:rsidRPr="00E26E2A">
        <w:rPr>
          <w:rStyle w:val="FootnoteReference"/>
        </w:rPr>
        <w:t xml:space="preserve"> </w:t>
      </w:r>
      <w:r w:rsidR="00E26E2A">
        <w:rPr>
          <w:rStyle w:val="FootnoteReference"/>
        </w:rPr>
        <w:footnoteReference w:id="3"/>
      </w:r>
    </w:p>
    <w:p w14:paraId="35EA9BBD" w14:textId="77777777" w:rsidR="00E36400" w:rsidRPr="00193A01" w:rsidRDefault="00E36400" w:rsidP="00D66281">
      <w:pPr>
        <w:pStyle w:val="H1G"/>
      </w:pPr>
      <w:r>
        <w:tab/>
        <w:t>B.</w:t>
      </w:r>
      <w:r w:rsidRPr="00283442">
        <w:tab/>
      </w:r>
      <w:r w:rsidRPr="002F0773">
        <w:t>Review of Chapter 2.1</w:t>
      </w:r>
    </w:p>
    <w:p w14:paraId="046575E2" w14:textId="77777777" w:rsidR="00E36400" w:rsidRDefault="00E36400" w:rsidP="00D66281">
      <w:pPr>
        <w:tabs>
          <w:tab w:val="left" w:pos="1134"/>
          <w:tab w:val="left" w:pos="2977"/>
        </w:tabs>
        <w:spacing w:before="40" w:after="40"/>
        <w:rPr>
          <w:b/>
        </w:rPr>
      </w:pPr>
      <w:r>
        <w:rPr>
          <w:i/>
        </w:rPr>
        <w:tab/>
      </w:r>
      <w:r w:rsidRPr="00A7198A">
        <w:rPr>
          <w:i/>
        </w:rPr>
        <w:t>Document</w:t>
      </w:r>
      <w:r>
        <w:rPr>
          <w:i/>
        </w:rPr>
        <w:t>s</w:t>
      </w:r>
      <w:r w:rsidRPr="00A7198A">
        <w:rPr>
          <w:i/>
        </w:rPr>
        <w:t>:</w:t>
      </w:r>
      <w:r w:rsidRPr="00A7198A">
        <w:t xml:space="preserve"> </w:t>
      </w:r>
      <w:r w:rsidRPr="00A7198A">
        <w:tab/>
      </w:r>
      <w:r>
        <w:t>ST/SG/AC.10/C.4/2020/5 and ST/SG/AC.10/C.4/2020/5/Add.1 (Sweden)</w:t>
      </w:r>
    </w:p>
    <w:p w14:paraId="436818DF" w14:textId="77777777" w:rsidR="00E36400" w:rsidRDefault="00E36400" w:rsidP="00D66281">
      <w:pPr>
        <w:tabs>
          <w:tab w:val="left" w:pos="2977"/>
        </w:tabs>
        <w:spacing w:before="40" w:after="40"/>
        <w:rPr>
          <w:b/>
        </w:rPr>
      </w:pPr>
      <w:r>
        <w:tab/>
        <w:t>ST/SG/AC.10/C.4/2020/8 and ST/SG/AC.10/C.4/2020/8/Add.1 (Sweden)</w:t>
      </w:r>
    </w:p>
    <w:p w14:paraId="0B8EFE94" w14:textId="77777777" w:rsidR="00E36400" w:rsidRDefault="00E36400" w:rsidP="00D66281">
      <w:pPr>
        <w:tabs>
          <w:tab w:val="left" w:pos="2977"/>
        </w:tabs>
        <w:spacing w:before="40"/>
        <w:rPr>
          <w:b/>
        </w:rPr>
      </w:pPr>
      <w:r>
        <w:tab/>
        <w:t>ST/SG/AC.10/C.4/2020/16 (Sweden)</w:t>
      </w:r>
    </w:p>
    <w:p w14:paraId="07C925E5" w14:textId="77777777" w:rsidR="00E36400" w:rsidRDefault="00E36400" w:rsidP="00D66281">
      <w:pPr>
        <w:tabs>
          <w:tab w:val="left" w:pos="2977"/>
        </w:tabs>
        <w:spacing w:before="40" w:after="120"/>
        <w:rPr>
          <w:b/>
        </w:rPr>
      </w:pPr>
      <w:r>
        <w:tab/>
        <w:t>ST/SG/AC.10/C.4/2020/18 (Sweden)</w:t>
      </w:r>
    </w:p>
    <w:p w14:paraId="4ABF8986" w14:textId="77777777" w:rsidR="00E36400" w:rsidRDefault="00E36400" w:rsidP="00D66281">
      <w:pPr>
        <w:pStyle w:val="SingleTxtG"/>
        <w:tabs>
          <w:tab w:val="left" w:pos="2977"/>
        </w:tabs>
        <w:spacing w:after="0"/>
        <w:ind w:left="3402" w:hanging="2268"/>
        <w:jc w:val="left"/>
      </w:pPr>
      <w:r w:rsidRPr="00A7198A">
        <w:rPr>
          <w:i/>
        </w:rPr>
        <w:t>Informal documents</w:t>
      </w:r>
      <w:r w:rsidRPr="00A7198A">
        <w:t xml:space="preserve">: </w:t>
      </w:r>
      <w:r w:rsidRPr="00A7198A">
        <w:tab/>
        <w:t>INF.</w:t>
      </w:r>
      <w:r>
        <w:t>14 (Sweden)</w:t>
      </w:r>
    </w:p>
    <w:p w14:paraId="310BB086" w14:textId="77777777" w:rsidR="00E36400" w:rsidRDefault="00E36400" w:rsidP="00D66281">
      <w:pPr>
        <w:pStyle w:val="SingleTxtG"/>
        <w:tabs>
          <w:tab w:val="left" w:pos="2977"/>
        </w:tabs>
        <w:spacing w:after="0"/>
        <w:ind w:left="3402" w:hanging="2268"/>
        <w:jc w:val="left"/>
      </w:pPr>
      <w:r>
        <w:tab/>
        <w:t>INF.16 (Sweden)</w:t>
      </w:r>
    </w:p>
    <w:p w14:paraId="287FCC2A" w14:textId="77777777" w:rsidR="00E36400" w:rsidRDefault="00E36400" w:rsidP="00D66281">
      <w:pPr>
        <w:pStyle w:val="SingleTxtG"/>
        <w:tabs>
          <w:tab w:val="left" w:pos="2977"/>
        </w:tabs>
        <w:spacing w:after="0"/>
        <w:ind w:left="3402" w:hanging="2268"/>
        <w:jc w:val="left"/>
      </w:pPr>
      <w:r>
        <w:tab/>
        <w:t>INF.19 (Sweden)</w:t>
      </w:r>
    </w:p>
    <w:p w14:paraId="49C825AC" w14:textId="77777777" w:rsidR="00E36400" w:rsidRDefault="00E36400" w:rsidP="00D66281">
      <w:pPr>
        <w:pStyle w:val="SingleTxtG"/>
        <w:tabs>
          <w:tab w:val="left" w:pos="2977"/>
        </w:tabs>
        <w:spacing w:after="0"/>
        <w:ind w:left="3402" w:hanging="2268"/>
        <w:jc w:val="left"/>
      </w:pPr>
      <w:r>
        <w:tab/>
        <w:t>INF.22 (Germany)</w:t>
      </w:r>
    </w:p>
    <w:p w14:paraId="1E5A1D17" w14:textId="77777777" w:rsidR="00E36400" w:rsidRDefault="00E36400" w:rsidP="00D66281">
      <w:pPr>
        <w:pStyle w:val="SingleTxtG"/>
        <w:tabs>
          <w:tab w:val="left" w:pos="2977"/>
        </w:tabs>
        <w:spacing w:after="0"/>
        <w:ind w:left="3402" w:hanging="2268"/>
        <w:jc w:val="left"/>
      </w:pPr>
      <w:r>
        <w:tab/>
        <w:t xml:space="preserve">INF.25 (Sweden) </w:t>
      </w:r>
    </w:p>
    <w:p w14:paraId="021ABA86" w14:textId="77777777" w:rsidR="00E36400" w:rsidRDefault="00E36400" w:rsidP="00D66281">
      <w:pPr>
        <w:pStyle w:val="SingleTxtG"/>
        <w:tabs>
          <w:tab w:val="left" w:pos="2977"/>
        </w:tabs>
        <w:spacing w:after="0"/>
        <w:ind w:left="3402" w:hanging="2268"/>
        <w:jc w:val="left"/>
      </w:pPr>
      <w:r>
        <w:tab/>
        <w:t>INF.29 (Sweden)</w:t>
      </w:r>
    </w:p>
    <w:p w14:paraId="56725EE0" w14:textId="77777777" w:rsidR="00E36400" w:rsidRDefault="00E36400" w:rsidP="00D66281">
      <w:pPr>
        <w:pStyle w:val="SingleTxtG"/>
        <w:tabs>
          <w:tab w:val="left" w:pos="2977"/>
        </w:tabs>
        <w:spacing w:after="0"/>
        <w:ind w:left="3402" w:hanging="2268"/>
        <w:jc w:val="left"/>
      </w:pPr>
      <w:r>
        <w:tab/>
        <w:t>INF.30 (Sweden)</w:t>
      </w:r>
    </w:p>
    <w:p w14:paraId="7CAE9A0E" w14:textId="77777777" w:rsidR="00E36400" w:rsidRDefault="00E36400" w:rsidP="00D66281">
      <w:pPr>
        <w:pStyle w:val="SingleTxtG"/>
        <w:tabs>
          <w:tab w:val="left" w:pos="2977"/>
        </w:tabs>
        <w:ind w:left="3402" w:hanging="2268"/>
        <w:jc w:val="left"/>
      </w:pPr>
      <w:r w:rsidRPr="00A22729">
        <w:tab/>
        <w:t>INF.36 (secretariat), paragraph 7</w:t>
      </w:r>
      <w:r>
        <w:tab/>
      </w:r>
    </w:p>
    <w:p w14:paraId="51590465" w14:textId="77777777" w:rsidR="00E36400" w:rsidRDefault="00E36400" w:rsidP="00E36400">
      <w:pPr>
        <w:tabs>
          <w:tab w:val="left" w:pos="1134"/>
          <w:tab w:val="left" w:pos="3119"/>
        </w:tabs>
        <w:spacing w:before="40" w:after="40"/>
        <w:rPr>
          <w:b/>
        </w:rPr>
      </w:pPr>
      <w:r>
        <w:tab/>
      </w:r>
      <w:r w:rsidRPr="0070665D">
        <w:rPr>
          <w:i/>
          <w:iCs/>
        </w:rPr>
        <w:t>Background documents:</w:t>
      </w:r>
      <w:r>
        <w:t xml:space="preserve"> ST/SG/AC.10/C.4/2020/7 (Sweden)</w:t>
      </w:r>
    </w:p>
    <w:p w14:paraId="5F0A7387" w14:textId="77777777" w:rsidR="00E36400" w:rsidRDefault="00E36400" w:rsidP="00D66281">
      <w:pPr>
        <w:tabs>
          <w:tab w:val="left" w:pos="1134"/>
          <w:tab w:val="left" w:pos="3119"/>
        </w:tabs>
        <w:spacing w:before="40" w:after="240"/>
        <w:ind w:left="3119" w:hanging="3119"/>
      </w:pPr>
      <w:r>
        <w:tab/>
      </w:r>
      <w:r>
        <w:tab/>
        <w:t xml:space="preserve">Informal documents INF.10 (United States of America, IME, SAAMI) </w:t>
      </w:r>
      <w:r>
        <w:br/>
        <w:t>and INF.13 (Sweden)</w:t>
      </w:r>
    </w:p>
    <w:p w14:paraId="0293DB49" w14:textId="23304DFF" w:rsidR="00E36400" w:rsidRDefault="00D341A7" w:rsidP="00E36400">
      <w:pPr>
        <w:pStyle w:val="SingleTxtG"/>
      </w:pPr>
      <w:r>
        <w:t>14</w:t>
      </w:r>
      <w:r w:rsidR="00E36400">
        <w:t>.</w:t>
      </w:r>
      <w:r w:rsidR="00E36400">
        <w:tab/>
        <w:t xml:space="preserve">The Sub-Committee was informed that the TDG Sub-Committee supported and endorsed the recommendations of its Working Group on Explosives on the proposed review of Chapter 2.1 of the GHS. </w:t>
      </w:r>
    </w:p>
    <w:p w14:paraId="7D50365D" w14:textId="0F2CFEFD" w:rsidR="00E36400" w:rsidRDefault="00D341A7" w:rsidP="00E36400">
      <w:pPr>
        <w:pStyle w:val="SingleTxtG"/>
      </w:pPr>
      <w:r>
        <w:t>15</w:t>
      </w:r>
      <w:r w:rsidR="00E36400">
        <w:t>.</w:t>
      </w:r>
      <w:r w:rsidR="00E36400">
        <w:tab/>
        <w:t xml:space="preserve">There was general support within the Sub-Committee for the proposed review of Chapter 2.1. It was recalled that the current classification criteria for explosives had been taken from the transport regulations, where explosives were expected to be handled in their transport configuration. Most of the experts who expressed an opinion considered that the new classification scheme will represent a step forward towards increased safety since it better addressed the needs of those sectors or stages in the life cycle where explosives were not in a transport configuration (e.g. manufacturing, processing, supply and use) without changing the classification criteria for transport.  </w:t>
      </w:r>
    </w:p>
    <w:p w14:paraId="09428C7F" w14:textId="4C3EF119" w:rsidR="00E36400" w:rsidRDefault="00D341A7" w:rsidP="00E36400">
      <w:pPr>
        <w:pStyle w:val="Bullet2G"/>
        <w:numPr>
          <w:ilvl w:val="0"/>
          <w:numId w:val="0"/>
        </w:numPr>
        <w:ind w:left="1134"/>
      </w:pPr>
      <w:r>
        <w:t>16</w:t>
      </w:r>
      <w:r w:rsidR="00E36400">
        <w:t>.</w:t>
      </w:r>
      <w:r w:rsidR="00E36400">
        <w:tab/>
        <w:t>While expressing support in principle for the review of Chapter 2.1, the expert from China expressed some concerns about the impact the new classification scheme could have for some types of explosives and in particular for fireworks classified in accordance with the default classification table criteria in 2.1.3.5 of the Model Regulations. She also raised concerns about the difficulties in implementing the new GHS classification scheme at the national level and considered that guidance could be developed to support its implementation.</w:t>
      </w:r>
    </w:p>
    <w:p w14:paraId="59148E2C" w14:textId="25B426F9" w:rsidR="00E36400" w:rsidRDefault="00D341A7" w:rsidP="00E36400">
      <w:pPr>
        <w:pStyle w:val="Bullet2G"/>
        <w:numPr>
          <w:ilvl w:val="0"/>
          <w:numId w:val="0"/>
        </w:numPr>
        <w:ind w:left="1134"/>
      </w:pPr>
      <w:r>
        <w:t>17</w:t>
      </w:r>
      <w:r w:rsidR="00E36400">
        <w:t>.</w:t>
      </w:r>
      <w:r w:rsidR="00E36400">
        <w:tab/>
        <w:t xml:space="preserve">In response to the concerns expressed by the expert from China on how the new classification scheme addressed explosives classified by analogy or in accordance with the default classification criteria in the Model Regulations, it was pointed out that this case was covered in the new 2.1.1.3.1, where it is stated that “Test data is not required when classification using expert judgement is possible based on available information from previous testing and characterization. Where appropriate, analogy to tested explosives may be used, taking into consideration whether changes to the configuration may affect the hazard posed compared to the tested configuration”. </w:t>
      </w:r>
    </w:p>
    <w:p w14:paraId="049F0402" w14:textId="0B47DE99" w:rsidR="00E36400" w:rsidRDefault="00D341A7" w:rsidP="00E36400">
      <w:pPr>
        <w:pStyle w:val="Bullet2G"/>
        <w:numPr>
          <w:ilvl w:val="0"/>
          <w:numId w:val="0"/>
        </w:numPr>
        <w:ind w:left="1134"/>
      </w:pPr>
      <w:r>
        <w:t>18</w:t>
      </w:r>
      <w:r w:rsidR="00E36400">
        <w:t>.</w:t>
      </w:r>
      <w:r w:rsidR="00E36400">
        <w:tab/>
        <w:t xml:space="preserve">As regards development of guidance, it was pointed out that the text under 2.1.4.3 could be helpful to understand how the new classification scheme should be applied. It was recognized, however, that some additional guidance could be developed and the expert from </w:t>
      </w:r>
      <w:r w:rsidR="00E36400">
        <w:lastRenderedPageBreak/>
        <w:t>the United States of America agreed to work with other interested parties on this topic during the next biennium.</w:t>
      </w:r>
    </w:p>
    <w:p w14:paraId="636961EB" w14:textId="5002BC0C" w:rsidR="00E36400" w:rsidRDefault="00D341A7" w:rsidP="00E36400">
      <w:pPr>
        <w:pStyle w:val="Bullet2G"/>
        <w:numPr>
          <w:ilvl w:val="0"/>
          <w:numId w:val="0"/>
        </w:numPr>
        <w:ind w:left="1134"/>
      </w:pPr>
      <w:r>
        <w:t>19</w:t>
      </w:r>
      <w:r w:rsidR="00E36400">
        <w:t>.</w:t>
      </w:r>
      <w:r w:rsidR="00E36400">
        <w:tab/>
        <w:t xml:space="preserve">On the text for non-Class 1 explosives in section 2.1.1.2.3 and in particular as regards the paragraphs relating to explosives articles assigned to Class 9 in transport, some experts considered that it </w:t>
      </w:r>
      <w:r w:rsidR="000D641F">
        <w:t xml:space="preserve">may </w:t>
      </w:r>
      <w:r w:rsidR="00E36400">
        <w:t>need further consideration</w:t>
      </w:r>
      <w:r w:rsidR="00E36400" w:rsidRPr="00D155B6">
        <w:t xml:space="preserve">. However, other experts supported adopting the text </w:t>
      </w:r>
      <w:r w:rsidR="00D725AC" w:rsidRPr="00D66281">
        <w:t xml:space="preserve">on the understanding that </w:t>
      </w:r>
      <w:r w:rsidR="00E36400" w:rsidRPr="00D155B6">
        <w:t xml:space="preserve">work on its refinement </w:t>
      </w:r>
      <w:r w:rsidR="00D725AC" w:rsidRPr="00D66281">
        <w:t xml:space="preserve">could continue, if necessary, </w:t>
      </w:r>
      <w:r w:rsidR="00E36400" w:rsidRPr="00D155B6">
        <w:t xml:space="preserve">during the </w:t>
      </w:r>
      <w:r w:rsidR="002A754E">
        <w:t xml:space="preserve">next </w:t>
      </w:r>
      <w:r w:rsidR="00E36400" w:rsidRPr="00D155B6">
        <w:t>biennium.</w:t>
      </w:r>
      <w:r w:rsidR="00E36400" w:rsidRPr="0076725F">
        <w:t xml:space="preserve">  </w:t>
      </w:r>
      <w:r w:rsidR="00E36400">
        <w:t xml:space="preserve">  </w:t>
      </w:r>
    </w:p>
    <w:p w14:paraId="5CDE601E" w14:textId="13F4FF8A" w:rsidR="00E36400" w:rsidRDefault="00D341A7" w:rsidP="00E36400">
      <w:pPr>
        <w:pStyle w:val="Bullet2G"/>
        <w:numPr>
          <w:ilvl w:val="0"/>
          <w:numId w:val="0"/>
        </w:numPr>
        <w:ind w:left="1134"/>
      </w:pPr>
      <w:r>
        <w:t>20</w:t>
      </w:r>
      <w:r w:rsidR="00E36400">
        <w:t>.</w:t>
      </w:r>
      <w:r w:rsidR="00E36400">
        <w:tab/>
        <w:t>After an exchange of views, the Sub-Committee adopted:</w:t>
      </w:r>
    </w:p>
    <w:p w14:paraId="5A1A4061" w14:textId="38FC092E" w:rsidR="00E36400" w:rsidRDefault="00E36400" w:rsidP="00D66281">
      <w:pPr>
        <w:pStyle w:val="Bullet2G"/>
        <w:numPr>
          <w:ilvl w:val="0"/>
          <w:numId w:val="0"/>
        </w:numPr>
        <w:ind w:left="2268" w:hanging="567"/>
      </w:pPr>
      <w:r>
        <w:t>(a)</w:t>
      </w:r>
      <w:r>
        <w:tab/>
        <w:t xml:space="preserve"> the amendments to Chapter 2.1 in documents ST/SG/AC.10/C.4/2020/5 and</w:t>
      </w:r>
      <w:r>
        <w:tab/>
        <w:t>ST/SG/AC.10/C.4/2020/5/Add.1 as amended by informal document INF.29 (paragraphs 7 and 8) and as consolidated in informal document INF.30 (see annex</w:t>
      </w:r>
      <w:r w:rsidR="00152D20">
        <w:t xml:space="preserve"> I</w:t>
      </w:r>
      <w:r>
        <w:t xml:space="preserve">). </w:t>
      </w:r>
    </w:p>
    <w:p w14:paraId="3C24AF24" w14:textId="21C22791" w:rsidR="00E36400" w:rsidRDefault="00E36400" w:rsidP="00D66281">
      <w:pPr>
        <w:pStyle w:val="Bullet2G"/>
        <w:numPr>
          <w:ilvl w:val="0"/>
          <w:numId w:val="0"/>
        </w:numPr>
        <w:ind w:left="2268" w:hanging="567"/>
      </w:pPr>
      <w:r>
        <w:t>(b)</w:t>
      </w:r>
      <w:r>
        <w:tab/>
      </w:r>
      <w:r w:rsidR="00EA665E">
        <w:t xml:space="preserve">the </w:t>
      </w:r>
      <w:r>
        <w:t xml:space="preserve">decision logics in document ST/SG/AC.10/C.4/2020/18 as amended by informal document INF.22 (paragraph 5) and INF.25 (with the amendments made by the Working Group </w:t>
      </w:r>
      <w:r w:rsidR="00152D20">
        <w:t xml:space="preserve">on Explosives </w:t>
      </w:r>
      <w:r>
        <w:t>and endorsed by the TDG Sub-Committee), as consolidated in informal document INF.30 (see annex</w:t>
      </w:r>
      <w:r w:rsidR="00152D20">
        <w:t xml:space="preserve"> I</w:t>
      </w:r>
      <w:r>
        <w:t xml:space="preserve">). </w:t>
      </w:r>
    </w:p>
    <w:p w14:paraId="665FD31D" w14:textId="092C04E8" w:rsidR="00E36400" w:rsidRDefault="00E36400" w:rsidP="00D66281">
      <w:pPr>
        <w:pStyle w:val="Bullet2G"/>
        <w:numPr>
          <w:ilvl w:val="0"/>
          <w:numId w:val="0"/>
        </w:numPr>
        <w:ind w:left="2268" w:hanging="567"/>
      </w:pPr>
      <w:r>
        <w:t>(c)</w:t>
      </w:r>
      <w:r>
        <w:tab/>
      </w:r>
      <w:r w:rsidR="00EA665E">
        <w:t xml:space="preserve">the </w:t>
      </w:r>
      <w:r>
        <w:t>amendments to Annex 3, section 2 of the GHS in document</w:t>
      </w:r>
      <w:r w:rsidR="00152D20">
        <w:t>s</w:t>
      </w:r>
      <w:r>
        <w:t xml:space="preserve"> ST/SG/AC.10/C.4/2020/8 and ST/SG/AC.10/C.4/2020/8/Add.1, with an additional condition for use for precautionary statement P236 to make it applicable to only to explosives in Class 1 in transport (see annex</w:t>
      </w:r>
      <w:r w:rsidR="00EA665E">
        <w:t xml:space="preserve"> I</w:t>
      </w:r>
      <w:r>
        <w:t>).</w:t>
      </w:r>
    </w:p>
    <w:p w14:paraId="0532F3FA" w14:textId="78C4E682" w:rsidR="00E36400" w:rsidRDefault="00D341A7" w:rsidP="00E36400">
      <w:pPr>
        <w:pStyle w:val="Bullet2G"/>
        <w:numPr>
          <w:ilvl w:val="0"/>
          <w:numId w:val="0"/>
        </w:numPr>
        <w:ind w:left="1134"/>
      </w:pPr>
      <w:r>
        <w:t>21</w:t>
      </w:r>
      <w:r w:rsidR="00E36400">
        <w:t>.</w:t>
      </w:r>
      <w:r w:rsidR="00E36400">
        <w:tab/>
        <w:t>The Sub-Committee also adopted the matrices for explosives in informal document INF.16</w:t>
      </w:r>
      <w:r w:rsidR="000D641F">
        <w:t>, as</w:t>
      </w:r>
      <w:r w:rsidR="00E36400">
        <w:t xml:space="preserve"> amended with the additional condition for use for precautionary statement P236 (see annex</w:t>
      </w:r>
      <w:r w:rsidR="00EA665E">
        <w:t xml:space="preserve"> I</w:t>
      </w:r>
      <w:r w:rsidR="00E36400">
        <w:t xml:space="preserve">). </w:t>
      </w:r>
    </w:p>
    <w:p w14:paraId="0EC67BA4" w14:textId="62B92361" w:rsidR="00E36400" w:rsidRDefault="00D341A7" w:rsidP="00E36400">
      <w:pPr>
        <w:pStyle w:val="Bullet2G"/>
        <w:numPr>
          <w:ilvl w:val="0"/>
          <w:numId w:val="0"/>
        </w:numPr>
        <w:ind w:left="1134"/>
      </w:pPr>
      <w:r>
        <w:t>22</w:t>
      </w:r>
      <w:r w:rsidR="00E36400">
        <w:t>.</w:t>
      </w:r>
      <w:r w:rsidR="00E36400">
        <w:tab/>
        <w:t xml:space="preserve">Following the adoption of the new Chapter 2.1 for the GHS, the Sub-Committee confirmed that the Manual of Tests and Criteria should be amended accordingly as proposed in document ST/SG/AC.10/C.4/2020/16 with the amendments to box 19 in figures 10.2, 10.6 (b) and 10.7 (b) and the reference to paragraph 2.1.1.2.1 in section 10.4.1.1, recommended by the Working Group </w:t>
      </w:r>
      <w:r w:rsidR="00B45E04">
        <w:t xml:space="preserve">on Explosives </w:t>
      </w:r>
      <w:r w:rsidR="00E36400">
        <w:t>and endorsed by the TDG Sub-Committee</w:t>
      </w:r>
      <w:r w:rsidR="00FC7354">
        <w:rPr>
          <w:rStyle w:val="FootnoteReference"/>
        </w:rPr>
        <w:footnoteReference w:id="4"/>
      </w:r>
      <w:r w:rsidR="00E36400">
        <w:t>.</w:t>
      </w:r>
    </w:p>
    <w:p w14:paraId="6F81F06F" w14:textId="738F19C6" w:rsidR="00E36400" w:rsidRDefault="00D341A7" w:rsidP="00E36400">
      <w:pPr>
        <w:pStyle w:val="Bullet2G"/>
        <w:numPr>
          <w:ilvl w:val="0"/>
          <w:numId w:val="0"/>
        </w:numPr>
        <w:ind w:left="1134"/>
      </w:pPr>
      <w:r>
        <w:t>23</w:t>
      </w:r>
      <w:r w:rsidR="00E36400">
        <w:t>.</w:t>
      </w:r>
      <w:r w:rsidR="00E36400">
        <w:tab/>
        <w:t>The Sub-Committee expressed its appreciation to the expert from Sweden who had been leading the work on this topic for the last six years, both in the Sub-Committee (as the leader of the informal correspondence group) and within the Working Group on Explosives of the TDG Sub-Committee. Thanks were also extended to the Chair of the Explosives Working Group (Mr. Ed de Jong) and to all those who have been involved in or contributed to the work on this topic. It was pointed out that completion of the work to the satisfaction of all stakeholders involved had only been made possible thanks to the excellent collaboration between both sub-committees under the leadership and coordination of the expert from Sweden.</w:t>
      </w:r>
    </w:p>
    <w:p w14:paraId="66F1B275" w14:textId="77777777" w:rsidR="00E36400" w:rsidRDefault="00E36400" w:rsidP="00E36400">
      <w:pPr>
        <w:pStyle w:val="H1G"/>
      </w:pPr>
      <w:r w:rsidRPr="002F0773">
        <w:tab/>
      </w:r>
      <w:r>
        <w:t>C.</w:t>
      </w:r>
      <w:r w:rsidRPr="002F0773">
        <w:tab/>
      </w:r>
      <w:bookmarkStart w:id="1" w:name="_Hlk38294103"/>
      <w:bookmarkStart w:id="2" w:name="_Hlk38287150"/>
      <w:r w:rsidRPr="002F0773">
        <w:t>Clarification of 2.9.3.4.3.4 of the Model Regulations and 4.1.3.3.4 of the GHS</w:t>
      </w:r>
      <w:bookmarkEnd w:id="1"/>
      <w:bookmarkEnd w:id="2"/>
    </w:p>
    <w:p w14:paraId="61580E24" w14:textId="77777777" w:rsidR="00E36400" w:rsidRDefault="00E36400" w:rsidP="00E36400">
      <w:pPr>
        <w:spacing w:before="40" w:after="120"/>
      </w:pPr>
      <w:r>
        <w:rPr>
          <w:i/>
        </w:rPr>
        <w:tab/>
      </w:r>
      <w:r>
        <w:rPr>
          <w:i/>
        </w:rPr>
        <w:tab/>
      </w:r>
      <w:r w:rsidRPr="00A7198A">
        <w:rPr>
          <w:i/>
        </w:rPr>
        <w:t>Document</w:t>
      </w:r>
      <w:r>
        <w:rPr>
          <w:i/>
        </w:rPr>
        <w:t>s</w:t>
      </w:r>
      <w:r w:rsidRPr="00A7198A">
        <w:rPr>
          <w:i/>
        </w:rPr>
        <w:t>:</w:t>
      </w:r>
      <w:r w:rsidRPr="00A7198A">
        <w:t xml:space="preserve"> </w:t>
      </w:r>
      <w:r w:rsidRPr="00A7198A">
        <w:tab/>
      </w:r>
      <w:r w:rsidRPr="00A7198A">
        <w:tab/>
      </w:r>
      <w:r>
        <w:t>ST/SG/AC.10/C.4/2020/10 (China)</w:t>
      </w:r>
      <w:r>
        <w:br/>
      </w:r>
      <w:r>
        <w:tab/>
      </w:r>
      <w:r>
        <w:tab/>
      </w:r>
      <w:r>
        <w:tab/>
      </w:r>
      <w:r>
        <w:tab/>
      </w:r>
      <w:r>
        <w:tab/>
        <w:t xml:space="preserve">ST/SG/AC.10/C.4/2020/10/Add.1 (China) </w:t>
      </w:r>
    </w:p>
    <w:p w14:paraId="0A235A8A" w14:textId="77777777" w:rsidR="00E36400" w:rsidRDefault="00E36400" w:rsidP="00E36400">
      <w:pPr>
        <w:spacing w:before="40" w:after="240"/>
      </w:pPr>
      <w:r>
        <w:tab/>
      </w:r>
      <w:r>
        <w:tab/>
      </w:r>
      <w:r w:rsidRPr="000A1129">
        <w:rPr>
          <w:i/>
        </w:rPr>
        <w:t>Informal document</w:t>
      </w:r>
      <w:r w:rsidRPr="000A1129">
        <w:t>:   INF.36 (secretariat), paragraph 8</w:t>
      </w:r>
    </w:p>
    <w:p w14:paraId="09552359" w14:textId="5743232A" w:rsidR="00E36400" w:rsidRDefault="00D341A7" w:rsidP="00E36400">
      <w:pPr>
        <w:pStyle w:val="SingleTxtG"/>
      </w:pPr>
      <w:r>
        <w:t>24</w:t>
      </w:r>
      <w:r w:rsidR="00E36400">
        <w:t>.</w:t>
      </w:r>
      <w:r w:rsidR="00E36400">
        <w:tab/>
      </w:r>
      <w:r w:rsidR="00E36400" w:rsidRPr="000A1129">
        <w:t xml:space="preserve">The Sub-Committee was informed that the TDG Sub-Committee had adopted the amendment to paragraph 2.9.3.4.3.4 of the Model Regulations in accordance with option 2 in </w:t>
      </w:r>
      <w:r w:rsidR="00E36400">
        <w:t xml:space="preserve">paragraph 6 of </w:t>
      </w:r>
      <w:r w:rsidR="00E36400" w:rsidRPr="000A1129">
        <w:t>document ST/SG/AC.10/C.4/2020/10</w:t>
      </w:r>
      <w:r w:rsidR="00E36400">
        <w:t xml:space="preserve">. Acknowledging that the text in </w:t>
      </w:r>
      <w:r w:rsidR="001047FF" w:rsidRPr="000A1129">
        <w:t xml:space="preserve">paragraph </w:t>
      </w:r>
      <w:r w:rsidR="00E36400">
        <w:t xml:space="preserve">4.1.3.3.4 </w:t>
      </w:r>
      <w:r w:rsidR="00E77EE3">
        <w:t xml:space="preserve">of the GHS </w:t>
      </w:r>
      <w:r w:rsidR="00E36400">
        <w:t>was not aligned with the criteria in table 4.1.1 (b) (i),</w:t>
      </w:r>
      <w:r w:rsidR="00E36400" w:rsidRPr="000A1129" w:rsidDel="00A86F0B">
        <w:t xml:space="preserve"> the </w:t>
      </w:r>
      <w:r w:rsidR="00E36400">
        <w:lastRenderedPageBreak/>
        <w:t xml:space="preserve">Sub-Committee agreed to amend it </w:t>
      </w:r>
      <w:r w:rsidR="00E36400" w:rsidRPr="000A1129">
        <w:t xml:space="preserve">accordingly </w:t>
      </w:r>
      <w:r w:rsidR="00E36400">
        <w:t xml:space="preserve">as proposed in paragraph 7 of </w:t>
      </w:r>
      <w:r w:rsidR="00E36400" w:rsidRPr="000A1129">
        <w:t>ST/SG/AC.10/C.4/2020/10 (see annex</w:t>
      </w:r>
      <w:r w:rsidR="00E77EE3">
        <w:t xml:space="preserve"> I</w:t>
      </w:r>
      <w:r w:rsidR="00E36400" w:rsidRPr="000A1129">
        <w:t>).</w:t>
      </w:r>
    </w:p>
    <w:p w14:paraId="2239BE30" w14:textId="77777777" w:rsidR="00E36400" w:rsidRPr="000A1129" w:rsidRDefault="00E36400" w:rsidP="00E36400">
      <w:pPr>
        <w:pStyle w:val="H1G"/>
      </w:pPr>
      <w:bookmarkStart w:id="3" w:name="_Hlk38287170"/>
      <w:r>
        <w:tab/>
        <w:t>D.</w:t>
      </w:r>
      <w:r>
        <w:tab/>
      </w:r>
      <w:r w:rsidRPr="002F0773">
        <w:t xml:space="preserve">Simultaneous classification in physical hazard classes and precedence of </w:t>
      </w:r>
      <w:r w:rsidRPr="000A1129">
        <w:t>hazard</w:t>
      </w:r>
      <w:bookmarkEnd w:id="3"/>
      <w:r w:rsidRPr="000A1129">
        <w:t>s</w:t>
      </w:r>
    </w:p>
    <w:p w14:paraId="1C41FB66" w14:textId="22955E4D" w:rsidR="00E36400" w:rsidRDefault="00D341A7" w:rsidP="00E36400">
      <w:pPr>
        <w:pStyle w:val="SingleTxtG"/>
      </w:pPr>
      <w:r>
        <w:t>25</w:t>
      </w:r>
      <w:r w:rsidR="00E36400">
        <w:t>.</w:t>
      </w:r>
      <w:r w:rsidR="00E36400">
        <w:tab/>
      </w:r>
      <w:r w:rsidR="00E36400" w:rsidRPr="000A1129">
        <w:t>The expert from Germany informed the Sub-Committee that work on this topic would continue during the next biennium</w:t>
      </w:r>
      <w:r w:rsidR="00E36400">
        <w:t xml:space="preserve"> and invited all </w:t>
      </w:r>
      <w:r w:rsidR="00E77EE3">
        <w:t xml:space="preserve">interested </w:t>
      </w:r>
      <w:r w:rsidR="00E36400">
        <w:t>experts to contact her (Ms. Cordula Wilrich).</w:t>
      </w:r>
      <w:r w:rsidR="00E36400" w:rsidRPr="000A1129">
        <w:t xml:space="preserve"> The Sub-Committee </w:t>
      </w:r>
      <w:r w:rsidR="00E36400">
        <w:t>agreed</w:t>
      </w:r>
      <w:r w:rsidR="00E36400" w:rsidRPr="000A1129">
        <w:t xml:space="preserve"> to keep this item on its programme of work for 2021-2022 (see annex</w:t>
      </w:r>
      <w:r w:rsidR="00E77EE3">
        <w:t xml:space="preserve"> II</w:t>
      </w:r>
      <w:r w:rsidR="00E36400" w:rsidRPr="000A1129">
        <w:t>)</w:t>
      </w:r>
      <w:r w:rsidR="00E36400">
        <w:t>.</w:t>
      </w:r>
    </w:p>
    <w:p w14:paraId="2A56483B" w14:textId="77777777" w:rsidR="00E36400" w:rsidRDefault="00E36400" w:rsidP="00E36400">
      <w:pPr>
        <w:pStyle w:val="H1G"/>
      </w:pPr>
      <w:r w:rsidRPr="002F0773">
        <w:tab/>
      </w:r>
      <w:r>
        <w:t>E.</w:t>
      </w:r>
      <w:r w:rsidRPr="002F0773">
        <w:tab/>
      </w:r>
      <w:bookmarkStart w:id="4" w:name="_Hlk38287182"/>
      <w:r w:rsidRPr="002F0773">
        <w:t>Use of non-animal testing methods for classification of health hazards</w:t>
      </w:r>
      <w:bookmarkEnd w:id="4"/>
    </w:p>
    <w:p w14:paraId="4B1DC08C" w14:textId="77777777" w:rsidR="00E36400" w:rsidRDefault="00E36400" w:rsidP="00E36400">
      <w:pPr>
        <w:spacing w:before="40"/>
      </w:pPr>
      <w:r>
        <w:tab/>
      </w:r>
      <w:r>
        <w:tab/>
      </w:r>
      <w:r w:rsidRPr="0035549D">
        <w:rPr>
          <w:i/>
        </w:rPr>
        <w:t>Informal documents</w:t>
      </w:r>
      <w:r w:rsidRPr="0035549D">
        <w:t>:   INF.12 and INF.12/Rev.1 (United Kingdom, Netherlands)</w:t>
      </w:r>
    </w:p>
    <w:p w14:paraId="4F708EC7" w14:textId="77777777" w:rsidR="00E36400" w:rsidRDefault="00E36400" w:rsidP="00E36400">
      <w:pPr>
        <w:tabs>
          <w:tab w:val="left" w:pos="2977"/>
        </w:tabs>
        <w:spacing w:before="40" w:after="240"/>
      </w:pPr>
      <w:r>
        <w:tab/>
        <w:t>INF.26 (United Kingdom, Netherlands)</w:t>
      </w:r>
    </w:p>
    <w:p w14:paraId="2C2252EB" w14:textId="6AB4F41E" w:rsidR="00E36400" w:rsidRDefault="00D341A7" w:rsidP="00E36400">
      <w:pPr>
        <w:pStyle w:val="SingleTxtG"/>
      </w:pPr>
      <w:r>
        <w:t>26</w:t>
      </w:r>
      <w:r w:rsidR="00E36400">
        <w:t>.</w:t>
      </w:r>
      <w:r w:rsidR="00E36400">
        <w:tab/>
      </w:r>
      <w:r w:rsidR="00E36400" w:rsidRPr="000A1129">
        <w:t xml:space="preserve">The Sub-Committee took note of the progress reports in informal documents INF.12 and INF.12/Rev.1 and </w:t>
      </w:r>
      <w:r w:rsidR="00E36400">
        <w:t>agreed with</w:t>
      </w:r>
      <w:r w:rsidR="00E36400" w:rsidRPr="000A1129">
        <w:t xml:space="preserve"> the revised terms of reference for the work of the informal working group on non-animal testing methods for 2021-2022 </w:t>
      </w:r>
      <w:r w:rsidR="00E36400">
        <w:t xml:space="preserve">in informal document INF.26 </w:t>
      </w:r>
      <w:r w:rsidR="00E36400" w:rsidRPr="000A1129">
        <w:t>(see annex</w:t>
      </w:r>
      <w:r w:rsidR="00A20281">
        <w:t xml:space="preserve"> II</w:t>
      </w:r>
      <w:r w:rsidR="00E36400" w:rsidRPr="000A1129">
        <w:t>).</w:t>
      </w:r>
    </w:p>
    <w:p w14:paraId="3BD3C70E" w14:textId="77777777" w:rsidR="00E36400" w:rsidRDefault="00E36400" w:rsidP="00E36400">
      <w:pPr>
        <w:pStyle w:val="H1G"/>
        <w:keepNext w:val="0"/>
        <w:keepLines w:val="0"/>
      </w:pPr>
      <w:r w:rsidRPr="002F0773">
        <w:tab/>
      </w:r>
      <w:r>
        <w:t>F.</w:t>
      </w:r>
      <w:r w:rsidRPr="002F0773">
        <w:tab/>
      </w:r>
      <w:r>
        <w:t>Practical classification issues</w:t>
      </w:r>
    </w:p>
    <w:p w14:paraId="46883B14" w14:textId="77777777" w:rsidR="00E36400" w:rsidRDefault="00E36400" w:rsidP="00E36400">
      <w:pPr>
        <w:spacing w:before="40" w:after="120"/>
      </w:pPr>
      <w:r>
        <w:rPr>
          <w:i/>
        </w:rPr>
        <w:tab/>
      </w:r>
      <w:r>
        <w:rPr>
          <w:i/>
        </w:rPr>
        <w:tab/>
      </w:r>
      <w:r w:rsidRPr="00A7198A">
        <w:rPr>
          <w:i/>
        </w:rPr>
        <w:t>Document:</w:t>
      </w:r>
      <w:r w:rsidRPr="00A7198A">
        <w:t xml:space="preserve"> </w:t>
      </w:r>
      <w:r w:rsidRPr="00A7198A">
        <w:tab/>
      </w:r>
      <w:r w:rsidRPr="00A7198A">
        <w:tab/>
      </w:r>
      <w:r>
        <w:t xml:space="preserve">ST/SG/AC.10/C.4/2020/14 (United States of America) </w:t>
      </w:r>
    </w:p>
    <w:p w14:paraId="734F43AE" w14:textId="77777777" w:rsidR="00E36400" w:rsidRDefault="00E36400" w:rsidP="00E36400">
      <w:pPr>
        <w:spacing w:before="40" w:after="240"/>
      </w:pPr>
      <w:r>
        <w:tab/>
      </w:r>
      <w:r>
        <w:tab/>
      </w:r>
      <w:r w:rsidRPr="0035549D">
        <w:rPr>
          <w:i/>
        </w:rPr>
        <w:t>Informal document</w:t>
      </w:r>
      <w:r w:rsidRPr="0035549D">
        <w:t>:   INF.32 (United States of America)</w:t>
      </w:r>
    </w:p>
    <w:p w14:paraId="42E46D1C" w14:textId="73E2609C" w:rsidR="00E36400" w:rsidRDefault="00D341A7" w:rsidP="00E36400">
      <w:pPr>
        <w:pStyle w:val="SingleTxtG"/>
      </w:pPr>
      <w:r>
        <w:t>27</w:t>
      </w:r>
      <w:r w:rsidR="00E36400">
        <w:t>.</w:t>
      </w:r>
      <w:r w:rsidR="00E36400">
        <w:tab/>
      </w:r>
      <w:r w:rsidR="00E36400" w:rsidRPr="00F9563A">
        <w:t>The Sub-Committee adopted the examples in document ST/SG/AC.10/C.4/2020/14, with the corrections in informal document INF.32 (see annex</w:t>
      </w:r>
      <w:r w:rsidR="00A20281">
        <w:t xml:space="preserve"> I</w:t>
      </w:r>
      <w:r w:rsidR="00E36400" w:rsidRPr="00F9563A">
        <w:t>) and invited the secretariat to add them to the list of examples on the application to the GHS criteria already available at the GHS guidance webpage.</w:t>
      </w:r>
      <w:r w:rsidR="00E36400" w:rsidRPr="00F9563A">
        <w:rPr>
          <w:rStyle w:val="FootnoteReference"/>
        </w:rPr>
        <w:footnoteReference w:id="5"/>
      </w:r>
    </w:p>
    <w:p w14:paraId="503AB199" w14:textId="77777777" w:rsidR="00E36400" w:rsidRDefault="00E36400" w:rsidP="00E36400">
      <w:pPr>
        <w:pStyle w:val="H1G"/>
        <w:keepNext w:val="0"/>
        <w:keepLines w:val="0"/>
      </w:pPr>
      <w:r>
        <w:tab/>
        <w:t>G.</w:t>
      </w:r>
      <w:r w:rsidRPr="002F0773">
        <w:tab/>
      </w:r>
      <w:r>
        <w:t>Aspiration hazard</w:t>
      </w:r>
    </w:p>
    <w:p w14:paraId="76BC2008" w14:textId="17856E44" w:rsidR="00E36400" w:rsidRPr="0067231D" w:rsidRDefault="00D341A7" w:rsidP="00E36400">
      <w:pPr>
        <w:pStyle w:val="SingleTxtG"/>
        <w:rPr>
          <w:iCs/>
        </w:rPr>
      </w:pPr>
      <w:r>
        <w:t>28</w:t>
      </w:r>
      <w:r w:rsidR="00E36400">
        <w:t>.</w:t>
      </w:r>
      <w:r w:rsidR="00E36400">
        <w:tab/>
      </w:r>
      <w:r w:rsidR="00E36400" w:rsidRPr="000A1129">
        <w:t xml:space="preserve">The representative of the World Coatings Council (formerly IPPIC) informed the Sub-Committee that information and data collection was still ongoing and suggested that the item be removed from the programme of work for the time being. She indicated that the </w:t>
      </w:r>
      <w:r w:rsidR="00E36400" w:rsidRPr="000A1129">
        <w:rPr>
          <w:iCs/>
        </w:rPr>
        <w:t>Sub-Committee will be kep</w:t>
      </w:r>
      <w:r w:rsidR="00E36400">
        <w:rPr>
          <w:iCs/>
        </w:rPr>
        <w:t>t</w:t>
      </w:r>
      <w:r w:rsidR="00E36400" w:rsidRPr="000A1129">
        <w:rPr>
          <w:iCs/>
        </w:rPr>
        <w:t xml:space="preserve"> informed on any progress made on this topic.</w:t>
      </w:r>
      <w:r w:rsidR="00E36400" w:rsidRPr="0067231D">
        <w:rPr>
          <w:iCs/>
        </w:rPr>
        <w:t xml:space="preserve"> </w:t>
      </w:r>
    </w:p>
    <w:p w14:paraId="2A25D0DD" w14:textId="77777777" w:rsidR="00E36400" w:rsidRDefault="00E36400" w:rsidP="00E36400">
      <w:pPr>
        <w:pStyle w:val="H1G"/>
        <w:keepNext w:val="0"/>
        <w:keepLines w:val="0"/>
      </w:pPr>
      <w:r>
        <w:tab/>
        <w:t>H.</w:t>
      </w:r>
      <w:r w:rsidRPr="002F0773">
        <w:tab/>
      </w:r>
      <w:r>
        <w:t>Nanomaterials</w:t>
      </w:r>
    </w:p>
    <w:p w14:paraId="07CA6ECD" w14:textId="2674E02E" w:rsidR="00E36400" w:rsidRDefault="00D341A7" w:rsidP="00E36400">
      <w:pPr>
        <w:pStyle w:val="SingleTxtG"/>
      </w:pPr>
      <w:r w:rsidRPr="000A77AA">
        <w:t>29</w:t>
      </w:r>
      <w:r w:rsidR="00E36400" w:rsidRPr="000A77AA">
        <w:t>.</w:t>
      </w:r>
      <w:r w:rsidR="00E36400" w:rsidRPr="000A77AA">
        <w:tab/>
      </w:r>
      <w:r w:rsidR="00D91BF7" w:rsidRPr="000A77AA">
        <w:t xml:space="preserve">This </w:t>
      </w:r>
      <w:r w:rsidR="000A77AA" w:rsidRPr="000A77AA">
        <w:t>subject</w:t>
      </w:r>
      <w:r w:rsidR="00D91BF7" w:rsidRPr="000A77AA">
        <w:t xml:space="preserve"> was addressed under agenda item 8 (see paragraph</w:t>
      </w:r>
      <w:r w:rsidR="000A77AA" w:rsidRPr="00D66281">
        <w:t xml:space="preserve"> 54 (c)</w:t>
      </w:r>
      <w:r w:rsidR="000A77AA" w:rsidRPr="000A77AA">
        <w:t>)</w:t>
      </w:r>
      <w:r w:rsidR="00E36400" w:rsidRPr="000A77AA">
        <w:t>.</w:t>
      </w:r>
    </w:p>
    <w:p w14:paraId="7C097101" w14:textId="77777777" w:rsidR="00E36400" w:rsidRDefault="00E36400" w:rsidP="00E36400">
      <w:pPr>
        <w:pStyle w:val="H1G"/>
        <w:keepNext w:val="0"/>
        <w:keepLines w:val="0"/>
      </w:pPr>
      <w:r>
        <w:tab/>
        <w:t>I.</w:t>
      </w:r>
      <w:r w:rsidRPr="002F0773">
        <w:tab/>
      </w:r>
      <w:r>
        <w:t>Other issues</w:t>
      </w:r>
    </w:p>
    <w:p w14:paraId="11413EF5" w14:textId="77777777" w:rsidR="00E36400" w:rsidRPr="00CC22CB" w:rsidRDefault="00E36400" w:rsidP="00E36400">
      <w:pPr>
        <w:pStyle w:val="H23G"/>
      </w:pPr>
      <w:r>
        <w:tab/>
        <w:t>1.</w:t>
      </w:r>
      <w:r>
        <w:tab/>
        <w:t>Definitions and use of acronyms and abbreviation in the GHS</w:t>
      </w:r>
    </w:p>
    <w:p w14:paraId="0F18FFC5" w14:textId="77777777" w:rsidR="00E36400" w:rsidRDefault="00E36400" w:rsidP="00E36400">
      <w:pPr>
        <w:spacing w:before="40"/>
      </w:pPr>
      <w:r>
        <w:rPr>
          <w:i/>
        </w:rPr>
        <w:tab/>
      </w:r>
      <w:r>
        <w:rPr>
          <w:i/>
        </w:rPr>
        <w:tab/>
      </w:r>
      <w:r w:rsidRPr="00A7198A">
        <w:rPr>
          <w:i/>
        </w:rPr>
        <w:t>Document</w:t>
      </w:r>
      <w:r>
        <w:rPr>
          <w:i/>
        </w:rPr>
        <w:t>s</w:t>
      </w:r>
      <w:r w:rsidRPr="00A7198A">
        <w:rPr>
          <w:i/>
        </w:rPr>
        <w:t>:</w:t>
      </w:r>
      <w:r w:rsidRPr="00A7198A">
        <w:t xml:space="preserve"> </w:t>
      </w:r>
      <w:r w:rsidRPr="00A7198A">
        <w:tab/>
      </w:r>
      <w:r w:rsidRPr="00A7198A">
        <w:tab/>
      </w:r>
      <w:r>
        <w:t>ST/SG/AC.10/C.4/2020/2 (secretariat)</w:t>
      </w:r>
    </w:p>
    <w:p w14:paraId="4D18D5F9" w14:textId="53683C9B" w:rsidR="00E36400" w:rsidRDefault="00E36400" w:rsidP="00E36400">
      <w:pPr>
        <w:spacing w:before="40" w:after="120"/>
      </w:pPr>
      <w:r>
        <w:tab/>
      </w:r>
      <w:r>
        <w:tab/>
      </w:r>
      <w:r>
        <w:tab/>
      </w:r>
      <w:r>
        <w:tab/>
      </w:r>
      <w:r>
        <w:tab/>
      </w:r>
      <w:r w:rsidRPr="00381DEA">
        <w:t xml:space="preserve">ST/SG/AC.10/C.4/2020/11 and </w:t>
      </w:r>
      <w:r w:rsidR="00040376">
        <w:br/>
      </w:r>
      <w:r w:rsidR="00040376">
        <w:tab/>
      </w:r>
      <w:r w:rsidR="00040376">
        <w:tab/>
      </w:r>
      <w:r w:rsidR="00040376">
        <w:tab/>
      </w:r>
      <w:r w:rsidR="00040376">
        <w:tab/>
      </w:r>
      <w:r w:rsidR="00040376">
        <w:tab/>
      </w:r>
      <w:r w:rsidRPr="00381DEA">
        <w:t>ST/SG/AC.10/C.4/2020/11/Add.1</w:t>
      </w:r>
      <w:r>
        <w:t xml:space="preserve"> (Germany)</w:t>
      </w:r>
    </w:p>
    <w:p w14:paraId="4CD58E25" w14:textId="77777777" w:rsidR="00E36400" w:rsidRDefault="00E36400" w:rsidP="00E36400">
      <w:pPr>
        <w:spacing w:before="40" w:after="240"/>
      </w:pPr>
      <w:r>
        <w:tab/>
      </w:r>
      <w:r>
        <w:tab/>
      </w:r>
      <w:r w:rsidRPr="0035549D">
        <w:rPr>
          <w:i/>
        </w:rPr>
        <w:t>Informal document</w:t>
      </w:r>
      <w:r w:rsidRPr="0035549D">
        <w:t>:   INF.</w:t>
      </w:r>
      <w:r>
        <w:t>18</w:t>
      </w:r>
      <w:r w:rsidRPr="0035549D">
        <w:t xml:space="preserve"> (</w:t>
      </w:r>
      <w:r>
        <w:t>Canada</w:t>
      </w:r>
      <w:r w:rsidRPr="0035549D">
        <w:t>)</w:t>
      </w:r>
    </w:p>
    <w:p w14:paraId="37BAEF5E" w14:textId="77BD5A63" w:rsidR="00E36400" w:rsidRDefault="00D341A7" w:rsidP="00E36400">
      <w:pPr>
        <w:pStyle w:val="SingleTxtG"/>
      </w:pPr>
      <w:r>
        <w:lastRenderedPageBreak/>
        <w:t>30</w:t>
      </w:r>
      <w:r w:rsidR="00E36400">
        <w:t>.</w:t>
      </w:r>
      <w:r w:rsidR="00E36400">
        <w:tab/>
      </w:r>
      <w:r w:rsidR="00E36400" w:rsidRPr="00051601">
        <w:t>The Sub-Committee adopted the proposals in paragraphs 5, 6, 8, 9 and 10 in document ST/SG/AC.10/C.4/2020/2 as well as the proposal in paragraph 7 in documents</w:t>
      </w:r>
      <w:r w:rsidR="00E36400" w:rsidRPr="000A1129">
        <w:t xml:space="preserve"> ST/SG/AC.10/C.4/2020/11 and ST/SG/AC.10/C.4/2020/11/Add.1</w:t>
      </w:r>
      <w:r w:rsidR="00E36400" w:rsidRPr="00051601">
        <w:t xml:space="preserve"> </w:t>
      </w:r>
      <w:r w:rsidR="00E36400">
        <w:t>with a modification to the proposed</w:t>
      </w:r>
      <w:r w:rsidR="00E36400" w:rsidRPr="00051601">
        <w:t xml:space="preserve"> text of the introductory note to Chapter 1.2 </w:t>
      </w:r>
      <w:r w:rsidR="00E36400">
        <w:t xml:space="preserve">as proposed </w:t>
      </w:r>
      <w:r w:rsidR="00E36400" w:rsidRPr="00051601">
        <w:t>in informal document INF.18 (see annex</w:t>
      </w:r>
      <w:r w:rsidR="008D4496">
        <w:t xml:space="preserve"> I</w:t>
      </w:r>
      <w:r w:rsidR="00E36400" w:rsidRPr="00051601">
        <w:t>).</w:t>
      </w:r>
    </w:p>
    <w:p w14:paraId="197DBF65" w14:textId="77777777" w:rsidR="00E36400" w:rsidRPr="00CC22CB" w:rsidRDefault="00E36400" w:rsidP="00E36400">
      <w:pPr>
        <w:pStyle w:val="H23G"/>
      </w:pPr>
      <w:r>
        <w:tab/>
        <w:t>2.</w:t>
      </w:r>
      <w:r>
        <w:tab/>
        <w:t>Review of the decision logics</w:t>
      </w:r>
    </w:p>
    <w:p w14:paraId="08243BCB" w14:textId="77777777" w:rsidR="00E36400" w:rsidRDefault="00E36400" w:rsidP="00E36400">
      <w:pPr>
        <w:spacing w:before="40"/>
        <w:ind w:right="1134"/>
      </w:pPr>
      <w:r w:rsidRPr="0054525B">
        <w:rPr>
          <w:i/>
        </w:rPr>
        <w:tab/>
      </w:r>
      <w:r w:rsidRPr="0054525B">
        <w:rPr>
          <w:i/>
        </w:rPr>
        <w:tab/>
        <w:t>Documents:</w:t>
      </w:r>
      <w:r w:rsidRPr="0054525B">
        <w:t xml:space="preserve"> </w:t>
      </w:r>
      <w:r w:rsidRPr="0054525B">
        <w:tab/>
      </w:r>
      <w:r w:rsidRPr="0054525B">
        <w:tab/>
        <w:t>ST/SG/AC.10/C.4/2020/3 (secretariat)</w:t>
      </w:r>
    </w:p>
    <w:p w14:paraId="711693C4" w14:textId="77777777" w:rsidR="00E36400" w:rsidRDefault="00E36400" w:rsidP="00E36400">
      <w:pPr>
        <w:spacing w:before="40" w:after="240"/>
        <w:ind w:right="1134"/>
      </w:pPr>
      <w:r>
        <w:tab/>
      </w:r>
      <w:r>
        <w:tab/>
      </w:r>
      <w:r>
        <w:tab/>
      </w:r>
      <w:r>
        <w:tab/>
      </w:r>
      <w:r>
        <w:tab/>
      </w:r>
      <w:r w:rsidRPr="0054525B">
        <w:t>ST/SG/AC.10/C.4/2020/3/Add.1 (secretariat)</w:t>
      </w:r>
    </w:p>
    <w:p w14:paraId="0A2FA8D0" w14:textId="77777777" w:rsidR="00E36400" w:rsidRDefault="00E36400" w:rsidP="00E36400">
      <w:pPr>
        <w:spacing w:before="40" w:after="240"/>
        <w:ind w:right="1134"/>
        <w:rPr>
          <w:iCs/>
        </w:rPr>
      </w:pPr>
      <w:r>
        <w:tab/>
      </w:r>
      <w:r>
        <w:tab/>
      </w:r>
      <w:r w:rsidRPr="0070665D">
        <w:rPr>
          <w:i/>
        </w:rPr>
        <w:t>Background documents:</w:t>
      </w:r>
      <w:r>
        <w:rPr>
          <w:i/>
        </w:rPr>
        <w:t xml:space="preserve"> </w:t>
      </w:r>
      <w:r w:rsidRPr="0070665D">
        <w:rPr>
          <w:iCs/>
        </w:rPr>
        <w:t>INF.5 (secretariat), INF.6 (Germany) and INF.8 (secretariat)</w:t>
      </w:r>
    </w:p>
    <w:p w14:paraId="616BE889" w14:textId="09FDB7C9" w:rsidR="00E36400" w:rsidRDefault="00D341A7" w:rsidP="00E36400">
      <w:pPr>
        <w:pStyle w:val="SingleTxtG"/>
      </w:pPr>
      <w:r>
        <w:t>31</w:t>
      </w:r>
      <w:r w:rsidR="00E36400">
        <w:t>.</w:t>
      </w:r>
      <w:r w:rsidR="00E36400">
        <w:tab/>
      </w:r>
      <w:r w:rsidR="00E36400" w:rsidRPr="000A1129">
        <w:t xml:space="preserve">The Sub-Committee adopted the proposal in paragraph 3 in document ST/SG/AC.10/C.4/2020/3, with the additional amendments and corrections in paragraphs 3, </w:t>
      </w:r>
      <w:r w:rsidR="00E36400">
        <w:t>5</w:t>
      </w:r>
      <w:r w:rsidR="00E36400" w:rsidRPr="000A1129">
        <w:t xml:space="preserve"> and 6 in ST/SG/AC.10/C.4/2020/3/Add.1, and the correction to the French version of decision logic 2.3.1 </w:t>
      </w:r>
      <w:r w:rsidR="00E36400">
        <w:t>(</w:t>
      </w:r>
      <w:r w:rsidR="00E36400" w:rsidRPr="000A1129">
        <w:t>c) in informal document INF.5 (see annex</w:t>
      </w:r>
      <w:r w:rsidR="008D4496">
        <w:t xml:space="preserve"> I</w:t>
      </w:r>
      <w:r w:rsidR="00E36400" w:rsidRPr="000A1129">
        <w:t>).</w:t>
      </w:r>
    </w:p>
    <w:p w14:paraId="03C4B9B9" w14:textId="65806000" w:rsidR="00E36400" w:rsidRPr="000A1129" w:rsidRDefault="00D341A7" w:rsidP="00E36400">
      <w:pPr>
        <w:pStyle w:val="SingleTxtG"/>
      </w:pPr>
      <w:r>
        <w:t>32</w:t>
      </w:r>
      <w:r w:rsidR="00E36400">
        <w:t>.</w:t>
      </w:r>
      <w:r w:rsidR="00E36400">
        <w:tab/>
        <w:t xml:space="preserve">On the proposed consequential amendments related to the proposal in paragraph 5 in </w:t>
      </w:r>
      <w:r w:rsidR="00E36400" w:rsidRPr="000A1129">
        <w:t>ST/SG/AC.10/C.4/2020/3/Add.1</w:t>
      </w:r>
      <w:r w:rsidR="00E36400">
        <w:t xml:space="preserve">, the Sub-Committee considered that they deserved further reflection and decided to address them during the next biennium. </w:t>
      </w:r>
    </w:p>
    <w:p w14:paraId="2D159B8A" w14:textId="4B4CE208" w:rsidR="00E36400" w:rsidRPr="000A1129" w:rsidRDefault="00D341A7" w:rsidP="00E36400">
      <w:pPr>
        <w:pStyle w:val="SingleTxtG"/>
      </w:pPr>
      <w:r>
        <w:t>33</w:t>
      </w:r>
      <w:r w:rsidR="00E36400">
        <w:t>.</w:t>
      </w:r>
      <w:r w:rsidR="00E36400">
        <w:tab/>
        <w:t>The Sub-Committee welcomed the information by the expert from Germany</w:t>
      </w:r>
      <w:r w:rsidR="00E36400" w:rsidRPr="000A1129">
        <w:t xml:space="preserve"> </w:t>
      </w:r>
      <w:r w:rsidR="008D4496">
        <w:t xml:space="preserve">on her intention to </w:t>
      </w:r>
      <w:r w:rsidR="00E36400" w:rsidRPr="000A1129">
        <w:t xml:space="preserve">work </w:t>
      </w:r>
      <w:r w:rsidR="00E32CAA">
        <w:t xml:space="preserve">during the next biennium </w:t>
      </w:r>
      <w:r w:rsidR="00E36400" w:rsidRPr="000A1129">
        <w:t>on the general principles for the design, presentation and structure of the decision logics</w:t>
      </w:r>
      <w:r w:rsidR="00E32CAA">
        <w:t xml:space="preserve"> outlined in </w:t>
      </w:r>
      <w:r w:rsidR="0052686B">
        <w:t xml:space="preserve">informal document </w:t>
      </w:r>
      <w:r w:rsidR="00E32CAA">
        <w:t>INF.6</w:t>
      </w:r>
      <w:r w:rsidR="00937B3C">
        <w:t>, for their further improvement</w:t>
      </w:r>
      <w:r w:rsidR="00E32CAA">
        <w:t>.</w:t>
      </w:r>
      <w:r w:rsidR="00E36400" w:rsidRPr="000A1129">
        <w:t xml:space="preserve"> </w:t>
      </w:r>
      <w:r w:rsidR="00E36400">
        <w:t>.</w:t>
      </w:r>
    </w:p>
    <w:p w14:paraId="30FCD2DA" w14:textId="77777777" w:rsidR="00E36400" w:rsidRDefault="00E36400" w:rsidP="00E36400">
      <w:pPr>
        <w:pStyle w:val="H23G"/>
      </w:pPr>
      <w:r>
        <w:tab/>
        <w:t>3.</w:t>
      </w:r>
      <w:r>
        <w:tab/>
      </w:r>
      <w:r>
        <w:tab/>
        <w:t>Workplace labelling: clarification of 1.4.10.5.5.1</w:t>
      </w:r>
    </w:p>
    <w:p w14:paraId="6E31C73D" w14:textId="6EAE8382" w:rsidR="00E36400" w:rsidRDefault="00E36400" w:rsidP="00D66281">
      <w:pPr>
        <w:tabs>
          <w:tab w:val="left" w:pos="1134"/>
          <w:tab w:val="left" w:pos="2410"/>
        </w:tabs>
        <w:spacing w:before="40" w:after="240"/>
      </w:pPr>
      <w:r>
        <w:rPr>
          <w:i/>
        </w:rPr>
        <w:tab/>
      </w:r>
      <w:r w:rsidRPr="00A7198A">
        <w:rPr>
          <w:i/>
        </w:rPr>
        <w:t>Document</w:t>
      </w:r>
      <w:r>
        <w:rPr>
          <w:i/>
        </w:rPr>
        <w:t>s</w:t>
      </w:r>
      <w:r w:rsidRPr="00A7198A">
        <w:rPr>
          <w:i/>
        </w:rPr>
        <w:t>:</w:t>
      </w:r>
      <w:r w:rsidRPr="00A7198A">
        <w:t xml:space="preserve"> </w:t>
      </w:r>
      <w:r w:rsidRPr="00A7198A">
        <w:tab/>
      </w:r>
      <w:r w:rsidRPr="00381DEA">
        <w:t>ST/SG/AC.10/C.4/2020/6 and ST/SG/AC.10/C.4/2020/6/Add.1</w:t>
      </w:r>
      <w:r>
        <w:t xml:space="preserve"> (secretariat)</w:t>
      </w:r>
    </w:p>
    <w:p w14:paraId="06B56B65" w14:textId="61DA4199" w:rsidR="00E36400" w:rsidRDefault="00D341A7" w:rsidP="00D66281">
      <w:pPr>
        <w:pStyle w:val="SingleTxtG"/>
        <w:tabs>
          <w:tab w:val="left" w:pos="1701"/>
          <w:tab w:val="left" w:pos="2410"/>
        </w:tabs>
      </w:pPr>
      <w:r>
        <w:t>34</w:t>
      </w:r>
      <w:r w:rsidR="00E36400">
        <w:t>.</w:t>
      </w:r>
      <w:r w:rsidR="00E36400">
        <w:tab/>
        <w:t xml:space="preserve">Following a request for clarification by the expert from the Netherlands, the </w:t>
      </w:r>
      <w:r w:rsidR="00E36400">
        <w:br/>
        <w:t xml:space="preserve">Sub-Committee confirmed that in the context of paragraph 1.4.10.5.5.1, “decantation” meant transfer of a chemical from its initial container to a provisional container and not separation of components of a mixture. It was pointed out that the main purpose of the provisions in this paragraph was to ensure that workers could easily obtain the hazard information about the chemical once it </w:t>
      </w:r>
      <w:r w:rsidR="00A44490">
        <w:t>was</w:t>
      </w:r>
      <w:r w:rsidR="00E36400">
        <w:t xml:space="preserve"> placed in a non-labelled temporary container. On these grounds, the Sub-Committee adopted option 3 (b) as well as the proposal in paragraph 6 in document  </w:t>
      </w:r>
      <w:r w:rsidR="00E36400" w:rsidRPr="00561517">
        <w:t>ST/SG/AC.10/C.4/2020/6/Add.1</w:t>
      </w:r>
      <w:r w:rsidR="00E36400">
        <w:t xml:space="preserve"> (see annex</w:t>
      </w:r>
      <w:r w:rsidR="004A360E">
        <w:t xml:space="preserve"> I</w:t>
      </w:r>
      <w:r w:rsidR="00E36400">
        <w:t xml:space="preserve">), as it was understood that the product identifier (as defined in section A4.3.1 of Annex 4 of the GHS) would allow unequivocal identification of the chemical, while at the same time allowing competent authorities to give suppliers discretion to use the alternative approach given in paragraph 1.4.10.5.2 (d) (iii) of the GHS. </w:t>
      </w:r>
    </w:p>
    <w:p w14:paraId="78E5BB75" w14:textId="77777777" w:rsidR="00E36400" w:rsidRDefault="00E36400" w:rsidP="00E36400">
      <w:pPr>
        <w:pStyle w:val="H23G"/>
      </w:pPr>
      <w:r>
        <w:tab/>
        <w:t>4.</w:t>
      </w:r>
      <w:r>
        <w:tab/>
      </w:r>
      <w:r>
        <w:tab/>
        <w:t>Clarification of the criteria for classification for germ cell mutagenicity in category 1B</w:t>
      </w:r>
    </w:p>
    <w:p w14:paraId="2055796F" w14:textId="2EE62CBA" w:rsidR="00E36400" w:rsidRDefault="00E36400" w:rsidP="00D66281">
      <w:pPr>
        <w:tabs>
          <w:tab w:val="left" w:pos="1134"/>
          <w:tab w:val="left" w:pos="2268"/>
        </w:tabs>
        <w:spacing w:before="40" w:after="240"/>
      </w:pPr>
      <w:r>
        <w:rPr>
          <w:i/>
        </w:rPr>
        <w:tab/>
      </w:r>
      <w:r w:rsidRPr="00A7198A">
        <w:rPr>
          <w:i/>
        </w:rPr>
        <w:t>Document</w:t>
      </w:r>
      <w:r>
        <w:rPr>
          <w:i/>
        </w:rPr>
        <w:t>s</w:t>
      </w:r>
      <w:r w:rsidRPr="00A7198A">
        <w:rPr>
          <w:i/>
        </w:rPr>
        <w:t>:</w:t>
      </w:r>
      <w:r w:rsidRPr="00A7198A">
        <w:t xml:space="preserve"> </w:t>
      </w:r>
      <w:r w:rsidRPr="007D2D69">
        <w:tab/>
      </w:r>
      <w:r w:rsidRPr="007D2D69">
        <w:tab/>
      </w:r>
      <w:r w:rsidRPr="00D66281">
        <w:t xml:space="preserve">ST/SG/AC.10/C.4/2020/13 and </w:t>
      </w:r>
      <w:r w:rsidR="007D2D69">
        <w:br/>
      </w:r>
      <w:r w:rsidR="007D2D69">
        <w:tab/>
      </w:r>
      <w:r w:rsidR="007D2D69">
        <w:tab/>
      </w:r>
      <w:r w:rsidRPr="00D66281">
        <w:t>ST/SG/AC.10/C.4/2020/13/Add.1</w:t>
      </w:r>
      <w:r>
        <w:t xml:space="preserve"> (European Union)</w:t>
      </w:r>
    </w:p>
    <w:p w14:paraId="0A20499B" w14:textId="77777777" w:rsidR="00E36400" w:rsidRDefault="00E36400" w:rsidP="00E36400">
      <w:pPr>
        <w:spacing w:before="40" w:after="240"/>
      </w:pPr>
      <w:r>
        <w:tab/>
      </w:r>
      <w:r>
        <w:tab/>
      </w:r>
      <w:r w:rsidRPr="00113E36">
        <w:rPr>
          <w:i/>
          <w:iCs/>
        </w:rPr>
        <w:t>Informal document:</w:t>
      </w:r>
      <w:r w:rsidRPr="00113E36">
        <w:rPr>
          <w:i/>
          <w:iCs/>
        </w:rPr>
        <w:tab/>
        <w:t xml:space="preserve"> </w:t>
      </w:r>
      <w:r w:rsidRPr="00113E36">
        <w:t>INF.37 (European Union)</w:t>
      </w:r>
    </w:p>
    <w:p w14:paraId="13B46E37" w14:textId="77777777" w:rsidR="00E36400" w:rsidRDefault="00E36400" w:rsidP="00E36400">
      <w:pPr>
        <w:spacing w:before="40" w:after="240"/>
        <w:rPr>
          <w:iCs/>
        </w:rPr>
      </w:pPr>
      <w:r>
        <w:rPr>
          <w:i/>
        </w:rPr>
        <w:tab/>
      </w:r>
      <w:r>
        <w:rPr>
          <w:i/>
        </w:rPr>
        <w:tab/>
      </w:r>
      <w:r w:rsidRPr="0070665D">
        <w:rPr>
          <w:i/>
        </w:rPr>
        <w:t>Background document</w:t>
      </w:r>
      <w:r>
        <w:rPr>
          <w:i/>
        </w:rPr>
        <w:t xml:space="preserve">: </w:t>
      </w:r>
      <w:r w:rsidRPr="005C7262">
        <w:rPr>
          <w:iCs/>
        </w:rPr>
        <w:t>INF.</w:t>
      </w:r>
      <w:r>
        <w:rPr>
          <w:iCs/>
        </w:rPr>
        <w:t>7</w:t>
      </w:r>
      <w:r w:rsidRPr="005C7262">
        <w:rPr>
          <w:iCs/>
        </w:rPr>
        <w:t xml:space="preserve"> (Germany)</w:t>
      </w:r>
    </w:p>
    <w:p w14:paraId="0BF50295" w14:textId="7F8CD15F" w:rsidR="00E36400" w:rsidRDefault="00D341A7" w:rsidP="00E36400">
      <w:pPr>
        <w:pStyle w:val="SingleTxtG"/>
      </w:pPr>
      <w:r w:rsidRPr="00F604ED">
        <w:t>35</w:t>
      </w:r>
      <w:r w:rsidR="00E36400" w:rsidRPr="00F604ED">
        <w:t>.</w:t>
      </w:r>
      <w:r w:rsidR="00E36400" w:rsidRPr="00F604ED">
        <w:tab/>
        <w:t xml:space="preserve">The Sub-Committee agreed in principle to the proposal to address this issue within an informal working group, as described in informal document INF.37, on condition that OECD will be engaged in the work. The Sub-Committee was informed that the first task of the informal working group will be to discuss and agree on the terms of reference for its work on the basis of the draft in informal document INF.37 and taking into account the comments made by the sub-Committee, such as the discussion of any work to capture non-animal test methods with the </w:t>
      </w:r>
      <w:r w:rsidR="00F604ED" w:rsidRPr="00D66281">
        <w:t>non-animal testing informal working group</w:t>
      </w:r>
      <w:r w:rsidR="00E36400" w:rsidRPr="00F604ED">
        <w:t xml:space="preserve">. The informal working group will forward the agreed terms of reference </w:t>
      </w:r>
      <w:r w:rsidR="00F604ED">
        <w:rPr>
          <w:lang w:val="en-US"/>
        </w:rPr>
        <w:t>and</w:t>
      </w:r>
      <w:r w:rsidR="00E36400" w:rsidRPr="00F604ED">
        <w:rPr>
          <w:lang w:val="en-US"/>
        </w:rPr>
        <w:t xml:space="preserve"> a detailed work</w:t>
      </w:r>
      <w:r w:rsidR="00E36400" w:rsidRPr="000D641F">
        <w:rPr>
          <w:lang w:val="en-US"/>
        </w:rPr>
        <w:t xml:space="preserve"> programme</w:t>
      </w:r>
      <w:r w:rsidR="00E36400" w:rsidRPr="00AB7862">
        <w:rPr>
          <w:lang w:val="en-US"/>
        </w:rPr>
        <w:t xml:space="preserve"> </w:t>
      </w:r>
      <w:r w:rsidR="00E36400" w:rsidRPr="00AB7862">
        <w:t>to the Sub-</w:t>
      </w:r>
      <w:r w:rsidR="00E36400" w:rsidRPr="00AB7862">
        <w:lastRenderedPageBreak/>
        <w:t>Committee for its consideration at a future session.</w:t>
      </w:r>
      <w:r w:rsidR="00E36400">
        <w:t xml:space="preserve"> </w:t>
      </w:r>
      <w:r w:rsidR="00E36400" w:rsidRPr="0045579E">
        <w:rPr>
          <w:lang w:val="en-US"/>
        </w:rPr>
        <w:t>It was noted that the work of the informal working group would be organized by the Joint Research Center (JRC) of the European Commission.</w:t>
      </w:r>
      <w:r w:rsidR="00E36400">
        <w:t xml:space="preserve"> </w:t>
      </w:r>
    </w:p>
    <w:p w14:paraId="70DC6528" w14:textId="77777777" w:rsidR="00E36400" w:rsidRPr="005C7262" w:rsidRDefault="00E36400" w:rsidP="00E36400">
      <w:pPr>
        <w:pStyle w:val="H23G"/>
        <w:rPr>
          <w:iCs/>
        </w:rPr>
      </w:pPr>
      <w:r>
        <w:tab/>
        <w:t>5.</w:t>
      </w:r>
      <w:r>
        <w:tab/>
        <w:t>New proposals</w:t>
      </w:r>
    </w:p>
    <w:p w14:paraId="52219249" w14:textId="584925F7" w:rsidR="00E36400" w:rsidRDefault="00D341A7" w:rsidP="00E36400">
      <w:pPr>
        <w:pStyle w:val="SingleTxtG"/>
      </w:pPr>
      <w:r>
        <w:t>36</w:t>
      </w:r>
      <w:r w:rsidR="00E36400">
        <w:t>.</w:t>
      </w:r>
      <w:r w:rsidR="00E36400">
        <w:tab/>
      </w:r>
      <w:r w:rsidR="00E36400" w:rsidRPr="00B707C6">
        <w:t>As no document had been submitted under this agenda item, no discussion took place on this subject.</w:t>
      </w:r>
    </w:p>
    <w:p w14:paraId="13405055" w14:textId="77777777" w:rsidR="002C7B84" w:rsidRPr="00A54A3A" w:rsidRDefault="002C7B84" w:rsidP="002C7B84">
      <w:pPr>
        <w:pStyle w:val="HChG"/>
      </w:pPr>
      <w:r w:rsidRPr="00A54A3A">
        <w:tab/>
        <w:t>VI.</w:t>
      </w:r>
      <w:r w:rsidRPr="00A54A3A">
        <w:tab/>
        <w:t>Hazard communication (agenda item 4)</w:t>
      </w:r>
    </w:p>
    <w:p w14:paraId="255688F9" w14:textId="77777777" w:rsidR="002C7B84" w:rsidRPr="00A54A3A" w:rsidRDefault="002C7B84" w:rsidP="002C7B84">
      <w:pPr>
        <w:pStyle w:val="H1G"/>
      </w:pPr>
      <w:r w:rsidRPr="00A54A3A">
        <w:tab/>
        <w:t>A.</w:t>
      </w:r>
      <w:r w:rsidRPr="00A54A3A">
        <w:tab/>
        <w:t>Practical labelling issues</w:t>
      </w:r>
    </w:p>
    <w:p w14:paraId="03D185DD" w14:textId="77777777" w:rsidR="002C7B84" w:rsidRPr="00A54A3A" w:rsidRDefault="002C7B84" w:rsidP="002C7B84">
      <w:pPr>
        <w:spacing w:before="40" w:after="240"/>
      </w:pPr>
      <w:r w:rsidRPr="00A54A3A">
        <w:tab/>
      </w:r>
      <w:r w:rsidRPr="00A54A3A">
        <w:tab/>
      </w:r>
      <w:r w:rsidRPr="00A54A3A">
        <w:rPr>
          <w:i/>
          <w:iCs/>
        </w:rPr>
        <w:t>Informal document:</w:t>
      </w:r>
      <w:r w:rsidRPr="00A54A3A">
        <w:rPr>
          <w:i/>
          <w:iCs/>
        </w:rPr>
        <w:tab/>
        <w:t xml:space="preserve"> </w:t>
      </w:r>
      <w:r w:rsidRPr="00A54A3A">
        <w:t>INF.28 (Cefic)</w:t>
      </w:r>
    </w:p>
    <w:p w14:paraId="180914C1" w14:textId="04E1E034" w:rsidR="002C7B84" w:rsidRPr="00A54A3A" w:rsidRDefault="00D341A7" w:rsidP="002C7B84">
      <w:pPr>
        <w:pStyle w:val="SingleTxtG"/>
      </w:pPr>
      <w:r>
        <w:t>37</w:t>
      </w:r>
      <w:r w:rsidR="002C7B84" w:rsidRPr="00A54A3A">
        <w:t>.</w:t>
      </w:r>
      <w:r w:rsidR="002C7B84" w:rsidRPr="00A54A3A">
        <w:tab/>
        <w:t>The Sub-Committee agreed that work on practical labelling issues should continue during 2021-</w:t>
      </w:r>
      <w:r w:rsidR="00257BB9" w:rsidRPr="00A54A3A">
        <w:t>202</w:t>
      </w:r>
      <w:r w:rsidR="00257BB9">
        <w:t>2</w:t>
      </w:r>
      <w:r w:rsidR="00257BB9" w:rsidRPr="00A54A3A">
        <w:t xml:space="preserve"> </w:t>
      </w:r>
      <w:r w:rsidR="00BA7766" w:rsidRPr="00A54A3A">
        <w:t>(see annex</w:t>
      </w:r>
      <w:r w:rsidR="00BA7766">
        <w:t xml:space="preserve"> II</w:t>
      </w:r>
      <w:r w:rsidR="00BA7766" w:rsidRPr="00A54A3A">
        <w:t xml:space="preserve">) </w:t>
      </w:r>
      <w:r w:rsidR="002C7B84" w:rsidRPr="00A54A3A">
        <w:t>in accordance with the terms of reference and work programme in paragraphs 5 and 6 of informal document INF.28 and noted that Cefic would continue to lead th</w:t>
      </w:r>
      <w:r w:rsidR="00257BB9">
        <w:t>is</w:t>
      </w:r>
      <w:r w:rsidR="002C7B84" w:rsidRPr="00A54A3A">
        <w:t xml:space="preserve"> work.  </w:t>
      </w:r>
    </w:p>
    <w:p w14:paraId="2F6DDCB2" w14:textId="77777777" w:rsidR="002C7B84" w:rsidRPr="00A54A3A" w:rsidRDefault="002C7B84" w:rsidP="002C7B84">
      <w:pPr>
        <w:pStyle w:val="H1G"/>
      </w:pPr>
      <w:r w:rsidRPr="00A54A3A">
        <w:tab/>
        <w:t>B.</w:t>
      </w:r>
      <w:r w:rsidRPr="00A54A3A">
        <w:tab/>
        <w:t>Improvement of annexes 1 to 3 and further rationalization of precautionary statements</w:t>
      </w:r>
    </w:p>
    <w:p w14:paraId="24B8756D" w14:textId="77777777" w:rsidR="002C7B84" w:rsidRPr="00EE6EE1" w:rsidRDefault="002C7B84" w:rsidP="002C7B84">
      <w:pPr>
        <w:spacing w:before="40" w:after="240"/>
      </w:pPr>
      <w:r w:rsidRPr="00EE6EE1">
        <w:rPr>
          <w:i/>
        </w:rPr>
        <w:tab/>
      </w:r>
      <w:r w:rsidRPr="00EE6EE1">
        <w:rPr>
          <w:i/>
        </w:rPr>
        <w:tab/>
        <w:t>Documents:</w:t>
      </w:r>
      <w:r w:rsidRPr="00EE6EE1">
        <w:t xml:space="preserve"> </w:t>
      </w:r>
      <w:r w:rsidRPr="00EE6EE1">
        <w:tab/>
      </w:r>
      <w:r w:rsidRPr="00EE6EE1">
        <w:tab/>
      </w:r>
      <w:r w:rsidRPr="00D66281">
        <w:t xml:space="preserve">ST/SG/AC.10/C.4/2020/12 </w:t>
      </w:r>
      <w:r w:rsidRPr="00EE6EE1">
        <w:t>(United Kingdom)</w:t>
      </w:r>
    </w:p>
    <w:p w14:paraId="537DAB7E" w14:textId="77777777" w:rsidR="002C7B84" w:rsidRPr="00A54A3A" w:rsidRDefault="002C7B84" w:rsidP="002C7B84">
      <w:pPr>
        <w:spacing w:before="40"/>
      </w:pPr>
      <w:r w:rsidRPr="00A54A3A">
        <w:tab/>
      </w:r>
      <w:r w:rsidRPr="00A54A3A">
        <w:tab/>
      </w:r>
      <w:r w:rsidRPr="00A54A3A">
        <w:rPr>
          <w:i/>
          <w:iCs/>
        </w:rPr>
        <w:t>Informal documents:</w:t>
      </w:r>
      <w:r w:rsidRPr="00A54A3A">
        <w:rPr>
          <w:i/>
          <w:iCs/>
        </w:rPr>
        <w:tab/>
        <w:t xml:space="preserve"> </w:t>
      </w:r>
      <w:r w:rsidRPr="00A54A3A">
        <w:t>INF.4 (United Kingdom)</w:t>
      </w:r>
    </w:p>
    <w:p w14:paraId="1728D2E6" w14:textId="3A10BD5C" w:rsidR="002C7B84" w:rsidRPr="00A54A3A" w:rsidRDefault="002C7B84">
      <w:pPr>
        <w:spacing w:before="40" w:after="240"/>
      </w:pPr>
      <w:r w:rsidRPr="00A54A3A">
        <w:tab/>
      </w:r>
      <w:r w:rsidRPr="00A54A3A">
        <w:tab/>
      </w:r>
      <w:r w:rsidRPr="00A54A3A">
        <w:tab/>
      </w:r>
      <w:r w:rsidRPr="00A54A3A">
        <w:tab/>
      </w:r>
      <w:r w:rsidRPr="00A54A3A">
        <w:tab/>
      </w:r>
      <w:r w:rsidR="00AE41DA">
        <w:t xml:space="preserve"> </w:t>
      </w:r>
      <w:r w:rsidRPr="00A54A3A">
        <w:t>INF.20 (United Kingdom)</w:t>
      </w:r>
    </w:p>
    <w:p w14:paraId="142F7808" w14:textId="326CDFAB" w:rsidR="002C7B84" w:rsidRPr="00EE6EE1" w:rsidRDefault="00D341A7" w:rsidP="002C7B84">
      <w:pPr>
        <w:pStyle w:val="SingleTxtG"/>
      </w:pPr>
      <w:r>
        <w:t>38</w:t>
      </w:r>
      <w:r w:rsidR="002C7B84" w:rsidRPr="00A54A3A">
        <w:t>.</w:t>
      </w:r>
      <w:r w:rsidR="002C7B84" w:rsidRPr="00A54A3A">
        <w:tab/>
        <w:t xml:space="preserve">The Sub-Committee took note of the status of the work of the informal working group </w:t>
      </w:r>
      <w:r w:rsidR="002C7B84" w:rsidRPr="00EE6EE1">
        <w:t xml:space="preserve">on the improvement of annexes 1 to 3 of the GHS in informal document INF.20 and adopted the amendments to Annex 3 in paragraphs 6 to 9 of document </w:t>
      </w:r>
      <w:r w:rsidR="002C7B84" w:rsidRPr="00D66281">
        <w:t>ST/SG/AC.10/C.4/2020/12</w:t>
      </w:r>
      <w:r w:rsidR="002C7B84" w:rsidRPr="00EE6EE1">
        <w:t>. (see annex</w:t>
      </w:r>
      <w:r w:rsidR="00CF0E94" w:rsidRPr="00EE6EE1">
        <w:t xml:space="preserve"> I</w:t>
      </w:r>
      <w:r w:rsidR="002C7B84" w:rsidRPr="00EE6EE1">
        <w:t xml:space="preserve">). </w:t>
      </w:r>
    </w:p>
    <w:p w14:paraId="7C1C8067" w14:textId="77777777" w:rsidR="002C7B84" w:rsidRPr="00A54A3A" w:rsidRDefault="002C7B84" w:rsidP="002C7B84">
      <w:pPr>
        <w:pStyle w:val="H1G"/>
      </w:pPr>
      <w:r w:rsidRPr="00A54A3A">
        <w:tab/>
        <w:t>C.</w:t>
      </w:r>
      <w:r w:rsidRPr="00A54A3A">
        <w:tab/>
        <w:t>Review of Annex 4, sub-section A4.3.3.2.3</w:t>
      </w:r>
    </w:p>
    <w:p w14:paraId="6C76E3C7" w14:textId="15CD75C5" w:rsidR="002C7B84" w:rsidRPr="00A54A3A" w:rsidRDefault="00D341A7" w:rsidP="002C7B84">
      <w:pPr>
        <w:pStyle w:val="SingleTxtG"/>
      </w:pPr>
      <w:r>
        <w:t>39</w:t>
      </w:r>
      <w:r w:rsidR="002C7B84" w:rsidRPr="00A54A3A">
        <w:t>.</w:t>
      </w:r>
      <w:r w:rsidR="002C7B84" w:rsidRPr="00A54A3A">
        <w:tab/>
        <w:t xml:space="preserve">The representative of Cefic informed the Sub-Committee that no work on this topic was expected to be carried on during the next biennium. Consequently, the Sub-Committee decided to delete this item from its programme of work for 2021-2022. </w:t>
      </w:r>
    </w:p>
    <w:p w14:paraId="280D4CF2" w14:textId="77777777" w:rsidR="002C7B84" w:rsidRPr="00A54A3A" w:rsidRDefault="002C7B84" w:rsidP="002C7B84">
      <w:pPr>
        <w:pStyle w:val="H1G"/>
      </w:pPr>
      <w:r w:rsidRPr="00A54A3A">
        <w:tab/>
        <w:t>D.</w:t>
      </w:r>
      <w:r w:rsidRPr="00A54A3A">
        <w:tab/>
        <w:t>Other issues</w:t>
      </w:r>
    </w:p>
    <w:p w14:paraId="214D98F0" w14:textId="77777777" w:rsidR="002C7B84" w:rsidRPr="00A54A3A" w:rsidRDefault="002C7B84" w:rsidP="002C7B84">
      <w:pPr>
        <w:pStyle w:val="H23G"/>
      </w:pPr>
      <w:r w:rsidRPr="00A54A3A">
        <w:tab/>
        <w:t xml:space="preserve">1. </w:t>
      </w:r>
      <w:r w:rsidRPr="00A54A3A">
        <w:tab/>
        <w:t>Review and update of references to documents and test guidelines in annexes 9 and 10 of the GHS</w:t>
      </w:r>
    </w:p>
    <w:p w14:paraId="38F0EB6E" w14:textId="77777777" w:rsidR="002C7B84" w:rsidRPr="00EE6EE1" w:rsidRDefault="002C7B84" w:rsidP="002C7B84">
      <w:pPr>
        <w:spacing w:before="40" w:after="240"/>
      </w:pPr>
      <w:r w:rsidRPr="00EE6EE1">
        <w:rPr>
          <w:i/>
        </w:rPr>
        <w:tab/>
      </w:r>
      <w:r w:rsidRPr="00EE6EE1">
        <w:rPr>
          <w:i/>
        </w:rPr>
        <w:tab/>
        <w:t>Document:</w:t>
      </w:r>
      <w:r w:rsidRPr="00EE6EE1">
        <w:t xml:space="preserve"> </w:t>
      </w:r>
      <w:r w:rsidRPr="00EE6EE1">
        <w:tab/>
      </w:r>
      <w:r w:rsidRPr="00EE6EE1">
        <w:tab/>
      </w:r>
      <w:r w:rsidRPr="00D66281">
        <w:t xml:space="preserve">ST/SG/AC.10/C.4/2020/1 </w:t>
      </w:r>
      <w:r w:rsidRPr="00EE6EE1">
        <w:t xml:space="preserve">(secretariat) </w:t>
      </w:r>
    </w:p>
    <w:p w14:paraId="0D84B64D" w14:textId="47CD8A1C" w:rsidR="002C7B84" w:rsidRPr="00A54A3A" w:rsidRDefault="00D341A7" w:rsidP="002C7B84">
      <w:pPr>
        <w:pStyle w:val="SingleTxtG"/>
      </w:pPr>
      <w:r>
        <w:t>40</w:t>
      </w:r>
      <w:r w:rsidR="002C7B84" w:rsidRPr="00A54A3A">
        <w:t>.</w:t>
      </w:r>
      <w:r w:rsidR="002C7B84" w:rsidRPr="00A54A3A">
        <w:tab/>
        <w:t>The Sub-Committee adopted the amendments proposed in accordance with option 2 in document ST/SG/AC.10/C.4/2020/1 (see annex</w:t>
      </w:r>
      <w:r w:rsidR="00CD4226">
        <w:t xml:space="preserve"> I</w:t>
      </w:r>
      <w:r w:rsidR="00CD4226" w:rsidRPr="00A54A3A">
        <w:t xml:space="preserve">). </w:t>
      </w:r>
      <w:r w:rsidR="002C7B84" w:rsidRPr="00A54A3A">
        <w:t>It considered that the proposed approach was consistent with the views expressed at its twenty-eight</w:t>
      </w:r>
      <w:r w:rsidR="002C7B84">
        <w:t>h</w:t>
      </w:r>
      <w:r w:rsidR="002C7B84" w:rsidRPr="00A54A3A">
        <w:t xml:space="preserve"> session </w:t>
      </w:r>
      <w:r w:rsidR="00FA0224" w:rsidRPr="00A54A3A">
        <w:t xml:space="preserve">(see ST/SG/AC.10/C.4/56, paragraph 41) </w:t>
      </w:r>
      <w:r w:rsidR="002C7B84" w:rsidRPr="00A54A3A">
        <w:t>as regards the importance to date test methods and would avoid cumbersome repetition of footnotes in annexes 9 and 10. It was also noted that providing all references at the same place would facilitate future update</w:t>
      </w:r>
      <w:r w:rsidR="002C7B84">
        <w:t xml:space="preserve">s. Delegations were invited to consider ways to ensure that the references were regularly revised and updated. </w:t>
      </w:r>
    </w:p>
    <w:p w14:paraId="37526B8F" w14:textId="1E65BE8C" w:rsidR="002C7B84" w:rsidRPr="00A54A3A" w:rsidRDefault="00D341A7" w:rsidP="002C7B84">
      <w:pPr>
        <w:pStyle w:val="SingleTxtG"/>
      </w:pPr>
      <w:r>
        <w:t>41</w:t>
      </w:r>
      <w:r w:rsidR="002C7B84" w:rsidRPr="00A54A3A">
        <w:t>.</w:t>
      </w:r>
      <w:r w:rsidR="002C7B84" w:rsidRPr="00A54A3A">
        <w:tab/>
        <w:t>On the question of the applicability of old versions with respect to new versions of a standard</w:t>
      </w:r>
      <w:r w:rsidR="002C7B84">
        <w:t xml:space="preserve"> or test guideline</w:t>
      </w:r>
      <w:r w:rsidR="002C7B84" w:rsidRPr="00A54A3A">
        <w:t xml:space="preserve">, the </w:t>
      </w:r>
      <w:r w:rsidR="002C7B84">
        <w:t>Chairperson</w:t>
      </w:r>
      <w:r w:rsidR="00FA0224">
        <w:t>,</w:t>
      </w:r>
      <w:r w:rsidR="002C7B84">
        <w:t xml:space="preserve"> speaking from her experience as regulator in her country, </w:t>
      </w:r>
      <w:r w:rsidR="002C7B84" w:rsidRPr="00A54A3A">
        <w:t xml:space="preserve">indicated that when a standard </w:t>
      </w:r>
      <w:r w:rsidR="002C7B84">
        <w:t xml:space="preserve">or test guideline </w:t>
      </w:r>
      <w:r w:rsidR="002C7B84" w:rsidRPr="00A54A3A">
        <w:t xml:space="preserve">was promulgated by reference in a </w:t>
      </w:r>
      <w:r w:rsidR="002C7B84" w:rsidRPr="00A54A3A">
        <w:lastRenderedPageBreak/>
        <w:t xml:space="preserve">regulatory text, only the specific version referred to therein became </w:t>
      </w:r>
      <w:r w:rsidR="002C7B84" w:rsidRPr="00AC62AA">
        <w:t xml:space="preserve">mandatory. However, a more recent version </w:t>
      </w:r>
      <w:r w:rsidR="00FA0224" w:rsidRPr="00D66281">
        <w:t>was</w:t>
      </w:r>
      <w:r w:rsidR="00FA0224" w:rsidRPr="00AC62AA">
        <w:t xml:space="preserve"> </w:t>
      </w:r>
      <w:r w:rsidR="002C7B84" w:rsidRPr="00AC62AA">
        <w:t xml:space="preserve">permitted as long as it </w:t>
      </w:r>
      <w:r w:rsidR="00FA0224" w:rsidRPr="00D66281">
        <w:t>was</w:t>
      </w:r>
      <w:r w:rsidR="00FA0224" w:rsidRPr="00AC62AA">
        <w:t xml:space="preserve"> </w:t>
      </w:r>
      <w:r w:rsidR="002C7B84" w:rsidRPr="00AC62AA">
        <w:t>equivalent. It was</w:t>
      </w:r>
      <w:r w:rsidR="002C7B84">
        <w:t xml:space="preserve"> recognized that other countries may have different requirements.</w:t>
      </w:r>
      <w:r w:rsidR="002C7B84" w:rsidRPr="00A54A3A">
        <w:t xml:space="preserve"> </w:t>
      </w:r>
    </w:p>
    <w:p w14:paraId="6FF520A4" w14:textId="77777777" w:rsidR="002C7B84" w:rsidRPr="00A54A3A" w:rsidRDefault="002C7B84" w:rsidP="002C7B84">
      <w:pPr>
        <w:pStyle w:val="H23G"/>
      </w:pPr>
      <w:r w:rsidRPr="00A54A3A">
        <w:tab/>
        <w:t>2.</w:t>
      </w:r>
      <w:r w:rsidRPr="00A54A3A">
        <w:tab/>
        <w:t>Alignment of Annex 9 (section 9.7) and Annex 10 (on metals and metal compounds) to the criteria in Chapter 4.1 and the generic environmental hazard guidance</w:t>
      </w:r>
    </w:p>
    <w:p w14:paraId="29F22FA9" w14:textId="77777777" w:rsidR="002C7B84" w:rsidRPr="00A54A3A" w:rsidRDefault="002C7B84" w:rsidP="002C7B84">
      <w:pPr>
        <w:spacing w:before="40" w:after="240"/>
      </w:pPr>
      <w:r w:rsidRPr="00A54A3A">
        <w:tab/>
      </w:r>
      <w:r w:rsidRPr="00A54A3A">
        <w:tab/>
      </w:r>
      <w:r w:rsidRPr="00A54A3A">
        <w:rPr>
          <w:i/>
          <w:iCs/>
        </w:rPr>
        <w:t>Informal documents:</w:t>
      </w:r>
      <w:r w:rsidRPr="00A54A3A">
        <w:rPr>
          <w:i/>
          <w:iCs/>
        </w:rPr>
        <w:tab/>
        <w:t xml:space="preserve"> </w:t>
      </w:r>
      <w:r w:rsidRPr="00A54A3A">
        <w:t>INF.9 and INF.9/Rev.1 (ICMM)</w:t>
      </w:r>
    </w:p>
    <w:p w14:paraId="4B1B3871" w14:textId="404BBB27" w:rsidR="002C7B84" w:rsidRPr="00A54A3A" w:rsidRDefault="00D341A7" w:rsidP="002C7B84">
      <w:pPr>
        <w:pStyle w:val="SingleTxtG"/>
      </w:pPr>
      <w:r>
        <w:t>42</w:t>
      </w:r>
      <w:r w:rsidR="002C7B84" w:rsidRPr="00A54A3A">
        <w:t>.</w:t>
      </w:r>
      <w:r w:rsidR="002C7B84" w:rsidRPr="00A54A3A">
        <w:tab/>
        <w:t>The Sub-Committee took note of the information provided and agreed to keep this item on its programme of work for 2021-2022</w:t>
      </w:r>
      <w:r w:rsidR="00AC62AA">
        <w:t xml:space="preserve"> (see annex II)</w:t>
      </w:r>
      <w:r w:rsidR="002C7B84" w:rsidRPr="00A54A3A">
        <w:t>.</w:t>
      </w:r>
    </w:p>
    <w:p w14:paraId="6E511CEB" w14:textId="77777777" w:rsidR="002C7B84" w:rsidRPr="00A54A3A" w:rsidRDefault="002C7B84" w:rsidP="002C7B84">
      <w:pPr>
        <w:pStyle w:val="H1G"/>
      </w:pPr>
      <w:r w:rsidRPr="00A54A3A">
        <w:tab/>
        <w:t>E.</w:t>
      </w:r>
      <w:r w:rsidRPr="00A54A3A">
        <w:tab/>
        <w:t>New proposals</w:t>
      </w:r>
    </w:p>
    <w:p w14:paraId="38CF435B" w14:textId="3457AD25" w:rsidR="002C7B84" w:rsidRPr="00A54A3A" w:rsidRDefault="00D341A7" w:rsidP="002C7B84">
      <w:pPr>
        <w:pStyle w:val="SingleTxtG"/>
      </w:pPr>
      <w:r>
        <w:t>43</w:t>
      </w:r>
      <w:r w:rsidR="002C7B84" w:rsidRPr="00A54A3A">
        <w:t>.</w:t>
      </w:r>
      <w:r w:rsidR="002C7B84" w:rsidRPr="00A54A3A">
        <w:tab/>
        <w:t>As no document had been submitted, no discussion took place under this agenda item.</w:t>
      </w:r>
    </w:p>
    <w:p w14:paraId="0257C7C3" w14:textId="77777777" w:rsidR="002C7B84" w:rsidRPr="00A54A3A" w:rsidRDefault="002C7B84" w:rsidP="002C7B84">
      <w:pPr>
        <w:pStyle w:val="HChG"/>
      </w:pPr>
      <w:r w:rsidRPr="00A54A3A">
        <w:tab/>
        <w:t>VII.</w:t>
      </w:r>
      <w:r w:rsidRPr="00A54A3A">
        <w:tab/>
        <w:t>Implementation of the GHS (agenda item 5)</w:t>
      </w:r>
    </w:p>
    <w:p w14:paraId="7C97452D" w14:textId="77777777" w:rsidR="002C7B84" w:rsidRPr="00A54A3A" w:rsidRDefault="002C7B84" w:rsidP="002C7B84">
      <w:pPr>
        <w:pStyle w:val="H1G"/>
      </w:pPr>
      <w:r w:rsidRPr="00A54A3A">
        <w:tab/>
        <w:t>A.</w:t>
      </w:r>
      <w:r w:rsidRPr="00A54A3A">
        <w:tab/>
        <w:t>Possible development of a list of chemicals classified in accordance with the GHS</w:t>
      </w:r>
    </w:p>
    <w:p w14:paraId="5245B82D" w14:textId="77777777" w:rsidR="002C7B84" w:rsidRPr="00A54A3A" w:rsidRDefault="002C7B84" w:rsidP="002C7B84">
      <w:pPr>
        <w:spacing w:before="40" w:after="240"/>
      </w:pPr>
      <w:r w:rsidRPr="00A54A3A">
        <w:rPr>
          <w:i/>
        </w:rPr>
        <w:tab/>
      </w:r>
      <w:r w:rsidRPr="00A54A3A">
        <w:rPr>
          <w:i/>
        </w:rPr>
        <w:tab/>
        <w:t>Document:</w:t>
      </w:r>
      <w:r w:rsidRPr="00A54A3A">
        <w:t xml:space="preserve"> </w:t>
      </w:r>
      <w:r w:rsidRPr="00A54A3A">
        <w:tab/>
      </w:r>
      <w:r w:rsidRPr="00A54A3A">
        <w:tab/>
      </w:r>
      <w:r w:rsidRPr="00A54A3A">
        <w:rPr>
          <w:sz w:val="18"/>
        </w:rPr>
        <w:t xml:space="preserve">ST/SG/AC.10/C.4/2020/17 </w:t>
      </w:r>
      <w:r w:rsidRPr="00A54A3A">
        <w:t>(Canada, United States of America)</w:t>
      </w:r>
    </w:p>
    <w:p w14:paraId="57B7653F" w14:textId="349DB17D" w:rsidR="002C7B84" w:rsidRPr="00A3230A" w:rsidRDefault="00D341A7" w:rsidP="002C7B84">
      <w:pPr>
        <w:pStyle w:val="SingleTxtG"/>
      </w:pPr>
      <w:r>
        <w:t>44</w:t>
      </w:r>
      <w:r w:rsidR="002C7B84" w:rsidRPr="00A3230A">
        <w:t>.</w:t>
      </w:r>
      <w:r w:rsidR="002C7B84" w:rsidRPr="00A3230A">
        <w:tab/>
        <w:t xml:space="preserve">The Sub-Committee took note of the status of the work of the informal correspondence group on the development of a global list of chemicals classified in accordance with the GHS in paragraphs 1 to 7 </w:t>
      </w:r>
      <w:r w:rsidR="00AC62AA">
        <w:t xml:space="preserve">in document </w:t>
      </w:r>
      <w:r w:rsidR="00AC62AA" w:rsidRPr="00A3230A">
        <w:t xml:space="preserve">ST/SG/AC.10/C.4/2020/17 </w:t>
      </w:r>
      <w:r w:rsidR="002C7B84" w:rsidRPr="00A3230A">
        <w:t xml:space="preserve">and agreed that work should continue during 2021-2022 in accordance with the workstreams in the annex to </w:t>
      </w:r>
      <w:r w:rsidR="00CD0C82">
        <w:t xml:space="preserve">that document </w:t>
      </w:r>
      <w:r w:rsidR="002C7B84" w:rsidRPr="00A3230A">
        <w:t>(see annex</w:t>
      </w:r>
      <w:r w:rsidR="00CD0C82">
        <w:t xml:space="preserve"> II</w:t>
      </w:r>
      <w:r w:rsidR="00CD0C82" w:rsidRPr="00A3230A">
        <w:t xml:space="preserve">). </w:t>
      </w:r>
    </w:p>
    <w:p w14:paraId="31B405FE" w14:textId="20AED91C" w:rsidR="002C7B84" w:rsidRPr="00A3230A" w:rsidRDefault="00D341A7" w:rsidP="002C7B84">
      <w:pPr>
        <w:pStyle w:val="SingleTxtG"/>
      </w:pPr>
      <w:r w:rsidRPr="005039CC">
        <w:t>45</w:t>
      </w:r>
      <w:r w:rsidR="002C7B84" w:rsidRPr="005039CC">
        <w:t>.</w:t>
      </w:r>
      <w:r w:rsidR="002C7B84" w:rsidRPr="005039CC">
        <w:tab/>
        <w:t>The expert from Sweden informed the Sub-Committee that the study referred to in paragraphs 5 to 7 of the document was in the final draft</w:t>
      </w:r>
      <w:r w:rsidR="005A09E7" w:rsidRPr="00D66281">
        <w:t>ing</w:t>
      </w:r>
      <w:r w:rsidR="002C7B84" w:rsidRPr="005039CC">
        <w:t xml:space="preserve"> stage and would be made available to the Sub-Committee at its fortieth session.</w:t>
      </w:r>
      <w:r w:rsidR="002C7B84" w:rsidRPr="00A3230A">
        <w:t xml:space="preserve"> </w:t>
      </w:r>
    </w:p>
    <w:p w14:paraId="6256AE86" w14:textId="77777777" w:rsidR="002C7B84" w:rsidRPr="00A54A3A" w:rsidRDefault="002C7B84" w:rsidP="002C7B84">
      <w:pPr>
        <w:pStyle w:val="H1G"/>
      </w:pPr>
      <w:r w:rsidRPr="00A54A3A">
        <w:tab/>
        <w:t>B.</w:t>
      </w:r>
      <w:r w:rsidRPr="00A54A3A">
        <w:tab/>
        <w:t>Reports on the status of implementation</w:t>
      </w:r>
    </w:p>
    <w:p w14:paraId="32722EEF" w14:textId="77777777" w:rsidR="002C7B84" w:rsidRPr="00A54A3A" w:rsidRDefault="002C7B84" w:rsidP="002C7B84">
      <w:pPr>
        <w:spacing w:before="40" w:after="240"/>
      </w:pPr>
      <w:r w:rsidRPr="00A54A3A">
        <w:tab/>
      </w:r>
      <w:r w:rsidRPr="00A54A3A">
        <w:tab/>
      </w:r>
      <w:r w:rsidRPr="00A54A3A">
        <w:rPr>
          <w:i/>
          <w:iCs/>
        </w:rPr>
        <w:t>Informal documents:</w:t>
      </w:r>
      <w:r w:rsidRPr="00A54A3A">
        <w:rPr>
          <w:i/>
          <w:iCs/>
        </w:rPr>
        <w:tab/>
        <w:t xml:space="preserve"> </w:t>
      </w:r>
      <w:r w:rsidRPr="00A54A3A">
        <w:t>INF.33, INF.33/Add.1 and INF.33/Add.2 (secretariat)</w:t>
      </w:r>
    </w:p>
    <w:p w14:paraId="617F6203" w14:textId="1C5EFA77" w:rsidR="002C7B84" w:rsidRPr="00A3230A" w:rsidRDefault="00D341A7" w:rsidP="002C7B84">
      <w:pPr>
        <w:pStyle w:val="SingleTxtG"/>
      </w:pPr>
      <w:r>
        <w:t>46</w:t>
      </w:r>
      <w:r w:rsidR="002C7B84" w:rsidRPr="00A3230A">
        <w:t>.</w:t>
      </w:r>
      <w:r w:rsidR="002C7B84" w:rsidRPr="00A3230A">
        <w:tab/>
        <w:t>The Sub-Committee expressed its appreciation for the work of the secretariat in updating the information on the status of implementation of the GHS worldwide. It was noted that the “number of countries having implemented GHS” had been identified by IOMC organisations as one of the indicators to track progress towards achievement of the sound management</w:t>
      </w:r>
      <w:r w:rsidR="005039CC">
        <w:t xml:space="preserve"> of </w:t>
      </w:r>
      <w:r w:rsidR="005039CC" w:rsidRPr="00A3230A">
        <w:t>chemicals and waste</w:t>
      </w:r>
      <w:r w:rsidR="005039CC">
        <w:t>s</w:t>
      </w:r>
      <w:r w:rsidR="002C7B84" w:rsidRPr="00A3230A">
        <w:t xml:space="preserve">. </w:t>
      </w:r>
    </w:p>
    <w:p w14:paraId="6EDFE919" w14:textId="0274F191" w:rsidR="002C7B84" w:rsidRPr="00A3230A" w:rsidRDefault="00D341A7" w:rsidP="002C7B84">
      <w:pPr>
        <w:pStyle w:val="SingleTxtG"/>
      </w:pPr>
      <w:r>
        <w:t>47</w:t>
      </w:r>
      <w:r w:rsidR="002C7B84" w:rsidRPr="00A3230A">
        <w:t>.</w:t>
      </w:r>
      <w:r w:rsidR="002C7B84" w:rsidRPr="00A3230A">
        <w:tab/>
        <w:t>Considering the need for a harmonised approach for data collection, the Sub-Committee welcomed the proposal by the secretariat to develop and make available on the website, for easy access, a form requesting information on the items listed in paragraph 18 of informal document INF.33. The secretariat would compile the information received, update it on the website and report to the Sub-Committee on the updates as necessary. In the meantime, participants in the work of the Sub-Committee were invited to revise the information provided in informal document INF.3</w:t>
      </w:r>
      <w:r w:rsidR="00775E82">
        <w:t>3</w:t>
      </w:r>
      <w:r w:rsidR="002C7B84" w:rsidRPr="00A3230A">
        <w:t>/Add.2 and send their feedback to the secretariat before the end of January 2021. The updated information will be made available on the UNECE website</w:t>
      </w:r>
      <w:r w:rsidR="002C7B84" w:rsidRPr="00A3230A">
        <w:rPr>
          <w:rStyle w:val="FootnoteReference"/>
          <w:sz w:val="20"/>
        </w:rPr>
        <w:footnoteReference w:id="6"/>
      </w:r>
      <w:r w:rsidR="002C7B84" w:rsidRPr="00A3230A">
        <w:t xml:space="preserve">. It was pointed out that information on the GHS status of implementation in countries that did not participate in the work of the Sub-Committee </w:t>
      </w:r>
      <w:r w:rsidR="00FC5567">
        <w:t xml:space="preserve">may </w:t>
      </w:r>
      <w:r w:rsidR="002C7B84" w:rsidRPr="00A3230A">
        <w:t xml:space="preserve">be available in reports from regional organisations (e.g. </w:t>
      </w:r>
      <w:r w:rsidR="00FC5567">
        <w:t xml:space="preserve">Asia-Pacific Economic Cooperation </w:t>
      </w:r>
      <w:r w:rsidR="00FC5567" w:rsidRPr="00697ECE">
        <w:t>(</w:t>
      </w:r>
      <w:r w:rsidR="002C7B84" w:rsidRPr="00697ECE">
        <w:t>APEC</w:t>
      </w:r>
      <w:r w:rsidR="00FC5567" w:rsidRPr="00697ECE">
        <w:t>)</w:t>
      </w:r>
      <w:r w:rsidR="002C7B84" w:rsidRPr="00697ECE">
        <w:t>).</w:t>
      </w:r>
      <w:r w:rsidR="002C7B84" w:rsidRPr="00A3230A">
        <w:t xml:space="preserve"> </w:t>
      </w:r>
    </w:p>
    <w:p w14:paraId="1EFE6662" w14:textId="5B63F4DB" w:rsidR="002C7B84" w:rsidRPr="00A3230A" w:rsidRDefault="00D341A7" w:rsidP="002C7B84">
      <w:pPr>
        <w:pStyle w:val="SingleTxtG"/>
      </w:pPr>
      <w:r>
        <w:lastRenderedPageBreak/>
        <w:t>48</w:t>
      </w:r>
      <w:r w:rsidR="002C7B84" w:rsidRPr="00A3230A">
        <w:t>.</w:t>
      </w:r>
      <w:r w:rsidR="002C7B84" w:rsidRPr="00A3230A">
        <w:tab/>
        <w:t xml:space="preserve">The Sub-Committee was informed that the TDG Sub-Committee had decided to introduce a standing item on its agenda on implementation of the Model Regulations, as a starting point to consider how to gather and compile information. It was noted that the information gathered by the secretariat on the status of implementation of the GHS also contained details about the status of implementation of the Model Regulations and other international instruments addressing modal transport.  </w:t>
      </w:r>
    </w:p>
    <w:p w14:paraId="20AA92A6" w14:textId="77777777" w:rsidR="002C7B84" w:rsidRPr="00A54A3A" w:rsidRDefault="002C7B84" w:rsidP="002C7B84">
      <w:pPr>
        <w:pStyle w:val="H1G"/>
      </w:pPr>
      <w:r w:rsidRPr="00A54A3A">
        <w:tab/>
        <w:t>C.</w:t>
      </w:r>
      <w:r w:rsidRPr="00A54A3A">
        <w:tab/>
        <w:t>Cooperation with other bodies or international organizations</w:t>
      </w:r>
    </w:p>
    <w:p w14:paraId="4AC8A400" w14:textId="24B563B5" w:rsidR="002C7B84" w:rsidRPr="00A54A3A" w:rsidRDefault="00D341A7" w:rsidP="002C7B84">
      <w:pPr>
        <w:pStyle w:val="SingleTxtG"/>
      </w:pPr>
      <w:r>
        <w:t>49</w:t>
      </w:r>
      <w:r w:rsidR="002C7B84">
        <w:t>.</w:t>
      </w:r>
      <w:r w:rsidR="002C7B84">
        <w:tab/>
      </w:r>
      <w:r w:rsidR="002C7B84" w:rsidRPr="00A54A3A">
        <w:t>As no document had been submitted, no discussion took place under this agenda item.</w:t>
      </w:r>
    </w:p>
    <w:p w14:paraId="0E486899" w14:textId="77777777" w:rsidR="002C7B84" w:rsidRPr="00A54A3A" w:rsidRDefault="002C7B84" w:rsidP="002C7B84">
      <w:pPr>
        <w:pStyle w:val="H1G"/>
      </w:pPr>
      <w:r w:rsidRPr="00A54A3A">
        <w:tab/>
        <w:t xml:space="preserve">D. </w:t>
      </w:r>
      <w:r w:rsidRPr="00A54A3A">
        <w:tab/>
        <w:t>Miscellaneous</w:t>
      </w:r>
    </w:p>
    <w:p w14:paraId="0AE16BD5" w14:textId="5DBEE1AE" w:rsidR="002C7B84" w:rsidRPr="00A54A3A" w:rsidRDefault="00D341A7" w:rsidP="002C7B84">
      <w:pPr>
        <w:pStyle w:val="SingleTxtG"/>
      </w:pPr>
      <w:r>
        <w:t>50</w:t>
      </w:r>
      <w:r w:rsidR="002C7B84">
        <w:t>.</w:t>
      </w:r>
      <w:r w:rsidR="002C7B84">
        <w:tab/>
      </w:r>
      <w:r w:rsidR="002C7B84" w:rsidRPr="00A54A3A">
        <w:t>As no document had been submitted, no discussion took place under this agenda item.</w:t>
      </w:r>
    </w:p>
    <w:p w14:paraId="04F29157" w14:textId="77777777" w:rsidR="002C7B84" w:rsidRPr="00A54A3A" w:rsidRDefault="002C7B84" w:rsidP="002C7B84">
      <w:pPr>
        <w:pStyle w:val="HChG"/>
      </w:pPr>
      <w:r w:rsidRPr="00A54A3A">
        <w:tab/>
        <w:t>VIII.</w:t>
      </w:r>
      <w:r w:rsidRPr="00A54A3A">
        <w:tab/>
        <w:t>Development of guidance on the application of GHS criteria (agenda item 6)</w:t>
      </w:r>
    </w:p>
    <w:p w14:paraId="1725B76A" w14:textId="7EE4C29F" w:rsidR="00762DC1" w:rsidRDefault="00D341A7" w:rsidP="00D66281">
      <w:pPr>
        <w:pStyle w:val="SingleTxtG"/>
      </w:pPr>
      <w:r w:rsidRPr="00F16952">
        <w:t>51</w:t>
      </w:r>
      <w:r w:rsidR="002C7B84" w:rsidRPr="00F16952">
        <w:t>.</w:t>
      </w:r>
      <w:r w:rsidR="002C7B84" w:rsidRPr="00F16952">
        <w:tab/>
      </w:r>
      <w:r w:rsidR="00306EA9" w:rsidRPr="00F16952">
        <w:t>The Sub-Committee considered e</w:t>
      </w:r>
      <w:r w:rsidR="00B710CC" w:rsidRPr="001E5612">
        <w:t xml:space="preserve">xamples providing </w:t>
      </w:r>
      <w:r w:rsidR="00B710CC" w:rsidRPr="00537A7E">
        <w:t xml:space="preserve">guidance on how to interpret </w:t>
      </w:r>
      <w:r w:rsidR="005D0FA7" w:rsidRPr="00D66281">
        <w:t xml:space="preserve">some of </w:t>
      </w:r>
      <w:r w:rsidR="00B044CA" w:rsidRPr="00D66281">
        <w:t xml:space="preserve">the </w:t>
      </w:r>
      <w:r w:rsidR="005D0FA7" w:rsidRPr="00D66281">
        <w:t xml:space="preserve">criteria in </w:t>
      </w:r>
      <w:r w:rsidR="003F1E28" w:rsidRPr="00D66281">
        <w:t xml:space="preserve">chapters 3.8 and 3.9 </w:t>
      </w:r>
      <w:r w:rsidR="00306EA9" w:rsidRPr="00D66281">
        <w:t xml:space="preserve">under </w:t>
      </w:r>
      <w:r w:rsidR="00896B76" w:rsidRPr="00D66281">
        <w:t xml:space="preserve">agenda </w:t>
      </w:r>
      <w:r w:rsidR="00306EA9" w:rsidRPr="00D66281">
        <w:t xml:space="preserve">item </w:t>
      </w:r>
      <w:r w:rsidR="008F4F99" w:rsidRPr="00D66281">
        <w:t xml:space="preserve">3 (f) (see paragraph </w:t>
      </w:r>
      <w:r w:rsidR="00896B76" w:rsidRPr="00D66281">
        <w:t>27</w:t>
      </w:r>
      <w:r w:rsidR="00762DC1" w:rsidRPr="00F16952">
        <w:t>).</w:t>
      </w:r>
      <w:r w:rsidR="00762DC1">
        <w:t xml:space="preserve"> </w:t>
      </w:r>
    </w:p>
    <w:p w14:paraId="6C0C9865" w14:textId="27F90446" w:rsidR="002C7B84" w:rsidRPr="00A54A3A" w:rsidRDefault="002C7B84" w:rsidP="002C7B84">
      <w:pPr>
        <w:pStyle w:val="HChG"/>
      </w:pPr>
      <w:r w:rsidRPr="00A54A3A">
        <w:tab/>
        <w:t xml:space="preserve">IX. </w:t>
      </w:r>
      <w:r w:rsidRPr="00A54A3A">
        <w:tab/>
        <w:t>Capacity building (agenda item 7)</w:t>
      </w:r>
    </w:p>
    <w:p w14:paraId="3A3F3D99" w14:textId="77777777" w:rsidR="002C7B84" w:rsidRPr="00A54A3A" w:rsidRDefault="002C7B84" w:rsidP="002C7B84">
      <w:pPr>
        <w:spacing w:before="40" w:after="240"/>
      </w:pPr>
      <w:r w:rsidRPr="00A54A3A">
        <w:tab/>
      </w:r>
      <w:r w:rsidRPr="00A54A3A">
        <w:tab/>
      </w:r>
      <w:r w:rsidRPr="00A54A3A">
        <w:rPr>
          <w:i/>
          <w:iCs/>
        </w:rPr>
        <w:t>Informal document:</w:t>
      </w:r>
      <w:r w:rsidRPr="00A54A3A">
        <w:rPr>
          <w:i/>
          <w:iCs/>
        </w:rPr>
        <w:tab/>
        <w:t xml:space="preserve"> </w:t>
      </w:r>
      <w:r w:rsidRPr="00A54A3A">
        <w:t>INF.34 (RPMASA)</w:t>
      </w:r>
    </w:p>
    <w:p w14:paraId="272AE76E" w14:textId="33D4565F" w:rsidR="002C7B84" w:rsidRDefault="00D341A7" w:rsidP="002C7B84">
      <w:pPr>
        <w:pStyle w:val="SingleTxtG"/>
      </w:pPr>
      <w:r>
        <w:t>52</w:t>
      </w:r>
      <w:r w:rsidR="002C7B84">
        <w:t>.</w:t>
      </w:r>
      <w:r w:rsidR="002C7B84">
        <w:tab/>
      </w:r>
      <w:r w:rsidR="002C7B84" w:rsidRPr="00A54A3A">
        <w:t>The Sub-Committee took note of the information provided in informal document INF.34.</w:t>
      </w:r>
    </w:p>
    <w:p w14:paraId="33FD406D" w14:textId="19D4A1F5" w:rsidR="002C7B84" w:rsidRPr="00A54A3A" w:rsidRDefault="00D341A7" w:rsidP="002C7B84">
      <w:pPr>
        <w:pStyle w:val="SingleTxtG"/>
      </w:pPr>
      <w:r>
        <w:t>53</w:t>
      </w:r>
      <w:r w:rsidR="002C7B84">
        <w:t>.</w:t>
      </w:r>
      <w:r w:rsidR="002C7B84">
        <w:tab/>
        <w:t xml:space="preserve">The expert from South Africa informed the Sub-Committee that legislation addressing labelling in the workplace based on the </w:t>
      </w:r>
      <w:r w:rsidR="004239E2">
        <w:t xml:space="preserve">seventh </w:t>
      </w:r>
      <w:r w:rsidR="002C7B84">
        <w:t xml:space="preserve">revised edition of the GHS, allowing for a transitional period of </w:t>
      </w:r>
      <w:r w:rsidR="004239E2">
        <w:t xml:space="preserve">eighteen </w:t>
      </w:r>
      <w:r w:rsidR="002C7B84">
        <w:t>months was expected to be released soon and that training of labour inspectors had started in preparation for its implementation.</w:t>
      </w:r>
    </w:p>
    <w:p w14:paraId="159D6ACB" w14:textId="0D55ECCE" w:rsidR="002C7B84" w:rsidRPr="00A54A3A" w:rsidRDefault="002C7B84" w:rsidP="002C7B84">
      <w:pPr>
        <w:pStyle w:val="HChG"/>
        <w:keepNext w:val="0"/>
        <w:keepLines w:val="0"/>
      </w:pPr>
      <w:r w:rsidRPr="00A54A3A">
        <w:tab/>
        <w:t xml:space="preserve">X. </w:t>
      </w:r>
      <w:r w:rsidRPr="00A54A3A">
        <w:tab/>
        <w:t>Programme of work for the biennium 2021-2022 (agenda item 8)</w:t>
      </w:r>
    </w:p>
    <w:p w14:paraId="5316B560" w14:textId="77777777" w:rsidR="002C7B84" w:rsidRPr="00A54A3A" w:rsidRDefault="002C7B84" w:rsidP="002C7B84">
      <w:pPr>
        <w:tabs>
          <w:tab w:val="left" w:pos="1134"/>
          <w:tab w:val="left" w:pos="2977"/>
        </w:tabs>
        <w:spacing w:before="40"/>
      </w:pPr>
      <w:r w:rsidRPr="00A54A3A">
        <w:tab/>
      </w:r>
      <w:r w:rsidRPr="00A54A3A">
        <w:rPr>
          <w:i/>
          <w:iCs/>
        </w:rPr>
        <w:t>Informal documents:</w:t>
      </w:r>
      <w:r w:rsidRPr="00A54A3A">
        <w:rPr>
          <w:i/>
          <w:iCs/>
        </w:rPr>
        <w:tab/>
      </w:r>
      <w:r w:rsidRPr="00A54A3A">
        <w:t>INF.15 (Japan)</w:t>
      </w:r>
    </w:p>
    <w:p w14:paraId="29391698" w14:textId="77777777" w:rsidR="002C7B84" w:rsidRPr="00A54A3A" w:rsidRDefault="002C7B84" w:rsidP="002C7B84">
      <w:pPr>
        <w:tabs>
          <w:tab w:val="left" w:pos="2977"/>
        </w:tabs>
        <w:spacing w:before="40"/>
      </w:pPr>
      <w:r w:rsidRPr="00A54A3A">
        <w:tab/>
        <w:t>INF.21 (United Kingdom)</w:t>
      </w:r>
    </w:p>
    <w:p w14:paraId="0E247C38" w14:textId="77777777" w:rsidR="002C7B84" w:rsidRPr="00A54A3A" w:rsidRDefault="002C7B84" w:rsidP="002C7B84">
      <w:pPr>
        <w:tabs>
          <w:tab w:val="left" w:pos="2977"/>
        </w:tabs>
        <w:spacing w:before="40"/>
      </w:pPr>
      <w:r w:rsidRPr="00A54A3A">
        <w:tab/>
        <w:t>INF.23 (Germany)</w:t>
      </w:r>
    </w:p>
    <w:p w14:paraId="28BE3042" w14:textId="77777777" w:rsidR="002C7B84" w:rsidRPr="00A54A3A" w:rsidRDefault="002C7B84" w:rsidP="002C7B84">
      <w:pPr>
        <w:tabs>
          <w:tab w:val="left" w:pos="2977"/>
        </w:tabs>
        <w:spacing w:before="40"/>
      </w:pPr>
      <w:r w:rsidRPr="00A54A3A">
        <w:tab/>
        <w:t>INF.27 (Netherlands, United Kingdom)</w:t>
      </w:r>
    </w:p>
    <w:p w14:paraId="234E2B7F" w14:textId="77777777" w:rsidR="002C7B84" w:rsidRPr="00A54A3A" w:rsidRDefault="002C7B84" w:rsidP="002C7B84">
      <w:pPr>
        <w:tabs>
          <w:tab w:val="left" w:pos="2977"/>
        </w:tabs>
        <w:spacing w:before="40" w:after="240"/>
      </w:pPr>
      <w:r w:rsidRPr="00A54A3A">
        <w:tab/>
        <w:t>INF.31 (United States of America)</w:t>
      </w:r>
    </w:p>
    <w:p w14:paraId="08E7609C" w14:textId="346A422D" w:rsidR="002C7B84" w:rsidRDefault="00D341A7" w:rsidP="002C7B84">
      <w:pPr>
        <w:pStyle w:val="SingleTxtG"/>
      </w:pPr>
      <w:r>
        <w:t>54</w:t>
      </w:r>
      <w:r w:rsidR="002C7B84">
        <w:t>.</w:t>
      </w:r>
      <w:r w:rsidR="002C7B84">
        <w:tab/>
        <w:t>The Sub-Committee agreed to all the proposals discussed under this agenda item, with the following additional comments and observations:</w:t>
      </w:r>
    </w:p>
    <w:p w14:paraId="2F72005D" w14:textId="4B3791B6" w:rsidR="002C7B84" w:rsidRDefault="002C7B84" w:rsidP="002C7B84">
      <w:pPr>
        <w:pStyle w:val="SingleTxtG"/>
        <w:tabs>
          <w:tab w:val="left" w:pos="2268"/>
        </w:tabs>
        <w:ind w:left="2268" w:hanging="567"/>
      </w:pPr>
      <w:r>
        <w:t xml:space="preserve">(a) </w:t>
      </w:r>
      <w:r>
        <w:tab/>
        <w:t xml:space="preserve">The Sub-Committee welcomed the offer from Japan to lead the work to consider the applicability of local lymph node assays (LLNA) tests for skin sensitization sub-categorization.  Noting that this issue had been considered by the OECD Expert Group on skin sensitization, as a first step, the Sub-Committee invited the expert from Japan to report to the Sub-Committee at its fortieth session on the discussions on this topic and their outcome at OECD level. It was also noted that the work led by Japan should be done in parallel and in coordination with the on-going work on non-animal test methods led by the United Kingdom and the Netherlands. </w:t>
      </w:r>
    </w:p>
    <w:p w14:paraId="4384B266" w14:textId="77777777" w:rsidR="002C7B84" w:rsidRDefault="002C7B84" w:rsidP="002C7B84">
      <w:pPr>
        <w:pStyle w:val="SingleTxtG"/>
        <w:tabs>
          <w:tab w:val="left" w:pos="2268"/>
        </w:tabs>
        <w:ind w:left="2268" w:hanging="567"/>
      </w:pPr>
      <w:r>
        <w:lastRenderedPageBreak/>
        <w:t xml:space="preserve">(b) </w:t>
      </w:r>
      <w:r>
        <w:tab/>
        <w:t>The Sub-Committee noted that the practical classification issues informal group had agreed to address the work on the subject proposed by Germany in informal document INF.23 (option 2) and had included it on its proposed programme of work for 2021-2022 in informal document INF.31.</w:t>
      </w:r>
    </w:p>
    <w:p w14:paraId="54BCB8E3" w14:textId="77777777" w:rsidR="002C7B84" w:rsidRDefault="002C7B84" w:rsidP="002C7B84">
      <w:pPr>
        <w:pStyle w:val="SingleTxtG"/>
        <w:tabs>
          <w:tab w:val="left" w:pos="2268"/>
        </w:tabs>
        <w:ind w:left="2268" w:hanging="567"/>
      </w:pPr>
      <w:r>
        <w:t>(c)</w:t>
      </w:r>
      <w:r>
        <w:tab/>
        <w:t xml:space="preserve">Following an intervention from the expert from France, the Sub-Committee decided to keep the item on nanomaterials on its programme of work for 2021-2022. </w:t>
      </w:r>
    </w:p>
    <w:p w14:paraId="670DC164" w14:textId="1F148264" w:rsidR="002C7B84" w:rsidRPr="00A54A3A" w:rsidRDefault="00D341A7" w:rsidP="002C7B84">
      <w:pPr>
        <w:pStyle w:val="SingleTxtG"/>
      </w:pPr>
      <w:r>
        <w:t>55</w:t>
      </w:r>
      <w:r w:rsidR="002C7B84">
        <w:t>.</w:t>
      </w:r>
      <w:r w:rsidR="002C7B84">
        <w:tab/>
      </w:r>
      <w:r w:rsidR="002C7B84" w:rsidRPr="00A54A3A">
        <w:t xml:space="preserve">Based on the proposals discussed and approved under this and other agenda items during this and previous sessions, the Sub-Committee agreed to its programme of work for 2021-2022 </w:t>
      </w:r>
      <w:r w:rsidR="0033512C">
        <w:t>(see annex II)</w:t>
      </w:r>
      <w:r w:rsidR="002C7B84" w:rsidRPr="00A54A3A">
        <w:t>.</w:t>
      </w:r>
    </w:p>
    <w:p w14:paraId="15C10CDF" w14:textId="70DB041A" w:rsidR="002C7B84" w:rsidRPr="00A54A3A" w:rsidRDefault="002C7B84" w:rsidP="002C7B84">
      <w:pPr>
        <w:pStyle w:val="HChG"/>
        <w:keepNext w:val="0"/>
        <w:keepLines w:val="0"/>
      </w:pPr>
      <w:r w:rsidRPr="00A54A3A">
        <w:tab/>
        <w:t xml:space="preserve">XI. </w:t>
      </w:r>
      <w:r w:rsidRPr="00A54A3A">
        <w:tab/>
        <w:t>Draft Resolution 2021/… of the Economic and Social Council (agenda item 9)</w:t>
      </w:r>
    </w:p>
    <w:p w14:paraId="2A177DF0" w14:textId="77777777" w:rsidR="002C7B84" w:rsidRPr="00A54A3A" w:rsidRDefault="002C7B84" w:rsidP="002C7B84">
      <w:pPr>
        <w:spacing w:before="40" w:after="240"/>
      </w:pPr>
      <w:r w:rsidRPr="00A54A3A">
        <w:tab/>
      </w:r>
      <w:r w:rsidRPr="00A54A3A">
        <w:tab/>
      </w:r>
      <w:r w:rsidRPr="00A54A3A">
        <w:rPr>
          <w:i/>
          <w:iCs/>
        </w:rPr>
        <w:t>Informal document:</w:t>
      </w:r>
      <w:r w:rsidRPr="00A54A3A">
        <w:rPr>
          <w:i/>
          <w:iCs/>
        </w:rPr>
        <w:tab/>
        <w:t xml:space="preserve"> </w:t>
      </w:r>
      <w:r w:rsidRPr="00A54A3A">
        <w:t>INF.24 (secretariat)</w:t>
      </w:r>
    </w:p>
    <w:p w14:paraId="62471922" w14:textId="1D39481E" w:rsidR="002C7B84" w:rsidRPr="00A54A3A" w:rsidRDefault="00D341A7" w:rsidP="002C7B84">
      <w:pPr>
        <w:pStyle w:val="SingleTxtG"/>
      </w:pPr>
      <w:r>
        <w:t>56</w:t>
      </w:r>
      <w:r w:rsidR="002C7B84">
        <w:t>.</w:t>
      </w:r>
      <w:r w:rsidR="002C7B84">
        <w:tab/>
      </w:r>
      <w:r w:rsidR="002C7B84" w:rsidRPr="00A54A3A">
        <w:t>The Sub-Committee adopted part B of the proposed draft resolution to be submitted to the Economic and Social Council for consideration at its 2021 session.</w:t>
      </w:r>
    </w:p>
    <w:p w14:paraId="5C9C08FD" w14:textId="39906550" w:rsidR="002C7B84" w:rsidRPr="00A54A3A" w:rsidRDefault="002C7B84" w:rsidP="002C7B84">
      <w:pPr>
        <w:pStyle w:val="HChG"/>
        <w:keepNext w:val="0"/>
        <w:keepLines w:val="0"/>
      </w:pPr>
      <w:r w:rsidRPr="00A54A3A">
        <w:tab/>
        <w:t xml:space="preserve">XII. </w:t>
      </w:r>
      <w:r w:rsidRPr="00A54A3A">
        <w:tab/>
        <w:t>Election of officers for the biennium 2021-2022 (agenda item 10)</w:t>
      </w:r>
    </w:p>
    <w:p w14:paraId="6911B15E" w14:textId="738B93AA" w:rsidR="002C7B84" w:rsidRPr="00A54A3A" w:rsidRDefault="00D341A7" w:rsidP="002C7B84">
      <w:pPr>
        <w:pStyle w:val="SingleTxtG"/>
        <w:rPr>
          <w:rFonts w:eastAsia="Times New Roman"/>
        </w:rPr>
      </w:pPr>
      <w:r>
        <w:t>57</w:t>
      </w:r>
      <w:r w:rsidR="002C7B84">
        <w:t>.</w:t>
      </w:r>
      <w:r w:rsidR="002C7B84">
        <w:tab/>
        <w:t>It was</w:t>
      </w:r>
      <w:r w:rsidR="002C7B84" w:rsidRPr="00A54A3A">
        <w:t xml:space="preserve"> recalled that according to rule 68 of the rules of procedure “all elections shall be held by secret ballot, unless, in the absence of any objections, the [Sub-Committee] decides to proceed without taking a ballot on an agreed candidate or slate”. It was pointed out that, given that it was not technically possible to hold a secret ballot during the online official session, the Sub-Committee would only be able to elect its bureau for 2021-2022 by acclamation, on the basis of an agreed candidate or slate, and provided that no request for a secret ballot had been received. In case secret balloting was requested, the elections would have to be postponed </w:t>
      </w:r>
      <w:r w:rsidR="002C7B84" w:rsidRPr="00A54A3A">
        <w:rPr>
          <w:rFonts w:eastAsia="Times New Roman"/>
        </w:rPr>
        <w:t xml:space="preserve">until the earliest possible time to hold them. </w:t>
      </w:r>
    </w:p>
    <w:p w14:paraId="66CE4CB8" w14:textId="3036B21D" w:rsidR="002C7B84" w:rsidRPr="00A54A3A" w:rsidRDefault="00D341A7" w:rsidP="002C7B84">
      <w:pPr>
        <w:pStyle w:val="SingleTxtG"/>
      </w:pPr>
      <w:r>
        <w:t>58</w:t>
      </w:r>
      <w:r w:rsidR="002C7B84">
        <w:t>.</w:t>
      </w:r>
      <w:r w:rsidR="002C7B84">
        <w:tab/>
      </w:r>
      <w:r w:rsidR="002C7B84" w:rsidRPr="00393F51">
        <w:t xml:space="preserve">No request for a secret ballot was made. </w:t>
      </w:r>
      <w:r w:rsidR="002C7B84">
        <w:t xml:space="preserve">The Sub-Committee expressed its appreciation for the chair’s leadership and coordination work during 2019-2020 </w:t>
      </w:r>
      <w:r w:rsidR="00E06F1C">
        <w:t>considering</w:t>
      </w:r>
      <w:r w:rsidR="002C7B84">
        <w:t xml:space="preserve"> in particular the exceptional challenges faced by the Sub-Committee as a result of the impact of the pandemic on the </w:t>
      </w:r>
      <w:r w:rsidR="00F830A5">
        <w:t>organisation of</w:t>
      </w:r>
      <w:r w:rsidR="002C7B84">
        <w:t xml:space="preserve"> the sessions. </w:t>
      </w:r>
      <w:r w:rsidR="002C7B84" w:rsidRPr="00393F51">
        <w:t>On a proposal by Germany and the United States of America,</w:t>
      </w:r>
      <w:r w:rsidR="002C7B84">
        <w:t xml:space="preserve"> both </w:t>
      </w:r>
      <w:r w:rsidR="002C7B84" w:rsidRPr="00393F51">
        <w:t xml:space="preserve">supported by other delegations, the Sub-Committee re-elected Ms. Maureen Ruskin (United States of America) as chairperson and elected Ms. Nina John (Austria) as vice-chairperson for the period 2021-2022. </w:t>
      </w:r>
      <w:r w:rsidR="002C7B84">
        <w:t xml:space="preserve">The </w:t>
      </w:r>
      <w:r w:rsidR="002C7B84" w:rsidRPr="00393F51">
        <w:t>elections took place by acclamation.</w:t>
      </w:r>
      <w:r w:rsidR="002C7B84" w:rsidRPr="00A54A3A">
        <w:t xml:space="preserve"> </w:t>
      </w:r>
    </w:p>
    <w:p w14:paraId="13622C6D" w14:textId="3D5BC273" w:rsidR="002C7B84" w:rsidRPr="00A54A3A" w:rsidRDefault="002C7B84" w:rsidP="002C7B84">
      <w:pPr>
        <w:pStyle w:val="HChG"/>
      </w:pPr>
      <w:r w:rsidRPr="00A54A3A">
        <w:tab/>
        <w:t>XI</w:t>
      </w:r>
      <w:r w:rsidR="00624E01">
        <w:t>II</w:t>
      </w:r>
      <w:r w:rsidRPr="00A54A3A">
        <w:t xml:space="preserve">. </w:t>
      </w:r>
      <w:r w:rsidRPr="00A54A3A">
        <w:tab/>
        <w:t>Other business (agenda item 11)</w:t>
      </w:r>
    </w:p>
    <w:p w14:paraId="384F158F" w14:textId="151C5615" w:rsidR="002C7B84" w:rsidRPr="00A54A3A" w:rsidRDefault="002C7B84">
      <w:pPr>
        <w:pStyle w:val="H1G"/>
      </w:pPr>
      <w:r w:rsidRPr="00A54A3A">
        <w:tab/>
      </w:r>
      <w:r w:rsidR="007460AD">
        <w:t>A</w:t>
      </w:r>
      <w:r>
        <w:t>.</w:t>
      </w:r>
      <w:r w:rsidRPr="00A54A3A">
        <w:tab/>
        <w:t>Tribute</w:t>
      </w:r>
      <w:r w:rsidR="007460AD">
        <w:t>s</w:t>
      </w:r>
      <w:r w:rsidRPr="00A54A3A">
        <w:t xml:space="preserve"> </w:t>
      </w:r>
    </w:p>
    <w:p w14:paraId="4CFADF1F" w14:textId="749AC366" w:rsidR="002C7B84" w:rsidRPr="00A54A3A" w:rsidRDefault="00D341A7" w:rsidP="002C7B84">
      <w:pPr>
        <w:pStyle w:val="SingleTxtG"/>
      </w:pPr>
      <w:r>
        <w:t>59</w:t>
      </w:r>
      <w:r w:rsidR="002C7B84">
        <w:t>.</w:t>
      </w:r>
      <w:r w:rsidR="002C7B84">
        <w:tab/>
      </w:r>
      <w:r w:rsidR="002C7B84" w:rsidRPr="00A54A3A">
        <w:t xml:space="preserve">The Sub-Committee was informed that Ms. Sabine Darschnik, who participated </w:t>
      </w:r>
      <w:r w:rsidR="002C7B84">
        <w:t xml:space="preserve">in </w:t>
      </w:r>
      <w:r w:rsidR="002C7B84" w:rsidRPr="00A54A3A">
        <w:t xml:space="preserve">its work as Head of the German delegation since July 2014 and Mr. Lennart Dock, who participated in the sessions since December 2003 and as a Head of Swedish delegation since July 2008, would be retiring soon and would no longer attend the sessions. The Sub-Committee was also informed that Mr. Paul Taylor, who attended the sessions as Head of the Australian delegation since July 2017 and </w:t>
      </w:r>
      <w:r w:rsidR="002C7B84">
        <w:t>served</w:t>
      </w:r>
      <w:r w:rsidR="002C7B84" w:rsidRPr="00A54A3A">
        <w:t xml:space="preserve"> as Vice-Chair of the Sub-Committee since July 2019 had accepted a new role with another government agency and will no longer participate in the work of the Sub-Committee. </w:t>
      </w:r>
    </w:p>
    <w:p w14:paraId="4F4E8FBD" w14:textId="70470C53" w:rsidR="002C7B84" w:rsidRDefault="00D341A7" w:rsidP="002C7B84">
      <w:pPr>
        <w:pStyle w:val="SingleTxtG"/>
      </w:pPr>
      <w:r>
        <w:t>60</w:t>
      </w:r>
      <w:r w:rsidR="002C7B84">
        <w:t>.</w:t>
      </w:r>
      <w:r w:rsidR="002C7B84">
        <w:tab/>
      </w:r>
      <w:r w:rsidR="002C7B84" w:rsidRPr="00A54A3A">
        <w:t xml:space="preserve">The Sub-Committee expressed its gratitude to all of them for their contributions to its work and to the implementation of the GHS and wished them all the best in their future endeavours. </w:t>
      </w:r>
    </w:p>
    <w:p w14:paraId="3F941638" w14:textId="469473B9" w:rsidR="002C7B84" w:rsidRDefault="002C7B84" w:rsidP="002C7B84">
      <w:pPr>
        <w:pStyle w:val="H1G"/>
      </w:pPr>
      <w:r>
        <w:lastRenderedPageBreak/>
        <w:tab/>
      </w:r>
      <w:r w:rsidR="007460AD">
        <w:t>B</w:t>
      </w:r>
      <w:r w:rsidRPr="00D66281">
        <w:t>.</w:t>
      </w:r>
      <w:r w:rsidRPr="00D66281">
        <w:tab/>
      </w:r>
      <w:r w:rsidR="002044CE" w:rsidRPr="00D66281">
        <w:t>D</w:t>
      </w:r>
      <w:r w:rsidRPr="00D66281">
        <w:t>ates</w:t>
      </w:r>
      <w:r w:rsidR="002044CE" w:rsidRPr="002044CE">
        <w:t xml:space="preserve"> of the next session and document submission deadline</w:t>
      </w:r>
    </w:p>
    <w:p w14:paraId="5DBBB55A" w14:textId="08693BBB" w:rsidR="004366AB" w:rsidRDefault="00D341A7" w:rsidP="00D66281">
      <w:pPr>
        <w:pStyle w:val="SingleTxtG"/>
      </w:pPr>
      <w:r>
        <w:tab/>
        <w:t>61.</w:t>
      </w:r>
      <w:r w:rsidR="00EC0A79">
        <w:tab/>
      </w:r>
      <w:r w:rsidR="00480792">
        <w:t xml:space="preserve">The Sub-Committee </w:t>
      </w:r>
      <w:r w:rsidR="002E660E">
        <w:t xml:space="preserve">was informed </w:t>
      </w:r>
      <w:r w:rsidR="009B1F49">
        <w:t xml:space="preserve">that its fortieth session </w:t>
      </w:r>
      <w:r w:rsidR="00170AAF">
        <w:t xml:space="preserve">would be held </w:t>
      </w:r>
      <w:r w:rsidR="00945A1B">
        <w:t>from 5 to 7</w:t>
      </w:r>
      <w:r w:rsidR="004366AB">
        <w:t> </w:t>
      </w:r>
      <w:r w:rsidR="00945A1B">
        <w:t xml:space="preserve">(morning) July 2021 and that the deadline for submission of official documents was </w:t>
      </w:r>
      <w:r w:rsidR="009D190D">
        <w:t xml:space="preserve">9 April 2021. </w:t>
      </w:r>
    </w:p>
    <w:p w14:paraId="13ED1995" w14:textId="005F38A8" w:rsidR="002C7B84" w:rsidRPr="00A54A3A" w:rsidRDefault="002C7B84" w:rsidP="002C7B84">
      <w:pPr>
        <w:pStyle w:val="HChG"/>
        <w:keepNext w:val="0"/>
        <w:keepLines w:val="0"/>
      </w:pPr>
      <w:r w:rsidRPr="00A54A3A">
        <w:tab/>
        <w:t>X</w:t>
      </w:r>
      <w:r w:rsidR="00624E01">
        <w:t>I</w:t>
      </w:r>
      <w:r w:rsidRPr="00A54A3A">
        <w:t xml:space="preserve">V. </w:t>
      </w:r>
      <w:r w:rsidRPr="00A54A3A">
        <w:tab/>
        <w:t>Adoption of the report (agenda item 12)</w:t>
      </w:r>
    </w:p>
    <w:p w14:paraId="09FB2D64" w14:textId="482860CA" w:rsidR="002C7B84" w:rsidRDefault="002C7B84" w:rsidP="002C7B84">
      <w:pPr>
        <w:pStyle w:val="SingleTxtG"/>
      </w:pPr>
      <w:r>
        <w:t>62.</w:t>
      </w:r>
      <w:r>
        <w:tab/>
      </w:r>
      <w:r w:rsidRPr="00A54A3A">
        <w:t xml:space="preserve">In accordance with the established practice, the Sub-Committee adopted the report on its thirty-ninth session and its annexes </w:t>
      </w:r>
      <w:r w:rsidR="00E621C4">
        <w:t>based on</w:t>
      </w:r>
      <w:r w:rsidRPr="00A54A3A">
        <w:t xml:space="preserve"> a draft prepared by the secretariat.</w:t>
      </w:r>
    </w:p>
    <w:p w14:paraId="045BA162" w14:textId="4A4ADFB4" w:rsidR="00D519AC" w:rsidRDefault="00D519AC">
      <w:pPr>
        <w:suppressAutoHyphens w:val="0"/>
        <w:kinsoku/>
        <w:overflowPunct/>
        <w:autoSpaceDE/>
        <w:autoSpaceDN/>
        <w:adjustRightInd/>
        <w:snapToGrid/>
        <w:spacing w:after="200" w:line="276" w:lineRule="auto"/>
      </w:pPr>
      <w:r>
        <w:br w:type="page"/>
      </w:r>
    </w:p>
    <w:p w14:paraId="3574D196" w14:textId="4505E044" w:rsidR="00D519AC" w:rsidRPr="00162116" w:rsidRDefault="00D519AC" w:rsidP="000F20A7">
      <w:pPr>
        <w:pStyle w:val="HChG"/>
        <w:tabs>
          <w:tab w:val="left" w:pos="5954"/>
        </w:tabs>
        <w:rPr>
          <w:rStyle w:val="SingleTxtGChar"/>
          <w:b w:val="0"/>
          <w:bCs/>
          <w:sz w:val="20"/>
        </w:rPr>
      </w:pPr>
      <w:r>
        <w:lastRenderedPageBreak/>
        <w:tab/>
      </w:r>
      <w:r w:rsidRPr="00EE0E39">
        <w:t>Annex</w:t>
      </w:r>
      <w:r w:rsidR="00C05FE6" w:rsidRPr="00EE0E39">
        <w:t xml:space="preserve"> I</w:t>
      </w:r>
      <w:r w:rsidR="00080307" w:rsidRPr="00EE0E39">
        <w:tab/>
      </w:r>
      <w:r w:rsidR="00080307" w:rsidRPr="00EE0E39">
        <w:tab/>
      </w:r>
      <w:r w:rsidR="00080307" w:rsidRPr="00EE0E39">
        <w:rPr>
          <w:rStyle w:val="SingleTxtGChar"/>
          <w:b w:val="0"/>
          <w:bCs/>
          <w:sz w:val="20"/>
        </w:rPr>
        <w:t>[Original: English and French]</w:t>
      </w:r>
    </w:p>
    <w:p w14:paraId="1FAD185C" w14:textId="50160464" w:rsidR="00756C6C" w:rsidRPr="00343D0C" w:rsidRDefault="00D519AC" w:rsidP="00756C6C">
      <w:pPr>
        <w:keepNext/>
        <w:keepLines/>
        <w:tabs>
          <w:tab w:val="right" w:pos="851"/>
        </w:tabs>
        <w:kinsoku/>
        <w:overflowPunct/>
        <w:autoSpaceDE/>
        <w:autoSpaceDN/>
        <w:adjustRightInd/>
        <w:snapToGrid/>
        <w:spacing w:before="360" w:after="240" w:line="300" w:lineRule="exact"/>
        <w:ind w:left="1134" w:right="1134" w:hanging="1134"/>
        <w:rPr>
          <w:rFonts w:eastAsia="Times New Roman"/>
          <w:b/>
          <w:sz w:val="28"/>
          <w:lang w:eastAsia="en-US"/>
        </w:rPr>
      </w:pPr>
      <w:r>
        <w:tab/>
      </w:r>
      <w:r>
        <w:tab/>
      </w:r>
      <w:r w:rsidR="00756C6C" w:rsidRPr="00343D0C">
        <w:rPr>
          <w:rFonts w:eastAsia="Times New Roman"/>
          <w:b/>
          <w:sz w:val="28"/>
          <w:lang w:eastAsia="en-US"/>
        </w:rPr>
        <w:tab/>
        <w:t xml:space="preserve">Draft amendments to the </w:t>
      </w:r>
      <w:r w:rsidR="00756C6C">
        <w:rPr>
          <w:rFonts w:eastAsia="Times New Roman"/>
          <w:b/>
          <w:sz w:val="28"/>
          <w:lang w:eastAsia="en-US"/>
        </w:rPr>
        <w:t>eighth</w:t>
      </w:r>
      <w:r w:rsidR="00756C6C" w:rsidRPr="00343D0C">
        <w:rPr>
          <w:rFonts w:eastAsia="Times New Roman"/>
          <w:b/>
          <w:sz w:val="28"/>
          <w:lang w:eastAsia="en-US"/>
        </w:rPr>
        <w:t xml:space="preserve"> revised edition of the </w:t>
      </w:r>
      <w:r w:rsidR="00544174">
        <w:rPr>
          <w:rFonts w:eastAsia="Times New Roman"/>
          <w:b/>
          <w:sz w:val="28"/>
          <w:lang w:eastAsia="en-US"/>
        </w:rPr>
        <w:t>GHS</w:t>
      </w:r>
      <w:r w:rsidR="00756C6C" w:rsidRPr="00343D0C">
        <w:rPr>
          <w:rFonts w:eastAsia="Times New Roman"/>
          <w:b/>
          <w:sz w:val="28"/>
          <w:lang w:eastAsia="en-US"/>
        </w:rPr>
        <w:t xml:space="preserve"> (ST/SG/AC.10/30/Rev.</w:t>
      </w:r>
      <w:r w:rsidR="00756C6C">
        <w:rPr>
          <w:rFonts w:eastAsia="Times New Roman"/>
          <w:b/>
          <w:sz w:val="28"/>
          <w:lang w:eastAsia="en-US"/>
        </w:rPr>
        <w:t>8</w:t>
      </w:r>
      <w:r w:rsidR="00756C6C" w:rsidRPr="00343D0C">
        <w:rPr>
          <w:rFonts w:eastAsia="Times New Roman"/>
          <w:b/>
          <w:sz w:val="28"/>
          <w:lang w:eastAsia="en-US"/>
        </w:rPr>
        <w:t>)</w:t>
      </w:r>
    </w:p>
    <w:p w14:paraId="4E8C399E" w14:textId="36089016" w:rsidR="00756C6C" w:rsidRPr="001F6C71" w:rsidRDefault="00756C6C" w:rsidP="00D66281">
      <w:pPr>
        <w:pStyle w:val="H23G"/>
        <w:rPr>
          <w:lang w:eastAsia="en-US"/>
        </w:rPr>
      </w:pPr>
      <w:r w:rsidRPr="001F6C71">
        <w:rPr>
          <w:lang w:eastAsia="en-US"/>
        </w:rPr>
        <w:tab/>
      </w:r>
      <w:r w:rsidRPr="001F6C71">
        <w:rPr>
          <w:lang w:eastAsia="en-US"/>
        </w:rPr>
        <w:tab/>
        <w:t>Document ST/SG/AC.10/C.4/2020/15</w:t>
      </w:r>
      <w:r w:rsidR="004867C6">
        <w:rPr>
          <w:lang w:eastAsia="en-US"/>
        </w:rPr>
        <w:t xml:space="preserve">, </w:t>
      </w:r>
      <w:r w:rsidRPr="001F6C71">
        <w:rPr>
          <w:lang w:eastAsia="en-US"/>
        </w:rPr>
        <w:t>adopted</w:t>
      </w:r>
      <w:r w:rsidRPr="00D63F50">
        <w:rPr>
          <w:lang w:eastAsia="en-US"/>
        </w:rPr>
        <w:t xml:space="preserve"> </w:t>
      </w:r>
      <w:r w:rsidRPr="001F6C71">
        <w:rPr>
          <w:lang w:eastAsia="en-US"/>
        </w:rPr>
        <w:t>with the following modifications:</w:t>
      </w:r>
    </w:p>
    <w:p w14:paraId="748B4513" w14:textId="77777777" w:rsidR="00756C6C" w:rsidRDefault="00756C6C" w:rsidP="00756C6C">
      <w:pPr>
        <w:pStyle w:val="SingleTxtG"/>
        <w:rPr>
          <w:lang w:eastAsia="en-US"/>
        </w:rPr>
      </w:pPr>
      <w:r>
        <w:rPr>
          <w:lang w:eastAsia="en-US"/>
        </w:rPr>
        <w:t>Under “Annex 3, Section 3, matrix of precautionary statements”:</w:t>
      </w:r>
    </w:p>
    <w:p w14:paraId="1DE5F293" w14:textId="77777777" w:rsidR="00756C6C" w:rsidRDefault="00756C6C" w:rsidP="00C56A5E">
      <w:pPr>
        <w:pStyle w:val="SingleTxtG"/>
        <w:ind w:left="1418"/>
        <w:rPr>
          <w:color w:val="000000" w:themeColor="text1"/>
        </w:rPr>
      </w:pPr>
      <w:r>
        <w:rPr>
          <w:lang w:eastAsia="en-US"/>
        </w:rPr>
        <w:t>In the first line, delete “</w:t>
      </w:r>
      <w:r>
        <w:rPr>
          <w:color w:val="000000" w:themeColor="text1"/>
        </w:rPr>
        <w:t xml:space="preserve">and </w:t>
      </w:r>
      <w:r w:rsidRPr="00DF080D">
        <w:rPr>
          <w:color w:val="000000" w:themeColor="text1"/>
        </w:rPr>
        <w:t>desensitized explosives (categories 1, 2, 3 and 4)</w:t>
      </w:r>
      <w:r>
        <w:rPr>
          <w:color w:val="000000" w:themeColor="text1"/>
        </w:rPr>
        <w:t>”.</w:t>
      </w:r>
    </w:p>
    <w:p w14:paraId="1997B0DF" w14:textId="77777777" w:rsidR="00756C6C" w:rsidRDefault="00756C6C" w:rsidP="00C56A5E">
      <w:pPr>
        <w:pStyle w:val="SingleTxtG"/>
        <w:ind w:left="1418"/>
        <w:rPr>
          <w:lang w:eastAsia="en-US"/>
        </w:rPr>
      </w:pPr>
      <w:r>
        <w:rPr>
          <w:lang w:eastAsia="en-US"/>
        </w:rPr>
        <w:t>Add the following new amendment:</w:t>
      </w:r>
    </w:p>
    <w:p w14:paraId="6B6908B7" w14:textId="77777777" w:rsidR="00756C6C" w:rsidRDefault="00756C6C" w:rsidP="00C56A5E">
      <w:pPr>
        <w:pStyle w:val="SingleTxtG"/>
        <w:ind w:left="1418"/>
        <w:rPr>
          <w:lang w:eastAsia="en-US"/>
        </w:rPr>
      </w:pPr>
      <w:r>
        <w:rPr>
          <w:lang w:eastAsia="en-US"/>
        </w:rPr>
        <w:t>“</w:t>
      </w:r>
      <w:r w:rsidRPr="002E53ED">
        <w:rPr>
          <w:b/>
          <w:bCs/>
          <w:lang w:eastAsia="en-US"/>
        </w:rPr>
        <w:t>Desensitized explosives (categories 1, 2, 3 and 4), under “Prevention”, wording of precautionary statement P230</w:t>
      </w:r>
      <w:r>
        <w:rPr>
          <w:lang w:eastAsia="en-US"/>
        </w:rPr>
        <w:t xml:space="preserve"> </w:t>
      </w:r>
    </w:p>
    <w:p w14:paraId="37804D0A" w14:textId="77777777" w:rsidR="00756C6C" w:rsidRDefault="00756C6C" w:rsidP="00C56A5E">
      <w:pPr>
        <w:pStyle w:val="SingleTxtG"/>
        <w:ind w:left="1418"/>
        <w:rPr>
          <w:lang w:eastAsia="en-US"/>
        </w:rPr>
      </w:pPr>
      <w:r>
        <w:rPr>
          <w:lang w:eastAsia="en-US"/>
        </w:rPr>
        <w:t>Replace with:</w:t>
      </w:r>
    </w:p>
    <w:p w14:paraId="50185C83" w14:textId="77777777" w:rsidR="00756C6C" w:rsidRDefault="00756C6C" w:rsidP="00C56A5E">
      <w:pPr>
        <w:pStyle w:val="SingleTxtG"/>
        <w:ind w:left="1418"/>
        <w:rPr>
          <w:lang w:eastAsia="en-US"/>
        </w:rPr>
      </w:pPr>
      <w:r>
        <w:rPr>
          <w:lang w:eastAsia="en-US"/>
        </w:rPr>
        <w:t>“</w:t>
      </w:r>
      <w:r w:rsidRPr="002E53ED">
        <w:rPr>
          <w:b/>
          <w:bCs/>
          <w:lang w:eastAsia="en-US"/>
        </w:rPr>
        <w:t>Keep diluted with</w:t>
      </w:r>
      <w:r>
        <w:rPr>
          <w:lang w:eastAsia="en-US"/>
        </w:rPr>
        <w:t>…</w:t>
      </w:r>
    </w:p>
    <w:p w14:paraId="51A1EC4C" w14:textId="77777777" w:rsidR="00756C6C" w:rsidRDefault="00756C6C" w:rsidP="00C56A5E">
      <w:pPr>
        <w:pStyle w:val="SingleTxtG"/>
        <w:ind w:left="1418"/>
        <w:rPr>
          <w:lang w:eastAsia="en-US"/>
        </w:rPr>
      </w:pPr>
      <w:r>
        <w:rPr>
          <w:lang w:eastAsia="en-US"/>
        </w:rPr>
        <w:t>…Manufacturer/supplier or competent authority to specify appropriate material.”</w:t>
      </w:r>
    </w:p>
    <w:p w14:paraId="4BF3103A" w14:textId="77777777" w:rsidR="00756C6C" w:rsidRDefault="00756C6C" w:rsidP="00C56A5E">
      <w:pPr>
        <w:pStyle w:val="SingleTxtG"/>
        <w:rPr>
          <w:lang w:eastAsia="en-US"/>
        </w:rPr>
      </w:pPr>
      <w:r>
        <w:rPr>
          <w:lang w:eastAsia="en-US"/>
        </w:rPr>
        <w:t>Under the amended Annex I, Table A1.5, in table note a, replace “Model Regulations” by “UN Model Regulations”.</w:t>
      </w:r>
    </w:p>
    <w:p w14:paraId="46C25B22" w14:textId="3D3523C6" w:rsidR="00756C6C" w:rsidRPr="001F3F43" w:rsidRDefault="00756C6C" w:rsidP="00EE0E39">
      <w:pPr>
        <w:pStyle w:val="H23G"/>
        <w:jc w:val="both"/>
        <w:rPr>
          <w:lang w:eastAsia="en-US"/>
        </w:rPr>
      </w:pPr>
      <w:r w:rsidRPr="001F6C71">
        <w:rPr>
          <w:lang w:eastAsia="en-US"/>
        </w:rPr>
        <w:tab/>
      </w:r>
      <w:r w:rsidRPr="001F6C71">
        <w:rPr>
          <w:lang w:eastAsia="en-US"/>
        </w:rPr>
        <w:tab/>
      </w:r>
      <w:r w:rsidR="008C295C">
        <w:rPr>
          <w:lang w:eastAsia="en-US"/>
        </w:rPr>
        <w:tab/>
      </w:r>
      <w:r w:rsidRPr="001F6C71">
        <w:rPr>
          <w:lang w:eastAsia="en-US"/>
        </w:rPr>
        <w:t>Documents ST/SG/AC.10/C.4/2020/5 and ST/SG/AC.10/C.4/2020/5/Add.1</w:t>
      </w:r>
      <w:r w:rsidR="004867C6">
        <w:rPr>
          <w:lang w:eastAsia="en-US"/>
        </w:rPr>
        <w:t xml:space="preserve">, </w:t>
      </w:r>
      <w:r w:rsidRPr="001F6C71">
        <w:rPr>
          <w:lang w:eastAsia="en-US"/>
        </w:rPr>
        <w:t>adopted</w:t>
      </w:r>
      <w:r w:rsidR="00805190">
        <w:rPr>
          <w:lang w:eastAsia="en-US"/>
        </w:rPr>
        <w:t xml:space="preserve"> </w:t>
      </w:r>
      <w:r w:rsidR="00805190" w:rsidRPr="001F3F43">
        <w:rPr>
          <w:lang w:eastAsia="en-US"/>
        </w:rPr>
        <w:t>with the</w:t>
      </w:r>
      <w:r w:rsidRPr="001F3F43">
        <w:rPr>
          <w:lang w:eastAsia="en-US"/>
        </w:rPr>
        <w:t xml:space="preserve"> following amendment</w:t>
      </w:r>
      <w:r w:rsidR="00805190" w:rsidRPr="001F3F43">
        <w:rPr>
          <w:lang w:eastAsia="en-US"/>
        </w:rPr>
        <w:t>s</w:t>
      </w:r>
      <w:r w:rsidRPr="001F3F43">
        <w:rPr>
          <w:lang w:eastAsia="en-US"/>
        </w:rPr>
        <w:t>:</w:t>
      </w:r>
    </w:p>
    <w:p w14:paraId="3FF26C03" w14:textId="2EEF8362" w:rsidR="00805190" w:rsidRDefault="00E1759C" w:rsidP="006E6F36">
      <w:pPr>
        <w:pStyle w:val="SingleTxtG"/>
        <w:rPr>
          <w:lang w:eastAsia="en-US"/>
        </w:rPr>
      </w:pPr>
      <w:r w:rsidRPr="001F3F43">
        <w:rPr>
          <w:lang w:eastAsia="en-US"/>
        </w:rPr>
        <w:tab/>
        <w:t>2.1.1.3.1</w:t>
      </w:r>
      <w:r w:rsidRPr="001F3F43">
        <w:rPr>
          <w:lang w:eastAsia="en-US"/>
        </w:rPr>
        <w:tab/>
        <w:t xml:space="preserve">Insert the following new </w:t>
      </w:r>
      <w:r w:rsidR="006E6F36" w:rsidRPr="001F3F43">
        <w:rPr>
          <w:lang w:eastAsia="en-US"/>
        </w:rPr>
        <w:t>third sentence: “Test data is not required when classification using expert judgement is possible based on available information from previous testing and characterization.”.</w:t>
      </w:r>
    </w:p>
    <w:p w14:paraId="07DA005F" w14:textId="34A1BD97" w:rsidR="00F52F9D" w:rsidRPr="001F3F43" w:rsidRDefault="007768F5" w:rsidP="006E6F36">
      <w:pPr>
        <w:pStyle w:val="SingleTxtG"/>
        <w:rPr>
          <w:lang w:eastAsia="en-US"/>
        </w:rPr>
      </w:pPr>
      <w:r>
        <w:rPr>
          <w:lang w:eastAsia="en-US"/>
        </w:rPr>
        <w:tab/>
      </w:r>
      <w:r>
        <w:rPr>
          <w:lang w:eastAsia="en-US"/>
        </w:rPr>
        <w:tab/>
      </w:r>
      <w:r>
        <w:rPr>
          <w:lang w:eastAsia="en-US"/>
        </w:rPr>
        <w:tab/>
      </w:r>
      <w:r w:rsidR="00EC506E">
        <w:rPr>
          <w:lang w:eastAsia="en-US"/>
        </w:rPr>
        <w:t xml:space="preserve">The proposed </w:t>
      </w:r>
      <w:r w:rsidR="00721896">
        <w:rPr>
          <w:lang w:eastAsia="en-US"/>
        </w:rPr>
        <w:t xml:space="preserve">new third sentence in document </w:t>
      </w:r>
      <w:r w:rsidR="00721896" w:rsidRPr="001F6C71">
        <w:rPr>
          <w:lang w:eastAsia="en-US"/>
        </w:rPr>
        <w:t>ST/SG/AC.10/C.4/2020/5/Add.1</w:t>
      </w:r>
      <w:r w:rsidR="00721896">
        <w:rPr>
          <w:lang w:eastAsia="en-US"/>
        </w:rPr>
        <w:t xml:space="preserve"> becomes </w:t>
      </w:r>
      <w:r w:rsidR="00361419">
        <w:rPr>
          <w:lang w:eastAsia="en-US"/>
        </w:rPr>
        <w:t>the new fourth sentenc</w:t>
      </w:r>
      <w:r w:rsidR="00065CC3">
        <w:rPr>
          <w:lang w:eastAsia="en-US"/>
        </w:rPr>
        <w:t xml:space="preserve">e </w:t>
      </w:r>
      <w:r w:rsidR="00136758">
        <w:rPr>
          <w:lang w:eastAsia="en-US"/>
        </w:rPr>
        <w:t xml:space="preserve">of 2.1.1.3.1, </w:t>
      </w:r>
      <w:r w:rsidR="00065CC3">
        <w:rPr>
          <w:lang w:eastAsia="en-US"/>
        </w:rPr>
        <w:t xml:space="preserve">with the </w:t>
      </w:r>
      <w:r w:rsidR="00136758">
        <w:rPr>
          <w:lang w:eastAsia="en-US"/>
        </w:rPr>
        <w:t xml:space="preserve">following additional amendment: Delete </w:t>
      </w:r>
      <w:r w:rsidR="00065CC3">
        <w:rPr>
          <w:lang w:eastAsia="en-US"/>
        </w:rPr>
        <w:t>“, and being narrowly limited according to the quantity, packaging and design of the explosive.”.</w:t>
      </w:r>
    </w:p>
    <w:p w14:paraId="68628275" w14:textId="68B3080C" w:rsidR="006E6F36" w:rsidRPr="001F3F43" w:rsidRDefault="006E6F36">
      <w:pPr>
        <w:pStyle w:val="SingleTxtG"/>
        <w:rPr>
          <w:rFonts w:eastAsia="Times New Roman"/>
          <w:i/>
          <w:iCs/>
          <w:lang w:eastAsia="en-US"/>
        </w:rPr>
      </w:pPr>
      <w:r w:rsidRPr="001F3F43">
        <w:rPr>
          <w:rFonts w:eastAsia="Times New Roman"/>
          <w:i/>
          <w:iCs/>
          <w:lang w:eastAsia="en-US"/>
        </w:rPr>
        <w:t>(Reference document: Report of the Working Group on Explosives INF.</w:t>
      </w:r>
      <w:r w:rsidR="00D515DD" w:rsidRPr="001F3F43">
        <w:rPr>
          <w:rFonts w:eastAsia="Times New Roman"/>
          <w:i/>
          <w:iCs/>
          <w:lang w:eastAsia="en-US"/>
        </w:rPr>
        <w:t>38, paragraph 13 (TDG Sub-Committee, 57</w:t>
      </w:r>
      <w:r w:rsidR="00D515DD" w:rsidRPr="00D66281">
        <w:rPr>
          <w:rFonts w:eastAsia="Times New Roman"/>
          <w:i/>
          <w:iCs/>
          <w:vertAlign w:val="superscript"/>
          <w:lang w:eastAsia="en-US"/>
        </w:rPr>
        <w:t>th</w:t>
      </w:r>
      <w:r w:rsidR="00D515DD" w:rsidRPr="001F3F43">
        <w:rPr>
          <w:rFonts w:eastAsia="Times New Roman"/>
          <w:i/>
          <w:iCs/>
          <w:lang w:eastAsia="en-US"/>
        </w:rPr>
        <w:t xml:space="preserve"> session)</w:t>
      </w:r>
      <w:r w:rsidR="0051283A" w:rsidRPr="00D66281">
        <w:rPr>
          <w:rFonts w:eastAsia="Times New Roman"/>
          <w:i/>
          <w:iCs/>
          <w:lang w:eastAsia="en-US"/>
        </w:rPr>
        <w:t>)</w:t>
      </w:r>
    </w:p>
    <w:p w14:paraId="0D36307E" w14:textId="35A165B9" w:rsidR="00756C6C" w:rsidRDefault="00756C6C" w:rsidP="00D66281">
      <w:pPr>
        <w:pStyle w:val="SingleTxtG"/>
      </w:pPr>
      <w:r>
        <w:t>2.1.1.2</w:t>
      </w:r>
      <w:r>
        <w:tab/>
      </w:r>
      <w:r w:rsidR="00990645">
        <w:tab/>
      </w:r>
      <w:r>
        <w:t>Add the following new paragraphs 2.1.1.2.3 to 2.1.1.2.3.2:</w:t>
      </w:r>
    </w:p>
    <w:p w14:paraId="72EEFAC2" w14:textId="2D3B2226" w:rsidR="00756C6C" w:rsidRPr="00185061" w:rsidRDefault="00756C6C" w:rsidP="00D66281">
      <w:pPr>
        <w:pStyle w:val="SingleTxtG"/>
        <w:rPr>
          <w:rFonts w:eastAsia="Times New Roman"/>
          <w:i/>
          <w:lang w:eastAsia="en-US"/>
        </w:rPr>
      </w:pPr>
      <w:r>
        <w:rPr>
          <w:rFonts w:eastAsia="MS Mincho"/>
          <w:lang w:val="en-US" w:eastAsia="ja-JP"/>
        </w:rPr>
        <w:t>“</w:t>
      </w:r>
      <w:r w:rsidRPr="00185061">
        <w:rPr>
          <w:rFonts w:eastAsia="MS Mincho"/>
          <w:lang w:val="en-US" w:eastAsia="ja-JP"/>
        </w:rPr>
        <w:t>2.1.1.2.3</w:t>
      </w:r>
      <w:r w:rsidRPr="00185061">
        <w:rPr>
          <w:rFonts w:eastAsia="MS Mincho"/>
          <w:lang w:val="en-US" w:eastAsia="ja-JP"/>
        </w:rPr>
        <w:tab/>
        <w:t>For explosive articles that are assigned a specific UN</w:t>
      </w:r>
      <w:r>
        <w:rPr>
          <w:rFonts w:eastAsia="MS Mincho"/>
          <w:lang w:val="en-US" w:eastAsia="ja-JP"/>
        </w:rPr>
        <w:t xml:space="preserve"> </w:t>
      </w:r>
      <w:r w:rsidRPr="00185061">
        <w:rPr>
          <w:rFonts w:eastAsia="MS Mincho"/>
          <w:lang w:val="en-US" w:eastAsia="ja-JP"/>
        </w:rPr>
        <w:t xml:space="preserve">number in a class other than Class 1 according to the Dangerous Goods List of the </w:t>
      </w:r>
      <w:r w:rsidRPr="00185061">
        <w:rPr>
          <w:rFonts w:eastAsia="MS Mincho"/>
          <w:i/>
          <w:lang w:val="en-US" w:eastAsia="ja-JP"/>
        </w:rPr>
        <w:t>UN Model Regulations</w:t>
      </w:r>
      <w:r w:rsidRPr="00185061">
        <w:rPr>
          <w:rFonts w:eastAsia="MS Mincho"/>
          <w:lang w:val="en-US" w:eastAsia="ja-JP"/>
        </w:rPr>
        <w:t>, the following applies</w:t>
      </w:r>
      <w:r w:rsidR="0075691D">
        <w:rPr>
          <w:rFonts w:eastAsia="MS Mincho"/>
          <w:lang w:val="en-US" w:eastAsia="ja-JP"/>
        </w:rPr>
        <w:t>.</w:t>
      </w:r>
    </w:p>
    <w:p w14:paraId="5516CC07" w14:textId="5099D8AE" w:rsidR="00756C6C" w:rsidRPr="00185061" w:rsidRDefault="00756C6C" w:rsidP="00D66281">
      <w:pPr>
        <w:pStyle w:val="SingleTxtG"/>
        <w:rPr>
          <w:rFonts w:eastAsia="MS Mincho"/>
          <w:lang w:val="en-US" w:eastAsia="ja-JP"/>
        </w:rPr>
      </w:pPr>
      <w:r w:rsidRPr="00185061">
        <w:rPr>
          <w:rFonts w:eastAsia="MS Mincho"/>
          <w:lang w:val="en-US" w:eastAsia="ja-JP"/>
        </w:rPr>
        <w:t>2.1.1.2.3.1</w:t>
      </w:r>
      <w:r w:rsidRPr="00185061">
        <w:rPr>
          <w:rFonts w:eastAsia="MS Mincho"/>
          <w:lang w:val="en-US" w:eastAsia="ja-JP"/>
        </w:rPr>
        <w:tab/>
        <w:t>Explosive articles that are assigned a specific UN</w:t>
      </w:r>
      <w:r>
        <w:rPr>
          <w:rFonts w:eastAsia="MS Mincho"/>
          <w:lang w:val="en-US" w:eastAsia="ja-JP"/>
        </w:rPr>
        <w:t xml:space="preserve"> </w:t>
      </w:r>
      <w:r w:rsidRPr="00185061">
        <w:rPr>
          <w:rFonts w:eastAsia="MS Mincho"/>
          <w:lang w:val="en-US" w:eastAsia="ja-JP"/>
        </w:rPr>
        <w:t xml:space="preserve">number in Class 2, 3, 4 or 5 are classified in the GHS hazard class and, where available, category corresponding to the transport classification, and excluded from the hazard class explosives, provided that: </w:t>
      </w:r>
    </w:p>
    <w:p w14:paraId="669E0394" w14:textId="77777777" w:rsidR="00756C6C" w:rsidRPr="00185061" w:rsidRDefault="00756C6C" w:rsidP="000865EE">
      <w:pPr>
        <w:numPr>
          <w:ilvl w:val="0"/>
          <w:numId w:val="14"/>
        </w:numPr>
        <w:shd w:val="clear" w:color="auto" w:fill="FFFFFF" w:themeFill="background1"/>
        <w:kinsoku/>
        <w:overflowPunct/>
        <w:autoSpaceDE/>
        <w:autoSpaceDN/>
        <w:adjustRightInd/>
        <w:snapToGrid/>
        <w:spacing w:after="120"/>
        <w:ind w:left="1848" w:right="284" w:hanging="147"/>
        <w:jc w:val="both"/>
        <w:rPr>
          <w:rFonts w:eastAsia="MS Mincho"/>
          <w:lang w:val="en-US" w:eastAsia="ja-JP"/>
        </w:rPr>
      </w:pPr>
      <w:r w:rsidRPr="00185061">
        <w:rPr>
          <w:rFonts w:eastAsia="MS Mincho"/>
          <w:lang w:val="en-US" w:eastAsia="ja-JP"/>
        </w:rPr>
        <w:t>they are in the transport configuration; or</w:t>
      </w:r>
    </w:p>
    <w:p w14:paraId="56FC3934" w14:textId="77777777" w:rsidR="00756C6C" w:rsidRPr="00185061" w:rsidRDefault="00756C6C" w:rsidP="000865EE">
      <w:pPr>
        <w:numPr>
          <w:ilvl w:val="0"/>
          <w:numId w:val="14"/>
        </w:numPr>
        <w:shd w:val="clear" w:color="auto" w:fill="FFFFFF" w:themeFill="background1"/>
        <w:kinsoku/>
        <w:overflowPunct/>
        <w:autoSpaceDE/>
        <w:autoSpaceDN/>
        <w:adjustRightInd/>
        <w:snapToGrid/>
        <w:spacing w:after="120"/>
        <w:ind w:left="1848" w:right="284" w:hanging="147"/>
        <w:jc w:val="both"/>
        <w:rPr>
          <w:rFonts w:eastAsia="MS Mincho"/>
          <w:lang w:val="en-US" w:eastAsia="ja-JP"/>
        </w:rPr>
      </w:pPr>
      <w:r w:rsidRPr="00185061">
        <w:rPr>
          <w:rFonts w:eastAsia="MS Mincho"/>
          <w:lang w:val="en-US" w:eastAsia="ja-JP"/>
        </w:rPr>
        <w:t>the transport classification does not depend on a particular configuration; or</w:t>
      </w:r>
    </w:p>
    <w:p w14:paraId="252B6412" w14:textId="77777777" w:rsidR="00756C6C" w:rsidRPr="00185061" w:rsidRDefault="00756C6C" w:rsidP="000865EE">
      <w:pPr>
        <w:numPr>
          <w:ilvl w:val="0"/>
          <w:numId w:val="14"/>
        </w:numPr>
        <w:shd w:val="clear" w:color="auto" w:fill="FFFFFF" w:themeFill="background1"/>
        <w:kinsoku/>
        <w:overflowPunct/>
        <w:autoSpaceDE/>
        <w:autoSpaceDN/>
        <w:adjustRightInd/>
        <w:snapToGrid/>
        <w:spacing w:after="120"/>
        <w:ind w:left="1848" w:right="284" w:hanging="147"/>
        <w:jc w:val="both"/>
        <w:rPr>
          <w:rFonts w:eastAsia="MS Mincho"/>
          <w:lang w:val="en-US" w:eastAsia="ja-JP"/>
        </w:rPr>
      </w:pPr>
      <w:r w:rsidRPr="00185061">
        <w:rPr>
          <w:rFonts w:eastAsia="MS Mincho"/>
          <w:lang w:val="en-US" w:eastAsia="ja-JP"/>
        </w:rPr>
        <w:t>they are in use, see 2.1.1.3.4.</w:t>
      </w:r>
    </w:p>
    <w:p w14:paraId="0CAADAC3" w14:textId="391A72FD" w:rsidR="00756C6C" w:rsidRPr="00185061" w:rsidRDefault="00756C6C" w:rsidP="00D66281">
      <w:pPr>
        <w:pStyle w:val="SingleTxtG"/>
        <w:rPr>
          <w:rFonts w:eastAsia="MS Mincho"/>
          <w:lang w:val="en-US" w:eastAsia="ja-JP"/>
        </w:rPr>
      </w:pPr>
      <w:r w:rsidRPr="00185061">
        <w:rPr>
          <w:rFonts w:eastAsia="MS Mincho"/>
          <w:lang w:val="en-US" w:eastAsia="ja-JP"/>
        </w:rPr>
        <w:t xml:space="preserve">2.1.1.2.3.2 </w:t>
      </w:r>
      <w:r w:rsidRPr="00185061">
        <w:rPr>
          <w:rFonts w:eastAsia="MS Mincho"/>
          <w:lang w:val="en-US" w:eastAsia="ja-JP"/>
        </w:rPr>
        <w:tab/>
        <w:t>Explosive articles that are assigned a specific UN</w:t>
      </w:r>
      <w:r>
        <w:rPr>
          <w:rFonts w:eastAsia="MS Mincho"/>
          <w:lang w:val="en-US" w:eastAsia="ja-JP"/>
        </w:rPr>
        <w:t xml:space="preserve"> </w:t>
      </w:r>
      <w:r w:rsidRPr="00185061">
        <w:rPr>
          <w:rFonts w:eastAsia="MS Mincho"/>
          <w:lang w:val="en-US" w:eastAsia="ja-JP"/>
        </w:rPr>
        <w:t>number in Class 9 are classified as explosives in Sub-category 2C, provided that:</w:t>
      </w:r>
    </w:p>
    <w:p w14:paraId="1197249D" w14:textId="77777777" w:rsidR="00756C6C" w:rsidRPr="00185061" w:rsidRDefault="00756C6C" w:rsidP="000865EE">
      <w:pPr>
        <w:numPr>
          <w:ilvl w:val="0"/>
          <w:numId w:val="15"/>
        </w:numPr>
        <w:shd w:val="clear" w:color="auto" w:fill="FFFFFF" w:themeFill="background1"/>
        <w:kinsoku/>
        <w:overflowPunct/>
        <w:autoSpaceDE/>
        <w:autoSpaceDN/>
        <w:adjustRightInd/>
        <w:snapToGrid/>
        <w:spacing w:after="120"/>
        <w:ind w:left="1848" w:right="284" w:hanging="147"/>
        <w:jc w:val="both"/>
        <w:rPr>
          <w:rFonts w:eastAsia="MS Mincho"/>
          <w:lang w:val="en-US" w:eastAsia="ja-JP"/>
        </w:rPr>
      </w:pPr>
      <w:r w:rsidRPr="00185061">
        <w:rPr>
          <w:rFonts w:eastAsia="MS Mincho"/>
          <w:lang w:val="en-US" w:eastAsia="ja-JP"/>
        </w:rPr>
        <w:t>they are in the transport configuration; or</w:t>
      </w:r>
    </w:p>
    <w:p w14:paraId="6E64503B" w14:textId="77777777" w:rsidR="00756C6C" w:rsidRPr="00185061" w:rsidRDefault="00756C6C" w:rsidP="000865EE">
      <w:pPr>
        <w:numPr>
          <w:ilvl w:val="0"/>
          <w:numId w:val="15"/>
        </w:numPr>
        <w:shd w:val="clear" w:color="auto" w:fill="FFFFFF" w:themeFill="background1"/>
        <w:kinsoku/>
        <w:overflowPunct/>
        <w:autoSpaceDE/>
        <w:autoSpaceDN/>
        <w:adjustRightInd/>
        <w:snapToGrid/>
        <w:spacing w:after="120"/>
        <w:ind w:left="1848" w:right="284" w:hanging="147"/>
        <w:jc w:val="both"/>
        <w:rPr>
          <w:rFonts w:eastAsia="MS Mincho"/>
          <w:lang w:val="en-US" w:eastAsia="ja-JP"/>
        </w:rPr>
      </w:pPr>
      <w:r w:rsidRPr="00185061">
        <w:rPr>
          <w:rFonts w:eastAsia="MS Mincho"/>
          <w:lang w:val="en-US" w:eastAsia="ja-JP"/>
        </w:rPr>
        <w:t>the transport classification does not depend on a particular configuration; or</w:t>
      </w:r>
    </w:p>
    <w:p w14:paraId="1966E64A" w14:textId="77777777" w:rsidR="00756C6C" w:rsidRDefault="00756C6C" w:rsidP="00D66281">
      <w:pPr>
        <w:pStyle w:val="SingleTxtG"/>
        <w:ind w:left="1701"/>
      </w:pPr>
      <w:r>
        <w:rPr>
          <w:rFonts w:eastAsia="MS Mincho"/>
          <w:lang w:val="en-US" w:eastAsia="ja-JP"/>
        </w:rPr>
        <w:tab/>
        <w:t>(c)</w:t>
      </w:r>
      <w:r>
        <w:rPr>
          <w:rFonts w:eastAsia="MS Mincho"/>
          <w:lang w:val="en-US" w:eastAsia="ja-JP"/>
        </w:rPr>
        <w:tab/>
      </w:r>
      <w:r w:rsidRPr="00185061">
        <w:rPr>
          <w:rFonts w:eastAsia="MS Mincho"/>
          <w:lang w:val="en-US" w:eastAsia="ja-JP"/>
        </w:rPr>
        <w:t>they are in use, see 2.1.1.3.4.</w:t>
      </w:r>
    </w:p>
    <w:p w14:paraId="1B9D6C4B" w14:textId="46BA1D57" w:rsidR="00756C6C" w:rsidRDefault="00756C6C" w:rsidP="00D66281">
      <w:pPr>
        <w:pStyle w:val="SingleTxtG"/>
        <w:rPr>
          <w:rFonts w:eastAsia="MS Mincho"/>
          <w:i/>
          <w:lang w:val="en-US" w:eastAsia="ja-JP"/>
        </w:rPr>
      </w:pPr>
      <w:r w:rsidRPr="00185061">
        <w:rPr>
          <w:rFonts w:eastAsia="MS Mincho"/>
          <w:b/>
          <w:i/>
          <w:lang w:val="en-US" w:eastAsia="ja-JP"/>
        </w:rPr>
        <w:t>NOTE</w:t>
      </w:r>
      <w:r>
        <w:rPr>
          <w:rFonts w:eastAsia="MS Mincho"/>
          <w:b/>
          <w:i/>
          <w:lang w:val="en-US" w:eastAsia="ja-JP"/>
        </w:rPr>
        <w:t xml:space="preserve"> 1</w:t>
      </w:r>
      <w:r w:rsidRPr="00185061">
        <w:rPr>
          <w:rFonts w:eastAsia="MS Mincho"/>
          <w:b/>
          <w:i/>
          <w:lang w:val="en-US" w:eastAsia="ja-JP"/>
        </w:rPr>
        <w:t xml:space="preserve">: </w:t>
      </w:r>
      <w:r w:rsidRPr="00185061">
        <w:rPr>
          <w:rFonts w:eastAsia="MS Mincho"/>
          <w:i/>
          <w:lang w:val="en-US" w:eastAsia="ja-JP"/>
        </w:rPr>
        <w:t>Subject to approval from the competent authority, explosive articles that are assigned a specific UN</w:t>
      </w:r>
      <w:r>
        <w:rPr>
          <w:rFonts w:eastAsia="MS Mincho"/>
          <w:i/>
          <w:lang w:val="en-US" w:eastAsia="ja-JP"/>
        </w:rPr>
        <w:t xml:space="preserve"> </w:t>
      </w:r>
      <w:r w:rsidRPr="00185061">
        <w:rPr>
          <w:rFonts w:eastAsia="MS Mincho"/>
          <w:i/>
          <w:lang w:val="en-US" w:eastAsia="ja-JP"/>
        </w:rPr>
        <w:t xml:space="preserve">number in division 6.1 within Class 6 or in Class 8 may be classified in the GHS hazard class and, where available, category corresponding to the transport </w:t>
      </w:r>
      <w:r w:rsidRPr="00185061">
        <w:rPr>
          <w:rFonts w:eastAsia="MS Mincho"/>
          <w:i/>
          <w:lang w:val="en-US" w:eastAsia="ja-JP"/>
        </w:rPr>
        <w:lastRenderedPageBreak/>
        <w:t>classification, and excluded from the hazard class explosives, provided that conditions (a) to (c) of 2.1.1.2.3.1 are met.</w:t>
      </w:r>
    </w:p>
    <w:p w14:paraId="015030B2" w14:textId="77777777" w:rsidR="00756C6C" w:rsidRPr="0075691D" w:rsidRDefault="00756C6C" w:rsidP="00D66281">
      <w:pPr>
        <w:pStyle w:val="SingleTxtG"/>
        <w:rPr>
          <w:rFonts w:eastAsia="MS Mincho"/>
          <w:iCs/>
          <w:lang w:val="en-US" w:eastAsia="ja-JP"/>
        </w:rPr>
      </w:pPr>
      <w:r w:rsidRPr="00185061">
        <w:rPr>
          <w:rFonts w:eastAsia="MS Mincho"/>
          <w:b/>
          <w:i/>
          <w:lang w:val="en-US" w:eastAsia="ja-JP"/>
        </w:rPr>
        <w:t>NOTE</w:t>
      </w:r>
      <w:r>
        <w:rPr>
          <w:rFonts w:eastAsia="MS Mincho"/>
          <w:b/>
          <w:i/>
          <w:lang w:val="en-US" w:eastAsia="ja-JP"/>
        </w:rPr>
        <w:t xml:space="preserve"> 2</w:t>
      </w:r>
      <w:r w:rsidRPr="00185061">
        <w:rPr>
          <w:rFonts w:eastAsia="MS Mincho"/>
          <w:b/>
          <w:i/>
          <w:lang w:val="en-US" w:eastAsia="ja-JP"/>
        </w:rPr>
        <w:t xml:space="preserve">: </w:t>
      </w:r>
      <w:r w:rsidRPr="00A23BB8">
        <w:rPr>
          <w:rFonts w:eastAsia="MS Mincho"/>
          <w:i/>
          <w:lang w:val="en-US" w:eastAsia="ja-JP"/>
        </w:rPr>
        <w:t xml:space="preserve">According to the UN Model Regulations, articles are normally not assigned packing groups and hence a category within the corresponding GHS hazard class cannot always be assigned on this basis. Expert judgement should be used to assign an appropriate category in these cases, taking into account the GHS classification of the substances or </w:t>
      </w:r>
      <w:r w:rsidRPr="0075691D">
        <w:rPr>
          <w:rFonts w:eastAsia="MS Mincho"/>
          <w:i/>
          <w:lang w:val="en-US" w:eastAsia="ja-JP"/>
        </w:rPr>
        <w:t>mixtures contained.</w:t>
      </w:r>
      <w:r w:rsidRPr="0075691D">
        <w:rPr>
          <w:rFonts w:eastAsia="MS Mincho"/>
          <w:iCs/>
          <w:lang w:val="en-US" w:eastAsia="ja-JP"/>
        </w:rPr>
        <w:t>”</w:t>
      </w:r>
    </w:p>
    <w:p w14:paraId="7C68E005" w14:textId="655777F0" w:rsidR="00756C6C" w:rsidRPr="0075691D" w:rsidRDefault="00756C6C" w:rsidP="00162116">
      <w:pPr>
        <w:pStyle w:val="SingleTxtG"/>
        <w:rPr>
          <w:rFonts w:eastAsia="Times New Roman"/>
          <w:i/>
          <w:iCs/>
          <w:lang w:eastAsia="en-US"/>
        </w:rPr>
      </w:pPr>
      <w:r w:rsidRPr="0075691D">
        <w:rPr>
          <w:rFonts w:eastAsia="Times New Roman"/>
          <w:i/>
          <w:iCs/>
          <w:lang w:eastAsia="en-US"/>
        </w:rPr>
        <w:t>(Reference document</w:t>
      </w:r>
      <w:r w:rsidR="00DC6860">
        <w:rPr>
          <w:rFonts w:eastAsia="Times New Roman"/>
          <w:i/>
          <w:iCs/>
          <w:lang w:eastAsia="en-US"/>
        </w:rPr>
        <w:t>s</w:t>
      </w:r>
      <w:r w:rsidRPr="0075691D">
        <w:rPr>
          <w:rFonts w:eastAsia="Times New Roman"/>
          <w:i/>
          <w:iCs/>
          <w:lang w:eastAsia="en-US"/>
        </w:rPr>
        <w:t>: informal documents INF.29 and INF.30)</w:t>
      </w:r>
    </w:p>
    <w:p w14:paraId="73D8E245" w14:textId="77777777" w:rsidR="0083051A" w:rsidRPr="00D66281" w:rsidRDefault="0083051A" w:rsidP="0083051A">
      <w:pPr>
        <w:pStyle w:val="SingleTxtG"/>
        <w:rPr>
          <w:lang w:eastAsia="en-US"/>
        </w:rPr>
      </w:pPr>
      <w:r w:rsidRPr="00D66281">
        <w:rPr>
          <w:lang w:eastAsia="en-US"/>
        </w:rPr>
        <w:t>2.1.1.3.4</w:t>
      </w:r>
      <w:r w:rsidRPr="00D66281">
        <w:rPr>
          <w:lang w:eastAsia="en-US"/>
        </w:rPr>
        <w:tab/>
        <w:t>In the second sentence, replace “no longer retains” with “may no longer retain”.</w:t>
      </w:r>
    </w:p>
    <w:p w14:paraId="626D70D1" w14:textId="77777777" w:rsidR="0083051A" w:rsidRPr="0075691D" w:rsidRDefault="0083051A" w:rsidP="0083051A">
      <w:pPr>
        <w:pStyle w:val="SingleTxtG"/>
        <w:rPr>
          <w:lang w:eastAsia="en-US"/>
        </w:rPr>
      </w:pPr>
      <w:r w:rsidRPr="00D66281">
        <w:rPr>
          <w:lang w:eastAsia="en-US"/>
        </w:rPr>
        <w:tab/>
      </w:r>
      <w:r w:rsidRPr="00D66281">
        <w:rPr>
          <w:rFonts w:eastAsia="Times New Roman"/>
          <w:i/>
          <w:iCs/>
          <w:lang w:eastAsia="en-US"/>
        </w:rPr>
        <w:t>(Reference document: Report of the Working Group on Explosives INF.38, paragraph 13 (TDG Sub-Committee, 57</w:t>
      </w:r>
      <w:r w:rsidRPr="00D66281">
        <w:rPr>
          <w:rFonts w:eastAsia="Times New Roman"/>
          <w:i/>
          <w:iCs/>
          <w:vertAlign w:val="superscript"/>
          <w:lang w:eastAsia="en-US"/>
        </w:rPr>
        <w:t>th</w:t>
      </w:r>
      <w:r w:rsidRPr="00D66281">
        <w:rPr>
          <w:rFonts w:eastAsia="Times New Roman"/>
          <w:i/>
          <w:iCs/>
          <w:lang w:eastAsia="en-US"/>
        </w:rPr>
        <w:t xml:space="preserve"> session)</w:t>
      </w:r>
      <w:r w:rsidRPr="0075691D">
        <w:rPr>
          <w:rFonts w:eastAsia="Times New Roman"/>
          <w:i/>
          <w:iCs/>
          <w:lang w:eastAsia="en-US"/>
        </w:rPr>
        <w:t>)</w:t>
      </w:r>
    </w:p>
    <w:p w14:paraId="63C06B82" w14:textId="3805B1D1" w:rsidR="00DE1882" w:rsidRPr="00D66281" w:rsidRDefault="00CE6C00">
      <w:pPr>
        <w:pStyle w:val="SingleTxtG"/>
      </w:pPr>
      <w:r w:rsidRPr="00D66281">
        <w:t>2.1.2.1</w:t>
      </w:r>
      <w:r w:rsidRPr="0075691D">
        <w:tab/>
      </w:r>
      <w:r w:rsidRPr="0075691D">
        <w:tab/>
        <w:t>In the criteria for Category 1</w:t>
      </w:r>
      <w:r w:rsidR="004D3226" w:rsidRPr="0075691D">
        <w:t>,</w:t>
      </w:r>
      <w:r w:rsidR="00E02EA4" w:rsidRPr="0075691D">
        <w:t xml:space="preserve"> under </w:t>
      </w:r>
      <w:r w:rsidRPr="0075691D">
        <w:t>(a) (</w:t>
      </w:r>
      <w:r w:rsidR="00E02EA4" w:rsidRPr="0075691D">
        <w:t>ii)</w:t>
      </w:r>
      <w:r w:rsidR="003526D2" w:rsidRPr="0075691D">
        <w:t>, replace “</w:t>
      </w:r>
      <w:r w:rsidR="004A5171" w:rsidRPr="0075691D">
        <w:t>positive effects” with “positive results”.</w:t>
      </w:r>
    </w:p>
    <w:p w14:paraId="7B4821C6" w14:textId="3FA3C0B2" w:rsidR="00DE1882" w:rsidRPr="00D66281" w:rsidRDefault="004A5171" w:rsidP="00D66281">
      <w:pPr>
        <w:pStyle w:val="SingleTxtG"/>
        <w:rPr>
          <w:rFonts w:eastAsia="Times New Roman"/>
          <w:lang w:eastAsia="en-US"/>
        </w:rPr>
      </w:pPr>
      <w:r w:rsidRPr="003D6A71">
        <w:rPr>
          <w:lang w:eastAsia="en-US"/>
        </w:rPr>
        <w:tab/>
      </w:r>
      <w:r w:rsidRPr="003D6A71">
        <w:rPr>
          <w:rFonts w:eastAsia="Times New Roman"/>
          <w:i/>
          <w:iCs/>
          <w:lang w:eastAsia="en-US"/>
        </w:rPr>
        <w:t>(Reference document: Report of the Working Group on Explosives INF.38, paragraph 13 (TDG Sub-Committee, 57</w:t>
      </w:r>
      <w:r w:rsidRPr="003D6A71">
        <w:rPr>
          <w:rFonts w:eastAsia="Times New Roman"/>
          <w:i/>
          <w:iCs/>
          <w:vertAlign w:val="superscript"/>
          <w:lang w:eastAsia="en-US"/>
        </w:rPr>
        <w:t>th</w:t>
      </w:r>
      <w:r w:rsidRPr="003D6A71">
        <w:rPr>
          <w:rFonts w:eastAsia="Times New Roman"/>
          <w:i/>
          <w:iCs/>
          <w:lang w:eastAsia="en-US"/>
        </w:rPr>
        <w:t xml:space="preserve"> session)</w:t>
      </w:r>
    </w:p>
    <w:p w14:paraId="7343CFA5" w14:textId="5DCCA291" w:rsidR="00756C6C" w:rsidRPr="00D66281" w:rsidRDefault="00756C6C" w:rsidP="00D66281">
      <w:pPr>
        <w:pStyle w:val="H23G"/>
        <w:rPr>
          <w:b w:val="0"/>
          <w:lang w:eastAsia="en-US"/>
        </w:rPr>
      </w:pPr>
      <w:r w:rsidRPr="00D66281">
        <w:rPr>
          <w:lang w:eastAsia="en-US"/>
        </w:rPr>
        <w:tab/>
      </w:r>
      <w:r w:rsidRPr="00D66281">
        <w:rPr>
          <w:lang w:eastAsia="en-US"/>
        </w:rPr>
        <w:tab/>
        <w:t>Document ST/SG/AC.10/C.4/2020/18</w:t>
      </w:r>
      <w:r w:rsidR="00ED3D9A">
        <w:rPr>
          <w:lang w:eastAsia="en-US"/>
        </w:rPr>
        <w:t xml:space="preserve">, </w:t>
      </w:r>
      <w:r w:rsidRPr="00D66281">
        <w:rPr>
          <w:lang w:eastAsia="en-US"/>
        </w:rPr>
        <w:t>adopted with the following modifications:</w:t>
      </w:r>
    </w:p>
    <w:p w14:paraId="0B81EFFF" w14:textId="21BA1F79" w:rsidR="00756C6C" w:rsidRDefault="00756C6C" w:rsidP="00756C6C">
      <w:pPr>
        <w:pStyle w:val="SingleTxtG"/>
        <w:rPr>
          <w:lang w:eastAsia="en-US"/>
        </w:rPr>
      </w:pPr>
      <w:r>
        <w:rPr>
          <w:lang w:eastAsia="en-US"/>
        </w:rPr>
        <w:t xml:space="preserve">In </w:t>
      </w:r>
      <w:r w:rsidR="002E2177">
        <w:rPr>
          <w:lang w:eastAsia="en-US"/>
        </w:rPr>
        <w:t>d</w:t>
      </w:r>
      <w:r>
        <w:rPr>
          <w:lang w:eastAsia="en-US"/>
        </w:rPr>
        <w:t>ecision logic 2.1 (a):</w:t>
      </w:r>
    </w:p>
    <w:p w14:paraId="12E0B147" w14:textId="77777777" w:rsidR="00756C6C" w:rsidRDefault="00756C6C" w:rsidP="002E2177">
      <w:pPr>
        <w:pStyle w:val="SingleTxtG"/>
        <w:ind w:left="1560"/>
        <w:rPr>
          <w:lang w:eastAsia="en-US"/>
        </w:rPr>
      </w:pPr>
      <w:r>
        <w:rPr>
          <w:lang w:eastAsia="en-US"/>
        </w:rPr>
        <w:t>Amend the text in box 2B to read “Is it in the primary packaging to which a division was assigned?”.</w:t>
      </w:r>
    </w:p>
    <w:p w14:paraId="50FDA7A4" w14:textId="77777777" w:rsidR="00756C6C" w:rsidRDefault="00756C6C" w:rsidP="002E2177">
      <w:pPr>
        <w:pStyle w:val="SingleTxtG"/>
        <w:ind w:left="1560"/>
      </w:pPr>
      <w:r>
        <w:rPr>
          <w:lang w:eastAsia="en-US"/>
        </w:rPr>
        <w:t xml:space="preserve">Amend the text in box 3B to read </w:t>
      </w:r>
      <w:r>
        <w:t>“</w:t>
      </w:r>
      <w:r w:rsidRPr="00B50220">
        <w:t xml:space="preserve">Is it an explosive article </w:t>
      </w:r>
      <w:r>
        <w:t xml:space="preserve">where the division has been assigned </w:t>
      </w:r>
      <w:r w:rsidRPr="00B50220">
        <w:t>(i) in a primary packaging that does not attenuate the explosive effect or (ii) without a primary packaging?</w:t>
      </w:r>
      <w:r>
        <w:t>”.</w:t>
      </w:r>
    </w:p>
    <w:p w14:paraId="2E1516EC" w14:textId="77777777" w:rsidR="00756C6C" w:rsidRDefault="00756C6C" w:rsidP="002E2177">
      <w:pPr>
        <w:pStyle w:val="SingleTxtG"/>
        <w:ind w:left="1560"/>
      </w:pPr>
      <w:r>
        <w:t>On the arrow from box 3B to box 2C, replace “No” by “Yes”.</w:t>
      </w:r>
    </w:p>
    <w:p w14:paraId="7A1D1520" w14:textId="77777777" w:rsidR="00756C6C" w:rsidRPr="00343D0C" w:rsidRDefault="00756C6C" w:rsidP="002E2177">
      <w:pPr>
        <w:pStyle w:val="SingleTxtG"/>
        <w:ind w:left="1560"/>
        <w:rPr>
          <w:lang w:eastAsia="en-US"/>
        </w:rPr>
      </w:pPr>
      <w:r>
        <w:t>On the arrow from box 3B to box 4C, replace “Yes” by “No”.</w:t>
      </w:r>
    </w:p>
    <w:p w14:paraId="48C07212" w14:textId="67A11996" w:rsidR="00756C6C" w:rsidRDefault="00756C6C" w:rsidP="00756C6C">
      <w:pPr>
        <w:kinsoku/>
        <w:overflowPunct/>
        <w:autoSpaceDE/>
        <w:autoSpaceDN/>
        <w:adjustRightInd/>
        <w:snapToGrid/>
        <w:spacing w:after="120"/>
        <w:ind w:left="1134" w:right="1134"/>
        <w:jc w:val="both"/>
        <w:rPr>
          <w:rFonts w:eastAsia="Times New Roman"/>
          <w:i/>
          <w:iCs/>
          <w:lang w:eastAsia="en-US"/>
        </w:rPr>
      </w:pPr>
      <w:r w:rsidRPr="00343D0C">
        <w:rPr>
          <w:rFonts w:eastAsia="Times New Roman"/>
          <w:i/>
          <w:iCs/>
          <w:lang w:eastAsia="en-US"/>
        </w:rPr>
        <w:t>(Reference document</w:t>
      </w:r>
      <w:r w:rsidR="00DC6860">
        <w:rPr>
          <w:rFonts w:eastAsia="Times New Roman"/>
          <w:i/>
          <w:iCs/>
          <w:lang w:eastAsia="en-US"/>
        </w:rPr>
        <w:t>s</w:t>
      </w:r>
      <w:r w:rsidRPr="00343D0C">
        <w:rPr>
          <w:rFonts w:eastAsia="Times New Roman"/>
          <w:i/>
          <w:iCs/>
          <w:lang w:eastAsia="en-US"/>
        </w:rPr>
        <w:t>: informal document</w:t>
      </w:r>
      <w:r>
        <w:rPr>
          <w:rFonts w:eastAsia="Times New Roman"/>
          <w:i/>
          <w:iCs/>
          <w:lang w:eastAsia="en-US"/>
        </w:rPr>
        <w:t>s</w:t>
      </w:r>
      <w:r w:rsidRPr="00343D0C">
        <w:rPr>
          <w:rFonts w:eastAsia="Times New Roman"/>
          <w:i/>
          <w:iCs/>
          <w:lang w:eastAsia="en-US"/>
        </w:rPr>
        <w:t xml:space="preserve"> </w:t>
      </w:r>
      <w:r w:rsidRPr="007E4353">
        <w:rPr>
          <w:rFonts w:eastAsia="Times New Roman"/>
          <w:i/>
          <w:iCs/>
          <w:lang w:eastAsia="en-US"/>
        </w:rPr>
        <w:t>INF.</w:t>
      </w:r>
      <w:r>
        <w:rPr>
          <w:rFonts w:eastAsia="Times New Roman"/>
          <w:i/>
          <w:iCs/>
          <w:lang w:eastAsia="en-US"/>
        </w:rPr>
        <w:t>22 and INF.30</w:t>
      </w:r>
      <w:r w:rsidRPr="00343D0C">
        <w:rPr>
          <w:rFonts w:eastAsia="Times New Roman"/>
          <w:i/>
          <w:iCs/>
          <w:lang w:eastAsia="en-US"/>
        </w:rPr>
        <w:t>)</w:t>
      </w:r>
    </w:p>
    <w:p w14:paraId="3084C940" w14:textId="504AFA6B" w:rsidR="00F034E4" w:rsidRPr="007953C4" w:rsidRDefault="00B0011F" w:rsidP="00F034E4">
      <w:pPr>
        <w:pStyle w:val="SingleTxtG"/>
      </w:pPr>
      <w:r>
        <w:rPr>
          <w:rFonts w:eastAsia="Times New Roman"/>
          <w:lang w:eastAsia="en-US"/>
        </w:rPr>
        <w:tab/>
      </w:r>
      <w:r>
        <w:rPr>
          <w:rFonts w:eastAsia="Times New Roman"/>
          <w:lang w:eastAsia="en-US"/>
        </w:rPr>
        <w:tab/>
      </w:r>
      <w:r w:rsidR="00F034E4">
        <w:rPr>
          <w:rFonts w:eastAsia="Times New Roman"/>
          <w:lang w:eastAsia="en-US"/>
        </w:rPr>
        <w:t xml:space="preserve">In box 5A, replace </w:t>
      </w:r>
      <w:r w:rsidR="00F034E4">
        <w:t>“positive effects” with “positive results”.</w:t>
      </w:r>
    </w:p>
    <w:p w14:paraId="71295BB6" w14:textId="77777777" w:rsidR="00F034E4" w:rsidRPr="007953C4" w:rsidRDefault="00F034E4" w:rsidP="00F034E4">
      <w:pPr>
        <w:pStyle w:val="SingleTxtG"/>
        <w:rPr>
          <w:rFonts w:eastAsia="Times New Roman"/>
          <w:lang w:eastAsia="en-US"/>
        </w:rPr>
      </w:pPr>
      <w:r w:rsidRPr="003D6A71">
        <w:rPr>
          <w:lang w:eastAsia="en-US"/>
        </w:rPr>
        <w:tab/>
      </w:r>
      <w:r w:rsidRPr="003D6A71">
        <w:rPr>
          <w:rFonts w:eastAsia="Times New Roman"/>
          <w:i/>
          <w:iCs/>
          <w:lang w:eastAsia="en-US"/>
        </w:rPr>
        <w:t>(Reference document: Report of the Working Group on Explosives INF.38, paragraph 13 (TDG Sub-Committee, 57</w:t>
      </w:r>
      <w:r w:rsidRPr="003D6A71">
        <w:rPr>
          <w:rFonts w:eastAsia="Times New Roman"/>
          <w:i/>
          <w:iCs/>
          <w:vertAlign w:val="superscript"/>
          <w:lang w:eastAsia="en-US"/>
        </w:rPr>
        <w:t>th</w:t>
      </w:r>
      <w:r w:rsidRPr="003D6A71">
        <w:rPr>
          <w:rFonts w:eastAsia="Times New Roman"/>
          <w:i/>
          <w:iCs/>
          <w:lang w:eastAsia="en-US"/>
        </w:rPr>
        <w:t xml:space="preserve"> session)</w:t>
      </w:r>
    </w:p>
    <w:p w14:paraId="19E509B6" w14:textId="12F91231" w:rsidR="00756C6C" w:rsidRDefault="00756C6C" w:rsidP="00756C6C">
      <w:pPr>
        <w:pStyle w:val="SingleTxtG"/>
        <w:rPr>
          <w:lang w:eastAsia="en-US"/>
        </w:rPr>
      </w:pPr>
      <w:r>
        <w:rPr>
          <w:lang w:eastAsia="en-US"/>
        </w:rPr>
        <w:t xml:space="preserve">In </w:t>
      </w:r>
      <w:r w:rsidR="002E2177">
        <w:rPr>
          <w:lang w:eastAsia="en-US"/>
        </w:rPr>
        <w:t>d</w:t>
      </w:r>
      <w:r>
        <w:rPr>
          <w:lang w:eastAsia="en-US"/>
        </w:rPr>
        <w:t>ecision logic 2.1 (b):</w:t>
      </w:r>
    </w:p>
    <w:p w14:paraId="02B2578C" w14:textId="77777777" w:rsidR="00756C6C" w:rsidRDefault="00756C6C" w:rsidP="002E2177">
      <w:pPr>
        <w:pStyle w:val="SingleTxtG"/>
        <w:ind w:left="1560"/>
        <w:rPr>
          <w:lang w:eastAsia="en-US"/>
        </w:rPr>
      </w:pPr>
      <w:r>
        <w:rPr>
          <w:lang w:eastAsia="en-US"/>
        </w:rPr>
        <w:t>Amend table note a to read as follows:</w:t>
      </w:r>
    </w:p>
    <w:p w14:paraId="0ED553D4" w14:textId="77777777" w:rsidR="00756C6C" w:rsidRDefault="00756C6C" w:rsidP="002E2177">
      <w:pPr>
        <w:pStyle w:val="SingleTxtG"/>
        <w:ind w:left="1560"/>
        <w:rPr>
          <w:lang w:eastAsia="en-US"/>
        </w:rPr>
      </w:pPr>
      <w:r>
        <w:rPr>
          <w:lang w:eastAsia="en-US"/>
        </w:rPr>
        <w:t>“</w:t>
      </w:r>
      <w:r w:rsidRPr="00764304">
        <w:rPr>
          <w:b/>
          <w:bCs/>
          <w:vertAlign w:val="superscript"/>
          <w:lang w:eastAsia="en-US"/>
        </w:rPr>
        <w:t>a</w:t>
      </w:r>
      <w:r>
        <w:rPr>
          <w:lang w:eastAsia="en-US"/>
        </w:rPr>
        <w:tab/>
      </w:r>
      <w:r w:rsidRPr="006C593F">
        <w:rPr>
          <w:lang w:eastAsia="en-US"/>
        </w:rPr>
        <w:t>In the absence of results from test 6 (a) or 6 (b), results from test 6 (d) may be used to assess whether there was a high hazard event, see 2.1.2.1. If the configuration includes attenuating features that are likely to mitigate a high hazard event, such as spacing or a specific orientation of explosive articles, Sub-category 2A may be assigned without the need to assess test data.</w:t>
      </w:r>
      <w:r>
        <w:rPr>
          <w:lang w:eastAsia="en-US"/>
        </w:rPr>
        <w:t>”</w:t>
      </w:r>
    </w:p>
    <w:p w14:paraId="28FDA7D0" w14:textId="2A5F82CF" w:rsidR="00756C6C" w:rsidRDefault="00756C6C" w:rsidP="00756C6C">
      <w:pPr>
        <w:kinsoku/>
        <w:overflowPunct/>
        <w:autoSpaceDE/>
        <w:autoSpaceDN/>
        <w:adjustRightInd/>
        <w:snapToGrid/>
        <w:spacing w:after="120"/>
        <w:ind w:left="1134" w:right="1134"/>
        <w:jc w:val="both"/>
        <w:rPr>
          <w:rFonts w:eastAsia="Times New Roman"/>
          <w:i/>
          <w:iCs/>
          <w:lang w:eastAsia="en-US"/>
        </w:rPr>
      </w:pPr>
      <w:r w:rsidRPr="00343D0C">
        <w:rPr>
          <w:rFonts w:eastAsia="Times New Roman"/>
          <w:i/>
          <w:iCs/>
          <w:lang w:eastAsia="en-US"/>
        </w:rPr>
        <w:t>(Reference document</w:t>
      </w:r>
      <w:r w:rsidR="00DC6860">
        <w:rPr>
          <w:rFonts w:eastAsia="Times New Roman"/>
          <w:i/>
          <w:iCs/>
          <w:lang w:eastAsia="en-US"/>
        </w:rPr>
        <w:t>s</w:t>
      </w:r>
      <w:r w:rsidRPr="00343D0C">
        <w:rPr>
          <w:rFonts w:eastAsia="Times New Roman"/>
          <w:i/>
          <w:iCs/>
          <w:lang w:eastAsia="en-US"/>
        </w:rPr>
        <w:t>: informal document</w:t>
      </w:r>
      <w:r>
        <w:rPr>
          <w:rFonts w:eastAsia="Times New Roman"/>
          <w:i/>
          <w:iCs/>
          <w:lang w:eastAsia="en-US"/>
        </w:rPr>
        <w:t>s</w:t>
      </w:r>
      <w:r w:rsidRPr="00343D0C">
        <w:rPr>
          <w:rFonts w:eastAsia="Times New Roman"/>
          <w:i/>
          <w:iCs/>
          <w:lang w:eastAsia="en-US"/>
        </w:rPr>
        <w:t xml:space="preserve"> </w:t>
      </w:r>
      <w:r w:rsidRPr="007E4353">
        <w:rPr>
          <w:rFonts w:eastAsia="Times New Roman"/>
          <w:i/>
          <w:iCs/>
          <w:lang w:eastAsia="en-US"/>
        </w:rPr>
        <w:t>INF.</w:t>
      </w:r>
      <w:r>
        <w:rPr>
          <w:rFonts w:eastAsia="Times New Roman"/>
          <w:i/>
          <w:iCs/>
          <w:lang w:eastAsia="en-US"/>
        </w:rPr>
        <w:t>25 and INF.30</w:t>
      </w:r>
      <w:r w:rsidRPr="00343D0C">
        <w:rPr>
          <w:rFonts w:eastAsia="Times New Roman"/>
          <w:i/>
          <w:iCs/>
          <w:lang w:eastAsia="en-US"/>
        </w:rPr>
        <w:t>)</w:t>
      </w:r>
    </w:p>
    <w:p w14:paraId="261B9F18" w14:textId="0E858419" w:rsidR="00756C6C" w:rsidRDefault="00756C6C" w:rsidP="00D66281">
      <w:pPr>
        <w:pStyle w:val="H23G"/>
        <w:rPr>
          <w:lang w:eastAsia="en-US"/>
        </w:rPr>
      </w:pPr>
      <w:r w:rsidRPr="00343D0C">
        <w:rPr>
          <w:lang w:eastAsia="en-US"/>
        </w:rPr>
        <w:tab/>
      </w:r>
      <w:r w:rsidRPr="00343D0C">
        <w:rPr>
          <w:lang w:eastAsia="en-US"/>
        </w:rPr>
        <w:tab/>
      </w:r>
      <w:r>
        <w:rPr>
          <w:lang w:eastAsia="en-US"/>
        </w:rPr>
        <w:t xml:space="preserve">Documents </w:t>
      </w:r>
      <w:r w:rsidRPr="004C044A">
        <w:rPr>
          <w:lang w:eastAsia="en-US"/>
        </w:rPr>
        <w:t>ST/SG/AC.10/C.4/2020/</w:t>
      </w:r>
      <w:r>
        <w:rPr>
          <w:lang w:eastAsia="en-US"/>
        </w:rPr>
        <w:t>8</w:t>
      </w:r>
      <w:r w:rsidRPr="004C044A">
        <w:rPr>
          <w:lang w:eastAsia="en-US"/>
        </w:rPr>
        <w:t xml:space="preserve"> and</w:t>
      </w:r>
      <w:r>
        <w:rPr>
          <w:lang w:eastAsia="en-US"/>
        </w:rPr>
        <w:t xml:space="preserve"> </w:t>
      </w:r>
      <w:r w:rsidRPr="004C044A">
        <w:rPr>
          <w:lang w:eastAsia="en-US"/>
        </w:rPr>
        <w:t>ST/SG/AC.10/C.4/2020/</w:t>
      </w:r>
      <w:r>
        <w:rPr>
          <w:lang w:eastAsia="en-US"/>
        </w:rPr>
        <w:t>8</w:t>
      </w:r>
      <w:r w:rsidRPr="004C044A">
        <w:rPr>
          <w:lang w:eastAsia="en-US"/>
        </w:rPr>
        <w:t>/Add.1</w:t>
      </w:r>
      <w:r w:rsidR="00ED3D9A">
        <w:rPr>
          <w:lang w:eastAsia="en-US"/>
        </w:rPr>
        <w:t xml:space="preserve">, </w:t>
      </w:r>
      <w:r w:rsidRPr="00343D0C">
        <w:rPr>
          <w:lang w:eastAsia="en-US"/>
        </w:rPr>
        <w:t>adopted</w:t>
      </w:r>
      <w:r>
        <w:rPr>
          <w:lang w:eastAsia="en-US"/>
        </w:rPr>
        <w:t xml:space="preserve"> with the following additional amendment:</w:t>
      </w:r>
    </w:p>
    <w:p w14:paraId="0CB32EF8" w14:textId="59C5BE93" w:rsidR="00756C6C" w:rsidRDefault="00756C6C" w:rsidP="00756C6C">
      <w:pPr>
        <w:pStyle w:val="SingleTxtG"/>
        <w:rPr>
          <w:lang w:eastAsia="en-US"/>
        </w:rPr>
      </w:pPr>
      <w:r>
        <w:rPr>
          <w:lang w:eastAsia="en-US"/>
        </w:rPr>
        <w:t xml:space="preserve">In the new row for P236 in </w:t>
      </w:r>
      <w:r w:rsidRPr="00B90FC5">
        <w:rPr>
          <w:lang w:eastAsia="en-US"/>
        </w:rPr>
        <w:t>ST/SG/AC.10/C.4/2020/8/Add.1</w:t>
      </w:r>
      <w:r>
        <w:rPr>
          <w:lang w:eastAsia="en-US"/>
        </w:rPr>
        <w:t>, in column (5), before “</w:t>
      </w:r>
      <w:r w:rsidRPr="00565F6B">
        <w:rPr>
          <w:i/>
          <w:iCs/>
          <w:lang w:eastAsia="en-US"/>
        </w:rPr>
        <w:t>May be omitted for single packaging</w:t>
      </w:r>
      <w:r w:rsidR="00920414">
        <w:rPr>
          <w:i/>
          <w:iCs/>
          <w:lang w:eastAsia="en-US"/>
        </w:rPr>
        <w:t>s</w:t>
      </w:r>
      <w:r w:rsidRPr="00565F6B">
        <w:rPr>
          <w:i/>
          <w:iCs/>
          <w:lang w:eastAsia="en-US"/>
        </w:rPr>
        <w:t xml:space="preserve"> </w:t>
      </w:r>
      <w:r w:rsidR="00920414">
        <w:rPr>
          <w:i/>
          <w:iCs/>
          <w:lang w:eastAsia="en-US"/>
        </w:rPr>
        <w:t>…</w:t>
      </w:r>
      <w:r w:rsidRPr="00565F6B">
        <w:rPr>
          <w:i/>
          <w:iCs/>
          <w:lang w:eastAsia="en-US"/>
        </w:rPr>
        <w:t xml:space="preserve"> (within Class 1) appears.</w:t>
      </w:r>
      <w:r>
        <w:rPr>
          <w:lang w:eastAsia="en-US"/>
        </w:rPr>
        <w:t>”, add:</w:t>
      </w:r>
    </w:p>
    <w:p w14:paraId="511D8C00" w14:textId="122CEEBD" w:rsidR="00756C6C" w:rsidRDefault="00756C6C" w:rsidP="00756C6C">
      <w:pPr>
        <w:pStyle w:val="SingleTxtG"/>
        <w:rPr>
          <w:lang w:eastAsia="en-US"/>
        </w:rPr>
      </w:pPr>
      <w:r>
        <w:rPr>
          <w:lang w:eastAsia="en-US"/>
        </w:rPr>
        <w:t>“</w:t>
      </w:r>
      <w:r>
        <w:rPr>
          <w:i/>
          <w:iCs/>
          <w:lang w:eastAsia="en-US"/>
        </w:rPr>
        <w:t>T</w:t>
      </w:r>
      <w:r w:rsidRPr="00C34E10">
        <w:rPr>
          <w:i/>
          <w:iCs/>
          <w:lang w:eastAsia="en-US"/>
        </w:rPr>
        <w:t>o be applied for explosives assigned a division within Class 1 for transport</w:t>
      </w:r>
      <w:r w:rsidRPr="00B90FC5">
        <w:rPr>
          <w:lang w:eastAsia="en-US"/>
        </w:rPr>
        <w:t>.</w:t>
      </w:r>
      <w:r>
        <w:rPr>
          <w:lang w:eastAsia="en-US"/>
        </w:rPr>
        <w:t>”</w:t>
      </w:r>
    </w:p>
    <w:p w14:paraId="7590C6C5" w14:textId="60CF7A43" w:rsidR="00756C6C" w:rsidRPr="001F6C71" w:rsidRDefault="00756C6C" w:rsidP="00D66281">
      <w:pPr>
        <w:pStyle w:val="H23G"/>
        <w:rPr>
          <w:lang w:eastAsia="en-US"/>
        </w:rPr>
      </w:pPr>
      <w:r w:rsidRPr="001F6C71">
        <w:rPr>
          <w:lang w:eastAsia="en-US"/>
        </w:rPr>
        <w:lastRenderedPageBreak/>
        <w:tab/>
      </w:r>
      <w:r w:rsidRPr="001F6C71">
        <w:rPr>
          <w:lang w:eastAsia="en-US"/>
        </w:rPr>
        <w:tab/>
        <w:t xml:space="preserve">Document ST/SG/AC.10/C.4/2020/10, </w:t>
      </w:r>
      <w:r w:rsidR="004D622F">
        <w:rPr>
          <w:lang w:eastAsia="en-US"/>
        </w:rPr>
        <w:t xml:space="preserve">proposal in </w:t>
      </w:r>
      <w:r w:rsidR="002E2177">
        <w:rPr>
          <w:lang w:eastAsia="en-US"/>
        </w:rPr>
        <w:t>paragraph</w:t>
      </w:r>
      <w:r w:rsidRPr="001F6C71">
        <w:rPr>
          <w:lang w:eastAsia="en-US"/>
        </w:rPr>
        <w:t xml:space="preserve"> 7</w:t>
      </w:r>
      <w:r w:rsidR="002E2177">
        <w:rPr>
          <w:lang w:eastAsia="en-US"/>
        </w:rPr>
        <w:t>:</w:t>
      </w:r>
      <w:r w:rsidRPr="001F6C71">
        <w:rPr>
          <w:lang w:eastAsia="en-US"/>
        </w:rPr>
        <w:t xml:space="preserve"> adopted.</w:t>
      </w:r>
    </w:p>
    <w:p w14:paraId="4E266D8D" w14:textId="0F9F8417" w:rsidR="00756C6C" w:rsidRPr="001F6C71" w:rsidRDefault="00756C6C" w:rsidP="00D66281">
      <w:pPr>
        <w:pStyle w:val="H23G"/>
        <w:rPr>
          <w:lang w:eastAsia="en-US"/>
        </w:rPr>
      </w:pPr>
      <w:r w:rsidRPr="00343D0C">
        <w:rPr>
          <w:lang w:eastAsia="en-US"/>
        </w:rPr>
        <w:tab/>
      </w:r>
      <w:r w:rsidRPr="00343D0C">
        <w:rPr>
          <w:lang w:eastAsia="en-US"/>
        </w:rPr>
        <w:tab/>
      </w:r>
      <w:r>
        <w:rPr>
          <w:lang w:eastAsia="en-US"/>
        </w:rPr>
        <w:t xml:space="preserve">Document </w:t>
      </w:r>
      <w:r w:rsidRPr="004C044A">
        <w:rPr>
          <w:lang w:eastAsia="en-US"/>
        </w:rPr>
        <w:t>ST/SG/AC.10/C.4/2020/</w:t>
      </w:r>
      <w:r>
        <w:rPr>
          <w:lang w:eastAsia="en-US"/>
        </w:rPr>
        <w:t xml:space="preserve">2, proposals in </w:t>
      </w:r>
      <w:r w:rsidR="002E2177">
        <w:rPr>
          <w:lang w:eastAsia="en-US"/>
        </w:rPr>
        <w:t>paragraphs</w:t>
      </w:r>
      <w:r>
        <w:rPr>
          <w:lang w:eastAsia="en-US"/>
        </w:rPr>
        <w:t xml:space="preserve"> 5, 6, 8, 9 and 10</w:t>
      </w:r>
      <w:r w:rsidR="00ED3D9A">
        <w:rPr>
          <w:lang w:eastAsia="en-US"/>
        </w:rPr>
        <w:t xml:space="preserve">, </w:t>
      </w:r>
      <w:r w:rsidRPr="00343D0C">
        <w:rPr>
          <w:lang w:eastAsia="en-US"/>
        </w:rPr>
        <w:t>adopted</w:t>
      </w:r>
      <w:r>
        <w:rPr>
          <w:lang w:eastAsia="en-US"/>
        </w:rPr>
        <w:t>.</w:t>
      </w:r>
    </w:p>
    <w:p w14:paraId="334588F9" w14:textId="5CD5B40C" w:rsidR="00756C6C" w:rsidRDefault="00756C6C" w:rsidP="00D66281">
      <w:pPr>
        <w:pStyle w:val="H23G"/>
        <w:rPr>
          <w:lang w:eastAsia="en-US"/>
        </w:rPr>
      </w:pPr>
      <w:r w:rsidRPr="00343D0C">
        <w:rPr>
          <w:lang w:eastAsia="en-US"/>
        </w:rPr>
        <w:tab/>
      </w:r>
      <w:r w:rsidRPr="00343D0C">
        <w:rPr>
          <w:lang w:eastAsia="en-US"/>
        </w:rPr>
        <w:tab/>
      </w:r>
      <w:r>
        <w:rPr>
          <w:lang w:eastAsia="en-US"/>
        </w:rPr>
        <w:t xml:space="preserve">Document </w:t>
      </w:r>
      <w:r w:rsidRPr="004C044A">
        <w:rPr>
          <w:lang w:eastAsia="en-US"/>
        </w:rPr>
        <w:t>ST/SG/AC.10/C.4/2020/</w:t>
      </w:r>
      <w:r>
        <w:rPr>
          <w:lang w:eastAsia="en-US"/>
        </w:rPr>
        <w:t>11</w:t>
      </w:r>
      <w:r w:rsidR="00ED3D9A">
        <w:rPr>
          <w:lang w:eastAsia="en-US"/>
        </w:rPr>
        <w:t xml:space="preserve">, </w:t>
      </w:r>
      <w:r>
        <w:rPr>
          <w:lang w:eastAsia="en-US"/>
        </w:rPr>
        <w:t>adopted with the following modification:</w:t>
      </w:r>
    </w:p>
    <w:p w14:paraId="0DA48EA1" w14:textId="77777777" w:rsidR="00756C6C" w:rsidRDefault="00756C6C" w:rsidP="00756C6C">
      <w:pPr>
        <w:pStyle w:val="SingleTxtG"/>
        <w:rPr>
          <w:lang w:eastAsia="en-US"/>
        </w:rPr>
      </w:pPr>
      <w:r>
        <w:rPr>
          <w:lang w:eastAsia="en-US"/>
        </w:rPr>
        <w:t>In proposal 2, amend the new text to be inserted at the beginning of Chapter 1.2 to read as follows:</w:t>
      </w:r>
    </w:p>
    <w:p w14:paraId="7D00659D" w14:textId="77777777" w:rsidR="00756C6C" w:rsidRDefault="00756C6C" w:rsidP="00756C6C">
      <w:pPr>
        <w:pStyle w:val="SingleTxtG"/>
        <w:rPr>
          <w:lang w:eastAsia="en-US"/>
        </w:rPr>
      </w:pPr>
      <w:r>
        <w:rPr>
          <w:lang w:eastAsia="en-US"/>
        </w:rPr>
        <w:t>“</w:t>
      </w:r>
      <w:r w:rsidRPr="00C50706">
        <w:rPr>
          <w:lang w:eastAsia="en-US"/>
        </w:rPr>
        <w:t>This Chapter provides definitions and abbreviations of general applicability that are used in the GHS. Additional definitions of the individual hazard classes and related terms are presented in the relevant chapters.</w:t>
      </w:r>
      <w:r>
        <w:rPr>
          <w:lang w:eastAsia="en-US"/>
        </w:rPr>
        <w:t>”.</w:t>
      </w:r>
    </w:p>
    <w:p w14:paraId="134741E8" w14:textId="77777777" w:rsidR="00756C6C" w:rsidRDefault="00756C6C" w:rsidP="00756C6C">
      <w:pPr>
        <w:kinsoku/>
        <w:overflowPunct/>
        <w:autoSpaceDE/>
        <w:autoSpaceDN/>
        <w:adjustRightInd/>
        <w:snapToGrid/>
        <w:spacing w:after="120"/>
        <w:ind w:left="1134" w:right="1134"/>
        <w:jc w:val="both"/>
        <w:rPr>
          <w:rFonts w:eastAsia="Times New Roman"/>
          <w:i/>
          <w:iCs/>
          <w:lang w:eastAsia="en-US"/>
        </w:rPr>
      </w:pPr>
      <w:r w:rsidRPr="00343D0C">
        <w:rPr>
          <w:rFonts w:eastAsia="Times New Roman"/>
          <w:i/>
          <w:iCs/>
          <w:lang w:eastAsia="en-US"/>
        </w:rPr>
        <w:t xml:space="preserve">(Reference document: informal document </w:t>
      </w:r>
      <w:r w:rsidRPr="007E4353">
        <w:rPr>
          <w:rFonts w:eastAsia="Times New Roman"/>
          <w:i/>
          <w:iCs/>
          <w:lang w:eastAsia="en-US"/>
        </w:rPr>
        <w:t>INF.</w:t>
      </w:r>
      <w:r>
        <w:rPr>
          <w:rFonts w:eastAsia="Times New Roman"/>
          <w:i/>
          <w:iCs/>
          <w:lang w:eastAsia="en-US"/>
        </w:rPr>
        <w:t>18</w:t>
      </w:r>
      <w:r w:rsidRPr="00343D0C">
        <w:rPr>
          <w:rFonts w:eastAsia="Times New Roman"/>
          <w:i/>
          <w:iCs/>
          <w:lang w:eastAsia="en-US"/>
        </w:rPr>
        <w:t>)</w:t>
      </w:r>
    </w:p>
    <w:p w14:paraId="66A6DED9" w14:textId="12CB5CBC" w:rsidR="003065E4" w:rsidRPr="00D66281" w:rsidRDefault="00756C6C">
      <w:pPr>
        <w:pStyle w:val="H23G"/>
        <w:rPr>
          <w:lang w:eastAsia="en-US"/>
        </w:rPr>
      </w:pPr>
      <w:r w:rsidRPr="00343D0C">
        <w:rPr>
          <w:lang w:eastAsia="en-US"/>
        </w:rPr>
        <w:tab/>
      </w:r>
      <w:r w:rsidRPr="00343D0C">
        <w:rPr>
          <w:lang w:eastAsia="en-US"/>
        </w:rPr>
        <w:tab/>
      </w:r>
      <w:r w:rsidRPr="001E5612">
        <w:rPr>
          <w:lang w:eastAsia="en-US"/>
        </w:rPr>
        <w:t>Document ST/SG/AC.10/C.4/2020/</w:t>
      </w:r>
      <w:r w:rsidRPr="00B271E8">
        <w:rPr>
          <w:lang w:eastAsia="en-US"/>
        </w:rPr>
        <w:t>3</w:t>
      </w:r>
      <w:r w:rsidR="00B93B27" w:rsidRPr="00B271E8">
        <w:rPr>
          <w:lang w:eastAsia="en-US"/>
        </w:rPr>
        <w:t xml:space="preserve"> </w:t>
      </w:r>
      <w:r w:rsidRPr="00B271E8">
        <w:rPr>
          <w:lang w:eastAsia="en-US"/>
        </w:rPr>
        <w:t xml:space="preserve"> adopted as amended </w:t>
      </w:r>
      <w:r w:rsidR="00A42F79" w:rsidRPr="00B271E8">
        <w:rPr>
          <w:lang w:eastAsia="en-US"/>
        </w:rPr>
        <w:t xml:space="preserve">by </w:t>
      </w:r>
      <w:r w:rsidRPr="00B271E8">
        <w:rPr>
          <w:lang w:eastAsia="en-US"/>
        </w:rPr>
        <w:t xml:space="preserve">ST/SG/AC.10/C.4/2020/3/Add.1 </w:t>
      </w:r>
      <w:r w:rsidR="00F16952" w:rsidRPr="00B271E8">
        <w:rPr>
          <w:lang w:eastAsia="en-US"/>
        </w:rPr>
        <w:t>(paragraphs 3, 5 (for 4.1.3 (b) only) and 6)</w:t>
      </w:r>
      <w:r w:rsidR="00CB3BB8">
        <w:rPr>
          <w:lang w:eastAsia="en-US"/>
        </w:rPr>
        <w:t xml:space="preserve">, </w:t>
      </w:r>
      <w:r w:rsidRPr="00D66281">
        <w:rPr>
          <w:lang w:eastAsia="en-US"/>
        </w:rPr>
        <w:t xml:space="preserve">with the correction </w:t>
      </w:r>
      <w:r w:rsidR="005B2D3E" w:rsidRPr="00D66281">
        <w:rPr>
          <w:lang w:eastAsia="en-US"/>
        </w:rPr>
        <w:t xml:space="preserve">to the French version of decision logic 3.5.1 </w:t>
      </w:r>
      <w:r w:rsidR="00345297" w:rsidRPr="00D66281">
        <w:rPr>
          <w:lang w:eastAsia="en-US"/>
        </w:rPr>
        <w:t>(</w:t>
      </w:r>
      <w:r w:rsidR="005B2D3E" w:rsidRPr="00D66281">
        <w:rPr>
          <w:lang w:eastAsia="en-US"/>
        </w:rPr>
        <w:t xml:space="preserve">c) </w:t>
      </w:r>
      <w:r w:rsidRPr="00D66281">
        <w:rPr>
          <w:lang w:eastAsia="en-US"/>
        </w:rPr>
        <w:t xml:space="preserve">in informal document INF.5 </w:t>
      </w:r>
      <w:r w:rsidR="003065E4" w:rsidRPr="00D66281">
        <w:rPr>
          <w:lang w:eastAsia="en-US"/>
        </w:rPr>
        <w:t xml:space="preserve"> and the following </w:t>
      </w:r>
      <w:r w:rsidR="001B28E7">
        <w:rPr>
          <w:lang w:eastAsia="en-US"/>
        </w:rPr>
        <w:t xml:space="preserve">additional </w:t>
      </w:r>
      <w:r w:rsidR="003065E4" w:rsidRPr="00D66281">
        <w:rPr>
          <w:lang w:eastAsia="en-US"/>
        </w:rPr>
        <w:t>amendment</w:t>
      </w:r>
      <w:r w:rsidR="001B28E7">
        <w:rPr>
          <w:lang w:eastAsia="en-US"/>
        </w:rPr>
        <w:t>:</w:t>
      </w:r>
    </w:p>
    <w:p w14:paraId="476CB970" w14:textId="77777777" w:rsidR="00DC6860" w:rsidRDefault="001B28E7" w:rsidP="00DC6860">
      <w:pPr>
        <w:pStyle w:val="SingleTxtG"/>
        <w:rPr>
          <w:lang w:eastAsia="en-US"/>
        </w:rPr>
      </w:pPr>
      <w:r>
        <w:rPr>
          <w:lang w:eastAsia="en-US"/>
        </w:rPr>
        <w:t xml:space="preserve">In the French version of </w:t>
      </w:r>
      <w:r w:rsidRPr="007953C4">
        <w:rPr>
          <w:lang w:eastAsia="en-US"/>
        </w:rPr>
        <w:t>ST/SG/AC.10/C.4/2020/3/Add.1</w:t>
      </w:r>
      <w:r>
        <w:rPr>
          <w:lang w:eastAsia="en-US"/>
        </w:rPr>
        <w:t xml:space="preserve">, </w:t>
      </w:r>
      <w:r w:rsidR="00787EE8">
        <w:rPr>
          <w:lang w:eastAsia="en-US"/>
        </w:rPr>
        <w:t>replace the amendment to 4.1.3 (b)</w:t>
      </w:r>
      <w:r>
        <w:rPr>
          <w:lang w:eastAsia="en-US"/>
        </w:rPr>
        <w:t xml:space="preserve"> </w:t>
      </w:r>
      <w:r w:rsidR="00787EE8">
        <w:rPr>
          <w:lang w:eastAsia="en-US"/>
        </w:rPr>
        <w:t>in paragraph 5 to read</w:t>
      </w:r>
      <w:r w:rsidR="00DC6860">
        <w:rPr>
          <w:lang w:eastAsia="en-US"/>
        </w:rPr>
        <w:t xml:space="preserve">: </w:t>
      </w:r>
      <w:r w:rsidR="00756C6C" w:rsidRPr="001E5612">
        <w:rPr>
          <w:lang w:val="fr-FR" w:eastAsia="en-US"/>
        </w:rPr>
        <w:t xml:space="preserve">« </w:t>
      </w:r>
      <w:r w:rsidR="00756C6C" w:rsidRPr="00537A7E">
        <w:rPr>
          <w:lang w:val="fr-FR" w:eastAsia="en-US"/>
        </w:rPr>
        <w:t>Dans le diagramme de décision 4.1.3 b) remplacer (cinq fois) « CSEO » par « CSEO ou CE</w:t>
      </w:r>
      <w:r w:rsidR="00756C6C" w:rsidRPr="00D66281">
        <w:rPr>
          <w:vertAlign w:val="subscript"/>
          <w:lang w:val="fr-FR" w:eastAsia="en-US"/>
        </w:rPr>
        <w:t>x</w:t>
      </w:r>
      <w:r w:rsidR="00756C6C" w:rsidRPr="00D66281">
        <w:rPr>
          <w:lang w:val="fr-FR" w:eastAsia="en-US"/>
        </w:rPr>
        <w:t> ».</w:t>
      </w:r>
      <w:r w:rsidR="00756C6C" w:rsidRPr="00343D0C">
        <w:rPr>
          <w:lang w:eastAsia="en-US"/>
        </w:rPr>
        <w:tab/>
      </w:r>
      <w:r w:rsidR="00756C6C" w:rsidRPr="00343D0C">
        <w:rPr>
          <w:lang w:eastAsia="en-US"/>
        </w:rPr>
        <w:tab/>
      </w:r>
    </w:p>
    <w:p w14:paraId="35958869" w14:textId="7A514183" w:rsidR="00756C6C" w:rsidRDefault="00DC6860" w:rsidP="00DC6860">
      <w:pPr>
        <w:pStyle w:val="H23G"/>
        <w:rPr>
          <w:lang w:eastAsia="en-US"/>
        </w:rPr>
      </w:pPr>
      <w:r>
        <w:rPr>
          <w:lang w:eastAsia="en-US"/>
        </w:rPr>
        <w:tab/>
      </w:r>
      <w:r>
        <w:rPr>
          <w:lang w:eastAsia="en-US"/>
        </w:rPr>
        <w:tab/>
      </w:r>
      <w:r w:rsidR="00756C6C">
        <w:rPr>
          <w:lang w:eastAsia="en-US"/>
        </w:rPr>
        <w:t xml:space="preserve">Document </w:t>
      </w:r>
      <w:r w:rsidR="00756C6C" w:rsidRPr="004C044A">
        <w:rPr>
          <w:lang w:eastAsia="en-US"/>
        </w:rPr>
        <w:t>ST/SG/AC.10/C.4/2020/</w:t>
      </w:r>
      <w:r w:rsidR="00756C6C">
        <w:rPr>
          <w:lang w:eastAsia="en-US"/>
        </w:rPr>
        <w:t xml:space="preserve">6/Add.1, proposal 3 (b) in </w:t>
      </w:r>
      <w:r w:rsidR="00763CE7">
        <w:rPr>
          <w:lang w:eastAsia="en-US"/>
        </w:rPr>
        <w:t>paragraph</w:t>
      </w:r>
      <w:r w:rsidR="00756C6C">
        <w:rPr>
          <w:lang w:eastAsia="en-US"/>
        </w:rPr>
        <w:t xml:space="preserve"> 5 and proposal in </w:t>
      </w:r>
      <w:r w:rsidR="00763CE7">
        <w:rPr>
          <w:lang w:eastAsia="en-US"/>
        </w:rPr>
        <w:t>paragraph</w:t>
      </w:r>
      <w:r w:rsidR="00756C6C">
        <w:rPr>
          <w:lang w:eastAsia="en-US"/>
        </w:rPr>
        <w:t xml:space="preserve"> 6</w:t>
      </w:r>
      <w:r w:rsidR="00763CE7">
        <w:rPr>
          <w:lang w:eastAsia="en-US"/>
        </w:rPr>
        <w:t xml:space="preserve">: </w:t>
      </w:r>
      <w:r w:rsidR="00756C6C" w:rsidRPr="00343D0C">
        <w:rPr>
          <w:lang w:eastAsia="en-US"/>
        </w:rPr>
        <w:t>adopted</w:t>
      </w:r>
      <w:r w:rsidR="00756C6C">
        <w:rPr>
          <w:lang w:eastAsia="en-US"/>
        </w:rPr>
        <w:t>.</w:t>
      </w:r>
    </w:p>
    <w:p w14:paraId="6F23717E" w14:textId="2695C981" w:rsidR="00982CCB" w:rsidRPr="001F6C71" w:rsidRDefault="00982CCB" w:rsidP="00D66281">
      <w:pPr>
        <w:pStyle w:val="H23G"/>
        <w:rPr>
          <w:lang w:eastAsia="en-US"/>
        </w:rPr>
      </w:pPr>
      <w:r>
        <w:rPr>
          <w:lang w:eastAsia="en-US"/>
        </w:rPr>
        <w:tab/>
      </w:r>
      <w:r>
        <w:rPr>
          <w:lang w:eastAsia="en-US"/>
        </w:rPr>
        <w:tab/>
      </w:r>
      <w:r w:rsidRPr="001F6C71">
        <w:rPr>
          <w:lang w:eastAsia="en-US"/>
        </w:rPr>
        <w:t>Document ST/SG/AC.10/C.4/2020/1</w:t>
      </w:r>
      <w:r>
        <w:rPr>
          <w:lang w:eastAsia="en-US"/>
        </w:rPr>
        <w:t>2:</w:t>
      </w:r>
      <w:r w:rsidRPr="001F6C71">
        <w:rPr>
          <w:lang w:eastAsia="en-US"/>
        </w:rPr>
        <w:t xml:space="preserve"> adopted</w:t>
      </w:r>
      <w:r>
        <w:rPr>
          <w:lang w:eastAsia="en-US"/>
        </w:rPr>
        <w:t>.</w:t>
      </w:r>
    </w:p>
    <w:p w14:paraId="3DC5D4D4" w14:textId="10C55A32" w:rsidR="00982CCB" w:rsidRDefault="00982CCB">
      <w:pPr>
        <w:pStyle w:val="H23G"/>
        <w:rPr>
          <w:lang w:eastAsia="en-US"/>
        </w:rPr>
      </w:pPr>
      <w:r w:rsidRPr="00D66281">
        <w:rPr>
          <w:lang w:eastAsia="en-US"/>
        </w:rPr>
        <w:tab/>
      </w:r>
      <w:r w:rsidRPr="00D66281">
        <w:rPr>
          <w:lang w:eastAsia="en-US"/>
        </w:rPr>
        <w:tab/>
        <w:t>Document ST/SG/AC.10/C.4/2020/1, option 2: adopted.</w:t>
      </w:r>
    </w:p>
    <w:p w14:paraId="7E21D88C" w14:textId="40371D0B" w:rsidR="00A93854" w:rsidRPr="00D66281" w:rsidRDefault="008D1309" w:rsidP="00D66281">
      <w:pPr>
        <w:pStyle w:val="H23G"/>
        <w:rPr>
          <w:b w:val="0"/>
          <w:lang w:eastAsia="en-US"/>
        </w:rPr>
      </w:pPr>
      <w:r>
        <w:rPr>
          <w:lang w:eastAsia="en-US"/>
        </w:rPr>
        <w:tab/>
      </w:r>
      <w:r>
        <w:rPr>
          <w:lang w:eastAsia="en-US"/>
        </w:rPr>
        <w:tab/>
      </w:r>
      <w:r w:rsidR="00A93854">
        <w:rPr>
          <w:lang w:eastAsia="en-US"/>
        </w:rPr>
        <w:t>Informal document INF.16, adopted as amended</w:t>
      </w:r>
      <w:r>
        <w:rPr>
          <w:lang w:eastAsia="en-US"/>
        </w:rPr>
        <w:t>, as follows:</w:t>
      </w:r>
    </w:p>
    <w:p w14:paraId="48DCC1E3" w14:textId="617CC0D9" w:rsidR="00586CA6" w:rsidRPr="00246FEA" w:rsidRDefault="00A367C1">
      <w:pPr>
        <w:pStyle w:val="SingleTxtG"/>
      </w:pPr>
      <w:r w:rsidRPr="00D66281">
        <w:t>In Annex 3</w:t>
      </w:r>
      <w:r w:rsidR="00251506" w:rsidRPr="00D66281">
        <w:t xml:space="preserve"> of the GHS</w:t>
      </w:r>
      <w:r w:rsidRPr="00D66281">
        <w:t xml:space="preserve">, section 3 </w:t>
      </w:r>
      <w:r w:rsidRPr="00246FEA">
        <w:t>r</w:t>
      </w:r>
      <w:r w:rsidR="00586CA6" w:rsidRPr="00246FEA">
        <w:t>eplace the three first matrix tables by the following:</w:t>
      </w:r>
    </w:p>
    <w:p w14:paraId="6E02F592" w14:textId="77777777" w:rsidR="00800D9F" w:rsidRPr="00800D9F" w:rsidRDefault="00800D9F" w:rsidP="00800D9F">
      <w:pPr>
        <w:rPr>
          <w:lang w:eastAsia="en-US"/>
        </w:rPr>
      </w:pPr>
    </w:p>
    <w:p w14:paraId="4841BDF5" w14:textId="65987916" w:rsidR="00E36400" w:rsidRDefault="00E36400" w:rsidP="00E36400"/>
    <w:p w14:paraId="256A3954" w14:textId="0D81ACD6" w:rsidR="00DF6300" w:rsidRDefault="00DF6300">
      <w:pPr>
        <w:suppressAutoHyphens w:val="0"/>
        <w:kinsoku/>
        <w:overflowPunct/>
        <w:autoSpaceDE/>
        <w:autoSpaceDN/>
        <w:adjustRightInd/>
        <w:snapToGrid/>
        <w:spacing w:after="200" w:line="276" w:lineRule="auto"/>
      </w:pPr>
      <w:r>
        <w:br w:type="page"/>
      </w:r>
    </w:p>
    <w:p w14:paraId="19C6FE49" w14:textId="77777777" w:rsidR="00800D9F" w:rsidRDefault="00800D9F" w:rsidP="00E36400">
      <w:pPr>
        <w:sectPr w:rsidR="00800D9F" w:rsidSect="003119C7">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pPr>
    </w:p>
    <w:tbl>
      <w:tblPr>
        <w:tblW w:w="1360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2018"/>
        <w:gridCol w:w="108"/>
        <w:gridCol w:w="2268"/>
        <w:gridCol w:w="176"/>
        <w:gridCol w:w="709"/>
        <w:gridCol w:w="1134"/>
        <w:gridCol w:w="2268"/>
      </w:tblGrid>
      <w:tr w:rsidR="00C0147B" w:rsidRPr="009C15E9" w14:paraId="5A885B12" w14:textId="77777777" w:rsidTr="004C79A3">
        <w:trPr>
          <w:cantSplit/>
        </w:trPr>
        <w:tc>
          <w:tcPr>
            <w:tcW w:w="13609" w:type="dxa"/>
            <w:gridSpan w:val="9"/>
            <w:tcBorders>
              <w:top w:val="nil"/>
              <w:left w:val="nil"/>
              <w:bottom w:val="nil"/>
              <w:right w:val="nil"/>
            </w:tcBorders>
            <w:hideMark/>
          </w:tcPr>
          <w:p w14:paraId="5EA77D8C" w14:textId="77777777" w:rsidR="00C0147B" w:rsidRPr="009C15E9" w:rsidRDefault="00C0147B" w:rsidP="004C79A3">
            <w:pPr>
              <w:keepNext/>
              <w:keepLines/>
              <w:kinsoku/>
              <w:overflowPunct/>
              <w:autoSpaceDE/>
              <w:adjustRightInd/>
              <w:snapToGrid/>
              <w:spacing w:before="60" w:after="240" w:line="240" w:lineRule="auto"/>
              <w:ind w:firstLine="34"/>
              <w:jc w:val="center"/>
              <w:outlineLvl w:val="1"/>
              <w:rPr>
                <w:rFonts w:eastAsia="Times New Roman"/>
                <w:b/>
                <w:bCs/>
                <w:i/>
                <w:sz w:val="16"/>
                <w:szCs w:val="16"/>
                <w:lang w:eastAsia="en-US"/>
              </w:rPr>
            </w:pPr>
            <w:r w:rsidRPr="009C15E9">
              <w:rPr>
                <w:rFonts w:eastAsia="Times New Roman" w:cs="Arial"/>
                <w:b/>
                <w:bCs/>
                <w:sz w:val="16"/>
                <w:szCs w:val="16"/>
                <w:lang w:val="fr-FR" w:eastAsia="fr-FR"/>
              </w:rPr>
              <w:lastRenderedPageBreak/>
              <w:br w:type="page"/>
            </w:r>
            <w:r w:rsidRPr="009C15E9">
              <w:rPr>
                <w:rFonts w:eastAsia="Times New Roman" w:cs="Arial"/>
                <w:b/>
                <w:bCs/>
                <w:iCs/>
                <w:caps/>
                <w:sz w:val="16"/>
                <w:szCs w:val="16"/>
                <w:lang w:val="fr-FR" w:eastAsia="fr-FR"/>
              </w:rPr>
              <w:br w:type="page"/>
            </w:r>
            <w:r w:rsidRPr="009C15E9">
              <w:rPr>
                <w:rFonts w:eastAsia="Times New Roman" w:cs="Arial"/>
                <w:b/>
                <w:bCs/>
                <w:iCs/>
                <w:caps/>
                <w:sz w:val="16"/>
                <w:szCs w:val="16"/>
                <w:lang w:val="fr-FR" w:eastAsia="fr-FR"/>
              </w:rPr>
              <w:br w:type="page"/>
            </w:r>
            <w:r w:rsidRPr="009C15E9">
              <w:rPr>
                <w:rFonts w:eastAsia="Times New Roman"/>
                <w:b/>
                <w:bCs/>
                <w:sz w:val="16"/>
                <w:szCs w:val="16"/>
                <w:lang w:eastAsia="en-US"/>
              </w:rPr>
              <w:t>EXPLOSIVES</w:t>
            </w:r>
            <w:r w:rsidRPr="009C15E9">
              <w:rPr>
                <w:rFonts w:eastAsia="Times New Roman"/>
                <w:b/>
                <w:bCs/>
                <w:sz w:val="16"/>
                <w:szCs w:val="16"/>
                <w:lang w:eastAsia="en-US"/>
              </w:rPr>
              <w:br/>
              <w:t>(CHAPTER 2.1)</w:t>
            </w:r>
          </w:p>
        </w:tc>
      </w:tr>
      <w:tr w:rsidR="00C0147B" w:rsidRPr="009C15E9" w14:paraId="7A0CFB0B" w14:textId="77777777" w:rsidTr="004C79A3">
        <w:trPr>
          <w:cantSplit/>
        </w:trPr>
        <w:tc>
          <w:tcPr>
            <w:tcW w:w="3369" w:type="dxa"/>
            <w:tcBorders>
              <w:top w:val="nil"/>
              <w:left w:val="nil"/>
              <w:bottom w:val="nil"/>
              <w:right w:val="nil"/>
            </w:tcBorders>
            <w:hideMark/>
          </w:tcPr>
          <w:p w14:paraId="3C1A9B01"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b/>
                <w:bCs/>
                <w:sz w:val="16"/>
                <w:szCs w:val="16"/>
                <w:lang w:eastAsia="en-US"/>
              </w:rPr>
            </w:pPr>
            <w:r w:rsidRPr="009C15E9">
              <w:rPr>
                <w:rFonts w:eastAsia="Times New Roman"/>
                <w:b/>
                <w:bCs/>
                <w:sz w:val="16"/>
                <w:szCs w:val="16"/>
                <w:lang w:eastAsia="en-US"/>
              </w:rPr>
              <w:t>Hazard category</w:t>
            </w:r>
          </w:p>
        </w:tc>
        <w:tc>
          <w:tcPr>
            <w:tcW w:w="3685" w:type="dxa"/>
            <w:gridSpan w:val="3"/>
            <w:tcBorders>
              <w:top w:val="nil"/>
              <w:left w:val="nil"/>
              <w:bottom w:val="nil"/>
              <w:right w:val="nil"/>
            </w:tcBorders>
            <w:hideMark/>
          </w:tcPr>
          <w:p w14:paraId="63B94A8E"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b/>
                <w:bCs/>
                <w:sz w:val="16"/>
                <w:szCs w:val="16"/>
                <w:lang w:eastAsia="en-US"/>
              </w:rPr>
            </w:pPr>
            <w:r w:rsidRPr="009C15E9">
              <w:rPr>
                <w:rFonts w:eastAsia="Times New Roman"/>
                <w:b/>
                <w:bCs/>
                <w:sz w:val="16"/>
                <w:szCs w:val="16"/>
                <w:lang w:eastAsia="en-US"/>
              </w:rPr>
              <w:t>Symbol</w:t>
            </w:r>
          </w:p>
        </w:tc>
        <w:tc>
          <w:tcPr>
            <w:tcW w:w="2268" w:type="dxa"/>
            <w:tcBorders>
              <w:top w:val="nil"/>
              <w:left w:val="nil"/>
              <w:bottom w:val="nil"/>
              <w:right w:val="nil"/>
            </w:tcBorders>
            <w:hideMark/>
          </w:tcPr>
          <w:p w14:paraId="566E1794"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b/>
                <w:bCs/>
                <w:sz w:val="16"/>
                <w:szCs w:val="16"/>
                <w:lang w:eastAsia="en-US"/>
              </w:rPr>
            </w:pPr>
            <w:r w:rsidRPr="009C15E9">
              <w:rPr>
                <w:rFonts w:eastAsia="Times New Roman"/>
                <w:b/>
                <w:bCs/>
                <w:sz w:val="16"/>
                <w:szCs w:val="16"/>
                <w:lang w:eastAsia="en-US"/>
              </w:rPr>
              <w:t>Signal word</w:t>
            </w:r>
          </w:p>
        </w:tc>
        <w:tc>
          <w:tcPr>
            <w:tcW w:w="4287" w:type="dxa"/>
            <w:gridSpan w:val="4"/>
            <w:tcBorders>
              <w:top w:val="nil"/>
              <w:left w:val="nil"/>
              <w:bottom w:val="nil"/>
              <w:right w:val="nil"/>
            </w:tcBorders>
            <w:hideMark/>
          </w:tcPr>
          <w:p w14:paraId="588B7B7B" w14:textId="77777777" w:rsidR="00C0147B" w:rsidRPr="009C15E9" w:rsidRDefault="00C0147B" w:rsidP="004C79A3">
            <w:pPr>
              <w:keepNext/>
              <w:keepLines/>
              <w:kinsoku/>
              <w:overflowPunct/>
              <w:autoSpaceDE/>
              <w:autoSpaceDN/>
              <w:adjustRightInd/>
              <w:snapToGrid/>
              <w:spacing w:before="40" w:after="40" w:line="240" w:lineRule="auto"/>
              <w:ind w:right="252"/>
              <w:jc w:val="both"/>
              <w:rPr>
                <w:rFonts w:eastAsia="Times New Roman"/>
                <w:b/>
                <w:bCs/>
                <w:sz w:val="16"/>
                <w:szCs w:val="16"/>
                <w:lang w:eastAsia="en-US"/>
              </w:rPr>
            </w:pPr>
            <w:r w:rsidRPr="009C15E9">
              <w:rPr>
                <w:rFonts w:eastAsia="Times New Roman"/>
                <w:b/>
                <w:bCs/>
                <w:sz w:val="16"/>
                <w:szCs w:val="16"/>
                <w:lang w:eastAsia="en-US"/>
              </w:rPr>
              <w:t>Hazard statement</w:t>
            </w:r>
          </w:p>
        </w:tc>
      </w:tr>
      <w:tr w:rsidR="00C0147B" w:rsidRPr="009C15E9" w14:paraId="26A9D7C4" w14:textId="77777777" w:rsidTr="004C79A3">
        <w:trPr>
          <w:cantSplit/>
        </w:trPr>
        <w:tc>
          <w:tcPr>
            <w:tcW w:w="3369" w:type="dxa"/>
            <w:vMerge w:val="restart"/>
            <w:tcBorders>
              <w:top w:val="nil"/>
              <w:left w:val="nil"/>
              <w:right w:val="nil"/>
            </w:tcBorders>
            <w:hideMark/>
          </w:tcPr>
          <w:p w14:paraId="5F07BB46"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r w:rsidRPr="009C15E9">
              <w:rPr>
                <w:rFonts w:eastAsia="Times New Roman"/>
                <w:sz w:val="16"/>
                <w:szCs w:val="16"/>
                <w:lang w:eastAsia="en-US"/>
              </w:rPr>
              <w:t>1</w:t>
            </w:r>
          </w:p>
        </w:tc>
        <w:tc>
          <w:tcPr>
            <w:tcW w:w="1559" w:type="dxa"/>
            <w:vMerge w:val="restart"/>
            <w:tcBorders>
              <w:top w:val="nil"/>
              <w:left w:val="nil"/>
              <w:right w:val="nil"/>
            </w:tcBorders>
            <w:hideMark/>
          </w:tcPr>
          <w:p w14:paraId="46A84405"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sz w:val="16"/>
                <w:szCs w:val="16"/>
                <w:lang w:eastAsia="en-US"/>
              </w:rPr>
            </w:pPr>
            <w:r w:rsidRPr="009C15E9">
              <w:rPr>
                <w:rFonts w:eastAsia="Times New Roman"/>
                <w:sz w:val="16"/>
                <w:szCs w:val="16"/>
                <w:lang w:eastAsia="en-US"/>
              </w:rPr>
              <w:t>Exploding bomb</w:t>
            </w:r>
          </w:p>
        </w:tc>
        <w:tc>
          <w:tcPr>
            <w:tcW w:w="2126" w:type="dxa"/>
            <w:gridSpan w:val="2"/>
            <w:vMerge w:val="restart"/>
            <w:tcBorders>
              <w:top w:val="nil"/>
              <w:left w:val="nil"/>
              <w:bottom w:val="nil"/>
              <w:right w:val="nil"/>
            </w:tcBorders>
            <w:hideMark/>
          </w:tcPr>
          <w:p w14:paraId="40465A9E" w14:textId="77777777" w:rsidR="00C0147B" w:rsidRPr="009C15E9" w:rsidRDefault="00C0147B" w:rsidP="004C79A3">
            <w:pPr>
              <w:keepNext/>
              <w:keepLines/>
              <w:kinsoku/>
              <w:overflowPunct/>
              <w:autoSpaceDE/>
              <w:autoSpaceDN/>
              <w:adjustRightInd/>
              <w:snapToGrid/>
              <w:spacing w:before="40" w:after="40" w:line="240" w:lineRule="auto"/>
              <w:jc w:val="center"/>
              <w:rPr>
                <w:rFonts w:eastAsia="Times New Roman"/>
                <w:sz w:val="16"/>
                <w:szCs w:val="16"/>
                <w:lang w:eastAsia="en-US"/>
              </w:rPr>
            </w:pPr>
            <w:r w:rsidRPr="009C15E9">
              <w:rPr>
                <w:rFonts w:eastAsia="Times New Roman"/>
                <w:noProof/>
                <w:sz w:val="16"/>
                <w:szCs w:val="16"/>
                <w:lang w:val="sv-SE" w:eastAsia="sv-SE"/>
              </w:rPr>
              <w:drawing>
                <wp:anchor distT="0" distB="0" distL="114300" distR="114300" simplePos="0" relativeHeight="251659264" behindDoc="1" locked="0" layoutInCell="1" allowOverlap="1" wp14:anchorId="757E3236" wp14:editId="05593F93">
                  <wp:simplePos x="0" y="0"/>
                  <wp:positionH relativeFrom="column">
                    <wp:posOffset>104140</wp:posOffset>
                  </wp:positionH>
                  <wp:positionV relativeFrom="paragraph">
                    <wp:posOffset>244</wp:posOffset>
                  </wp:positionV>
                  <wp:extent cx="694800" cy="442800"/>
                  <wp:effectExtent l="0" t="0" r="0" b="0"/>
                  <wp:wrapTight wrapText="bothSides">
                    <wp:wrapPolygon edited="0">
                      <wp:start x="0" y="0"/>
                      <wp:lineTo x="0" y="20453"/>
                      <wp:lineTo x="20731" y="20453"/>
                      <wp:lineTo x="20731" y="0"/>
                      <wp:lineTo x="0" y="0"/>
                    </wp:wrapPolygon>
                  </wp:wrapTight>
                  <wp:docPr id="10"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48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68" w:type="dxa"/>
            <w:vMerge w:val="restart"/>
            <w:tcBorders>
              <w:top w:val="nil"/>
              <w:left w:val="nil"/>
              <w:right w:val="nil"/>
            </w:tcBorders>
            <w:hideMark/>
          </w:tcPr>
          <w:p w14:paraId="660F4154"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r w:rsidRPr="009C15E9">
              <w:rPr>
                <w:rFonts w:eastAsia="Times New Roman"/>
                <w:sz w:val="16"/>
                <w:szCs w:val="16"/>
                <w:lang w:eastAsia="en-US"/>
              </w:rPr>
              <w:t>Danger</w:t>
            </w:r>
          </w:p>
        </w:tc>
        <w:tc>
          <w:tcPr>
            <w:tcW w:w="885" w:type="dxa"/>
            <w:gridSpan w:val="2"/>
            <w:tcBorders>
              <w:top w:val="nil"/>
              <w:left w:val="nil"/>
              <w:bottom w:val="nil"/>
              <w:right w:val="nil"/>
            </w:tcBorders>
            <w:hideMark/>
          </w:tcPr>
          <w:p w14:paraId="724A1CDD"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sz w:val="16"/>
                <w:szCs w:val="16"/>
                <w:lang w:eastAsia="en-US"/>
              </w:rPr>
            </w:pPr>
            <w:r w:rsidRPr="009C15E9">
              <w:rPr>
                <w:rFonts w:eastAsia="Times New Roman"/>
                <w:sz w:val="16"/>
                <w:szCs w:val="16"/>
                <w:lang w:eastAsia="en-US"/>
              </w:rPr>
              <w:t>H209</w:t>
            </w:r>
          </w:p>
        </w:tc>
        <w:tc>
          <w:tcPr>
            <w:tcW w:w="3402" w:type="dxa"/>
            <w:gridSpan w:val="2"/>
            <w:tcBorders>
              <w:top w:val="nil"/>
              <w:left w:val="nil"/>
              <w:bottom w:val="nil"/>
              <w:right w:val="nil"/>
            </w:tcBorders>
            <w:hideMark/>
          </w:tcPr>
          <w:p w14:paraId="204232F6"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r w:rsidRPr="009C15E9">
              <w:rPr>
                <w:rFonts w:eastAsia="Times New Roman"/>
                <w:sz w:val="16"/>
                <w:szCs w:val="16"/>
                <w:lang w:eastAsia="en-US"/>
              </w:rPr>
              <w:t>Explosive</w:t>
            </w:r>
          </w:p>
        </w:tc>
      </w:tr>
      <w:tr w:rsidR="00C0147B" w:rsidRPr="009C15E9" w14:paraId="1827F0E9" w14:textId="77777777" w:rsidTr="004C79A3">
        <w:trPr>
          <w:cantSplit/>
        </w:trPr>
        <w:tc>
          <w:tcPr>
            <w:tcW w:w="3369" w:type="dxa"/>
            <w:vMerge/>
            <w:tcBorders>
              <w:left w:val="nil"/>
              <w:right w:val="nil"/>
            </w:tcBorders>
          </w:tcPr>
          <w:p w14:paraId="5CC75038"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p>
        </w:tc>
        <w:tc>
          <w:tcPr>
            <w:tcW w:w="1559" w:type="dxa"/>
            <w:vMerge/>
            <w:tcBorders>
              <w:left w:val="nil"/>
              <w:right w:val="nil"/>
            </w:tcBorders>
            <w:vAlign w:val="center"/>
          </w:tcPr>
          <w:p w14:paraId="655D6243"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sz w:val="16"/>
                <w:szCs w:val="16"/>
                <w:lang w:eastAsia="en-US"/>
              </w:rPr>
            </w:pPr>
          </w:p>
        </w:tc>
        <w:tc>
          <w:tcPr>
            <w:tcW w:w="2126" w:type="dxa"/>
            <w:gridSpan w:val="2"/>
            <w:vMerge/>
            <w:tcBorders>
              <w:top w:val="nil"/>
              <w:left w:val="nil"/>
              <w:bottom w:val="nil"/>
              <w:right w:val="nil"/>
            </w:tcBorders>
            <w:vAlign w:val="center"/>
            <w:hideMark/>
          </w:tcPr>
          <w:p w14:paraId="4A8F9016" w14:textId="77777777" w:rsidR="00C0147B" w:rsidRPr="009C15E9" w:rsidRDefault="00C0147B" w:rsidP="004C79A3">
            <w:pPr>
              <w:kinsoku/>
              <w:overflowPunct/>
              <w:autoSpaceDE/>
              <w:autoSpaceDN/>
              <w:adjustRightInd/>
              <w:snapToGrid/>
              <w:spacing w:line="240" w:lineRule="auto"/>
              <w:rPr>
                <w:rFonts w:eastAsia="Times New Roman"/>
                <w:sz w:val="16"/>
                <w:szCs w:val="16"/>
                <w:lang w:eastAsia="en-US"/>
              </w:rPr>
            </w:pPr>
          </w:p>
        </w:tc>
        <w:tc>
          <w:tcPr>
            <w:tcW w:w="2268" w:type="dxa"/>
            <w:vMerge/>
            <w:tcBorders>
              <w:left w:val="nil"/>
              <w:right w:val="nil"/>
            </w:tcBorders>
          </w:tcPr>
          <w:p w14:paraId="00977D7A"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p>
        </w:tc>
        <w:tc>
          <w:tcPr>
            <w:tcW w:w="885" w:type="dxa"/>
            <w:gridSpan w:val="2"/>
            <w:tcBorders>
              <w:top w:val="nil"/>
              <w:left w:val="nil"/>
              <w:bottom w:val="nil"/>
              <w:right w:val="nil"/>
            </w:tcBorders>
            <w:hideMark/>
          </w:tcPr>
          <w:p w14:paraId="4EB570DC"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sz w:val="16"/>
                <w:szCs w:val="16"/>
                <w:lang w:eastAsia="en-US"/>
              </w:rPr>
            </w:pPr>
            <w:r w:rsidRPr="009C15E9">
              <w:rPr>
                <w:rFonts w:eastAsia="Times New Roman"/>
                <w:sz w:val="16"/>
                <w:szCs w:val="16"/>
                <w:lang w:eastAsia="en-US"/>
              </w:rPr>
              <w:t>H210</w:t>
            </w:r>
          </w:p>
        </w:tc>
        <w:tc>
          <w:tcPr>
            <w:tcW w:w="3402" w:type="dxa"/>
            <w:gridSpan w:val="2"/>
            <w:tcBorders>
              <w:top w:val="nil"/>
              <w:left w:val="nil"/>
              <w:bottom w:val="nil"/>
              <w:right w:val="nil"/>
            </w:tcBorders>
            <w:hideMark/>
          </w:tcPr>
          <w:p w14:paraId="21B782F7"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r w:rsidRPr="009C15E9">
              <w:rPr>
                <w:rFonts w:eastAsia="Times New Roman"/>
                <w:sz w:val="16"/>
                <w:szCs w:val="16"/>
                <w:lang w:eastAsia="en-US"/>
              </w:rPr>
              <w:t>Very sensitive</w:t>
            </w:r>
          </w:p>
        </w:tc>
      </w:tr>
      <w:tr w:rsidR="00C0147B" w:rsidRPr="009C15E9" w14:paraId="13E79E10" w14:textId="77777777" w:rsidTr="004C79A3">
        <w:trPr>
          <w:cantSplit/>
        </w:trPr>
        <w:tc>
          <w:tcPr>
            <w:tcW w:w="3369" w:type="dxa"/>
            <w:vMerge/>
            <w:tcBorders>
              <w:left w:val="nil"/>
              <w:bottom w:val="nil"/>
              <w:right w:val="nil"/>
            </w:tcBorders>
          </w:tcPr>
          <w:p w14:paraId="4F51D071"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p>
        </w:tc>
        <w:tc>
          <w:tcPr>
            <w:tcW w:w="1559" w:type="dxa"/>
            <w:vMerge/>
            <w:tcBorders>
              <w:left w:val="nil"/>
              <w:bottom w:val="nil"/>
              <w:right w:val="nil"/>
            </w:tcBorders>
            <w:vAlign w:val="center"/>
          </w:tcPr>
          <w:p w14:paraId="10B668ED"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sz w:val="16"/>
                <w:szCs w:val="16"/>
                <w:lang w:eastAsia="en-US"/>
              </w:rPr>
            </w:pPr>
          </w:p>
        </w:tc>
        <w:tc>
          <w:tcPr>
            <w:tcW w:w="2126" w:type="dxa"/>
            <w:gridSpan w:val="2"/>
            <w:vMerge/>
            <w:tcBorders>
              <w:top w:val="nil"/>
              <w:left w:val="nil"/>
              <w:bottom w:val="nil"/>
              <w:right w:val="nil"/>
            </w:tcBorders>
            <w:vAlign w:val="center"/>
            <w:hideMark/>
          </w:tcPr>
          <w:p w14:paraId="40E418D3" w14:textId="77777777" w:rsidR="00C0147B" w:rsidRPr="009C15E9" w:rsidRDefault="00C0147B" w:rsidP="004C79A3">
            <w:pPr>
              <w:kinsoku/>
              <w:overflowPunct/>
              <w:autoSpaceDE/>
              <w:autoSpaceDN/>
              <w:adjustRightInd/>
              <w:snapToGrid/>
              <w:spacing w:line="240" w:lineRule="auto"/>
              <w:rPr>
                <w:rFonts w:eastAsia="Times New Roman"/>
                <w:sz w:val="16"/>
                <w:szCs w:val="16"/>
                <w:lang w:eastAsia="en-US"/>
              </w:rPr>
            </w:pPr>
          </w:p>
        </w:tc>
        <w:tc>
          <w:tcPr>
            <w:tcW w:w="2268" w:type="dxa"/>
            <w:vMerge/>
            <w:tcBorders>
              <w:left w:val="nil"/>
              <w:bottom w:val="nil"/>
              <w:right w:val="nil"/>
            </w:tcBorders>
          </w:tcPr>
          <w:p w14:paraId="0999307F"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p>
        </w:tc>
        <w:tc>
          <w:tcPr>
            <w:tcW w:w="885" w:type="dxa"/>
            <w:gridSpan w:val="2"/>
            <w:tcBorders>
              <w:top w:val="nil"/>
              <w:left w:val="nil"/>
              <w:bottom w:val="nil"/>
              <w:right w:val="nil"/>
            </w:tcBorders>
            <w:hideMark/>
          </w:tcPr>
          <w:p w14:paraId="54E62372"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sz w:val="16"/>
                <w:szCs w:val="16"/>
                <w:lang w:eastAsia="en-US"/>
              </w:rPr>
            </w:pPr>
            <w:r w:rsidRPr="009C15E9">
              <w:rPr>
                <w:rFonts w:eastAsia="Times New Roman"/>
                <w:sz w:val="16"/>
                <w:szCs w:val="16"/>
                <w:lang w:eastAsia="en-US"/>
              </w:rPr>
              <w:t>H211</w:t>
            </w:r>
          </w:p>
        </w:tc>
        <w:tc>
          <w:tcPr>
            <w:tcW w:w="3402" w:type="dxa"/>
            <w:gridSpan w:val="2"/>
            <w:tcBorders>
              <w:top w:val="nil"/>
              <w:left w:val="nil"/>
              <w:bottom w:val="nil"/>
              <w:right w:val="nil"/>
            </w:tcBorders>
            <w:hideMark/>
          </w:tcPr>
          <w:p w14:paraId="1BEAA5CE"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r w:rsidRPr="009C15E9">
              <w:rPr>
                <w:rFonts w:eastAsia="Times New Roman"/>
                <w:sz w:val="16"/>
                <w:szCs w:val="16"/>
                <w:lang w:eastAsia="en-US"/>
              </w:rPr>
              <w:t>May be sensitive</w:t>
            </w:r>
          </w:p>
        </w:tc>
      </w:tr>
      <w:tr w:rsidR="00C0147B" w:rsidRPr="009C15E9" w14:paraId="336E61A7" w14:textId="77777777" w:rsidTr="004C79A3">
        <w:trPr>
          <w:cantSplit/>
        </w:trPr>
        <w:tc>
          <w:tcPr>
            <w:tcW w:w="13609" w:type="dxa"/>
            <w:gridSpan w:val="9"/>
            <w:tcBorders>
              <w:top w:val="single" w:sz="4" w:space="0" w:color="auto"/>
              <w:left w:val="single" w:sz="4" w:space="0" w:color="auto"/>
              <w:bottom w:val="single" w:sz="4" w:space="0" w:color="auto"/>
              <w:right w:val="single" w:sz="4" w:space="0" w:color="auto"/>
            </w:tcBorders>
            <w:hideMark/>
          </w:tcPr>
          <w:p w14:paraId="37A79791" w14:textId="77777777" w:rsidR="00C0147B" w:rsidRPr="009C15E9" w:rsidRDefault="00C0147B" w:rsidP="004C79A3">
            <w:pPr>
              <w:keepNext/>
              <w:keepLines/>
              <w:shd w:val="solid" w:color="FFFFFF" w:fill="FFFFFF"/>
              <w:kinsoku/>
              <w:overflowPunct/>
              <w:autoSpaceDE/>
              <w:adjustRightInd/>
              <w:snapToGrid/>
              <w:spacing w:before="60" w:after="60" w:line="240" w:lineRule="auto"/>
              <w:ind w:left="-102"/>
              <w:jc w:val="center"/>
              <w:outlineLvl w:val="6"/>
              <w:rPr>
                <w:rFonts w:eastAsia="Times New Roman"/>
                <w:b/>
                <w:bCs/>
                <w:sz w:val="16"/>
                <w:szCs w:val="16"/>
                <w:lang w:eastAsia="en-US"/>
              </w:rPr>
            </w:pPr>
            <w:r w:rsidRPr="009C15E9">
              <w:rPr>
                <w:rFonts w:eastAsia="Times New Roman"/>
                <w:b/>
                <w:bCs/>
                <w:sz w:val="16"/>
                <w:szCs w:val="16"/>
                <w:lang w:eastAsia="en-US"/>
              </w:rPr>
              <w:t>Precautionary statements</w:t>
            </w:r>
          </w:p>
        </w:tc>
      </w:tr>
      <w:tr w:rsidR="00C0147B" w:rsidRPr="009C15E9" w14:paraId="124FC885" w14:textId="77777777" w:rsidTr="004C79A3">
        <w:tc>
          <w:tcPr>
            <w:tcW w:w="6946" w:type="dxa"/>
            <w:gridSpan w:val="3"/>
            <w:tcBorders>
              <w:top w:val="single" w:sz="4" w:space="0" w:color="auto"/>
              <w:left w:val="single" w:sz="4" w:space="0" w:color="auto"/>
              <w:bottom w:val="single" w:sz="4" w:space="0" w:color="auto"/>
              <w:right w:val="single" w:sz="4" w:space="0" w:color="auto"/>
            </w:tcBorders>
            <w:hideMark/>
          </w:tcPr>
          <w:p w14:paraId="2CA5248D" w14:textId="77777777" w:rsidR="00C0147B" w:rsidRPr="009C15E9" w:rsidRDefault="00C0147B" w:rsidP="004C79A3">
            <w:pPr>
              <w:keepNext/>
              <w:keepLines/>
              <w:kinsoku/>
              <w:overflowPunct/>
              <w:autoSpaceDE/>
              <w:autoSpaceDN/>
              <w:adjustRightInd/>
              <w:snapToGrid/>
              <w:spacing w:before="30" w:after="30" w:line="240" w:lineRule="auto"/>
              <w:jc w:val="center"/>
              <w:rPr>
                <w:rFonts w:eastAsia="Times New Roman"/>
                <w:b/>
                <w:bCs/>
                <w:sz w:val="16"/>
                <w:szCs w:val="16"/>
                <w:lang w:eastAsia="en-US"/>
              </w:rPr>
            </w:pPr>
            <w:r w:rsidRPr="009C15E9">
              <w:rPr>
                <w:rFonts w:eastAsia="Times New Roman"/>
                <w:b/>
                <w:bCs/>
                <w:sz w:val="16"/>
                <w:szCs w:val="16"/>
                <w:lang w:eastAsia="en-US"/>
              </w:rPr>
              <w:t>Prevention</w:t>
            </w:r>
          </w:p>
        </w:tc>
        <w:tc>
          <w:tcPr>
            <w:tcW w:w="2552" w:type="dxa"/>
            <w:gridSpan w:val="3"/>
            <w:tcBorders>
              <w:top w:val="single" w:sz="4" w:space="0" w:color="auto"/>
              <w:left w:val="single" w:sz="4" w:space="0" w:color="auto"/>
              <w:bottom w:val="single" w:sz="4" w:space="0" w:color="auto"/>
              <w:right w:val="single" w:sz="4" w:space="0" w:color="auto"/>
            </w:tcBorders>
            <w:hideMark/>
          </w:tcPr>
          <w:p w14:paraId="567809BE" w14:textId="77777777" w:rsidR="00C0147B" w:rsidRPr="009C15E9" w:rsidRDefault="00C0147B" w:rsidP="004C79A3">
            <w:pPr>
              <w:keepNext/>
              <w:keepLines/>
              <w:kinsoku/>
              <w:overflowPunct/>
              <w:autoSpaceDE/>
              <w:autoSpaceDN/>
              <w:adjustRightInd/>
              <w:snapToGrid/>
              <w:spacing w:before="30" w:after="30" w:line="240" w:lineRule="auto"/>
              <w:jc w:val="center"/>
              <w:rPr>
                <w:rFonts w:eastAsia="Times New Roman"/>
                <w:b/>
                <w:bCs/>
                <w:sz w:val="16"/>
                <w:szCs w:val="16"/>
                <w:lang w:eastAsia="en-US"/>
              </w:rPr>
            </w:pPr>
            <w:r w:rsidRPr="009C15E9">
              <w:rPr>
                <w:rFonts w:eastAsia="Times New Roman"/>
                <w:b/>
                <w:bCs/>
                <w:sz w:val="16"/>
                <w:szCs w:val="16"/>
                <w:lang w:eastAsia="en-US"/>
              </w:rPr>
              <w:t>Response</w:t>
            </w:r>
          </w:p>
        </w:tc>
        <w:tc>
          <w:tcPr>
            <w:tcW w:w="1843" w:type="dxa"/>
            <w:gridSpan w:val="2"/>
            <w:tcBorders>
              <w:top w:val="single" w:sz="4" w:space="0" w:color="auto"/>
              <w:left w:val="single" w:sz="4" w:space="0" w:color="auto"/>
              <w:bottom w:val="single" w:sz="4" w:space="0" w:color="auto"/>
              <w:right w:val="single" w:sz="4" w:space="0" w:color="auto"/>
            </w:tcBorders>
            <w:hideMark/>
          </w:tcPr>
          <w:p w14:paraId="561A93AA" w14:textId="77777777" w:rsidR="00C0147B" w:rsidRPr="009C15E9" w:rsidRDefault="00C0147B" w:rsidP="004C79A3">
            <w:pPr>
              <w:keepNext/>
              <w:keepLines/>
              <w:kinsoku/>
              <w:overflowPunct/>
              <w:autoSpaceDE/>
              <w:autoSpaceDN/>
              <w:adjustRightInd/>
              <w:snapToGrid/>
              <w:spacing w:before="30" w:after="30" w:line="240" w:lineRule="auto"/>
              <w:jc w:val="center"/>
              <w:rPr>
                <w:rFonts w:eastAsia="Times New Roman"/>
                <w:b/>
                <w:bCs/>
                <w:sz w:val="16"/>
                <w:szCs w:val="16"/>
                <w:lang w:eastAsia="en-US"/>
              </w:rPr>
            </w:pPr>
            <w:r w:rsidRPr="009C15E9">
              <w:rPr>
                <w:rFonts w:eastAsia="Times New Roman"/>
                <w:b/>
                <w:bCs/>
                <w:sz w:val="16"/>
                <w:szCs w:val="16"/>
                <w:lang w:eastAsia="en-US"/>
              </w:rPr>
              <w:t>Storage</w:t>
            </w:r>
          </w:p>
        </w:tc>
        <w:tc>
          <w:tcPr>
            <w:tcW w:w="2268" w:type="dxa"/>
            <w:tcBorders>
              <w:top w:val="single" w:sz="4" w:space="0" w:color="auto"/>
              <w:left w:val="single" w:sz="4" w:space="0" w:color="auto"/>
              <w:bottom w:val="single" w:sz="4" w:space="0" w:color="auto"/>
              <w:right w:val="single" w:sz="4" w:space="0" w:color="auto"/>
            </w:tcBorders>
            <w:hideMark/>
          </w:tcPr>
          <w:p w14:paraId="549FD233" w14:textId="77777777" w:rsidR="00C0147B" w:rsidRPr="009C15E9" w:rsidRDefault="00C0147B" w:rsidP="004C79A3">
            <w:pPr>
              <w:keepNext/>
              <w:keepLines/>
              <w:kinsoku/>
              <w:overflowPunct/>
              <w:autoSpaceDE/>
              <w:autoSpaceDN/>
              <w:adjustRightInd/>
              <w:snapToGrid/>
              <w:spacing w:before="30" w:after="30" w:line="240" w:lineRule="auto"/>
              <w:jc w:val="center"/>
              <w:rPr>
                <w:rFonts w:eastAsia="Times New Roman"/>
                <w:b/>
                <w:bCs/>
                <w:sz w:val="16"/>
                <w:szCs w:val="16"/>
                <w:lang w:eastAsia="en-US"/>
              </w:rPr>
            </w:pPr>
            <w:r w:rsidRPr="009C15E9">
              <w:rPr>
                <w:rFonts w:eastAsia="Times New Roman"/>
                <w:b/>
                <w:bCs/>
                <w:sz w:val="16"/>
                <w:szCs w:val="16"/>
                <w:lang w:eastAsia="en-US"/>
              </w:rPr>
              <w:t>Disposal</w:t>
            </w:r>
          </w:p>
        </w:tc>
      </w:tr>
      <w:tr w:rsidR="00C0147B" w:rsidRPr="009C15E9" w14:paraId="12C46568" w14:textId="77777777" w:rsidTr="004C79A3">
        <w:tc>
          <w:tcPr>
            <w:tcW w:w="6946" w:type="dxa"/>
            <w:gridSpan w:val="3"/>
            <w:tcBorders>
              <w:top w:val="single" w:sz="4" w:space="0" w:color="auto"/>
              <w:left w:val="single" w:sz="4" w:space="0" w:color="auto"/>
              <w:bottom w:val="single" w:sz="4" w:space="0" w:color="auto"/>
              <w:right w:val="single" w:sz="4" w:space="0" w:color="auto"/>
            </w:tcBorders>
            <w:hideMark/>
          </w:tcPr>
          <w:p w14:paraId="19CC4F90" w14:textId="77777777" w:rsidR="00C0147B" w:rsidRPr="009C15E9" w:rsidRDefault="00C0147B" w:rsidP="004C79A3">
            <w:pPr>
              <w:kinsoku/>
              <w:overflowPunct/>
              <w:autoSpaceDE/>
              <w:autoSpaceDN/>
              <w:adjustRightInd/>
              <w:snapToGrid/>
              <w:rPr>
                <w:rFonts w:eastAsia="Times New Roman"/>
                <w:b/>
                <w:sz w:val="16"/>
                <w:szCs w:val="16"/>
                <w:lang w:eastAsia="en-US"/>
              </w:rPr>
            </w:pPr>
            <w:r w:rsidRPr="009C15E9">
              <w:rPr>
                <w:rFonts w:eastAsia="Times New Roman"/>
                <w:bCs/>
                <w:sz w:val="16"/>
                <w:szCs w:val="16"/>
                <w:lang w:eastAsia="en-US"/>
              </w:rPr>
              <w:t>P203</w:t>
            </w:r>
            <w:r w:rsidRPr="009C15E9">
              <w:rPr>
                <w:rFonts w:eastAsia="Times New Roman"/>
                <w:bCs/>
                <w:sz w:val="16"/>
                <w:szCs w:val="16"/>
                <w:lang w:eastAsia="en-US"/>
              </w:rPr>
              <w:br/>
            </w:r>
            <w:r w:rsidRPr="009C15E9">
              <w:rPr>
                <w:rFonts w:eastAsia="Times New Roman"/>
                <w:b/>
                <w:sz w:val="16"/>
                <w:szCs w:val="16"/>
                <w:lang w:eastAsia="en-US"/>
              </w:rPr>
              <w:t xml:space="preserve">Obtain, read and follow all safety instructions before use. </w:t>
            </w:r>
          </w:p>
          <w:p w14:paraId="4E151876" w14:textId="77777777" w:rsidR="00C0147B" w:rsidRPr="009C15E9" w:rsidRDefault="00C0147B" w:rsidP="004C79A3">
            <w:pPr>
              <w:kinsoku/>
              <w:overflowPunct/>
              <w:autoSpaceDE/>
              <w:autoSpaceDN/>
              <w:adjustRightInd/>
              <w:snapToGrid/>
              <w:rPr>
                <w:rFonts w:eastAsia="Times New Roman"/>
                <w:b/>
                <w:sz w:val="16"/>
                <w:szCs w:val="16"/>
                <w:lang w:val="fr-FR" w:eastAsia="en-US"/>
              </w:rPr>
            </w:pPr>
            <w:r w:rsidRPr="009C15E9">
              <w:rPr>
                <w:rFonts w:eastAsia="Times New Roman"/>
                <w:bCs/>
                <w:sz w:val="16"/>
                <w:szCs w:val="16"/>
                <w:lang w:eastAsia="en-US"/>
              </w:rPr>
              <w:t>P210</w:t>
            </w:r>
            <w:r w:rsidRPr="009C15E9">
              <w:rPr>
                <w:rFonts w:eastAsia="Times New Roman"/>
                <w:b/>
                <w:sz w:val="16"/>
                <w:szCs w:val="16"/>
                <w:lang w:eastAsia="en-US"/>
              </w:rPr>
              <w:br/>
              <w:t>Keep away from</w:t>
            </w:r>
            <w:r w:rsidRPr="009C15E9">
              <w:rPr>
                <w:rFonts w:eastAsia="Times New Roman"/>
                <w:sz w:val="16"/>
                <w:szCs w:val="16"/>
                <w:lang w:eastAsia="en-US"/>
              </w:rPr>
              <w:t xml:space="preserve"> </w:t>
            </w:r>
            <w:r w:rsidRPr="009C15E9">
              <w:rPr>
                <w:rFonts w:eastAsia="Times New Roman"/>
                <w:b/>
                <w:sz w:val="16"/>
                <w:szCs w:val="16"/>
                <w:lang w:eastAsia="en-US"/>
              </w:rPr>
              <w:t>heat, hot surfaces, sparks, open flames and other ignition sources.</w:t>
            </w:r>
            <w:r w:rsidRPr="009C15E9">
              <w:rPr>
                <w:rFonts w:eastAsia="Times New Roman"/>
                <w:sz w:val="16"/>
                <w:szCs w:val="16"/>
                <w:lang w:eastAsia="en-US"/>
              </w:rPr>
              <w:t xml:space="preserve"> </w:t>
            </w:r>
            <w:r w:rsidRPr="009C15E9">
              <w:rPr>
                <w:rFonts w:eastAsia="Times New Roman"/>
                <w:b/>
                <w:sz w:val="16"/>
                <w:szCs w:val="16"/>
                <w:lang w:eastAsia="en-US"/>
              </w:rPr>
              <w:t>No smoking.</w:t>
            </w:r>
          </w:p>
          <w:p w14:paraId="1A5835D8"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i/>
                <w:iCs/>
                <w:sz w:val="16"/>
                <w:szCs w:val="16"/>
                <w:lang w:eastAsia="en-US"/>
              </w:rPr>
            </w:pPr>
            <w:r w:rsidRPr="009C15E9">
              <w:rPr>
                <w:rFonts w:eastAsia="Times New Roman"/>
                <w:bCs/>
                <w:sz w:val="16"/>
                <w:szCs w:val="16"/>
                <w:lang w:eastAsia="en-US"/>
              </w:rPr>
              <w:t>P230</w:t>
            </w:r>
            <w:r w:rsidRPr="009C15E9">
              <w:rPr>
                <w:rFonts w:eastAsia="Times New Roman"/>
                <w:b/>
                <w:sz w:val="16"/>
                <w:szCs w:val="16"/>
                <w:lang w:eastAsia="en-US"/>
              </w:rPr>
              <w:br/>
              <w:t>Keep diluted with...</w:t>
            </w:r>
            <w:r w:rsidRPr="009C15E9">
              <w:rPr>
                <w:rFonts w:eastAsia="Times New Roman"/>
                <w:b/>
                <w:sz w:val="16"/>
                <w:szCs w:val="16"/>
                <w:lang w:eastAsia="en-US"/>
              </w:rPr>
              <w:br/>
            </w:r>
            <w:r w:rsidRPr="009C15E9">
              <w:rPr>
                <w:rFonts w:eastAsia="Times New Roman"/>
                <w:i/>
                <w:iCs/>
                <w:sz w:val="16"/>
                <w:szCs w:val="16"/>
                <w:lang w:eastAsia="en-US"/>
              </w:rPr>
              <w:t>- for explosive substances and mixtures that are diluted with solids or liquids, or wetted with, dissolved or suspended in water or other liquids to reduce their explosives properties</w:t>
            </w:r>
            <w:r w:rsidRPr="009C15E9">
              <w:rPr>
                <w:rFonts w:eastAsia="Times New Roman"/>
                <w:i/>
                <w:iCs/>
                <w:sz w:val="16"/>
                <w:szCs w:val="16"/>
                <w:lang w:eastAsia="en-US"/>
              </w:rPr>
              <w:br/>
            </w:r>
            <w:r w:rsidRPr="009C15E9">
              <w:rPr>
                <w:rFonts w:eastAsia="Times New Roman"/>
                <w:bCs/>
                <w:sz w:val="16"/>
                <w:szCs w:val="16"/>
                <w:lang w:eastAsia="en-US"/>
              </w:rPr>
              <w:t>… M</w:t>
            </w:r>
            <w:r w:rsidRPr="009C15E9">
              <w:rPr>
                <w:rFonts w:eastAsia="Times New Roman"/>
                <w:sz w:val="16"/>
                <w:szCs w:val="16"/>
                <w:lang w:eastAsia="en-US"/>
              </w:rPr>
              <w:t>anufacturer/supplier or the competent authority to specify appropriate material.</w:t>
            </w:r>
            <w:r w:rsidRPr="009C15E9">
              <w:rPr>
                <w:rFonts w:eastAsia="Times New Roman"/>
                <w:i/>
                <w:iCs/>
                <w:sz w:val="16"/>
                <w:szCs w:val="16"/>
                <w:lang w:eastAsia="en-US"/>
              </w:rPr>
              <w:t xml:space="preserve">  </w:t>
            </w:r>
          </w:p>
          <w:p w14:paraId="4516642E"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bCs/>
                <w:sz w:val="16"/>
                <w:szCs w:val="16"/>
                <w:lang w:eastAsia="en-US"/>
              </w:rPr>
            </w:pPr>
            <w:r w:rsidRPr="009C15E9">
              <w:rPr>
                <w:rFonts w:eastAsia="Times New Roman"/>
                <w:bCs/>
                <w:sz w:val="16"/>
                <w:szCs w:val="16"/>
                <w:lang w:eastAsia="en-US"/>
              </w:rPr>
              <w:t>P240</w:t>
            </w:r>
            <w:r w:rsidRPr="009C15E9">
              <w:rPr>
                <w:rFonts w:eastAsia="Times New Roman"/>
                <w:b/>
                <w:sz w:val="16"/>
                <w:szCs w:val="16"/>
                <w:lang w:eastAsia="en-US"/>
              </w:rPr>
              <w:br/>
              <w:t>Ground and bond container and receiving equipment.</w:t>
            </w:r>
            <w:r w:rsidRPr="009C15E9">
              <w:rPr>
                <w:rFonts w:eastAsia="Times New Roman"/>
                <w:b/>
                <w:sz w:val="16"/>
                <w:szCs w:val="16"/>
                <w:lang w:eastAsia="en-US"/>
              </w:rPr>
              <w:br/>
            </w:r>
            <w:r w:rsidRPr="009C15E9">
              <w:rPr>
                <w:rFonts w:eastAsia="Times New Roman"/>
                <w:i/>
                <w:iCs/>
                <w:sz w:val="16"/>
                <w:szCs w:val="16"/>
                <w:lang w:eastAsia="en-US"/>
              </w:rPr>
              <w:t xml:space="preserve">– </w:t>
            </w:r>
            <w:r w:rsidRPr="009C15E9">
              <w:rPr>
                <w:rFonts w:eastAsia="Times New Roman"/>
                <w:i/>
                <w:sz w:val="16"/>
                <w:szCs w:val="16"/>
                <w:lang w:eastAsia="en-US"/>
              </w:rPr>
              <w:t>if the explosive is electrostatically sensitive.</w:t>
            </w:r>
          </w:p>
          <w:p w14:paraId="070E01D8"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bCs/>
                <w:sz w:val="16"/>
                <w:szCs w:val="16"/>
                <w:lang w:eastAsia="en-US"/>
              </w:rPr>
            </w:pPr>
            <w:r w:rsidRPr="009C15E9">
              <w:rPr>
                <w:rFonts w:eastAsia="Times New Roman"/>
                <w:bCs/>
                <w:sz w:val="16"/>
                <w:szCs w:val="16"/>
                <w:lang w:eastAsia="en-US"/>
              </w:rPr>
              <w:t>P250</w:t>
            </w:r>
            <w:r w:rsidRPr="009C15E9">
              <w:rPr>
                <w:rFonts w:eastAsia="Times New Roman"/>
                <w:b/>
                <w:sz w:val="16"/>
                <w:szCs w:val="16"/>
                <w:lang w:eastAsia="en-US"/>
              </w:rPr>
              <w:br/>
              <w:t>Do not</w:t>
            </w:r>
            <w:r w:rsidRPr="009C15E9">
              <w:rPr>
                <w:rFonts w:eastAsia="Times New Roman"/>
                <w:sz w:val="16"/>
                <w:szCs w:val="16"/>
                <w:lang w:eastAsia="en-US"/>
              </w:rPr>
              <w:t xml:space="preserve"> </w:t>
            </w:r>
            <w:r w:rsidRPr="009C15E9">
              <w:rPr>
                <w:rFonts w:eastAsia="Times New Roman"/>
                <w:b/>
                <w:sz w:val="16"/>
                <w:szCs w:val="16"/>
                <w:lang w:eastAsia="en-US"/>
              </w:rPr>
              <w:t>subject to grinding/shock/friction/...</w:t>
            </w:r>
            <w:r w:rsidRPr="009C15E9">
              <w:rPr>
                <w:rFonts w:eastAsia="Times New Roman"/>
                <w:b/>
                <w:sz w:val="16"/>
                <w:szCs w:val="16"/>
                <w:lang w:eastAsia="en-US"/>
              </w:rPr>
              <w:br/>
            </w:r>
            <w:r w:rsidRPr="009C15E9">
              <w:rPr>
                <w:rFonts w:eastAsia="Times New Roman"/>
                <w:i/>
                <w:sz w:val="16"/>
                <w:szCs w:val="16"/>
                <w:lang w:eastAsia="en-US"/>
              </w:rPr>
              <w:t>– if the explosive is mechanically sensitive.</w:t>
            </w:r>
            <w:r w:rsidRPr="009C15E9">
              <w:rPr>
                <w:rFonts w:eastAsia="Times New Roman"/>
                <w:i/>
                <w:sz w:val="16"/>
                <w:szCs w:val="16"/>
                <w:lang w:eastAsia="en-US"/>
              </w:rPr>
              <w:br/>
            </w:r>
            <w:r w:rsidRPr="009C15E9">
              <w:rPr>
                <w:rFonts w:eastAsia="Times New Roman"/>
                <w:bCs/>
                <w:sz w:val="16"/>
                <w:szCs w:val="16"/>
                <w:lang w:eastAsia="en-US"/>
              </w:rPr>
              <w:t>…Manufacturer/supplier or the competent authority to specify applicable rough handling.</w:t>
            </w:r>
          </w:p>
          <w:p w14:paraId="3F6979BC"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sz w:val="16"/>
                <w:szCs w:val="16"/>
                <w:lang w:eastAsia="en-US"/>
              </w:rPr>
            </w:pPr>
            <w:r w:rsidRPr="009C15E9">
              <w:rPr>
                <w:rFonts w:eastAsia="Times New Roman"/>
                <w:bCs/>
                <w:color w:val="000000"/>
                <w:sz w:val="16"/>
                <w:szCs w:val="16"/>
                <w:lang w:eastAsia="en-US"/>
              </w:rPr>
              <w:t>P280</w:t>
            </w:r>
            <w:r w:rsidRPr="009C15E9">
              <w:rPr>
                <w:rFonts w:eastAsia="Times New Roman"/>
                <w:b/>
                <w:color w:val="000000"/>
                <w:sz w:val="16"/>
                <w:szCs w:val="16"/>
                <w:lang w:eastAsia="en-US"/>
              </w:rPr>
              <w:br/>
            </w:r>
            <w:r w:rsidRPr="009C15E9">
              <w:rPr>
                <w:rFonts w:eastAsia="Times New Roman"/>
                <w:b/>
                <w:sz w:val="16"/>
                <w:szCs w:val="16"/>
                <w:lang w:eastAsia="en-US"/>
              </w:rPr>
              <w:t xml:space="preserve">Wear protective gloves/protective clothing/eye protection/face protection/hearing protection/... </w:t>
            </w:r>
            <w:r w:rsidRPr="009C15E9">
              <w:rPr>
                <w:rFonts w:eastAsia="Times New Roman"/>
                <w:b/>
                <w:sz w:val="16"/>
                <w:szCs w:val="16"/>
                <w:lang w:eastAsia="en-US"/>
              </w:rPr>
              <w:br/>
            </w:r>
            <w:r w:rsidRPr="009C15E9">
              <w:rPr>
                <w:rFonts w:eastAsia="Times New Roman"/>
                <w:bCs/>
                <w:sz w:val="16"/>
                <w:szCs w:val="16"/>
                <w:lang w:eastAsia="en-US"/>
              </w:rPr>
              <w:t>Manufacturer/supplier or the competent authority to specify the appropriate personal protective equipment</w:t>
            </w:r>
            <w:r w:rsidRPr="009C15E9">
              <w:rPr>
                <w:rFonts w:eastAsia="Times New Roman"/>
                <w:color w:val="000000"/>
                <w:sz w:val="16"/>
                <w:szCs w:val="16"/>
                <w:lang w:eastAsia="en-US"/>
              </w:rPr>
              <w:t>.</w:t>
            </w:r>
          </w:p>
        </w:tc>
        <w:tc>
          <w:tcPr>
            <w:tcW w:w="2552" w:type="dxa"/>
            <w:gridSpan w:val="3"/>
            <w:tcBorders>
              <w:top w:val="single" w:sz="4" w:space="0" w:color="auto"/>
              <w:left w:val="single" w:sz="4" w:space="0" w:color="auto"/>
              <w:bottom w:val="single" w:sz="4" w:space="0" w:color="auto"/>
              <w:right w:val="single" w:sz="4" w:space="0" w:color="auto"/>
            </w:tcBorders>
            <w:hideMark/>
          </w:tcPr>
          <w:p w14:paraId="4C6FF8F6" w14:textId="77777777" w:rsidR="00C0147B" w:rsidRPr="009C15E9" w:rsidRDefault="00C0147B" w:rsidP="004C79A3">
            <w:pPr>
              <w:keepNext/>
              <w:keepLines/>
              <w:tabs>
                <w:tab w:val="left" w:pos="288"/>
              </w:tabs>
              <w:kinsoku/>
              <w:overflowPunct/>
              <w:autoSpaceDE/>
              <w:autoSpaceDN/>
              <w:adjustRightInd/>
              <w:snapToGrid/>
              <w:spacing w:before="20" w:after="80" w:line="240" w:lineRule="auto"/>
              <w:rPr>
                <w:rFonts w:eastAsia="Times New Roman"/>
                <w:b/>
                <w:sz w:val="16"/>
                <w:szCs w:val="16"/>
                <w:lang w:eastAsia="en-US"/>
              </w:rPr>
            </w:pPr>
            <w:r w:rsidRPr="009C15E9">
              <w:rPr>
                <w:rFonts w:eastAsia="Times New Roman"/>
                <w:bCs/>
                <w:sz w:val="16"/>
                <w:szCs w:val="16"/>
                <w:lang w:eastAsia="en-US"/>
              </w:rPr>
              <w:t>P370 + P372 + P380 + P373</w:t>
            </w:r>
            <w:r w:rsidRPr="009C15E9">
              <w:rPr>
                <w:rFonts w:eastAsia="Times New Roman"/>
                <w:bCs/>
                <w:sz w:val="16"/>
                <w:szCs w:val="16"/>
                <w:lang w:eastAsia="en-US"/>
              </w:rPr>
              <w:br/>
            </w:r>
            <w:r w:rsidRPr="009C15E9">
              <w:rPr>
                <w:rFonts w:eastAsia="Times New Roman"/>
                <w:b/>
                <w:bCs/>
                <w:sz w:val="16"/>
                <w:szCs w:val="16"/>
                <w:lang w:eastAsia="en-US"/>
              </w:rPr>
              <w:t>In case of fire:</w:t>
            </w:r>
            <w:r w:rsidRPr="009C15E9">
              <w:rPr>
                <w:rFonts w:eastAsia="Times New Roman"/>
                <w:b/>
                <w:sz w:val="16"/>
                <w:szCs w:val="16"/>
                <w:lang w:eastAsia="en-US"/>
              </w:rPr>
              <w:t xml:space="preserve"> Explosion risk.</w:t>
            </w:r>
            <w:r w:rsidRPr="009C15E9">
              <w:rPr>
                <w:rFonts w:eastAsia="Times New Roman"/>
                <w:sz w:val="16"/>
                <w:szCs w:val="16"/>
                <w:lang w:eastAsia="en-US"/>
              </w:rPr>
              <w:t xml:space="preserve"> </w:t>
            </w:r>
            <w:r w:rsidRPr="009C15E9">
              <w:rPr>
                <w:rFonts w:eastAsia="Times New Roman"/>
                <w:b/>
                <w:sz w:val="16"/>
                <w:szCs w:val="16"/>
                <w:lang w:eastAsia="en-US"/>
              </w:rPr>
              <w:t>Evacuate area. DO NOT fight fire when fire reaches explosives.</w:t>
            </w:r>
          </w:p>
        </w:tc>
        <w:tc>
          <w:tcPr>
            <w:tcW w:w="1843" w:type="dxa"/>
            <w:gridSpan w:val="2"/>
            <w:tcBorders>
              <w:top w:val="single" w:sz="4" w:space="0" w:color="auto"/>
              <w:left w:val="single" w:sz="4" w:space="0" w:color="auto"/>
              <w:bottom w:val="single" w:sz="4" w:space="0" w:color="auto"/>
              <w:right w:val="single" w:sz="4" w:space="0" w:color="auto"/>
            </w:tcBorders>
            <w:hideMark/>
          </w:tcPr>
          <w:p w14:paraId="7EAEE322"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sz w:val="16"/>
                <w:szCs w:val="16"/>
                <w:lang w:eastAsia="en-US"/>
              </w:rPr>
            </w:pPr>
            <w:r w:rsidRPr="009C15E9">
              <w:rPr>
                <w:rFonts w:eastAsia="Times New Roman"/>
                <w:bCs/>
                <w:sz w:val="16"/>
                <w:szCs w:val="16"/>
                <w:lang w:eastAsia="en-US"/>
              </w:rPr>
              <w:t>P401</w:t>
            </w:r>
            <w:r w:rsidRPr="009C15E9">
              <w:rPr>
                <w:rFonts w:eastAsia="Times New Roman"/>
                <w:b/>
                <w:sz w:val="16"/>
                <w:szCs w:val="16"/>
                <w:lang w:eastAsia="en-US"/>
              </w:rPr>
              <w:br/>
              <w:t>Store in accordance with…</w:t>
            </w:r>
            <w:r w:rsidRPr="009C15E9">
              <w:rPr>
                <w:rFonts w:eastAsia="Times New Roman"/>
                <w:b/>
                <w:sz w:val="16"/>
                <w:szCs w:val="16"/>
                <w:lang w:eastAsia="en-US"/>
              </w:rPr>
              <w:br/>
            </w:r>
            <w:r w:rsidRPr="009C15E9">
              <w:rPr>
                <w:rFonts w:eastAsia="Times New Roman"/>
                <w:sz w:val="16"/>
                <w:szCs w:val="16"/>
                <w:lang w:eastAsia="en-US"/>
              </w:rPr>
              <w:t>… Manufacturer/supplier or the competent authority to specify local/regional/ national/international regulations as applicable.</w:t>
            </w:r>
          </w:p>
        </w:tc>
        <w:tc>
          <w:tcPr>
            <w:tcW w:w="2268" w:type="dxa"/>
            <w:tcBorders>
              <w:top w:val="single" w:sz="4" w:space="0" w:color="auto"/>
              <w:left w:val="single" w:sz="4" w:space="0" w:color="auto"/>
              <w:bottom w:val="single" w:sz="4" w:space="0" w:color="auto"/>
              <w:right w:val="single" w:sz="4" w:space="0" w:color="auto"/>
            </w:tcBorders>
            <w:hideMark/>
          </w:tcPr>
          <w:p w14:paraId="164C9387"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sz w:val="16"/>
                <w:szCs w:val="16"/>
                <w:lang w:eastAsia="en-US"/>
              </w:rPr>
            </w:pPr>
            <w:r w:rsidRPr="009C15E9">
              <w:rPr>
                <w:rFonts w:eastAsia="Times New Roman"/>
                <w:sz w:val="16"/>
                <w:szCs w:val="16"/>
                <w:lang w:eastAsia="en-US"/>
              </w:rPr>
              <w:t>P503</w:t>
            </w:r>
            <w:r w:rsidRPr="009C15E9">
              <w:rPr>
                <w:rFonts w:eastAsia="Times New Roman"/>
                <w:sz w:val="16"/>
                <w:szCs w:val="16"/>
                <w:lang w:eastAsia="en-US"/>
              </w:rPr>
              <w:br/>
            </w:r>
            <w:r w:rsidRPr="009C15E9">
              <w:rPr>
                <w:rFonts w:eastAsia="Times New Roman"/>
                <w:b/>
                <w:sz w:val="16"/>
                <w:szCs w:val="16"/>
                <w:lang w:eastAsia="en-US"/>
              </w:rPr>
              <w:t>Refer to manufacturer/ supplier/… for information on disposal/recovery/ recycling</w:t>
            </w:r>
            <w:r w:rsidRPr="009C15E9">
              <w:rPr>
                <w:rFonts w:eastAsia="Times New Roman"/>
                <w:b/>
                <w:sz w:val="16"/>
                <w:szCs w:val="16"/>
                <w:lang w:eastAsia="en-US"/>
              </w:rPr>
              <w:br/>
            </w:r>
            <w:r w:rsidRPr="009C15E9">
              <w:rPr>
                <w:rFonts w:eastAsia="Times New Roman"/>
                <w:sz w:val="16"/>
                <w:szCs w:val="16"/>
                <w:lang w:eastAsia="en-US"/>
              </w:rPr>
              <w:t>… Manufacturer/supplier or the competent authority to specify appropriate source of information in accordance with local/regional/</w:t>
            </w:r>
            <w:r w:rsidRPr="009C15E9">
              <w:rPr>
                <w:rFonts w:eastAsia="Times New Roman"/>
                <w:sz w:val="16"/>
                <w:szCs w:val="16"/>
                <w:lang w:eastAsia="en-US"/>
              </w:rPr>
              <w:br/>
              <w:t>national/international regulations as applicable.</w:t>
            </w:r>
          </w:p>
        </w:tc>
      </w:tr>
    </w:tbl>
    <w:p w14:paraId="13730593" w14:textId="77777777" w:rsidR="00C0147B" w:rsidRPr="009C15E9" w:rsidRDefault="00C0147B" w:rsidP="00C0147B">
      <w:pPr>
        <w:kinsoku/>
        <w:overflowPunct/>
        <w:autoSpaceDE/>
        <w:autoSpaceDN/>
        <w:adjustRightInd/>
        <w:snapToGrid/>
        <w:rPr>
          <w:rFonts w:eastAsia="Times New Roman"/>
          <w:lang w:eastAsia="en-US"/>
        </w:rPr>
      </w:pPr>
    </w:p>
    <w:tbl>
      <w:tblPr>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2018"/>
        <w:gridCol w:w="108"/>
        <w:gridCol w:w="2268"/>
        <w:gridCol w:w="176"/>
        <w:gridCol w:w="567"/>
        <w:gridCol w:w="1842"/>
        <w:gridCol w:w="2127"/>
        <w:gridCol w:w="284"/>
      </w:tblGrid>
      <w:tr w:rsidR="00C0147B" w:rsidRPr="009C15E9" w14:paraId="0AA43A30" w14:textId="77777777" w:rsidTr="00DC6860">
        <w:trPr>
          <w:gridAfter w:val="1"/>
          <w:wAfter w:w="284" w:type="dxa"/>
          <w:cantSplit/>
          <w:trHeight w:val="438"/>
        </w:trPr>
        <w:tc>
          <w:tcPr>
            <w:tcW w:w="14034" w:type="dxa"/>
            <w:gridSpan w:val="9"/>
            <w:tcBorders>
              <w:top w:val="nil"/>
              <w:left w:val="nil"/>
              <w:bottom w:val="nil"/>
              <w:right w:val="nil"/>
            </w:tcBorders>
            <w:hideMark/>
          </w:tcPr>
          <w:p w14:paraId="3EA9941F" w14:textId="77777777" w:rsidR="00C0147B" w:rsidRPr="009C15E9" w:rsidRDefault="00C0147B" w:rsidP="004C79A3">
            <w:pPr>
              <w:keepNext/>
              <w:keepLines/>
              <w:kinsoku/>
              <w:overflowPunct/>
              <w:autoSpaceDE/>
              <w:adjustRightInd/>
              <w:snapToGrid/>
              <w:spacing w:before="60" w:after="240" w:line="240" w:lineRule="auto"/>
              <w:ind w:firstLine="34"/>
              <w:jc w:val="center"/>
              <w:outlineLvl w:val="1"/>
              <w:rPr>
                <w:rFonts w:eastAsia="Times New Roman"/>
                <w:b/>
                <w:bCs/>
                <w:i/>
                <w:sz w:val="16"/>
                <w:szCs w:val="16"/>
                <w:lang w:eastAsia="en-US"/>
              </w:rPr>
            </w:pPr>
            <w:r w:rsidRPr="009C15E9">
              <w:rPr>
                <w:rFonts w:eastAsia="Times New Roman" w:cs="Arial"/>
                <w:b/>
                <w:bCs/>
                <w:sz w:val="16"/>
                <w:szCs w:val="16"/>
                <w:lang w:val="fr-FR" w:eastAsia="fr-FR"/>
              </w:rPr>
              <w:lastRenderedPageBreak/>
              <w:br w:type="page"/>
            </w:r>
            <w:r w:rsidRPr="009C15E9">
              <w:rPr>
                <w:rFonts w:eastAsia="Times New Roman" w:cs="Arial"/>
                <w:b/>
                <w:bCs/>
                <w:iCs/>
                <w:caps/>
                <w:sz w:val="16"/>
                <w:szCs w:val="16"/>
                <w:lang w:val="fr-FR" w:eastAsia="fr-FR"/>
              </w:rPr>
              <w:br w:type="page"/>
            </w:r>
            <w:r w:rsidRPr="009C15E9">
              <w:rPr>
                <w:rFonts w:eastAsia="Times New Roman" w:cs="Arial"/>
                <w:b/>
                <w:bCs/>
                <w:iCs/>
                <w:caps/>
                <w:sz w:val="16"/>
                <w:szCs w:val="16"/>
                <w:lang w:val="fr-FR" w:eastAsia="fr-FR"/>
              </w:rPr>
              <w:br w:type="page"/>
            </w:r>
            <w:r w:rsidRPr="009C15E9">
              <w:rPr>
                <w:rFonts w:eastAsia="Times New Roman"/>
                <w:b/>
                <w:bCs/>
                <w:sz w:val="16"/>
                <w:szCs w:val="16"/>
                <w:lang w:eastAsia="en-US"/>
              </w:rPr>
              <w:t>EXPLOSIVES</w:t>
            </w:r>
            <w:r w:rsidRPr="009C15E9">
              <w:rPr>
                <w:rFonts w:eastAsia="Times New Roman"/>
                <w:b/>
                <w:bCs/>
                <w:sz w:val="16"/>
                <w:szCs w:val="16"/>
                <w:lang w:eastAsia="en-US"/>
              </w:rPr>
              <w:br/>
              <w:t>(CHAPTER 2.1)</w:t>
            </w:r>
          </w:p>
        </w:tc>
      </w:tr>
      <w:tr w:rsidR="00C0147B" w:rsidRPr="009C15E9" w14:paraId="66D81235" w14:textId="77777777" w:rsidTr="00DC6860">
        <w:trPr>
          <w:gridAfter w:val="1"/>
          <w:wAfter w:w="284" w:type="dxa"/>
          <w:cantSplit/>
        </w:trPr>
        <w:tc>
          <w:tcPr>
            <w:tcW w:w="3369" w:type="dxa"/>
            <w:tcBorders>
              <w:top w:val="nil"/>
              <w:left w:val="nil"/>
              <w:bottom w:val="nil"/>
              <w:right w:val="nil"/>
            </w:tcBorders>
            <w:hideMark/>
          </w:tcPr>
          <w:p w14:paraId="5958FD81"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b/>
                <w:bCs/>
                <w:sz w:val="16"/>
                <w:szCs w:val="16"/>
                <w:lang w:eastAsia="en-US"/>
              </w:rPr>
            </w:pPr>
            <w:r w:rsidRPr="009C15E9">
              <w:rPr>
                <w:rFonts w:eastAsia="Times New Roman"/>
                <w:b/>
                <w:bCs/>
                <w:sz w:val="16"/>
                <w:szCs w:val="16"/>
                <w:lang w:eastAsia="en-US"/>
              </w:rPr>
              <w:t>Hazard category</w:t>
            </w:r>
          </w:p>
        </w:tc>
        <w:tc>
          <w:tcPr>
            <w:tcW w:w="3685" w:type="dxa"/>
            <w:gridSpan w:val="3"/>
            <w:tcBorders>
              <w:top w:val="nil"/>
              <w:left w:val="nil"/>
              <w:bottom w:val="nil"/>
              <w:right w:val="nil"/>
            </w:tcBorders>
            <w:hideMark/>
          </w:tcPr>
          <w:p w14:paraId="4602354D"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b/>
                <w:bCs/>
                <w:sz w:val="16"/>
                <w:szCs w:val="16"/>
                <w:lang w:eastAsia="en-US"/>
              </w:rPr>
            </w:pPr>
            <w:r w:rsidRPr="009C15E9">
              <w:rPr>
                <w:rFonts w:eastAsia="Times New Roman"/>
                <w:b/>
                <w:bCs/>
                <w:sz w:val="16"/>
                <w:szCs w:val="16"/>
                <w:lang w:eastAsia="en-US"/>
              </w:rPr>
              <w:t>Symbol</w:t>
            </w:r>
          </w:p>
        </w:tc>
        <w:tc>
          <w:tcPr>
            <w:tcW w:w="2268" w:type="dxa"/>
            <w:tcBorders>
              <w:top w:val="nil"/>
              <w:left w:val="nil"/>
              <w:bottom w:val="nil"/>
              <w:right w:val="nil"/>
            </w:tcBorders>
            <w:hideMark/>
          </w:tcPr>
          <w:p w14:paraId="5DC392FA"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b/>
                <w:bCs/>
                <w:sz w:val="16"/>
                <w:szCs w:val="16"/>
                <w:lang w:eastAsia="en-US"/>
              </w:rPr>
            </w:pPr>
            <w:r w:rsidRPr="009C15E9">
              <w:rPr>
                <w:rFonts w:eastAsia="Times New Roman"/>
                <w:b/>
                <w:bCs/>
                <w:sz w:val="16"/>
                <w:szCs w:val="16"/>
                <w:lang w:eastAsia="en-US"/>
              </w:rPr>
              <w:t>Signal word</w:t>
            </w:r>
          </w:p>
        </w:tc>
        <w:tc>
          <w:tcPr>
            <w:tcW w:w="4712" w:type="dxa"/>
            <w:gridSpan w:val="4"/>
            <w:tcBorders>
              <w:top w:val="nil"/>
              <w:left w:val="nil"/>
              <w:bottom w:val="nil"/>
              <w:right w:val="nil"/>
            </w:tcBorders>
            <w:hideMark/>
          </w:tcPr>
          <w:p w14:paraId="32EA7004" w14:textId="77777777" w:rsidR="00C0147B" w:rsidRPr="009C15E9" w:rsidRDefault="00C0147B" w:rsidP="004C79A3">
            <w:pPr>
              <w:keepNext/>
              <w:keepLines/>
              <w:kinsoku/>
              <w:overflowPunct/>
              <w:autoSpaceDE/>
              <w:autoSpaceDN/>
              <w:adjustRightInd/>
              <w:snapToGrid/>
              <w:spacing w:before="40" w:after="40" w:line="240" w:lineRule="auto"/>
              <w:ind w:right="252"/>
              <w:jc w:val="both"/>
              <w:rPr>
                <w:rFonts w:eastAsia="Times New Roman"/>
                <w:b/>
                <w:bCs/>
                <w:sz w:val="16"/>
                <w:szCs w:val="16"/>
                <w:lang w:eastAsia="en-US"/>
              </w:rPr>
            </w:pPr>
            <w:r w:rsidRPr="009C15E9">
              <w:rPr>
                <w:rFonts w:eastAsia="Times New Roman"/>
                <w:b/>
                <w:bCs/>
                <w:sz w:val="16"/>
                <w:szCs w:val="16"/>
                <w:lang w:eastAsia="en-US"/>
              </w:rPr>
              <w:t>Hazard statement</w:t>
            </w:r>
          </w:p>
        </w:tc>
      </w:tr>
      <w:tr w:rsidR="00C0147B" w:rsidRPr="009C15E9" w14:paraId="4B193517" w14:textId="77777777" w:rsidTr="00DC6860">
        <w:trPr>
          <w:cantSplit/>
        </w:trPr>
        <w:tc>
          <w:tcPr>
            <w:tcW w:w="3369" w:type="dxa"/>
            <w:tcBorders>
              <w:top w:val="nil"/>
              <w:left w:val="nil"/>
              <w:bottom w:val="nil"/>
              <w:right w:val="nil"/>
            </w:tcBorders>
            <w:hideMark/>
          </w:tcPr>
          <w:p w14:paraId="0A3F6368"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r w:rsidRPr="009C15E9">
              <w:rPr>
                <w:rFonts w:eastAsia="Times New Roman"/>
                <w:sz w:val="16"/>
                <w:szCs w:val="16"/>
                <w:lang w:eastAsia="en-US"/>
              </w:rPr>
              <w:t>2A</w:t>
            </w:r>
          </w:p>
        </w:tc>
        <w:tc>
          <w:tcPr>
            <w:tcW w:w="1559" w:type="dxa"/>
            <w:tcBorders>
              <w:top w:val="nil"/>
              <w:left w:val="nil"/>
              <w:bottom w:val="nil"/>
              <w:right w:val="nil"/>
            </w:tcBorders>
            <w:vAlign w:val="center"/>
            <w:hideMark/>
          </w:tcPr>
          <w:p w14:paraId="3CD552B1"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sz w:val="16"/>
                <w:szCs w:val="16"/>
                <w:lang w:eastAsia="en-US"/>
              </w:rPr>
            </w:pPr>
            <w:r w:rsidRPr="009C15E9">
              <w:rPr>
                <w:rFonts w:eastAsia="Times New Roman"/>
                <w:sz w:val="16"/>
                <w:szCs w:val="16"/>
                <w:lang w:eastAsia="en-US"/>
              </w:rPr>
              <w:t>Exploding bomb</w:t>
            </w:r>
          </w:p>
        </w:tc>
        <w:tc>
          <w:tcPr>
            <w:tcW w:w="2126" w:type="dxa"/>
            <w:gridSpan w:val="2"/>
            <w:vMerge w:val="restart"/>
            <w:tcBorders>
              <w:top w:val="nil"/>
              <w:left w:val="nil"/>
              <w:bottom w:val="nil"/>
              <w:right w:val="nil"/>
            </w:tcBorders>
            <w:vAlign w:val="center"/>
            <w:hideMark/>
          </w:tcPr>
          <w:p w14:paraId="5ED215D5"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sz w:val="16"/>
                <w:szCs w:val="16"/>
                <w:lang w:eastAsia="en-US"/>
              </w:rPr>
            </w:pPr>
            <w:r w:rsidRPr="009C15E9">
              <w:rPr>
                <w:rFonts w:eastAsia="Times New Roman"/>
                <w:noProof/>
                <w:sz w:val="16"/>
                <w:szCs w:val="16"/>
                <w:lang w:val="sv-SE" w:eastAsia="sv-SE"/>
              </w:rPr>
              <w:drawing>
                <wp:inline distT="0" distB="0" distL="0" distR="0" wp14:anchorId="4BE8AAEA" wp14:editId="37F1BBE9">
                  <wp:extent cx="518160" cy="365760"/>
                  <wp:effectExtent l="0" t="0" r="0" b="0"/>
                  <wp:docPr id="11"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60" cy="365760"/>
                          </a:xfrm>
                          <a:prstGeom prst="rect">
                            <a:avLst/>
                          </a:prstGeom>
                          <a:noFill/>
                          <a:ln>
                            <a:noFill/>
                          </a:ln>
                        </pic:spPr>
                      </pic:pic>
                    </a:graphicData>
                  </a:graphic>
                </wp:inline>
              </w:drawing>
            </w:r>
          </w:p>
        </w:tc>
        <w:tc>
          <w:tcPr>
            <w:tcW w:w="2268" w:type="dxa"/>
            <w:tcBorders>
              <w:top w:val="nil"/>
              <w:left w:val="nil"/>
              <w:bottom w:val="nil"/>
              <w:right w:val="nil"/>
            </w:tcBorders>
            <w:hideMark/>
          </w:tcPr>
          <w:p w14:paraId="3C9C7BCC"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r w:rsidRPr="009C15E9">
              <w:rPr>
                <w:rFonts w:eastAsia="Times New Roman"/>
                <w:sz w:val="16"/>
                <w:szCs w:val="16"/>
                <w:lang w:eastAsia="en-US"/>
              </w:rPr>
              <w:t>Danger</w:t>
            </w:r>
          </w:p>
        </w:tc>
        <w:tc>
          <w:tcPr>
            <w:tcW w:w="743" w:type="dxa"/>
            <w:gridSpan w:val="2"/>
            <w:tcBorders>
              <w:top w:val="nil"/>
              <w:left w:val="nil"/>
              <w:bottom w:val="nil"/>
              <w:right w:val="nil"/>
            </w:tcBorders>
            <w:hideMark/>
          </w:tcPr>
          <w:p w14:paraId="5A461EC5"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sz w:val="16"/>
                <w:szCs w:val="16"/>
                <w:lang w:eastAsia="en-US"/>
              </w:rPr>
            </w:pPr>
            <w:r w:rsidRPr="009C15E9">
              <w:rPr>
                <w:rFonts w:eastAsia="Times New Roman"/>
                <w:sz w:val="16"/>
                <w:szCs w:val="16"/>
                <w:lang w:eastAsia="en-US"/>
              </w:rPr>
              <w:t>H209</w:t>
            </w:r>
          </w:p>
        </w:tc>
        <w:tc>
          <w:tcPr>
            <w:tcW w:w="4253" w:type="dxa"/>
            <w:gridSpan w:val="3"/>
            <w:tcBorders>
              <w:top w:val="nil"/>
              <w:left w:val="nil"/>
              <w:bottom w:val="nil"/>
              <w:right w:val="nil"/>
            </w:tcBorders>
            <w:hideMark/>
          </w:tcPr>
          <w:p w14:paraId="4F17475A"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r w:rsidRPr="009C15E9">
              <w:rPr>
                <w:rFonts w:eastAsia="Times New Roman"/>
                <w:sz w:val="16"/>
                <w:szCs w:val="16"/>
                <w:lang w:eastAsia="en-US"/>
              </w:rPr>
              <w:t>Explosive</w:t>
            </w:r>
          </w:p>
        </w:tc>
      </w:tr>
      <w:tr w:rsidR="00C0147B" w:rsidRPr="009C15E9" w14:paraId="0420D1C8" w14:textId="77777777" w:rsidTr="00DC6860">
        <w:trPr>
          <w:cantSplit/>
        </w:trPr>
        <w:tc>
          <w:tcPr>
            <w:tcW w:w="3369" w:type="dxa"/>
            <w:tcBorders>
              <w:top w:val="nil"/>
              <w:left w:val="nil"/>
              <w:bottom w:val="nil"/>
              <w:right w:val="nil"/>
            </w:tcBorders>
            <w:hideMark/>
          </w:tcPr>
          <w:p w14:paraId="211694B1"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r w:rsidRPr="009C15E9">
              <w:rPr>
                <w:rFonts w:eastAsia="Times New Roman"/>
                <w:sz w:val="16"/>
                <w:szCs w:val="16"/>
                <w:lang w:eastAsia="en-US"/>
              </w:rPr>
              <w:t>2B</w:t>
            </w:r>
          </w:p>
        </w:tc>
        <w:tc>
          <w:tcPr>
            <w:tcW w:w="1559" w:type="dxa"/>
            <w:tcBorders>
              <w:top w:val="nil"/>
              <w:left w:val="nil"/>
              <w:bottom w:val="nil"/>
              <w:right w:val="nil"/>
            </w:tcBorders>
            <w:vAlign w:val="center"/>
            <w:hideMark/>
          </w:tcPr>
          <w:p w14:paraId="7A52FBE6"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sz w:val="16"/>
                <w:szCs w:val="16"/>
                <w:lang w:eastAsia="en-US"/>
              </w:rPr>
            </w:pPr>
            <w:r w:rsidRPr="009C15E9">
              <w:rPr>
                <w:rFonts w:eastAsia="Times New Roman"/>
                <w:sz w:val="16"/>
                <w:szCs w:val="16"/>
                <w:lang w:eastAsia="en-US"/>
              </w:rPr>
              <w:t>Exploding bomb</w:t>
            </w:r>
          </w:p>
        </w:tc>
        <w:tc>
          <w:tcPr>
            <w:tcW w:w="2126" w:type="dxa"/>
            <w:gridSpan w:val="2"/>
            <w:vMerge/>
            <w:tcBorders>
              <w:top w:val="nil"/>
              <w:left w:val="nil"/>
              <w:bottom w:val="nil"/>
              <w:right w:val="nil"/>
            </w:tcBorders>
            <w:vAlign w:val="center"/>
            <w:hideMark/>
          </w:tcPr>
          <w:p w14:paraId="5C96B032" w14:textId="77777777" w:rsidR="00C0147B" w:rsidRPr="009C15E9" w:rsidRDefault="00C0147B" w:rsidP="004C79A3">
            <w:pPr>
              <w:kinsoku/>
              <w:overflowPunct/>
              <w:autoSpaceDE/>
              <w:autoSpaceDN/>
              <w:adjustRightInd/>
              <w:snapToGrid/>
              <w:spacing w:line="240" w:lineRule="auto"/>
              <w:rPr>
                <w:rFonts w:eastAsia="Times New Roman"/>
                <w:sz w:val="16"/>
                <w:szCs w:val="16"/>
                <w:lang w:eastAsia="en-US"/>
              </w:rPr>
            </w:pPr>
          </w:p>
        </w:tc>
        <w:tc>
          <w:tcPr>
            <w:tcW w:w="2268" w:type="dxa"/>
            <w:tcBorders>
              <w:top w:val="nil"/>
              <w:left w:val="nil"/>
              <w:bottom w:val="nil"/>
              <w:right w:val="nil"/>
            </w:tcBorders>
            <w:hideMark/>
          </w:tcPr>
          <w:p w14:paraId="1BF261EE"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r w:rsidRPr="009C15E9">
              <w:rPr>
                <w:rFonts w:eastAsia="Times New Roman"/>
                <w:sz w:val="16"/>
                <w:szCs w:val="16"/>
                <w:lang w:eastAsia="en-US"/>
              </w:rPr>
              <w:t>Warning</w:t>
            </w:r>
          </w:p>
        </w:tc>
        <w:tc>
          <w:tcPr>
            <w:tcW w:w="743" w:type="dxa"/>
            <w:gridSpan w:val="2"/>
            <w:tcBorders>
              <w:top w:val="nil"/>
              <w:left w:val="nil"/>
              <w:bottom w:val="nil"/>
              <w:right w:val="nil"/>
            </w:tcBorders>
            <w:hideMark/>
          </w:tcPr>
          <w:p w14:paraId="3CA3B34A"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sz w:val="16"/>
                <w:szCs w:val="16"/>
                <w:lang w:eastAsia="en-US"/>
              </w:rPr>
            </w:pPr>
            <w:r w:rsidRPr="009C15E9">
              <w:rPr>
                <w:rFonts w:eastAsia="Times New Roman"/>
                <w:sz w:val="16"/>
                <w:szCs w:val="16"/>
                <w:lang w:eastAsia="en-US"/>
              </w:rPr>
              <w:t>H204</w:t>
            </w:r>
          </w:p>
        </w:tc>
        <w:tc>
          <w:tcPr>
            <w:tcW w:w="4253" w:type="dxa"/>
            <w:gridSpan w:val="3"/>
            <w:tcBorders>
              <w:top w:val="nil"/>
              <w:left w:val="nil"/>
              <w:bottom w:val="nil"/>
              <w:right w:val="nil"/>
            </w:tcBorders>
            <w:hideMark/>
          </w:tcPr>
          <w:p w14:paraId="6F21F0D3"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r w:rsidRPr="009C15E9">
              <w:rPr>
                <w:rFonts w:eastAsia="Times New Roman"/>
                <w:sz w:val="16"/>
                <w:szCs w:val="16"/>
                <w:lang w:eastAsia="en-US"/>
              </w:rPr>
              <w:t>Fire or projection hazard</w:t>
            </w:r>
          </w:p>
        </w:tc>
      </w:tr>
      <w:tr w:rsidR="00C0147B" w:rsidRPr="009C15E9" w14:paraId="3573874D" w14:textId="77777777" w:rsidTr="00DC6860">
        <w:trPr>
          <w:gridAfter w:val="1"/>
          <w:wAfter w:w="284" w:type="dxa"/>
          <w:cantSplit/>
        </w:trPr>
        <w:tc>
          <w:tcPr>
            <w:tcW w:w="14034" w:type="dxa"/>
            <w:gridSpan w:val="9"/>
            <w:tcBorders>
              <w:top w:val="single" w:sz="4" w:space="0" w:color="auto"/>
              <w:left w:val="single" w:sz="4" w:space="0" w:color="auto"/>
              <w:bottom w:val="single" w:sz="4" w:space="0" w:color="auto"/>
              <w:right w:val="single" w:sz="4" w:space="0" w:color="auto"/>
            </w:tcBorders>
            <w:hideMark/>
          </w:tcPr>
          <w:p w14:paraId="7A1C9455" w14:textId="77777777" w:rsidR="00C0147B" w:rsidRPr="009C15E9" w:rsidRDefault="00C0147B" w:rsidP="004C79A3">
            <w:pPr>
              <w:keepNext/>
              <w:keepLines/>
              <w:shd w:val="solid" w:color="FFFFFF" w:fill="FFFFFF"/>
              <w:kinsoku/>
              <w:overflowPunct/>
              <w:autoSpaceDE/>
              <w:adjustRightInd/>
              <w:snapToGrid/>
              <w:spacing w:before="60" w:after="60" w:line="240" w:lineRule="auto"/>
              <w:ind w:left="-102"/>
              <w:jc w:val="center"/>
              <w:outlineLvl w:val="6"/>
              <w:rPr>
                <w:rFonts w:eastAsia="Times New Roman"/>
                <w:b/>
                <w:bCs/>
                <w:sz w:val="16"/>
                <w:szCs w:val="16"/>
                <w:lang w:eastAsia="en-US"/>
              </w:rPr>
            </w:pPr>
            <w:r w:rsidRPr="009C15E9">
              <w:rPr>
                <w:rFonts w:eastAsia="Times New Roman"/>
                <w:b/>
                <w:bCs/>
                <w:sz w:val="16"/>
                <w:szCs w:val="16"/>
                <w:lang w:eastAsia="en-US"/>
              </w:rPr>
              <w:t>Precautionary statements</w:t>
            </w:r>
          </w:p>
        </w:tc>
      </w:tr>
      <w:tr w:rsidR="00C0147B" w:rsidRPr="009C15E9" w14:paraId="43C5416B" w14:textId="77777777" w:rsidTr="00DC6860">
        <w:trPr>
          <w:gridAfter w:val="1"/>
          <w:wAfter w:w="284" w:type="dxa"/>
        </w:trPr>
        <w:tc>
          <w:tcPr>
            <w:tcW w:w="6946" w:type="dxa"/>
            <w:gridSpan w:val="3"/>
            <w:tcBorders>
              <w:top w:val="single" w:sz="4" w:space="0" w:color="auto"/>
              <w:left w:val="single" w:sz="4" w:space="0" w:color="auto"/>
              <w:bottom w:val="single" w:sz="4" w:space="0" w:color="auto"/>
              <w:right w:val="single" w:sz="4" w:space="0" w:color="auto"/>
            </w:tcBorders>
            <w:hideMark/>
          </w:tcPr>
          <w:p w14:paraId="2C1A69B8" w14:textId="77777777" w:rsidR="00C0147B" w:rsidRPr="009C15E9" w:rsidRDefault="00C0147B" w:rsidP="004C79A3">
            <w:pPr>
              <w:keepNext/>
              <w:keepLines/>
              <w:kinsoku/>
              <w:overflowPunct/>
              <w:autoSpaceDE/>
              <w:autoSpaceDN/>
              <w:adjustRightInd/>
              <w:snapToGrid/>
              <w:spacing w:before="30" w:after="30" w:line="240" w:lineRule="auto"/>
              <w:jc w:val="center"/>
              <w:rPr>
                <w:rFonts w:eastAsia="Times New Roman"/>
                <w:b/>
                <w:bCs/>
                <w:sz w:val="16"/>
                <w:szCs w:val="16"/>
                <w:lang w:eastAsia="en-US"/>
              </w:rPr>
            </w:pPr>
            <w:r w:rsidRPr="009C15E9">
              <w:rPr>
                <w:rFonts w:eastAsia="Times New Roman"/>
                <w:b/>
                <w:bCs/>
                <w:sz w:val="16"/>
                <w:szCs w:val="16"/>
                <w:lang w:eastAsia="en-US"/>
              </w:rPr>
              <w:t>Prevention</w:t>
            </w:r>
          </w:p>
        </w:tc>
        <w:tc>
          <w:tcPr>
            <w:tcW w:w="2552" w:type="dxa"/>
            <w:gridSpan w:val="3"/>
            <w:tcBorders>
              <w:top w:val="single" w:sz="4" w:space="0" w:color="auto"/>
              <w:left w:val="single" w:sz="4" w:space="0" w:color="auto"/>
              <w:bottom w:val="single" w:sz="4" w:space="0" w:color="auto"/>
              <w:right w:val="single" w:sz="4" w:space="0" w:color="auto"/>
            </w:tcBorders>
            <w:hideMark/>
          </w:tcPr>
          <w:p w14:paraId="0C567C08" w14:textId="77777777" w:rsidR="00C0147B" w:rsidRPr="009C15E9" w:rsidRDefault="00C0147B" w:rsidP="004C79A3">
            <w:pPr>
              <w:keepNext/>
              <w:keepLines/>
              <w:kinsoku/>
              <w:overflowPunct/>
              <w:autoSpaceDE/>
              <w:autoSpaceDN/>
              <w:adjustRightInd/>
              <w:snapToGrid/>
              <w:spacing w:before="30" w:after="30" w:line="240" w:lineRule="auto"/>
              <w:jc w:val="center"/>
              <w:rPr>
                <w:rFonts w:eastAsia="Times New Roman"/>
                <w:b/>
                <w:bCs/>
                <w:sz w:val="16"/>
                <w:szCs w:val="16"/>
                <w:lang w:eastAsia="en-US"/>
              </w:rPr>
            </w:pPr>
            <w:r w:rsidRPr="009C15E9">
              <w:rPr>
                <w:rFonts w:eastAsia="Times New Roman"/>
                <w:b/>
                <w:bCs/>
                <w:sz w:val="16"/>
                <w:szCs w:val="16"/>
                <w:lang w:eastAsia="en-US"/>
              </w:rPr>
              <w:t>Response</w:t>
            </w:r>
          </w:p>
        </w:tc>
        <w:tc>
          <w:tcPr>
            <w:tcW w:w="2409" w:type="dxa"/>
            <w:gridSpan w:val="2"/>
            <w:tcBorders>
              <w:top w:val="single" w:sz="4" w:space="0" w:color="auto"/>
              <w:left w:val="single" w:sz="4" w:space="0" w:color="auto"/>
              <w:bottom w:val="single" w:sz="4" w:space="0" w:color="auto"/>
              <w:right w:val="single" w:sz="4" w:space="0" w:color="auto"/>
            </w:tcBorders>
            <w:hideMark/>
          </w:tcPr>
          <w:p w14:paraId="6CE0FD9E" w14:textId="77777777" w:rsidR="00C0147B" w:rsidRPr="009C15E9" w:rsidRDefault="00C0147B" w:rsidP="004C79A3">
            <w:pPr>
              <w:keepNext/>
              <w:keepLines/>
              <w:kinsoku/>
              <w:overflowPunct/>
              <w:autoSpaceDE/>
              <w:autoSpaceDN/>
              <w:adjustRightInd/>
              <w:snapToGrid/>
              <w:spacing w:before="30" w:after="30" w:line="240" w:lineRule="auto"/>
              <w:jc w:val="center"/>
              <w:rPr>
                <w:rFonts w:eastAsia="Times New Roman"/>
                <w:b/>
                <w:bCs/>
                <w:sz w:val="16"/>
                <w:szCs w:val="16"/>
                <w:lang w:eastAsia="en-US"/>
              </w:rPr>
            </w:pPr>
            <w:r w:rsidRPr="009C15E9">
              <w:rPr>
                <w:rFonts w:eastAsia="Times New Roman"/>
                <w:b/>
                <w:bCs/>
                <w:sz w:val="16"/>
                <w:szCs w:val="16"/>
                <w:lang w:eastAsia="en-US"/>
              </w:rPr>
              <w:t>Storage</w:t>
            </w:r>
          </w:p>
        </w:tc>
        <w:tc>
          <w:tcPr>
            <w:tcW w:w="2127" w:type="dxa"/>
            <w:tcBorders>
              <w:top w:val="single" w:sz="4" w:space="0" w:color="auto"/>
              <w:left w:val="single" w:sz="4" w:space="0" w:color="auto"/>
              <w:bottom w:val="single" w:sz="4" w:space="0" w:color="auto"/>
              <w:right w:val="single" w:sz="4" w:space="0" w:color="auto"/>
            </w:tcBorders>
            <w:hideMark/>
          </w:tcPr>
          <w:p w14:paraId="0E6E97E1" w14:textId="77777777" w:rsidR="00C0147B" w:rsidRPr="009C15E9" w:rsidRDefault="00C0147B" w:rsidP="004C79A3">
            <w:pPr>
              <w:keepNext/>
              <w:keepLines/>
              <w:kinsoku/>
              <w:overflowPunct/>
              <w:autoSpaceDE/>
              <w:autoSpaceDN/>
              <w:adjustRightInd/>
              <w:snapToGrid/>
              <w:spacing w:before="30" w:after="30" w:line="240" w:lineRule="auto"/>
              <w:jc w:val="center"/>
              <w:rPr>
                <w:rFonts w:eastAsia="Times New Roman"/>
                <w:b/>
                <w:bCs/>
                <w:sz w:val="16"/>
                <w:szCs w:val="16"/>
                <w:lang w:eastAsia="en-US"/>
              </w:rPr>
            </w:pPr>
            <w:r w:rsidRPr="009C15E9">
              <w:rPr>
                <w:rFonts w:eastAsia="Times New Roman"/>
                <w:b/>
                <w:bCs/>
                <w:sz w:val="16"/>
                <w:szCs w:val="16"/>
                <w:lang w:eastAsia="en-US"/>
              </w:rPr>
              <w:t>Disposal</w:t>
            </w:r>
          </w:p>
        </w:tc>
      </w:tr>
      <w:tr w:rsidR="00C0147B" w:rsidRPr="009C15E9" w14:paraId="67186025" w14:textId="77777777" w:rsidTr="00DC6860">
        <w:trPr>
          <w:gridAfter w:val="1"/>
          <w:wAfter w:w="284" w:type="dxa"/>
        </w:trPr>
        <w:tc>
          <w:tcPr>
            <w:tcW w:w="6946" w:type="dxa"/>
            <w:gridSpan w:val="3"/>
            <w:tcBorders>
              <w:top w:val="single" w:sz="4" w:space="0" w:color="auto"/>
              <w:left w:val="single" w:sz="4" w:space="0" w:color="auto"/>
              <w:bottom w:val="single" w:sz="4" w:space="0" w:color="auto"/>
              <w:right w:val="single" w:sz="4" w:space="0" w:color="auto"/>
            </w:tcBorders>
            <w:hideMark/>
          </w:tcPr>
          <w:p w14:paraId="016B85EF" w14:textId="77777777" w:rsidR="00C0147B" w:rsidRPr="009C15E9" w:rsidRDefault="00C0147B" w:rsidP="004C79A3">
            <w:pPr>
              <w:kinsoku/>
              <w:overflowPunct/>
              <w:autoSpaceDE/>
              <w:autoSpaceDN/>
              <w:adjustRightInd/>
              <w:snapToGrid/>
              <w:rPr>
                <w:rFonts w:eastAsia="Times New Roman"/>
                <w:b/>
                <w:sz w:val="16"/>
                <w:szCs w:val="16"/>
                <w:lang w:val="fr-FR" w:eastAsia="en-US"/>
              </w:rPr>
            </w:pPr>
            <w:r w:rsidRPr="009C15E9">
              <w:rPr>
                <w:rFonts w:eastAsia="Times New Roman"/>
                <w:bCs/>
                <w:sz w:val="16"/>
                <w:szCs w:val="16"/>
                <w:lang w:eastAsia="en-US"/>
              </w:rPr>
              <w:t>P203</w:t>
            </w:r>
            <w:r w:rsidRPr="009C15E9">
              <w:rPr>
                <w:rFonts w:eastAsia="Times New Roman"/>
                <w:bCs/>
                <w:sz w:val="16"/>
                <w:szCs w:val="16"/>
                <w:lang w:eastAsia="en-US"/>
              </w:rPr>
              <w:br/>
            </w:r>
            <w:r w:rsidRPr="009C15E9">
              <w:rPr>
                <w:rFonts w:eastAsia="Times New Roman"/>
                <w:b/>
                <w:sz w:val="16"/>
                <w:szCs w:val="16"/>
                <w:lang w:eastAsia="en-US"/>
              </w:rPr>
              <w:t xml:space="preserve">Obtain, read and follow all safety instructions before use. </w:t>
            </w:r>
            <w:r w:rsidRPr="009C15E9">
              <w:rPr>
                <w:rFonts w:eastAsia="Times New Roman"/>
                <w:b/>
                <w:sz w:val="16"/>
                <w:szCs w:val="16"/>
                <w:lang w:eastAsia="en-US"/>
              </w:rPr>
              <w:br/>
            </w:r>
            <w:r w:rsidRPr="009C15E9">
              <w:rPr>
                <w:rFonts w:eastAsia="Times New Roman"/>
                <w:bCs/>
                <w:sz w:val="16"/>
                <w:szCs w:val="16"/>
                <w:lang w:eastAsia="en-US"/>
              </w:rPr>
              <w:t>P210</w:t>
            </w:r>
            <w:r w:rsidRPr="009C15E9">
              <w:rPr>
                <w:rFonts w:eastAsia="Times New Roman"/>
                <w:sz w:val="16"/>
                <w:szCs w:val="16"/>
                <w:lang w:eastAsia="en-US"/>
              </w:rPr>
              <w:br/>
            </w:r>
            <w:r w:rsidRPr="009C15E9">
              <w:rPr>
                <w:rFonts w:eastAsia="Times New Roman"/>
                <w:b/>
                <w:sz w:val="16"/>
                <w:szCs w:val="16"/>
                <w:lang w:eastAsia="en-US"/>
              </w:rPr>
              <w:t>Keep away from heat, hot surfaces, sparks, open flames and other ignition sources. No smoking.</w:t>
            </w:r>
          </w:p>
          <w:p w14:paraId="14FDD00F"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i/>
                <w:iCs/>
                <w:sz w:val="16"/>
                <w:szCs w:val="16"/>
                <w:lang w:eastAsia="en-US"/>
              </w:rPr>
            </w:pPr>
            <w:r w:rsidRPr="009C15E9">
              <w:rPr>
                <w:rFonts w:eastAsia="Times New Roman"/>
                <w:bCs/>
                <w:sz w:val="16"/>
                <w:szCs w:val="16"/>
                <w:lang w:eastAsia="en-US"/>
              </w:rPr>
              <w:t>P230</w:t>
            </w:r>
            <w:r w:rsidRPr="009C15E9">
              <w:rPr>
                <w:rFonts w:eastAsia="Times New Roman"/>
                <w:b/>
                <w:sz w:val="16"/>
                <w:szCs w:val="16"/>
                <w:lang w:eastAsia="en-US"/>
              </w:rPr>
              <w:br/>
              <w:t>Keep diluted with...</w:t>
            </w:r>
            <w:r w:rsidRPr="009C15E9">
              <w:rPr>
                <w:rFonts w:eastAsia="Times New Roman"/>
                <w:b/>
                <w:sz w:val="16"/>
                <w:szCs w:val="16"/>
                <w:lang w:eastAsia="en-US"/>
              </w:rPr>
              <w:br/>
            </w:r>
            <w:r w:rsidRPr="009C15E9">
              <w:rPr>
                <w:rFonts w:eastAsia="Times New Roman"/>
                <w:i/>
                <w:iCs/>
                <w:sz w:val="16"/>
                <w:szCs w:val="16"/>
                <w:lang w:eastAsia="en-US"/>
              </w:rPr>
              <w:t>- for explosive substances and mixtures that are diluted with solids or liquids, or wetted with, dissolved or suspended in water or other liquids to reduce their explosives properties</w:t>
            </w:r>
            <w:r w:rsidRPr="009C15E9">
              <w:rPr>
                <w:rFonts w:eastAsia="Times New Roman"/>
                <w:i/>
                <w:iCs/>
                <w:sz w:val="16"/>
                <w:szCs w:val="16"/>
                <w:lang w:eastAsia="en-US"/>
              </w:rPr>
              <w:br/>
            </w:r>
            <w:r w:rsidRPr="009C15E9">
              <w:rPr>
                <w:rFonts w:eastAsia="Times New Roman"/>
                <w:bCs/>
                <w:sz w:val="16"/>
                <w:szCs w:val="16"/>
                <w:lang w:eastAsia="en-US"/>
              </w:rPr>
              <w:t>… M</w:t>
            </w:r>
            <w:r w:rsidRPr="009C15E9">
              <w:rPr>
                <w:rFonts w:eastAsia="Times New Roman"/>
                <w:sz w:val="16"/>
                <w:szCs w:val="16"/>
                <w:lang w:eastAsia="en-US"/>
              </w:rPr>
              <w:t>anufacturer/supplier or the competent authority to specify appropriate material.</w:t>
            </w:r>
            <w:r w:rsidRPr="009C15E9">
              <w:rPr>
                <w:rFonts w:eastAsia="Times New Roman"/>
                <w:i/>
                <w:iCs/>
                <w:sz w:val="16"/>
                <w:szCs w:val="16"/>
                <w:lang w:eastAsia="en-US"/>
              </w:rPr>
              <w:t xml:space="preserve">  </w:t>
            </w:r>
          </w:p>
          <w:p w14:paraId="682385B2"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b/>
                <w:sz w:val="16"/>
                <w:szCs w:val="16"/>
                <w:lang w:eastAsia="en-US"/>
              </w:rPr>
            </w:pPr>
            <w:r w:rsidRPr="009C15E9">
              <w:rPr>
                <w:rFonts w:eastAsia="Times New Roman"/>
                <w:bCs/>
                <w:sz w:val="16"/>
                <w:szCs w:val="16"/>
                <w:lang w:eastAsia="en-US"/>
              </w:rPr>
              <w:t>P234</w:t>
            </w:r>
            <w:r w:rsidRPr="009C15E9">
              <w:rPr>
                <w:rFonts w:eastAsia="Times New Roman"/>
                <w:b/>
                <w:sz w:val="16"/>
                <w:szCs w:val="16"/>
                <w:lang w:eastAsia="en-US"/>
              </w:rPr>
              <w:br/>
              <w:t>Keep only in original packaging.</w:t>
            </w:r>
            <w:r w:rsidRPr="009C15E9">
              <w:rPr>
                <w:rFonts w:eastAsia="Times New Roman"/>
                <w:b/>
                <w:sz w:val="16"/>
                <w:szCs w:val="16"/>
                <w:lang w:eastAsia="en-US"/>
              </w:rPr>
              <w:br/>
            </w:r>
            <w:r w:rsidRPr="009C15E9">
              <w:rPr>
                <w:rFonts w:eastAsia="Times New Roman"/>
                <w:i/>
                <w:sz w:val="16"/>
                <w:szCs w:val="16"/>
                <w:lang w:eastAsia="en-US"/>
              </w:rPr>
              <w:t xml:space="preserve">- Omit where P236 is applied </w:t>
            </w:r>
          </w:p>
          <w:p w14:paraId="35CCF67D" w14:textId="77777777" w:rsidR="00C0147B" w:rsidRPr="009C15E9" w:rsidRDefault="00C0147B" w:rsidP="004C79A3">
            <w:pPr>
              <w:kinsoku/>
              <w:overflowPunct/>
              <w:autoSpaceDE/>
              <w:autoSpaceDN/>
              <w:adjustRightInd/>
              <w:snapToGrid/>
              <w:spacing w:line="240" w:lineRule="auto"/>
              <w:ind w:right="55"/>
              <w:rPr>
                <w:rFonts w:eastAsia="Times New Roman"/>
                <w:i/>
                <w:iCs/>
                <w:sz w:val="16"/>
                <w:szCs w:val="16"/>
                <w:lang w:eastAsia="en-US"/>
              </w:rPr>
            </w:pPr>
            <w:r w:rsidRPr="009C15E9">
              <w:rPr>
                <w:rFonts w:eastAsia="Times New Roman"/>
                <w:sz w:val="16"/>
                <w:szCs w:val="16"/>
                <w:lang w:eastAsia="en-US"/>
              </w:rPr>
              <w:t>P236</w:t>
            </w:r>
            <w:r w:rsidRPr="009C15E9">
              <w:rPr>
                <w:rFonts w:eastAsia="Times New Roman"/>
                <w:sz w:val="16"/>
                <w:szCs w:val="16"/>
                <w:lang w:eastAsia="en-US"/>
              </w:rPr>
              <w:br/>
            </w:r>
            <w:r w:rsidRPr="009C15E9">
              <w:rPr>
                <w:rFonts w:eastAsia="Times New Roman"/>
                <w:b/>
                <w:sz w:val="16"/>
                <w:szCs w:val="16"/>
                <w:lang w:eastAsia="en-US"/>
              </w:rPr>
              <w:t>Keep only in original packaging; Division … in the transport configuration.</w:t>
            </w:r>
            <w:r w:rsidRPr="009C15E9">
              <w:rPr>
                <w:rFonts w:eastAsia="Times New Roman"/>
                <w:b/>
                <w:sz w:val="16"/>
                <w:szCs w:val="16"/>
                <w:lang w:eastAsia="en-US"/>
              </w:rPr>
              <w:br/>
            </w:r>
            <w:r w:rsidRPr="00131F71">
              <w:rPr>
                <w:rFonts w:eastAsia="Times New Roman"/>
                <w:sz w:val="16"/>
                <w:szCs w:val="16"/>
                <w:lang w:eastAsia="en-US"/>
              </w:rPr>
              <w:t xml:space="preserve">- </w:t>
            </w:r>
            <w:r w:rsidRPr="00131F71">
              <w:rPr>
                <w:rFonts w:eastAsia="Times New Roman"/>
                <w:i/>
                <w:iCs/>
                <w:sz w:val="16"/>
                <w:szCs w:val="16"/>
                <w:lang w:eastAsia="en-US"/>
              </w:rPr>
              <w:t>to be applied for explosives assigned a division within Class 1 for transport.</w:t>
            </w:r>
            <w:r w:rsidRPr="009C15E9">
              <w:rPr>
                <w:rFonts w:eastAsia="Times New Roman"/>
                <w:i/>
                <w:iCs/>
                <w:sz w:val="16"/>
                <w:szCs w:val="16"/>
                <w:lang w:eastAsia="en-US"/>
              </w:rPr>
              <w:br/>
              <w:t>- may be omitted for single packaging where the transport pictogram displaying the division (within Class 1) appears.</w:t>
            </w:r>
          </w:p>
          <w:p w14:paraId="1318DC19" w14:textId="77777777" w:rsidR="00C0147B" w:rsidRDefault="00C0147B" w:rsidP="004C79A3">
            <w:pPr>
              <w:keepNext/>
              <w:keepLines/>
              <w:kinsoku/>
              <w:overflowPunct/>
              <w:autoSpaceDE/>
              <w:autoSpaceDN/>
              <w:adjustRightInd/>
              <w:snapToGrid/>
              <w:spacing w:before="20" w:after="80" w:line="240" w:lineRule="auto"/>
              <w:rPr>
                <w:rFonts w:eastAsia="Times New Roman"/>
                <w:sz w:val="16"/>
                <w:szCs w:val="16"/>
                <w:lang w:eastAsia="en-US"/>
              </w:rPr>
            </w:pPr>
            <w:r w:rsidRPr="009C15E9">
              <w:rPr>
                <w:rFonts w:eastAsia="Times New Roman"/>
                <w:i/>
                <w:sz w:val="16"/>
                <w:szCs w:val="16"/>
                <w:lang w:eastAsia="en-US"/>
              </w:rPr>
              <w:t>- may be omitted where the use of different outer packaging results in different divisions for transport</w:t>
            </w:r>
            <w:r w:rsidRPr="009C15E9">
              <w:rPr>
                <w:rFonts w:eastAsia="Times New Roman"/>
                <w:sz w:val="16"/>
                <w:szCs w:val="16"/>
                <w:lang w:eastAsia="en-US"/>
              </w:rPr>
              <w:t>.</w:t>
            </w:r>
          </w:p>
          <w:p w14:paraId="3BC077E2"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sz w:val="16"/>
                <w:szCs w:val="16"/>
                <w:lang w:eastAsia="en-US"/>
              </w:rPr>
            </w:pPr>
            <w:r w:rsidRPr="009C15E9">
              <w:rPr>
                <w:rFonts w:eastAsia="Times New Roman"/>
                <w:bCs/>
                <w:sz w:val="16"/>
                <w:szCs w:val="16"/>
                <w:lang w:eastAsia="en-US"/>
              </w:rPr>
              <w:t>… M</w:t>
            </w:r>
            <w:r w:rsidRPr="009C15E9">
              <w:rPr>
                <w:rFonts w:eastAsia="Times New Roman"/>
                <w:sz w:val="16"/>
                <w:szCs w:val="16"/>
                <w:lang w:eastAsia="en-US"/>
              </w:rPr>
              <w:t>anufacturer/supplier or the competent authority to specify the division for transport.</w:t>
            </w:r>
          </w:p>
          <w:p w14:paraId="61C3F9E8"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bCs/>
                <w:sz w:val="16"/>
                <w:szCs w:val="16"/>
                <w:lang w:eastAsia="en-US"/>
              </w:rPr>
            </w:pPr>
            <w:r w:rsidRPr="009C15E9">
              <w:rPr>
                <w:rFonts w:eastAsia="Times New Roman"/>
                <w:bCs/>
                <w:sz w:val="16"/>
                <w:szCs w:val="16"/>
                <w:lang w:eastAsia="en-US"/>
              </w:rPr>
              <w:t>P240</w:t>
            </w:r>
            <w:r w:rsidRPr="009C15E9">
              <w:rPr>
                <w:rFonts w:eastAsia="Times New Roman"/>
                <w:b/>
                <w:sz w:val="16"/>
                <w:szCs w:val="16"/>
                <w:lang w:eastAsia="en-US"/>
              </w:rPr>
              <w:br/>
              <w:t>Ground and bond container and receiving equipment.</w:t>
            </w:r>
            <w:r w:rsidRPr="009C15E9">
              <w:rPr>
                <w:rFonts w:eastAsia="Times New Roman"/>
                <w:b/>
                <w:sz w:val="16"/>
                <w:szCs w:val="16"/>
                <w:lang w:eastAsia="en-US"/>
              </w:rPr>
              <w:br/>
            </w:r>
            <w:r w:rsidRPr="009C15E9">
              <w:rPr>
                <w:rFonts w:eastAsia="Times New Roman"/>
                <w:i/>
                <w:iCs/>
                <w:sz w:val="16"/>
                <w:szCs w:val="16"/>
                <w:lang w:eastAsia="en-US"/>
              </w:rPr>
              <w:t xml:space="preserve">– </w:t>
            </w:r>
            <w:r w:rsidRPr="009C15E9">
              <w:rPr>
                <w:rFonts w:eastAsia="Times New Roman"/>
                <w:i/>
                <w:sz w:val="16"/>
                <w:szCs w:val="16"/>
                <w:lang w:eastAsia="en-US"/>
              </w:rPr>
              <w:t>if the explosive is electrostatically sensitive.</w:t>
            </w:r>
          </w:p>
          <w:p w14:paraId="36572D32"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bCs/>
                <w:sz w:val="16"/>
                <w:szCs w:val="16"/>
                <w:lang w:eastAsia="en-US"/>
              </w:rPr>
            </w:pPr>
            <w:r w:rsidRPr="009C15E9">
              <w:rPr>
                <w:rFonts w:eastAsia="Times New Roman"/>
                <w:bCs/>
                <w:sz w:val="16"/>
                <w:szCs w:val="16"/>
                <w:lang w:eastAsia="en-US"/>
              </w:rPr>
              <w:t>P250</w:t>
            </w:r>
            <w:r w:rsidRPr="009C15E9">
              <w:rPr>
                <w:rFonts w:eastAsia="Times New Roman"/>
                <w:b/>
                <w:sz w:val="16"/>
                <w:szCs w:val="16"/>
                <w:lang w:eastAsia="en-US"/>
              </w:rPr>
              <w:br/>
              <w:t>Do not</w:t>
            </w:r>
            <w:r w:rsidRPr="009C15E9">
              <w:rPr>
                <w:rFonts w:eastAsia="Times New Roman"/>
                <w:sz w:val="16"/>
                <w:szCs w:val="16"/>
                <w:lang w:eastAsia="en-US"/>
              </w:rPr>
              <w:t xml:space="preserve"> </w:t>
            </w:r>
            <w:r w:rsidRPr="009C15E9">
              <w:rPr>
                <w:rFonts w:eastAsia="Times New Roman"/>
                <w:b/>
                <w:sz w:val="16"/>
                <w:szCs w:val="16"/>
                <w:lang w:eastAsia="en-US"/>
              </w:rPr>
              <w:t>subject to grinding/shock/friction/...</w:t>
            </w:r>
            <w:r w:rsidRPr="009C15E9">
              <w:rPr>
                <w:rFonts w:eastAsia="Times New Roman"/>
                <w:b/>
                <w:sz w:val="16"/>
                <w:szCs w:val="16"/>
                <w:lang w:eastAsia="en-US"/>
              </w:rPr>
              <w:br/>
            </w:r>
            <w:r w:rsidRPr="009C15E9">
              <w:rPr>
                <w:rFonts w:eastAsia="Times New Roman"/>
                <w:i/>
                <w:sz w:val="16"/>
                <w:szCs w:val="16"/>
                <w:lang w:eastAsia="en-US"/>
              </w:rPr>
              <w:t>– if the explosive is mechanically sensitive.</w:t>
            </w:r>
            <w:r w:rsidRPr="009C15E9">
              <w:rPr>
                <w:rFonts w:eastAsia="Times New Roman"/>
                <w:i/>
                <w:sz w:val="16"/>
                <w:szCs w:val="16"/>
                <w:lang w:eastAsia="en-US"/>
              </w:rPr>
              <w:br/>
            </w:r>
            <w:r w:rsidRPr="009C15E9">
              <w:rPr>
                <w:rFonts w:eastAsia="Times New Roman"/>
                <w:bCs/>
                <w:sz w:val="16"/>
                <w:szCs w:val="16"/>
                <w:lang w:eastAsia="en-US"/>
              </w:rPr>
              <w:t>…Manufacturer/supplier or the competent authority to specify applicable rough handling.</w:t>
            </w:r>
          </w:p>
          <w:p w14:paraId="496DB0EE"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sz w:val="16"/>
                <w:szCs w:val="16"/>
                <w:lang w:eastAsia="en-US"/>
              </w:rPr>
            </w:pPr>
            <w:r w:rsidRPr="009C15E9">
              <w:rPr>
                <w:rFonts w:eastAsia="Times New Roman"/>
                <w:bCs/>
                <w:color w:val="000000"/>
                <w:sz w:val="16"/>
                <w:szCs w:val="16"/>
                <w:lang w:eastAsia="en-US"/>
              </w:rPr>
              <w:t>P280</w:t>
            </w:r>
            <w:r w:rsidRPr="009C15E9">
              <w:rPr>
                <w:rFonts w:eastAsia="Times New Roman"/>
                <w:b/>
                <w:color w:val="000000"/>
                <w:sz w:val="16"/>
                <w:szCs w:val="16"/>
                <w:lang w:eastAsia="en-US"/>
              </w:rPr>
              <w:br/>
            </w:r>
            <w:r w:rsidRPr="009C15E9">
              <w:rPr>
                <w:rFonts w:eastAsia="Times New Roman"/>
                <w:b/>
                <w:sz w:val="16"/>
                <w:szCs w:val="16"/>
                <w:lang w:eastAsia="en-US"/>
              </w:rPr>
              <w:t xml:space="preserve">Wear protective gloves/protective clothing/eye protection/face protection/hearing protection/... </w:t>
            </w:r>
            <w:r w:rsidRPr="009C15E9">
              <w:rPr>
                <w:rFonts w:eastAsia="Times New Roman"/>
                <w:b/>
                <w:sz w:val="16"/>
                <w:szCs w:val="16"/>
                <w:lang w:eastAsia="en-US"/>
              </w:rPr>
              <w:br/>
            </w:r>
            <w:r w:rsidRPr="009C15E9">
              <w:rPr>
                <w:rFonts w:eastAsia="Times New Roman"/>
                <w:bCs/>
                <w:sz w:val="16"/>
                <w:szCs w:val="16"/>
                <w:lang w:eastAsia="en-US"/>
              </w:rPr>
              <w:t>Manufacturer/supplier or the competent authority to specify the appropriate personal protective equipment</w:t>
            </w:r>
            <w:r w:rsidRPr="009C15E9">
              <w:rPr>
                <w:rFonts w:eastAsia="Times New Roman"/>
                <w:color w:val="000000"/>
                <w:sz w:val="16"/>
                <w:szCs w:val="16"/>
                <w:lang w:eastAsia="en-US"/>
              </w:rPr>
              <w:t>.</w:t>
            </w:r>
          </w:p>
        </w:tc>
        <w:tc>
          <w:tcPr>
            <w:tcW w:w="2552" w:type="dxa"/>
            <w:gridSpan w:val="3"/>
            <w:tcBorders>
              <w:top w:val="single" w:sz="4" w:space="0" w:color="auto"/>
              <w:left w:val="single" w:sz="4" w:space="0" w:color="auto"/>
              <w:bottom w:val="single" w:sz="4" w:space="0" w:color="auto"/>
              <w:right w:val="single" w:sz="4" w:space="0" w:color="auto"/>
            </w:tcBorders>
            <w:hideMark/>
          </w:tcPr>
          <w:p w14:paraId="1029652B" w14:textId="77777777" w:rsidR="00C0147B" w:rsidRPr="009C15E9" w:rsidRDefault="00C0147B" w:rsidP="004C79A3">
            <w:pPr>
              <w:keepNext/>
              <w:keepLines/>
              <w:tabs>
                <w:tab w:val="left" w:pos="288"/>
              </w:tabs>
              <w:kinsoku/>
              <w:overflowPunct/>
              <w:autoSpaceDE/>
              <w:autoSpaceDN/>
              <w:adjustRightInd/>
              <w:snapToGrid/>
              <w:spacing w:before="20" w:after="80" w:line="240" w:lineRule="auto"/>
              <w:rPr>
                <w:rFonts w:eastAsia="Times New Roman"/>
                <w:b/>
                <w:sz w:val="16"/>
                <w:szCs w:val="16"/>
                <w:lang w:eastAsia="en-US"/>
              </w:rPr>
            </w:pPr>
            <w:r w:rsidRPr="009C15E9">
              <w:rPr>
                <w:rFonts w:eastAsia="Times New Roman"/>
                <w:bCs/>
                <w:sz w:val="16"/>
                <w:szCs w:val="16"/>
                <w:lang w:eastAsia="en-US"/>
              </w:rPr>
              <w:t>P370 + P372 + P380 + P373</w:t>
            </w:r>
            <w:r w:rsidRPr="009C15E9">
              <w:rPr>
                <w:rFonts w:eastAsia="Times New Roman"/>
                <w:bCs/>
                <w:sz w:val="16"/>
                <w:szCs w:val="16"/>
                <w:lang w:eastAsia="en-US"/>
              </w:rPr>
              <w:br/>
            </w:r>
            <w:r w:rsidRPr="009C15E9">
              <w:rPr>
                <w:rFonts w:eastAsia="Times New Roman"/>
                <w:b/>
                <w:bCs/>
                <w:sz w:val="16"/>
                <w:szCs w:val="16"/>
                <w:lang w:eastAsia="en-US"/>
              </w:rPr>
              <w:t>In case of fire:</w:t>
            </w:r>
            <w:r w:rsidRPr="009C15E9">
              <w:rPr>
                <w:rFonts w:eastAsia="Times New Roman"/>
                <w:b/>
                <w:sz w:val="16"/>
                <w:szCs w:val="16"/>
                <w:lang w:eastAsia="en-US"/>
              </w:rPr>
              <w:t xml:space="preserve"> Explosion risk.</w:t>
            </w:r>
            <w:r w:rsidRPr="009C15E9">
              <w:rPr>
                <w:rFonts w:eastAsia="Times New Roman"/>
                <w:sz w:val="16"/>
                <w:szCs w:val="16"/>
                <w:lang w:eastAsia="en-US"/>
              </w:rPr>
              <w:t xml:space="preserve"> </w:t>
            </w:r>
            <w:r w:rsidRPr="009C15E9">
              <w:rPr>
                <w:rFonts w:eastAsia="Times New Roman"/>
                <w:b/>
                <w:sz w:val="16"/>
                <w:szCs w:val="16"/>
                <w:lang w:eastAsia="en-US"/>
              </w:rPr>
              <w:t>Evacuate area. DO NOT fight fire when fire reaches explosives.</w:t>
            </w:r>
          </w:p>
        </w:tc>
        <w:tc>
          <w:tcPr>
            <w:tcW w:w="2409" w:type="dxa"/>
            <w:gridSpan w:val="2"/>
            <w:tcBorders>
              <w:top w:val="single" w:sz="4" w:space="0" w:color="auto"/>
              <w:left w:val="single" w:sz="4" w:space="0" w:color="auto"/>
              <w:bottom w:val="single" w:sz="4" w:space="0" w:color="auto"/>
              <w:right w:val="single" w:sz="4" w:space="0" w:color="auto"/>
            </w:tcBorders>
            <w:hideMark/>
          </w:tcPr>
          <w:p w14:paraId="1F1AD9C5"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sz w:val="16"/>
                <w:szCs w:val="16"/>
                <w:lang w:eastAsia="en-US"/>
              </w:rPr>
            </w:pPr>
            <w:r w:rsidRPr="009C15E9">
              <w:rPr>
                <w:rFonts w:eastAsia="Times New Roman"/>
                <w:bCs/>
                <w:sz w:val="16"/>
                <w:szCs w:val="16"/>
                <w:lang w:eastAsia="en-US"/>
              </w:rPr>
              <w:t>P401</w:t>
            </w:r>
            <w:r w:rsidRPr="009C15E9">
              <w:rPr>
                <w:rFonts w:eastAsia="Times New Roman"/>
                <w:b/>
                <w:sz w:val="16"/>
                <w:szCs w:val="16"/>
                <w:lang w:eastAsia="en-US"/>
              </w:rPr>
              <w:br/>
              <w:t>Store in accordance with…</w:t>
            </w:r>
            <w:r w:rsidRPr="009C15E9">
              <w:rPr>
                <w:rFonts w:eastAsia="Times New Roman"/>
                <w:b/>
                <w:sz w:val="16"/>
                <w:szCs w:val="16"/>
                <w:lang w:eastAsia="en-US"/>
              </w:rPr>
              <w:br/>
            </w:r>
            <w:r w:rsidRPr="009C15E9">
              <w:rPr>
                <w:rFonts w:eastAsia="Times New Roman"/>
                <w:sz w:val="16"/>
                <w:szCs w:val="16"/>
                <w:lang w:eastAsia="en-US"/>
              </w:rPr>
              <w:t>… Manufacturer/supplier or the competent authority to specify local/regional/ national/international regulations as applicable.</w:t>
            </w:r>
          </w:p>
        </w:tc>
        <w:tc>
          <w:tcPr>
            <w:tcW w:w="2127" w:type="dxa"/>
            <w:tcBorders>
              <w:top w:val="single" w:sz="4" w:space="0" w:color="auto"/>
              <w:left w:val="single" w:sz="4" w:space="0" w:color="auto"/>
              <w:bottom w:val="single" w:sz="4" w:space="0" w:color="auto"/>
              <w:right w:val="single" w:sz="4" w:space="0" w:color="auto"/>
            </w:tcBorders>
            <w:hideMark/>
          </w:tcPr>
          <w:p w14:paraId="6421286A"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sz w:val="16"/>
                <w:szCs w:val="16"/>
                <w:lang w:eastAsia="en-US"/>
              </w:rPr>
            </w:pPr>
            <w:r w:rsidRPr="009C15E9">
              <w:rPr>
                <w:rFonts w:eastAsia="Times New Roman"/>
                <w:sz w:val="16"/>
                <w:szCs w:val="16"/>
                <w:lang w:eastAsia="en-US"/>
              </w:rPr>
              <w:t>P503</w:t>
            </w:r>
            <w:r w:rsidRPr="009C15E9">
              <w:rPr>
                <w:rFonts w:eastAsia="Times New Roman"/>
                <w:sz w:val="16"/>
                <w:szCs w:val="16"/>
                <w:lang w:eastAsia="en-US"/>
              </w:rPr>
              <w:br/>
            </w:r>
            <w:r w:rsidRPr="009C15E9">
              <w:rPr>
                <w:rFonts w:eastAsia="Times New Roman"/>
                <w:b/>
                <w:sz w:val="16"/>
                <w:szCs w:val="16"/>
                <w:lang w:eastAsia="en-US"/>
              </w:rPr>
              <w:t>Refer to manufacturer/ supplier/… for information on disposal/recovery/ recycling</w:t>
            </w:r>
            <w:r w:rsidRPr="009C15E9">
              <w:rPr>
                <w:rFonts w:eastAsia="Times New Roman"/>
                <w:b/>
                <w:sz w:val="16"/>
                <w:szCs w:val="16"/>
                <w:lang w:eastAsia="en-US"/>
              </w:rPr>
              <w:br/>
            </w:r>
            <w:r w:rsidRPr="009C15E9">
              <w:rPr>
                <w:rFonts w:eastAsia="Times New Roman"/>
                <w:sz w:val="16"/>
                <w:szCs w:val="16"/>
                <w:lang w:eastAsia="en-US"/>
              </w:rPr>
              <w:t>… Manufacturer/supplier or the competent authority to specify appropriate source of information in accordance with local/regional/national/ international regulations as applicable.</w:t>
            </w:r>
          </w:p>
        </w:tc>
      </w:tr>
    </w:tbl>
    <w:p w14:paraId="2D2D4C07" w14:textId="77777777" w:rsidR="00C0147B" w:rsidRPr="009C15E9" w:rsidRDefault="00C0147B" w:rsidP="00C0147B">
      <w:pPr>
        <w:suppressAutoHyphens w:val="0"/>
        <w:kinsoku/>
        <w:overflowPunct/>
        <w:autoSpaceDE/>
        <w:autoSpaceDN/>
        <w:adjustRightInd/>
        <w:snapToGrid/>
        <w:spacing w:line="240" w:lineRule="auto"/>
        <w:rPr>
          <w:rFonts w:eastAsia="Times New Roman"/>
          <w:lang w:eastAsia="en-US"/>
        </w:rPr>
      </w:pPr>
      <w:r w:rsidRPr="009C15E9">
        <w:rPr>
          <w:rFonts w:eastAsia="Times New Roman"/>
          <w:lang w:eastAsia="en-US"/>
        </w:rPr>
        <w:br w:type="page"/>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1735"/>
        <w:gridCol w:w="391"/>
        <w:gridCol w:w="2268"/>
        <w:gridCol w:w="176"/>
        <w:gridCol w:w="530"/>
        <w:gridCol w:w="1738"/>
        <w:gridCol w:w="2126"/>
      </w:tblGrid>
      <w:tr w:rsidR="00C0147B" w:rsidRPr="009C15E9" w14:paraId="17FF5491" w14:textId="77777777" w:rsidTr="004C79A3">
        <w:trPr>
          <w:cantSplit/>
        </w:trPr>
        <w:tc>
          <w:tcPr>
            <w:tcW w:w="13892" w:type="dxa"/>
            <w:gridSpan w:val="9"/>
            <w:tcBorders>
              <w:top w:val="nil"/>
              <w:left w:val="nil"/>
              <w:bottom w:val="nil"/>
              <w:right w:val="nil"/>
            </w:tcBorders>
            <w:hideMark/>
          </w:tcPr>
          <w:p w14:paraId="3DCA6130" w14:textId="77777777" w:rsidR="00C0147B" w:rsidRPr="009C15E9" w:rsidRDefault="00C0147B" w:rsidP="004C79A3">
            <w:pPr>
              <w:keepNext/>
              <w:keepLines/>
              <w:kinsoku/>
              <w:overflowPunct/>
              <w:autoSpaceDE/>
              <w:adjustRightInd/>
              <w:snapToGrid/>
              <w:spacing w:before="60" w:after="240" w:line="240" w:lineRule="auto"/>
              <w:ind w:firstLine="34"/>
              <w:jc w:val="center"/>
              <w:outlineLvl w:val="1"/>
              <w:rPr>
                <w:rFonts w:eastAsia="Times New Roman" w:cs="Arial"/>
                <w:b/>
                <w:bCs/>
                <w:sz w:val="16"/>
                <w:szCs w:val="16"/>
                <w:lang w:val="fr-FR" w:eastAsia="fr-FR"/>
              </w:rPr>
            </w:pPr>
            <w:r w:rsidRPr="009C15E9">
              <w:rPr>
                <w:rFonts w:eastAsia="Times New Roman" w:cs="Arial"/>
                <w:b/>
                <w:bCs/>
                <w:sz w:val="16"/>
                <w:szCs w:val="16"/>
                <w:lang w:val="fr-FR" w:eastAsia="fr-FR"/>
              </w:rPr>
              <w:lastRenderedPageBreak/>
              <w:br w:type="page"/>
            </w:r>
            <w:r w:rsidRPr="009C15E9">
              <w:rPr>
                <w:rFonts w:eastAsia="Times New Roman" w:cs="Arial"/>
                <w:b/>
                <w:bCs/>
                <w:sz w:val="16"/>
                <w:szCs w:val="16"/>
                <w:lang w:val="fr-FR" w:eastAsia="fr-FR"/>
              </w:rPr>
              <w:br w:type="page"/>
            </w:r>
            <w:r w:rsidRPr="009C15E9">
              <w:rPr>
                <w:rFonts w:eastAsia="Times New Roman" w:cs="Arial"/>
                <w:b/>
                <w:bCs/>
                <w:sz w:val="16"/>
                <w:szCs w:val="16"/>
                <w:lang w:val="fr-FR" w:eastAsia="fr-FR"/>
              </w:rPr>
              <w:br w:type="page"/>
              <w:t>EXPLOSIVES</w:t>
            </w:r>
            <w:r w:rsidRPr="009C15E9">
              <w:rPr>
                <w:rFonts w:eastAsia="Times New Roman" w:cs="Arial"/>
                <w:b/>
                <w:bCs/>
                <w:sz w:val="16"/>
                <w:szCs w:val="16"/>
                <w:lang w:val="fr-FR" w:eastAsia="fr-FR"/>
              </w:rPr>
              <w:br/>
              <w:t>(CHAPTER 2.1)</w:t>
            </w:r>
          </w:p>
        </w:tc>
      </w:tr>
      <w:tr w:rsidR="00C0147B" w:rsidRPr="009C15E9" w14:paraId="168ADF65" w14:textId="77777777" w:rsidTr="004C79A3">
        <w:trPr>
          <w:cantSplit/>
        </w:trPr>
        <w:tc>
          <w:tcPr>
            <w:tcW w:w="3369" w:type="dxa"/>
            <w:tcBorders>
              <w:top w:val="nil"/>
              <w:left w:val="nil"/>
              <w:bottom w:val="nil"/>
              <w:right w:val="nil"/>
            </w:tcBorders>
            <w:hideMark/>
          </w:tcPr>
          <w:p w14:paraId="395C0842"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b/>
                <w:bCs/>
                <w:sz w:val="16"/>
                <w:szCs w:val="16"/>
                <w:lang w:eastAsia="en-US"/>
              </w:rPr>
            </w:pPr>
            <w:r w:rsidRPr="009C15E9">
              <w:rPr>
                <w:rFonts w:eastAsia="Times New Roman"/>
                <w:b/>
                <w:bCs/>
                <w:sz w:val="16"/>
                <w:szCs w:val="16"/>
                <w:lang w:eastAsia="en-US"/>
              </w:rPr>
              <w:t>Hazard category</w:t>
            </w:r>
          </w:p>
        </w:tc>
        <w:tc>
          <w:tcPr>
            <w:tcW w:w="3685" w:type="dxa"/>
            <w:gridSpan w:val="3"/>
            <w:tcBorders>
              <w:top w:val="nil"/>
              <w:left w:val="nil"/>
              <w:bottom w:val="nil"/>
              <w:right w:val="nil"/>
            </w:tcBorders>
            <w:hideMark/>
          </w:tcPr>
          <w:p w14:paraId="1AB58DB1"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b/>
                <w:bCs/>
                <w:sz w:val="16"/>
                <w:szCs w:val="16"/>
                <w:lang w:eastAsia="en-US"/>
              </w:rPr>
            </w:pPr>
            <w:r w:rsidRPr="009C15E9">
              <w:rPr>
                <w:rFonts w:eastAsia="Times New Roman"/>
                <w:b/>
                <w:bCs/>
                <w:sz w:val="16"/>
                <w:szCs w:val="16"/>
                <w:lang w:eastAsia="en-US"/>
              </w:rPr>
              <w:t>Symbol</w:t>
            </w:r>
          </w:p>
        </w:tc>
        <w:tc>
          <w:tcPr>
            <w:tcW w:w="2268" w:type="dxa"/>
            <w:tcBorders>
              <w:top w:val="nil"/>
              <w:left w:val="nil"/>
              <w:bottom w:val="nil"/>
              <w:right w:val="nil"/>
            </w:tcBorders>
            <w:hideMark/>
          </w:tcPr>
          <w:p w14:paraId="42097E3E"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b/>
                <w:bCs/>
                <w:sz w:val="16"/>
                <w:szCs w:val="16"/>
                <w:lang w:eastAsia="en-US"/>
              </w:rPr>
            </w:pPr>
            <w:r w:rsidRPr="009C15E9">
              <w:rPr>
                <w:rFonts w:eastAsia="Times New Roman"/>
                <w:b/>
                <w:bCs/>
                <w:sz w:val="16"/>
                <w:szCs w:val="16"/>
                <w:lang w:eastAsia="en-US"/>
              </w:rPr>
              <w:t>Signal word</w:t>
            </w:r>
          </w:p>
        </w:tc>
        <w:tc>
          <w:tcPr>
            <w:tcW w:w="4570" w:type="dxa"/>
            <w:gridSpan w:val="4"/>
            <w:tcBorders>
              <w:top w:val="nil"/>
              <w:left w:val="nil"/>
              <w:bottom w:val="nil"/>
              <w:right w:val="nil"/>
            </w:tcBorders>
            <w:hideMark/>
          </w:tcPr>
          <w:p w14:paraId="013CDA2F" w14:textId="77777777" w:rsidR="00C0147B" w:rsidRPr="009C15E9" w:rsidRDefault="00C0147B" w:rsidP="004C79A3">
            <w:pPr>
              <w:keepNext/>
              <w:keepLines/>
              <w:kinsoku/>
              <w:overflowPunct/>
              <w:autoSpaceDE/>
              <w:autoSpaceDN/>
              <w:adjustRightInd/>
              <w:snapToGrid/>
              <w:spacing w:before="40" w:after="40" w:line="240" w:lineRule="auto"/>
              <w:ind w:right="252"/>
              <w:jc w:val="both"/>
              <w:rPr>
                <w:rFonts w:eastAsia="Times New Roman"/>
                <w:b/>
                <w:bCs/>
                <w:sz w:val="16"/>
                <w:szCs w:val="16"/>
                <w:lang w:eastAsia="en-US"/>
              </w:rPr>
            </w:pPr>
            <w:r w:rsidRPr="009C15E9">
              <w:rPr>
                <w:rFonts w:eastAsia="Times New Roman"/>
                <w:b/>
                <w:bCs/>
                <w:sz w:val="16"/>
                <w:szCs w:val="16"/>
                <w:lang w:eastAsia="en-US"/>
              </w:rPr>
              <w:t>Hazard statement</w:t>
            </w:r>
          </w:p>
        </w:tc>
      </w:tr>
      <w:tr w:rsidR="00C0147B" w:rsidRPr="009C15E9" w14:paraId="300C6F09" w14:textId="77777777" w:rsidTr="004C79A3">
        <w:trPr>
          <w:cantSplit/>
        </w:trPr>
        <w:tc>
          <w:tcPr>
            <w:tcW w:w="3369" w:type="dxa"/>
            <w:tcBorders>
              <w:top w:val="nil"/>
              <w:left w:val="nil"/>
              <w:right w:val="nil"/>
            </w:tcBorders>
            <w:hideMark/>
          </w:tcPr>
          <w:p w14:paraId="68A8E082"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r w:rsidRPr="009C15E9">
              <w:rPr>
                <w:rFonts w:eastAsia="Times New Roman"/>
                <w:sz w:val="16"/>
                <w:szCs w:val="16"/>
                <w:lang w:eastAsia="en-US"/>
              </w:rPr>
              <w:t>2C</w:t>
            </w:r>
          </w:p>
        </w:tc>
        <w:tc>
          <w:tcPr>
            <w:tcW w:w="1559" w:type="dxa"/>
            <w:tcBorders>
              <w:top w:val="nil"/>
              <w:left w:val="nil"/>
              <w:right w:val="nil"/>
            </w:tcBorders>
            <w:hideMark/>
          </w:tcPr>
          <w:p w14:paraId="31B9D71F"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sz w:val="16"/>
                <w:szCs w:val="16"/>
                <w:lang w:eastAsia="en-US"/>
              </w:rPr>
            </w:pPr>
            <w:r w:rsidRPr="009C15E9">
              <w:rPr>
                <w:rFonts w:eastAsia="Times New Roman"/>
                <w:sz w:val="16"/>
                <w:szCs w:val="16"/>
                <w:lang w:eastAsia="en-US"/>
              </w:rPr>
              <w:t>Exclamation mark</w:t>
            </w:r>
          </w:p>
        </w:tc>
        <w:tc>
          <w:tcPr>
            <w:tcW w:w="2126" w:type="dxa"/>
            <w:gridSpan w:val="2"/>
            <w:tcBorders>
              <w:top w:val="nil"/>
              <w:left w:val="nil"/>
              <w:bottom w:val="nil"/>
              <w:right w:val="nil"/>
            </w:tcBorders>
            <w:vAlign w:val="center"/>
            <w:hideMark/>
          </w:tcPr>
          <w:p w14:paraId="417E9408"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sz w:val="16"/>
                <w:szCs w:val="16"/>
                <w:lang w:eastAsia="en-US"/>
              </w:rPr>
            </w:pPr>
            <w:r w:rsidRPr="009C15E9">
              <w:rPr>
                <w:rFonts w:eastAsia="Times New Roman"/>
                <w:noProof/>
                <w:sz w:val="18"/>
                <w:szCs w:val="18"/>
                <w:lang w:val="sv-SE" w:eastAsia="sv-SE"/>
              </w:rPr>
              <w:drawing>
                <wp:anchor distT="0" distB="0" distL="114300" distR="114300" simplePos="0" relativeHeight="251660288" behindDoc="0" locked="0" layoutInCell="1" allowOverlap="1" wp14:anchorId="4FC29882" wp14:editId="77619C46">
                  <wp:simplePos x="0" y="0"/>
                  <wp:positionH relativeFrom="column">
                    <wp:posOffset>30480</wp:posOffset>
                  </wp:positionH>
                  <wp:positionV relativeFrom="paragraph">
                    <wp:posOffset>17145</wp:posOffset>
                  </wp:positionV>
                  <wp:extent cx="229870" cy="388620"/>
                  <wp:effectExtent l="0" t="0" r="0" b="0"/>
                  <wp:wrapThrough wrapText="bothSides">
                    <wp:wrapPolygon edited="0">
                      <wp:start x="0" y="0"/>
                      <wp:lineTo x="0" y="20118"/>
                      <wp:lineTo x="19691" y="20118"/>
                      <wp:lineTo x="19691" y="0"/>
                      <wp:lineTo x="0" y="0"/>
                    </wp:wrapPolygon>
                  </wp:wrapThrough>
                  <wp:docPr id="7" name="Bildobjek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87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68" w:type="dxa"/>
            <w:tcBorders>
              <w:top w:val="nil"/>
              <w:left w:val="nil"/>
              <w:right w:val="nil"/>
            </w:tcBorders>
            <w:hideMark/>
          </w:tcPr>
          <w:p w14:paraId="3001D398"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r w:rsidRPr="009C15E9">
              <w:rPr>
                <w:rFonts w:eastAsia="Times New Roman"/>
                <w:sz w:val="16"/>
                <w:szCs w:val="16"/>
                <w:lang w:eastAsia="en-US"/>
              </w:rPr>
              <w:t>Warning</w:t>
            </w:r>
          </w:p>
        </w:tc>
        <w:tc>
          <w:tcPr>
            <w:tcW w:w="706" w:type="dxa"/>
            <w:gridSpan w:val="2"/>
            <w:tcBorders>
              <w:top w:val="nil"/>
              <w:left w:val="nil"/>
              <w:bottom w:val="nil"/>
              <w:right w:val="nil"/>
            </w:tcBorders>
            <w:hideMark/>
          </w:tcPr>
          <w:p w14:paraId="511F3C25" w14:textId="77777777" w:rsidR="00C0147B" w:rsidRPr="009C15E9" w:rsidRDefault="00C0147B" w:rsidP="004C79A3">
            <w:pPr>
              <w:keepNext/>
              <w:keepLines/>
              <w:kinsoku/>
              <w:overflowPunct/>
              <w:autoSpaceDE/>
              <w:autoSpaceDN/>
              <w:adjustRightInd/>
              <w:snapToGrid/>
              <w:spacing w:before="40" w:after="40" w:line="240" w:lineRule="auto"/>
              <w:rPr>
                <w:rFonts w:eastAsia="Times New Roman"/>
                <w:sz w:val="16"/>
                <w:szCs w:val="16"/>
                <w:lang w:eastAsia="en-US"/>
              </w:rPr>
            </w:pPr>
            <w:r w:rsidRPr="009C15E9">
              <w:rPr>
                <w:rFonts w:eastAsia="Times New Roman"/>
                <w:sz w:val="16"/>
                <w:szCs w:val="16"/>
                <w:lang w:eastAsia="en-US"/>
              </w:rPr>
              <w:t>H204</w:t>
            </w:r>
          </w:p>
        </w:tc>
        <w:tc>
          <w:tcPr>
            <w:tcW w:w="3864" w:type="dxa"/>
            <w:gridSpan w:val="2"/>
            <w:tcBorders>
              <w:top w:val="nil"/>
              <w:left w:val="nil"/>
              <w:bottom w:val="nil"/>
              <w:right w:val="nil"/>
            </w:tcBorders>
            <w:hideMark/>
          </w:tcPr>
          <w:p w14:paraId="36532DAF" w14:textId="77777777" w:rsidR="00C0147B" w:rsidRPr="009C15E9" w:rsidRDefault="00C0147B" w:rsidP="004C79A3">
            <w:pPr>
              <w:keepNext/>
              <w:keepLines/>
              <w:kinsoku/>
              <w:overflowPunct/>
              <w:autoSpaceDE/>
              <w:autoSpaceDN/>
              <w:adjustRightInd/>
              <w:snapToGrid/>
              <w:spacing w:before="40" w:after="40" w:line="240" w:lineRule="auto"/>
              <w:jc w:val="both"/>
              <w:rPr>
                <w:rFonts w:eastAsia="Times New Roman"/>
                <w:sz w:val="16"/>
                <w:szCs w:val="16"/>
                <w:lang w:eastAsia="en-US"/>
              </w:rPr>
            </w:pPr>
            <w:r w:rsidRPr="009C15E9">
              <w:rPr>
                <w:rFonts w:eastAsia="Times New Roman"/>
                <w:sz w:val="16"/>
                <w:szCs w:val="16"/>
                <w:lang w:eastAsia="en-US"/>
              </w:rPr>
              <w:t>Fire or projection hazard</w:t>
            </w:r>
          </w:p>
        </w:tc>
      </w:tr>
      <w:tr w:rsidR="00C0147B" w:rsidRPr="009C15E9" w14:paraId="44566846" w14:textId="77777777" w:rsidTr="004C79A3">
        <w:trPr>
          <w:cantSplit/>
        </w:trPr>
        <w:tc>
          <w:tcPr>
            <w:tcW w:w="13892" w:type="dxa"/>
            <w:gridSpan w:val="9"/>
            <w:tcBorders>
              <w:top w:val="single" w:sz="4" w:space="0" w:color="auto"/>
              <w:left w:val="single" w:sz="4" w:space="0" w:color="auto"/>
              <w:bottom w:val="single" w:sz="4" w:space="0" w:color="auto"/>
              <w:right w:val="single" w:sz="4" w:space="0" w:color="auto"/>
            </w:tcBorders>
            <w:hideMark/>
          </w:tcPr>
          <w:p w14:paraId="680C8BA7" w14:textId="77777777" w:rsidR="00C0147B" w:rsidRPr="009C15E9" w:rsidRDefault="00C0147B" w:rsidP="004C79A3">
            <w:pPr>
              <w:keepNext/>
              <w:keepLines/>
              <w:shd w:val="solid" w:color="FFFFFF" w:fill="FFFFFF"/>
              <w:kinsoku/>
              <w:overflowPunct/>
              <w:autoSpaceDE/>
              <w:adjustRightInd/>
              <w:snapToGrid/>
              <w:spacing w:before="60" w:after="60" w:line="240" w:lineRule="auto"/>
              <w:ind w:left="-102"/>
              <w:jc w:val="center"/>
              <w:outlineLvl w:val="6"/>
              <w:rPr>
                <w:rFonts w:eastAsia="Times New Roman"/>
                <w:b/>
                <w:bCs/>
                <w:sz w:val="16"/>
                <w:szCs w:val="16"/>
                <w:lang w:eastAsia="en-US"/>
              </w:rPr>
            </w:pPr>
            <w:r w:rsidRPr="009C15E9">
              <w:rPr>
                <w:rFonts w:eastAsia="Times New Roman"/>
                <w:b/>
                <w:bCs/>
                <w:sz w:val="16"/>
                <w:szCs w:val="16"/>
                <w:lang w:eastAsia="en-US"/>
              </w:rPr>
              <w:t>Precautionary statements</w:t>
            </w:r>
          </w:p>
        </w:tc>
      </w:tr>
      <w:tr w:rsidR="00C0147B" w:rsidRPr="009C15E9" w14:paraId="12914C5C" w14:textId="77777777" w:rsidTr="004C79A3">
        <w:tc>
          <w:tcPr>
            <w:tcW w:w="6663" w:type="dxa"/>
            <w:gridSpan w:val="3"/>
            <w:tcBorders>
              <w:top w:val="single" w:sz="4" w:space="0" w:color="auto"/>
              <w:left w:val="single" w:sz="4" w:space="0" w:color="auto"/>
              <w:bottom w:val="single" w:sz="4" w:space="0" w:color="auto"/>
              <w:right w:val="single" w:sz="4" w:space="0" w:color="auto"/>
            </w:tcBorders>
            <w:hideMark/>
          </w:tcPr>
          <w:p w14:paraId="41EB20C4" w14:textId="77777777" w:rsidR="00C0147B" w:rsidRPr="009C15E9" w:rsidRDefault="00C0147B" w:rsidP="004C79A3">
            <w:pPr>
              <w:keepNext/>
              <w:keepLines/>
              <w:kinsoku/>
              <w:overflowPunct/>
              <w:autoSpaceDE/>
              <w:autoSpaceDN/>
              <w:adjustRightInd/>
              <w:snapToGrid/>
              <w:spacing w:before="30" w:after="30" w:line="240" w:lineRule="auto"/>
              <w:jc w:val="center"/>
              <w:rPr>
                <w:rFonts w:eastAsia="Times New Roman"/>
                <w:b/>
                <w:bCs/>
                <w:sz w:val="16"/>
                <w:szCs w:val="16"/>
                <w:lang w:eastAsia="en-US"/>
              </w:rPr>
            </w:pPr>
            <w:r w:rsidRPr="009C15E9">
              <w:rPr>
                <w:rFonts w:eastAsia="Times New Roman"/>
                <w:b/>
                <w:bCs/>
                <w:sz w:val="16"/>
                <w:szCs w:val="16"/>
                <w:lang w:eastAsia="en-US"/>
              </w:rPr>
              <w:t>Prevention</w:t>
            </w:r>
          </w:p>
        </w:tc>
        <w:tc>
          <w:tcPr>
            <w:tcW w:w="2835" w:type="dxa"/>
            <w:gridSpan w:val="3"/>
            <w:tcBorders>
              <w:top w:val="single" w:sz="4" w:space="0" w:color="auto"/>
              <w:left w:val="single" w:sz="4" w:space="0" w:color="auto"/>
              <w:bottom w:val="single" w:sz="4" w:space="0" w:color="auto"/>
              <w:right w:val="single" w:sz="4" w:space="0" w:color="auto"/>
            </w:tcBorders>
            <w:hideMark/>
          </w:tcPr>
          <w:p w14:paraId="7454E926" w14:textId="77777777" w:rsidR="00C0147B" w:rsidRPr="009C15E9" w:rsidRDefault="00C0147B" w:rsidP="004C79A3">
            <w:pPr>
              <w:keepNext/>
              <w:keepLines/>
              <w:kinsoku/>
              <w:overflowPunct/>
              <w:autoSpaceDE/>
              <w:autoSpaceDN/>
              <w:adjustRightInd/>
              <w:snapToGrid/>
              <w:spacing w:before="30" w:after="30" w:line="240" w:lineRule="auto"/>
              <w:jc w:val="center"/>
              <w:rPr>
                <w:rFonts w:eastAsia="Times New Roman"/>
                <w:b/>
                <w:bCs/>
                <w:sz w:val="16"/>
                <w:szCs w:val="16"/>
                <w:lang w:eastAsia="en-US"/>
              </w:rPr>
            </w:pPr>
            <w:r w:rsidRPr="009C15E9">
              <w:rPr>
                <w:rFonts w:eastAsia="Times New Roman"/>
                <w:b/>
                <w:bCs/>
                <w:sz w:val="16"/>
                <w:szCs w:val="16"/>
                <w:lang w:eastAsia="en-US"/>
              </w:rPr>
              <w:t>Response</w:t>
            </w:r>
          </w:p>
        </w:tc>
        <w:tc>
          <w:tcPr>
            <w:tcW w:w="2268" w:type="dxa"/>
            <w:gridSpan w:val="2"/>
            <w:tcBorders>
              <w:top w:val="single" w:sz="4" w:space="0" w:color="auto"/>
              <w:left w:val="single" w:sz="4" w:space="0" w:color="auto"/>
              <w:bottom w:val="single" w:sz="4" w:space="0" w:color="auto"/>
              <w:right w:val="single" w:sz="4" w:space="0" w:color="auto"/>
            </w:tcBorders>
            <w:hideMark/>
          </w:tcPr>
          <w:p w14:paraId="788150DC" w14:textId="77777777" w:rsidR="00C0147B" w:rsidRPr="009C15E9" w:rsidRDefault="00C0147B" w:rsidP="004C79A3">
            <w:pPr>
              <w:keepNext/>
              <w:keepLines/>
              <w:kinsoku/>
              <w:overflowPunct/>
              <w:autoSpaceDE/>
              <w:autoSpaceDN/>
              <w:adjustRightInd/>
              <w:snapToGrid/>
              <w:spacing w:before="30" w:after="30" w:line="240" w:lineRule="auto"/>
              <w:jc w:val="center"/>
              <w:rPr>
                <w:rFonts w:eastAsia="Times New Roman"/>
                <w:b/>
                <w:bCs/>
                <w:sz w:val="16"/>
                <w:szCs w:val="16"/>
                <w:lang w:eastAsia="en-US"/>
              </w:rPr>
            </w:pPr>
            <w:r w:rsidRPr="009C15E9">
              <w:rPr>
                <w:rFonts w:eastAsia="Times New Roman"/>
                <w:b/>
                <w:bCs/>
                <w:sz w:val="16"/>
                <w:szCs w:val="16"/>
                <w:lang w:eastAsia="en-US"/>
              </w:rPr>
              <w:t>Storage</w:t>
            </w:r>
          </w:p>
        </w:tc>
        <w:tc>
          <w:tcPr>
            <w:tcW w:w="2126" w:type="dxa"/>
            <w:tcBorders>
              <w:top w:val="single" w:sz="4" w:space="0" w:color="auto"/>
              <w:left w:val="single" w:sz="4" w:space="0" w:color="auto"/>
              <w:bottom w:val="single" w:sz="4" w:space="0" w:color="auto"/>
              <w:right w:val="single" w:sz="4" w:space="0" w:color="auto"/>
            </w:tcBorders>
            <w:hideMark/>
          </w:tcPr>
          <w:p w14:paraId="14080415" w14:textId="77777777" w:rsidR="00C0147B" w:rsidRPr="009C15E9" w:rsidRDefault="00C0147B" w:rsidP="004C79A3">
            <w:pPr>
              <w:keepNext/>
              <w:keepLines/>
              <w:kinsoku/>
              <w:overflowPunct/>
              <w:autoSpaceDE/>
              <w:autoSpaceDN/>
              <w:adjustRightInd/>
              <w:snapToGrid/>
              <w:spacing w:before="30" w:after="30" w:line="240" w:lineRule="auto"/>
              <w:jc w:val="center"/>
              <w:rPr>
                <w:rFonts w:eastAsia="Times New Roman"/>
                <w:b/>
                <w:bCs/>
                <w:sz w:val="16"/>
                <w:szCs w:val="16"/>
                <w:lang w:eastAsia="en-US"/>
              </w:rPr>
            </w:pPr>
            <w:r w:rsidRPr="009C15E9">
              <w:rPr>
                <w:rFonts w:eastAsia="Times New Roman"/>
                <w:b/>
                <w:bCs/>
                <w:sz w:val="16"/>
                <w:szCs w:val="16"/>
                <w:lang w:eastAsia="en-US"/>
              </w:rPr>
              <w:t>Disposal</w:t>
            </w:r>
          </w:p>
        </w:tc>
      </w:tr>
      <w:tr w:rsidR="00C0147B" w:rsidRPr="009C15E9" w14:paraId="747FEE74" w14:textId="77777777" w:rsidTr="004C79A3">
        <w:tc>
          <w:tcPr>
            <w:tcW w:w="6663" w:type="dxa"/>
            <w:gridSpan w:val="3"/>
            <w:tcBorders>
              <w:top w:val="single" w:sz="4" w:space="0" w:color="auto"/>
              <w:left w:val="single" w:sz="4" w:space="0" w:color="auto"/>
              <w:bottom w:val="single" w:sz="4" w:space="0" w:color="auto"/>
              <w:right w:val="single" w:sz="4" w:space="0" w:color="auto"/>
            </w:tcBorders>
            <w:hideMark/>
          </w:tcPr>
          <w:p w14:paraId="6B2B17C5" w14:textId="77777777" w:rsidR="00C0147B" w:rsidRPr="009C15E9" w:rsidRDefault="00C0147B" w:rsidP="004C79A3">
            <w:pPr>
              <w:kinsoku/>
              <w:overflowPunct/>
              <w:autoSpaceDE/>
              <w:autoSpaceDN/>
              <w:adjustRightInd/>
              <w:snapToGrid/>
              <w:rPr>
                <w:rFonts w:eastAsia="Times New Roman"/>
                <w:b/>
                <w:sz w:val="16"/>
                <w:szCs w:val="16"/>
                <w:lang w:eastAsia="en-US"/>
              </w:rPr>
            </w:pPr>
            <w:r w:rsidRPr="009C15E9">
              <w:rPr>
                <w:rFonts w:eastAsia="Times New Roman"/>
                <w:bCs/>
                <w:sz w:val="16"/>
                <w:szCs w:val="16"/>
                <w:lang w:eastAsia="en-US"/>
              </w:rPr>
              <w:t>P210</w:t>
            </w:r>
            <w:r w:rsidRPr="009C15E9">
              <w:rPr>
                <w:rFonts w:eastAsia="Times New Roman"/>
                <w:sz w:val="16"/>
                <w:szCs w:val="16"/>
                <w:lang w:eastAsia="en-US"/>
              </w:rPr>
              <w:br/>
            </w:r>
            <w:r w:rsidRPr="009C15E9">
              <w:rPr>
                <w:rFonts w:eastAsia="Times New Roman"/>
                <w:b/>
                <w:sz w:val="16"/>
                <w:szCs w:val="16"/>
                <w:lang w:eastAsia="en-US"/>
              </w:rPr>
              <w:t>Keep away from heat, hot surfaces, sparks, open flames and other ignition sources. No smoking.</w:t>
            </w:r>
          </w:p>
          <w:p w14:paraId="6F3BE32A" w14:textId="77777777" w:rsidR="00C0147B" w:rsidRPr="009C15E9" w:rsidRDefault="00C0147B" w:rsidP="004C79A3">
            <w:pPr>
              <w:kinsoku/>
              <w:overflowPunct/>
              <w:autoSpaceDE/>
              <w:autoSpaceDN/>
              <w:adjustRightInd/>
              <w:snapToGrid/>
              <w:rPr>
                <w:rFonts w:eastAsia="Times New Roman"/>
                <w:i/>
                <w:iCs/>
                <w:sz w:val="16"/>
                <w:szCs w:val="16"/>
                <w:lang w:eastAsia="en-US"/>
              </w:rPr>
            </w:pPr>
            <w:r w:rsidRPr="009C15E9">
              <w:rPr>
                <w:rFonts w:eastAsia="Times New Roman"/>
                <w:bCs/>
                <w:sz w:val="16"/>
                <w:szCs w:val="16"/>
                <w:lang w:eastAsia="en-US"/>
              </w:rPr>
              <w:t>P230</w:t>
            </w:r>
            <w:r w:rsidRPr="009C15E9">
              <w:rPr>
                <w:rFonts w:eastAsia="Times New Roman"/>
                <w:sz w:val="16"/>
                <w:szCs w:val="16"/>
                <w:lang w:eastAsia="en-US"/>
              </w:rPr>
              <w:br/>
            </w:r>
            <w:r w:rsidRPr="009C15E9">
              <w:rPr>
                <w:rFonts w:eastAsia="Times New Roman"/>
                <w:b/>
                <w:sz w:val="16"/>
                <w:szCs w:val="16"/>
                <w:lang w:eastAsia="en-US"/>
              </w:rPr>
              <w:t>Keep diluted with...</w:t>
            </w:r>
            <w:r w:rsidRPr="009C15E9">
              <w:rPr>
                <w:rFonts w:eastAsia="Times New Roman"/>
                <w:sz w:val="16"/>
                <w:szCs w:val="16"/>
                <w:lang w:eastAsia="en-US"/>
              </w:rPr>
              <w:br/>
            </w:r>
            <w:r w:rsidRPr="009C15E9">
              <w:rPr>
                <w:rFonts w:eastAsia="Times New Roman"/>
                <w:i/>
                <w:iCs/>
                <w:sz w:val="16"/>
                <w:szCs w:val="16"/>
                <w:lang w:eastAsia="en-US"/>
              </w:rPr>
              <w:t>- for explosive substances and mixtures that are diluted with solids or liquids, or wetted with, dissolved or suspended in water or other liquids to reduce their explosives properties</w:t>
            </w:r>
            <w:r w:rsidRPr="009C15E9">
              <w:rPr>
                <w:rFonts w:eastAsia="Times New Roman"/>
                <w:i/>
                <w:iCs/>
                <w:sz w:val="16"/>
                <w:szCs w:val="16"/>
                <w:lang w:eastAsia="en-US"/>
              </w:rPr>
              <w:br/>
            </w:r>
            <w:r w:rsidRPr="009C15E9">
              <w:rPr>
                <w:rFonts w:eastAsia="Times New Roman"/>
                <w:bCs/>
                <w:sz w:val="16"/>
                <w:szCs w:val="16"/>
                <w:lang w:eastAsia="en-US"/>
              </w:rPr>
              <w:t>… M</w:t>
            </w:r>
            <w:r w:rsidRPr="009C15E9">
              <w:rPr>
                <w:rFonts w:eastAsia="Times New Roman"/>
                <w:sz w:val="16"/>
                <w:szCs w:val="16"/>
                <w:lang w:eastAsia="en-US"/>
              </w:rPr>
              <w:t>anufacturer/supplier or the competent authority to specify appropriate material.</w:t>
            </w:r>
            <w:r w:rsidRPr="009C15E9">
              <w:rPr>
                <w:rFonts w:eastAsia="Times New Roman"/>
                <w:i/>
                <w:iCs/>
                <w:sz w:val="16"/>
                <w:szCs w:val="16"/>
                <w:lang w:eastAsia="en-US"/>
              </w:rPr>
              <w:t xml:space="preserve">  </w:t>
            </w:r>
          </w:p>
          <w:p w14:paraId="6786B32C"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b/>
                <w:sz w:val="16"/>
                <w:szCs w:val="16"/>
                <w:lang w:eastAsia="en-US"/>
              </w:rPr>
            </w:pPr>
            <w:r w:rsidRPr="009C15E9">
              <w:rPr>
                <w:rFonts w:eastAsia="Times New Roman"/>
                <w:bCs/>
                <w:sz w:val="16"/>
                <w:szCs w:val="16"/>
                <w:lang w:eastAsia="en-US"/>
              </w:rPr>
              <w:t>P234</w:t>
            </w:r>
            <w:r w:rsidRPr="009C15E9">
              <w:rPr>
                <w:rFonts w:eastAsia="Times New Roman"/>
                <w:b/>
                <w:sz w:val="16"/>
                <w:szCs w:val="16"/>
                <w:lang w:eastAsia="en-US"/>
              </w:rPr>
              <w:br/>
              <w:t>Keep only in original packaging.</w:t>
            </w:r>
            <w:r w:rsidRPr="009C15E9">
              <w:rPr>
                <w:rFonts w:eastAsia="Times New Roman"/>
                <w:b/>
                <w:sz w:val="16"/>
                <w:szCs w:val="16"/>
                <w:lang w:eastAsia="en-US"/>
              </w:rPr>
              <w:br/>
            </w:r>
            <w:r w:rsidRPr="009C15E9">
              <w:rPr>
                <w:rFonts w:eastAsia="Times New Roman"/>
                <w:i/>
                <w:sz w:val="16"/>
                <w:szCs w:val="16"/>
                <w:lang w:eastAsia="en-US"/>
              </w:rPr>
              <w:t xml:space="preserve">- Omit where P236 is applied </w:t>
            </w:r>
          </w:p>
          <w:p w14:paraId="359494FF" w14:textId="77777777" w:rsidR="00C0147B" w:rsidRPr="009C15E9" w:rsidRDefault="00C0147B" w:rsidP="004C79A3">
            <w:pPr>
              <w:kinsoku/>
              <w:overflowPunct/>
              <w:autoSpaceDE/>
              <w:autoSpaceDN/>
              <w:adjustRightInd/>
              <w:snapToGrid/>
              <w:spacing w:line="240" w:lineRule="auto"/>
              <w:ind w:right="55"/>
              <w:rPr>
                <w:rFonts w:eastAsia="Times New Roman"/>
                <w:i/>
                <w:iCs/>
                <w:sz w:val="16"/>
                <w:szCs w:val="16"/>
                <w:lang w:eastAsia="en-US"/>
              </w:rPr>
            </w:pPr>
            <w:r w:rsidRPr="009C15E9">
              <w:rPr>
                <w:rFonts w:eastAsia="Times New Roman"/>
                <w:sz w:val="16"/>
                <w:szCs w:val="16"/>
                <w:lang w:eastAsia="en-US"/>
              </w:rPr>
              <w:t>P236</w:t>
            </w:r>
            <w:r w:rsidRPr="009C15E9">
              <w:rPr>
                <w:rFonts w:eastAsia="Times New Roman"/>
                <w:sz w:val="16"/>
                <w:szCs w:val="16"/>
                <w:lang w:eastAsia="en-US"/>
              </w:rPr>
              <w:br/>
            </w:r>
            <w:r w:rsidRPr="009C15E9">
              <w:rPr>
                <w:rFonts w:eastAsia="Times New Roman"/>
                <w:b/>
                <w:sz w:val="16"/>
                <w:szCs w:val="16"/>
                <w:lang w:eastAsia="en-US"/>
              </w:rPr>
              <w:t>Keep only in original packaging; Division … in the transport configuration.</w:t>
            </w:r>
            <w:r w:rsidRPr="009C15E9">
              <w:rPr>
                <w:rFonts w:eastAsia="Times New Roman"/>
                <w:b/>
                <w:sz w:val="16"/>
                <w:szCs w:val="16"/>
                <w:lang w:eastAsia="en-US"/>
              </w:rPr>
              <w:br/>
            </w:r>
            <w:r w:rsidRPr="00131F71">
              <w:rPr>
                <w:rFonts w:eastAsia="Times New Roman"/>
                <w:sz w:val="16"/>
                <w:szCs w:val="16"/>
                <w:lang w:eastAsia="en-US"/>
              </w:rPr>
              <w:t xml:space="preserve">- </w:t>
            </w:r>
            <w:r w:rsidRPr="00131F71">
              <w:rPr>
                <w:rFonts w:eastAsia="Times New Roman"/>
                <w:i/>
                <w:iCs/>
                <w:sz w:val="16"/>
                <w:szCs w:val="16"/>
                <w:lang w:eastAsia="en-US"/>
              </w:rPr>
              <w:t>to be applied for explosives assigned a division within Class 1 for transport.</w:t>
            </w:r>
            <w:r w:rsidRPr="009C15E9">
              <w:rPr>
                <w:rFonts w:eastAsia="Times New Roman"/>
                <w:sz w:val="16"/>
                <w:szCs w:val="16"/>
                <w:lang w:eastAsia="en-US"/>
              </w:rPr>
              <w:br/>
            </w:r>
            <w:r w:rsidRPr="009C15E9">
              <w:rPr>
                <w:rFonts w:eastAsia="Times New Roman"/>
                <w:i/>
                <w:iCs/>
                <w:sz w:val="16"/>
                <w:szCs w:val="16"/>
                <w:lang w:eastAsia="en-US"/>
              </w:rPr>
              <w:t>- may be omitted for single packaging where the transport pictogram displaying the division (within Class 1) appears.</w:t>
            </w:r>
          </w:p>
          <w:p w14:paraId="2024D7B3" w14:textId="77777777" w:rsidR="00C0147B" w:rsidRDefault="00C0147B" w:rsidP="004C79A3">
            <w:pPr>
              <w:keepNext/>
              <w:keepLines/>
              <w:kinsoku/>
              <w:overflowPunct/>
              <w:autoSpaceDE/>
              <w:autoSpaceDN/>
              <w:adjustRightInd/>
              <w:snapToGrid/>
              <w:spacing w:before="20" w:after="80" w:line="240" w:lineRule="auto"/>
              <w:rPr>
                <w:rFonts w:eastAsia="Times New Roman"/>
                <w:sz w:val="16"/>
                <w:szCs w:val="16"/>
                <w:lang w:eastAsia="en-US"/>
              </w:rPr>
            </w:pPr>
            <w:r w:rsidRPr="009C15E9">
              <w:rPr>
                <w:rFonts w:eastAsia="Times New Roman"/>
                <w:i/>
                <w:sz w:val="16"/>
                <w:szCs w:val="16"/>
                <w:lang w:eastAsia="en-US"/>
              </w:rPr>
              <w:t>- may be omitted where the use of different outer packaging results in different divisions for transport</w:t>
            </w:r>
            <w:r w:rsidRPr="009C15E9">
              <w:rPr>
                <w:rFonts w:eastAsia="Times New Roman"/>
                <w:sz w:val="16"/>
                <w:szCs w:val="16"/>
                <w:lang w:eastAsia="en-US"/>
              </w:rPr>
              <w:t>.</w:t>
            </w:r>
          </w:p>
          <w:p w14:paraId="4073B86E"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sz w:val="16"/>
                <w:szCs w:val="16"/>
                <w:lang w:eastAsia="en-US"/>
              </w:rPr>
            </w:pPr>
            <w:r w:rsidRPr="009C15E9">
              <w:rPr>
                <w:rFonts w:eastAsia="Times New Roman"/>
                <w:bCs/>
                <w:sz w:val="16"/>
                <w:szCs w:val="16"/>
                <w:lang w:eastAsia="en-US"/>
              </w:rPr>
              <w:t>… M</w:t>
            </w:r>
            <w:r w:rsidRPr="009C15E9">
              <w:rPr>
                <w:rFonts w:eastAsia="Times New Roman"/>
                <w:sz w:val="16"/>
                <w:szCs w:val="16"/>
                <w:lang w:eastAsia="en-US"/>
              </w:rPr>
              <w:t>anufacturer/supplier or the competent authority to specify the division for transport.</w:t>
            </w:r>
          </w:p>
          <w:p w14:paraId="32773BF6"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sz w:val="16"/>
                <w:szCs w:val="16"/>
                <w:lang w:eastAsia="en-US"/>
              </w:rPr>
            </w:pPr>
            <w:r w:rsidRPr="009C15E9">
              <w:rPr>
                <w:rFonts w:eastAsia="Times New Roman"/>
                <w:bCs/>
                <w:sz w:val="16"/>
                <w:szCs w:val="16"/>
                <w:lang w:eastAsia="en-US"/>
              </w:rPr>
              <w:t>P240</w:t>
            </w:r>
            <w:r w:rsidRPr="009C15E9">
              <w:rPr>
                <w:rFonts w:eastAsia="Times New Roman"/>
                <w:b/>
                <w:sz w:val="16"/>
                <w:szCs w:val="16"/>
                <w:lang w:eastAsia="en-US"/>
              </w:rPr>
              <w:br/>
              <w:t>Ground and bond container and receiving equipment.</w:t>
            </w:r>
            <w:r w:rsidRPr="009C15E9">
              <w:rPr>
                <w:rFonts w:eastAsia="Times New Roman"/>
                <w:b/>
                <w:sz w:val="16"/>
                <w:szCs w:val="16"/>
                <w:lang w:eastAsia="en-US"/>
              </w:rPr>
              <w:br/>
            </w:r>
            <w:r w:rsidRPr="009C15E9">
              <w:rPr>
                <w:rFonts w:eastAsia="Times New Roman"/>
                <w:i/>
                <w:iCs/>
                <w:sz w:val="16"/>
                <w:szCs w:val="16"/>
                <w:lang w:eastAsia="en-US"/>
              </w:rPr>
              <w:t xml:space="preserve">– </w:t>
            </w:r>
            <w:r w:rsidRPr="009C15E9">
              <w:rPr>
                <w:rFonts w:eastAsia="Times New Roman"/>
                <w:i/>
                <w:sz w:val="16"/>
                <w:szCs w:val="16"/>
                <w:lang w:eastAsia="en-US"/>
              </w:rPr>
              <w:t>if the explosive is electrostatically sensitive.</w:t>
            </w:r>
          </w:p>
          <w:p w14:paraId="23442AB4"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bCs/>
                <w:sz w:val="16"/>
                <w:szCs w:val="16"/>
                <w:lang w:eastAsia="en-US"/>
              </w:rPr>
            </w:pPr>
            <w:r w:rsidRPr="009C15E9">
              <w:rPr>
                <w:rFonts w:eastAsia="Times New Roman"/>
                <w:bCs/>
                <w:sz w:val="16"/>
                <w:szCs w:val="16"/>
                <w:lang w:eastAsia="en-US"/>
              </w:rPr>
              <w:t>P250</w:t>
            </w:r>
            <w:r w:rsidRPr="009C15E9">
              <w:rPr>
                <w:rFonts w:eastAsia="Times New Roman"/>
                <w:b/>
                <w:sz w:val="16"/>
                <w:szCs w:val="16"/>
                <w:lang w:eastAsia="en-US"/>
              </w:rPr>
              <w:br/>
              <w:t>Do not</w:t>
            </w:r>
            <w:r w:rsidRPr="009C15E9">
              <w:rPr>
                <w:rFonts w:eastAsia="Times New Roman"/>
                <w:sz w:val="16"/>
                <w:szCs w:val="16"/>
                <w:lang w:eastAsia="en-US"/>
              </w:rPr>
              <w:t xml:space="preserve"> </w:t>
            </w:r>
            <w:r w:rsidRPr="009C15E9">
              <w:rPr>
                <w:rFonts w:eastAsia="Times New Roman"/>
                <w:b/>
                <w:sz w:val="16"/>
                <w:szCs w:val="16"/>
                <w:lang w:eastAsia="en-US"/>
              </w:rPr>
              <w:t>subject to grinding/shock/friction/...</w:t>
            </w:r>
            <w:r w:rsidRPr="009C15E9">
              <w:rPr>
                <w:rFonts w:eastAsia="Times New Roman"/>
                <w:b/>
                <w:sz w:val="16"/>
                <w:szCs w:val="16"/>
                <w:lang w:eastAsia="en-US"/>
              </w:rPr>
              <w:br/>
            </w:r>
            <w:r w:rsidRPr="009C15E9">
              <w:rPr>
                <w:rFonts w:eastAsia="Times New Roman"/>
                <w:i/>
                <w:sz w:val="16"/>
                <w:szCs w:val="16"/>
                <w:lang w:eastAsia="en-US"/>
              </w:rPr>
              <w:t>– if the explosive is mechanically sensitive.</w:t>
            </w:r>
            <w:r w:rsidRPr="009C15E9">
              <w:rPr>
                <w:rFonts w:eastAsia="Times New Roman"/>
                <w:i/>
                <w:sz w:val="16"/>
                <w:szCs w:val="16"/>
                <w:lang w:eastAsia="en-US"/>
              </w:rPr>
              <w:br/>
            </w:r>
            <w:r w:rsidRPr="009C15E9">
              <w:rPr>
                <w:rFonts w:eastAsia="Times New Roman"/>
                <w:bCs/>
                <w:sz w:val="16"/>
                <w:szCs w:val="16"/>
                <w:lang w:eastAsia="en-US"/>
              </w:rPr>
              <w:t>…Manufacturer/supplier or the competent authority to specify applicable rough handling.</w:t>
            </w:r>
          </w:p>
          <w:p w14:paraId="0927092B"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sz w:val="16"/>
                <w:szCs w:val="16"/>
                <w:lang w:eastAsia="en-US"/>
              </w:rPr>
            </w:pPr>
            <w:r w:rsidRPr="009C15E9">
              <w:rPr>
                <w:rFonts w:eastAsia="Times New Roman"/>
                <w:bCs/>
                <w:color w:val="000000"/>
                <w:sz w:val="16"/>
                <w:szCs w:val="16"/>
                <w:lang w:eastAsia="en-US"/>
              </w:rPr>
              <w:t>P280</w:t>
            </w:r>
            <w:r w:rsidRPr="009C15E9">
              <w:rPr>
                <w:rFonts w:eastAsia="Times New Roman"/>
                <w:b/>
                <w:color w:val="000000"/>
                <w:sz w:val="16"/>
                <w:szCs w:val="16"/>
                <w:lang w:eastAsia="en-US"/>
              </w:rPr>
              <w:br/>
            </w:r>
            <w:r w:rsidRPr="009C15E9">
              <w:rPr>
                <w:rFonts w:eastAsia="Times New Roman"/>
                <w:b/>
                <w:sz w:val="16"/>
                <w:szCs w:val="16"/>
                <w:lang w:eastAsia="en-US"/>
              </w:rPr>
              <w:t xml:space="preserve">Wear protective gloves/protective clothing/eye protection/face protection/hearing protection/... </w:t>
            </w:r>
            <w:r w:rsidRPr="009C15E9">
              <w:rPr>
                <w:rFonts w:eastAsia="Times New Roman"/>
                <w:b/>
                <w:sz w:val="16"/>
                <w:szCs w:val="16"/>
                <w:lang w:eastAsia="en-US"/>
              </w:rPr>
              <w:br/>
            </w:r>
            <w:r w:rsidRPr="009C15E9">
              <w:rPr>
                <w:rFonts w:eastAsia="Times New Roman"/>
                <w:bCs/>
                <w:sz w:val="16"/>
                <w:szCs w:val="16"/>
                <w:lang w:eastAsia="en-US"/>
              </w:rPr>
              <w:t>Manufacturer/supplier or the competent authority to specify the appropriate personal protective equipment</w:t>
            </w:r>
            <w:r w:rsidRPr="009C15E9">
              <w:rPr>
                <w:rFonts w:eastAsia="Times New Roman"/>
                <w:color w:val="000000"/>
                <w:sz w:val="16"/>
                <w:szCs w:val="16"/>
                <w:lang w:eastAsia="en-US"/>
              </w:rPr>
              <w:t>.</w:t>
            </w:r>
          </w:p>
        </w:tc>
        <w:tc>
          <w:tcPr>
            <w:tcW w:w="2835" w:type="dxa"/>
            <w:gridSpan w:val="3"/>
            <w:tcBorders>
              <w:top w:val="single" w:sz="4" w:space="0" w:color="auto"/>
              <w:left w:val="single" w:sz="4" w:space="0" w:color="auto"/>
              <w:bottom w:val="single" w:sz="4" w:space="0" w:color="auto"/>
              <w:right w:val="single" w:sz="4" w:space="0" w:color="auto"/>
            </w:tcBorders>
            <w:hideMark/>
          </w:tcPr>
          <w:p w14:paraId="39977EED" w14:textId="77777777" w:rsidR="00C0147B" w:rsidRPr="009C15E9" w:rsidRDefault="00C0147B" w:rsidP="004C79A3">
            <w:pPr>
              <w:keepNext/>
              <w:keepLines/>
              <w:tabs>
                <w:tab w:val="left" w:pos="288"/>
              </w:tabs>
              <w:kinsoku/>
              <w:overflowPunct/>
              <w:autoSpaceDE/>
              <w:autoSpaceDN/>
              <w:adjustRightInd/>
              <w:snapToGrid/>
              <w:spacing w:before="20" w:after="80" w:line="240" w:lineRule="auto"/>
              <w:rPr>
                <w:rFonts w:eastAsia="Times New Roman"/>
                <w:b/>
                <w:sz w:val="16"/>
                <w:szCs w:val="16"/>
                <w:lang w:eastAsia="en-US"/>
              </w:rPr>
            </w:pPr>
            <w:r w:rsidRPr="009C15E9">
              <w:rPr>
                <w:rFonts w:eastAsia="Times New Roman"/>
                <w:bCs/>
                <w:sz w:val="16"/>
                <w:szCs w:val="16"/>
                <w:lang w:eastAsia="en-US"/>
              </w:rPr>
              <w:t>P370 + P380 + P375</w:t>
            </w:r>
            <w:r w:rsidRPr="009C15E9">
              <w:rPr>
                <w:rFonts w:eastAsia="Times New Roman"/>
                <w:b/>
                <w:bCs/>
                <w:sz w:val="16"/>
                <w:szCs w:val="16"/>
                <w:lang w:eastAsia="en-US"/>
              </w:rPr>
              <w:br/>
              <w:t>In case of fire: Evacuate area. Fight fire remotely due to the risk of explosion</w:t>
            </w:r>
          </w:p>
        </w:tc>
        <w:tc>
          <w:tcPr>
            <w:tcW w:w="2268" w:type="dxa"/>
            <w:gridSpan w:val="2"/>
            <w:tcBorders>
              <w:top w:val="single" w:sz="4" w:space="0" w:color="auto"/>
              <w:left w:val="single" w:sz="4" w:space="0" w:color="auto"/>
              <w:bottom w:val="single" w:sz="4" w:space="0" w:color="auto"/>
              <w:right w:val="single" w:sz="4" w:space="0" w:color="auto"/>
            </w:tcBorders>
            <w:hideMark/>
          </w:tcPr>
          <w:p w14:paraId="03ED2ECE"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sz w:val="16"/>
                <w:szCs w:val="16"/>
                <w:lang w:eastAsia="en-US"/>
              </w:rPr>
            </w:pPr>
            <w:r w:rsidRPr="009C15E9">
              <w:rPr>
                <w:rFonts w:eastAsia="Times New Roman"/>
                <w:bCs/>
                <w:sz w:val="16"/>
                <w:szCs w:val="16"/>
                <w:lang w:eastAsia="en-US"/>
              </w:rPr>
              <w:t>P401</w:t>
            </w:r>
            <w:r w:rsidRPr="009C15E9">
              <w:rPr>
                <w:rFonts w:eastAsia="Times New Roman"/>
                <w:b/>
                <w:sz w:val="16"/>
                <w:szCs w:val="16"/>
                <w:lang w:eastAsia="en-US"/>
              </w:rPr>
              <w:br/>
              <w:t>Store in accordance with…</w:t>
            </w:r>
            <w:r w:rsidRPr="009C15E9">
              <w:rPr>
                <w:rFonts w:eastAsia="Times New Roman"/>
                <w:b/>
                <w:sz w:val="16"/>
                <w:szCs w:val="16"/>
                <w:lang w:eastAsia="en-US"/>
              </w:rPr>
              <w:br/>
            </w:r>
            <w:r w:rsidRPr="009C15E9">
              <w:rPr>
                <w:rFonts w:eastAsia="Times New Roman"/>
                <w:sz w:val="16"/>
                <w:szCs w:val="16"/>
                <w:lang w:eastAsia="en-US"/>
              </w:rPr>
              <w:t>… Manufacturer/supplier or the competent authority to specify local/regional/ national/international regulations as applicable.</w:t>
            </w:r>
          </w:p>
        </w:tc>
        <w:tc>
          <w:tcPr>
            <w:tcW w:w="2126" w:type="dxa"/>
            <w:tcBorders>
              <w:top w:val="single" w:sz="4" w:space="0" w:color="auto"/>
              <w:left w:val="single" w:sz="4" w:space="0" w:color="auto"/>
              <w:bottom w:val="single" w:sz="4" w:space="0" w:color="auto"/>
              <w:right w:val="single" w:sz="4" w:space="0" w:color="auto"/>
            </w:tcBorders>
            <w:hideMark/>
          </w:tcPr>
          <w:p w14:paraId="3D294D1C" w14:textId="77777777" w:rsidR="00C0147B" w:rsidRPr="009C15E9" w:rsidRDefault="00C0147B" w:rsidP="004C79A3">
            <w:pPr>
              <w:keepNext/>
              <w:keepLines/>
              <w:kinsoku/>
              <w:overflowPunct/>
              <w:autoSpaceDE/>
              <w:autoSpaceDN/>
              <w:adjustRightInd/>
              <w:snapToGrid/>
              <w:spacing w:before="20" w:after="80" w:line="240" w:lineRule="auto"/>
              <w:rPr>
                <w:rFonts w:eastAsia="Times New Roman"/>
                <w:sz w:val="16"/>
                <w:szCs w:val="16"/>
                <w:lang w:eastAsia="en-US"/>
              </w:rPr>
            </w:pPr>
            <w:r w:rsidRPr="009C15E9">
              <w:rPr>
                <w:rFonts w:eastAsia="Times New Roman"/>
                <w:sz w:val="16"/>
                <w:szCs w:val="16"/>
                <w:lang w:eastAsia="en-US"/>
              </w:rPr>
              <w:t>P503</w:t>
            </w:r>
            <w:r w:rsidRPr="009C15E9">
              <w:rPr>
                <w:rFonts w:eastAsia="Times New Roman"/>
                <w:sz w:val="16"/>
                <w:szCs w:val="16"/>
                <w:lang w:eastAsia="en-US"/>
              </w:rPr>
              <w:br/>
            </w:r>
            <w:r w:rsidRPr="009C15E9">
              <w:rPr>
                <w:rFonts w:eastAsia="Times New Roman"/>
                <w:b/>
                <w:sz w:val="16"/>
                <w:szCs w:val="16"/>
                <w:lang w:eastAsia="en-US"/>
              </w:rPr>
              <w:t>Refer to manufacturer/ supplier/… for information on disposal/recovery/ recycling</w:t>
            </w:r>
            <w:r w:rsidRPr="009C15E9">
              <w:rPr>
                <w:rFonts w:eastAsia="Times New Roman"/>
                <w:b/>
                <w:sz w:val="16"/>
                <w:szCs w:val="16"/>
                <w:lang w:eastAsia="en-US"/>
              </w:rPr>
              <w:br/>
            </w:r>
            <w:r w:rsidRPr="009C15E9">
              <w:rPr>
                <w:rFonts w:eastAsia="Times New Roman"/>
                <w:sz w:val="16"/>
                <w:szCs w:val="16"/>
                <w:lang w:eastAsia="en-US"/>
              </w:rPr>
              <w:t>… Manufacturer/supplier or the competent authority to specify appropriate source of information in accordance with local/regional/national/ international regulations as applicable.</w:t>
            </w:r>
          </w:p>
        </w:tc>
      </w:tr>
    </w:tbl>
    <w:p w14:paraId="6AEBDCB0" w14:textId="77777777" w:rsidR="00C0147B" w:rsidRPr="009C15E9" w:rsidRDefault="00C0147B" w:rsidP="00C0147B">
      <w:pPr>
        <w:kinsoku/>
        <w:overflowPunct/>
        <w:autoSpaceDE/>
        <w:autoSpaceDN/>
        <w:adjustRightInd/>
        <w:snapToGrid/>
        <w:spacing w:before="240"/>
        <w:rPr>
          <w:rFonts w:eastAsia="Times New Roman"/>
          <w:i/>
          <w:iCs/>
          <w:lang w:eastAsia="en-US"/>
        </w:rPr>
      </w:pPr>
      <w:r w:rsidRPr="009C15E9">
        <w:rPr>
          <w:rFonts w:eastAsia="Times New Roman"/>
          <w:i/>
          <w:iCs/>
          <w:lang w:eastAsia="en-US"/>
        </w:rPr>
        <w:t>(Reference document: informal document INF.16 as amended)</w:t>
      </w:r>
    </w:p>
    <w:p w14:paraId="42D04B8F" w14:textId="3F6CDF90" w:rsidR="00C0147B" w:rsidRDefault="00C0147B">
      <w:pPr>
        <w:suppressAutoHyphens w:val="0"/>
        <w:kinsoku/>
        <w:overflowPunct/>
        <w:autoSpaceDE/>
        <w:autoSpaceDN/>
        <w:adjustRightInd/>
        <w:snapToGrid/>
        <w:spacing w:after="200" w:line="276" w:lineRule="auto"/>
      </w:pPr>
      <w:r>
        <w:br w:type="page"/>
      </w:r>
    </w:p>
    <w:p w14:paraId="030F9993" w14:textId="77777777" w:rsidR="001E0777" w:rsidRDefault="001E0777">
      <w:pPr>
        <w:suppressAutoHyphens w:val="0"/>
        <w:kinsoku/>
        <w:overflowPunct/>
        <w:autoSpaceDE/>
        <w:autoSpaceDN/>
        <w:adjustRightInd/>
        <w:snapToGrid/>
        <w:spacing w:after="200" w:line="276" w:lineRule="auto"/>
        <w:sectPr w:rsidR="001E0777" w:rsidSect="00800D9F">
          <w:headerReference w:type="even" r:id="rId19"/>
          <w:headerReference w:type="default" r:id="rId20"/>
          <w:footerReference w:type="even" r:id="rId21"/>
          <w:footerReference w:type="default" r:id="rId22"/>
          <w:endnotePr>
            <w:numFmt w:val="decimal"/>
          </w:endnotePr>
          <w:pgSz w:w="16840" w:h="11907" w:orient="landscape" w:code="9"/>
          <w:pgMar w:top="1134" w:right="1417" w:bottom="1134" w:left="1134" w:header="567" w:footer="567" w:gutter="0"/>
          <w:cols w:space="720"/>
          <w:docGrid w:linePitch="272"/>
        </w:sectPr>
      </w:pPr>
    </w:p>
    <w:p w14:paraId="67A1CBAC" w14:textId="4A5E3BFC" w:rsidR="001C6B4C" w:rsidRDefault="001C6B4C" w:rsidP="001C6B4C">
      <w:pPr>
        <w:pStyle w:val="HChG"/>
        <w:rPr>
          <w:lang w:eastAsia="en-US"/>
        </w:rPr>
      </w:pPr>
      <w:r>
        <w:rPr>
          <w:lang w:eastAsia="en-US"/>
        </w:rPr>
        <w:lastRenderedPageBreak/>
        <w:tab/>
        <w:t>Annex II</w:t>
      </w:r>
    </w:p>
    <w:p w14:paraId="5F75D3E9" w14:textId="1FD4A9C8" w:rsidR="001C6B4C" w:rsidRDefault="001C6B4C" w:rsidP="001C6B4C">
      <w:pPr>
        <w:pStyle w:val="HChG"/>
        <w:rPr>
          <w:lang w:eastAsia="en-US"/>
        </w:rPr>
      </w:pPr>
      <w:r w:rsidRPr="008E28D5">
        <w:rPr>
          <w:lang w:eastAsia="en-US"/>
        </w:rPr>
        <w:tab/>
      </w:r>
      <w:r w:rsidRPr="008E28D5">
        <w:rPr>
          <w:lang w:eastAsia="en-US"/>
        </w:rPr>
        <w:tab/>
      </w:r>
      <w:r w:rsidR="003616FC" w:rsidRPr="008E28D5">
        <w:rPr>
          <w:lang w:eastAsia="en-US"/>
        </w:rPr>
        <w:t>P</w:t>
      </w:r>
      <w:r w:rsidRPr="008E28D5">
        <w:rPr>
          <w:lang w:eastAsia="en-US"/>
        </w:rPr>
        <w:t xml:space="preserve">rogramme of work </w:t>
      </w:r>
      <w:r w:rsidR="003934FE" w:rsidRPr="008E28D5">
        <w:rPr>
          <w:lang w:eastAsia="en-US"/>
        </w:rPr>
        <w:t xml:space="preserve">of the Sub-Committee </w:t>
      </w:r>
      <w:r w:rsidRPr="008E28D5">
        <w:rPr>
          <w:lang w:eastAsia="en-US"/>
        </w:rPr>
        <w:t>for 2021-2022</w:t>
      </w:r>
    </w:p>
    <w:p w14:paraId="464F8230" w14:textId="77777777" w:rsidR="001C6B4C" w:rsidRPr="00495996" w:rsidRDefault="001C6B4C" w:rsidP="001C6B4C">
      <w:pPr>
        <w:pStyle w:val="H23G"/>
      </w:pPr>
      <w:r>
        <w:tab/>
      </w:r>
      <w:r w:rsidRPr="00495996">
        <w:t>1.</w:t>
      </w:r>
      <w:r w:rsidRPr="00495996">
        <w:tab/>
        <w:t xml:space="preserve">Classification criteria </w:t>
      </w:r>
      <w:r>
        <w:t>and related hazard communication, including:</w:t>
      </w:r>
    </w:p>
    <w:p w14:paraId="73423E88" w14:textId="77777777" w:rsidR="001C6B4C" w:rsidRPr="0012367C" w:rsidRDefault="001C6B4C" w:rsidP="001C6B4C">
      <w:pPr>
        <w:pStyle w:val="SingleTxtG"/>
        <w:keepNext/>
        <w:keepLines/>
        <w:ind w:left="1700" w:hanging="566"/>
      </w:pPr>
      <w:r w:rsidRPr="0012367C">
        <w:t>(</w:t>
      </w:r>
      <w:r>
        <w:t>a</w:t>
      </w:r>
      <w:r w:rsidRPr="0012367C">
        <w:t>)</w:t>
      </w:r>
      <w:r w:rsidRPr="0012367C">
        <w:tab/>
        <w:t>Tests for oxidizing liquids and oxidizing solids</w:t>
      </w:r>
    </w:p>
    <w:p w14:paraId="4F65D21B" w14:textId="77777777" w:rsidR="001C6B4C" w:rsidRPr="0012367C" w:rsidRDefault="001C6B4C" w:rsidP="001C6B4C">
      <w:pPr>
        <w:pStyle w:val="SingleTxtG"/>
        <w:ind w:left="1701"/>
      </w:pPr>
      <w:r w:rsidRPr="0012367C">
        <w:rPr>
          <w:u w:val="single"/>
        </w:rPr>
        <w:t>Lead country</w:t>
      </w:r>
      <w:r w:rsidRPr="0012367C">
        <w:t>: France</w:t>
      </w:r>
    </w:p>
    <w:p w14:paraId="103A2277" w14:textId="77777777" w:rsidR="001C6B4C" w:rsidRPr="0012367C" w:rsidRDefault="001C6B4C" w:rsidP="001C6B4C">
      <w:pPr>
        <w:pStyle w:val="SingleTxtG"/>
        <w:ind w:left="1700"/>
      </w:pPr>
      <w:r w:rsidRPr="0012367C">
        <w:rPr>
          <w:u w:val="single"/>
        </w:rPr>
        <w:t>Focal point</w:t>
      </w:r>
      <w:r w:rsidRPr="0012367C">
        <w:t>: TDG Sub-Committee</w:t>
      </w:r>
    </w:p>
    <w:p w14:paraId="2148DBBD" w14:textId="0CD24AE5" w:rsidR="001C6B4C" w:rsidRDefault="001C6B4C" w:rsidP="001C6B4C">
      <w:pPr>
        <w:pStyle w:val="Bullet1G"/>
        <w:numPr>
          <w:ilvl w:val="0"/>
          <w:numId w:val="0"/>
        </w:numPr>
        <w:ind w:left="1701"/>
      </w:pPr>
      <w:r w:rsidRPr="0012367C">
        <w:rPr>
          <w:u w:val="single"/>
        </w:rPr>
        <w:t>Mandate/Terms of reference</w:t>
      </w:r>
      <w:r w:rsidRPr="0012367C">
        <w:t>: informal document INF.22 (thirty-sixth session) and report of the Sub-Committee on its thirty-sixth session (ST/SG/AC.10/C.4/72, paragraph 19)</w:t>
      </w:r>
      <w:r w:rsidR="00AA271A">
        <w:t xml:space="preserve"> and paragraph 13 of the present report.</w:t>
      </w:r>
    </w:p>
    <w:p w14:paraId="0322B775" w14:textId="77777777" w:rsidR="001C6B4C" w:rsidRDefault="001C6B4C" w:rsidP="001C6B4C">
      <w:pPr>
        <w:pStyle w:val="SingleTxtG"/>
      </w:pPr>
      <w:r>
        <w:t>(b)</w:t>
      </w:r>
      <w:r>
        <w:tab/>
        <w:t>Use of non-animal testing methods for classification of health hazards</w:t>
      </w:r>
    </w:p>
    <w:p w14:paraId="65E4B627" w14:textId="77777777" w:rsidR="001C6B4C" w:rsidRPr="00495996" w:rsidRDefault="001C6B4C" w:rsidP="001C6B4C">
      <w:pPr>
        <w:pStyle w:val="SingleTxtG"/>
      </w:pPr>
      <w:r>
        <w:rPr>
          <w:spacing w:val="-3"/>
          <w:sz w:val="18"/>
          <w:szCs w:val="18"/>
          <w:shd w:val="clear" w:color="auto" w:fill="FFFFFF"/>
        </w:rPr>
        <w:tab/>
      </w:r>
      <w:r>
        <w:rPr>
          <w:spacing w:val="-3"/>
          <w:sz w:val="18"/>
          <w:szCs w:val="18"/>
          <w:shd w:val="clear" w:color="auto" w:fill="FFFFFF"/>
        </w:rPr>
        <w:tab/>
      </w:r>
      <w:r>
        <w:rPr>
          <w:u w:val="single"/>
        </w:rPr>
        <w:t>Lead countries</w:t>
      </w:r>
      <w:r w:rsidRPr="00495996">
        <w:t xml:space="preserve">: </w:t>
      </w:r>
      <w:r>
        <w:t>Netherlands and United Kingdom</w:t>
      </w:r>
    </w:p>
    <w:p w14:paraId="122CEE49" w14:textId="3C8223A4" w:rsidR="001C6B4C" w:rsidRDefault="001C6B4C" w:rsidP="001C6B4C">
      <w:pPr>
        <w:pStyle w:val="SingleTxtG"/>
        <w:ind w:left="1701"/>
      </w:pPr>
      <w:r w:rsidRPr="000754F0">
        <w:rPr>
          <w:u w:val="single"/>
        </w:rPr>
        <w:t>Mandate/Terms of reference</w:t>
      </w:r>
      <w:r w:rsidRPr="00495996">
        <w:t xml:space="preserve">: </w:t>
      </w:r>
      <w:r>
        <w:t>informal document INF.26</w:t>
      </w:r>
      <w:r w:rsidRPr="00402ECB">
        <w:t xml:space="preserve"> and </w:t>
      </w:r>
      <w:r>
        <w:t>paragraph</w:t>
      </w:r>
      <w:r w:rsidR="00036B40">
        <w:t xml:space="preserve"> </w:t>
      </w:r>
      <w:r w:rsidR="009B288E">
        <w:t>26</w:t>
      </w:r>
      <w:r>
        <w:t xml:space="preserve"> of the present </w:t>
      </w:r>
      <w:r w:rsidRPr="00402ECB">
        <w:t>report</w:t>
      </w:r>
    </w:p>
    <w:p w14:paraId="60BE1127" w14:textId="679E1714" w:rsidR="001C6B4C" w:rsidRPr="0012367C" w:rsidRDefault="001C6B4C" w:rsidP="001C6B4C">
      <w:pPr>
        <w:pStyle w:val="SingleTxtG"/>
        <w:ind w:left="1701" w:hanging="567"/>
      </w:pPr>
      <w:r>
        <w:t>(c)</w:t>
      </w:r>
      <w:r>
        <w:tab/>
        <w:t>Classification</w:t>
      </w:r>
      <w:r w:rsidRPr="0012367C">
        <w:t xml:space="preserve"> of skin sensitizers using the results of </w:t>
      </w:r>
      <w:r w:rsidR="009B288E">
        <w:t>local lymph node assays (</w:t>
      </w:r>
      <w:r w:rsidRPr="0012367C">
        <w:t>LLNA</w:t>
      </w:r>
      <w:r w:rsidR="009B288E">
        <w:t>)</w:t>
      </w:r>
      <w:r w:rsidRPr="0012367C">
        <w:t xml:space="preserve"> test methods in accordance with OECD Test Guideline 442B</w:t>
      </w:r>
    </w:p>
    <w:p w14:paraId="76A4EC91" w14:textId="77777777" w:rsidR="001C6B4C" w:rsidRPr="0012367C" w:rsidRDefault="001C6B4C" w:rsidP="001C6B4C">
      <w:pPr>
        <w:pStyle w:val="SingleTxtG"/>
      </w:pPr>
      <w:r w:rsidRPr="0012367C">
        <w:rPr>
          <w:spacing w:val="-3"/>
          <w:sz w:val="18"/>
          <w:szCs w:val="18"/>
          <w:shd w:val="clear" w:color="auto" w:fill="FFFFFF"/>
        </w:rPr>
        <w:tab/>
      </w:r>
      <w:r w:rsidRPr="0012367C">
        <w:rPr>
          <w:spacing w:val="-3"/>
          <w:sz w:val="18"/>
          <w:szCs w:val="18"/>
          <w:shd w:val="clear" w:color="auto" w:fill="FFFFFF"/>
        </w:rPr>
        <w:tab/>
      </w:r>
      <w:r w:rsidRPr="0012367C">
        <w:rPr>
          <w:u w:val="single"/>
        </w:rPr>
        <w:t>Lead country</w:t>
      </w:r>
      <w:r w:rsidRPr="0012367C">
        <w:t>: Japan</w:t>
      </w:r>
    </w:p>
    <w:p w14:paraId="301469FE" w14:textId="1C42A259" w:rsidR="001C6B4C" w:rsidRDefault="001C6B4C" w:rsidP="001C6B4C">
      <w:pPr>
        <w:pStyle w:val="SingleTxtG"/>
        <w:ind w:left="1701" w:hanging="567"/>
      </w:pPr>
      <w:r w:rsidRPr="0012367C">
        <w:tab/>
      </w:r>
      <w:r w:rsidRPr="0012367C">
        <w:rPr>
          <w:u w:val="single"/>
        </w:rPr>
        <w:t>Reference</w:t>
      </w:r>
      <w:r w:rsidRPr="0012367C">
        <w:t xml:space="preserve">: Informal document INF.15 and </w:t>
      </w:r>
      <w:r w:rsidRPr="00B66241">
        <w:t>paragraph</w:t>
      </w:r>
      <w:r w:rsidR="000F6334">
        <w:t xml:space="preserve"> </w:t>
      </w:r>
      <w:r w:rsidR="005067A1">
        <w:t>54 (a)</w:t>
      </w:r>
      <w:r w:rsidRPr="00B66241">
        <w:t xml:space="preserve"> of the present report.</w:t>
      </w:r>
    </w:p>
    <w:p w14:paraId="1A32FDBB" w14:textId="77777777" w:rsidR="001C6B4C" w:rsidRPr="009D0E02" w:rsidRDefault="001C6B4C" w:rsidP="001C6B4C">
      <w:pPr>
        <w:pStyle w:val="SingleTxtG"/>
        <w:keepNext/>
        <w:keepLines/>
      </w:pPr>
      <w:r w:rsidRPr="009D0E02">
        <w:t xml:space="preserve">(d) </w:t>
      </w:r>
      <w:r w:rsidRPr="009D0E02">
        <w:tab/>
        <w:t>Classification criteria for germ cell mutagenicity (sub-category 1B)</w:t>
      </w:r>
    </w:p>
    <w:p w14:paraId="313CBB36" w14:textId="77777777" w:rsidR="001C6B4C" w:rsidRDefault="001C6B4C" w:rsidP="001C6B4C">
      <w:pPr>
        <w:pStyle w:val="SingleTxtG"/>
        <w:keepNext/>
        <w:keepLines/>
        <w:ind w:left="1700"/>
      </w:pPr>
      <w:r w:rsidRPr="00495996">
        <w:rPr>
          <w:u w:val="single"/>
        </w:rPr>
        <w:t>Focal point</w:t>
      </w:r>
      <w:r w:rsidRPr="00495996">
        <w:t xml:space="preserve">: Informal </w:t>
      </w:r>
      <w:r>
        <w:t>working group on germ cell mutagenicity (sub-category 1B) (work organised by the Joint Research Center (JRC) of the European Commission)</w:t>
      </w:r>
    </w:p>
    <w:p w14:paraId="01E6DD03" w14:textId="07C1835A" w:rsidR="001C6B4C" w:rsidRPr="00495996" w:rsidRDefault="001C6B4C" w:rsidP="001C6B4C">
      <w:pPr>
        <w:pStyle w:val="SingleTxtG"/>
        <w:keepNext/>
        <w:keepLines/>
        <w:ind w:left="1700"/>
      </w:pPr>
      <w:r>
        <w:t>Reference: Informal document INF.37 and paragraph</w:t>
      </w:r>
      <w:r w:rsidR="000E0BF5">
        <w:t xml:space="preserve"> </w:t>
      </w:r>
      <w:r w:rsidR="005067A1">
        <w:t>35</w:t>
      </w:r>
      <w:r>
        <w:t xml:space="preserve"> of the present report. </w:t>
      </w:r>
    </w:p>
    <w:p w14:paraId="10B98021" w14:textId="77777777" w:rsidR="001C6B4C" w:rsidRPr="00495996" w:rsidRDefault="001C6B4C" w:rsidP="001C6B4C">
      <w:pPr>
        <w:pStyle w:val="SingleTxtG"/>
        <w:keepNext/>
        <w:keepLines/>
      </w:pPr>
      <w:r>
        <w:t>(e)</w:t>
      </w:r>
      <w:r w:rsidRPr="00495996">
        <w:tab/>
        <w:t xml:space="preserve">Practical classification issues </w:t>
      </w:r>
    </w:p>
    <w:p w14:paraId="377522C5" w14:textId="77777777" w:rsidR="001C6B4C" w:rsidRDefault="001C6B4C" w:rsidP="001C6B4C">
      <w:pPr>
        <w:pStyle w:val="SingleTxtG"/>
        <w:keepNext/>
        <w:keepLines/>
        <w:ind w:left="1700"/>
      </w:pPr>
      <w:r w:rsidRPr="00495996">
        <w:rPr>
          <w:u w:val="single"/>
        </w:rPr>
        <w:t>Lead country</w:t>
      </w:r>
      <w:r w:rsidRPr="00495996">
        <w:t>: United States of America</w:t>
      </w:r>
    </w:p>
    <w:p w14:paraId="23C3B390" w14:textId="77777777" w:rsidR="001C6B4C" w:rsidRPr="00495996" w:rsidRDefault="001C6B4C" w:rsidP="001C6B4C">
      <w:pPr>
        <w:pStyle w:val="SingleTxtG"/>
        <w:keepNext/>
        <w:keepLines/>
        <w:ind w:left="1700"/>
      </w:pPr>
      <w:r w:rsidRPr="00495996">
        <w:rPr>
          <w:u w:val="single"/>
        </w:rPr>
        <w:t>Focal point</w:t>
      </w:r>
      <w:r w:rsidRPr="00495996">
        <w:t xml:space="preserve">: Informal </w:t>
      </w:r>
      <w:r>
        <w:t xml:space="preserve">correspondence </w:t>
      </w:r>
      <w:r w:rsidRPr="00495996">
        <w:t>group on practical classification issues</w:t>
      </w:r>
    </w:p>
    <w:p w14:paraId="25CC668B" w14:textId="435AFC3C" w:rsidR="001C6B4C" w:rsidRPr="00495996" w:rsidRDefault="001C6B4C" w:rsidP="001C6B4C">
      <w:pPr>
        <w:pStyle w:val="SingleTxtG"/>
        <w:ind w:left="1701" w:hanging="567"/>
      </w:pPr>
      <w:r w:rsidRPr="00495996">
        <w:tab/>
      </w:r>
      <w:r w:rsidRPr="00D52D19">
        <w:rPr>
          <w:u w:val="single"/>
        </w:rPr>
        <w:t>Mandate/Terms of reference</w:t>
      </w:r>
      <w:r w:rsidRPr="00D52D19">
        <w:t xml:space="preserve">: </w:t>
      </w:r>
      <w:r w:rsidRPr="00FD4389">
        <w:t xml:space="preserve">informal document </w:t>
      </w:r>
      <w:r>
        <w:t>INF.31</w:t>
      </w:r>
      <w:r w:rsidRPr="0030646F">
        <w:t xml:space="preserve"> </w:t>
      </w:r>
      <w:r>
        <w:t>and paragraph</w:t>
      </w:r>
      <w:r w:rsidR="000F6334">
        <w:t xml:space="preserve"> </w:t>
      </w:r>
      <w:r w:rsidR="005067A1">
        <w:t>27</w:t>
      </w:r>
      <w:r>
        <w:t xml:space="preserve"> of the present report.</w:t>
      </w:r>
    </w:p>
    <w:p w14:paraId="2D86A40F" w14:textId="77777777" w:rsidR="001C6B4C" w:rsidRPr="0012367C" w:rsidRDefault="001C6B4C" w:rsidP="001C6B4C">
      <w:pPr>
        <w:pStyle w:val="SingleTxtG"/>
        <w:keepNext/>
        <w:keepLines/>
      </w:pPr>
      <w:r w:rsidRPr="0012367C">
        <w:t>(f)</w:t>
      </w:r>
      <w:r w:rsidRPr="0012367C">
        <w:tab/>
        <w:t>Nanomaterials</w:t>
      </w:r>
    </w:p>
    <w:p w14:paraId="2150AAD1" w14:textId="08215760" w:rsidR="001C6B4C" w:rsidRDefault="001C6B4C">
      <w:pPr>
        <w:pStyle w:val="SingleTxtG"/>
        <w:ind w:left="1700"/>
      </w:pPr>
      <w:r w:rsidRPr="0012367C">
        <w:tab/>
      </w:r>
      <w:r w:rsidRPr="0012367C">
        <w:rPr>
          <w:u w:val="single"/>
        </w:rPr>
        <w:t>Mandate/Terms of reference</w:t>
      </w:r>
      <w:r w:rsidRPr="0012367C">
        <w:t>: informal document INF.27 (thirty-second session) and report</w:t>
      </w:r>
      <w:r>
        <w:t>s</w:t>
      </w:r>
      <w:r w:rsidRPr="0012367C">
        <w:t xml:space="preserve"> of the Sub-Committee on its thirty-second</w:t>
      </w:r>
      <w:r>
        <w:t>,</w:t>
      </w:r>
      <w:r w:rsidRPr="0012367C">
        <w:t xml:space="preserve"> </w:t>
      </w:r>
      <w:r>
        <w:t xml:space="preserve">thirty-sixth and thirty-eighth </w:t>
      </w:r>
      <w:r w:rsidRPr="0012367C">
        <w:t>session</w:t>
      </w:r>
      <w:r>
        <w:t>s</w:t>
      </w:r>
      <w:r w:rsidRPr="0012367C">
        <w:t xml:space="preserve"> (ST/SG/AC.10/C.4/64, paragraph 32</w:t>
      </w:r>
      <w:r>
        <w:t xml:space="preserve">; </w:t>
      </w:r>
      <w:r w:rsidRPr="0012367C">
        <w:t>ST/SG/AC.10/C.4/72, paragraph 42</w:t>
      </w:r>
      <w:r>
        <w:t xml:space="preserve">; </w:t>
      </w:r>
      <w:r w:rsidRPr="001A5B60">
        <w:t xml:space="preserve"> </w:t>
      </w:r>
      <w:r w:rsidRPr="0012367C">
        <w:t xml:space="preserve">ST/SG/AC.10/C.4/76, paragraph </w:t>
      </w:r>
      <w:r w:rsidRPr="001A5B60">
        <w:t>24)</w:t>
      </w:r>
      <w:r>
        <w:t xml:space="preserve"> and paragraph</w:t>
      </w:r>
      <w:r w:rsidR="000E0BF5">
        <w:t xml:space="preserve"> </w:t>
      </w:r>
      <w:r w:rsidR="005067A1">
        <w:t>54</w:t>
      </w:r>
      <w:r w:rsidR="00916148">
        <w:t xml:space="preserve"> (c)</w:t>
      </w:r>
      <w:r>
        <w:t xml:space="preserve"> of the present report.</w:t>
      </w:r>
    </w:p>
    <w:p w14:paraId="2EB5E5D3" w14:textId="77777777" w:rsidR="001C6B4C" w:rsidRPr="00C07E1E" w:rsidRDefault="001C6B4C" w:rsidP="001C6B4C">
      <w:pPr>
        <w:pStyle w:val="SingleTxtG"/>
        <w:keepNext/>
        <w:keepLines/>
      </w:pPr>
      <w:r w:rsidRPr="00402ECB">
        <w:t>(</w:t>
      </w:r>
      <w:r>
        <w:t>g</w:t>
      </w:r>
      <w:r w:rsidRPr="00402ECB">
        <w:t>)</w:t>
      </w:r>
      <w:r w:rsidRPr="00402ECB">
        <w:tab/>
      </w:r>
      <w:r w:rsidRPr="00C07E1E">
        <w:t>Simultaneous classification in physical hazard classes and precedence of hazards</w:t>
      </w:r>
    </w:p>
    <w:p w14:paraId="133E9796" w14:textId="77777777" w:rsidR="001C6B4C" w:rsidRPr="00C07E1E" w:rsidRDefault="001C6B4C" w:rsidP="001C6B4C">
      <w:pPr>
        <w:pStyle w:val="SingleTxtG"/>
        <w:keepNext/>
        <w:keepLines/>
        <w:ind w:left="1700"/>
      </w:pPr>
      <w:r w:rsidRPr="00C07E1E">
        <w:rPr>
          <w:u w:val="single"/>
        </w:rPr>
        <w:t>Lead country</w:t>
      </w:r>
      <w:r w:rsidRPr="00C07E1E">
        <w:t xml:space="preserve">: Germany </w:t>
      </w:r>
    </w:p>
    <w:p w14:paraId="634A175A" w14:textId="0221BAB9" w:rsidR="001C6B4C" w:rsidRDefault="001C6B4C" w:rsidP="001C6B4C">
      <w:pPr>
        <w:pStyle w:val="SingleTxtG"/>
        <w:ind w:left="1700"/>
      </w:pPr>
      <w:r w:rsidRPr="00C07E1E">
        <w:tab/>
      </w:r>
      <w:r w:rsidRPr="00C07E1E">
        <w:rPr>
          <w:u w:val="single"/>
        </w:rPr>
        <w:t>Mandate/Terms of reference</w:t>
      </w:r>
      <w:r w:rsidRPr="00C07E1E">
        <w:t xml:space="preserve">: ST/SG/AC.10/C.4/2018/21, as amended and report of the Sub-Committee on its thirty-sixth session (ST/SG/AC.10/C.4/72, paragraph 74). </w:t>
      </w:r>
      <w:r w:rsidRPr="0012367C">
        <w:t xml:space="preserve">See also paragraph </w:t>
      </w:r>
      <w:r w:rsidR="003D6D87">
        <w:t>25</w:t>
      </w:r>
      <w:r w:rsidR="003D6D87" w:rsidRPr="0012367C">
        <w:t xml:space="preserve"> </w:t>
      </w:r>
      <w:r w:rsidRPr="0012367C">
        <w:t>of the present report.</w:t>
      </w:r>
    </w:p>
    <w:p w14:paraId="2C6ECAF0" w14:textId="77777777" w:rsidR="001C6B4C" w:rsidRPr="00495996" w:rsidRDefault="001C6B4C" w:rsidP="001C6B4C">
      <w:pPr>
        <w:pStyle w:val="H23G"/>
      </w:pPr>
      <w:r w:rsidRPr="00495996">
        <w:lastRenderedPageBreak/>
        <w:tab/>
        <w:t xml:space="preserve">2. </w:t>
      </w:r>
      <w:r w:rsidRPr="00495996">
        <w:tab/>
      </w:r>
      <w:r>
        <w:t>Other h</w:t>
      </w:r>
      <w:r w:rsidRPr="00495996">
        <w:t xml:space="preserve">azard communication </w:t>
      </w:r>
      <w:r>
        <w:t>matters, including:</w:t>
      </w:r>
    </w:p>
    <w:p w14:paraId="316C1A9A" w14:textId="77777777" w:rsidR="001C6B4C" w:rsidRPr="00495996" w:rsidRDefault="001C6B4C" w:rsidP="001C6B4C">
      <w:pPr>
        <w:pStyle w:val="SingleTxtG"/>
        <w:keepNext/>
        <w:keepLines/>
      </w:pPr>
      <w:r w:rsidRPr="00495996">
        <w:t>(</w:t>
      </w:r>
      <w:r>
        <w:t>a</w:t>
      </w:r>
      <w:r w:rsidRPr="00495996">
        <w:t>)</w:t>
      </w:r>
      <w:r w:rsidRPr="00495996">
        <w:tab/>
      </w:r>
      <w:r>
        <w:t>Practical labelling issues</w:t>
      </w:r>
    </w:p>
    <w:p w14:paraId="1B454F61" w14:textId="77777777" w:rsidR="001C6B4C" w:rsidRPr="00495996" w:rsidRDefault="001C6B4C" w:rsidP="001C6B4C">
      <w:pPr>
        <w:pStyle w:val="SingleTxtG"/>
        <w:keepNext/>
        <w:keepLines/>
        <w:ind w:left="1700"/>
      </w:pPr>
      <w:r w:rsidRPr="00495996">
        <w:rPr>
          <w:u w:val="single"/>
        </w:rPr>
        <w:t>Lead organization</w:t>
      </w:r>
      <w:r w:rsidRPr="00495996">
        <w:t>: C</w:t>
      </w:r>
      <w:r>
        <w:t>efic</w:t>
      </w:r>
    </w:p>
    <w:p w14:paraId="4D02F003" w14:textId="6304EB33" w:rsidR="001C6B4C" w:rsidRPr="00495996" w:rsidRDefault="001C6B4C" w:rsidP="001C6B4C">
      <w:pPr>
        <w:pStyle w:val="SingleTxtG"/>
        <w:keepNext/>
        <w:keepLines/>
        <w:ind w:left="1700"/>
      </w:pPr>
      <w:r>
        <w:rPr>
          <w:u w:val="single"/>
        </w:rPr>
        <w:t xml:space="preserve">Background document: </w:t>
      </w:r>
      <w:r>
        <w:t xml:space="preserve">informal </w:t>
      </w:r>
      <w:r w:rsidRPr="00402ECB">
        <w:t xml:space="preserve">document </w:t>
      </w:r>
      <w:r>
        <w:t>INF.28</w:t>
      </w:r>
      <w:r w:rsidRPr="00402ECB">
        <w:t xml:space="preserve"> </w:t>
      </w:r>
      <w:r>
        <w:t>and paragraph</w:t>
      </w:r>
      <w:r w:rsidR="003D6D87">
        <w:t>37</w:t>
      </w:r>
      <w:r>
        <w:t xml:space="preserve"> of the present report</w:t>
      </w:r>
    </w:p>
    <w:p w14:paraId="04BE90A4" w14:textId="77777777" w:rsidR="001C6B4C" w:rsidRPr="00495996" w:rsidRDefault="001C6B4C" w:rsidP="001C6B4C">
      <w:pPr>
        <w:pStyle w:val="SingleTxtG"/>
        <w:keepLines/>
        <w:ind w:left="1701" w:hanging="567"/>
      </w:pPr>
      <w:r>
        <w:t>(b)</w:t>
      </w:r>
      <w:r>
        <w:tab/>
        <w:t>Improvement of A</w:t>
      </w:r>
      <w:r w:rsidRPr="00495996">
        <w:t>nnexes 1</w:t>
      </w:r>
      <w:r>
        <w:t xml:space="preserve"> to </w:t>
      </w:r>
      <w:r w:rsidRPr="00495996">
        <w:t>3 and further rationali</w:t>
      </w:r>
      <w:r>
        <w:t>z</w:t>
      </w:r>
      <w:r w:rsidRPr="00495996">
        <w:t>ation of precautionary statements</w:t>
      </w:r>
    </w:p>
    <w:p w14:paraId="1DBF861F" w14:textId="77777777" w:rsidR="001C6B4C" w:rsidRPr="00495996" w:rsidRDefault="001C6B4C" w:rsidP="001C6B4C">
      <w:pPr>
        <w:pStyle w:val="SingleTxtG"/>
      </w:pPr>
      <w:r>
        <w:tab/>
      </w:r>
      <w:r w:rsidRPr="00495996">
        <w:tab/>
      </w:r>
      <w:r w:rsidRPr="00495996">
        <w:rPr>
          <w:u w:val="single"/>
        </w:rPr>
        <w:t>Lead country</w:t>
      </w:r>
      <w:r w:rsidRPr="00495996">
        <w:t>: United Kingdom</w:t>
      </w:r>
    </w:p>
    <w:p w14:paraId="578922FC" w14:textId="148B63B7" w:rsidR="001C6B4C" w:rsidRDefault="001C6B4C" w:rsidP="001C6B4C">
      <w:pPr>
        <w:pStyle w:val="SingleTxtG"/>
        <w:ind w:left="1700"/>
      </w:pPr>
      <w:r w:rsidRPr="00495996">
        <w:tab/>
      </w:r>
      <w:r w:rsidRPr="00D52D19">
        <w:rPr>
          <w:u w:val="single"/>
        </w:rPr>
        <w:t>Mandate/Terms of reference</w:t>
      </w:r>
      <w:r w:rsidRPr="00D52D19">
        <w:t xml:space="preserve">: </w:t>
      </w:r>
      <w:r>
        <w:t xml:space="preserve">informal document INF.21 </w:t>
      </w:r>
      <w:r w:rsidRPr="00D52D19">
        <w:t xml:space="preserve">and </w:t>
      </w:r>
      <w:r>
        <w:t>paragraph</w:t>
      </w:r>
      <w:r w:rsidR="000F6334">
        <w:t xml:space="preserve"> </w:t>
      </w:r>
      <w:r w:rsidR="003D6D87">
        <w:t>55</w:t>
      </w:r>
      <w:r>
        <w:t xml:space="preserve"> of the present report.</w:t>
      </w:r>
    </w:p>
    <w:p w14:paraId="43100194" w14:textId="77777777" w:rsidR="001C6B4C" w:rsidRPr="00495996" w:rsidRDefault="001C6B4C" w:rsidP="001C6B4C">
      <w:pPr>
        <w:pStyle w:val="H23G"/>
      </w:pPr>
      <w:r w:rsidRPr="00495996">
        <w:tab/>
      </w:r>
      <w:r w:rsidRPr="009E7C23">
        <w:t xml:space="preserve">3. </w:t>
      </w:r>
      <w:r w:rsidRPr="009E7C23">
        <w:tab/>
        <w:t>Implementation issues, including:</w:t>
      </w:r>
    </w:p>
    <w:p w14:paraId="5819510C" w14:textId="77777777" w:rsidR="001C6B4C" w:rsidRPr="00495996" w:rsidRDefault="001C6B4C" w:rsidP="001C6B4C">
      <w:pPr>
        <w:pStyle w:val="SingleTxtG"/>
        <w:keepNext/>
        <w:keepLines/>
        <w:ind w:left="1700" w:hanging="566"/>
      </w:pPr>
      <w:r w:rsidRPr="00495996">
        <w:t>(a)</w:t>
      </w:r>
      <w:r w:rsidRPr="00495996">
        <w:tab/>
        <w:t>Assessing the possible development of a list of chemicals classified in accordance with the GHS</w:t>
      </w:r>
    </w:p>
    <w:p w14:paraId="5E4721BC" w14:textId="77777777" w:rsidR="001C6B4C" w:rsidRPr="00495996" w:rsidRDefault="001C6B4C" w:rsidP="001C6B4C">
      <w:pPr>
        <w:pStyle w:val="SingleTxtG"/>
        <w:keepNext/>
        <w:keepLines/>
        <w:ind w:left="1701"/>
      </w:pPr>
      <w:r w:rsidRPr="00495996">
        <w:rPr>
          <w:u w:val="single"/>
        </w:rPr>
        <w:t>Lead country</w:t>
      </w:r>
      <w:r w:rsidRPr="00495996">
        <w:t xml:space="preserve">: </w:t>
      </w:r>
      <w:r>
        <w:t xml:space="preserve">Canada and </w:t>
      </w:r>
      <w:r w:rsidRPr="00495996">
        <w:t>United States of America</w:t>
      </w:r>
    </w:p>
    <w:p w14:paraId="69E6041C" w14:textId="746CF098" w:rsidR="001C6B4C" w:rsidRPr="00495996" w:rsidRDefault="001C6B4C" w:rsidP="001C6B4C">
      <w:pPr>
        <w:pStyle w:val="SingleTxtG"/>
        <w:keepNext/>
        <w:keepLines/>
        <w:ind w:left="1701"/>
      </w:pPr>
      <w:r w:rsidRPr="00790BA4">
        <w:rPr>
          <w:u w:val="single"/>
        </w:rPr>
        <w:t>Mandate/Terms of reference</w:t>
      </w:r>
      <w:r w:rsidRPr="00790BA4">
        <w:t>: Document ST/SG/AC.10/C.4/2020/17 and</w:t>
      </w:r>
      <w:r w:rsidRPr="0012367C">
        <w:t xml:space="preserve"> paragraphs </w:t>
      </w:r>
      <w:r w:rsidR="002E2CFF">
        <w:t>44</w:t>
      </w:r>
      <w:r w:rsidR="00157F92">
        <w:t xml:space="preserve"> and 45</w:t>
      </w:r>
      <w:r w:rsidR="002E2CFF" w:rsidRPr="0012367C">
        <w:t xml:space="preserve"> </w:t>
      </w:r>
      <w:r w:rsidRPr="0012367C">
        <w:t>of the present report</w:t>
      </w:r>
    </w:p>
    <w:p w14:paraId="383885B5" w14:textId="77777777" w:rsidR="001C6B4C" w:rsidRPr="00495996" w:rsidRDefault="001C6B4C" w:rsidP="001C6B4C">
      <w:pPr>
        <w:pStyle w:val="SingleTxtG"/>
        <w:ind w:left="1700" w:hanging="566"/>
      </w:pPr>
      <w:r w:rsidRPr="00495996">
        <w:t>(b)</w:t>
      </w:r>
      <w:r w:rsidRPr="00495996">
        <w:tab/>
        <w:t>Facilitate the coordinated implementation of the GHS in countries and monitor the status of implementation of the GHS</w:t>
      </w:r>
    </w:p>
    <w:p w14:paraId="6B6E3AEE" w14:textId="77777777" w:rsidR="001C6B4C" w:rsidRPr="00495996" w:rsidRDefault="001C6B4C" w:rsidP="001C6B4C">
      <w:pPr>
        <w:pStyle w:val="SingleTxtG"/>
        <w:ind w:left="1700" w:hanging="566"/>
      </w:pPr>
      <w:r w:rsidRPr="00495996">
        <w:t>(c)</w:t>
      </w:r>
      <w:r w:rsidRPr="00495996">
        <w:tab/>
        <w:t>Cooperate with other bodies or international organizations responsible for the administration of international agreements and conventions dealing with the management of chemicals to give effect to the GHS through such instruments</w:t>
      </w:r>
    </w:p>
    <w:p w14:paraId="7ED7B5EB" w14:textId="77777777" w:rsidR="001C6B4C" w:rsidRPr="00495996" w:rsidRDefault="001C6B4C" w:rsidP="001C6B4C">
      <w:pPr>
        <w:pStyle w:val="H23G"/>
      </w:pPr>
      <w:r w:rsidRPr="00495996">
        <w:tab/>
        <w:t>4.</w:t>
      </w:r>
      <w:r w:rsidRPr="00495996">
        <w:tab/>
        <w:t>Guidance on the application of the GHS criteria</w:t>
      </w:r>
      <w:r>
        <w:t>, including:</w:t>
      </w:r>
    </w:p>
    <w:p w14:paraId="346AE325" w14:textId="77777777" w:rsidR="001C6B4C" w:rsidRPr="009D0E02" w:rsidRDefault="001C6B4C" w:rsidP="001C6B4C">
      <w:pPr>
        <w:pStyle w:val="SingleTxtG"/>
        <w:keepNext/>
        <w:keepLines/>
        <w:ind w:left="1700" w:hanging="566"/>
      </w:pPr>
      <w:r w:rsidRPr="009D0E02">
        <w:t>(a)</w:t>
      </w:r>
      <w:r w:rsidRPr="009D0E02">
        <w:tab/>
        <w:t>Development of examples illustrating application of criteria and any related hazard communication issues, as needed</w:t>
      </w:r>
    </w:p>
    <w:p w14:paraId="0398D624" w14:textId="77777777" w:rsidR="001C6B4C" w:rsidRPr="009D0E02" w:rsidRDefault="001C6B4C" w:rsidP="001C6B4C">
      <w:pPr>
        <w:pStyle w:val="SingleTxtG"/>
        <w:keepNext/>
        <w:keepLines/>
        <w:ind w:left="1700"/>
      </w:pPr>
      <w:r w:rsidRPr="009D0E02">
        <w:rPr>
          <w:u w:val="single"/>
        </w:rPr>
        <w:t>Lead country</w:t>
      </w:r>
      <w:r w:rsidRPr="009D0E02">
        <w:t>: United States of America</w:t>
      </w:r>
    </w:p>
    <w:p w14:paraId="195BD26F" w14:textId="77777777" w:rsidR="001C6B4C" w:rsidRPr="009D0E02" w:rsidRDefault="001C6B4C" w:rsidP="001C6B4C">
      <w:pPr>
        <w:pStyle w:val="SingleTxtG"/>
        <w:keepNext/>
        <w:keepLines/>
        <w:ind w:left="1700"/>
      </w:pPr>
      <w:r w:rsidRPr="009D0E02">
        <w:rPr>
          <w:u w:val="single"/>
        </w:rPr>
        <w:t>Focal point</w:t>
      </w:r>
      <w:r w:rsidRPr="009D0E02">
        <w:t>: Informal correspondence group on practical classification issues</w:t>
      </w:r>
    </w:p>
    <w:p w14:paraId="72A4BE5E" w14:textId="1256E511" w:rsidR="001C6B4C" w:rsidRPr="009D0E02" w:rsidRDefault="001C6B4C" w:rsidP="001C6B4C">
      <w:pPr>
        <w:pStyle w:val="SingleTxtG"/>
        <w:ind w:left="1701" w:hanging="1"/>
      </w:pPr>
      <w:r w:rsidRPr="009D0E02">
        <w:rPr>
          <w:u w:val="single"/>
        </w:rPr>
        <w:t>Mandate/Terms of reference</w:t>
      </w:r>
      <w:r w:rsidRPr="009D0E02">
        <w:t>: informal document INF.31 and paragraph</w:t>
      </w:r>
      <w:r w:rsidR="000E0BF5">
        <w:t xml:space="preserve"> </w:t>
      </w:r>
      <w:r w:rsidR="00157F92">
        <w:t>27</w:t>
      </w:r>
      <w:r w:rsidRPr="009D0E02">
        <w:t xml:space="preserve"> of the present report. </w:t>
      </w:r>
    </w:p>
    <w:p w14:paraId="35281861" w14:textId="77777777" w:rsidR="001C6B4C" w:rsidRPr="009D0E02" w:rsidRDefault="001C6B4C" w:rsidP="001C6B4C">
      <w:pPr>
        <w:pStyle w:val="SingleTxtG"/>
        <w:ind w:left="1700" w:hanging="566"/>
      </w:pPr>
      <w:r w:rsidRPr="009D0E02">
        <w:t xml:space="preserve">(b) </w:t>
      </w:r>
      <w:r w:rsidRPr="009D0E02">
        <w:tab/>
        <w:t>Alignment of guidance in Annex 9 (section A9.7) and Annex 10 of the GHS with the criteria in Chapter 4.1</w:t>
      </w:r>
    </w:p>
    <w:p w14:paraId="5E3C215F" w14:textId="77777777" w:rsidR="001C6B4C" w:rsidRPr="009D0E02" w:rsidRDefault="001C6B4C" w:rsidP="001C6B4C">
      <w:pPr>
        <w:pStyle w:val="SingleTxtG"/>
        <w:ind w:left="1701"/>
      </w:pPr>
      <w:r w:rsidRPr="009D0E02">
        <w:rPr>
          <w:u w:val="single"/>
        </w:rPr>
        <w:t>Lead organization</w:t>
      </w:r>
      <w:r w:rsidRPr="009D0E02">
        <w:t>: ICMM</w:t>
      </w:r>
    </w:p>
    <w:p w14:paraId="43D91513" w14:textId="2A9E7BBE" w:rsidR="001C6B4C" w:rsidRPr="00495996" w:rsidRDefault="001C6B4C" w:rsidP="001C6B4C">
      <w:pPr>
        <w:pStyle w:val="SingleTxtG"/>
        <w:ind w:left="1701"/>
      </w:pPr>
      <w:r w:rsidRPr="009D0E02">
        <w:rPr>
          <w:u w:val="single"/>
        </w:rPr>
        <w:t>Mandate/Terms of reference</w:t>
      </w:r>
      <w:r w:rsidRPr="009D0E02">
        <w:t>: informal document INF.9/Rev.1 and paragraph</w:t>
      </w:r>
      <w:r w:rsidR="000E0BF5">
        <w:t xml:space="preserve"> </w:t>
      </w:r>
      <w:r w:rsidR="00157F92">
        <w:t>42</w:t>
      </w:r>
      <w:r w:rsidRPr="009D0E02">
        <w:t xml:space="preserve"> of the present report.</w:t>
      </w:r>
    </w:p>
    <w:p w14:paraId="7A0A5264" w14:textId="77777777" w:rsidR="001C6B4C" w:rsidRPr="00495996" w:rsidRDefault="001C6B4C" w:rsidP="001C6B4C">
      <w:pPr>
        <w:pStyle w:val="H23G"/>
      </w:pPr>
      <w:r w:rsidRPr="00495996">
        <w:tab/>
        <w:t xml:space="preserve">5. </w:t>
      </w:r>
      <w:r w:rsidRPr="00495996">
        <w:tab/>
        <w:t>Capacity building</w:t>
      </w:r>
      <w:r>
        <w:t>, including:</w:t>
      </w:r>
    </w:p>
    <w:p w14:paraId="7907B405" w14:textId="77777777" w:rsidR="001C6B4C" w:rsidRPr="00495996" w:rsidRDefault="001C6B4C" w:rsidP="001C6B4C">
      <w:pPr>
        <w:pStyle w:val="SingleTxtG"/>
        <w:ind w:left="1700" w:hanging="566"/>
      </w:pPr>
      <w:r w:rsidRPr="00495996">
        <w:t>(a)</w:t>
      </w:r>
      <w:r w:rsidRPr="00495996">
        <w:tab/>
        <w:t>Review reports on training and capacity-building activities</w:t>
      </w:r>
    </w:p>
    <w:p w14:paraId="37922106" w14:textId="5C46892D" w:rsidR="001C6B4C" w:rsidRDefault="001C6B4C" w:rsidP="001C6B4C">
      <w:pPr>
        <w:pStyle w:val="SingleTxtG"/>
        <w:ind w:left="1700" w:hanging="566"/>
      </w:pPr>
      <w:r w:rsidRPr="00495996">
        <w:t>(b)</w:t>
      </w:r>
      <w:r w:rsidRPr="00495996">
        <w:tab/>
      </w:r>
      <w:r>
        <w:t>Provide assistance to</w:t>
      </w:r>
      <w:r w:rsidRPr="00495996">
        <w:t xml:space="preserve"> United Nations programmes and specialized agencies involved in training and capacity-building activities, such as UNITAR, ILO, FAO and WHO/IPCS through the development of guidance materials, advice with respect to their training programmes and identification of available expertise and resources</w:t>
      </w:r>
    </w:p>
    <w:p w14:paraId="3287C64D" w14:textId="7C4EED48" w:rsidR="001E0777" w:rsidRPr="00F234F8" w:rsidRDefault="00F234F8" w:rsidP="00F234F8">
      <w:pPr>
        <w:spacing w:before="240"/>
        <w:jc w:val="center"/>
        <w:rPr>
          <w:u w:val="single"/>
        </w:rPr>
      </w:pPr>
      <w:r>
        <w:rPr>
          <w:u w:val="single"/>
        </w:rPr>
        <w:tab/>
      </w:r>
      <w:r>
        <w:rPr>
          <w:u w:val="single"/>
        </w:rPr>
        <w:tab/>
      </w:r>
      <w:r>
        <w:rPr>
          <w:u w:val="single"/>
        </w:rPr>
        <w:tab/>
      </w:r>
    </w:p>
    <w:p w14:paraId="4F8A3F32" w14:textId="77777777" w:rsidR="00AF5DE1" w:rsidRPr="003119C7" w:rsidRDefault="00AF5DE1"/>
    <w:sectPr w:rsidR="00AF5DE1" w:rsidRPr="003119C7" w:rsidSect="001E0777">
      <w:headerReference w:type="even" r:id="rId23"/>
      <w:headerReference w:type="default" r:id="rId24"/>
      <w:footerReference w:type="even" r:id="rId25"/>
      <w:footerReference w:type="default" r:id="rId26"/>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DA80B" w14:textId="77777777" w:rsidR="00CE605C" w:rsidRPr="00C47B2E" w:rsidRDefault="00CE605C" w:rsidP="00C47B2E">
      <w:pPr>
        <w:pStyle w:val="Footer"/>
      </w:pPr>
    </w:p>
  </w:endnote>
  <w:endnote w:type="continuationSeparator" w:id="0">
    <w:p w14:paraId="78A27B66" w14:textId="77777777" w:rsidR="00CE605C" w:rsidRPr="00C47B2E" w:rsidRDefault="00CE605C" w:rsidP="00C47B2E">
      <w:pPr>
        <w:pStyle w:val="Footer"/>
      </w:pPr>
    </w:p>
  </w:endnote>
  <w:endnote w:type="continuationNotice" w:id="1">
    <w:p w14:paraId="19B72097" w14:textId="77777777" w:rsidR="00CE605C" w:rsidRPr="00C47B2E" w:rsidRDefault="00CE605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2FDB" w14:textId="0643824E" w:rsidR="00D94B05" w:rsidRPr="003119C7" w:rsidRDefault="003119C7" w:rsidP="003119C7">
    <w:pPr>
      <w:pStyle w:val="Footer"/>
      <w:tabs>
        <w:tab w:val="right" w:pos="9598"/>
        <w:tab w:val="right" w:pos="9638"/>
      </w:tabs>
      <w:rPr>
        <w:sz w:val="18"/>
      </w:rPr>
    </w:pPr>
    <w:r w:rsidRPr="003119C7">
      <w:rPr>
        <w:b/>
        <w:sz w:val="18"/>
      </w:rPr>
      <w:fldChar w:fldCharType="begin"/>
    </w:r>
    <w:r w:rsidRPr="003119C7">
      <w:rPr>
        <w:b/>
        <w:sz w:val="18"/>
      </w:rPr>
      <w:instrText xml:space="preserve"> PAGE  \* MERGEFORMAT </w:instrText>
    </w:r>
    <w:r w:rsidRPr="003119C7">
      <w:rPr>
        <w:b/>
        <w:sz w:val="18"/>
      </w:rPr>
      <w:fldChar w:fldCharType="separate"/>
    </w:r>
    <w:r w:rsidRPr="003119C7">
      <w:rPr>
        <w:b/>
        <w:noProof/>
        <w:sz w:val="18"/>
      </w:rPr>
      <w:t>2</w:t>
    </w:r>
    <w:r w:rsidRPr="003119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C670" w14:textId="7DCD210D" w:rsidR="00D94B05" w:rsidRPr="00D519AC" w:rsidRDefault="003119C7" w:rsidP="00D519AC">
    <w:pPr>
      <w:pStyle w:val="Footer"/>
      <w:tabs>
        <w:tab w:val="left" w:pos="5775"/>
        <w:tab w:val="right" w:pos="9598"/>
        <w:tab w:val="right" w:pos="9638"/>
      </w:tabs>
      <w:jc w:val="right"/>
      <w:rPr>
        <w:b/>
        <w:bCs/>
        <w:sz w:val="18"/>
      </w:rPr>
    </w:pPr>
    <w:r>
      <w:rPr>
        <w:b/>
        <w:sz w:val="18"/>
      </w:rPr>
      <w:tab/>
    </w:r>
    <w:r w:rsidRPr="00D519AC">
      <w:rPr>
        <w:b/>
        <w:bCs/>
        <w:sz w:val="18"/>
      </w:rPr>
      <w:fldChar w:fldCharType="begin"/>
    </w:r>
    <w:r w:rsidRPr="00D519AC">
      <w:rPr>
        <w:b/>
        <w:bCs/>
        <w:sz w:val="18"/>
      </w:rPr>
      <w:instrText xml:space="preserve"> PAGE  \* MERGEFORMAT </w:instrText>
    </w:r>
    <w:r w:rsidRPr="00D519AC">
      <w:rPr>
        <w:b/>
        <w:bCs/>
        <w:sz w:val="18"/>
      </w:rPr>
      <w:fldChar w:fldCharType="separate"/>
    </w:r>
    <w:r w:rsidRPr="00D519AC">
      <w:rPr>
        <w:b/>
        <w:bCs/>
        <w:noProof/>
        <w:sz w:val="18"/>
      </w:rPr>
      <w:t>3</w:t>
    </w:r>
    <w:r w:rsidRPr="00D519A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C64E" w14:textId="77777777" w:rsidR="00D94B05" w:rsidRPr="003119C7"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40AECF4" wp14:editId="72313038">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CCA6" w14:textId="3975B83E" w:rsidR="00800D9F" w:rsidRPr="00800D9F" w:rsidRDefault="00800D9F" w:rsidP="00800D9F">
    <w:pPr>
      <w:pStyle w:val="Footer"/>
    </w:pPr>
    <w:r>
      <w:rPr>
        <w:noProof/>
      </w:rPr>
      <mc:AlternateContent>
        <mc:Choice Requires="wps">
          <w:drawing>
            <wp:anchor distT="0" distB="0" distL="114300" distR="114300" simplePos="0" relativeHeight="251663360" behindDoc="0" locked="0" layoutInCell="1" allowOverlap="1" wp14:anchorId="742A03A1" wp14:editId="31FD93F4">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9B1FCE4" w14:textId="77777777" w:rsidR="00800D9F" w:rsidRPr="003119C7" w:rsidRDefault="00800D9F" w:rsidP="00800D9F">
                          <w:pPr>
                            <w:pStyle w:val="Footer"/>
                            <w:tabs>
                              <w:tab w:val="right" w:pos="9598"/>
                              <w:tab w:val="right" w:pos="9638"/>
                            </w:tabs>
                            <w:rPr>
                              <w:sz w:val="18"/>
                            </w:rPr>
                          </w:pPr>
                          <w:r w:rsidRPr="003119C7">
                            <w:rPr>
                              <w:b/>
                              <w:sz w:val="18"/>
                            </w:rPr>
                            <w:fldChar w:fldCharType="begin"/>
                          </w:r>
                          <w:r w:rsidRPr="003119C7">
                            <w:rPr>
                              <w:b/>
                              <w:sz w:val="18"/>
                            </w:rPr>
                            <w:instrText xml:space="preserve"> PAGE  \* MERGEFORMAT </w:instrText>
                          </w:r>
                          <w:r w:rsidRPr="003119C7">
                            <w:rPr>
                              <w:b/>
                              <w:sz w:val="18"/>
                            </w:rPr>
                            <w:fldChar w:fldCharType="separate"/>
                          </w:r>
                          <w:r>
                            <w:rPr>
                              <w:b/>
                              <w:sz w:val="18"/>
                            </w:rPr>
                            <w:t>16</w:t>
                          </w:r>
                          <w:r w:rsidRPr="003119C7">
                            <w:rPr>
                              <w:b/>
                              <w:sz w:val="18"/>
                            </w:rPr>
                            <w:fldChar w:fldCharType="end"/>
                          </w:r>
                          <w:r>
                            <w:rPr>
                              <w:sz w:val="18"/>
                            </w:rPr>
                            <w:tab/>
                          </w:r>
                        </w:p>
                        <w:p w14:paraId="04BC14F6" w14:textId="77777777" w:rsidR="00800D9F" w:rsidRDefault="00800D9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42A03A1" id="_x0000_t202" coordsize="21600,21600" o:spt="202" path="m,l,21600r21600,l21600,xe">
              <v:stroke joinstyle="miter"/>
              <v:path gradientshapeok="t" o:connecttype="rect"/>
            </v:shapetype>
            <v:shape id="Text Box 6"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n7EHx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9B1FCE4" w14:textId="77777777" w:rsidR="00800D9F" w:rsidRPr="003119C7" w:rsidRDefault="00800D9F" w:rsidP="00800D9F">
                    <w:pPr>
                      <w:pStyle w:val="Footer"/>
                      <w:tabs>
                        <w:tab w:val="right" w:pos="9598"/>
                        <w:tab w:val="right" w:pos="9638"/>
                      </w:tabs>
                      <w:rPr>
                        <w:sz w:val="18"/>
                      </w:rPr>
                    </w:pPr>
                    <w:r w:rsidRPr="003119C7">
                      <w:rPr>
                        <w:b/>
                        <w:sz w:val="18"/>
                      </w:rPr>
                      <w:fldChar w:fldCharType="begin"/>
                    </w:r>
                    <w:r w:rsidRPr="003119C7">
                      <w:rPr>
                        <w:b/>
                        <w:sz w:val="18"/>
                      </w:rPr>
                      <w:instrText xml:space="preserve"> PAGE  \* MERGEFORMAT </w:instrText>
                    </w:r>
                    <w:r w:rsidRPr="003119C7">
                      <w:rPr>
                        <w:b/>
                        <w:sz w:val="18"/>
                      </w:rPr>
                      <w:fldChar w:fldCharType="separate"/>
                    </w:r>
                    <w:r>
                      <w:rPr>
                        <w:b/>
                        <w:sz w:val="18"/>
                      </w:rPr>
                      <w:t>16</w:t>
                    </w:r>
                    <w:r w:rsidRPr="003119C7">
                      <w:rPr>
                        <w:b/>
                        <w:sz w:val="18"/>
                      </w:rPr>
                      <w:fldChar w:fldCharType="end"/>
                    </w:r>
                    <w:r>
                      <w:rPr>
                        <w:sz w:val="18"/>
                      </w:rPr>
                      <w:tab/>
                    </w:r>
                  </w:p>
                  <w:p w14:paraId="04BC14F6" w14:textId="77777777" w:rsidR="00800D9F" w:rsidRDefault="00800D9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9289" w14:textId="5BDEFB5F" w:rsidR="00800D9F" w:rsidRPr="00800D9F" w:rsidRDefault="00800D9F" w:rsidP="00800D9F">
    <w:pPr>
      <w:pStyle w:val="Footer"/>
    </w:pPr>
    <w:r>
      <w:rPr>
        <w:noProof/>
      </w:rPr>
      <mc:AlternateContent>
        <mc:Choice Requires="wps">
          <w:drawing>
            <wp:anchor distT="0" distB="0" distL="114300" distR="114300" simplePos="0" relativeHeight="251661312" behindDoc="0" locked="0" layoutInCell="1" allowOverlap="1" wp14:anchorId="145E638D" wp14:editId="046FE78D">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A4CAF95" w14:textId="77777777" w:rsidR="00800D9F" w:rsidRPr="00D519AC" w:rsidRDefault="00800D9F" w:rsidP="00800D9F">
                          <w:pPr>
                            <w:pStyle w:val="Footer"/>
                            <w:tabs>
                              <w:tab w:val="left" w:pos="5775"/>
                              <w:tab w:val="right" w:pos="9598"/>
                              <w:tab w:val="right" w:pos="9638"/>
                            </w:tabs>
                            <w:jc w:val="right"/>
                            <w:rPr>
                              <w:b/>
                              <w:bCs/>
                              <w:sz w:val="18"/>
                            </w:rPr>
                          </w:pPr>
                          <w:r>
                            <w:rPr>
                              <w:b/>
                              <w:sz w:val="18"/>
                            </w:rPr>
                            <w:tab/>
                          </w:r>
                          <w:r w:rsidRPr="00D519AC">
                            <w:rPr>
                              <w:b/>
                              <w:bCs/>
                              <w:sz w:val="18"/>
                            </w:rPr>
                            <w:fldChar w:fldCharType="begin"/>
                          </w:r>
                          <w:r w:rsidRPr="00D519AC">
                            <w:rPr>
                              <w:b/>
                              <w:bCs/>
                              <w:sz w:val="18"/>
                            </w:rPr>
                            <w:instrText xml:space="preserve"> PAGE  \* MERGEFORMAT </w:instrText>
                          </w:r>
                          <w:r w:rsidRPr="00D519AC">
                            <w:rPr>
                              <w:b/>
                              <w:bCs/>
                              <w:sz w:val="18"/>
                            </w:rPr>
                            <w:fldChar w:fldCharType="separate"/>
                          </w:r>
                          <w:r>
                            <w:rPr>
                              <w:b/>
                              <w:bCs/>
                              <w:sz w:val="18"/>
                            </w:rPr>
                            <w:t>15</w:t>
                          </w:r>
                          <w:r w:rsidRPr="00D519AC">
                            <w:rPr>
                              <w:b/>
                              <w:bCs/>
                              <w:sz w:val="18"/>
                            </w:rPr>
                            <w:fldChar w:fldCharType="end"/>
                          </w:r>
                        </w:p>
                        <w:p w14:paraId="74832812" w14:textId="77777777" w:rsidR="00800D9F" w:rsidRDefault="00800D9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45E638D" id="_x0000_t202" coordsize="21600,21600" o:spt="202" path="m,l,21600r21600,l21600,xe">
              <v:stroke joinstyle="miter"/>
              <v:path gradientshapeok="t" o:connecttype="rect"/>
            </v:shapetype>
            <v:shape id="Text Box 4"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Vlqhb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3A4CAF95" w14:textId="77777777" w:rsidR="00800D9F" w:rsidRPr="00D519AC" w:rsidRDefault="00800D9F" w:rsidP="00800D9F">
                    <w:pPr>
                      <w:pStyle w:val="Footer"/>
                      <w:tabs>
                        <w:tab w:val="left" w:pos="5775"/>
                        <w:tab w:val="right" w:pos="9598"/>
                        <w:tab w:val="right" w:pos="9638"/>
                      </w:tabs>
                      <w:jc w:val="right"/>
                      <w:rPr>
                        <w:b/>
                        <w:bCs/>
                        <w:sz w:val="18"/>
                      </w:rPr>
                    </w:pPr>
                    <w:r>
                      <w:rPr>
                        <w:b/>
                        <w:sz w:val="18"/>
                      </w:rPr>
                      <w:tab/>
                    </w:r>
                    <w:r w:rsidRPr="00D519AC">
                      <w:rPr>
                        <w:b/>
                        <w:bCs/>
                        <w:sz w:val="18"/>
                      </w:rPr>
                      <w:fldChar w:fldCharType="begin"/>
                    </w:r>
                    <w:r w:rsidRPr="00D519AC">
                      <w:rPr>
                        <w:b/>
                        <w:bCs/>
                        <w:sz w:val="18"/>
                      </w:rPr>
                      <w:instrText xml:space="preserve"> PAGE  \* MERGEFORMAT </w:instrText>
                    </w:r>
                    <w:r w:rsidRPr="00D519AC">
                      <w:rPr>
                        <w:b/>
                        <w:bCs/>
                        <w:sz w:val="18"/>
                      </w:rPr>
                      <w:fldChar w:fldCharType="separate"/>
                    </w:r>
                    <w:r>
                      <w:rPr>
                        <w:b/>
                        <w:bCs/>
                        <w:sz w:val="18"/>
                      </w:rPr>
                      <w:t>15</w:t>
                    </w:r>
                    <w:r w:rsidRPr="00D519AC">
                      <w:rPr>
                        <w:b/>
                        <w:bCs/>
                        <w:sz w:val="18"/>
                      </w:rPr>
                      <w:fldChar w:fldCharType="end"/>
                    </w:r>
                  </w:p>
                  <w:p w14:paraId="74832812" w14:textId="77777777" w:rsidR="00800D9F" w:rsidRDefault="00800D9F"/>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BA7F" w14:textId="06501C1D" w:rsidR="001E0777" w:rsidRPr="001E0777" w:rsidRDefault="001E0777" w:rsidP="001E077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EEF9" w14:textId="51E91C1C" w:rsidR="001E0777" w:rsidRPr="001E0777" w:rsidRDefault="001E0777" w:rsidP="001E077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9297C" w14:textId="77777777" w:rsidR="00CE605C" w:rsidRPr="00C47B2E" w:rsidRDefault="00CE605C" w:rsidP="00C47B2E">
      <w:pPr>
        <w:tabs>
          <w:tab w:val="right" w:pos="2155"/>
        </w:tabs>
        <w:spacing w:after="80" w:line="240" w:lineRule="auto"/>
        <w:ind w:left="680"/>
      </w:pPr>
      <w:r>
        <w:rPr>
          <w:u w:val="single"/>
        </w:rPr>
        <w:tab/>
      </w:r>
    </w:p>
  </w:footnote>
  <w:footnote w:type="continuationSeparator" w:id="0">
    <w:p w14:paraId="7DB5278E" w14:textId="77777777" w:rsidR="00CE605C" w:rsidRPr="00C47B2E" w:rsidRDefault="00CE605C" w:rsidP="005E716E">
      <w:pPr>
        <w:tabs>
          <w:tab w:val="right" w:pos="2155"/>
        </w:tabs>
        <w:spacing w:after="80" w:line="240" w:lineRule="auto"/>
        <w:ind w:left="680"/>
      </w:pPr>
      <w:r>
        <w:rPr>
          <w:u w:val="single"/>
        </w:rPr>
        <w:tab/>
      </w:r>
    </w:p>
  </w:footnote>
  <w:footnote w:type="continuationNotice" w:id="1">
    <w:p w14:paraId="14C85CCF" w14:textId="77777777" w:rsidR="00CE605C" w:rsidRPr="00C47B2E" w:rsidRDefault="00CE605C" w:rsidP="00C47B2E">
      <w:pPr>
        <w:pStyle w:val="Footer"/>
      </w:pPr>
    </w:p>
  </w:footnote>
  <w:footnote w:id="2">
    <w:p w14:paraId="25FBC169" w14:textId="77777777" w:rsidR="00200AFE" w:rsidRPr="00ED5EFC" w:rsidRDefault="00200AFE" w:rsidP="00200AFE">
      <w:pPr>
        <w:pStyle w:val="FootnoteText"/>
        <w:rPr>
          <w:lang w:val="fr-CH"/>
        </w:rPr>
      </w:pPr>
      <w:r>
        <w:tab/>
      </w:r>
      <w:r>
        <w:rPr>
          <w:rStyle w:val="FootnoteReference"/>
        </w:rPr>
        <w:footnoteRef/>
      </w:r>
      <w:r>
        <w:t xml:space="preserve"> </w:t>
      </w:r>
      <w:r>
        <w:tab/>
      </w:r>
      <w:r>
        <w:rPr>
          <w:lang w:val="fr-CH"/>
        </w:rPr>
        <w:t>Refer to the report of the TDG Sub-Committee on its fifty-seventh session (document ST/SG/AC.10/C.3/114).</w:t>
      </w:r>
    </w:p>
  </w:footnote>
  <w:footnote w:id="3">
    <w:p w14:paraId="29DAA37D" w14:textId="77777777" w:rsidR="00E26E2A" w:rsidRPr="00ED5EFC" w:rsidRDefault="00E26E2A" w:rsidP="00E26E2A">
      <w:pPr>
        <w:pStyle w:val="FootnoteText"/>
        <w:rPr>
          <w:lang w:val="fr-CH"/>
        </w:rPr>
      </w:pPr>
      <w:r>
        <w:tab/>
      </w:r>
      <w:r>
        <w:rPr>
          <w:rStyle w:val="FootnoteReference"/>
        </w:rPr>
        <w:footnoteRef/>
      </w:r>
      <w:r>
        <w:t xml:space="preserve"> </w:t>
      </w:r>
      <w:r>
        <w:tab/>
      </w:r>
      <w:r>
        <w:rPr>
          <w:lang w:val="fr-CH"/>
        </w:rPr>
        <w:t>Refer to the report of the TDG Sub-Committee on its fifty-seventh session (document ST/SG/AC.10/C.3/114).</w:t>
      </w:r>
    </w:p>
  </w:footnote>
  <w:footnote w:id="4">
    <w:p w14:paraId="4A69A249" w14:textId="4FD875FF" w:rsidR="00734279" w:rsidRPr="00ED5EFC" w:rsidRDefault="00734279" w:rsidP="00734279">
      <w:pPr>
        <w:pStyle w:val="FootnoteText"/>
        <w:rPr>
          <w:lang w:val="fr-CH"/>
        </w:rPr>
      </w:pPr>
      <w:r>
        <w:tab/>
      </w:r>
      <w:r w:rsidR="00FC7354">
        <w:rPr>
          <w:rStyle w:val="FootnoteReference"/>
        </w:rPr>
        <w:footnoteRef/>
      </w:r>
      <w:r w:rsidR="00FC7354">
        <w:t xml:space="preserve"> </w:t>
      </w:r>
      <w:r>
        <w:tab/>
      </w:r>
      <w:r>
        <w:rPr>
          <w:lang w:val="fr-CH"/>
        </w:rPr>
        <w:t>Refer to the report of the TDG Sub-Committee on its fifty-seventh session (document ST/SG/AC.10/C.3/114).</w:t>
      </w:r>
    </w:p>
    <w:p w14:paraId="0D9AF498" w14:textId="51839FA3" w:rsidR="00FC7354" w:rsidRPr="00FC7354" w:rsidRDefault="00FC7354">
      <w:pPr>
        <w:pStyle w:val="FootnoteText"/>
        <w:rPr>
          <w:lang w:val="fr-CH"/>
        </w:rPr>
      </w:pPr>
    </w:p>
  </w:footnote>
  <w:footnote w:id="5">
    <w:p w14:paraId="4F7FC47F" w14:textId="36FDFA84" w:rsidR="00E36400" w:rsidRPr="00FF3635" w:rsidRDefault="00E36400" w:rsidP="00E36400">
      <w:pPr>
        <w:pStyle w:val="FootnoteText"/>
        <w:rPr>
          <w:lang w:val="fr-CH"/>
        </w:rPr>
      </w:pPr>
      <w:r>
        <w:tab/>
      </w:r>
      <w:r>
        <w:rPr>
          <w:rStyle w:val="FootnoteReference"/>
        </w:rPr>
        <w:footnoteRef/>
      </w:r>
      <w:r>
        <w:tab/>
        <w:t xml:space="preserve"> </w:t>
      </w:r>
      <w:r w:rsidR="00B41BF7" w:rsidRPr="00B41BF7">
        <w:t>https://unece.org/transportdangerous-goods/ghs-guidance</w:t>
      </w:r>
      <w:r w:rsidR="00B41BF7" w:rsidRPr="00B41BF7" w:rsidDel="008B6BFD">
        <w:t xml:space="preserve"> </w:t>
      </w:r>
    </w:p>
  </w:footnote>
  <w:footnote w:id="6">
    <w:p w14:paraId="70F5100B" w14:textId="77777777" w:rsidR="002C7B84" w:rsidRPr="008949D9" w:rsidRDefault="002C7B84" w:rsidP="002C7B84">
      <w:pPr>
        <w:pStyle w:val="FootnoteText"/>
        <w:rPr>
          <w:lang w:val="fr-CH"/>
        </w:rPr>
      </w:pPr>
      <w:r>
        <w:tab/>
      </w:r>
      <w:r>
        <w:rPr>
          <w:rStyle w:val="FootnoteReference"/>
        </w:rPr>
        <w:footnoteRef/>
      </w:r>
      <w:r>
        <w:t xml:space="preserve"> </w:t>
      </w:r>
      <w:r>
        <w:tab/>
      </w:r>
      <w:r w:rsidRPr="00A54A3A">
        <w:t>http://www.unece.org/trans/danger/publi/ghs/implementation_e.html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F46E7" w14:textId="1B0EFDEC" w:rsidR="003119C7" w:rsidRPr="003119C7" w:rsidRDefault="00CC1EE9">
    <w:pPr>
      <w:pStyle w:val="Header"/>
    </w:pPr>
    <w:fldSimple w:instr=" TITLE  \* MERGEFORMAT ">
      <w:r w:rsidR="00E65537">
        <w:t>ST/SG/AC.10/C.4/78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3B49" w14:textId="313CD42D" w:rsidR="00D94B05" w:rsidRPr="003119C7" w:rsidRDefault="00CC1EE9" w:rsidP="003119C7">
    <w:pPr>
      <w:pStyle w:val="Header"/>
      <w:jc w:val="right"/>
    </w:pPr>
    <w:fldSimple w:instr=" TITLE  \* MERGEFORMAT ">
      <w:r w:rsidR="00E65537">
        <w:t>ST/SG/AC.10/C.4/78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0A15" w14:textId="5C329FF6" w:rsidR="00800D9F" w:rsidRPr="00800D9F" w:rsidRDefault="00800D9F" w:rsidP="00800D9F">
    <w:r>
      <w:rPr>
        <w:noProof/>
      </w:rPr>
      <mc:AlternateContent>
        <mc:Choice Requires="wps">
          <w:drawing>
            <wp:anchor distT="0" distB="0" distL="114300" distR="114300" simplePos="0" relativeHeight="251662336" behindDoc="0" locked="0" layoutInCell="1" allowOverlap="1" wp14:anchorId="1D2F89CB" wp14:editId="4D36A1D4">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9C80EC1" w14:textId="6A77647A" w:rsidR="00800D9F" w:rsidRPr="003119C7" w:rsidRDefault="00CC1EE9" w:rsidP="00800D9F">
                          <w:pPr>
                            <w:pStyle w:val="Header"/>
                          </w:pPr>
                          <w:fldSimple w:instr=" TITLE  \* MERGEFORMAT ">
                            <w:r w:rsidR="00E65537">
                              <w:t>ST/SG/AC.10/C.4/78</w:t>
                            </w:r>
                          </w:fldSimple>
                        </w:p>
                        <w:p w14:paraId="634430CF" w14:textId="77777777" w:rsidR="00800D9F" w:rsidRDefault="00800D9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D2F89CB" id="_x0000_t202" coordsize="21600,21600" o:spt="202" path="m,l,21600r21600,l21600,xe">
              <v:stroke joinstyle="miter"/>
              <v:path gradientshapeok="t" o:connecttype="rect"/>
            </v:shapetype>
            <v:shape id="Text Box 5"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iT+ROE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79C80EC1" w14:textId="6A77647A" w:rsidR="00800D9F" w:rsidRPr="003119C7" w:rsidRDefault="00CC1EE9" w:rsidP="00800D9F">
                    <w:pPr>
                      <w:pStyle w:val="Header"/>
                    </w:pPr>
                    <w:fldSimple w:instr=" TITLE  \* MERGEFORMAT ">
                      <w:r w:rsidR="00E65537">
                        <w:t>ST/SG/AC.10/C.4/78</w:t>
                      </w:r>
                    </w:fldSimple>
                  </w:p>
                  <w:p w14:paraId="634430CF" w14:textId="77777777" w:rsidR="00800D9F" w:rsidRDefault="00800D9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0152" w14:textId="0134BD53" w:rsidR="00800D9F" w:rsidRPr="00800D9F" w:rsidRDefault="00800D9F" w:rsidP="00800D9F">
    <w:r>
      <w:rPr>
        <w:noProof/>
      </w:rPr>
      <mc:AlternateContent>
        <mc:Choice Requires="wps">
          <w:drawing>
            <wp:anchor distT="0" distB="0" distL="114300" distR="114300" simplePos="0" relativeHeight="251660288" behindDoc="0" locked="0" layoutInCell="1" allowOverlap="1" wp14:anchorId="5F4FC07D" wp14:editId="30A55B62">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B78BA22" w14:textId="6D72CF64" w:rsidR="00800D9F" w:rsidRPr="003119C7" w:rsidRDefault="00CC1EE9" w:rsidP="00800D9F">
                          <w:pPr>
                            <w:pStyle w:val="Header"/>
                            <w:jc w:val="right"/>
                          </w:pPr>
                          <w:fldSimple w:instr=" TITLE  \* MERGEFORMAT ">
                            <w:r w:rsidR="00E65537">
                              <w:t>ST/SG/AC.10/C.4/78</w:t>
                            </w:r>
                          </w:fldSimple>
                        </w:p>
                        <w:p w14:paraId="3EBC24A2" w14:textId="77777777" w:rsidR="00800D9F" w:rsidRDefault="00800D9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F4FC07D" id="_x0000_t202" coordsize="21600,21600" o:spt="202" path="m,l,21600r21600,l21600,xe">
              <v:stroke joinstyle="miter"/>
              <v:path gradientshapeok="t" o:connecttype="rect"/>
            </v:shapetype>
            <v:shape id="Text Box 3"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6eFeK4sCAAAr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7B78BA22" w14:textId="6D72CF64" w:rsidR="00800D9F" w:rsidRPr="003119C7" w:rsidRDefault="00CC1EE9" w:rsidP="00800D9F">
                    <w:pPr>
                      <w:pStyle w:val="Header"/>
                      <w:jc w:val="right"/>
                    </w:pPr>
                    <w:fldSimple w:instr=" TITLE  \* MERGEFORMAT ">
                      <w:r w:rsidR="00E65537">
                        <w:t>ST/SG/AC.10/C.4/78</w:t>
                      </w:r>
                    </w:fldSimple>
                  </w:p>
                  <w:p w14:paraId="3EBC24A2" w14:textId="77777777" w:rsidR="00800D9F" w:rsidRDefault="00800D9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80A1" w14:textId="177E89CF" w:rsidR="001E0777" w:rsidRPr="001E0777" w:rsidRDefault="00CE605C" w:rsidP="001E0777">
    <w:pPr>
      <w:pStyle w:val="Header"/>
    </w:pPr>
    <w:r>
      <w:fldChar w:fldCharType="begin"/>
    </w:r>
    <w:r>
      <w:instrText xml:space="preserve"> TITLE  \* MERGEFORMAT </w:instrText>
    </w:r>
    <w:r>
      <w:fldChar w:fldCharType="separate"/>
    </w:r>
    <w:r w:rsidR="00E65537">
      <w:t>ST/SG/AC.10/C.4/78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CF58" w14:textId="0F32A0DB" w:rsidR="001E0777" w:rsidRPr="001E0777" w:rsidRDefault="00CE605C" w:rsidP="001E0777">
    <w:pPr>
      <w:pStyle w:val="Header"/>
      <w:jc w:val="right"/>
    </w:pPr>
    <w:r>
      <w:fldChar w:fldCharType="begin"/>
    </w:r>
    <w:r>
      <w:instrText xml:space="preserve"> TITLE  \* MERGEFORMAT </w:instrText>
    </w:r>
    <w:r>
      <w:fldChar w:fldCharType="separate"/>
    </w:r>
    <w:r w:rsidR="00E65537">
      <w:t>ST/SG/AC.10/C.4/78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553F4E"/>
    <w:multiLevelType w:val="hybridMultilevel"/>
    <w:tmpl w:val="AB242CCA"/>
    <w:lvl w:ilvl="0" w:tplc="4A3A0E9E">
      <w:start w:val="1"/>
      <w:numFmt w:val="lowerLetter"/>
      <w:lvlText w:val="(%1)"/>
      <w:lvlJc w:val="left"/>
      <w:pPr>
        <w:ind w:left="185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256B62"/>
    <w:multiLevelType w:val="hybridMultilevel"/>
    <w:tmpl w:val="A9943C50"/>
    <w:lvl w:ilvl="0" w:tplc="4A3A0E9E">
      <w:start w:val="1"/>
      <w:numFmt w:val="lowerLetter"/>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0"/>
  </w:num>
  <w:num w:numId="4">
    <w:abstractNumId w:val="8"/>
  </w:num>
  <w:num w:numId="5">
    <w:abstractNumId w:val="9"/>
  </w:num>
  <w:num w:numId="6">
    <w:abstractNumId w:val="11"/>
  </w:num>
  <w:num w:numId="7">
    <w:abstractNumId w:val="4"/>
  </w:num>
  <w:num w:numId="8">
    <w:abstractNumId w:val="1"/>
  </w:num>
  <w:num w:numId="9">
    <w:abstractNumId w:val="10"/>
  </w:num>
  <w:num w:numId="10">
    <w:abstractNumId w:val="1"/>
  </w:num>
  <w:num w:numId="11">
    <w:abstractNumId w:val="10"/>
  </w:num>
  <w:num w:numId="12">
    <w:abstractNumId w:val="2"/>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oNotTrackFormatting/>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C7"/>
    <w:rsid w:val="00036B40"/>
    <w:rsid w:val="00040376"/>
    <w:rsid w:val="00046E92"/>
    <w:rsid w:val="00060368"/>
    <w:rsid w:val="00063C90"/>
    <w:rsid w:val="00065CC3"/>
    <w:rsid w:val="00080307"/>
    <w:rsid w:val="000827AA"/>
    <w:rsid w:val="000865EE"/>
    <w:rsid w:val="00096AB0"/>
    <w:rsid w:val="000A0475"/>
    <w:rsid w:val="000A77AA"/>
    <w:rsid w:val="000B3AAB"/>
    <w:rsid w:val="000D069F"/>
    <w:rsid w:val="000D641F"/>
    <w:rsid w:val="000E0BF5"/>
    <w:rsid w:val="000E58CA"/>
    <w:rsid w:val="000F20A7"/>
    <w:rsid w:val="000F6334"/>
    <w:rsid w:val="00100DB9"/>
    <w:rsid w:val="00101B98"/>
    <w:rsid w:val="001047FF"/>
    <w:rsid w:val="001279F0"/>
    <w:rsid w:val="001325DB"/>
    <w:rsid w:val="00136758"/>
    <w:rsid w:val="00141482"/>
    <w:rsid w:val="001514D1"/>
    <w:rsid w:val="001515ED"/>
    <w:rsid w:val="00152D20"/>
    <w:rsid w:val="00157F92"/>
    <w:rsid w:val="00160785"/>
    <w:rsid w:val="00162116"/>
    <w:rsid w:val="00170AAF"/>
    <w:rsid w:val="00176698"/>
    <w:rsid w:val="00177202"/>
    <w:rsid w:val="00183273"/>
    <w:rsid w:val="001A1260"/>
    <w:rsid w:val="001B28E7"/>
    <w:rsid w:val="001C1FF8"/>
    <w:rsid w:val="001C5AAB"/>
    <w:rsid w:val="001C6B4C"/>
    <w:rsid w:val="001D21E6"/>
    <w:rsid w:val="001D790E"/>
    <w:rsid w:val="001E0777"/>
    <w:rsid w:val="001E5612"/>
    <w:rsid w:val="001F3F43"/>
    <w:rsid w:val="00200AFE"/>
    <w:rsid w:val="002044CE"/>
    <w:rsid w:val="00246FEA"/>
    <w:rsid w:val="00247E2C"/>
    <w:rsid w:val="00251506"/>
    <w:rsid w:val="0025543F"/>
    <w:rsid w:val="00257BB9"/>
    <w:rsid w:val="00267F30"/>
    <w:rsid w:val="00295EC8"/>
    <w:rsid w:val="002962DF"/>
    <w:rsid w:val="002A32CB"/>
    <w:rsid w:val="002A754E"/>
    <w:rsid w:val="002B49E1"/>
    <w:rsid w:val="002B5637"/>
    <w:rsid w:val="002C10D9"/>
    <w:rsid w:val="002C7B84"/>
    <w:rsid w:val="002D5B2C"/>
    <w:rsid w:val="002D6C53"/>
    <w:rsid w:val="002E2177"/>
    <w:rsid w:val="002E2CFF"/>
    <w:rsid w:val="002E660E"/>
    <w:rsid w:val="002F5595"/>
    <w:rsid w:val="0030275D"/>
    <w:rsid w:val="003065E4"/>
    <w:rsid w:val="00306EA9"/>
    <w:rsid w:val="003119C7"/>
    <w:rsid w:val="00334F6A"/>
    <w:rsid w:val="0033512C"/>
    <w:rsid w:val="0034007B"/>
    <w:rsid w:val="003407DE"/>
    <w:rsid w:val="00342AC8"/>
    <w:rsid w:val="00343302"/>
    <w:rsid w:val="00345297"/>
    <w:rsid w:val="003526D2"/>
    <w:rsid w:val="00357D3B"/>
    <w:rsid w:val="00361419"/>
    <w:rsid w:val="003616FC"/>
    <w:rsid w:val="00366A30"/>
    <w:rsid w:val="003900A5"/>
    <w:rsid w:val="003934FE"/>
    <w:rsid w:val="003959BE"/>
    <w:rsid w:val="003979DE"/>
    <w:rsid w:val="003A145B"/>
    <w:rsid w:val="003B4550"/>
    <w:rsid w:val="003C6F3E"/>
    <w:rsid w:val="003D2A18"/>
    <w:rsid w:val="003D6A71"/>
    <w:rsid w:val="003D6D87"/>
    <w:rsid w:val="003E0896"/>
    <w:rsid w:val="003E1C5A"/>
    <w:rsid w:val="003E30EF"/>
    <w:rsid w:val="003F1E28"/>
    <w:rsid w:val="00405387"/>
    <w:rsid w:val="00413386"/>
    <w:rsid w:val="00413569"/>
    <w:rsid w:val="00414EFF"/>
    <w:rsid w:val="004239E2"/>
    <w:rsid w:val="00427108"/>
    <w:rsid w:val="00432867"/>
    <w:rsid w:val="00435D0D"/>
    <w:rsid w:val="004366AB"/>
    <w:rsid w:val="00461253"/>
    <w:rsid w:val="00461D16"/>
    <w:rsid w:val="00463E65"/>
    <w:rsid w:val="00472B81"/>
    <w:rsid w:val="00473544"/>
    <w:rsid w:val="00480792"/>
    <w:rsid w:val="004858F5"/>
    <w:rsid w:val="004867C6"/>
    <w:rsid w:val="004A2814"/>
    <w:rsid w:val="004A360E"/>
    <w:rsid w:val="004A5171"/>
    <w:rsid w:val="004C0622"/>
    <w:rsid w:val="004C47C4"/>
    <w:rsid w:val="004D3226"/>
    <w:rsid w:val="004D622F"/>
    <w:rsid w:val="005039CC"/>
    <w:rsid w:val="005042C2"/>
    <w:rsid w:val="005067A1"/>
    <w:rsid w:val="0051283A"/>
    <w:rsid w:val="00521A02"/>
    <w:rsid w:val="00522209"/>
    <w:rsid w:val="0052686B"/>
    <w:rsid w:val="00534942"/>
    <w:rsid w:val="00537A7E"/>
    <w:rsid w:val="00544174"/>
    <w:rsid w:val="00550652"/>
    <w:rsid w:val="00550B4A"/>
    <w:rsid w:val="005630BC"/>
    <w:rsid w:val="00585134"/>
    <w:rsid w:val="00586CA6"/>
    <w:rsid w:val="005A09E7"/>
    <w:rsid w:val="005B2D3E"/>
    <w:rsid w:val="005D0FA7"/>
    <w:rsid w:val="005E716E"/>
    <w:rsid w:val="005F59F7"/>
    <w:rsid w:val="005F5C85"/>
    <w:rsid w:val="00624E01"/>
    <w:rsid w:val="00635FF6"/>
    <w:rsid w:val="006412C5"/>
    <w:rsid w:val="006476E1"/>
    <w:rsid w:val="006604DF"/>
    <w:rsid w:val="00671529"/>
    <w:rsid w:val="0068386E"/>
    <w:rsid w:val="00697ECE"/>
    <w:rsid w:val="006B27B4"/>
    <w:rsid w:val="006E1979"/>
    <w:rsid w:val="006E6F36"/>
    <w:rsid w:val="006E7A64"/>
    <w:rsid w:val="00700203"/>
    <w:rsid w:val="0070066F"/>
    <w:rsid w:val="0070489D"/>
    <w:rsid w:val="00705E2F"/>
    <w:rsid w:val="00721896"/>
    <w:rsid w:val="007268F9"/>
    <w:rsid w:val="00734279"/>
    <w:rsid w:val="007415C2"/>
    <w:rsid w:val="007460AD"/>
    <w:rsid w:val="00746FEA"/>
    <w:rsid w:val="00750282"/>
    <w:rsid w:val="0075691D"/>
    <w:rsid w:val="00756C6C"/>
    <w:rsid w:val="00761AC1"/>
    <w:rsid w:val="00762DC1"/>
    <w:rsid w:val="00763CE7"/>
    <w:rsid w:val="00764440"/>
    <w:rsid w:val="0077101B"/>
    <w:rsid w:val="00775E82"/>
    <w:rsid w:val="007768F5"/>
    <w:rsid w:val="00787EE8"/>
    <w:rsid w:val="00792778"/>
    <w:rsid w:val="007A062D"/>
    <w:rsid w:val="007C52B0"/>
    <w:rsid w:val="007C52DC"/>
    <w:rsid w:val="007C6033"/>
    <w:rsid w:val="007D2D69"/>
    <w:rsid w:val="007F0F88"/>
    <w:rsid w:val="007F24DC"/>
    <w:rsid w:val="007F7330"/>
    <w:rsid w:val="00800D9F"/>
    <w:rsid w:val="00805190"/>
    <w:rsid w:val="008147C8"/>
    <w:rsid w:val="0081753A"/>
    <w:rsid w:val="00817C10"/>
    <w:rsid w:val="0083051A"/>
    <w:rsid w:val="00857D23"/>
    <w:rsid w:val="00880B94"/>
    <w:rsid w:val="00893A3C"/>
    <w:rsid w:val="00896B76"/>
    <w:rsid w:val="008A1E1F"/>
    <w:rsid w:val="008B6BFD"/>
    <w:rsid w:val="008C295C"/>
    <w:rsid w:val="008D1309"/>
    <w:rsid w:val="008D4496"/>
    <w:rsid w:val="008E10FB"/>
    <w:rsid w:val="008E28D5"/>
    <w:rsid w:val="008F4F99"/>
    <w:rsid w:val="00916148"/>
    <w:rsid w:val="00920414"/>
    <w:rsid w:val="00937B3C"/>
    <w:rsid w:val="009411B4"/>
    <w:rsid w:val="00945A1B"/>
    <w:rsid w:val="00946F1D"/>
    <w:rsid w:val="00955467"/>
    <w:rsid w:val="00962781"/>
    <w:rsid w:val="00982CCB"/>
    <w:rsid w:val="00990645"/>
    <w:rsid w:val="009B1F49"/>
    <w:rsid w:val="009B288E"/>
    <w:rsid w:val="009D0139"/>
    <w:rsid w:val="009D190D"/>
    <w:rsid w:val="009D558E"/>
    <w:rsid w:val="009D717D"/>
    <w:rsid w:val="009D71ED"/>
    <w:rsid w:val="009F5CDC"/>
    <w:rsid w:val="00A072D7"/>
    <w:rsid w:val="00A159D7"/>
    <w:rsid w:val="00A20281"/>
    <w:rsid w:val="00A24B97"/>
    <w:rsid w:val="00A32EC4"/>
    <w:rsid w:val="00A367C1"/>
    <w:rsid w:val="00A42F79"/>
    <w:rsid w:val="00A44490"/>
    <w:rsid w:val="00A47B31"/>
    <w:rsid w:val="00A72797"/>
    <w:rsid w:val="00A74DAA"/>
    <w:rsid w:val="00A775CF"/>
    <w:rsid w:val="00A93854"/>
    <w:rsid w:val="00AA271A"/>
    <w:rsid w:val="00AC62AA"/>
    <w:rsid w:val="00AC7D70"/>
    <w:rsid w:val="00AD1A9C"/>
    <w:rsid w:val="00AE41DA"/>
    <w:rsid w:val="00AE4588"/>
    <w:rsid w:val="00AE5306"/>
    <w:rsid w:val="00AF5DE1"/>
    <w:rsid w:val="00B0011F"/>
    <w:rsid w:val="00B00A01"/>
    <w:rsid w:val="00B044CA"/>
    <w:rsid w:val="00B06045"/>
    <w:rsid w:val="00B13C4D"/>
    <w:rsid w:val="00B206DD"/>
    <w:rsid w:val="00B21E06"/>
    <w:rsid w:val="00B271E8"/>
    <w:rsid w:val="00B35923"/>
    <w:rsid w:val="00B41BF7"/>
    <w:rsid w:val="00B45E04"/>
    <w:rsid w:val="00B52EF4"/>
    <w:rsid w:val="00B710CC"/>
    <w:rsid w:val="00B777AD"/>
    <w:rsid w:val="00B921F1"/>
    <w:rsid w:val="00B92FB7"/>
    <w:rsid w:val="00B93B27"/>
    <w:rsid w:val="00BA7766"/>
    <w:rsid w:val="00BB5FED"/>
    <w:rsid w:val="00BE26BF"/>
    <w:rsid w:val="00C0147B"/>
    <w:rsid w:val="00C03015"/>
    <w:rsid w:val="00C0358D"/>
    <w:rsid w:val="00C05FE6"/>
    <w:rsid w:val="00C35A27"/>
    <w:rsid w:val="00C47B2E"/>
    <w:rsid w:val="00C56A5E"/>
    <w:rsid w:val="00C909B2"/>
    <w:rsid w:val="00CB3BB8"/>
    <w:rsid w:val="00CC1EE9"/>
    <w:rsid w:val="00CC6E38"/>
    <w:rsid w:val="00CD0C82"/>
    <w:rsid w:val="00CD4226"/>
    <w:rsid w:val="00CE605C"/>
    <w:rsid w:val="00CE6C00"/>
    <w:rsid w:val="00CF0CEF"/>
    <w:rsid w:val="00CF0E94"/>
    <w:rsid w:val="00D12FDE"/>
    <w:rsid w:val="00D155B6"/>
    <w:rsid w:val="00D17C24"/>
    <w:rsid w:val="00D341A7"/>
    <w:rsid w:val="00D51053"/>
    <w:rsid w:val="00D515DD"/>
    <w:rsid w:val="00D519AC"/>
    <w:rsid w:val="00D52778"/>
    <w:rsid w:val="00D56758"/>
    <w:rsid w:val="00D618EF"/>
    <w:rsid w:val="00D63533"/>
    <w:rsid w:val="00D63CD2"/>
    <w:rsid w:val="00D66281"/>
    <w:rsid w:val="00D725AC"/>
    <w:rsid w:val="00D80471"/>
    <w:rsid w:val="00D80804"/>
    <w:rsid w:val="00D87DC2"/>
    <w:rsid w:val="00D91BF7"/>
    <w:rsid w:val="00D94B05"/>
    <w:rsid w:val="00D97C56"/>
    <w:rsid w:val="00DA4A08"/>
    <w:rsid w:val="00DC6860"/>
    <w:rsid w:val="00DE1882"/>
    <w:rsid w:val="00DF16A3"/>
    <w:rsid w:val="00DF6300"/>
    <w:rsid w:val="00DF7EC3"/>
    <w:rsid w:val="00E02C2B"/>
    <w:rsid w:val="00E02EA4"/>
    <w:rsid w:val="00E06F1C"/>
    <w:rsid w:val="00E1759C"/>
    <w:rsid w:val="00E21C00"/>
    <w:rsid w:val="00E21C27"/>
    <w:rsid w:val="00E26BCF"/>
    <w:rsid w:val="00E26E2A"/>
    <w:rsid w:val="00E275E0"/>
    <w:rsid w:val="00E32CAA"/>
    <w:rsid w:val="00E36400"/>
    <w:rsid w:val="00E40E60"/>
    <w:rsid w:val="00E52109"/>
    <w:rsid w:val="00E621C4"/>
    <w:rsid w:val="00E65537"/>
    <w:rsid w:val="00E75317"/>
    <w:rsid w:val="00E77EE3"/>
    <w:rsid w:val="00EA665E"/>
    <w:rsid w:val="00EC0A79"/>
    <w:rsid w:val="00EC0CE6"/>
    <w:rsid w:val="00EC506E"/>
    <w:rsid w:val="00EC7C1D"/>
    <w:rsid w:val="00ED3D9A"/>
    <w:rsid w:val="00ED6C48"/>
    <w:rsid w:val="00EE0E39"/>
    <w:rsid w:val="00EE3045"/>
    <w:rsid w:val="00EE6EE1"/>
    <w:rsid w:val="00F005A6"/>
    <w:rsid w:val="00F034E4"/>
    <w:rsid w:val="00F16780"/>
    <w:rsid w:val="00F16952"/>
    <w:rsid w:val="00F227FD"/>
    <w:rsid w:val="00F234F8"/>
    <w:rsid w:val="00F26C6C"/>
    <w:rsid w:val="00F35FBC"/>
    <w:rsid w:val="00F440C1"/>
    <w:rsid w:val="00F52F9D"/>
    <w:rsid w:val="00F604ED"/>
    <w:rsid w:val="00F65F5D"/>
    <w:rsid w:val="00F70202"/>
    <w:rsid w:val="00F830A5"/>
    <w:rsid w:val="00F86A3A"/>
    <w:rsid w:val="00FA0224"/>
    <w:rsid w:val="00FC2B20"/>
    <w:rsid w:val="00FC5567"/>
    <w:rsid w:val="00FC7354"/>
    <w:rsid w:val="00FD638A"/>
    <w:rsid w:val="00FE341C"/>
    <w:rsid w:val="00FF00C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B583B"/>
  <w15:docId w15:val="{6C481248-D588-43BD-822C-322690E3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uiPriority w:val="99"/>
    <w:qFormat/>
    <w:locked/>
    <w:rsid w:val="00E36400"/>
  </w:style>
  <w:style w:type="character" w:customStyle="1" w:styleId="HChGChar">
    <w:name w:val="_ H _Ch_G Char"/>
    <w:link w:val="HChG"/>
    <w:locked/>
    <w:rsid w:val="00E36400"/>
    <w:rPr>
      <w:b/>
      <w:sz w:val="28"/>
    </w:rPr>
  </w:style>
  <w:style w:type="character" w:customStyle="1" w:styleId="H1GChar">
    <w:name w:val="_ H_1_G Char"/>
    <w:link w:val="H1G"/>
    <w:locked/>
    <w:rsid w:val="00E36400"/>
    <w:rPr>
      <w:b/>
      <w:sz w:val="24"/>
    </w:rPr>
  </w:style>
  <w:style w:type="character" w:styleId="CommentReference">
    <w:name w:val="annotation reference"/>
    <w:basedOn w:val="DefaultParagraphFont"/>
    <w:uiPriority w:val="99"/>
    <w:semiHidden/>
    <w:unhideWhenUsed/>
    <w:rsid w:val="00E36400"/>
    <w:rPr>
      <w:sz w:val="16"/>
      <w:szCs w:val="16"/>
    </w:rPr>
  </w:style>
  <w:style w:type="paragraph" w:styleId="CommentText">
    <w:name w:val="annotation text"/>
    <w:basedOn w:val="Normal"/>
    <w:link w:val="CommentTextChar"/>
    <w:uiPriority w:val="99"/>
    <w:semiHidden/>
    <w:unhideWhenUsed/>
    <w:rsid w:val="00E36400"/>
    <w:pPr>
      <w:spacing w:line="240" w:lineRule="auto"/>
    </w:pPr>
  </w:style>
  <w:style w:type="character" w:customStyle="1" w:styleId="CommentTextChar">
    <w:name w:val="Comment Text Char"/>
    <w:basedOn w:val="DefaultParagraphFont"/>
    <w:link w:val="CommentText"/>
    <w:uiPriority w:val="99"/>
    <w:semiHidden/>
    <w:rsid w:val="00E36400"/>
  </w:style>
  <w:style w:type="character" w:customStyle="1" w:styleId="H23GChar">
    <w:name w:val="_ H_2/3_G Char"/>
    <w:link w:val="H23G"/>
    <w:locked/>
    <w:rsid w:val="001C6B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FD7F-D181-4F3A-A162-05E0B7EB64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92AFD0-07C0-42DA-92EE-4C1D6E178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4B682-C439-48AE-A648-A92E4F1001A8}">
  <ds:schemaRefs>
    <ds:schemaRef ds:uri="http://schemas.microsoft.com/sharepoint/v3/contenttype/forms"/>
  </ds:schemaRefs>
</ds:datastoreItem>
</file>

<file path=customXml/itemProps4.xml><?xml version="1.0" encoding="utf-8"?>
<ds:datastoreItem xmlns:ds="http://schemas.openxmlformats.org/officeDocument/2006/customXml" ds:itemID="{3FCB4D1F-A1DA-4261-925C-90206CC3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595</TotalTime>
  <Pages>21</Pages>
  <Words>7651</Words>
  <Characters>43613</Characters>
  <Application>Microsoft Office Word</Application>
  <DocSecurity>0</DocSecurity>
  <Lines>363</Lines>
  <Paragraphs>102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ST/SG/AC.10/C.4/78</dc:title>
  <dc:subject/>
  <dc:creator>Rosa</dc:creator>
  <cp:lastModifiedBy>Laurence Berthet</cp:lastModifiedBy>
  <cp:revision>285</cp:revision>
  <cp:lastPrinted>2021-01-14T08:23:00Z</cp:lastPrinted>
  <dcterms:created xsi:type="dcterms:W3CDTF">2020-12-16T09:36:00Z</dcterms:created>
  <dcterms:modified xsi:type="dcterms:W3CDTF">2021-01-14T09:24:00Z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