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1ECA" w14:textId="61C29830" w:rsidR="000841C5" w:rsidRPr="001469B8" w:rsidRDefault="001469B8" w:rsidP="001469B8">
      <w:pPr>
        <w:spacing w:after="360"/>
        <w:ind w:left="-1134" w:right="-1134"/>
        <w:jc w:val="center"/>
        <w:rPr>
          <w:b/>
          <w:bCs/>
          <w:sz w:val="28"/>
          <w:szCs w:val="28"/>
          <w:lang w:val="en-GB" w:eastAsia="en-US"/>
        </w:rPr>
      </w:pPr>
      <w:r w:rsidRPr="001469B8">
        <w:rPr>
          <w:b/>
          <w:bCs/>
          <w:sz w:val="28"/>
          <w:szCs w:val="28"/>
          <w:lang w:val="en-GB"/>
        </w:rPr>
        <w:t xml:space="preserve">Comments to </w:t>
      </w:r>
      <w:r w:rsidR="00ED7674">
        <w:rPr>
          <w:b/>
          <w:bCs/>
          <w:sz w:val="28"/>
          <w:szCs w:val="28"/>
          <w:lang w:val="en-GB"/>
        </w:rPr>
        <w:br/>
      </w:r>
      <w:hyperlink r:id="rId8" w:history="1">
        <w:r w:rsidRPr="001469B8">
          <w:rPr>
            <w:rStyle w:val="Hyperlink"/>
            <w:b/>
            <w:bCs/>
            <w:sz w:val="28"/>
            <w:szCs w:val="28"/>
            <w:lang w:val="en-US" w:eastAsia="en-US"/>
          </w:rPr>
          <w:t>ECE/TRANS/WP.29/GRVA/2021/06</w:t>
        </w:r>
      </w:hyperlink>
      <w:r w:rsidRPr="001469B8">
        <w:rPr>
          <w:b/>
          <w:bCs/>
          <w:sz w:val="28"/>
          <w:szCs w:val="28"/>
          <w:lang w:val="en-US" w:eastAsia="en-US"/>
        </w:rPr>
        <w:t xml:space="preserve"> (for R156) and </w:t>
      </w:r>
      <w:r w:rsidR="00ED7674">
        <w:rPr>
          <w:b/>
          <w:bCs/>
          <w:sz w:val="28"/>
          <w:szCs w:val="28"/>
          <w:lang w:val="en-US" w:eastAsia="en-US"/>
        </w:rPr>
        <w:br/>
      </w:r>
      <w:hyperlink r:id="rId9" w:history="1">
        <w:bookmarkStart w:id="0" w:name="_GoBack"/>
        <w:bookmarkEnd w:id="0"/>
        <w:r w:rsidR="00ED7674" w:rsidRPr="00ED7674">
          <w:rPr>
            <w:rStyle w:val="Hyperlink"/>
            <w:b/>
            <w:bCs/>
            <w:sz w:val="28"/>
            <w:szCs w:val="28"/>
            <w:lang w:val="en-US" w:eastAsia="en-US"/>
          </w:rPr>
          <w:t>ECE/TRANS/WP.29/GRVA/2021</w:t>
        </w:r>
        <w:r w:rsidR="00ED7674">
          <w:rPr>
            <w:rStyle w:val="Hyperlink"/>
            <w:b/>
            <w:bCs/>
            <w:sz w:val="28"/>
            <w:szCs w:val="28"/>
            <w:lang w:val="en-US" w:eastAsia="en-US"/>
          </w:rPr>
          <w:t>/</w:t>
        </w:r>
        <w:r w:rsidRPr="001469B8">
          <w:rPr>
            <w:rStyle w:val="Hyperlink"/>
            <w:b/>
            <w:bCs/>
            <w:sz w:val="28"/>
            <w:szCs w:val="28"/>
            <w:lang w:val="en-US" w:eastAsia="en-US"/>
          </w:rPr>
          <w:t>17</w:t>
        </w:r>
      </w:hyperlink>
      <w:r w:rsidRPr="001469B8">
        <w:rPr>
          <w:b/>
          <w:bCs/>
          <w:sz w:val="28"/>
          <w:szCs w:val="28"/>
          <w:lang w:val="en-US" w:eastAsia="en-US"/>
        </w:rPr>
        <w:t xml:space="preserve"> (for R157)</w:t>
      </w:r>
    </w:p>
    <w:p w14:paraId="7225CCF0" w14:textId="09BC224D" w:rsidR="00580D29" w:rsidRPr="00120C31" w:rsidRDefault="00E11855" w:rsidP="00A11368">
      <w:pPr>
        <w:tabs>
          <w:tab w:val="left" w:pos="1418"/>
        </w:tabs>
        <w:spacing w:before="24" w:after="120"/>
        <w:ind w:left="1418" w:hanging="709"/>
        <w:rPr>
          <w:lang w:val="en-GB"/>
        </w:rPr>
      </w:pPr>
      <w:r w:rsidRPr="00120C31">
        <w:rPr>
          <w:b/>
          <w:bCs/>
          <w:spacing w:val="1"/>
          <w:lang w:val="en-GB"/>
        </w:rPr>
        <w:t>I</w:t>
      </w:r>
      <w:r w:rsidRPr="00120C31">
        <w:rPr>
          <w:b/>
          <w:bCs/>
          <w:lang w:val="en-GB"/>
        </w:rPr>
        <w:t>.</w:t>
      </w:r>
      <w:r w:rsidR="00580D29" w:rsidRPr="00120C31">
        <w:rPr>
          <w:b/>
          <w:bCs/>
          <w:lang w:val="en-GB"/>
        </w:rPr>
        <w:tab/>
      </w:r>
      <w:r w:rsidR="00580D29" w:rsidRPr="00120C31">
        <w:rPr>
          <w:b/>
          <w:bCs/>
          <w:spacing w:val="1"/>
          <w:u w:val="single"/>
          <w:lang w:val="en-GB"/>
        </w:rPr>
        <w:t xml:space="preserve">Proposal </w:t>
      </w:r>
      <w:r w:rsidR="00107974" w:rsidRPr="00107974">
        <w:rPr>
          <w:b/>
          <w:bCs/>
          <w:spacing w:val="1"/>
          <w:u w:val="single"/>
          <w:lang w:val="en-GB"/>
        </w:rPr>
        <w:t xml:space="preserve">for </w:t>
      </w:r>
      <w:r w:rsidR="00534578">
        <w:rPr>
          <w:b/>
          <w:bCs/>
          <w:spacing w:val="1"/>
          <w:u w:val="single"/>
          <w:lang w:val="en-GB"/>
        </w:rPr>
        <w:t xml:space="preserve">a new series of </w:t>
      </w:r>
      <w:r w:rsidR="00107974" w:rsidRPr="00107974">
        <w:rPr>
          <w:b/>
          <w:bCs/>
          <w:spacing w:val="1"/>
          <w:u w:val="single"/>
          <w:lang w:val="en-GB"/>
        </w:rPr>
        <w:t xml:space="preserve">amendments </w:t>
      </w:r>
      <w:r w:rsidR="00107974">
        <w:rPr>
          <w:b/>
          <w:bCs/>
          <w:spacing w:val="1"/>
          <w:u w:val="single"/>
          <w:lang w:val="en-GB"/>
        </w:rPr>
        <w:t>to</w:t>
      </w:r>
      <w:r w:rsidR="00010C6A">
        <w:rPr>
          <w:b/>
          <w:bCs/>
          <w:spacing w:val="1"/>
          <w:u w:val="single"/>
          <w:lang w:val="en-GB"/>
        </w:rPr>
        <w:t xml:space="preserve"> UN Regulation No. </w:t>
      </w:r>
      <w:r w:rsidR="00107974" w:rsidRPr="00107974">
        <w:rPr>
          <w:b/>
          <w:bCs/>
          <w:spacing w:val="1"/>
          <w:u w:val="single"/>
          <w:lang w:val="en-GB"/>
        </w:rPr>
        <w:t>157 (Automated Lane Keeping System)</w:t>
      </w:r>
    </w:p>
    <w:p w14:paraId="4E65E7D7" w14:textId="43F7F771" w:rsidR="00A11368" w:rsidRDefault="00A11368" w:rsidP="00A11368">
      <w:pPr>
        <w:jc w:val="both"/>
        <w:rPr>
          <w:lang w:val="en-GB" w:eastAsia="en-US"/>
        </w:rPr>
      </w:pPr>
      <w:r w:rsidRPr="00224548">
        <w:rPr>
          <w:lang w:val="en-GB"/>
        </w:rPr>
        <w:t xml:space="preserve">The additions and deletions are shown in </w:t>
      </w:r>
      <w:r w:rsidRPr="00101D02">
        <w:rPr>
          <w:b/>
          <w:lang w:val="en-GB"/>
        </w:rPr>
        <w:t>bold</w:t>
      </w:r>
      <w:r w:rsidRPr="00101D02">
        <w:rPr>
          <w:lang w:val="en-GB"/>
        </w:rPr>
        <w:t xml:space="preserve"> </w:t>
      </w:r>
      <w:r w:rsidRPr="00224548">
        <w:rPr>
          <w:lang w:val="en-GB"/>
        </w:rPr>
        <w:t>text to facilitate identification of these proposed changes within the existing Regulation.</w:t>
      </w:r>
    </w:p>
    <w:p w14:paraId="46302C88" w14:textId="264C0B9A" w:rsidR="00107974" w:rsidRPr="00107974" w:rsidRDefault="00107974" w:rsidP="00107974">
      <w:pPr>
        <w:tabs>
          <w:tab w:val="left" w:pos="1220"/>
          <w:tab w:val="left" w:pos="2268"/>
        </w:tabs>
        <w:spacing w:before="120" w:after="120"/>
        <w:ind w:left="1134" w:hanging="1134"/>
        <w:jc w:val="both"/>
        <w:rPr>
          <w:lang w:val="en-GB"/>
        </w:rPr>
      </w:pPr>
      <w:r>
        <w:rPr>
          <w:lang w:val="en-GB"/>
        </w:rPr>
        <w:t>Amend paragraphs</w:t>
      </w:r>
      <w:r w:rsidRPr="00107974">
        <w:rPr>
          <w:lang w:val="en-GB"/>
        </w:rPr>
        <w:t xml:space="preserve"> 9.3.</w:t>
      </w:r>
      <w:r>
        <w:rPr>
          <w:lang w:val="en-GB"/>
        </w:rPr>
        <w:t>1</w:t>
      </w:r>
      <w:r w:rsidRPr="00107974">
        <w:rPr>
          <w:lang w:val="en-GB"/>
        </w:rPr>
        <w:t>.</w:t>
      </w:r>
      <w:r>
        <w:rPr>
          <w:lang w:val="en-GB"/>
        </w:rPr>
        <w:t xml:space="preserve"> and 9.3.2.</w:t>
      </w:r>
      <w:r w:rsidRPr="00107974">
        <w:rPr>
          <w:lang w:val="en-GB"/>
        </w:rPr>
        <w:t>, to read:</w:t>
      </w:r>
    </w:p>
    <w:p w14:paraId="544155E1" w14:textId="4AC597AF" w:rsidR="00107974" w:rsidRPr="00107974" w:rsidRDefault="00107974" w:rsidP="00107974">
      <w:pPr>
        <w:tabs>
          <w:tab w:val="left" w:pos="1220"/>
          <w:tab w:val="left" w:pos="2268"/>
        </w:tabs>
        <w:spacing w:before="120" w:after="120"/>
        <w:ind w:left="1134" w:hanging="1134"/>
        <w:jc w:val="both"/>
        <w:rPr>
          <w:lang w:val="en-GB"/>
        </w:rPr>
      </w:pPr>
      <w:r>
        <w:rPr>
          <w:lang w:val="en-GB"/>
        </w:rPr>
        <w:t>“</w:t>
      </w:r>
      <w:r w:rsidRPr="00107974">
        <w:rPr>
          <w:lang w:val="en-GB"/>
        </w:rPr>
        <w:t>9.3.1.</w:t>
      </w:r>
      <w:r w:rsidRPr="00107974">
        <w:rPr>
          <w:lang w:val="en-GB"/>
        </w:rPr>
        <w:tab/>
        <w:t>For the purpose of ensuring the software of the System can be identified, an R</w:t>
      </w:r>
      <w:r w:rsidRPr="00107974">
        <w:rPr>
          <w:vertAlign w:val="subscript"/>
          <w:lang w:val="en-GB"/>
        </w:rPr>
        <w:t>15</w:t>
      </w:r>
      <w:r w:rsidR="00534578">
        <w:rPr>
          <w:vertAlign w:val="subscript"/>
          <w:lang w:val="en-GB"/>
        </w:rPr>
        <w:t>7</w:t>
      </w:r>
      <w:r w:rsidRPr="00107974">
        <w:rPr>
          <w:lang w:val="en-GB"/>
        </w:rPr>
        <w:t xml:space="preserve">SWIN </w:t>
      </w:r>
      <w:r w:rsidRPr="00107974">
        <w:rPr>
          <w:b/>
          <w:strike/>
          <w:lang w:val="en-GB"/>
        </w:rPr>
        <w:t>may</w:t>
      </w:r>
      <w:r w:rsidRPr="00107974">
        <w:rPr>
          <w:b/>
          <w:lang w:val="en-GB"/>
        </w:rPr>
        <w:t xml:space="preserve"> shall</w:t>
      </w:r>
      <w:r w:rsidRPr="00107974">
        <w:rPr>
          <w:lang w:val="en-GB"/>
        </w:rPr>
        <w:t xml:space="preserve"> be implemented by the vehicle manufacturer. </w:t>
      </w:r>
      <w:r w:rsidRPr="00107974">
        <w:rPr>
          <w:b/>
          <w:strike/>
          <w:lang w:val="en-GB"/>
        </w:rPr>
        <w:t>If R</w:t>
      </w:r>
      <w:r w:rsidRPr="00107974">
        <w:rPr>
          <w:b/>
          <w:strike/>
          <w:vertAlign w:val="subscript"/>
          <w:lang w:val="en-GB"/>
        </w:rPr>
        <w:t>15</w:t>
      </w:r>
      <w:r w:rsidR="00534578">
        <w:rPr>
          <w:b/>
          <w:strike/>
          <w:vertAlign w:val="subscript"/>
          <w:lang w:val="en-GB"/>
        </w:rPr>
        <w:t>7</w:t>
      </w:r>
      <w:r w:rsidRPr="00107974">
        <w:rPr>
          <w:b/>
          <w:strike/>
          <w:lang w:val="en-GB"/>
        </w:rPr>
        <w:t>SWIN is not implemented, an alternative software identification system (i.e. software version) shall be implemented.</w:t>
      </w:r>
    </w:p>
    <w:p w14:paraId="69887CEA" w14:textId="5A309C57" w:rsidR="00107974" w:rsidRDefault="00107974" w:rsidP="00107974">
      <w:pPr>
        <w:tabs>
          <w:tab w:val="left" w:pos="1220"/>
          <w:tab w:val="left" w:pos="2268"/>
        </w:tabs>
        <w:spacing w:before="120" w:after="120"/>
        <w:ind w:left="1134" w:hanging="1134"/>
        <w:jc w:val="both"/>
        <w:rPr>
          <w:lang w:val="en-GB"/>
        </w:rPr>
      </w:pPr>
      <w:r w:rsidRPr="00107974">
        <w:rPr>
          <w:lang w:val="en-GB"/>
        </w:rPr>
        <w:t>9.3.2.</w:t>
      </w:r>
      <w:r w:rsidRPr="00107974">
        <w:rPr>
          <w:lang w:val="en-GB"/>
        </w:rPr>
        <w:tab/>
      </w:r>
      <w:r w:rsidRPr="00107974">
        <w:rPr>
          <w:b/>
          <w:strike/>
          <w:lang w:val="en-GB"/>
        </w:rPr>
        <w:t xml:space="preserve">If the manufacturer implements </w:t>
      </w:r>
      <w:proofErr w:type="gramStart"/>
      <w:r w:rsidRPr="00107974">
        <w:rPr>
          <w:b/>
          <w:strike/>
          <w:lang w:val="en-GB"/>
        </w:rPr>
        <w:t>an</w:t>
      </w:r>
      <w:proofErr w:type="gramEnd"/>
      <w:r w:rsidRPr="00107974">
        <w:rPr>
          <w:b/>
          <w:lang w:val="en-GB"/>
        </w:rPr>
        <w:t xml:space="preserve"> For the implementation of</w:t>
      </w:r>
      <w:r>
        <w:rPr>
          <w:lang w:val="en-GB"/>
        </w:rPr>
        <w:t xml:space="preserve"> </w:t>
      </w:r>
      <w:r w:rsidRPr="00107974">
        <w:rPr>
          <w:lang w:val="en-GB"/>
        </w:rPr>
        <w:t>R</w:t>
      </w:r>
      <w:r w:rsidRPr="00107974">
        <w:rPr>
          <w:vertAlign w:val="subscript"/>
          <w:lang w:val="en-GB"/>
        </w:rPr>
        <w:t>15</w:t>
      </w:r>
      <w:r w:rsidR="00534578">
        <w:rPr>
          <w:vertAlign w:val="subscript"/>
          <w:lang w:val="en-GB"/>
        </w:rPr>
        <w:t>7</w:t>
      </w:r>
      <w:r>
        <w:rPr>
          <w:lang w:val="en-GB"/>
        </w:rPr>
        <w:t>S</w:t>
      </w:r>
      <w:r w:rsidRPr="00107974">
        <w:rPr>
          <w:lang w:val="en-GB"/>
        </w:rPr>
        <w:t>WIN the following shall apply:</w:t>
      </w:r>
      <w:r>
        <w:rPr>
          <w:lang w:val="en-GB"/>
        </w:rPr>
        <w:t>”</w:t>
      </w:r>
    </w:p>
    <w:p w14:paraId="038C9964" w14:textId="267FD205" w:rsidR="00107974" w:rsidRDefault="00A61BE2" w:rsidP="00107974">
      <w:pPr>
        <w:tabs>
          <w:tab w:val="left" w:pos="1220"/>
          <w:tab w:val="left" w:pos="2268"/>
        </w:tabs>
        <w:spacing w:before="120" w:after="120"/>
        <w:ind w:left="1134" w:hanging="1134"/>
        <w:jc w:val="both"/>
        <w:rPr>
          <w:lang w:val="en-GB"/>
        </w:rPr>
      </w:pPr>
      <w:r>
        <w:rPr>
          <w:lang w:val="en-GB"/>
        </w:rPr>
        <w:t>The subparagraphs of 9.3.2 stay unchanged.</w:t>
      </w:r>
    </w:p>
    <w:p w14:paraId="06582BA1" w14:textId="462094F4" w:rsidR="00534578" w:rsidRDefault="00534578" w:rsidP="00107974">
      <w:pPr>
        <w:tabs>
          <w:tab w:val="left" w:pos="1220"/>
          <w:tab w:val="left" w:pos="2268"/>
        </w:tabs>
        <w:spacing w:before="120" w:after="120"/>
        <w:ind w:left="1134" w:hanging="1134"/>
        <w:jc w:val="both"/>
        <w:rPr>
          <w:lang w:val="en-GB"/>
        </w:rPr>
      </w:pPr>
      <w:r>
        <w:rPr>
          <w:lang w:val="en-GB"/>
        </w:rPr>
        <w:t>Add new chapter 15., to read:</w:t>
      </w:r>
    </w:p>
    <w:p w14:paraId="7A336B19" w14:textId="77777777" w:rsidR="00534578" w:rsidRDefault="00534578" w:rsidP="00534578">
      <w:pPr>
        <w:pStyle w:val="HChG"/>
      </w:pPr>
      <w:r w:rsidRPr="00053917">
        <w:t>1</w:t>
      </w:r>
      <w:r>
        <w:t>5</w:t>
      </w:r>
      <w:r w:rsidRPr="00053917">
        <w:t>.</w:t>
      </w:r>
      <w:r>
        <w:tab/>
      </w:r>
      <w:r>
        <w:tab/>
        <w:t>Transitional provisions</w:t>
      </w:r>
    </w:p>
    <w:p w14:paraId="3A55185C" w14:textId="72EEFDAB" w:rsidR="00A61BE2" w:rsidRPr="00284A96" w:rsidRDefault="00534578" w:rsidP="002F2FA0">
      <w:pPr>
        <w:spacing w:beforeLines="50" w:before="120" w:after="120"/>
        <w:ind w:left="1134" w:hanging="1134"/>
        <w:jc w:val="both"/>
        <w:rPr>
          <w:b/>
          <w:lang w:val="en-GB"/>
        </w:rPr>
      </w:pPr>
      <w:r w:rsidRPr="00284A96">
        <w:rPr>
          <w:b/>
          <w:lang w:val="en-GB"/>
        </w:rPr>
        <w:t>“15</w:t>
      </w:r>
      <w:r w:rsidR="00A61BE2" w:rsidRPr="00284A96">
        <w:rPr>
          <w:b/>
          <w:lang w:val="en-GB"/>
        </w:rPr>
        <w:t>.1.</w:t>
      </w:r>
      <w:r w:rsidR="00A61BE2" w:rsidRPr="00284A96">
        <w:rPr>
          <w:b/>
          <w:lang w:val="en-GB"/>
        </w:rPr>
        <w:tab/>
        <w:t xml:space="preserve">As from the official date of entry into force of the </w:t>
      </w:r>
      <w:r w:rsidRPr="00284A96">
        <w:rPr>
          <w:b/>
          <w:lang w:val="en-GB"/>
        </w:rPr>
        <w:t>01</w:t>
      </w:r>
      <w:r w:rsidR="00A61BE2" w:rsidRPr="00284A96">
        <w:rPr>
          <w:b/>
          <w:lang w:val="en-GB"/>
        </w:rPr>
        <w:t xml:space="preserve"> series of amendments, no Contracting Party applying this Regulation shall refuse to grant or refuse to accept type approvals under this Regulation as amended by the </w:t>
      </w:r>
      <w:r w:rsidRPr="00284A96">
        <w:rPr>
          <w:b/>
          <w:lang w:val="en-GB"/>
        </w:rPr>
        <w:t>01</w:t>
      </w:r>
      <w:r w:rsidR="00A61BE2" w:rsidRPr="00284A96">
        <w:rPr>
          <w:b/>
          <w:lang w:val="en-GB"/>
        </w:rPr>
        <w:t xml:space="preserve"> series of amendments.</w:t>
      </w:r>
    </w:p>
    <w:p w14:paraId="6D945929" w14:textId="53B68373" w:rsidR="00A61BE2" w:rsidRPr="00284A96" w:rsidRDefault="002F2FA0" w:rsidP="002F2FA0">
      <w:pPr>
        <w:spacing w:after="120"/>
        <w:ind w:left="1134" w:hanging="1134"/>
        <w:jc w:val="both"/>
        <w:rPr>
          <w:rFonts w:eastAsia="MS Mincho"/>
          <w:b/>
          <w:lang w:val="en-GB" w:eastAsia="ja-JP"/>
        </w:rPr>
      </w:pPr>
      <w:r w:rsidRPr="00284A96">
        <w:rPr>
          <w:b/>
          <w:lang w:val="en-GB"/>
        </w:rPr>
        <w:t>15</w:t>
      </w:r>
      <w:r w:rsidR="00A61BE2" w:rsidRPr="00284A96">
        <w:rPr>
          <w:b/>
          <w:lang w:val="en-GB"/>
        </w:rPr>
        <w:t>.2.</w:t>
      </w:r>
      <w:r w:rsidR="00A61BE2" w:rsidRPr="00284A96">
        <w:rPr>
          <w:b/>
          <w:lang w:val="en-GB"/>
        </w:rPr>
        <w:tab/>
        <w:t xml:space="preserve">As </w:t>
      </w:r>
      <w:r w:rsidR="00A61BE2" w:rsidRPr="00284A96">
        <w:rPr>
          <w:rFonts w:eastAsia="MS Mincho"/>
          <w:b/>
          <w:lang w:val="en-GB" w:eastAsia="ja-JP"/>
        </w:rPr>
        <w:t>from</w:t>
      </w:r>
      <w:r w:rsidR="00A61BE2" w:rsidRPr="00284A96">
        <w:rPr>
          <w:b/>
          <w:lang w:val="en-GB"/>
        </w:rPr>
        <w:t xml:space="preserve"> </w:t>
      </w:r>
      <w:r w:rsidRPr="00284A96">
        <w:rPr>
          <w:b/>
          <w:lang w:val="en-GB"/>
        </w:rPr>
        <w:t>[1 July 2022]</w:t>
      </w:r>
      <w:r w:rsidR="00A61BE2" w:rsidRPr="00284A96">
        <w:rPr>
          <w:b/>
          <w:lang w:val="en-GB"/>
        </w:rPr>
        <w:t xml:space="preserve">, Contracting Parties applying this Regulation shall not be obliged to accept type approvals to the preceding series of amendments, first issued after </w:t>
      </w:r>
      <w:r w:rsidRPr="00284A96">
        <w:rPr>
          <w:b/>
          <w:lang w:val="en-GB"/>
        </w:rPr>
        <w:t>[1 July 2022]</w:t>
      </w:r>
      <w:r w:rsidR="00A61BE2" w:rsidRPr="00284A96">
        <w:rPr>
          <w:b/>
          <w:lang w:val="en-GB"/>
        </w:rPr>
        <w:t>.</w:t>
      </w:r>
    </w:p>
    <w:p w14:paraId="6F2D7D04" w14:textId="350AFC81" w:rsidR="00A61BE2" w:rsidRPr="00284A96" w:rsidRDefault="002F2FA0" w:rsidP="002F2FA0">
      <w:pPr>
        <w:spacing w:after="120"/>
        <w:ind w:left="1134" w:hanging="1134"/>
        <w:jc w:val="both"/>
        <w:rPr>
          <w:rFonts w:eastAsia="MS Mincho"/>
          <w:b/>
          <w:lang w:val="en-GB" w:eastAsia="ja-JP"/>
        </w:rPr>
      </w:pPr>
      <w:r w:rsidRPr="00284A96">
        <w:rPr>
          <w:b/>
          <w:lang w:val="en-GB"/>
        </w:rPr>
        <w:t>15</w:t>
      </w:r>
      <w:r w:rsidR="00A61BE2" w:rsidRPr="00284A96">
        <w:rPr>
          <w:b/>
          <w:lang w:val="en-GB"/>
        </w:rPr>
        <w:t>.3.</w:t>
      </w:r>
      <w:r w:rsidR="00A61BE2" w:rsidRPr="00284A96">
        <w:rPr>
          <w:b/>
          <w:lang w:val="en-GB"/>
        </w:rPr>
        <w:tab/>
        <w:t xml:space="preserve">Until </w:t>
      </w:r>
      <w:r w:rsidRPr="00284A96">
        <w:rPr>
          <w:b/>
          <w:lang w:val="en-GB"/>
        </w:rPr>
        <w:t xml:space="preserve">[1 July 2024], </w:t>
      </w:r>
      <w:r w:rsidR="00A61BE2" w:rsidRPr="00284A96">
        <w:rPr>
          <w:b/>
          <w:lang w:val="en-GB"/>
        </w:rPr>
        <w:t>Contracting Parties applying this Regulation shall accept type approvals to the preceding series of amendments, first issued before</w:t>
      </w:r>
      <w:r w:rsidRPr="00284A96">
        <w:rPr>
          <w:b/>
          <w:lang w:val="en-GB"/>
        </w:rPr>
        <w:t xml:space="preserve"> [1 July 2022]</w:t>
      </w:r>
      <w:r w:rsidR="00A61BE2" w:rsidRPr="00284A96">
        <w:rPr>
          <w:rFonts w:eastAsiaTheme="minorEastAsia"/>
          <w:b/>
          <w:lang w:val="en-GB" w:eastAsia="ja-JP"/>
        </w:rPr>
        <w:t>.</w:t>
      </w:r>
    </w:p>
    <w:p w14:paraId="3F21FDDC" w14:textId="3ABCA261" w:rsidR="00A61BE2" w:rsidRDefault="002F2FA0" w:rsidP="002F2FA0">
      <w:pPr>
        <w:spacing w:after="120"/>
        <w:ind w:left="1134" w:hanging="1134"/>
        <w:jc w:val="both"/>
        <w:rPr>
          <w:b/>
          <w:lang w:val="en-GB"/>
        </w:rPr>
      </w:pPr>
      <w:r w:rsidRPr="00284A96">
        <w:rPr>
          <w:b/>
          <w:lang w:val="en-GB"/>
        </w:rPr>
        <w:t>15</w:t>
      </w:r>
      <w:r w:rsidR="00A61BE2" w:rsidRPr="00284A96">
        <w:rPr>
          <w:b/>
          <w:lang w:val="en-GB"/>
        </w:rPr>
        <w:t>.4.</w:t>
      </w:r>
      <w:r w:rsidR="00A61BE2" w:rsidRPr="00284A96">
        <w:rPr>
          <w:b/>
          <w:lang w:val="en-GB"/>
        </w:rPr>
        <w:tab/>
        <w:t xml:space="preserve">As </w:t>
      </w:r>
      <w:r w:rsidR="00A61BE2" w:rsidRPr="00284A96">
        <w:rPr>
          <w:rFonts w:eastAsia="MS Mincho"/>
          <w:b/>
          <w:lang w:val="en-GB" w:eastAsia="ja-JP"/>
        </w:rPr>
        <w:t>from</w:t>
      </w:r>
      <w:r w:rsidR="00A61BE2" w:rsidRPr="00284A96">
        <w:rPr>
          <w:b/>
          <w:lang w:val="en-GB"/>
        </w:rPr>
        <w:t xml:space="preserve"> </w:t>
      </w:r>
      <w:r w:rsidR="00A94A9A">
        <w:rPr>
          <w:b/>
          <w:lang w:val="en-GB"/>
        </w:rPr>
        <w:t>[1 July 2024</w:t>
      </w:r>
      <w:r w:rsidRPr="00284A96">
        <w:rPr>
          <w:b/>
          <w:lang w:val="en-GB"/>
        </w:rPr>
        <w:t xml:space="preserve">], </w:t>
      </w:r>
      <w:r w:rsidR="00A61BE2" w:rsidRPr="00284A96">
        <w:rPr>
          <w:b/>
          <w:lang w:val="en-GB"/>
        </w:rPr>
        <w:t>Contracting Parties applying this Regulation shall not be obliged to accept type approvals issued to the preceding series of amendments to this Regulation.</w:t>
      </w:r>
      <w:r w:rsidRPr="00284A96">
        <w:rPr>
          <w:b/>
          <w:lang w:val="en-GB"/>
        </w:rPr>
        <w:t>”</w:t>
      </w:r>
    </w:p>
    <w:p w14:paraId="71AE2865" w14:textId="77777777" w:rsidR="00E00DDB" w:rsidRPr="00284A96" w:rsidRDefault="00E00DDB" w:rsidP="002F2FA0">
      <w:pPr>
        <w:spacing w:after="120"/>
        <w:ind w:left="1134" w:hanging="1134"/>
        <w:jc w:val="both"/>
        <w:rPr>
          <w:b/>
          <w:lang w:val="en-GB"/>
        </w:rPr>
      </w:pPr>
    </w:p>
    <w:p w14:paraId="586C1B46" w14:textId="38D0C821" w:rsidR="00E11855" w:rsidRPr="00E00DDB" w:rsidRDefault="00E11855" w:rsidP="00BD4435">
      <w:pPr>
        <w:tabs>
          <w:tab w:val="left" w:pos="1418"/>
        </w:tabs>
        <w:spacing w:before="24"/>
        <w:ind w:left="1418" w:hanging="709"/>
        <w:rPr>
          <w:b/>
          <w:bCs/>
          <w:spacing w:val="1"/>
          <w:u w:val="single"/>
          <w:lang w:val="en-GB"/>
        </w:rPr>
      </w:pPr>
      <w:r w:rsidRPr="00E00DDB">
        <w:rPr>
          <w:b/>
          <w:bCs/>
          <w:spacing w:val="1"/>
          <w:u w:val="single"/>
          <w:lang w:val="en-GB"/>
        </w:rPr>
        <w:t>II.</w:t>
      </w:r>
      <w:r w:rsidRPr="00E00DDB">
        <w:rPr>
          <w:b/>
          <w:bCs/>
          <w:spacing w:val="1"/>
          <w:u w:val="single"/>
          <w:lang w:val="en-GB"/>
        </w:rPr>
        <w:tab/>
        <w:t>Justification</w:t>
      </w:r>
    </w:p>
    <w:p w14:paraId="6610B570" w14:textId="77777777" w:rsidR="00D25B18" w:rsidRDefault="00D25B18" w:rsidP="00284A96">
      <w:pPr>
        <w:jc w:val="both"/>
        <w:rPr>
          <w:lang w:val="en-GB" w:eastAsia="en-US"/>
        </w:rPr>
      </w:pPr>
    </w:p>
    <w:p w14:paraId="6657D469" w14:textId="35BB8FF8" w:rsidR="00284A96" w:rsidRDefault="00284A96" w:rsidP="00284A96">
      <w:pPr>
        <w:jc w:val="both"/>
        <w:rPr>
          <w:lang w:val="en-GB" w:eastAsia="en-US"/>
        </w:rPr>
      </w:pPr>
      <w:r>
        <w:rPr>
          <w:lang w:val="en-GB" w:eastAsia="en-US"/>
        </w:rPr>
        <w:t>In document</w:t>
      </w:r>
      <w:r w:rsidR="00C53766">
        <w:rPr>
          <w:lang w:val="en-GB" w:eastAsia="en-US"/>
        </w:rPr>
        <w:t xml:space="preserve">s </w:t>
      </w:r>
      <w:hyperlink r:id="rId10" w:history="1">
        <w:r w:rsidR="00C53766" w:rsidRPr="00C53766">
          <w:rPr>
            <w:rStyle w:val="Hyperlink"/>
            <w:lang w:val="en-US" w:eastAsia="en-US"/>
          </w:rPr>
          <w:t>GRVA/2021/06</w:t>
        </w:r>
      </w:hyperlink>
      <w:r w:rsidR="00C53766" w:rsidRPr="00C53766">
        <w:rPr>
          <w:lang w:val="en-US" w:eastAsia="en-US"/>
        </w:rPr>
        <w:t xml:space="preserve"> </w:t>
      </w:r>
      <w:r w:rsidR="00C53766">
        <w:rPr>
          <w:lang w:val="en-US" w:eastAsia="en-US"/>
        </w:rPr>
        <w:t>(</w:t>
      </w:r>
      <w:r w:rsidR="00C53766" w:rsidRPr="00C53766">
        <w:rPr>
          <w:lang w:val="en-US" w:eastAsia="en-US"/>
        </w:rPr>
        <w:t>for R156</w:t>
      </w:r>
      <w:r w:rsidR="00C53766">
        <w:rPr>
          <w:lang w:val="en-US" w:eastAsia="en-US"/>
        </w:rPr>
        <w:t>)</w:t>
      </w:r>
      <w:r w:rsidR="00C53766" w:rsidRPr="00C53766">
        <w:rPr>
          <w:lang w:val="en-US" w:eastAsia="en-US"/>
        </w:rPr>
        <w:t xml:space="preserve"> and </w:t>
      </w:r>
      <w:hyperlink r:id="rId11" w:history="1">
        <w:r w:rsidR="00C53766" w:rsidRPr="00C53766">
          <w:rPr>
            <w:rStyle w:val="Hyperlink"/>
            <w:lang w:val="en-US" w:eastAsia="en-US"/>
          </w:rPr>
          <w:t>GRVA/2021/17</w:t>
        </w:r>
      </w:hyperlink>
      <w:r w:rsidR="00C53766" w:rsidRPr="00C53766">
        <w:rPr>
          <w:lang w:val="en-US" w:eastAsia="en-US"/>
        </w:rPr>
        <w:t xml:space="preserve"> </w:t>
      </w:r>
      <w:r w:rsidR="00C53766">
        <w:rPr>
          <w:lang w:val="en-US" w:eastAsia="en-US"/>
        </w:rPr>
        <w:t>(</w:t>
      </w:r>
      <w:r w:rsidR="00C53766" w:rsidRPr="00C53766">
        <w:rPr>
          <w:lang w:val="en-US" w:eastAsia="en-US"/>
        </w:rPr>
        <w:t>for R157</w:t>
      </w:r>
      <w:r w:rsidR="00C53766">
        <w:rPr>
          <w:lang w:val="en-US" w:eastAsia="en-US"/>
        </w:rPr>
        <w:t>)</w:t>
      </w:r>
      <w:r>
        <w:rPr>
          <w:lang w:val="en-GB" w:eastAsia="en-US"/>
        </w:rPr>
        <w:t xml:space="preserve">, </w:t>
      </w:r>
      <w:r w:rsidR="00BD4435">
        <w:rPr>
          <w:lang w:val="en-GB" w:eastAsia="en-US"/>
        </w:rPr>
        <w:t xml:space="preserve">the expert from </w:t>
      </w:r>
      <w:r>
        <w:rPr>
          <w:lang w:val="en-GB" w:eastAsia="en-US"/>
        </w:rPr>
        <w:t>France suggest</w:t>
      </w:r>
      <w:r w:rsidR="00C53766">
        <w:rPr>
          <w:lang w:val="en-GB" w:eastAsia="en-US"/>
        </w:rPr>
        <w:t>s</w:t>
      </w:r>
      <w:r>
        <w:rPr>
          <w:lang w:val="en-GB" w:eastAsia="en-US"/>
        </w:rPr>
        <w:t xml:space="preserve"> amendments to UN </w:t>
      </w:r>
      <w:r w:rsidR="00C43F98">
        <w:rPr>
          <w:lang w:val="en-GB" w:eastAsia="en-US"/>
        </w:rPr>
        <w:t xml:space="preserve">Regulation No. </w:t>
      </w:r>
      <w:r w:rsidRPr="009B08CC">
        <w:rPr>
          <w:lang w:val="en-GB" w:eastAsia="en-US"/>
        </w:rPr>
        <w:t>156 (Software update and software updates management system) &amp; UN</w:t>
      </w:r>
      <w:r w:rsidR="00C43F98">
        <w:rPr>
          <w:lang w:val="en-GB" w:eastAsia="en-US"/>
        </w:rPr>
        <w:t xml:space="preserve"> Regulation No. </w:t>
      </w:r>
      <w:r w:rsidRPr="009B08CC">
        <w:rPr>
          <w:lang w:val="en-GB" w:eastAsia="en-US"/>
        </w:rPr>
        <w:t>157 (Automated Lane Keeping System)</w:t>
      </w:r>
      <w:r>
        <w:rPr>
          <w:lang w:val="en-GB" w:eastAsia="en-US"/>
        </w:rPr>
        <w:t xml:space="preserve"> concerning the alternative software identification system in order </w:t>
      </w:r>
      <w:r w:rsidRPr="00384331">
        <w:rPr>
          <w:lang w:val="en-GB" w:eastAsia="en-US"/>
        </w:rPr>
        <w:t>to introduce the same level of specifications</w:t>
      </w:r>
      <w:r>
        <w:rPr>
          <w:lang w:val="en-GB" w:eastAsia="en-US"/>
        </w:rPr>
        <w:t xml:space="preserve"> as for the RXSWIN.</w:t>
      </w:r>
    </w:p>
    <w:p w14:paraId="527CA898" w14:textId="77777777" w:rsidR="00284A96" w:rsidRDefault="00284A96" w:rsidP="00284A96">
      <w:pPr>
        <w:jc w:val="both"/>
        <w:rPr>
          <w:lang w:val="en-GB" w:eastAsia="en-US"/>
        </w:rPr>
      </w:pPr>
    </w:p>
    <w:p w14:paraId="135CB101" w14:textId="77777777" w:rsidR="00284A96" w:rsidRPr="001A2E4E" w:rsidRDefault="00284A96" w:rsidP="00284A96">
      <w:pPr>
        <w:pStyle w:val="SingleTxtG"/>
        <w:ind w:left="0" w:right="0"/>
        <w:rPr>
          <w:color w:val="000000" w:themeColor="text1"/>
          <w:lang w:val="en-US"/>
        </w:rPr>
      </w:pPr>
      <w:r>
        <w:rPr>
          <w:color w:val="000000" w:themeColor="text1"/>
          <w:lang w:val="en-US"/>
        </w:rPr>
        <w:t xml:space="preserve">Recall of the definition of RXSWIN: </w:t>
      </w:r>
      <w:r w:rsidRPr="001A2E4E">
        <w:rPr>
          <w:color w:val="000000" w:themeColor="text1"/>
          <w:lang w:val="en-US"/>
        </w:rPr>
        <w:t>"</w:t>
      </w:r>
      <w:r w:rsidRPr="001A2E4E">
        <w:rPr>
          <w:i/>
          <w:iCs/>
          <w:color w:val="000000" w:themeColor="text1"/>
          <w:lang w:val="en-US"/>
        </w:rPr>
        <w:t>RX Software Identification Number (RXSWIN)</w:t>
      </w:r>
      <w:r w:rsidRPr="001A2E4E">
        <w:rPr>
          <w:color w:val="000000" w:themeColor="text1"/>
          <w:lang w:val="en-US"/>
        </w:rPr>
        <w:t>" means a dedicated identifier, defined by the vehicle manufacturer, representing information about the type approval relevant software of the Electronic Control System contributing to the Regulation N° X type approval relevant characteristics of the vehicle.</w:t>
      </w:r>
    </w:p>
    <w:p w14:paraId="65FF2869" w14:textId="00A0E8F8" w:rsidR="00284A96" w:rsidRDefault="00284A96" w:rsidP="00284A96">
      <w:pPr>
        <w:jc w:val="both"/>
        <w:rPr>
          <w:lang w:val="en-GB" w:eastAsia="en-US"/>
        </w:rPr>
      </w:pPr>
      <w:r>
        <w:rPr>
          <w:lang w:val="en-GB" w:eastAsia="en-US"/>
        </w:rPr>
        <w:lastRenderedPageBreak/>
        <w:t xml:space="preserve">With the amendments suggested by </w:t>
      </w:r>
      <w:r w:rsidR="00BD4435">
        <w:rPr>
          <w:lang w:val="en-GB" w:eastAsia="en-US"/>
        </w:rPr>
        <w:t xml:space="preserve">the expert from </w:t>
      </w:r>
      <w:r>
        <w:rPr>
          <w:lang w:val="en-GB" w:eastAsia="en-US"/>
        </w:rPr>
        <w:t>France, the difference between the requirements for RXSWIN and for the alternative software identification system would become negligible. The coexistence of two similar software identification systems will create worldwide diversity and disharmonization.</w:t>
      </w:r>
    </w:p>
    <w:p w14:paraId="08BE3511" w14:textId="77777777" w:rsidR="00284A96" w:rsidRDefault="00284A96" w:rsidP="00284A96">
      <w:pPr>
        <w:jc w:val="both"/>
        <w:rPr>
          <w:lang w:val="en-GB" w:eastAsia="en-US"/>
        </w:rPr>
      </w:pPr>
    </w:p>
    <w:p w14:paraId="04067664" w14:textId="0D50F37C" w:rsidR="00284A96" w:rsidRDefault="00284A96" w:rsidP="00284A96">
      <w:pPr>
        <w:jc w:val="both"/>
        <w:rPr>
          <w:lang w:val="en-GB" w:eastAsia="en-US"/>
        </w:rPr>
      </w:pPr>
      <w:r>
        <w:rPr>
          <w:lang w:val="en-GB" w:eastAsia="en-US"/>
        </w:rPr>
        <w:t xml:space="preserve">OICA </w:t>
      </w:r>
      <w:r w:rsidR="00DD33A7">
        <w:rPr>
          <w:lang w:val="en-GB" w:eastAsia="en-US"/>
        </w:rPr>
        <w:t xml:space="preserve">and CLEPA </w:t>
      </w:r>
      <w:r>
        <w:rPr>
          <w:lang w:val="en-GB" w:eastAsia="en-US"/>
        </w:rPr>
        <w:t>believe that the removal of the alternative software identification system with appropriate transitional provision</w:t>
      </w:r>
      <w:r w:rsidR="00B83CD4">
        <w:rPr>
          <w:lang w:val="en-GB" w:eastAsia="en-US"/>
        </w:rPr>
        <w:t>s</w:t>
      </w:r>
      <w:r>
        <w:rPr>
          <w:lang w:val="en-GB" w:eastAsia="en-US"/>
        </w:rPr>
        <w:t xml:space="preserve"> would be the best way forward to ensure harmonization.</w:t>
      </w:r>
    </w:p>
    <w:p w14:paraId="06F88A10" w14:textId="29A02B2F" w:rsidR="00284A96" w:rsidRDefault="00284A96" w:rsidP="00284A96">
      <w:pPr>
        <w:jc w:val="both"/>
        <w:rPr>
          <w:lang w:val="en-GB" w:eastAsia="en-US"/>
        </w:rPr>
      </w:pPr>
    </w:p>
    <w:p w14:paraId="00A5820B" w14:textId="6CC4112F" w:rsidR="00D25B18" w:rsidRDefault="00DD33A7" w:rsidP="00284A96">
      <w:pPr>
        <w:jc w:val="both"/>
        <w:rPr>
          <w:lang w:val="en-GB" w:eastAsia="en-US"/>
        </w:rPr>
      </w:pPr>
      <w:r>
        <w:rPr>
          <w:lang w:val="en-GB" w:eastAsia="en-US"/>
        </w:rPr>
        <w:t>We</w:t>
      </w:r>
      <w:r w:rsidR="00D25B18">
        <w:rPr>
          <w:lang w:val="en-GB" w:eastAsia="en-US"/>
        </w:rPr>
        <w:t xml:space="preserve"> recall that even by removing the alternative software identification system from </w:t>
      </w:r>
      <w:r w:rsidR="00B83CD4">
        <w:rPr>
          <w:lang w:val="en-GB" w:eastAsia="en-US"/>
        </w:rPr>
        <w:t>UN Regulation No. 157</w:t>
      </w:r>
      <w:r w:rsidR="00D25B18">
        <w:rPr>
          <w:lang w:val="en-GB" w:eastAsia="en-US"/>
        </w:rPr>
        <w:t>, it is not mandatory to store the R</w:t>
      </w:r>
      <w:r w:rsidR="00D25B18" w:rsidRPr="00D25B18">
        <w:rPr>
          <w:vertAlign w:val="subscript"/>
          <w:lang w:val="en-GB" w:eastAsia="en-US"/>
        </w:rPr>
        <w:t>157</w:t>
      </w:r>
      <w:r w:rsidR="00D25B18">
        <w:rPr>
          <w:lang w:val="en-GB" w:eastAsia="en-US"/>
        </w:rPr>
        <w:t>SWIN on the vehicle.</w:t>
      </w:r>
    </w:p>
    <w:p w14:paraId="497DB3C9" w14:textId="77777777" w:rsidR="00C43F98" w:rsidRDefault="00C43F98" w:rsidP="00284A96">
      <w:pPr>
        <w:jc w:val="both"/>
        <w:rPr>
          <w:lang w:val="en-GB" w:eastAsia="en-US"/>
        </w:rPr>
      </w:pPr>
    </w:p>
    <w:p w14:paraId="465F2811" w14:textId="53016916" w:rsidR="00E11855" w:rsidRPr="000638F6" w:rsidRDefault="00E11855" w:rsidP="00E11855">
      <w:pPr>
        <w:spacing w:line="226" w:lineRule="exact"/>
        <w:ind w:left="686" w:right="1813"/>
        <w:jc w:val="both"/>
        <w:rPr>
          <w:spacing w:val="1"/>
          <w:position w:val="-1"/>
          <w:lang w:val="en-GB"/>
        </w:rPr>
      </w:pPr>
    </w:p>
    <w:p w14:paraId="7A1AFD43" w14:textId="2D54654F" w:rsidR="00E11855" w:rsidRDefault="003E3A4C" w:rsidP="003F574C">
      <w:pPr>
        <w:ind w:left="-851"/>
        <w:rPr>
          <w:lang w:val="en-GB"/>
        </w:rPr>
      </w:pPr>
      <w:r w:rsidRPr="003E3A4C">
        <w:rPr>
          <w:noProof/>
          <w:lang w:val="fr-FR" w:eastAsia="fr-FR"/>
        </w:rPr>
        <w:drawing>
          <wp:inline distT="0" distB="0" distL="0" distR="0" wp14:anchorId="19BF45AB" wp14:editId="65DE918B">
            <wp:extent cx="6634786" cy="4038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53457" cy="4049965"/>
                    </a:xfrm>
                    <a:prstGeom prst="rect">
                      <a:avLst/>
                    </a:prstGeom>
                  </pic:spPr>
                </pic:pic>
              </a:graphicData>
            </a:graphic>
          </wp:inline>
        </w:drawing>
      </w:r>
    </w:p>
    <w:p w14:paraId="3B006B81" w14:textId="722EDF64" w:rsidR="00C43F98" w:rsidRDefault="00C43F98" w:rsidP="00A66B80">
      <w:pPr>
        <w:jc w:val="both"/>
        <w:rPr>
          <w:lang w:val="en-GB"/>
        </w:rPr>
      </w:pPr>
    </w:p>
    <w:p w14:paraId="0B3CF605" w14:textId="77777777" w:rsidR="00C43F98" w:rsidRPr="00224548" w:rsidRDefault="00C43F98" w:rsidP="00A66B80">
      <w:pPr>
        <w:jc w:val="both"/>
        <w:rPr>
          <w:lang w:val="en-GB"/>
        </w:rPr>
      </w:pPr>
    </w:p>
    <w:p w14:paraId="175E185C" w14:textId="3D0D70C1" w:rsidR="00626C7C" w:rsidRDefault="00A66B80" w:rsidP="00A66B80">
      <w:pPr>
        <w:spacing w:line="240" w:lineRule="atLeast"/>
        <w:jc w:val="center"/>
        <w:rPr>
          <w:lang w:val="en-GB" w:eastAsia="en-US"/>
        </w:rPr>
      </w:pPr>
      <w:r w:rsidRPr="00224548">
        <w:rPr>
          <w:lang w:val="en-GB" w:eastAsia="en-US"/>
        </w:rPr>
        <w:t>______________</w:t>
      </w:r>
    </w:p>
    <w:sectPr w:rsidR="00626C7C" w:rsidSect="00A73F4C">
      <w:headerReference w:type="even" r:id="rId13"/>
      <w:headerReference w:type="default" r:id="rId14"/>
      <w:footerReference w:type="even" r:id="rId15"/>
      <w:footerReference w:type="default" r:id="rId16"/>
      <w:headerReference w:type="first" r:id="rId17"/>
      <w:footnotePr>
        <w:pos w:val="beneathText"/>
      </w:footnotePr>
      <w:pgSz w:w="11905" w:h="16837" w:code="9"/>
      <w:pgMar w:top="1134" w:right="1699" w:bottom="1135" w:left="1701" w:header="567" w:footer="6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5C82" w14:textId="77777777" w:rsidR="00244C69" w:rsidRDefault="00244C69">
      <w:r>
        <w:separator/>
      </w:r>
    </w:p>
  </w:endnote>
  <w:endnote w:type="continuationSeparator" w:id="0">
    <w:p w14:paraId="4F33FF72" w14:textId="77777777" w:rsidR="00244C69" w:rsidRDefault="0024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8000" w14:textId="7CCEB3FA"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F98">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8115" w14:textId="77777777" w:rsidR="00244C69" w:rsidRDefault="00244C69">
      <w:r>
        <w:separator/>
      </w:r>
    </w:p>
  </w:footnote>
  <w:footnote w:type="continuationSeparator" w:id="0">
    <w:p w14:paraId="51BCC073" w14:textId="77777777" w:rsidR="00244C69" w:rsidRDefault="0024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D998" w14:textId="4BA92404" w:rsidR="003F69F7" w:rsidRDefault="003F69F7" w:rsidP="00C46BBD">
    <w:pPr>
      <w:pStyle w:val="Header"/>
      <w:ind w:left="567" w:hanging="567"/>
      <w:rPr>
        <w:lang w:val="fr-CH"/>
      </w:rPr>
    </w:pPr>
    <w:proofErr w:type="gramStart"/>
    <w:r>
      <w:rPr>
        <w:lang w:val="fr-CH"/>
      </w:rPr>
      <w:t>pa</w:t>
    </w:r>
    <w:r w:rsidRPr="00001E26">
      <w:rPr>
        <w:lang w:val="fr-CH"/>
      </w:rPr>
      <w:t>ge</w:t>
    </w:r>
    <w:proofErr w:type="gramEnd"/>
    <w:r w:rsidRPr="00001E26">
      <w:rPr>
        <w:lang w:val="fr-CH"/>
      </w:rPr>
      <w:t xml:space="preserve"> </w:t>
    </w:r>
    <w:r w:rsidRPr="00001E26">
      <w:rPr>
        <w:lang w:val="fr-CH"/>
      </w:rPr>
      <w:fldChar w:fldCharType="begin"/>
    </w:r>
    <w:r w:rsidRPr="00001E26">
      <w:rPr>
        <w:lang w:val="fr-CH"/>
      </w:rPr>
      <w:instrText xml:space="preserve"> PAGE </w:instrText>
    </w:r>
    <w:r w:rsidRPr="00001E26">
      <w:rPr>
        <w:lang w:val="fr-CH"/>
      </w:rPr>
      <w:fldChar w:fldCharType="separate"/>
    </w:r>
    <w:r w:rsidR="00BD4435">
      <w:rPr>
        <w:noProof/>
        <w:lang w:val="fr-CH"/>
      </w:rPr>
      <w:t>2</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253"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0" w:type="dxa"/>
      <w:tblLook w:val="0000" w:firstRow="0" w:lastRow="0" w:firstColumn="0" w:lastColumn="0" w:noHBand="0" w:noVBand="0"/>
    </w:tblPr>
    <w:tblGrid>
      <w:gridCol w:w="4253"/>
      <w:gridCol w:w="4677"/>
    </w:tblGrid>
    <w:tr w:rsidR="00A66B80" w:rsidRPr="0019781F" w14:paraId="035BBCB7" w14:textId="77777777" w:rsidTr="00DD33A7">
      <w:tc>
        <w:tcPr>
          <w:tcW w:w="4253" w:type="dxa"/>
        </w:tcPr>
        <w:p w14:paraId="3AAF3D93" w14:textId="40D1328A" w:rsidR="00A66B80" w:rsidRPr="00A95A96" w:rsidRDefault="00A66B80" w:rsidP="0067310B">
          <w:pPr>
            <w:pStyle w:val="Header"/>
            <w:rPr>
              <w:sz w:val="20"/>
              <w:szCs w:val="20"/>
              <w:lang w:val="en-GB"/>
            </w:rPr>
          </w:pPr>
          <w:r w:rsidRPr="00A95A96">
            <w:rPr>
              <w:sz w:val="20"/>
              <w:szCs w:val="20"/>
              <w:lang w:val="en-GB"/>
            </w:rPr>
            <w:t>Submitted by the</w:t>
          </w:r>
          <w:r>
            <w:rPr>
              <w:sz w:val="20"/>
              <w:szCs w:val="20"/>
              <w:lang w:val="en-GB"/>
            </w:rPr>
            <w:t xml:space="preserve"> experts from </w:t>
          </w:r>
          <w:r w:rsidR="0067310B">
            <w:rPr>
              <w:sz w:val="20"/>
              <w:szCs w:val="20"/>
              <w:lang w:val="en-GB"/>
            </w:rPr>
            <w:t>OICA</w:t>
          </w:r>
          <w:r w:rsidR="00DD33A7">
            <w:rPr>
              <w:sz w:val="20"/>
              <w:szCs w:val="20"/>
              <w:lang w:val="en-GB"/>
            </w:rPr>
            <w:t xml:space="preserve"> and CLEPA</w:t>
          </w:r>
        </w:p>
      </w:tc>
      <w:tc>
        <w:tcPr>
          <w:tcW w:w="4677" w:type="dxa"/>
        </w:tcPr>
        <w:p w14:paraId="6FD9F1D0" w14:textId="61215F96" w:rsidR="00A66B80" w:rsidRPr="00A95A96" w:rsidRDefault="00A66B80" w:rsidP="00DD33A7">
          <w:pPr>
            <w:ind w:left="1314"/>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2B158A">
            <w:rPr>
              <w:b/>
              <w:bCs/>
              <w:sz w:val="20"/>
              <w:szCs w:val="20"/>
              <w:lang w:val="en-GB"/>
            </w:rPr>
            <w:t>VA</w:t>
          </w:r>
          <w:r w:rsidRPr="00A95A96">
            <w:rPr>
              <w:b/>
              <w:bCs/>
              <w:sz w:val="20"/>
              <w:szCs w:val="20"/>
              <w:lang w:val="en-GB"/>
            </w:rPr>
            <w:t>-</w:t>
          </w:r>
          <w:r w:rsidR="002B158A">
            <w:rPr>
              <w:b/>
              <w:bCs/>
              <w:sz w:val="20"/>
              <w:szCs w:val="20"/>
              <w:lang w:val="en-GB"/>
            </w:rPr>
            <w:t>0</w:t>
          </w:r>
          <w:r w:rsidR="00DD33A7">
            <w:rPr>
              <w:b/>
              <w:bCs/>
              <w:sz w:val="20"/>
              <w:szCs w:val="20"/>
              <w:lang w:val="en-GB"/>
            </w:rPr>
            <w:t>9</w:t>
          </w:r>
          <w:r w:rsidRPr="00A95A96">
            <w:rPr>
              <w:b/>
              <w:bCs/>
              <w:sz w:val="20"/>
              <w:szCs w:val="20"/>
              <w:lang w:val="en-GB"/>
            </w:rPr>
            <w:t>-</w:t>
          </w:r>
          <w:r w:rsidR="000638F6">
            <w:rPr>
              <w:b/>
              <w:bCs/>
              <w:sz w:val="20"/>
              <w:szCs w:val="20"/>
              <w:lang w:val="en-GB"/>
            </w:rPr>
            <w:t>09</w:t>
          </w:r>
        </w:p>
        <w:p w14:paraId="0E2D8533" w14:textId="3C27894D" w:rsidR="00A66B80" w:rsidRPr="00A95A96" w:rsidRDefault="00DD33A7" w:rsidP="00DD33A7">
          <w:pPr>
            <w:pStyle w:val="Header"/>
            <w:ind w:left="1314"/>
            <w:rPr>
              <w:sz w:val="20"/>
              <w:szCs w:val="20"/>
              <w:lang w:val="en-GB"/>
            </w:rPr>
          </w:pPr>
          <w:r>
            <w:rPr>
              <w:sz w:val="20"/>
              <w:szCs w:val="20"/>
              <w:lang w:val="en-GB"/>
            </w:rPr>
            <w:t>9</w:t>
          </w:r>
          <w:r w:rsidR="00A66B80" w:rsidRPr="00C93567">
            <w:rPr>
              <w:sz w:val="20"/>
              <w:szCs w:val="20"/>
              <w:lang w:val="en-GB"/>
            </w:rPr>
            <w:t>th</w:t>
          </w:r>
          <w:r w:rsidR="00A66B80" w:rsidRPr="00A95A96">
            <w:rPr>
              <w:sz w:val="20"/>
              <w:szCs w:val="20"/>
              <w:lang w:val="en-GB"/>
            </w:rPr>
            <w:t xml:space="preserve"> GR</w:t>
          </w:r>
          <w:r w:rsidR="002B158A">
            <w:rPr>
              <w:sz w:val="20"/>
              <w:szCs w:val="20"/>
              <w:lang w:val="en-GB"/>
            </w:rPr>
            <w:t>VA</w:t>
          </w:r>
          <w:r w:rsidR="00A66B80" w:rsidRPr="00A95A96">
            <w:rPr>
              <w:sz w:val="20"/>
              <w:szCs w:val="20"/>
              <w:lang w:val="en-GB"/>
            </w:rPr>
            <w:t xml:space="preserve">, </w:t>
          </w:r>
          <w:r>
            <w:rPr>
              <w:sz w:val="20"/>
              <w:szCs w:val="20"/>
              <w:lang w:val="en-GB"/>
            </w:rPr>
            <w:t>1</w:t>
          </w:r>
          <w:r w:rsidR="0067310B">
            <w:rPr>
              <w:sz w:val="20"/>
              <w:szCs w:val="20"/>
              <w:lang w:val="en-GB"/>
            </w:rPr>
            <w:t>-5 February 2021</w:t>
          </w:r>
          <w:r w:rsidR="007B46FB">
            <w:rPr>
              <w:sz w:val="20"/>
              <w:szCs w:val="20"/>
              <w:lang w:val="en-GB"/>
            </w:rPr>
            <w:t xml:space="preserve">, </w:t>
          </w:r>
          <w:r w:rsidR="00120C31">
            <w:rPr>
              <w:sz w:val="20"/>
              <w:szCs w:val="20"/>
              <w:lang w:val="en-GB"/>
            </w:rPr>
            <w:br/>
          </w:r>
          <w:r w:rsidR="00A66B80" w:rsidRPr="00A95A96">
            <w:rPr>
              <w:sz w:val="20"/>
              <w:szCs w:val="20"/>
              <w:lang w:val="en-GB"/>
            </w:rPr>
            <w:t xml:space="preserve">Agenda item </w:t>
          </w:r>
          <w:r>
            <w:rPr>
              <w:sz w:val="20"/>
              <w:szCs w:val="20"/>
              <w:lang w:val="en-GB"/>
            </w:rPr>
            <w:t>4 (d)</w:t>
          </w:r>
        </w:p>
      </w:tc>
    </w:tr>
  </w:tbl>
  <w:p w14:paraId="7C4F8D6A" w14:textId="77777777" w:rsidR="00A66B80" w:rsidRPr="00DD33A7" w:rsidRDefault="00A66B8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16"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17"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0"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1"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0"/>
  </w:num>
  <w:num w:numId="5">
    <w:abstractNumId w:val="27"/>
  </w:num>
  <w:num w:numId="6">
    <w:abstractNumId w:val="4"/>
  </w:num>
  <w:num w:numId="7">
    <w:abstractNumId w:val="13"/>
  </w:num>
  <w:num w:numId="8">
    <w:abstractNumId w:val="7"/>
  </w:num>
  <w:num w:numId="9">
    <w:abstractNumId w:val="5"/>
  </w:num>
  <w:num w:numId="10">
    <w:abstractNumId w:val="8"/>
  </w:num>
  <w:num w:numId="11">
    <w:abstractNumId w:val="6"/>
  </w:num>
  <w:num w:numId="12">
    <w:abstractNumId w:val="14"/>
  </w:num>
  <w:num w:numId="13">
    <w:abstractNumId w:val="3"/>
  </w:num>
  <w:num w:numId="14">
    <w:abstractNumId w:val="24"/>
  </w:num>
  <w:num w:numId="15">
    <w:abstractNumId w:val="18"/>
  </w:num>
  <w:num w:numId="16">
    <w:abstractNumId w:val="21"/>
  </w:num>
  <w:num w:numId="17">
    <w:abstractNumId w:val="19"/>
  </w:num>
  <w:num w:numId="18">
    <w:abstractNumId w:val="12"/>
  </w:num>
  <w:num w:numId="19">
    <w:abstractNumId w:val="17"/>
  </w:num>
  <w:num w:numId="20">
    <w:abstractNumId w:val="22"/>
  </w:num>
  <w:num w:numId="21">
    <w:abstractNumId w:val="11"/>
  </w:num>
  <w:num w:numId="22">
    <w:abstractNumId w:val="9"/>
  </w:num>
  <w:num w:numId="23">
    <w:abstractNumId w:val="10"/>
  </w:num>
  <w:num w:numId="24">
    <w:abstractNumId w:val="25"/>
  </w:num>
  <w:num w:numId="25">
    <w:abstractNumId w:val="26"/>
  </w:num>
  <w:num w:numId="26">
    <w:abstractNumId w:val="16"/>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10C6A"/>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38F6"/>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78B6"/>
    <w:rsid w:val="00107974"/>
    <w:rsid w:val="001111C3"/>
    <w:rsid w:val="0012023F"/>
    <w:rsid w:val="00120C31"/>
    <w:rsid w:val="00123098"/>
    <w:rsid w:val="00125426"/>
    <w:rsid w:val="001322AE"/>
    <w:rsid w:val="0013336B"/>
    <w:rsid w:val="00136437"/>
    <w:rsid w:val="00137ACC"/>
    <w:rsid w:val="00140B59"/>
    <w:rsid w:val="00144004"/>
    <w:rsid w:val="001469B8"/>
    <w:rsid w:val="00147968"/>
    <w:rsid w:val="001512A0"/>
    <w:rsid w:val="00152788"/>
    <w:rsid w:val="00155851"/>
    <w:rsid w:val="00161215"/>
    <w:rsid w:val="00162435"/>
    <w:rsid w:val="00170088"/>
    <w:rsid w:val="00170411"/>
    <w:rsid w:val="00182285"/>
    <w:rsid w:val="001848B1"/>
    <w:rsid w:val="00193FC5"/>
    <w:rsid w:val="00194019"/>
    <w:rsid w:val="00194951"/>
    <w:rsid w:val="00197771"/>
    <w:rsid w:val="0019781F"/>
    <w:rsid w:val="001A2E4E"/>
    <w:rsid w:val="001A56E1"/>
    <w:rsid w:val="001B02CA"/>
    <w:rsid w:val="001B3CC4"/>
    <w:rsid w:val="001B7582"/>
    <w:rsid w:val="001B75B6"/>
    <w:rsid w:val="001B7B4F"/>
    <w:rsid w:val="001C1015"/>
    <w:rsid w:val="001D131D"/>
    <w:rsid w:val="001D2149"/>
    <w:rsid w:val="001D2E01"/>
    <w:rsid w:val="001E0059"/>
    <w:rsid w:val="001E1A51"/>
    <w:rsid w:val="001E38C7"/>
    <w:rsid w:val="001E3F85"/>
    <w:rsid w:val="001E56AA"/>
    <w:rsid w:val="001E653E"/>
    <w:rsid w:val="00212202"/>
    <w:rsid w:val="0022125F"/>
    <w:rsid w:val="00224548"/>
    <w:rsid w:val="00224D5A"/>
    <w:rsid w:val="002277BD"/>
    <w:rsid w:val="00230E7E"/>
    <w:rsid w:val="00232C41"/>
    <w:rsid w:val="00232C46"/>
    <w:rsid w:val="00233D81"/>
    <w:rsid w:val="00244C69"/>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4A96"/>
    <w:rsid w:val="002852DE"/>
    <w:rsid w:val="002928D5"/>
    <w:rsid w:val="002A035D"/>
    <w:rsid w:val="002A2C3B"/>
    <w:rsid w:val="002A4B07"/>
    <w:rsid w:val="002A65C7"/>
    <w:rsid w:val="002A6C04"/>
    <w:rsid w:val="002B10F9"/>
    <w:rsid w:val="002B158A"/>
    <w:rsid w:val="002B1665"/>
    <w:rsid w:val="002B4EBC"/>
    <w:rsid w:val="002C3A4E"/>
    <w:rsid w:val="002C4B89"/>
    <w:rsid w:val="002C5CD4"/>
    <w:rsid w:val="002D290D"/>
    <w:rsid w:val="002D5863"/>
    <w:rsid w:val="002E32FD"/>
    <w:rsid w:val="002E3D9C"/>
    <w:rsid w:val="002E46EB"/>
    <w:rsid w:val="002F0049"/>
    <w:rsid w:val="002F2FA0"/>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3676B"/>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84331"/>
    <w:rsid w:val="003970A5"/>
    <w:rsid w:val="003A089F"/>
    <w:rsid w:val="003A1AE8"/>
    <w:rsid w:val="003B3712"/>
    <w:rsid w:val="003B6106"/>
    <w:rsid w:val="003B7E96"/>
    <w:rsid w:val="003C1BBD"/>
    <w:rsid w:val="003C2029"/>
    <w:rsid w:val="003C6078"/>
    <w:rsid w:val="003D01D8"/>
    <w:rsid w:val="003D4D20"/>
    <w:rsid w:val="003E3A4C"/>
    <w:rsid w:val="003E6B23"/>
    <w:rsid w:val="003E7DF1"/>
    <w:rsid w:val="003F50B9"/>
    <w:rsid w:val="003F574C"/>
    <w:rsid w:val="003F69F7"/>
    <w:rsid w:val="003F7593"/>
    <w:rsid w:val="003F78D7"/>
    <w:rsid w:val="003F7B21"/>
    <w:rsid w:val="00400E0E"/>
    <w:rsid w:val="00404BE3"/>
    <w:rsid w:val="00411359"/>
    <w:rsid w:val="004129B6"/>
    <w:rsid w:val="00415C22"/>
    <w:rsid w:val="00416394"/>
    <w:rsid w:val="004173B9"/>
    <w:rsid w:val="00417DDC"/>
    <w:rsid w:val="00420DD1"/>
    <w:rsid w:val="00423762"/>
    <w:rsid w:val="004239A9"/>
    <w:rsid w:val="0042492E"/>
    <w:rsid w:val="00432CC6"/>
    <w:rsid w:val="0043429D"/>
    <w:rsid w:val="00437575"/>
    <w:rsid w:val="00437B2F"/>
    <w:rsid w:val="00441C95"/>
    <w:rsid w:val="00444B6B"/>
    <w:rsid w:val="00444D70"/>
    <w:rsid w:val="00444F03"/>
    <w:rsid w:val="0044709F"/>
    <w:rsid w:val="004474B8"/>
    <w:rsid w:val="004504AC"/>
    <w:rsid w:val="00452EAA"/>
    <w:rsid w:val="00456EB7"/>
    <w:rsid w:val="004637F5"/>
    <w:rsid w:val="00475961"/>
    <w:rsid w:val="00481FA0"/>
    <w:rsid w:val="00481FD0"/>
    <w:rsid w:val="00482A16"/>
    <w:rsid w:val="00486322"/>
    <w:rsid w:val="00487629"/>
    <w:rsid w:val="0049049B"/>
    <w:rsid w:val="004911B5"/>
    <w:rsid w:val="00491659"/>
    <w:rsid w:val="00493048"/>
    <w:rsid w:val="00495E43"/>
    <w:rsid w:val="0049742A"/>
    <w:rsid w:val="004A272B"/>
    <w:rsid w:val="004A7A6D"/>
    <w:rsid w:val="004B18C3"/>
    <w:rsid w:val="004B252D"/>
    <w:rsid w:val="004C1309"/>
    <w:rsid w:val="004C5FBD"/>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2C80"/>
    <w:rsid w:val="005338B6"/>
    <w:rsid w:val="00534213"/>
    <w:rsid w:val="00534329"/>
    <w:rsid w:val="00534578"/>
    <w:rsid w:val="00534DB9"/>
    <w:rsid w:val="005417DF"/>
    <w:rsid w:val="005527A2"/>
    <w:rsid w:val="00557BF6"/>
    <w:rsid w:val="005622E6"/>
    <w:rsid w:val="0056562D"/>
    <w:rsid w:val="00567122"/>
    <w:rsid w:val="00567C71"/>
    <w:rsid w:val="005705C2"/>
    <w:rsid w:val="005748FC"/>
    <w:rsid w:val="00576233"/>
    <w:rsid w:val="005775B0"/>
    <w:rsid w:val="00580D29"/>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716A"/>
    <w:rsid w:val="005B03C0"/>
    <w:rsid w:val="005B6123"/>
    <w:rsid w:val="005B62B9"/>
    <w:rsid w:val="005D4206"/>
    <w:rsid w:val="005D484A"/>
    <w:rsid w:val="005E31CA"/>
    <w:rsid w:val="005E53D3"/>
    <w:rsid w:val="005F209F"/>
    <w:rsid w:val="005F2445"/>
    <w:rsid w:val="005F3064"/>
    <w:rsid w:val="005F35B5"/>
    <w:rsid w:val="005F37F8"/>
    <w:rsid w:val="005F7697"/>
    <w:rsid w:val="005F7ECB"/>
    <w:rsid w:val="00602033"/>
    <w:rsid w:val="00605C17"/>
    <w:rsid w:val="006110A8"/>
    <w:rsid w:val="0061147B"/>
    <w:rsid w:val="006158F8"/>
    <w:rsid w:val="00615A51"/>
    <w:rsid w:val="00620D33"/>
    <w:rsid w:val="00621FA4"/>
    <w:rsid w:val="00626C7C"/>
    <w:rsid w:val="00627F8B"/>
    <w:rsid w:val="00632B77"/>
    <w:rsid w:val="00636865"/>
    <w:rsid w:val="00637EBA"/>
    <w:rsid w:val="00657377"/>
    <w:rsid w:val="00663708"/>
    <w:rsid w:val="006653E5"/>
    <w:rsid w:val="0067310B"/>
    <w:rsid w:val="006742F2"/>
    <w:rsid w:val="0067604A"/>
    <w:rsid w:val="0067697C"/>
    <w:rsid w:val="0068778F"/>
    <w:rsid w:val="006930A7"/>
    <w:rsid w:val="00695CDE"/>
    <w:rsid w:val="006A468C"/>
    <w:rsid w:val="006A522A"/>
    <w:rsid w:val="006A6045"/>
    <w:rsid w:val="006A6AEF"/>
    <w:rsid w:val="006A73A1"/>
    <w:rsid w:val="006B18D3"/>
    <w:rsid w:val="006C480E"/>
    <w:rsid w:val="006D098C"/>
    <w:rsid w:val="006D0D04"/>
    <w:rsid w:val="006D1D02"/>
    <w:rsid w:val="006D5DCB"/>
    <w:rsid w:val="006D7606"/>
    <w:rsid w:val="006E11C1"/>
    <w:rsid w:val="006F06DE"/>
    <w:rsid w:val="006F21DC"/>
    <w:rsid w:val="006F6A7F"/>
    <w:rsid w:val="006F7FFA"/>
    <w:rsid w:val="007001D4"/>
    <w:rsid w:val="00703915"/>
    <w:rsid w:val="007040B4"/>
    <w:rsid w:val="007112DA"/>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60025"/>
    <w:rsid w:val="007619CB"/>
    <w:rsid w:val="00762F5B"/>
    <w:rsid w:val="00767E89"/>
    <w:rsid w:val="0077566C"/>
    <w:rsid w:val="0077682E"/>
    <w:rsid w:val="007775A2"/>
    <w:rsid w:val="00780BE1"/>
    <w:rsid w:val="00782057"/>
    <w:rsid w:val="00783C92"/>
    <w:rsid w:val="00790F47"/>
    <w:rsid w:val="00791F6E"/>
    <w:rsid w:val="007930F8"/>
    <w:rsid w:val="007933B7"/>
    <w:rsid w:val="007947D6"/>
    <w:rsid w:val="00794A96"/>
    <w:rsid w:val="00796E35"/>
    <w:rsid w:val="007A0FFA"/>
    <w:rsid w:val="007A3671"/>
    <w:rsid w:val="007A410D"/>
    <w:rsid w:val="007A5B10"/>
    <w:rsid w:val="007B46FB"/>
    <w:rsid w:val="007B5AF5"/>
    <w:rsid w:val="007B7DFD"/>
    <w:rsid w:val="007C6A2B"/>
    <w:rsid w:val="007D4F7D"/>
    <w:rsid w:val="007D57FE"/>
    <w:rsid w:val="007D5F5F"/>
    <w:rsid w:val="007D62A9"/>
    <w:rsid w:val="007D7FBB"/>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87A"/>
    <w:rsid w:val="00870EFA"/>
    <w:rsid w:val="0087551C"/>
    <w:rsid w:val="00877F90"/>
    <w:rsid w:val="00885090"/>
    <w:rsid w:val="008877AA"/>
    <w:rsid w:val="00890032"/>
    <w:rsid w:val="008921A6"/>
    <w:rsid w:val="0089378F"/>
    <w:rsid w:val="0089447B"/>
    <w:rsid w:val="008A5622"/>
    <w:rsid w:val="008B3E61"/>
    <w:rsid w:val="008C0CFC"/>
    <w:rsid w:val="008D1FEF"/>
    <w:rsid w:val="008D6031"/>
    <w:rsid w:val="008D6A1E"/>
    <w:rsid w:val="008D7EF1"/>
    <w:rsid w:val="008F52A2"/>
    <w:rsid w:val="008F5AC7"/>
    <w:rsid w:val="008F76BE"/>
    <w:rsid w:val="009040D1"/>
    <w:rsid w:val="00911492"/>
    <w:rsid w:val="00912D70"/>
    <w:rsid w:val="00917636"/>
    <w:rsid w:val="009221F9"/>
    <w:rsid w:val="0092301D"/>
    <w:rsid w:val="00926CEC"/>
    <w:rsid w:val="00927452"/>
    <w:rsid w:val="0092779B"/>
    <w:rsid w:val="009328E7"/>
    <w:rsid w:val="00932976"/>
    <w:rsid w:val="0093586E"/>
    <w:rsid w:val="0094158B"/>
    <w:rsid w:val="00941A60"/>
    <w:rsid w:val="009437DD"/>
    <w:rsid w:val="00944900"/>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AD0"/>
    <w:rsid w:val="009D4D02"/>
    <w:rsid w:val="009D5EE0"/>
    <w:rsid w:val="009E0E47"/>
    <w:rsid w:val="009E2EFD"/>
    <w:rsid w:val="009E76EC"/>
    <w:rsid w:val="009F16CA"/>
    <w:rsid w:val="009F1C85"/>
    <w:rsid w:val="009F65E7"/>
    <w:rsid w:val="00A0031F"/>
    <w:rsid w:val="00A079BD"/>
    <w:rsid w:val="00A11368"/>
    <w:rsid w:val="00A149BC"/>
    <w:rsid w:val="00A1550E"/>
    <w:rsid w:val="00A17476"/>
    <w:rsid w:val="00A202DD"/>
    <w:rsid w:val="00A32DA9"/>
    <w:rsid w:val="00A33DB1"/>
    <w:rsid w:val="00A40852"/>
    <w:rsid w:val="00A50B2B"/>
    <w:rsid w:val="00A50C99"/>
    <w:rsid w:val="00A57EF4"/>
    <w:rsid w:val="00A61BE2"/>
    <w:rsid w:val="00A62BA9"/>
    <w:rsid w:val="00A63CDE"/>
    <w:rsid w:val="00A66B80"/>
    <w:rsid w:val="00A72994"/>
    <w:rsid w:val="00A73F4C"/>
    <w:rsid w:val="00A741FE"/>
    <w:rsid w:val="00A74AE7"/>
    <w:rsid w:val="00A84682"/>
    <w:rsid w:val="00A855F3"/>
    <w:rsid w:val="00A864BA"/>
    <w:rsid w:val="00A86D82"/>
    <w:rsid w:val="00A90BC5"/>
    <w:rsid w:val="00A91060"/>
    <w:rsid w:val="00A914AA"/>
    <w:rsid w:val="00A94A9A"/>
    <w:rsid w:val="00A95A96"/>
    <w:rsid w:val="00A96B20"/>
    <w:rsid w:val="00AA438B"/>
    <w:rsid w:val="00AA57E1"/>
    <w:rsid w:val="00AB1066"/>
    <w:rsid w:val="00AB4F8F"/>
    <w:rsid w:val="00AB6BA5"/>
    <w:rsid w:val="00AC2A03"/>
    <w:rsid w:val="00AC3561"/>
    <w:rsid w:val="00AC4A16"/>
    <w:rsid w:val="00AD3678"/>
    <w:rsid w:val="00AE0561"/>
    <w:rsid w:val="00AE43CD"/>
    <w:rsid w:val="00AE5082"/>
    <w:rsid w:val="00AE5D9E"/>
    <w:rsid w:val="00AF541E"/>
    <w:rsid w:val="00AF7934"/>
    <w:rsid w:val="00B031BD"/>
    <w:rsid w:val="00B03A34"/>
    <w:rsid w:val="00B04B88"/>
    <w:rsid w:val="00B07174"/>
    <w:rsid w:val="00B24692"/>
    <w:rsid w:val="00B33DFD"/>
    <w:rsid w:val="00B35ADB"/>
    <w:rsid w:val="00B3700F"/>
    <w:rsid w:val="00B37796"/>
    <w:rsid w:val="00B4699E"/>
    <w:rsid w:val="00B51BD9"/>
    <w:rsid w:val="00B52183"/>
    <w:rsid w:val="00B6190A"/>
    <w:rsid w:val="00B64E0D"/>
    <w:rsid w:val="00B66D63"/>
    <w:rsid w:val="00B731C0"/>
    <w:rsid w:val="00B76B02"/>
    <w:rsid w:val="00B81F76"/>
    <w:rsid w:val="00B8309D"/>
    <w:rsid w:val="00B8365C"/>
    <w:rsid w:val="00B83CD4"/>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435"/>
    <w:rsid w:val="00BD461D"/>
    <w:rsid w:val="00BD5C8F"/>
    <w:rsid w:val="00BE1CD6"/>
    <w:rsid w:val="00BE6446"/>
    <w:rsid w:val="00BF3FA0"/>
    <w:rsid w:val="00BF4E10"/>
    <w:rsid w:val="00BF4FDD"/>
    <w:rsid w:val="00BF5816"/>
    <w:rsid w:val="00BF6D67"/>
    <w:rsid w:val="00C02321"/>
    <w:rsid w:val="00C023D3"/>
    <w:rsid w:val="00C03B07"/>
    <w:rsid w:val="00C03CC4"/>
    <w:rsid w:val="00C16E16"/>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3766"/>
    <w:rsid w:val="00C53C53"/>
    <w:rsid w:val="00C5416F"/>
    <w:rsid w:val="00C614AD"/>
    <w:rsid w:val="00C62FB4"/>
    <w:rsid w:val="00C637AA"/>
    <w:rsid w:val="00C72734"/>
    <w:rsid w:val="00C756A5"/>
    <w:rsid w:val="00C7680A"/>
    <w:rsid w:val="00C80D86"/>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BAB"/>
    <w:rsid w:val="00CD489E"/>
    <w:rsid w:val="00CD5508"/>
    <w:rsid w:val="00CE7323"/>
    <w:rsid w:val="00CF1285"/>
    <w:rsid w:val="00CF506C"/>
    <w:rsid w:val="00D016F8"/>
    <w:rsid w:val="00D02E19"/>
    <w:rsid w:val="00D0384E"/>
    <w:rsid w:val="00D05082"/>
    <w:rsid w:val="00D1213B"/>
    <w:rsid w:val="00D12925"/>
    <w:rsid w:val="00D14E45"/>
    <w:rsid w:val="00D2011B"/>
    <w:rsid w:val="00D20A40"/>
    <w:rsid w:val="00D22A70"/>
    <w:rsid w:val="00D25B18"/>
    <w:rsid w:val="00D342AA"/>
    <w:rsid w:val="00D35AE0"/>
    <w:rsid w:val="00D40822"/>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3A7"/>
    <w:rsid w:val="00DD36A5"/>
    <w:rsid w:val="00DD472C"/>
    <w:rsid w:val="00DD6AC1"/>
    <w:rsid w:val="00DE5D2D"/>
    <w:rsid w:val="00DF3539"/>
    <w:rsid w:val="00DF56D2"/>
    <w:rsid w:val="00DF5836"/>
    <w:rsid w:val="00DF6EA4"/>
    <w:rsid w:val="00E00DDB"/>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50180"/>
    <w:rsid w:val="00E51ED0"/>
    <w:rsid w:val="00E53337"/>
    <w:rsid w:val="00E5335C"/>
    <w:rsid w:val="00E562CB"/>
    <w:rsid w:val="00E5795B"/>
    <w:rsid w:val="00E579FF"/>
    <w:rsid w:val="00E7520C"/>
    <w:rsid w:val="00E754A7"/>
    <w:rsid w:val="00E759E9"/>
    <w:rsid w:val="00E81451"/>
    <w:rsid w:val="00E815BF"/>
    <w:rsid w:val="00E819E3"/>
    <w:rsid w:val="00E8279F"/>
    <w:rsid w:val="00E84AA3"/>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D7674"/>
    <w:rsid w:val="00EE3470"/>
    <w:rsid w:val="00EE7436"/>
    <w:rsid w:val="00EF124F"/>
    <w:rsid w:val="00EF2CC5"/>
    <w:rsid w:val="00EF3830"/>
    <w:rsid w:val="00EF50B1"/>
    <w:rsid w:val="00EF60E6"/>
    <w:rsid w:val="00F0017C"/>
    <w:rsid w:val="00F047C1"/>
    <w:rsid w:val="00F052E0"/>
    <w:rsid w:val="00F06DAD"/>
    <w:rsid w:val="00F07B07"/>
    <w:rsid w:val="00F11314"/>
    <w:rsid w:val="00F12567"/>
    <w:rsid w:val="00F16AB6"/>
    <w:rsid w:val="00F213A7"/>
    <w:rsid w:val="00F22262"/>
    <w:rsid w:val="00F25961"/>
    <w:rsid w:val="00F27FFA"/>
    <w:rsid w:val="00F32C8B"/>
    <w:rsid w:val="00F3784E"/>
    <w:rsid w:val="00F41D56"/>
    <w:rsid w:val="00F426B5"/>
    <w:rsid w:val="00F42F88"/>
    <w:rsid w:val="00F43728"/>
    <w:rsid w:val="00F501D8"/>
    <w:rsid w:val="00F50CBD"/>
    <w:rsid w:val="00F5239F"/>
    <w:rsid w:val="00F54136"/>
    <w:rsid w:val="00F560B0"/>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D1CF9"/>
    <w:rsid w:val="00FD258D"/>
    <w:rsid w:val="00FD273F"/>
    <w:rsid w:val="00FD6745"/>
    <w:rsid w:val="00FD7A13"/>
    <w:rsid w:val="00FE1388"/>
    <w:rsid w:val="00FE1DD4"/>
    <w:rsid w:val="00FE2196"/>
    <w:rsid w:val="00FE508C"/>
    <w:rsid w:val="00FE521A"/>
    <w:rsid w:val="00FF016B"/>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 w:type="character" w:customStyle="1" w:styleId="SingleTxtGChar">
    <w:name w:val="_ Single Txt_G Char"/>
    <w:basedOn w:val="DefaultParagraphFont"/>
    <w:link w:val="SingleTxtG"/>
    <w:qFormat/>
    <w:rsid w:val="001A2E4E"/>
    <w:rPr>
      <w:lang w:val="fr-CH" w:eastAsia="en-US"/>
    </w:rPr>
  </w:style>
  <w:style w:type="character" w:customStyle="1" w:styleId="FootnoteTextChar">
    <w:name w:val="Footnote Text Char"/>
    <w:aliases w:val="5_G Char,PP Char"/>
    <w:link w:val="FootnoteText"/>
    <w:rsid w:val="00A61B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20/wp29grva/ECE-TRANS-WP29-GRVA-2021-06e.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doc/2020/wp29grva/ECE-TRANS-WP29-GRVA-2021-17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ce.org/fileadmin/DAM/trans/doc/2020/wp29grva/ECE-TRANS-WP29-GRVA-2021-06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fileadmin/DAM/trans/doc/2020/wp29grva/ECE-TRANS-WP29-GRVA-2021-17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02C5-A278-4CFE-98A6-4431DF09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519</Words>
  <Characters>2996</Characters>
  <Application>Microsoft Office Word</Application>
  <DocSecurity>0</DocSecurity>
  <Lines>68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Dear Mr</vt:lpstr>
      <vt:lpstr>Dear Mr</vt:lpstr>
    </vt:vector>
  </TitlesOfParts>
  <Company>НАМИ</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UNECE</cp:lastModifiedBy>
  <cp:revision>12</cp:revision>
  <cp:lastPrinted>2018-09-24T12:22:00Z</cp:lastPrinted>
  <dcterms:created xsi:type="dcterms:W3CDTF">2021-01-20T13:40:00Z</dcterms:created>
  <dcterms:modified xsi:type="dcterms:W3CDTF">2021-01-22T20:51:00Z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