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7E046102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D6641F">
              <w:t>3</w:t>
            </w:r>
            <w:r w:rsidR="005A4173">
              <w:t>8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75E38117" w:rsidR="00772D17" w:rsidRDefault="005A47B9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7D65EB1B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</w:t>
      </w:r>
      <w:r w:rsidR="005A4173">
        <w:t>1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788AA72B" w:rsidR="00772D17" w:rsidRDefault="00772D17" w:rsidP="004E5688">
      <w:pPr>
        <w:pStyle w:val="HChG"/>
      </w:pPr>
      <w:r>
        <w:tab/>
      </w:r>
      <w:r>
        <w:tab/>
      </w:r>
      <w:r w:rsidR="0046028D">
        <w:rPr>
          <w:lang w:val="en-US"/>
        </w:rPr>
        <w:t xml:space="preserve">Proposal for </w:t>
      </w:r>
      <w:r w:rsidR="0046028D" w:rsidRPr="0046028D">
        <w:t>Supplement 10 to the 01 series of amendments to UN Regulation No. 98 (Headlamps with gas-discharge light sources)</w:t>
      </w:r>
      <w:r w:rsidR="004E5688">
        <w:t xml:space="preserve"> </w:t>
      </w:r>
    </w:p>
    <w:p w14:paraId="2BB7AAA3" w14:textId="44EF032C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1" w:name="_Hlk58837629"/>
      <w:r w:rsidR="007F09AE">
        <w:rPr>
          <w:szCs w:val="24"/>
        </w:rPr>
        <w:t>Lighting and Light-Signalling</w:t>
      </w:r>
      <w:bookmarkEnd w:id="1"/>
      <w:r w:rsidR="00DB276D" w:rsidRPr="005A47B9">
        <w:rPr>
          <w:rStyle w:val="FootnoteReference"/>
          <w:sz w:val="20"/>
          <w:vertAlign w:val="baseline"/>
        </w:rPr>
        <w:footnoteReference w:customMarkFollows="1" w:id="2"/>
        <w:t>*</w:t>
      </w:r>
      <w:r w:rsidR="005A47B9">
        <w:rPr>
          <w:sz w:val="20"/>
        </w:rPr>
        <w:t xml:space="preserve">, </w:t>
      </w:r>
      <w:r w:rsidR="005A47B9" w:rsidRPr="005A47B9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1A40A864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12D19">
        <w:rPr>
          <w:lang w:val="en-US"/>
        </w:rPr>
        <w:t>4</w:t>
      </w:r>
      <w:r w:rsidR="00736671">
        <w:rPr>
          <w:lang w:val="en-US"/>
        </w:rPr>
        <w:t>2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AC535A" w:rsidRPr="00D8369B">
        <w:rPr>
          <w:lang w:val="en-US"/>
        </w:rPr>
        <w:t>ECE/TRANS/WP.29/GRE/2020/</w:t>
      </w:r>
      <w:r w:rsidR="00736671">
        <w:rPr>
          <w:lang w:val="en-US"/>
        </w:rPr>
        <w:t>1</w:t>
      </w:r>
      <w:r w:rsidR="00B24482">
        <w:rPr>
          <w:lang w:val="en-US"/>
        </w:rPr>
        <w:t>1</w:t>
      </w:r>
      <w:r w:rsidR="00736671">
        <w:rPr>
          <w:lang w:val="en-US"/>
        </w:rPr>
        <w:t>/Rev.1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343E0BD" w14:textId="77777777" w:rsidR="00565987" w:rsidRPr="00B21989" w:rsidRDefault="00565987" w:rsidP="0056598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lastRenderedPageBreak/>
        <w:t>Paragraph 6.2.5.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1E1188D5" w14:textId="5935FCED" w:rsidR="00565987" w:rsidRDefault="005A47B9" w:rsidP="00565987">
      <w:pPr>
        <w:pStyle w:val="SingleTxtG"/>
        <w:ind w:left="2268" w:hanging="1134"/>
      </w:pPr>
      <w:r>
        <w:t>"</w:t>
      </w:r>
      <w:r w:rsidR="00565987" w:rsidRPr="00525578">
        <w:t>6.2.5.</w:t>
      </w:r>
      <w:r w:rsidR="00565987" w:rsidRPr="00525578">
        <w:tab/>
        <w:t>After more than 10 minutes after ignition the luminous intensities at the test points referred to in the table below and in Annex 3</w:t>
      </w:r>
      <w:r w:rsidR="00565987">
        <w:t>,</w:t>
      </w:r>
      <w:r w:rsidR="00565987" w:rsidRPr="00525578">
        <w:t xml:space="preserve"> </w:t>
      </w:r>
      <w:r w:rsidR="00565987">
        <w:t>F</w:t>
      </w:r>
      <w:r w:rsidR="00565987" w:rsidRPr="00525578">
        <w:t>igure B (or mirrored about the VV line for left-hand traffic) shall meet the following requirements: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439"/>
        <w:gridCol w:w="1045"/>
      </w:tblGrid>
      <w:tr w:rsidR="00565987" w:rsidRPr="005A47B9" w14:paraId="4D38F92D" w14:textId="77777777" w:rsidTr="006F1CCE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21BB0283" w14:textId="77777777" w:rsidR="00565987" w:rsidRPr="005A47B9" w:rsidRDefault="00565987" w:rsidP="005A47B9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en-US"/>
              </w:rPr>
              <w:br w:type="page"/>
            </w:r>
            <w:r w:rsidRPr="005A47B9">
              <w:rPr>
                <w:i/>
                <w:sz w:val="16"/>
                <w:szCs w:val="16"/>
                <w:lang w:val="fr-FR"/>
              </w:rPr>
              <w:t>Points or segments</w:t>
            </w:r>
          </w:p>
        </w:tc>
        <w:tc>
          <w:tcPr>
            <w:tcW w:w="2899" w:type="dxa"/>
            <w:vMerge w:val="restart"/>
            <w:shd w:val="clear" w:color="000000" w:fill="auto"/>
            <w:vAlign w:val="bottom"/>
          </w:tcPr>
          <w:p w14:paraId="1E5C18BC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Designation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4E2DA02A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Luminous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intensity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 xml:space="preserve"> (cd)</w:t>
            </w:r>
          </w:p>
        </w:tc>
        <w:tc>
          <w:tcPr>
            <w:tcW w:w="1439" w:type="dxa"/>
            <w:vMerge w:val="restart"/>
            <w:shd w:val="clear" w:color="000000" w:fill="auto"/>
            <w:vAlign w:val="bottom"/>
          </w:tcPr>
          <w:p w14:paraId="47664A1E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Horizontal angle (</w:t>
            </w: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045" w:type="dxa"/>
            <w:vMerge w:val="restart"/>
            <w:shd w:val="clear" w:color="000000" w:fill="auto"/>
            <w:vAlign w:val="bottom"/>
          </w:tcPr>
          <w:p w14:paraId="3A363917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Vertical angle (</w:t>
            </w:r>
            <w:proofErr w:type="spellStart"/>
            <w:r w:rsidRPr="005A47B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5A47B9">
              <w:rPr>
                <w:i/>
                <w:sz w:val="16"/>
                <w:szCs w:val="16"/>
                <w:lang w:val="fr-FR"/>
              </w:rPr>
              <w:t>)</w:t>
            </w:r>
          </w:p>
        </w:tc>
      </w:tr>
      <w:tr w:rsidR="00565987" w:rsidRPr="005A47B9" w14:paraId="026E6DE4" w14:textId="77777777" w:rsidTr="006F1CCE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1DBC1AAD" w14:textId="77777777" w:rsidR="00565987" w:rsidRPr="005A47B9" w:rsidRDefault="00565987" w:rsidP="005A47B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899" w:type="dxa"/>
            <w:vMerge/>
            <w:shd w:val="clear" w:color="000000" w:fill="auto"/>
            <w:vAlign w:val="bottom"/>
          </w:tcPr>
          <w:p w14:paraId="545824D4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489CBE1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55F6209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5A47B9">
              <w:rPr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439" w:type="dxa"/>
            <w:vMerge/>
            <w:shd w:val="clear" w:color="000000" w:fill="auto"/>
            <w:vAlign w:val="bottom"/>
          </w:tcPr>
          <w:p w14:paraId="7740D14D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1045" w:type="dxa"/>
            <w:vMerge/>
            <w:shd w:val="clear" w:color="000000" w:fill="auto"/>
            <w:vAlign w:val="bottom"/>
          </w:tcPr>
          <w:p w14:paraId="0CAA759B" w14:textId="77777777" w:rsidR="00565987" w:rsidRPr="005A47B9" w:rsidRDefault="00565987" w:rsidP="005A47B9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565987" w:rsidRPr="00ED6495" w14:paraId="226FF4C3" w14:textId="77777777" w:rsidTr="006F1CCE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565987" w:rsidRPr="00ED6495" w14:paraId="3CF9C219" w14:textId="77777777" w:rsidTr="006F1CCE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17A683E" w14:textId="77777777" w:rsidR="00565987" w:rsidRPr="0039580F" w:rsidRDefault="00565987" w:rsidP="006F1CCE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9580F">
                    <w:rPr>
                      <w:sz w:val="16"/>
                      <w:szCs w:val="16"/>
                      <w:lang w:val="en-US"/>
                    </w:rPr>
                    <w:t>Any point in zone A</w:t>
                  </w:r>
                </w:p>
                <w:p w14:paraId="2FFDF702" w14:textId="77777777" w:rsidR="00565987" w:rsidRPr="004262FA" w:rsidRDefault="00565987" w:rsidP="006F1CCE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4262FA">
                    <w:rPr>
                      <w:sz w:val="16"/>
                      <w:szCs w:val="16"/>
                      <w:lang w:val="en-US"/>
                    </w:rPr>
                    <w:t>(bounded by the following coordinates in degrees)</w:t>
                  </w:r>
                </w:p>
              </w:tc>
            </w:tr>
            <w:tr w:rsidR="00565987" w:rsidRPr="00ED6495" w14:paraId="246F18CE" w14:textId="77777777" w:rsidTr="006F1CC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97FFAA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37FAA4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975646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D5761A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207F8A" w14:textId="77777777" w:rsidR="00565987" w:rsidRPr="005139F5" w:rsidRDefault="00565987" w:rsidP="006F1CC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C99E88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D3B999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83F588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565987" w:rsidRPr="00ED6495" w14:paraId="50A62EF0" w14:textId="77777777" w:rsidTr="006F1CC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176BBB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8CB70D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5770EB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93E9AB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784086" w14:textId="77777777" w:rsidR="00565987" w:rsidRPr="005139F5" w:rsidRDefault="00565987" w:rsidP="006F1CC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505B2E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C6A8FD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4DAB02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14:paraId="12638468" w14:textId="77777777" w:rsidR="00565987" w:rsidRPr="00ED6495" w:rsidRDefault="00565987" w:rsidP="006F1CCE">
            <w:pPr>
              <w:spacing w:before="20" w:after="20" w:line="22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EDB4DBF" w14:textId="77777777" w:rsidR="00565987" w:rsidRPr="007D3FD9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7D3FD9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0E424233" w14:textId="77777777" w:rsidR="00565987" w:rsidRPr="00ED6495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1EF25FA4" w14:textId="77777777" w:rsidR="00565987" w:rsidRPr="00ED6495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045" w:type="dxa"/>
            <w:shd w:val="clear" w:color="000000" w:fill="auto"/>
            <w:vAlign w:val="bottom"/>
          </w:tcPr>
          <w:p w14:paraId="534BEA7F" w14:textId="77777777" w:rsidR="00565987" w:rsidRPr="00ED6495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565987" w:rsidRPr="00ED6495" w14:paraId="57789F73" w14:textId="77777777" w:rsidTr="006F1CCE">
        <w:tc>
          <w:tcPr>
            <w:tcW w:w="1793" w:type="dxa"/>
            <w:shd w:val="clear" w:color="000000" w:fill="auto"/>
          </w:tcPr>
          <w:p w14:paraId="3C0DA286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220C5A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E4C2CE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B637673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1C4269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D086E3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65987" w:rsidRPr="00ED6495" w14:paraId="07F301C7" w14:textId="77777777" w:rsidTr="006F1CCE">
        <w:tc>
          <w:tcPr>
            <w:tcW w:w="1793" w:type="dxa"/>
            <w:shd w:val="clear" w:color="000000" w:fill="auto"/>
          </w:tcPr>
          <w:p w14:paraId="4989E175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99B27C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053160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E80DE9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0E8FF3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945E5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U</w:t>
            </w:r>
          </w:p>
        </w:tc>
      </w:tr>
      <w:tr w:rsidR="00565987" w:rsidRPr="00ED6495" w14:paraId="7E651D5A" w14:textId="77777777" w:rsidTr="006F1CCE">
        <w:tc>
          <w:tcPr>
            <w:tcW w:w="1793" w:type="dxa"/>
            <w:shd w:val="clear" w:color="000000" w:fill="auto"/>
          </w:tcPr>
          <w:p w14:paraId="1097D330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B8D8C2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046014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8AC674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902B7C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85134D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D</w:t>
            </w:r>
          </w:p>
        </w:tc>
      </w:tr>
      <w:tr w:rsidR="00565987" w:rsidRPr="00ED6495" w14:paraId="5BF1B5F5" w14:textId="77777777" w:rsidTr="006F1CCE">
        <w:tc>
          <w:tcPr>
            <w:tcW w:w="1793" w:type="dxa"/>
            <w:shd w:val="clear" w:color="000000" w:fill="auto"/>
          </w:tcPr>
          <w:p w14:paraId="08241290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AE8E45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38DE3FC" w14:textId="77777777" w:rsidR="00565987" w:rsidRPr="009778DD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9778DD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9778DD">
              <w:rPr>
                <w:bCs/>
                <w:sz w:val="18"/>
                <w:szCs w:val="18"/>
                <w:lang w:val="fr-FR"/>
              </w:rPr>
              <w:t>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56FFB8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410969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B6D520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1B097E4F" w14:textId="77777777" w:rsidTr="006F1CCE">
        <w:tc>
          <w:tcPr>
            <w:tcW w:w="1793" w:type="dxa"/>
            <w:shd w:val="clear" w:color="000000" w:fill="auto"/>
          </w:tcPr>
          <w:p w14:paraId="62DE4DF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56123D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A9C52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5DFD4A4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591748D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D52C2D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5CDB0647" w14:textId="77777777" w:rsidTr="006F1CCE">
        <w:tc>
          <w:tcPr>
            <w:tcW w:w="1793" w:type="dxa"/>
            <w:shd w:val="clear" w:color="000000" w:fill="auto"/>
          </w:tcPr>
          <w:p w14:paraId="563F6C3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A26AFA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92D6C5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EA1204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7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661827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D5F9B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0D11727C" w14:textId="77777777" w:rsidTr="006F1CCE">
        <w:tc>
          <w:tcPr>
            <w:tcW w:w="1793" w:type="dxa"/>
            <w:shd w:val="clear" w:color="000000" w:fill="auto"/>
          </w:tcPr>
          <w:p w14:paraId="598CAF3A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52B315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50FC3D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8D82F8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8A2FDA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FEA5D7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4E0FCA0C" w14:textId="77777777" w:rsidTr="006F1CCE">
        <w:tc>
          <w:tcPr>
            <w:tcW w:w="1793" w:type="dxa"/>
            <w:shd w:val="clear" w:color="000000" w:fill="auto"/>
          </w:tcPr>
          <w:p w14:paraId="7161AC13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135B7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0A9137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15D76C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9A29E5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EA2291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31479FA4" w14:textId="77777777" w:rsidTr="006F1CCE">
        <w:tc>
          <w:tcPr>
            <w:tcW w:w="1793" w:type="dxa"/>
            <w:shd w:val="clear" w:color="000000" w:fill="auto"/>
          </w:tcPr>
          <w:p w14:paraId="4EC71503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67DE81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73D5F3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87ACF4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A6E616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79CB13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22F98145" w14:textId="77777777" w:rsidTr="006F1CCE">
        <w:tc>
          <w:tcPr>
            <w:tcW w:w="1793" w:type="dxa"/>
            <w:shd w:val="clear" w:color="000000" w:fill="auto"/>
          </w:tcPr>
          <w:p w14:paraId="23C41871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4EA73E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16E32E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BA284C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4CDACF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171BA0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66B08F0C" w14:textId="77777777" w:rsidTr="006F1CCE">
        <w:tc>
          <w:tcPr>
            <w:tcW w:w="1793" w:type="dxa"/>
            <w:shd w:val="clear" w:color="000000" w:fill="auto"/>
          </w:tcPr>
          <w:p w14:paraId="58E103CA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5B406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6C2E8C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E6975C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ED76E4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9AEEC6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5D280330" w14:textId="77777777" w:rsidTr="006F1CCE">
        <w:tc>
          <w:tcPr>
            <w:tcW w:w="1793" w:type="dxa"/>
            <w:shd w:val="clear" w:color="000000" w:fill="auto"/>
          </w:tcPr>
          <w:p w14:paraId="1E6CB8D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FB14A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530AC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ED1472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DA3EC3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4A9477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29E6E02A" w14:textId="77777777" w:rsidTr="006F1CCE">
        <w:tc>
          <w:tcPr>
            <w:tcW w:w="1793" w:type="dxa"/>
            <w:shd w:val="clear" w:color="000000" w:fill="auto"/>
          </w:tcPr>
          <w:p w14:paraId="630F298B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7B9A2E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7AC010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CAFC2A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DCB767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18C2EA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34A723CA" w14:textId="77777777" w:rsidTr="006F1CCE">
        <w:tc>
          <w:tcPr>
            <w:tcW w:w="1793" w:type="dxa"/>
            <w:shd w:val="clear" w:color="000000" w:fill="auto"/>
          </w:tcPr>
          <w:p w14:paraId="19326BEC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E630D3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78FE873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79718F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AA55B2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4A5B89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65987" w:rsidRPr="00ED6495" w14:paraId="1CDA0A26" w14:textId="77777777" w:rsidTr="006F1CCE">
        <w:tc>
          <w:tcPr>
            <w:tcW w:w="1793" w:type="dxa"/>
            <w:shd w:val="clear" w:color="000000" w:fill="auto"/>
          </w:tcPr>
          <w:p w14:paraId="0B14D94C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9E0F51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626CA2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925CB0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9EAA05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916DAF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65987" w:rsidRPr="00ED6495" w14:paraId="7C12C1AC" w14:textId="77777777" w:rsidTr="006F1CCE">
        <w:tc>
          <w:tcPr>
            <w:tcW w:w="1793" w:type="dxa"/>
            <w:shd w:val="clear" w:color="000000" w:fill="auto"/>
          </w:tcPr>
          <w:p w14:paraId="73C408ED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29763F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4E3860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798847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11EBA9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2E9529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65987" w:rsidRPr="00ED6495" w14:paraId="652D9C60" w14:textId="77777777" w:rsidTr="006F1CCE">
        <w:tc>
          <w:tcPr>
            <w:tcW w:w="1793" w:type="dxa"/>
            <w:shd w:val="clear" w:color="000000" w:fill="auto"/>
          </w:tcPr>
          <w:p w14:paraId="769CDAB1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A7EB833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A6D7F2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5B2DF8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A36A71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DB433A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65987" w:rsidRPr="00ED6495" w14:paraId="595819AE" w14:textId="77777777" w:rsidTr="006F1CCE">
        <w:tc>
          <w:tcPr>
            <w:tcW w:w="1793" w:type="dxa"/>
            <w:shd w:val="clear" w:color="000000" w:fill="auto"/>
          </w:tcPr>
          <w:p w14:paraId="21D4F681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2016E5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BF37B7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6D3647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6C2CFF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AB1FD8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65987" w:rsidRPr="00ED6495" w14:paraId="1CC80D12" w14:textId="77777777" w:rsidTr="006F1CCE">
        <w:tc>
          <w:tcPr>
            <w:tcW w:w="1793" w:type="dxa"/>
            <w:shd w:val="clear" w:color="000000" w:fill="auto"/>
          </w:tcPr>
          <w:p w14:paraId="23DE08CC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80432C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741BFC3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0A8A01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012EDA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34AC7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65987" w:rsidRPr="00ED6495" w14:paraId="0901F467" w14:textId="77777777" w:rsidTr="006F1CCE">
        <w:tc>
          <w:tcPr>
            <w:tcW w:w="1793" w:type="dxa"/>
            <w:shd w:val="clear" w:color="000000" w:fill="auto"/>
          </w:tcPr>
          <w:p w14:paraId="41AA30D9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920CF5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ABF4CF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7F986E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ABA76C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E6BCF7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65987" w:rsidRPr="00ED6495" w14:paraId="54838C1B" w14:textId="77777777" w:rsidTr="006F1CCE">
        <w:tc>
          <w:tcPr>
            <w:tcW w:w="1793" w:type="dxa"/>
            <w:shd w:val="clear" w:color="000000" w:fill="auto"/>
          </w:tcPr>
          <w:p w14:paraId="2B09B88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EF829B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1645CA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243DF2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0D44BD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B6D207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65987" w:rsidRPr="00ED6495" w14:paraId="65146BB6" w14:textId="77777777" w:rsidTr="006F1CCE">
        <w:tc>
          <w:tcPr>
            <w:tcW w:w="1793" w:type="dxa"/>
            <w:shd w:val="clear" w:color="000000" w:fill="auto"/>
          </w:tcPr>
          <w:p w14:paraId="55A2CE6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A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1D478FD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F3277A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E23F65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4AD35F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15 L </w:t>
            </w:r>
            <w:r>
              <w:rPr>
                <w:bCs/>
                <w:sz w:val="18"/>
                <w:szCs w:val="18"/>
                <w:lang w:val="fr-FR"/>
              </w:rPr>
              <w:t>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3FB91C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1492EA05" w14:textId="77777777" w:rsidTr="006F1CCE">
        <w:tc>
          <w:tcPr>
            <w:tcW w:w="1793" w:type="dxa"/>
            <w:shd w:val="clear" w:color="000000" w:fill="auto"/>
          </w:tcPr>
          <w:p w14:paraId="5B751EF3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7313774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76293B8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6DE64F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CD4425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60262B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565987" w:rsidRPr="00ED6495" w14:paraId="10422376" w14:textId="77777777" w:rsidTr="006F1CCE">
        <w:tc>
          <w:tcPr>
            <w:tcW w:w="1793" w:type="dxa"/>
            <w:shd w:val="clear" w:color="000000" w:fill="auto"/>
          </w:tcPr>
          <w:p w14:paraId="632870DF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17EF78D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Segment III </w:t>
            </w:r>
            <w:r>
              <w:rPr>
                <w:sz w:val="18"/>
                <w:szCs w:val="18"/>
                <w:lang w:val="fr-FR"/>
              </w:rPr>
              <w:t xml:space="preserve">and </w:t>
            </w:r>
            <w:proofErr w:type="spellStart"/>
            <w:r>
              <w:rPr>
                <w:sz w:val="18"/>
                <w:szCs w:val="18"/>
                <w:lang w:val="fr-FR"/>
              </w:rPr>
              <w:t>under</w:t>
            </w:r>
            <w:proofErr w:type="spellEnd"/>
          </w:p>
        </w:tc>
        <w:tc>
          <w:tcPr>
            <w:tcW w:w="638" w:type="dxa"/>
            <w:shd w:val="clear" w:color="000000" w:fill="auto"/>
            <w:vAlign w:val="bottom"/>
          </w:tcPr>
          <w:p w14:paraId="1EEB9C3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FD4A21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2B5B9B2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37 L</w:t>
            </w:r>
            <w:r>
              <w:rPr>
                <w:bCs/>
                <w:sz w:val="18"/>
                <w:szCs w:val="18"/>
                <w:lang w:val="fr-FR"/>
              </w:rPr>
              <w:t xml:space="preserve"> 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8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53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45C33F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29 D</w:t>
            </w:r>
          </w:p>
        </w:tc>
      </w:tr>
      <w:tr w:rsidR="00565987" w:rsidRPr="00ED6495" w14:paraId="015EFD85" w14:textId="77777777" w:rsidTr="00565987">
        <w:tc>
          <w:tcPr>
            <w:tcW w:w="1793" w:type="dxa"/>
            <w:tcBorders>
              <w:bottom w:val="single" w:sz="2" w:space="0" w:color="auto"/>
            </w:tcBorders>
            <w:shd w:val="clear" w:color="000000" w:fill="auto"/>
          </w:tcPr>
          <w:p w14:paraId="5457173E" w14:textId="77777777" w:rsidR="00565987" w:rsidRPr="00ED6495" w:rsidRDefault="00565987" w:rsidP="006F1CC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C239A43" w14:textId="28CFE557" w:rsidR="00565987" w:rsidRPr="00565987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R</w:t>
            </w: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6CE1D60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EDCB4A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640AD935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Right of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0F3BBA19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Above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br/>
              <w:t>1.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1FAD2A68" w14:textId="77777777" w:rsidTr="00565987">
        <w:tc>
          <w:tcPr>
            <w:tcW w:w="1793" w:type="dxa"/>
            <w:tcBorders>
              <w:bottom w:val="single" w:sz="12" w:space="0" w:color="auto"/>
            </w:tcBorders>
            <w:shd w:val="clear" w:color="000000" w:fill="auto"/>
          </w:tcPr>
          <w:p w14:paraId="34307FC7" w14:textId="77777777" w:rsidR="00565987" w:rsidRPr="00ED6495" w:rsidRDefault="00565987" w:rsidP="006F1CC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3A2D26E" w14:textId="2C60D826" w:rsidR="00565987" w:rsidRPr="00565987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L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86FA2D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300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DC6B7D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B88AE77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Left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of </w:t>
            </w:r>
            <w:r w:rsidRPr="00ED6495">
              <w:rPr>
                <w:bCs/>
                <w:sz w:val="18"/>
                <w:szCs w:val="18"/>
                <w:lang w:val="fr-FR"/>
              </w:rPr>
              <w:t>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599FDD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14:paraId="51409BD1" w14:textId="77777777" w:rsidR="00565987" w:rsidRPr="002B45F6" w:rsidRDefault="00565987" w:rsidP="00565987">
      <w:pPr>
        <w:pStyle w:val="SingleTxtG"/>
        <w:spacing w:after="0" w:line="220" w:lineRule="atLeast"/>
        <w:rPr>
          <w:sz w:val="18"/>
          <w:szCs w:val="18"/>
          <w:lang w:val="fr-FR"/>
        </w:rPr>
      </w:pPr>
      <w:r w:rsidRPr="00741ED7">
        <w:rPr>
          <w:i/>
          <w:sz w:val="18"/>
          <w:szCs w:val="18"/>
          <w:lang w:val="fr-FR"/>
        </w:rPr>
        <w:t xml:space="preserve">Note:  </w:t>
      </w:r>
      <w:r w:rsidRPr="002B45F6">
        <w:rPr>
          <w:sz w:val="18"/>
          <w:szCs w:val="18"/>
          <w:lang w:val="fr-FR"/>
        </w:rPr>
        <w:t>In the table:</w:t>
      </w:r>
    </w:p>
    <w:p w14:paraId="36A67811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L means that the point or segment is located on the left of VV line.</w:t>
      </w:r>
    </w:p>
    <w:p w14:paraId="2B590788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R means that the point or segment is located on the right of VV line.</w:t>
      </w:r>
    </w:p>
    <w:p w14:paraId="1182C0B4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U means the point or segment is located above HH line.</w:t>
      </w:r>
    </w:p>
    <w:p w14:paraId="60277A21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D means the point or segment is located below HH line</w:t>
      </w:r>
    </w:p>
    <w:p w14:paraId="65851B6D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</w:t>
      </w:r>
      <w:r w:rsidRPr="004262FA">
        <w:rPr>
          <w:sz w:val="18"/>
          <w:szCs w:val="18"/>
          <w:lang w:val="en-US"/>
        </w:rPr>
        <w:tab/>
        <w:t>The luminous intensities at points 14 through 19 shall be such that:</w:t>
      </w:r>
      <w:r w:rsidRPr="004262FA">
        <w:rPr>
          <w:sz w:val="18"/>
          <w:szCs w:val="18"/>
          <w:lang w:val="en-US"/>
        </w:rPr>
        <w:br/>
        <w:t xml:space="preserve">     </w:t>
      </w:r>
      <w:r w:rsidRPr="004262FA">
        <w:rPr>
          <w:sz w:val="18"/>
          <w:szCs w:val="18"/>
          <w:lang w:val="en-US"/>
        </w:rPr>
        <w:tab/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190 cd and</w:t>
      </w:r>
    </w:p>
    <w:p w14:paraId="3E7A23D4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 xml:space="preserve">     </w:t>
      </w:r>
      <w:r w:rsidRPr="004262FA">
        <w:rPr>
          <w:sz w:val="18"/>
          <w:szCs w:val="18"/>
          <w:lang w:val="en-US"/>
        </w:rPr>
        <w:tab/>
        <w:t xml:space="preserve">17 + 18 + 19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375 cd.</w:t>
      </w:r>
      <w:r w:rsidRPr="004262FA" w:rsidDel="00FB64FF">
        <w:rPr>
          <w:sz w:val="18"/>
          <w:szCs w:val="18"/>
          <w:lang w:val="en-US"/>
        </w:rPr>
        <w:t xml:space="preserve"> </w:t>
      </w:r>
    </w:p>
    <w:p w14:paraId="6EBD3FD3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**</w:t>
      </w:r>
      <w:r w:rsidRPr="004262FA">
        <w:rPr>
          <w:sz w:val="18"/>
          <w:szCs w:val="18"/>
          <w:lang w:val="en-US"/>
        </w:rPr>
        <w:tab/>
        <w:t>For left-hand traffic, the letter R shall be replaced by letter L and vice versa.</w:t>
      </w:r>
    </w:p>
    <w:p w14:paraId="6D466A40" w14:textId="26BFDD2B" w:rsidR="00565987" w:rsidRDefault="00565987" w:rsidP="00565987">
      <w:pPr>
        <w:pStyle w:val="StyleSingleTxtGLeft2cmHanging206cm"/>
        <w:ind w:left="1134" w:firstLine="0"/>
        <w:jc w:val="left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…</w:t>
      </w:r>
      <w:r w:rsidR="005A47B9">
        <w:rPr>
          <w:rFonts w:asciiTheme="majorBidi" w:hAnsiTheme="majorBidi" w:cstheme="majorBidi"/>
          <w:sz w:val="22"/>
          <w:szCs w:val="22"/>
        </w:rPr>
        <w:t>"</w:t>
      </w:r>
    </w:p>
    <w:p w14:paraId="0F076334" w14:textId="7D45108B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6C05" w14:textId="77777777" w:rsidR="00F06AD5" w:rsidRDefault="00F06AD5"/>
  </w:endnote>
  <w:endnote w:type="continuationSeparator" w:id="0">
    <w:p w14:paraId="345562EC" w14:textId="77777777" w:rsidR="00F06AD5" w:rsidRDefault="00F06AD5"/>
  </w:endnote>
  <w:endnote w:type="continuationNotice" w:id="1">
    <w:p w14:paraId="5F54E72E" w14:textId="77777777" w:rsidR="00F06AD5" w:rsidRDefault="00F06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B1C6" w14:textId="1C91F258" w:rsidR="00620B32" w:rsidRDefault="00620B32" w:rsidP="00620B3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31C685" wp14:editId="4D99B3C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DDC8" w14:textId="29591D0E" w:rsidR="00620B32" w:rsidRPr="00620B32" w:rsidRDefault="00620B32" w:rsidP="00620B32">
    <w:pPr>
      <w:pStyle w:val="Footer"/>
      <w:ind w:right="1134"/>
      <w:rPr>
        <w:sz w:val="20"/>
      </w:rPr>
    </w:pPr>
    <w:r>
      <w:rPr>
        <w:sz w:val="20"/>
      </w:rPr>
      <w:t>GE.20-17351(E)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8E6400" wp14:editId="365119B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00CF" w14:textId="77777777" w:rsidR="00F06AD5" w:rsidRPr="000B175B" w:rsidRDefault="00F06A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D34D10" w14:textId="77777777" w:rsidR="00F06AD5" w:rsidRPr="00FC68B7" w:rsidRDefault="00F06A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A1F227" w14:textId="77777777" w:rsidR="00F06AD5" w:rsidRDefault="00F06AD5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5A47B9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20598814" w14:textId="0D13126F" w:rsidR="005A47B9" w:rsidRPr="005A47B9" w:rsidRDefault="005A47B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5A47B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5A47B9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471CE8C8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D6641F">
      <w:t>3</w:t>
    </w:r>
    <w:r w:rsidR="005A4173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1ACB80B0" w:rsidR="00772D17" w:rsidRPr="0046028D" w:rsidRDefault="00772D17" w:rsidP="00772D17">
    <w:pPr>
      <w:pStyle w:val="Header"/>
      <w:jc w:val="right"/>
      <w:rPr>
        <w:lang w:val="ru-RU"/>
      </w:rPr>
    </w:pPr>
    <w:r>
      <w:t>ECE/TRANS/WP.29/202</w:t>
    </w:r>
    <w:r w:rsidR="00EE5A92">
      <w:t>1</w:t>
    </w:r>
    <w:r>
      <w:t>/</w:t>
    </w:r>
    <w:r w:rsidR="009B75EA">
      <w:t>3</w:t>
    </w:r>
    <w:r w:rsidR="005A4173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32DB"/>
    <w:rsid w:val="000F7715"/>
    <w:rsid w:val="00142D12"/>
    <w:rsid w:val="00156B99"/>
    <w:rsid w:val="00166124"/>
    <w:rsid w:val="00184DDA"/>
    <w:rsid w:val="001900CD"/>
    <w:rsid w:val="001934B9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ED7"/>
    <w:rsid w:val="0033582E"/>
    <w:rsid w:val="00336C97"/>
    <w:rsid w:val="00337F88"/>
    <w:rsid w:val="00342432"/>
    <w:rsid w:val="0035223F"/>
    <w:rsid w:val="00352D4B"/>
    <w:rsid w:val="0035638C"/>
    <w:rsid w:val="0036190D"/>
    <w:rsid w:val="00366DBA"/>
    <w:rsid w:val="00367E20"/>
    <w:rsid w:val="00367EAB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E278A"/>
    <w:rsid w:val="003F72AC"/>
    <w:rsid w:val="0040132E"/>
    <w:rsid w:val="0040352C"/>
    <w:rsid w:val="00413520"/>
    <w:rsid w:val="004325CB"/>
    <w:rsid w:val="00440A07"/>
    <w:rsid w:val="00441124"/>
    <w:rsid w:val="0046028D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2D19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65987"/>
    <w:rsid w:val="00580878"/>
    <w:rsid w:val="00584173"/>
    <w:rsid w:val="00595520"/>
    <w:rsid w:val="005A2AC0"/>
    <w:rsid w:val="005A4173"/>
    <w:rsid w:val="005A44B9"/>
    <w:rsid w:val="005A47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20B32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671"/>
    <w:rsid w:val="00736ECE"/>
    <w:rsid w:val="0074533B"/>
    <w:rsid w:val="007643BC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26C3A"/>
    <w:rsid w:val="00926E47"/>
    <w:rsid w:val="00947162"/>
    <w:rsid w:val="0095264C"/>
    <w:rsid w:val="00953BEF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65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A04"/>
    <w:rsid w:val="00C978F5"/>
    <w:rsid w:val="00CA24A4"/>
    <w:rsid w:val="00CA5481"/>
    <w:rsid w:val="00CB348D"/>
    <w:rsid w:val="00CC1BFD"/>
    <w:rsid w:val="00CC4515"/>
    <w:rsid w:val="00CD46F5"/>
    <w:rsid w:val="00CE37EC"/>
    <w:rsid w:val="00CE4A8F"/>
    <w:rsid w:val="00CF071D"/>
    <w:rsid w:val="00D0123D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06AD5"/>
    <w:rsid w:val="00F21786"/>
    <w:rsid w:val="00F25D06"/>
    <w:rsid w:val="00F31CFF"/>
    <w:rsid w:val="00F3742B"/>
    <w:rsid w:val="00F41FDB"/>
    <w:rsid w:val="00F50597"/>
    <w:rsid w:val="00F56D63"/>
    <w:rsid w:val="00F609A9"/>
    <w:rsid w:val="00F670CB"/>
    <w:rsid w:val="00F80C99"/>
    <w:rsid w:val="00F867EC"/>
    <w:rsid w:val="00F91B2B"/>
    <w:rsid w:val="00FC03CD"/>
    <w:rsid w:val="00FC0646"/>
    <w:rsid w:val="00FC68B7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65987"/>
    <w:pPr>
      <w:ind w:left="2268" w:hanging="1134"/>
    </w:pPr>
    <w:rPr>
      <w:lang w:eastAsia="en-US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6598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47B10-E770-47B4-9286-9804880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2108</Characters>
  <Application>Microsoft Office Word</Application>
  <DocSecurity>0</DocSecurity>
  <Lines>239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ECE/TRANS/WP.29/2021/38</dc:title>
  <dc:subject>2017351</dc:subject>
  <dc:creator>Lucille</dc:creator>
  <cp:keywords/>
  <dc:description/>
  <cp:lastModifiedBy>Edna KAY</cp:lastModifiedBy>
  <cp:revision>2</cp:revision>
  <cp:lastPrinted>2009-02-18T09:36:00Z</cp:lastPrinted>
  <dcterms:created xsi:type="dcterms:W3CDTF">2020-12-18T10:25:00Z</dcterms:created>
  <dcterms:modified xsi:type="dcterms:W3CDTF">2020-12-18T10:25:00Z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