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228A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228A9" w:rsidP="00A228A9">
            <w:pPr>
              <w:jc w:val="right"/>
            </w:pPr>
            <w:r w:rsidRPr="00A228A9">
              <w:rPr>
                <w:sz w:val="40"/>
              </w:rPr>
              <w:t>ECE</w:t>
            </w:r>
            <w:r>
              <w:t>/TRANS/WP.29/2021/37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228A9" w:rsidP="00C97039">
            <w:pPr>
              <w:spacing w:before="240"/>
            </w:pPr>
            <w:r>
              <w:t>Distr. générale</w:t>
            </w:r>
          </w:p>
          <w:p w:rsidR="00A228A9" w:rsidRDefault="00A228A9" w:rsidP="00A228A9">
            <w:pPr>
              <w:spacing w:line="240" w:lineRule="exact"/>
            </w:pPr>
            <w:r>
              <w:t>18 décembre 2020</w:t>
            </w:r>
          </w:p>
          <w:p w:rsidR="00A228A9" w:rsidRDefault="00A228A9" w:rsidP="00A228A9">
            <w:pPr>
              <w:spacing w:line="240" w:lineRule="exact"/>
            </w:pPr>
            <w:r>
              <w:t>Français</w:t>
            </w:r>
          </w:p>
          <w:p w:rsidR="00A228A9" w:rsidRPr="00DB58B5" w:rsidRDefault="00A228A9" w:rsidP="00A228A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228A9" w:rsidRDefault="00A228A9" w:rsidP="00A228A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228A9" w:rsidRDefault="00A228A9" w:rsidP="00A228A9">
      <w:pPr>
        <w:spacing w:before="120" w:line="240" w:lineRule="exact"/>
        <w:rPr>
          <w:b/>
        </w:rPr>
      </w:pPr>
      <w:r>
        <w:rPr>
          <w:b/>
        </w:rPr>
        <w:t>183</w:t>
      </w:r>
      <w:r w:rsidRPr="003854E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A228A9" w:rsidRDefault="00A228A9" w:rsidP="00A228A9">
      <w:pPr>
        <w:spacing w:line="240" w:lineRule="exact"/>
      </w:pPr>
      <w:r>
        <w:t xml:space="preserve">Genève, </w:t>
      </w:r>
      <w:r w:rsidRPr="004A7B5E">
        <w:t>9-11 mars 2021</w:t>
      </w:r>
    </w:p>
    <w:p w:rsidR="00A228A9" w:rsidRDefault="00A228A9" w:rsidP="00A228A9">
      <w:pPr>
        <w:spacing w:line="240" w:lineRule="exact"/>
      </w:pPr>
      <w:r>
        <w:t>Point </w:t>
      </w:r>
      <w:r w:rsidRPr="00B2709A">
        <w:t>4.9.10</w:t>
      </w:r>
      <w:r w:rsidR="00CE585D">
        <w:t xml:space="preserve"> </w:t>
      </w:r>
      <w:r>
        <w:t>de l’ordre du jour provisoire</w:t>
      </w:r>
    </w:p>
    <w:p w:rsidR="00F9573C" w:rsidRPr="00415D05" w:rsidRDefault="00A228A9" w:rsidP="00415D05">
      <w:pPr>
        <w:rPr>
          <w:b/>
          <w:bCs/>
          <w:lang w:val="fr-FR"/>
        </w:rPr>
      </w:pPr>
      <w:r w:rsidRPr="006529AF">
        <w:rPr>
          <w:b/>
          <w:bCs/>
          <w:lang w:val="fr-FR"/>
        </w:rPr>
        <w:t xml:space="preserve">Accord de 1958 : Examen de projets d’amendements </w:t>
      </w:r>
      <w:r w:rsidR="00415D05">
        <w:rPr>
          <w:b/>
          <w:bCs/>
          <w:lang w:val="fr-FR"/>
        </w:rPr>
        <w:br/>
      </w:r>
      <w:r w:rsidRPr="00415D05">
        <w:rPr>
          <w:b/>
          <w:bCs/>
          <w:lang w:val="fr-FR"/>
        </w:rPr>
        <w:t>à des Règlements ONU existants, soumis par le GRE</w:t>
      </w:r>
    </w:p>
    <w:p w:rsidR="00A228A9" w:rsidRPr="00EF0C47" w:rsidRDefault="00A228A9" w:rsidP="00A228A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F0C47">
        <w:rPr>
          <w:lang w:val="fr-FR"/>
        </w:rPr>
        <w:t xml:space="preserve">Proposition de complément </w:t>
      </w:r>
      <w:r>
        <w:rPr>
          <w:lang w:val="fr-FR"/>
        </w:rPr>
        <w:t xml:space="preserve">3 </w:t>
      </w:r>
      <w:r w:rsidRPr="00EF0C47">
        <w:rPr>
          <w:lang w:val="fr-FR"/>
        </w:rPr>
        <w:t>à la série</w:t>
      </w:r>
      <w:r>
        <w:rPr>
          <w:lang w:val="fr-FR"/>
        </w:rPr>
        <w:t> </w:t>
      </w:r>
      <w:r w:rsidRPr="00EF0C47">
        <w:rPr>
          <w:lang w:val="fr-FR"/>
        </w:rPr>
        <w:t>01 d</w:t>
      </w:r>
      <w:r>
        <w:rPr>
          <w:lang w:val="fr-FR"/>
        </w:rPr>
        <w:t>’</w:t>
      </w:r>
      <w:r w:rsidRPr="00EF0C47">
        <w:rPr>
          <w:lang w:val="fr-FR"/>
        </w:rPr>
        <w:t>amendements</w:t>
      </w:r>
      <w:r>
        <w:rPr>
          <w:lang w:val="fr-FR"/>
        </w:rPr>
        <w:t> </w:t>
      </w:r>
      <w:r w:rsidRPr="00EF0C47">
        <w:rPr>
          <w:lang w:val="fr-FR"/>
        </w:rPr>
        <w:t>au</w:t>
      </w:r>
      <w:r>
        <w:rPr>
          <w:lang w:val="fr-FR"/>
        </w:rPr>
        <w:t> </w:t>
      </w:r>
      <w:r w:rsidRPr="00EF0C47">
        <w:rPr>
          <w:lang w:val="fr-FR"/>
        </w:rPr>
        <w:t xml:space="preserve">Règlement ONU </w:t>
      </w:r>
      <w:r>
        <w:rPr>
          <w:lang w:val="fr-FR"/>
        </w:rPr>
        <w:t>n</w:t>
      </w:r>
      <w:r w:rsidRPr="00E900F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F0C47">
        <w:rPr>
          <w:lang w:val="fr-FR"/>
        </w:rPr>
        <w:t>86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1400C8">
        <w:rPr>
          <w:lang w:val="fr-FR"/>
        </w:rPr>
        <w:t xml:space="preserve">(Installation des dispositifs d’éclairage et </w:t>
      </w:r>
      <w:r>
        <w:rPr>
          <w:lang w:val="fr-FR"/>
        </w:rPr>
        <w:br/>
      </w:r>
      <w:r w:rsidRPr="001400C8">
        <w:rPr>
          <w:lang w:val="fr-FR"/>
        </w:rPr>
        <w:t xml:space="preserve">de signalisation lumineuse des véhicules </w:t>
      </w:r>
      <w:r>
        <w:rPr>
          <w:lang w:val="fr-FR"/>
        </w:rPr>
        <w:br/>
      </w:r>
      <w:r w:rsidRPr="001400C8">
        <w:rPr>
          <w:lang w:val="fr-FR"/>
        </w:rPr>
        <w:t>agricoles ou forestiers)</w:t>
      </w:r>
    </w:p>
    <w:p w:rsidR="00A228A9" w:rsidRPr="00EF0C47" w:rsidRDefault="00A228A9" w:rsidP="00A228A9">
      <w:pPr>
        <w:pStyle w:val="H1G"/>
        <w:rPr>
          <w:szCs w:val="24"/>
          <w:lang w:val="fr-FR"/>
        </w:rPr>
      </w:pPr>
      <w:r w:rsidRPr="008E111C">
        <w:rPr>
          <w:spacing w:val="2"/>
          <w:lang w:val="fr-FR"/>
        </w:rPr>
        <w:tab/>
      </w:r>
      <w:r w:rsidRPr="008E111C">
        <w:rPr>
          <w:spacing w:val="2"/>
          <w:lang w:val="fr-FR"/>
        </w:rPr>
        <w:tab/>
        <w:t xml:space="preserve">Communication du </w:t>
      </w:r>
      <w:r w:rsidRPr="00441FDE">
        <w:rPr>
          <w:spacing w:val="2"/>
          <w:lang w:val="fr-FR"/>
        </w:rPr>
        <w:t xml:space="preserve">Groupe de travail de l’éclairage </w:t>
      </w:r>
      <w:r>
        <w:rPr>
          <w:spacing w:val="2"/>
          <w:lang w:val="fr-FR"/>
        </w:rPr>
        <w:br/>
      </w:r>
      <w:r w:rsidRPr="00441FDE">
        <w:rPr>
          <w:spacing w:val="2"/>
          <w:lang w:val="fr-FR"/>
        </w:rPr>
        <w:t>et de la signalisation lumineuse</w:t>
      </w:r>
      <w:r w:rsidRPr="008E111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A16A4A">
        <w:rPr>
          <w:b w:val="0"/>
          <w:bCs/>
          <w:position w:val="6"/>
          <w:sz w:val="20"/>
        </w:rPr>
        <w:t xml:space="preserve">, </w:t>
      </w:r>
      <w:r w:rsidRPr="003854E5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A228A9" w:rsidRDefault="00A228A9" w:rsidP="00A228A9">
      <w:pPr>
        <w:pStyle w:val="SingleTxtG"/>
        <w:ind w:firstLine="567"/>
        <w:rPr>
          <w:lang w:val="fr-FR"/>
        </w:rPr>
      </w:pPr>
      <w:r w:rsidRPr="00EF0C47">
        <w:rPr>
          <w:lang w:val="fr-FR"/>
        </w:rPr>
        <w:t xml:space="preserve">Le texte ci-après, </w:t>
      </w:r>
      <w:r w:rsidRPr="002555A9">
        <w:rPr>
          <w:lang w:val="fr-FR"/>
        </w:rPr>
        <w:t>adopté par le Groupe de travail de l’éclairage et de la signalisation lumineuse (GRE) à sa quatre-vingt-troisième session (ECE/TRANS/WP.29/GRE/83, par.</w:t>
      </w:r>
      <w:r>
        <w:rPr>
          <w:lang w:val="fr-FR"/>
        </w:rPr>
        <w:t> </w:t>
      </w:r>
      <w:r w:rsidRPr="002555A9">
        <w:rPr>
          <w:lang w:val="fr-FR"/>
        </w:rPr>
        <w:t>4</w:t>
      </w:r>
      <w:r>
        <w:rPr>
          <w:lang w:val="fr-FR"/>
        </w:rPr>
        <w:t>1</w:t>
      </w:r>
      <w:r w:rsidRPr="002555A9">
        <w:rPr>
          <w:lang w:val="fr-FR"/>
        </w:rPr>
        <w:t>), est fondé sur le document ECE/TRANS/WP.29/GRE/2020/2</w:t>
      </w:r>
      <w:r>
        <w:rPr>
          <w:lang w:val="fr-FR"/>
        </w:rPr>
        <w:t>1</w:t>
      </w:r>
      <w:r w:rsidRPr="002555A9">
        <w:rPr>
          <w:lang w:val="fr-FR"/>
        </w:rPr>
        <w:t>. Il est soumis au Forum mondial de l’harmonisation des Règlements concernant les véhicules (WP.29) et au Comité d’administration (AC.1) pour examen à leurs sessions de mars 2021.</w:t>
      </w:r>
    </w:p>
    <w:p w:rsidR="00A228A9" w:rsidRDefault="00A228A9" w:rsidP="00A228A9">
      <w:pPr>
        <w:pStyle w:val="SingleTxtG"/>
        <w:rPr>
          <w:lang w:val="fr-FR"/>
        </w:rPr>
      </w:pPr>
      <w:r>
        <w:rPr>
          <w:lang w:val="fr-FR"/>
        </w:rPr>
        <w:br w:type="page"/>
      </w:r>
      <w:r w:rsidRPr="00EF0C47">
        <w:rPr>
          <w:lang w:val="fr-FR"/>
        </w:rPr>
        <w:lastRenderedPageBreak/>
        <w:tab/>
      </w:r>
      <w:r>
        <w:rPr>
          <w:i/>
          <w:iCs/>
          <w:lang w:val="fr-FR"/>
        </w:rPr>
        <w:t>Les p</w:t>
      </w:r>
      <w:r w:rsidRPr="005D1352">
        <w:rPr>
          <w:i/>
          <w:iCs/>
          <w:lang w:val="fr-FR"/>
        </w:rPr>
        <w:t>aragraph</w:t>
      </w:r>
      <w:r>
        <w:rPr>
          <w:i/>
          <w:iCs/>
          <w:lang w:val="fr-FR"/>
        </w:rPr>
        <w:t>e</w:t>
      </w:r>
      <w:r w:rsidRPr="005D1352">
        <w:rPr>
          <w:i/>
          <w:iCs/>
          <w:lang w:val="fr-FR"/>
        </w:rPr>
        <w:t xml:space="preserve">s 2.3. </w:t>
      </w:r>
      <w:r>
        <w:rPr>
          <w:i/>
          <w:iCs/>
          <w:lang w:val="fr-FR"/>
        </w:rPr>
        <w:t xml:space="preserve">à </w:t>
      </w:r>
      <w:r w:rsidRPr="005D1352">
        <w:rPr>
          <w:i/>
          <w:iCs/>
          <w:lang w:val="fr-FR"/>
        </w:rPr>
        <w:t xml:space="preserve">2.16 </w:t>
      </w:r>
      <w:r w:rsidRPr="00BA1F5C">
        <w:rPr>
          <w:lang w:val="fr-FR"/>
        </w:rPr>
        <w:t xml:space="preserve">deviennent les paragraphes 2.2 </w:t>
      </w:r>
      <w:r w:rsidR="00CE585D">
        <w:rPr>
          <w:lang w:val="fr-FR"/>
        </w:rPr>
        <w:t>à</w:t>
      </w:r>
      <w:r w:rsidRPr="00BA1F5C">
        <w:rPr>
          <w:lang w:val="fr-FR"/>
        </w:rPr>
        <w:t xml:space="preserve"> 2.15</w:t>
      </w:r>
      <w:r w:rsidR="00CE585D">
        <w:rPr>
          <w:lang w:val="fr-FR"/>
        </w:rPr>
        <w:t>.</w:t>
      </w:r>
    </w:p>
    <w:p w:rsidR="00A228A9" w:rsidRPr="00EF0C47" w:rsidRDefault="00A228A9" w:rsidP="00A228A9">
      <w:pPr>
        <w:pStyle w:val="SingleTxtG"/>
        <w:rPr>
          <w:b/>
          <w:lang w:val="fr-FR"/>
        </w:rPr>
      </w:pPr>
      <w:r w:rsidRPr="00EF0C47">
        <w:rPr>
          <w:i/>
          <w:iCs/>
          <w:lang w:val="fr-FR"/>
        </w:rPr>
        <w:t>Paragraphe 2</w:t>
      </w:r>
      <w:r>
        <w:rPr>
          <w:i/>
          <w:iCs/>
          <w:lang w:val="fr-FR"/>
        </w:rPr>
        <w:t xml:space="preserve">.14, </w:t>
      </w:r>
      <w:r w:rsidRPr="007B1D0A">
        <w:rPr>
          <w:i/>
        </w:rPr>
        <w:t xml:space="preserve">(ancien paragraphe </w:t>
      </w:r>
      <w:r>
        <w:rPr>
          <w:i/>
        </w:rPr>
        <w:t>2.15</w:t>
      </w:r>
      <w:r w:rsidRPr="007B1D0A">
        <w:rPr>
          <w:i/>
        </w:rPr>
        <w:t>)</w:t>
      </w:r>
      <w:r w:rsidRPr="00EF0C47">
        <w:rPr>
          <w:lang w:val="fr-FR"/>
        </w:rPr>
        <w:t>, lire</w:t>
      </w:r>
      <w:r>
        <w:rPr>
          <w:lang w:val="fr-FR"/>
        </w:rPr>
        <w:t> </w:t>
      </w:r>
      <w:r w:rsidRPr="00EF0C47">
        <w:rPr>
          <w:lang w:val="fr-FR"/>
        </w:rPr>
        <w:t>:</w:t>
      </w:r>
    </w:p>
    <w:p w:rsidR="00A228A9" w:rsidRPr="00EF0C47" w:rsidRDefault="00A228A9" w:rsidP="00A228A9">
      <w:pPr>
        <w:pStyle w:val="SingleTxtG"/>
        <w:ind w:left="2268" w:hanging="1134"/>
      </w:pPr>
      <w:r>
        <w:t>« </w:t>
      </w:r>
      <w:r w:rsidRPr="00EF0C47">
        <w:t>2.</w:t>
      </w:r>
      <w:r w:rsidRPr="00A21070">
        <w:t>14</w:t>
      </w:r>
      <w:r w:rsidRPr="00EF0C47">
        <w:tab/>
        <w:t>“</w:t>
      </w:r>
      <w:r w:rsidRPr="00EF0C47">
        <w:rPr>
          <w:i/>
          <w:iCs/>
        </w:rPr>
        <w:t>Plaque de signalisation arrière pour véhicules lents</w:t>
      </w:r>
      <w:r w:rsidRPr="00EF0C47">
        <w:t>”, une plaque triangulaire aux sommets tronqués ayant un dessin caractéristique et recouverte de matériaux ou dispositifs rétroréfléchissants et fluorescents (classe</w:t>
      </w:r>
      <w:r>
        <w:t> </w:t>
      </w:r>
      <w:r w:rsidRPr="00EF0C47">
        <w:t>1) ou de matériaux ou dispositifs rétroréfléchissants seulement (classe</w:t>
      </w:r>
      <w:r>
        <w:t> </w:t>
      </w:r>
      <w:r w:rsidRPr="00EF0C47">
        <w:t>2) (voir, par exemple, le</w:t>
      </w:r>
      <w:r>
        <w:t>s</w:t>
      </w:r>
      <w:r w:rsidRPr="00EF0C47">
        <w:t xml:space="preserve"> Règlement</w:t>
      </w:r>
      <w:r>
        <w:t>s</w:t>
      </w:r>
      <w:r w:rsidRPr="00EF0C47">
        <w:t xml:space="preserve"> ONU </w:t>
      </w:r>
      <w:r>
        <w:t>n</w:t>
      </w:r>
      <w:r w:rsidRPr="00E900F5">
        <w:rPr>
          <w:vertAlign w:val="superscript"/>
        </w:rPr>
        <w:t>o</w:t>
      </w:r>
      <w:r>
        <w:rPr>
          <w:vertAlign w:val="superscript"/>
        </w:rPr>
        <w:t>s</w:t>
      </w:r>
      <w:r>
        <w:t> </w:t>
      </w:r>
      <w:r w:rsidRPr="00EF0C47">
        <w:t xml:space="preserve">69 ou </w:t>
      </w:r>
      <w:r w:rsidRPr="008567B5">
        <w:rPr>
          <w:bCs/>
        </w:rPr>
        <w:t>150</w:t>
      </w:r>
      <w:r w:rsidRPr="00EF0C47">
        <w:t>).</w:t>
      </w:r>
      <w:r w:rsidR="007D4EEC">
        <w:t> »</w:t>
      </w:r>
    </w:p>
    <w:p w:rsidR="00A228A9" w:rsidRPr="00EF0C47" w:rsidRDefault="00A228A9" w:rsidP="00A228A9">
      <w:pPr>
        <w:pStyle w:val="SingleTxtG"/>
        <w:keepNext/>
        <w:keepLines/>
        <w:rPr>
          <w:lang w:val="fr-FR"/>
        </w:rPr>
      </w:pPr>
      <w:r w:rsidRPr="00EF0C47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EF0C47">
        <w:rPr>
          <w:i/>
          <w:iCs/>
          <w:lang w:val="fr-FR"/>
        </w:rPr>
        <w:t>5.10</w:t>
      </w:r>
      <w:r w:rsidRPr="00EF0C47">
        <w:rPr>
          <w:lang w:val="fr-FR"/>
        </w:rPr>
        <w:t>, lire</w:t>
      </w:r>
      <w:r>
        <w:rPr>
          <w:lang w:val="fr-FR"/>
        </w:rPr>
        <w:t> </w:t>
      </w:r>
      <w:r w:rsidRPr="00EF0C47">
        <w:rPr>
          <w:lang w:val="fr-FR"/>
        </w:rPr>
        <w:t>:</w:t>
      </w:r>
    </w:p>
    <w:p w:rsidR="00A228A9" w:rsidRPr="00EF0C47" w:rsidRDefault="00A228A9" w:rsidP="00A228A9">
      <w:pPr>
        <w:pStyle w:val="SingleTxtG"/>
        <w:ind w:left="2268" w:hanging="1134"/>
        <w:rPr>
          <w:lang w:val="fr-FR"/>
        </w:rPr>
      </w:pPr>
      <w:r w:rsidRPr="00EF0C47">
        <w:rPr>
          <w:lang w:val="fr-FR"/>
        </w:rPr>
        <w:t>« 5.10</w:t>
      </w:r>
      <w:r w:rsidRPr="00EF0C47">
        <w:rPr>
          <w:lang w:val="fr-FR"/>
        </w:rPr>
        <w:tab/>
        <w:t>Aucune lumière rouge pouvant prêter à confusion ne doit être émise vers l</w:t>
      </w:r>
      <w:r>
        <w:rPr>
          <w:lang w:val="fr-FR"/>
        </w:rPr>
        <w:t>’</w:t>
      </w:r>
      <w:r w:rsidRPr="00EF0C47">
        <w:rPr>
          <w:lang w:val="fr-FR"/>
        </w:rPr>
        <w:t>avant par un feu tel que défini au paragraphe</w:t>
      </w:r>
      <w:r>
        <w:rPr>
          <w:lang w:val="fr-FR"/>
        </w:rPr>
        <w:t> </w:t>
      </w:r>
      <w:r w:rsidRPr="00EF0C47">
        <w:rPr>
          <w:lang w:val="fr-FR"/>
        </w:rPr>
        <w:t>2.</w:t>
      </w:r>
      <w:r w:rsidRPr="008567B5">
        <w:rPr>
          <w:bCs/>
          <w:lang w:val="fr-FR"/>
        </w:rPr>
        <w:t>2</w:t>
      </w:r>
      <w:r w:rsidRPr="00EF0C47">
        <w:rPr>
          <w:lang w:val="fr-FR"/>
        </w:rPr>
        <w:t xml:space="preserve"> et aucune lumière blanche pouvant prêter à confusion ne doit être émise vers l</w:t>
      </w:r>
      <w:r>
        <w:rPr>
          <w:lang w:val="fr-FR"/>
        </w:rPr>
        <w:t>’</w:t>
      </w:r>
      <w:r w:rsidRPr="00EF0C47">
        <w:rPr>
          <w:lang w:val="fr-FR"/>
        </w:rPr>
        <w:t>arrière par un feu tel que défini au paragraphe</w:t>
      </w:r>
      <w:r>
        <w:rPr>
          <w:lang w:val="fr-FR"/>
        </w:rPr>
        <w:t> </w:t>
      </w:r>
      <w:r w:rsidRPr="00EF0C47">
        <w:rPr>
          <w:lang w:val="fr-FR"/>
        </w:rPr>
        <w:t>2.</w:t>
      </w:r>
      <w:r w:rsidRPr="008567B5">
        <w:rPr>
          <w:bCs/>
          <w:lang w:val="fr-FR"/>
        </w:rPr>
        <w:t>2</w:t>
      </w:r>
      <w:r w:rsidRPr="00EF0C47">
        <w:rPr>
          <w:lang w:val="fr-FR"/>
        </w:rPr>
        <w:t>. Il ne doit pas être tenu compte des dispositifs d</w:t>
      </w:r>
      <w:r>
        <w:rPr>
          <w:lang w:val="fr-FR"/>
        </w:rPr>
        <w:t>’</w:t>
      </w:r>
      <w:r w:rsidRPr="00EF0C47">
        <w:rPr>
          <w:lang w:val="fr-FR"/>
        </w:rPr>
        <w:t>éclairage installés à l</w:t>
      </w:r>
      <w:r>
        <w:rPr>
          <w:lang w:val="fr-FR"/>
        </w:rPr>
        <w:t>’</w:t>
      </w:r>
      <w:r w:rsidRPr="00EF0C47">
        <w:rPr>
          <w:lang w:val="fr-FR"/>
        </w:rPr>
        <w:t>intérieur du véhicule. En cas de doute, la conformité doit être vérifiée comme suit</w:t>
      </w:r>
      <w:r>
        <w:rPr>
          <w:lang w:val="fr-FR"/>
        </w:rPr>
        <w:t> </w:t>
      </w:r>
      <w:r w:rsidRPr="00EF0C47">
        <w:rPr>
          <w:lang w:val="fr-FR"/>
        </w:rPr>
        <w:t>:</w:t>
      </w:r>
    </w:p>
    <w:p w:rsidR="00A228A9" w:rsidRPr="00EF0C47" w:rsidRDefault="00A228A9" w:rsidP="00A228A9">
      <w:pPr>
        <w:pStyle w:val="SingleTxtG"/>
        <w:ind w:left="2268"/>
        <w:rPr>
          <w:lang w:val="fr-FR"/>
        </w:rPr>
      </w:pPr>
      <w:r w:rsidRPr="00EF0C47">
        <w:rPr>
          <w:lang w:val="fr-FR"/>
        </w:rPr>
        <w:t>... »</w:t>
      </w:r>
    </w:p>
    <w:p w:rsidR="00A228A9" w:rsidRPr="00EF0C47" w:rsidRDefault="00A228A9" w:rsidP="00A228A9">
      <w:pPr>
        <w:pStyle w:val="SingleTxtG"/>
        <w:rPr>
          <w:lang w:val="fr-FR"/>
        </w:rPr>
      </w:pPr>
      <w:r w:rsidRPr="00EF0C47">
        <w:rPr>
          <w:i/>
          <w:iCs/>
          <w:lang w:val="fr-FR"/>
        </w:rPr>
        <w:t>Paragraphe 5.11</w:t>
      </w:r>
      <w:r w:rsidRPr="00EF0C47">
        <w:rPr>
          <w:lang w:val="fr-FR"/>
        </w:rPr>
        <w:t>, lire</w:t>
      </w:r>
      <w:r>
        <w:rPr>
          <w:lang w:val="fr-FR"/>
        </w:rPr>
        <w:t> </w:t>
      </w:r>
      <w:r w:rsidRPr="00EF0C47">
        <w:rPr>
          <w:lang w:val="fr-FR"/>
        </w:rPr>
        <w:t>:</w:t>
      </w:r>
    </w:p>
    <w:p w:rsidR="00A228A9" w:rsidRPr="00B21455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EF0C47">
        <w:t>« 5.20</w:t>
      </w:r>
      <w:r w:rsidRPr="00EF0C47">
        <w:tab/>
        <w:t>Un dispositif homologué au titre d</w:t>
      </w:r>
      <w:r>
        <w:t>’</w:t>
      </w:r>
      <w:r w:rsidRPr="00EF0C47">
        <w:t>une série précédente d</w:t>
      </w:r>
      <w:r>
        <w:t>’</w:t>
      </w:r>
      <w:r w:rsidRPr="00EF0C47">
        <w:t>amendements aux Règlements ONU n</w:t>
      </w:r>
      <w:r w:rsidRPr="00EF0C47">
        <w:rPr>
          <w:vertAlign w:val="superscript"/>
        </w:rPr>
        <w:t>os</w:t>
      </w:r>
      <w:r>
        <w:t> </w:t>
      </w:r>
      <w:r w:rsidRPr="008567B5">
        <w:rPr>
          <w:bCs/>
        </w:rPr>
        <w:t>148</w:t>
      </w:r>
      <w:r w:rsidR="00CE585D">
        <w:rPr>
          <w:bCs/>
        </w:rPr>
        <w:t xml:space="preserve"> </w:t>
      </w:r>
      <w:r w:rsidRPr="0009193A">
        <w:rPr>
          <w:bCs/>
        </w:rPr>
        <w:t xml:space="preserve">ou </w:t>
      </w:r>
      <w:r w:rsidRPr="008567B5">
        <w:rPr>
          <w:bCs/>
        </w:rPr>
        <w:t>149</w:t>
      </w:r>
      <w:r w:rsidR="00CE585D">
        <w:rPr>
          <w:bCs/>
        </w:rPr>
        <w:t xml:space="preserve"> </w:t>
      </w:r>
      <w:r w:rsidRPr="0009193A">
        <w:rPr>
          <w:bCs/>
        </w:rPr>
        <w:t xml:space="preserve">ou </w:t>
      </w:r>
      <w:r w:rsidRPr="008567B5">
        <w:rPr>
          <w:bCs/>
        </w:rPr>
        <w:t>150</w:t>
      </w:r>
      <w:r w:rsidR="00CE585D">
        <w:rPr>
          <w:bCs/>
        </w:rPr>
        <w:t xml:space="preserve"> </w:t>
      </w:r>
      <w:r w:rsidRPr="0009193A">
        <w:rPr>
          <w:bCs/>
        </w:rPr>
        <w:t>est réputé équivalent à un dispositif homologué au titre de la série d’amendements la plus récente aux Règlements ONU concernés n</w:t>
      </w:r>
      <w:r w:rsidRPr="008A3390">
        <w:rPr>
          <w:bCs/>
          <w:vertAlign w:val="superscript"/>
        </w:rPr>
        <w:t>os</w:t>
      </w:r>
      <w:r w:rsidRPr="008A3390">
        <w:rPr>
          <w:bCs/>
        </w:rPr>
        <w:t> </w:t>
      </w:r>
      <w:r w:rsidRPr="008567B5">
        <w:rPr>
          <w:bCs/>
        </w:rPr>
        <w:t>148</w:t>
      </w:r>
      <w:r w:rsidR="00CE585D">
        <w:rPr>
          <w:bCs/>
        </w:rPr>
        <w:t xml:space="preserve"> </w:t>
      </w:r>
      <w:r w:rsidRPr="0009193A">
        <w:rPr>
          <w:bCs/>
        </w:rPr>
        <w:t xml:space="preserve">ou </w:t>
      </w:r>
      <w:r w:rsidRPr="008567B5">
        <w:rPr>
          <w:bCs/>
        </w:rPr>
        <w:t>149</w:t>
      </w:r>
      <w:r w:rsidR="00CE585D">
        <w:rPr>
          <w:bCs/>
        </w:rPr>
        <w:t xml:space="preserve"> </w:t>
      </w:r>
      <w:r w:rsidRPr="0009193A">
        <w:rPr>
          <w:bCs/>
        </w:rPr>
        <w:t xml:space="preserve">ou </w:t>
      </w:r>
      <w:r w:rsidRPr="008567B5">
        <w:rPr>
          <w:bCs/>
        </w:rPr>
        <w:t>150</w:t>
      </w:r>
      <w:r w:rsidRPr="00BA71ED">
        <w:rPr>
          <w:bCs/>
        </w:rPr>
        <w:t xml:space="preserve"> </w:t>
      </w:r>
      <w:r w:rsidRPr="0009193A">
        <w:rPr>
          <w:bCs/>
        </w:rPr>
        <w:t>, lorsque les indices des modifications (définis dans le Règlement ONU n</w:t>
      </w:r>
      <w:r w:rsidRPr="0009193A">
        <w:rPr>
          <w:bCs/>
          <w:vertAlign w:val="superscript"/>
        </w:rPr>
        <w:t>o</w:t>
      </w:r>
      <w:r w:rsidRPr="008A3390">
        <w:rPr>
          <w:bCs/>
        </w:rPr>
        <w:t> 48) de chacun des feux (fonctions) sont les mêmes. Dans ce cas, un tel dispositif peut être installé sur le véhicule dont l’</w:t>
      </w:r>
      <w:r w:rsidRPr="00B21455">
        <w:rPr>
          <w:bCs/>
        </w:rPr>
        <w:t>homologation de type est demandée sans mise à jour des documents d’homologation de type ni du marquage du dispositif. »</w:t>
      </w:r>
    </w:p>
    <w:p w:rsidR="00A228A9" w:rsidRPr="00366626" w:rsidRDefault="00A228A9" w:rsidP="00A228A9">
      <w:pPr>
        <w:pStyle w:val="SingleTxtG"/>
        <w:rPr>
          <w:bCs/>
          <w:lang w:val="fr-FR"/>
        </w:rPr>
      </w:pPr>
      <w:r w:rsidRPr="00366626">
        <w:rPr>
          <w:bCs/>
          <w:i/>
          <w:iCs/>
          <w:lang w:val="fr-FR"/>
        </w:rPr>
        <w:t>Paragraphe 6.1</w:t>
      </w:r>
      <w:r w:rsidRPr="00366626">
        <w:rPr>
          <w:bCs/>
          <w:lang w:val="fr-FR"/>
        </w:rPr>
        <w:t>, lire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366626">
        <w:rPr>
          <w:bCs/>
        </w:rPr>
        <w:t>« 6.1</w:t>
      </w:r>
      <w:r w:rsidRPr="00366626">
        <w:rPr>
          <w:bCs/>
        </w:rPr>
        <w:tab/>
        <w:t>Feux de route (Règlements ONU n</w:t>
      </w:r>
      <w:r w:rsidRPr="00172B8F">
        <w:rPr>
          <w:bCs/>
          <w:vertAlign w:val="superscript"/>
        </w:rPr>
        <w:t>os</w:t>
      </w:r>
      <w:r w:rsidRPr="00172B8F">
        <w:rPr>
          <w:bCs/>
        </w:rPr>
        <w:t> 98, 112 et 113 ou Règlement ONU n</w:t>
      </w:r>
      <w:r w:rsidRPr="00147D43">
        <w:rPr>
          <w:bCs/>
          <w:vertAlign w:val="superscript"/>
        </w:rPr>
        <w:t>o</w:t>
      </w:r>
      <w:r w:rsidRPr="00150AAC">
        <w:rPr>
          <w:bCs/>
        </w:rPr>
        <w:t> </w:t>
      </w:r>
      <w:r w:rsidRPr="008567B5">
        <w:rPr>
          <w:bCs/>
        </w:rPr>
        <w:t>149</w:t>
      </w:r>
      <w:r>
        <w:rPr>
          <w:bCs/>
        </w:rPr>
        <w:t> </w:t>
      </w:r>
      <w:r w:rsidRPr="0009193A">
        <w:rPr>
          <w:bCs/>
        </w:rPr>
        <w:t>)</w:t>
      </w:r>
      <w:r w:rsidR="00D05600"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6.2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6.2</w:t>
      </w:r>
      <w:r w:rsidRPr="00B21455">
        <w:rPr>
          <w:bCs/>
        </w:rPr>
        <w:tab/>
        <w:t>Feux de croisement (Règlements ONU n</w:t>
      </w:r>
      <w:r w:rsidRPr="00B21455">
        <w:rPr>
          <w:bCs/>
          <w:vertAlign w:val="superscript"/>
        </w:rPr>
        <w:t>os</w:t>
      </w:r>
      <w:r w:rsidRPr="00B21455">
        <w:rPr>
          <w:bCs/>
        </w:rPr>
        <w:t> </w:t>
      </w:r>
      <w:r w:rsidRPr="00366626">
        <w:rPr>
          <w:bCs/>
        </w:rPr>
        <w:t>98, 112 et 113 ou Règlement ONU n</w:t>
      </w:r>
      <w:r w:rsidRPr="00366626">
        <w:rPr>
          <w:bCs/>
          <w:vertAlign w:val="superscript"/>
        </w:rPr>
        <w:t>o</w:t>
      </w:r>
      <w:r w:rsidRPr="00366626">
        <w:rPr>
          <w:bCs/>
        </w:rPr>
        <w:t> </w:t>
      </w:r>
      <w:r w:rsidRPr="008567B5">
        <w:rPr>
          <w:bCs/>
        </w:rPr>
        <w:t>149</w:t>
      </w:r>
      <w:r w:rsidRPr="0009193A">
        <w:rPr>
          <w:bCs/>
        </w:rPr>
        <w:t>)</w:t>
      </w:r>
      <w:r w:rsidR="00D05600"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6.3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6.3</w:t>
      </w:r>
      <w:r w:rsidRPr="00B21455">
        <w:rPr>
          <w:bCs/>
        </w:rPr>
        <w:tab/>
        <w:t>Feux de brouillard avant (Règlement</w:t>
      </w:r>
      <w:r>
        <w:rPr>
          <w:bCs/>
        </w:rPr>
        <w:t>s</w:t>
      </w:r>
      <w:r w:rsidRPr="0009193A">
        <w:rPr>
          <w:bCs/>
        </w:rPr>
        <w:t xml:space="preserve"> ONU n</w:t>
      </w:r>
      <w:r w:rsidRPr="0009193A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09193A">
        <w:rPr>
          <w:bCs/>
        </w:rPr>
        <w:t> 19 ou</w:t>
      </w:r>
      <w:r w:rsidRPr="00B21455">
        <w:rPr>
          <w:bCs/>
        </w:rPr>
        <w:t> </w:t>
      </w:r>
      <w:r w:rsidRPr="008567B5">
        <w:rPr>
          <w:bCs/>
        </w:rPr>
        <w:t>149</w:t>
      </w:r>
      <w:r w:rsidRPr="00BA71ED">
        <w:rPr>
          <w:bCs/>
        </w:rPr>
        <w:t xml:space="preserve"> 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6.4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6.4</w:t>
      </w:r>
      <w:r w:rsidRPr="00B21455">
        <w:rPr>
          <w:bCs/>
        </w:rPr>
        <w:tab/>
        <w:t>Feux de marche arrière (Règlement</w:t>
      </w:r>
      <w:r>
        <w:rPr>
          <w:bCs/>
        </w:rPr>
        <w:t>s</w:t>
      </w:r>
      <w:r w:rsidRPr="008A3390">
        <w:rPr>
          <w:bCs/>
        </w:rPr>
        <w:t xml:space="preserve"> ONU n</w:t>
      </w:r>
      <w:r w:rsidRPr="008A3390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8A3390">
        <w:rPr>
          <w:bCs/>
        </w:rPr>
        <w:t> 23 ou</w:t>
      </w:r>
      <w:r w:rsidRPr="00B21455">
        <w:rPr>
          <w:bCs/>
        </w:rPr>
        <w:t>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6.5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6.5</w:t>
      </w:r>
      <w:r w:rsidRPr="00B21455">
        <w:rPr>
          <w:bCs/>
        </w:rPr>
        <w:tab/>
        <w:t>Feux indicateurs de direction (Règlement</w:t>
      </w:r>
      <w:r>
        <w:rPr>
          <w:bCs/>
        </w:rPr>
        <w:t>s</w:t>
      </w:r>
      <w:r w:rsidRPr="00B21455">
        <w:rPr>
          <w:bCs/>
        </w:rPr>
        <w:t xml:space="preserve"> ONU n</w:t>
      </w:r>
      <w:r w:rsidRPr="00B214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B21455">
        <w:rPr>
          <w:bCs/>
        </w:rPr>
        <w:t> 6 ou</w:t>
      </w:r>
      <w:r w:rsidRPr="00366626">
        <w:rPr>
          <w:bCs/>
        </w:rPr>
        <w:t>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6.7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6.7</w:t>
      </w:r>
      <w:r w:rsidRPr="00B21455">
        <w:rPr>
          <w:bCs/>
        </w:rPr>
        <w:tab/>
        <w:t>Feux-stop (Règlement</w:t>
      </w:r>
      <w:r>
        <w:rPr>
          <w:bCs/>
        </w:rPr>
        <w:t>s</w:t>
      </w:r>
      <w:r w:rsidRPr="00B21455">
        <w:rPr>
          <w:bCs/>
        </w:rPr>
        <w:t xml:space="preserve"> ONU n</w:t>
      </w:r>
      <w:r w:rsidRPr="00B214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B21455">
        <w:rPr>
          <w:bCs/>
        </w:rPr>
        <w:t> 7 ou</w:t>
      </w:r>
      <w:r w:rsidRPr="00366626">
        <w:rPr>
          <w:bCs/>
        </w:rPr>
        <w:t>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6.8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6.8</w:t>
      </w:r>
      <w:r w:rsidRPr="00B21455">
        <w:rPr>
          <w:bCs/>
        </w:rPr>
        <w:tab/>
        <w:t>Feux de position avant (Règlement</w:t>
      </w:r>
      <w:r>
        <w:rPr>
          <w:bCs/>
        </w:rPr>
        <w:t>s</w:t>
      </w:r>
      <w:r w:rsidRPr="00B21455">
        <w:rPr>
          <w:bCs/>
        </w:rPr>
        <w:t xml:space="preserve"> ONU n</w:t>
      </w:r>
      <w:r w:rsidRPr="00B214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366626">
        <w:rPr>
          <w:bCs/>
        </w:rPr>
        <w:t> 7 ou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6.9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6.9</w:t>
      </w:r>
      <w:r w:rsidRPr="00B21455">
        <w:rPr>
          <w:bCs/>
        </w:rPr>
        <w:tab/>
        <w:t>Feux de position arrière (Règlement</w:t>
      </w:r>
      <w:r>
        <w:rPr>
          <w:bCs/>
        </w:rPr>
        <w:t>s</w:t>
      </w:r>
      <w:r w:rsidRPr="00B21455">
        <w:rPr>
          <w:bCs/>
        </w:rPr>
        <w:t xml:space="preserve"> ONU n</w:t>
      </w:r>
      <w:r w:rsidRPr="00B214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366626">
        <w:rPr>
          <w:bCs/>
        </w:rPr>
        <w:t> 7 ou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B21455" w:rsidRDefault="00A228A9" w:rsidP="00A228A9">
      <w:pPr>
        <w:pStyle w:val="SingleTxtG"/>
        <w:rPr>
          <w:bCs/>
          <w:lang w:val="fr-FR"/>
        </w:rPr>
      </w:pPr>
      <w:r w:rsidRPr="008A3390">
        <w:rPr>
          <w:bCs/>
          <w:i/>
          <w:iCs/>
          <w:lang w:val="fr-FR"/>
        </w:rPr>
        <w:t>Paragraphe 6.10</w:t>
      </w:r>
      <w:r w:rsidRPr="008A3390">
        <w:rPr>
          <w:bCs/>
          <w:lang w:val="fr-FR"/>
        </w:rPr>
        <w:t>, lire</w:t>
      </w:r>
      <w:r w:rsidRPr="00B21455">
        <w:rPr>
          <w:bCs/>
          <w:lang w:val="fr-FR"/>
        </w:rPr>
        <w:t> :</w:t>
      </w:r>
    </w:p>
    <w:p w:rsidR="00A228A9" w:rsidRPr="008A339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B21455">
        <w:rPr>
          <w:bCs/>
        </w:rPr>
        <w:t>« 6.10</w:t>
      </w:r>
      <w:r w:rsidRPr="00B21455">
        <w:rPr>
          <w:bCs/>
        </w:rPr>
        <w:tab/>
        <w:t>Feux de brouillard arrière (Règlement</w:t>
      </w:r>
      <w:r>
        <w:rPr>
          <w:bCs/>
        </w:rPr>
        <w:t>s</w:t>
      </w:r>
      <w:r w:rsidRPr="00B21455">
        <w:rPr>
          <w:bCs/>
        </w:rPr>
        <w:t xml:space="preserve"> ONU n</w:t>
      </w:r>
      <w:r w:rsidRPr="00B214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366626">
        <w:rPr>
          <w:bCs/>
        </w:rPr>
        <w:t> 38 ou </w:t>
      </w:r>
      <w:r w:rsidRPr="008567B5">
        <w:rPr>
          <w:bCs/>
        </w:rPr>
        <w:t>148</w:t>
      </w:r>
      <w:r w:rsidRPr="0009193A">
        <w:rPr>
          <w:bCs/>
        </w:rPr>
        <w:t>)</w:t>
      </w:r>
      <w:r>
        <w:rPr>
          <w:bCs/>
        </w:rPr>
        <w:t>.</w:t>
      </w:r>
      <w:r w:rsidRPr="0009193A">
        <w:rPr>
          <w:bCs/>
        </w:rPr>
        <w:t> »</w:t>
      </w:r>
    </w:p>
    <w:p w:rsidR="00A228A9" w:rsidRPr="0076493E" w:rsidRDefault="00A228A9" w:rsidP="00A228A9">
      <w:pPr>
        <w:pStyle w:val="SingleTxtG"/>
        <w:rPr>
          <w:bCs/>
          <w:lang w:val="fr-FR"/>
        </w:rPr>
      </w:pPr>
      <w:r w:rsidRPr="00EB3851">
        <w:rPr>
          <w:bCs/>
          <w:i/>
          <w:iCs/>
          <w:lang w:val="fr-FR"/>
        </w:rPr>
        <w:t>Paragraphe 6.11</w:t>
      </w:r>
      <w:r w:rsidRPr="00EB3851">
        <w:rPr>
          <w:bCs/>
          <w:lang w:val="fr-FR"/>
        </w:rPr>
        <w:t>, lire </w:t>
      </w:r>
      <w:r w:rsidRPr="0076493E">
        <w:rPr>
          <w:bCs/>
          <w:lang w:val="fr-FR"/>
        </w:rPr>
        <w:t>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76493E">
        <w:rPr>
          <w:bCs/>
        </w:rPr>
        <w:t>« 6.11</w:t>
      </w:r>
      <w:r w:rsidRPr="0076493E">
        <w:rPr>
          <w:bCs/>
        </w:rPr>
        <w:tab/>
        <w:t>Feux de stationnement (Règlement</w:t>
      </w:r>
      <w:r>
        <w:rPr>
          <w:bCs/>
        </w:rPr>
        <w:t>s</w:t>
      </w:r>
      <w:r w:rsidRPr="00EB3851">
        <w:rPr>
          <w:bCs/>
        </w:rPr>
        <w:t xml:space="preserve"> ONU n</w:t>
      </w:r>
      <w:r w:rsidRPr="00EB3851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EB3851">
        <w:rPr>
          <w:bCs/>
        </w:rPr>
        <w:t> 77, 7 ou</w:t>
      </w:r>
      <w:r w:rsidRPr="00397317">
        <w:rPr>
          <w:bCs/>
        </w:rPr>
        <w:t> </w:t>
      </w:r>
      <w:r w:rsidRPr="008567B5">
        <w:rPr>
          <w:bCs/>
        </w:rPr>
        <w:t>148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lastRenderedPageBreak/>
        <w:t>Paragraphe 6.12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30D77">
        <w:rPr>
          <w:bCs/>
        </w:rPr>
        <w:t>« 6.12</w:t>
      </w:r>
      <w:r w:rsidRPr="00830D77">
        <w:rPr>
          <w:bCs/>
        </w:rPr>
        <w:tab/>
        <w:t>Feux d’encombrement (feux de gabarit) (Règlement</w:t>
      </w:r>
      <w:r>
        <w:rPr>
          <w:bCs/>
        </w:rPr>
        <w:t>s</w:t>
      </w:r>
      <w:r w:rsidRPr="0076493E">
        <w:rPr>
          <w:bCs/>
        </w:rPr>
        <w:t xml:space="preserve"> ONU n</w:t>
      </w:r>
      <w:r w:rsidRPr="0076493E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76493E">
        <w:rPr>
          <w:bCs/>
        </w:rPr>
        <w:t> 7 ou</w:t>
      </w:r>
      <w:r w:rsidRPr="00830D77">
        <w:rPr>
          <w:bCs/>
        </w:rPr>
        <w:t> </w:t>
      </w:r>
      <w:r w:rsidRPr="008567B5">
        <w:rPr>
          <w:bCs/>
        </w:rPr>
        <w:t>148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6.14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30D77">
        <w:rPr>
          <w:bCs/>
        </w:rPr>
        <w:t>« 6.14</w:t>
      </w:r>
      <w:r w:rsidRPr="00830D77">
        <w:rPr>
          <w:bCs/>
        </w:rPr>
        <w:tab/>
        <w:t>Catadioptres arrière, non triangulaires (Règlement</w:t>
      </w:r>
      <w:r>
        <w:rPr>
          <w:bCs/>
        </w:rPr>
        <w:t>s</w:t>
      </w:r>
      <w:r w:rsidRPr="00397317">
        <w:rPr>
          <w:bCs/>
        </w:rPr>
        <w:t xml:space="preserve"> ONU n</w:t>
      </w:r>
      <w:r w:rsidRPr="00397317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397317">
        <w:rPr>
          <w:bCs/>
        </w:rPr>
        <w:t> 3 ou</w:t>
      </w:r>
      <w:r w:rsidRPr="00830D77">
        <w:rPr>
          <w:bCs/>
        </w:rPr>
        <w:t> </w:t>
      </w:r>
      <w:r w:rsidRPr="008567B5">
        <w:rPr>
          <w:bCs/>
        </w:rPr>
        <w:t>150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6.14.2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926A55" w:rsidRDefault="00A228A9" w:rsidP="00A228A9">
      <w:pPr>
        <w:pStyle w:val="SingleTxtG"/>
        <w:tabs>
          <w:tab w:val="left" w:pos="2268"/>
        </w:tabs>
        <w:ind w:left="3402" w:hanging="2268"/>
        <w:rPr>
          <w:bCs/>
          <w:u w:val="single"/>
          <w:lang w:val="fr-FR"/>
        </w:rPr>
      </w:pPr>
      <w:r w:rsidRPr="00830D77">
        <w:rPr>
          <w:bCs/>
          <w:lang w:val="fr-FR"/>
        </w:rPr>
        <w:t>« 6.14.2</w:t>
      </w:r>
      <w:r w:rsidRPr="00830D77">
        <w:rPr>
          <w:bCs/>
          <w:lang w:val="fr-FR"/>
        </w:rPr>
        <w:tab/>
        <w:t>Nombre :</w:t>
      </w:r>
      <w:r w:rsidRPr="00830D77">
        <w:rPr>
          <w:bCs/>
          <w:lang w:val="fr-FR"/>
        </w:rPr>
        <w:tab/>
        <w:t>Les performances de ces dispositifs doivent être conformes aux prescriptions concernant les catadioptres de la classe</w:t>
      </w:r>
      <w:r w:rsidRPr="00926A55">
        <w:rPr>
          <w:bCs/>
          <w:lang w:val="fr-FR"/>
        </w:rPr>
        <w:t> IA ou IB, énoncées dans le</w:t>
      </w:r>
      <w:r>
        <w:rPr>
          <w:bCs/>
          <w:lang w:val="fr-FR"/>
        </w:rPr>
        <w:t>s</w:t>
      </w:r>
      <w:r w:rsidRPr="00830D77">
        <w:rPr>
          <w:bCs/>
          <w:lang w:val="fr-FR"/>
        </w:rPr>
        <w:t xml:space="preserve"> Règlement</w:t>
      </w:r>
      <w:r>
        <w:rPr>
          <w:bCs/>
          <w:lang w:val="fr-FR"/>
        </w:rPr>
        <w:t>s</w:t>
      </w:r>
      <w:r w:rsidRPr="00830D77">
        <w:rPr>
          <w:bCs/>
          <w:lang w:val="fr-FR"/>
        </w:rPr>
        <w:t xml:space="preserve"> ONU n</w:t>
      </w:r>
      <w:r w:rsidRPr="00830D77">
        <w:rPr>
          <w:bCs/>
          <w:vertAlign w:val="superscript"/>
          <w:lang w:val="fr-FR"/>
        </w:rPr>
        <w:t>o</w:t>
      </w:r>
      <w:r>
        <w:rPr>
          <w:bCs/>
          <w:vertAlign w:val="superscript"/>
          <w:lang w:val="fr-FR"/>
        </w:rPr>
        <w:t>s</w:t>
      </w:r>
      <w:r w:rsidRPr="00830D77">
        <w:rPr>
          <w:bCs/>
          <w:lang w:val="fr-FR"/>
        </w:rPr>
        <w:t> 3 ou</w:t>
      </w:r>
      <w:r w:rsidRPr="00926A55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r w:rsidRPr="00EB3851">
        <w:rPr>
          <w:bCs/>
          <w:lang w:val="fr-FR"/>
        </w:rPr>
        <w:t>. Les dispositifs et matériaux réfléchissants supplémentaires (n</w:t>
      </w:r>
      <w:r w:rsidRPr="0076493E">
        <w:rPr>
          <w:bCs/>
          <w:lang w:val="fr-FR"/>
        </w:rPr>
        <w:t>otamment deux catadioptres ne satisfaisant pas aux dispositions du paragraphe 6.14.4 ci</w:t>
      </w:r>
      <w:r w:rsidRPr="00397317">
        <w:rPr>
          <w:bCs/>
          <w:lang w:val="fr-FR"/>
        </w:rPr>
        <w:noBreakHyphen/>
        <w:t>dessous) sont autorisés à condition qu’</w:t>
      </w:r>
      <w:r w:rsidRPr="00830D77">
        <w:rPr>
          <w:bCs/>
          <w:lang w:val="fr-FR"/>
        </w:rPr>
        <w:t>ils ne nuisent pas à l’efficacité des dispositifs obligatoires d’</w:t>
      </w:r>
      <w:r w:rsidRPr="00926A55">
        <w:rPr>
          <w:bCs/>
          <w:lang w:val="fr-FR"/>
        </w:rPr>
        <w:t>éclairage et de signalisation lumineuse. »</w:t>
      </w:r>
    </w:p>
    <w:p w:rsidR="00A228A9" w:rsidRPr="00926A55" w:rsidRDefault="00A228A9" w:rsidP="00A228A9">
      <w:pPr>
        <w:pStyle w:val="SingleTxtG"/>
        <w:rPr>
          <w:bCs/>
          <w:lang w:val="fr-FR"/>
        </w:rPr>
      </w:pPr>
      <w:r w:rsidRPr="00926A55">
        <w:rPr>
          <w:bCs/>
          <w:i/>
          <w:iCs/>
          <w:lang w:val="fr-FR"/>
        </w:rPr>
        <w:t>Paragraphe 6.15</w:t>
      </w:r>
      <w:r w:rsidRPr="00926A55">
        <w:rPr>
          <w:bCs/>
          <w:lang w:val="fr-FR"/>
        </w:rPr>
        <w:t>, lire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77110">
        <w:rPr>
          <w:bCs/>
        </w:rPr>
        <w:t>« 6.15</w:t>
      </w:r>
      <w:r w:rsidRPr="00877110">
        <w:rPr>
          <w:bCs/>
        </w:rPr>
        <w:tab/>
        <w:t>Catadioptres latéraux, non triangulaires (Règlement</w:t>
      </w:r>
      <w:r>
        <w:rPr>
          <w:bCs/>
        </w:rPr>
        <w:t>s</w:t>
      </w:r>
      <w:r w:rsidRPr="00926A55">
        <w:rPr>
          <w:bCs/>
        </w:rPr>
        <w:t xml:space="preserve"> ONU n</w:t>
      </w:r>
      <w:r w:rsidRPr="00926A55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926A55">
        <w:rPr>
          <w:bCs/>
        </w:rPr>
        <w:t> 3 ou </w:t>
      </w:r>
      <w:r w:rsidRPr="008567B5">
        <w:rPr>
          <w:bCs/>
        </w:rPr>
        <w:t>150</w:t>
      </w:r>
      <w:r w:rsidRPr="00EB3851">
        <w:rPr>
          <w:bCs/>
        </w:rPr>
        <w:t>)</w:t>
      </w:r>
      <w:r w:rsidR="00AA4451"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6.15.2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EB3851" w:rsidRDefault="00A228A9" w:rsidP="00A228A9">
      <w:pPr>
        <w:pStyle w:val="SingleTxtG"/>
        <w:tabs>
          <w:tab w:val="left" w:pos="2268"/>
        </w:tabs>
        <w:ind w:left="3402" w:hanging="2268"/>
        <w:rPr>
          <w:bCs/>
          <w:lang w:val="fr-FR"/>
        </w:rPr>
      </w:pPr>
      <w:r w:rsidRPr="00830D77">
        <w:rPr>
          <w:bCs/>
          <w:lang w:val="fr-FR"/>
        </w:rPr>
        <w:t>« 6.15.2</w:t>
      </w:r>
      <w:r w:rsidRPr="00830D77">
        <w:rPr>
          <w:bCs/>
          <w:lang w:val="fr-FR"/>
        </w:rPr>
        <w:tab/>
        <w:t>Nombre :</w:t>
      </w:r>
      <w:r w:rsidRPr="00830D77">
        <w:rPr>
          <w:bCs/>
          <w:lang w:val="fr-FR"/>
        </w:rPr>
        <w:tab/>
        <w:t>Tel que les prescriptions relatives à l’</w:t>
      </w:r>
      <w:r w:rsidRPr="00926A55">
        <w:rPr>
          <w:bCs/>
          <w:lang w:val="fr-FR"/>
        </w:rPr>
        <w:t>emplacement en longueur soient respectées. Les performances de ces dispositifs doivent être conformes aux prescriptions concernant les catadioptres de la classe IA ou IB, énoncées dans le</w:t>
      </w:r>
      <w:r>
        <w:rPr>
          <w:bCs/>
          <w:lang w:val="fr-FR"/>
        </w:rPr>
        <w:t>s</w:t>
      </w:r>
      <w:r w:rsidRPr="00926A55">
        <w:rPr>
          <w:bCs/>
          <w:lang w:val="fr-FR"/>
        </w:rPr>
        <w:t xml:space="preserve"> Règlement</w:t>
      </w:r>
      <w:r>
        <w:rPr>
          <w:bCs/>
          <w:lang w:val="fr-FR"/>
        </w:rPr>
        <w:t>s</w:t>
      </w:r>
      <w:r w:rsidRPr="00926A55">
        <w:rPr>
          <w:bCs/>
          <w:lang w:val="fr-FR"/>
        </w:rPr>
        <w:t xml:space="preserve"> ONU n</w:t>
      </w:r>
      <w:r w:rsidRPr="00926A55">
        <w:rPr>
          <w:bCs/>
          <w:vertAlign w:val="superscript"/>
          <w:lang w:val="fr-FR"/>
        </w:rPr>
        <w:t>o</w:t>
      </w:r>
      <w:r>
        <w:rPr>
          <w:bCs/>
          <w:vertAlign w:val="superscript"/>
          <w:lang w:val="fr-FR"/>
        </w:rPr>
        <w:t>s</w:t>
      </w:r>
      <w:r w:rsidRPr="00926A55">
        <w:rPr>
          <w:bCs/>
          <w:lang w:val="fr-FR"/>
        </w:rPr>
        <w:t> 3 ou</w:t>
      </w:r>
      <w:r w:rsidRPr="00877110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bookmarkStart w:id="0" w:name="_GoBack"/>
      <w:bookmarkEnd w:id="0"/>
      <w:r w:rsidRPr="00EB3851">
        <w:rPr>
          <w:bCs/>
          <w:lang w:val="fr-FR"/>
        </w:rPr>
        <w:t>.</w:t>
      </w:r>
    </w:p>
    <w:p w:rsidR="00A228A9" w:rsidRPr="00926A55" w:rsidRDefault="00A228A9" w:rsidP="00A228A9">
      <w:pPr>
        <w:pStyle w:val="SingleTxtG"/>
        <w:tabs>
          <w:tab w:val="left" w:pos="2268"/>
        </w:tabs>
        <w:ind w:left="3402" w:hanging="2268"/>
        <w:rPr>
          <w:bCs/>
          <w:u w:val="single"/>
          <w:lang w:val="fr-FR"/>
        </w:rPr>
      </w:pPr>
      <w:r w:rsidRPr="00EB3851">
        <w:rPr>
          <w:bCs/>
          <w:lang w:val="fr-FR"/>
        </w:rPr>
        <w:tab/>
      </w:r>
      <w:r w:rsidRPr="00EB3851">
        <w:rPr>
          <w:bCs/>
          <w:lang w:val="fr-FR"/>
        </w:rPr>
        <w:tab/>
      </w:r>
      <w:r w:rsidRPr="00EB3851">
        <w:rPr>
          <w:bCs/>
          <w:lang w:val="fr-FR"/>
        </w:rPr>
        <w:tab/>
        <w:t>Les dispositifs et matériaux réfléchissants supplémentaires</w:t>
      </w:r>
      <w:r w:rsidRPr="0076493E">
        <w:rPr>
          <w:bCs/>
          <w:lang w:val="fr-FR"/>
        </w:rPr>
        <w:t xml:space="preserve"> (y compris deux catadioptres ne répondant pas aux prescriptions du paragraphe</w:t>
      </w:r>
      <w:r w:rsidRPr="00397317">
        <w:rPr>
          <w:bCs/>
          <w:lang w:val="fr-FR"/>
        </w:rPr>
        <w:t> 6.15.4 ci-dessous) sont autorisés à condition qu’</w:t>
      </w:r>
      <w:r w:rsidRPr="00830D77">
        <w:rPr>
          <w:bCs/>
          <w:lang w:val="fr-FR"/>
        </w:rPr>
        <w:t>ils ne nuisent pas à l’efficacité des dispositifs d’</w:t>
      </w:r>
      <w:r w:rsidRPr="00926A55">
        <w:rPr>
          <w:bCs/>
          <w:lang w:val="fr-FR"/>
        </w:rPr>
        <w:t>éclairage et de signalisation lumineuse obligatoires. »</w:t>
      </w:r>
    </w:p>
    <w:p w:rsidR="00A228A9" w:rsidRPr="00926A55" w:rsidRDefault="00A228A9" w:rsidP="00A228A9">
      <w:pPr>
        <w:pStyle w:val="SingleTxtG"/>
        <w:rPr>
          <w:bCs/>
          <w:lang w:val="fr-FR"/>
        </w:rPr>
      </w:pPr>
      <w:r w:rsidRPr="00926A55">
        <w:rPr>
          <w:bCs/>
          <w:i/>
          <w:iCs/>
          <w:lang w:val="fr-FR"/>
        </w:rPr>
        <w:t>Paragraphe 6.16</w:t>
      </w:r>
      <w:r w:rsidRPr="00926A55">
        <w:rPr>
          <w:bCs/>
          <w:lang w:val="fr-FR"/>
        </w:rPr>
        <w:t>, lire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77110">
        <w:rPr>
          <w:bCs/>
        </w:rPr>
        <w:t>« 6.16</w:t>
      </w:r>
      <w:r w:rsidRPr="00877110">
        <w:rPr>
          <w:bCs/>
        </w:rPr>
        <w:tab/>
        <w:t>Dispositif d’éclairage de la plaque d’immatriculation arrière (Règlement</w:t>
      </w:r>
      <w:r>
        <w:rPr>
          <w:bCs/>
        </w:rPr>
        <w:t>s</w:t>
      </w:r>
      <w:r w:rsidRPr="00877110">
        <w:rPr>
          <w:bCs/>
        </w:rPr>
        <w:t xml:space="preserve"> ONU n</w:t>
      </w:r>
      <w:r w:rsidRPr="00877110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877110">
        <w:rPr>
          <w:bCs/>
        </w:rPr>
        <w:t> 4 ou </w:t>
      </w:r>
      <w:r w:rsidRPr="008567B5">
        <w:rPr>
          <w:bCs/>
        </w:rPr>
        <w:t>148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6.17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30D77">
        <w:rPr>
          <w:bCs/>
        </w:rPr>
        <w:t>« 6.17</w:t>
      </w:r>
      <w:r w:rsidRPr="00830D77">
        <w:rPr>
          <w:bCs/>
        </w:rPr>
        <w:tab/>
        <w:t>Catadioptres avant, non triangulaires (Règlement</w:t>
      </w:r>
      <w:r>
        <w:rPr>
          <w:bCs/>
        </w:rPr>
        <w:t>s</w:t>
      </w:r>
      <w:r w:rsidRPr="00830D77">
        <w:rPr>
          <w:bCs/>
        </w:rPr>
        <w:t xml:space="preserve"> ONU n</w:t>
      </w:r>
      <w:r w:rsidRPr="00830D77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926A55">
        <w:rPr>
          <w:bCs/>
        </w:rPr>
        <w:t> 3 ou </w:t>
      </w:r>
      <w:r w:rsidRPr="008567B5">
        <w:rPr>
          <w:bCs/>
        </w:rPr>
        <w:t>150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6.18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76493E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830D77">
        <w:rPr>
          <w:bCs/>
        </w:rPr>
        <w:t>« 6.18</w:t>
      </w:r>
      <w:r w:rsidRPr="00830D77">
        <w:rPr>
          <w:bCs/>
        </w:rPr>
        <w:tab/>
        <w:t>Feux de position latéraux (Règlement</w:t>
      </w:r>
      <w:r>
        <w:rPr>
          <w:bCs/>
        </w:rPr>
        <w:t>s</w:t>
      </w:r>
      <w:r w:rsidRPr="00830D77">
        <w:rPr>
          <w:bCs/>
        </w:rPr>
        <w:t xml:space="preserve"> ONU n</w:t>
      </w:r>
      <w:r w:rsidRPr="00830D77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830D77">
        <w:rPr>
          <w:bCs/>
        </w:rPr>
        <w:t> </w:t>
      </w:r>
      <w:r w:rsidRPr="00926A55">
        <w:rPr>
          <w:bCs/>
        </w:rPr>
        <w:t>91 ou </w:t>
      </w:r>
      <w:r w:rsidRPr="008567B5">
        <w:rPr>
          <w:bCs/>
        </w:rPr>
        <w:t>148</w:t>
      </w:r>
      <w:r w:rsidRPr="00EB3851">
        <w:rPr>
          <w:bCs/>
        </w:rPr>
        <w:t>)</w:t>
      </w:r>
      <w:r>
        <w:rPr>
          <w:bCs/>
        </w:rPr>
        <w:t>.</w:t>
      </w:r>
      <w:r w:rsidRPr="00EB3851">
        <w:rPr>
          <w:bCs/>
        </w:rPr>
        <w:t> »</w:t>
      </w:r>
    </w:p>
    <w:p w:rsidR="00A228A9" w:rsidRPr="00397317" w:rsidRDefault="00A228A9" w:rsidP="00A228A9">
      <w:pPr>
        <w:pStyle w:val="SingleTxtG"/>
        <w:rPr>
          <w:bCs/>
          <w:lang w:val="fr-FR"/>
        </w:rPr>
      </w:pPr>
      <w:r w:rsidRPr="0076493E">
        <w:rPr>
          <w:bCs/>
          <w:i/>
          <w:iCs/>
          <w:lang w:val="fr-FR"/>
        </w:rPr>
        <w:t>Paragraphe 6.19</w:t>
      </w:r>
      <w:r w:rsidRPr="0076493E">
        <w:rPr>
          <w:bCs/>
          <w:lang w:val="fr-FR"/>
        </w:rPr>
        <w:t>, lire</w:t>
      </w:r>
      <w:r w:rsidRPr="00397317">
        <w:rPr>
          <w:bCs/>
          <w:lang w:val="fr-FR"/>
        </w:rPr>
        <w:t> :</w:t>
      </w:r>
    </w:p>
    <w:p w:rsidR="00A228A9" w:rsidRPr="00147D43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926A55">
        <w:rPr>
          <w:bCs/>
        </w:rPr>
        <w:t>« 6.19</w:t>
      </w:r>
      <w:r w:rsidRPr="00926A55">
        <w:rPr>
          <w:bCs/>
        </w:rPr>
        <w:tab/>
        <w:t>Feux de circulation d</w:t>
      </w:r>
      <w:r w:rsidRPr="00086010">
        <w:rPr>
          <w:bCs/>
        </w:rPr>
        <w:t>iurne (Règlement</w:t>
      </w:r>
      <w:r>
        <w:rPr>
          <w:bCs/>
        </w:rPr>
        <w:t>s</w:t>
      </w:r>
      <w:r w:rsidRPr="00086010">
        <w:rPr>
          <w:bCs/>
        </w:rPr>
        <w:t xml:space="preserve"> ONU n</w:t>
      </w:r>
      <w:r w:rsidRPr="00147D43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086010">
        <w:rPr>
          <w:bCs/>
        </w:rPr>
        <w:t> </w:t>
      </w:r>
      <w:r w:rsidRPr="00147D43">
        <w:rPr>
          <w:bCs/>
        </w:rPr>
        <w:t>87 ou </w:t>
      </w:r>
      <w:r w:rsidRPr="008567B5">
        <w:rPr>
          <w:bCs/>
        </w:rPr>
        <w:t>148</w:t>
      </w:r>
      <w:r w:rsidRPr="00926A55">
        <w:rPr>
          <w:bCs/>
        </w:rPr>
        <w:t>)</w:t>
      </w:r>
      <w:r>
        <w:rPr>
          <w:bCs/>
        </w:rPr>
        <w:t>.</w:t>
      </w:r>
      <w:r w:rsidRPr="00086010">
        <w:rPr>
          <w:bCs/>
        </w:rPr>
        <w:t> »</w:t>
      </w:r>
    </w:p>
    <w:p w:rsidR="00A228A9" w:rsidRPr="00147D43" w:rsidRDefault="00A228A9" w:rsidP="00A228A9">
      <w:pPr>
        <w:pStyle w:val="SingleTxtG"/>
        <w:keepNext/>
        <w:keepLines/>
        <w:rPr>
          <w:bCs/>
          <w:lang w:val="fr-FR"/>
        </w:rPr>
      </w:pPr>
      <w:r w:rsidRPr="00147D43">
        <w:rPr>
          <w:bCs/>
          <w:i/>
          <w:iCs/>
          <w:lang w:val="fr-FR"/>
        </w:rPr>
        <w:t>Paragraphe 6.20</w:t>
      </w:r>
      <w:r w:rsidRPr="00147D43">
        <w:rPr>
          <w:bCs/>
          <w:lang w:val="fr-FR"/>
        </w:rPr>
        <w:t>, lire :</w:t>
      </w:r>
    </w:p>
    <w:p w:rsidR="00A228A9" w:rsidRPr="00147D43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147D43">
        <w:rPr>
          <w:bCs/>
        </w:rPr>
        <w:t>« 6.20</w:t>
      </w:r>
      <w:r w:rsidRPr="00147D43">
        <w:rPr>
          <w:bCs/>
        </w:rPr>
        <w:tab/>
        <w:t>Feux d’angle (Règlement</w:t>
      </w:r>
      <w:r>
        <w:rPr>
          <w:bCs/>
        </w:rPr>
        <w:t>s</w:t>
      </w:r>
      <w:r w:rsidRPr="00147D43">
        <w:rPr>
          <w:bCs/>
        </w:rPr>
        <w:t xml:space="preserve"> ONU n</w:t>
      </w:r>
      <w:r w:rsidRPr="00147D43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147D43">
        <w:rPr>
          <w:bCs/>
        </w:rPr>
        <w:t> 119 ou </w:t>
      </w:r>
      <w:r w:rsidRPr="008567B5">
        <w:rPr>
          <w:bCs/>
        </w:rPr>
        <w:t>149</w:t>
      </w:r>
      <w:r w:rsidRPr="00926A55">
        <w:rPr>
          <w:bCs/>
        </w:rPr>
        <w:t>)</w:t>
      </w:r>
      <w:r w:rsidRPr="00086010">
        <w:rPr>
          <w:bCs/>
        </w:rPr>
        <w:t> ».</w:t>
      </w:r>
    </w:p>
    <w:p w:rsidR="00A228A9" w:rsidRPr="00147D43" w:rsidRDefault="00A228A9" w:rsidP="00A228A9">
      <w:pPr>
        <w:pStyle w:val="SingleTxtG"/>
        <w:keepNext/>
        <w:keepLines/>
        <w:rPr>
          <w:bCs/>
          <w:lang w:val="fr-FR"/>
        </w:rPr>
      </w:pPr>
      <w:r w:rsidRPr="00147D43">
        <w:rPr>
          <w:bCs/>
          <w:i/>
          <w:iCs/>
          <w:lang w:val="fr-FR"/>
        </w:rPr>
        <w:t>Paragraphe 6.21</w:t>
      </w:r>
      <w:r w:rsidRPr="00147D43">
        <w:rPr>
          <w:bCs/>
          <w:lang w:val="fr-FR"/>
        </w:rPr>
        <w:t>, lire :</w:t>
      </w:r>
    </w:p>
    <w:p w:rsidR="00A228A9" w:rsidRPr="00147D43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147D43">
        <w:rPr>
          <w:bCs/>
        </w:rPr>
        <w:t>« 6.21</w:t>
      </w:r>
      <w:r w:rsidRPr="00147D43">
        <w:rPr>
          <w:bCs/>
        </w:rPr>
        <w:tab/>
        <w:t>Marquages à grande visibilité (Règlement</w:t>
      </w:r>
      <w:r>
        <w:rPr>
          <w:bCs/>
        </w:rPr>
        <w:t>s</w:t>
      </w:r>
      <w:r w:rsidRPr="00147D43">
        <w:rPr>
          <w:bCs/>
        </w:rPr>
        <w:t xml:space="preserve"> ONU n</w:t>
      </w:r>
      <w:r w:rsidRPr="00147D43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147D43">
        <w:rPr>
          <w:bCs/>
        </w:rPr>
        <w:t> 104 ou</w:t>
      </w:r>
      <w:r w:rsidRPr="00B13A39">
        <w:rPr>
          <w:bCs/>
        </w:rPr>
        <w:t> </w:t>
      </w:r>
      <w:r w:rsidRPr="008567B5">
        <w:rPr>
          <w:bCs/>
        </w:rPr>
        <w:t>150</w:t>
      </w:r>
      <w:r w:rsidRPr="00926A55">
        <w:rPr>
          <w:bCs/>
        </w:rPr>
        <w:t>)</w:t>
      </w:r>
      <w:r>
        <w:rPr>
          <w:bCs/>
        </w:rPr>
        <w:t>.</w:t>
      </w:r>
      <w:r w:rsidRPr="00086010">
        <w:rPr>
          <w:bCs/>
        </w:rPr>
        <w:t> »</w:t>
      </w:r>
    </w:p>
    <w:p w:rsidR="00A228A9" w:rsidRPr="00147D43" w:rsidRDefault="00A228A9" w:rsidP="00A228A9">
      <w:pPr>
        <w:pStyle w:val="SingleTxtG"/>
        <w:rPr>
          <w:bCs/>
          <w:lang w:val="fr-FR"/>
        </w:rPr>
      </w:pPr>
      <w:r w:rsidRPr="00147D43">
        <w:rPr>
          <w:bCs/>
          <w:i/>
          <w:iCs/>
          <w:lang w:val="fr-FR"/>
        </w:rPr>
        <w:t>Paragraphe 6.22</w:t>
      </w:r>
      <w:r w:rsidRPr="00147D43">
        <w:rPr>
          <w:bCs/>
          <w:lang w:val="fr-FR"/>
        </w:rPr>
        <w:t>, lire :</w:t>
      </w:r>
    </w:p>
    <w:p w:rsidR="00A228A9" w:rsidRDefault="00A228A9" w:rsidP="00A228A9">
      <w:pPr>
        <w:pStyle w:val="SingleTxtG"/>
        <w:tabs>
          <w:tab w:val="left" w:pos="2268"/>
        </w:tabs>
        <w:ind w:left="2268" w:hanging="1134"/>
        <w:rPr>
          <w:bCs/>
        </w:rPr>
      </w:pPr>
      <w:r w:rsidRPr="00147D43">
        <w:rPr>
          <w:bCs/>
        </w:rPr>
        <w:t>« 6.22</w:t>
      </w:r>
      <w:r w:rsidRPr="00147D43">
        <w:rPr>
          <w:bCs/>
        </w:rPr>
        <w:tab/>
        <w:t>Plaques de signalisation arrière pour véhicules lents (Règlement</w:t>
      </w:r>
      <w:r>
        <w:rPr>
          <w:bCs/>
        </w:rPr>
        <w:t>s</w:t>
      </w:r>
      <w:r w:rsidRPr="00147D43">
        <w:rPr>
          <w:bCs/>
        </w:rPr>
        <w:t xml:space="preserve"> ONU n</w:t>
      </w:r>
      <w:r w:rsidRPr="00147D43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147D43">
        <w:rPr>
          <w:bCs/>
        </w:rPr>
        <w:t> 69 ou</w:t>
      </w:r>
      <w:r w:rsidRPr="00B13A39">
        <w:rPr>
          <w:bCs/>
        </w:rPr>
        <w:t> </w:t>
      </w:r>
      <w:r w:rsidRPr="008567B5">
        <w:rPr>
          <w:bCs/>
        </w:rPr>
        <w:t>150</w:t>
      </w:r>
      <w:r w:rsidRPr="00BA71ED">
        <w:rPr>
          <w:bCs/>
        </w:rPr>
        <w:t xml:space="preserve"> </w:t>
      </w:r>
      <w:r w:rsidRPr="00926A55">
        <w:rPr>
          <w:bCs/>
        </w:rPr>
        <w:t>)</w:t>
      </w:r>
    </w:p>
    <w:p w:rsidR="00A228A9" w:rsidRPr="00147D43" w:rsidRDefault="00A228A9" w:rsidP="00A228A9">
      <w:pPr>
        <w:pStyle w:val="SingleTxtG"/>
        <w:tabs>
          <w:tab w:val="left" w:pos="2268"/>
        </w:tabs>
        <w:ind w:left="3402" w:hanging="2268"/>
        <w:rPr>
          <w:bCs/>
          <w:lang w:val="fr-FR"/>
        </w:rPr>
      </w:pPr>
      <w:r w:rsidRPr="00086010">
        <w:rPr>
          <w:bCs/>
          <w:lang w:val="fr-FR"/>
        </w:rPr>
        <w:t>6.22.</w:t>
      </w:r>
      <w:r>
        <w:rPr>
          <w:bCs/>
          <w:lang w:val="fr-FR"/>
        </w:rPr>
        <w:t>1</w:t>
      </w:r>
      <w:r>
        <w:rPr>
          <w:bCs/>
          <w:lang w:val="fr-FR"/>
        </w:rPr>
        <w:tab/>
      </w:r>
      <w:r w:rsidRPr="00086010">
        <w:rPr>
          <w:bCs/>
          <w:lang w:val="fr-FR"/>
        </w:rPr>
        <w:t>Présence</w:t>
      </w:r>
      <w:r w:rsidRPr="00147D43">
        <w:rPr>
          <w:bCs/>
          <w:lang w:val="fr-FR"/>
        </w:rPr>
        <w:t> :</w:t>
      </w:r>
      <w:r w:rsidRPr="00147D43">
        <w:rPr>
          <w:bCs/>
          <w:lang w:val="fr-FR"/>
        </w:rPr>
        <w:tab/>
        <w:t>Facultative sur les véhicules dont la vitesse est limitée par construction à 40 km/h. Interdite sur tous les autres véhicules.</w:t>
      </w:r>
    </w:p>
    <w:p w:rsidR="00A228A9" w:rsidRPr="00086010" w:rsidRDefault="00A228A9" w:rsidP="00A228A9">
      <w:pPr>
        <w:pStyle w:val="SingleTxtG"/>
        <w:tabs>
          <w:tab w:val="left" w:pos="2268"/>
        </w:tabs>
        <w:ind w:left="3402" w:hanging="2268"/>
        <w:rPr>
          <w:bCs/>
          <w:lang w:val="fr-FR"/>
        </w:rPr>
      </w:pPr>
      <w:r w:rsidRPr="00147D43">
        <w:rPr>
          <w:bCs/>
          <w:lang w:val="fr-FR"/>
        </w:rPr>
        <w:t>6.22.2</w:t>
      </w:r>
      <w:r w:rsidRPr="00147D43">
        <w:rPr>
          <w:bCs/>
          <w:lang w:val="fr-FR"/>
        </w:rPr>
        <w:tab/>
        <w:t>Nombre :</w:t>
      </w:r>
      <w:r w:rsidRPr="00147D43">
        <w:rPr>
          <w:bCs/>
          <w:lang w:val="fr-FR"/>
        </w:rPr>
        <w:tab/>
        <w:t>Conformément à l’annexe 15 du Règlement ONU n</w:t>
      </w:r>
      <w:r w:rsidRPr="00B13A39">
        <w:rPr>
          <w:bCs/>
          <w:vertAlign w:val="superscript"/>
          <w:lang w:val="fr-FR"/>
        </w:rPr>
        <w:t>o</w:t>
      </w:r>
      <w:r w:rsidRPr="00B13A39">
        <w:rPr>
          <w:bCs/>
          <w:lang w:val="fr-FR"/>
        </w:rPr>
        <w:t> </w:t>
      </w:r>
      <w:r w:rsidRPr="00AA61AB">
        <w:rPr>
          <w:bCs/>
          <w:lang w:val="fr-FR"/>
        </w:rPr>
        <w:t>69 ou à l’annexe</w:t>
      </w:r>
      <w:r w:rsidRPr="007E0CF2">
        <w:rPr>
          <w:bCs/>
          <w:lang w:val="fr-FR"/>
        </w:rPr>
        <w:t> 25 du Règlement ONU n</w:t>
      </w:r>
      <w:r w:rsidRPr="007E0CF2">
        <w:rPr>
          <w:bCs/>
          <w:vertAlign w:val="superscript"/>
          <w:lang w:val="fr-FR"/>
        </w:rPr>
        <w:t>o</w:t>
      </w:r>
      <w:r w:rsidRPr="00D95EB8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r>
        <w:rPr>
          <w:bCs/>
          <w:lang w:val="fr-FR"/>
        </w:rPr>
        <w:t>.</w:t>
      </w:r>
    </w:p>
    <w:p w:rsidR="00A228A9" w:rsidRPr="00086010" w:rsidRDefault="00A228A9" w:rsidP="00A228A9">
      <w:pPr>
        <w:pStyle w:val="SingleTxtG"/>
        <w:tabs>
          <w:tab w:val="left" w:pos="2268"/>
        </w:tabs>
        <w:ind w:left="4536" w:hanging="3402"/>
        <w:rPr>
          <w:bCs/>
          <w:lang w:val="fr-FR"/>
        </w:rPr>
      </w:pPr>
      <w:r w:rsidRPr="00086010">
        <w:rPr>
          <w:bCs/>
          <w:lang w:val="fr-FR"/>
        </w:rPr>
        <w:lastRenderedPageBreak/>
        <w:t>6.22.3</w:t>
      </w:r>
      <w:r w:rsidRPr="00086010">
        <w:rPr>
          <w:bCs/>
          <w:lang w:val="fr-FR"/>
        </w:rPr>
        <w:tab/>
      </w:r>
      <w:r w:rsidRPr="00147D43">
        <w:rPr>
          <w:bCs/>
          <w:spacing w:val="-2"/>
          <w:lang w:val="fr-FR"/>
        </w:rPr>
        <w:t>Schéma d’installation</w:t>
      </w:r>
      <w:r w:rsidRPr="00147D43">
        <w:rPr>
          <w:bCs/>
          <w:lang w:val="fr-FR"/>
        </w:rPr>
        <w:t> :</w:t>
      </w:r>
      <w:r w:rsidRPr="00147D43">
        <w:rPr>
          <w:bCs/>
          <w:lang w:val="fr-FR"/>
        </w:rPr>
        <w:tab/>
        <w:t>Conformément à l’annexe 15 du Règlement ONU n</w:t>
      </w:r>
      <w:r w:rsidRPr="00147D43">
        <w:rPr>
          <w:bCs/>
          <w:vertAlign w:val="superscript"/>
          <w:lang w:val="fr-FR"/>
        </w:rPr>
        <w:t>o</w:t>
      </w:r>
      <w:r w:rsidRPr="00147D43">
        <w:rPr>
          <w:bCs/>
          <w:lang w:val="fr-FR"/>
        </w:rPr>
        <w:t> 69 ou à l’</w:t>
      </w:r>
      <w:r w:rsidRPr="00B13A39">
        <w:rPr>
          <w:bCs/>
          <w:lang w:val="fr-FR"/>
        </w:rPr>
        <w:t>annexe </w:t>
      </w:r>
      <w:r w:rsidRPr="00AA61AB">
        <w:rPr>
          <w:bCs/>
          <w:lang w:val="fr-FR"/>
        </w:rPr>
        <w:t>25 du Règlement ONU n</w:t>
      </w:r>
      <w:r w:rsidRPr="00AA61AB">
        <w:rPr>
          <w:bCs/>
          <w:vertAlign w:val="superscript"/>
          <w:lang w:val="fr-FR"/>
        </w:rPr>
        <w:t>o</w:t>
      </w:r>
      <w:r w:rsidRPr="007E0CF2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r w:rsidRPr="00926A55">
        <w:rPr>
          <w:bCs/>
          <w:lang w:val="fr-FR"/>
        </w:rPr>
        <w:t>.</w:t>
      </w:r>
    </w:p>
    <w:p w:rsidR="00A228A9" w:rsidRPr="00147D43" w:rsidRDefault="00A228A9" w:rsidP="00A228A9">
      <w:pPr>
        <w:pStyle w:val="SingleTxtG"/>
        <w:ind w:left="2268" w:hanging="1134"/>
        <w:rPr>
          <w:bCs/>
          <w:lang w:val="fr-FR"/>
        </w:rPr>
      </w:pPr>
      <w:r w:rsidRPr="00086010">
        <w:rPr>
          <w:bCs/>
          <w:lang w:val="fr-FR"/>
        </w:rPr>
        <w:t>6.22.4</w:t>
      </w:r>
      <w:r w:rsidRPr="00086010">
        <w:rPr>
          <w:bCs/>
          <w:lang w:val="fr-FR"/>
        </w:rPr>
        <w:tab/>
        <w:t>Emplacement</w:t>
      </w:r>
    </w:p>
    <w:p w:rsidR="00A228A9" w:rsidRPr="00086010" w:rsidRDefault="00A228A9" w:rsidP="00A228A9">
      <w:pPr>
        <w:pStyle w:val="SingleTxtG"/>
        <w:tabs>
          <w:tab w:val="left" w:pos="2268"/>
        </w:tabs>
        <w:ind w:left="4536" w:hanging="2268"/>
        <w:rPr>
          <w:bCs/>
          <w:lang w:val="fr-FR"/>
        </w:rPr>
      </w:pPr>
      <w:r w:rsidRPr="00147D43">
        <w:rPr>
          <w:bCs/>
          <w:lang w:val="fr-FR"/>
        </w:rPr>
        <w:t>En largeur :</w:t>
      </w:r>
      <w:r w:rsidRPr="00147D43">
        <w:rPr>
          <w:bCs/>
          <w:lang w:val="fr-FR"/>
        </w:rPr>
        <w:tab/>
        <w:t>Conformément à l’annexe 15 du Règlement ONU n</w:t>
      </w:r>
      <w:r w:rsidRPr="00147D43">
        <w:rPr>
          <w:bCs/>
          <w:vertAlign w:val="superscript"/>
          <w:lang w:val="fr-FR"/>
        </w:rPr>
        <w:t>o</w:t>
      </w:r>
      <w:r w:rsidRPr="00147D43">
        <w:rPr>
          <w:bCs/>
          <w:lang w:val="fr-FR"/>
        </w:rPr>
        <w:t> 69 ou à l</w:t>
      </w:r>
      <w:r w:rsidRPr="00B13A39">
        <w:rPr>
          <w:bCs/>
          <w:lang w:val="fr-FR"/>
        </w:rPr>
        <w:t>’annexe</w:t>
      </w:r>
      <w:r w:rsidRPr="00AA61AB">
        <w:rPr>
          <w:bCs/>
          <w:lang w:val="fr-FR"/>
        </w:rPr>
        <w:t> 25 du Règlement ONU n</w:t>
      </w:r>
      <w:r w:rsidRPr="007E0CF2">
        <w:rPr>
          <w:bCs/>
          <w:vertAlign w:val="superscript"/>
          <w:lang w:val="fr-FR"/>
        </w:rPr>
        <w:t>o</w:t>
      </w:r>
      <w:r w:rsidRPr="007E0CF2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r w:rsidRPr="00926A55">
        <w:rPr>
          <w:bCs/>
          <w:lang w:val="fr-FR"/>
        </w:rPr>
        <w:t>.</w:t>
      </w:r>
    </w:p>
    <w:p w:rsidR="00A228A9" w:rsidRPr="00147D43" w:rsidRDefault="00A228A9" w:rsidP="00A228A9">
      <w:pPr>
        <w:pStyle w:val="SingleTxtG"/>
        <w:tabs>
          <w:tab w:val="left" w:pos="2268"/>
        </w:tabs>
        <w:ind w:left="4536" w:hanging="2268"/>
        <w:rPr>
          <w:bCs/>
          <w:lang w:val="fr-FR"/>
        </w:rPr>
      </w:pPr>
      <w:r w:rsidRPr="00086010">
        <w:rPr>
          <w:bCs/>
          <w:lang w:val="fr-FR"/>
        </w:rPr>
        <w:t>En hauteur</w:t>
      </w:r>
      <w:r w:rsidRPr="00147D43">
        <w:rPr>
          <w:bCs/>
          <w:lang w:val="fr-FR"/>
        </w:rPr>
        <w:t> :</w:t>
      </w:r>
      <w:r w:rsidRPr="00147D43">
        <w:rPr>
          <w:bCs/>
          <w:lang w:val="fr-FR"/>
        </w:rPr>
        <w:tab/>
        <w:t>Aucune prescription particulière.</w:t>
      </w:r>
    </w:p>
    <w:p w:rsidR="00A228A9" w:rsidRPr="00C72685" w:rsidRDefault="00A228A9" w:rsidP="00A228A9">
      <w:pPr>
        <w:pStyle w:val="SingleTxtG"/>
        <w:tabs>
          <w:tab w:val="left" w:pos="2268"/>
        </w:tabs>
        <w:ind w:left="4536" w:hanging="2268"/>
        <w:rPr>
          <w:bCs/>
          <w:lang w:val="fr-FR"/>
        </w:rPr>
      </w:pPr>
      <w:r w:rsidRPr="00147D43">
        <w:rPr>
          <w:bCs/>
          <w:lang w:val="fr-FR"/>
        </w:rPr>
        <w:t>En longueur :</w:t>
      </w:r>
      <w:r w:rsidRPr="00147D43">
        <w:rPr>
          <w:bCs/>
          <w:lang w:val="fr-FR"/>
        </w:rPr>
        <w:tab/>
        <w:t>Conformément à l’annexe 15 du Règlement ONU n</w:t>
      </w:r>
      <w:r w:rsidRPr="00147D43">
        <w:rPr>
          <w:bCs/>
          <w:vertAlign w:val="superscript"/>
          <w:lang w:val="fr-FR"/>
        </w:rPr>
        <w:t>o</w:t>
      </w:r>
      <w:r w:rsidRPr="00B13A39">
        <w:rPr>
          <w:bCs/>
          <w:lang w:val="fr-FR"/>
        </w:rPr>
        <w:t> 69 ou à l</w:t>
      </w:r>
      <w:r w:rsidRPr="00AA61AB">
        <w:rPr>
          <w:bCs/>
          <w:lang w:val="fr-FR"/>
        </w:rPr>
        <w:t>’annexe </w:t>
      </w:r>
      <w:r w:rsidRPr="007E0CF2">
        <w:rPr>
          <w:bCs/>
          <w:lang w:val="fr-FR"/>
        </w:rPr>
        <w:t>25 du Règlement ONU n</w:t>
      </w:r>
      <w:r w:rsidRPr="007E0CF2">
        <w:rPr>
          <w:bCs/>
          <w:vertAlign w:val="superscript"/>
          <w:lang w:val="fr-FR"/>
        </w:rPr>
        <w:t>o</w:t>
      </w:r>
      <w:r w:rsidRPr="007E0CF2">
        <w:rPr>
          <w:bCs/>
          <w:lang w:val="fr-FR"/>
        </w:rPr>
        <w:t> </w:t>
      </w:r>
      <w:r w:rsidRPr="00D95EB8">
        <w:rPr>
          <w:bCs/>
          <w:lang w:val="fr-FR"/>
        </w:rPr>
        <w:t>150</w:t>
      </w:r>
      <w:r w:rsidRPr="00C72685">
        <w:rPr>
          <w:bCs/>
          <w:lang w:val="fr-FR"/>
        </w:rPr>
        <w:t>.</w:t>
      </w:r>
    </w:p>
    <w:p w:rsidR="00A228A9" w:rsidRPr="00086010" w:rsidRDefault="00A228A9" w:rsidP="00A228A9">
      <w:pPr>
        <w:pStyle w:val="SingleTxtG"/>
        <w:tabs>
          <w:tab w:val="left" w:pos="2268"/>
        </w:tabs>
        <w:ind w:left="4536" w:hanging="3402"/>
        <w:rPr>
          <w:bCs/>
          <w:lang w:val="fr-FR"/>
        </w:rPr>
      </w:pPr>
      <w:r w:rsidRPr="00C72685">
        <w:rPr>
          <w:bCs/>
          <w:lang w:val="fr-FR"/>
        </w:rPr>
        <w:t>6.22.5</w:t>
      </w:r>
      <w:r w:rsidRPr="00C72685">
        <w:rPr>
          <w:bCs/>
          <w:lang w:val="fr-FR"/>
        </w:rPr>
        <w:tab/>
      </w:r>
      <w:r w:rsidRPr="008567B5">
        <w:rPr>
          <w:bCs/>
          <w:spacing w:val="-2"/>
          <w:lang w:val="fr-FR"/>
        </w:rPr>
        <w:t>Visibilité géométrique :</w:t>
      </w:r>
      <w:r w:rsidRPr="008567B5">
        <w:rPr>
          <w:bCs/>
          <w:lang w:val="fr-FR"/>
        </w:rPr>
        <w:tab/>
        <w:t>Conformément à l’annexe 15 du Règlement ONU n</w:t>
      </w:r>
      <w:r w:rsidRPr="008567B5">
        <w:rPr>
          <w:bCs/>
          <w:vertAlign w:val="superscript"/>
          <w:lang w:val="fr-FR"/>
        </w:rPr>
        <w:t>o</w:t>
      </w:r>
      <w:r w:rsidRPr="008567B5">
        <w:rPr>
          <w:bCs/>
          <w:lang w:val="fr-FR"/>
        </w:rPr>
        <w:t> 69 ou à l’annexe 25 du Règlement ONU n</w:t>
      </w:r>
      <w:r w:rsidRPr="008567B5">
        <w:rPr>
          <w:bCs/>
          <w:vertAlign w:val="superscript"/>
          <w:lang w:val="fr-FR"/>
        </w:rPr>
        <w:t>o</w:t>
      </w:r>
      <w:r w:rsidRPr="008567B5">
        <w:rPr>
          <w:bCs/>
          <w:lang w:val="fr-FR"/>
        </w:rPr>
        <w:t> 150</w:t>
      </w:r>
      <w:r w:rsidRPr="00926A55">
        <w:rPr>
          <w:bCs/>
          <w:lang w:val="fr-FR"/>
        </w:rPr>
        <w:t>.</w:t>
      </w:r>
    </w:p>
    <w:p w:rsidR="00A228A9" w:rsidRPr="00086010" w:rsidRDefault="00A228A9" w:rsidP="00A228A9">
      <w:pPr>
        <w:pStyle w:val="SingleTxtG"/>
        <w:tabs>
          <w:tab w:val="left" w:pos="2268"/>
        </w:tabs>
        <w:ind w:left="4536" w:hanging="3402"/>
        <w:rPr>
          <w:rFonts w:eastAsia="MS Mincho"/>
          <w:bCs/>
          <w:i/>
          <w:lang w:val="fr-FR"/>
        </w:rPr>
      </w:pPr>
      <w:r w:rsidRPr="00086010">
        <w:rPr>
          <w:bCs/>
          <w:lang w:val="fr-FR"/>
        </w:rPr>
        <w:t>6.22.6</w:t>
      </w:r>
      <w:r w:rsidRPr="00086010">
        <w:rPr>
          <w:bCs/>
          <w:lang w:val="fr-FR"/>
        </w:rPr>
        <w:tab/>
        <w:t>Orientation</w:t>
      </w:r>
      <w:r w:rsidRPr="00147D43">
        <w:rPr>
          <w:bCs/>
          <w:lang w:val="fr-FR"/>
        </w:rPr>
        <w:t> :</w:t>
      </w:r>
      <w:r w:rsidRPr="00147D43">
        <w:rPr>
          <w:bCs/>
          <w:lang w:val="fr-FR"/>
        </w:rPr>
        <w:tab/>
        <w:t>Conformément à l’annexe 15 du Règlement ONU n</w:t>
      </w:r>
      <w:r w:rsidRPr="00147D43">
        <w:rPr>
          <w:bCs/>
          <w:vertAlign w:val="superscript"/>
          <w:lang w:val="fr-FR"/>
        </w:rPr>
        <w:t>o</w:t>
      </w:r>
      <w:r w:rsidRPr="00147D43">
        <w:rPr>
          <w:bCs/>
          <w:lang w:val="fr-FR"/>
        </w:rPr>
        <w:t> 69 ou à l’annexe</w:t>
      </w:r>
      <w:r w:rsidRPr="00B13A39">
        <w:rPr>
          <w:bCs/>
          <w:lang w:val="fr-FR"/>
        </w:rPr>
        <w:t xml:space="preserve"> 25 du Règlement ONU </w:t>
      </w:r>
      <w:r w:rsidRPr="00AA61AB">
        <w:rPr>
          <w:bCs/>
          <w:lang w:val="fr-FR"/>
        </w:rPr>
        <w:t>n</w:t>
      </w:r>
      <w:r w:rsidRPr="00AA61AB">
        <w:rPr>
          <w:bCs/>
          <w:vertAlign w:val="superscript"/>
          <w:lang w:val="fr-FR"/>
        </w:rPr>
        <w:t>o</w:t>
      </w:r>
      <w:r w:rsidRPr="00AA61AB">
        <w:rPr>
          <w:bCs/>
          <w:lang w:val="fr-FR"/>
        </w:rPr>
        <w:t> </w:t>
      </w:r>
      <w:r w:rsidRPr="008567B5">
        <w:rPr>
          <w:bCs/>
          <w:lang w:val="fr-FR"/>
        </w:rPr>
        <w:t>150</w:t>
      </w:r>
      <w:r w:rsidRPr="00926A55">
        <w:rPr>
          <w:bCs/>
          <w:lang w:val="fr-FR"/>
        </w:rPr>
        <w:t>. »</w:t>
      </w:r>
    </w:p>
    <w:p w:rsidR="00A228A9" w:rsidRPr="00147D43" w:rsidRDefault="00A228A9" w:rsidP="00A228A9">
      <w:pPr>
        <w:pStyle w:val="SingleTxtG"/>
        <w:rPr>
          <w:bCs/>
          <w:lang w:val="fr-FR"/>
        </w:rPr>
      </w:pPr>
      <w:r w:rsidRPr="00086010">
        <w:rPr>
          <w:bCs/>
          <w:i/>
          <w:iCs/>
          <w:lang w:val="fr-FR"/>
        </w:rPr>
        <w:t>Paragraphe 6.24</w:t>
      </w:r>
      <w:r w:rsidRPr="00147D43">
        <w:rPr>
          <w:bCs/>
          <w:lang w:val="fr-FR"/>
        </w:rPr>
        <w:t>, lire :</w:t>
      </w:r>
    </w:p>
    <w:p w:rsidR="00A228A9" w:rsidRPr="00086010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147D43">
        <w:rPr>
          <w:bCs/>
        </w:rPr>
        <w:t>« 6.24</w:t>
      </w:r>
      <w:r w:rsidRPr="00147D43">
        <w:rPr>
          <w:bCs/>
        </w:rPr>
        <w:tab/>
        <w:t>Feux de manœuvre (Règlement</w:t>
      </w:r>
      <w:r>
        <w:rPr>
          <w:bCs/>
        </w:rPr>
        <w:t>s</w:t>
      </w:r>
      <w:r w:rsidRPr="00147D43">
        <w:rPr>
          <w:bCs/>
        </w:rPr>
        <w:t xml:space="preserve"> ONU n</w:t>
      </w:r>
      <w:r w:rsidRPr="00147D43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147D43">
        <w:rPr>
          <w:bCs/>
        </w:rPr>
        <w:t> 23 ou</w:t>
      </w:r>
      <w:r w:rsidRPr="00B13A39">
        <w:rPr>
          <w:bCs/>
        </w:rPr>
        <w:t> </w:t>
      </w:r>
      <w:r w:rsidRPr="008567B5">
        <w:rPr>
          <w:bCs/>
        </w:rPr>
        <w:t>148</w:t>
      </w:r>
      <w:r w:rsidRPr="00926A55">
        <w:rPr>
          <w:bCs/>
        </w:rPr>
        <w:t>)</w:t>
      </w:r>
      <w:r>
        <w:rPr>
          <w:bCs/>
        </w:rPr>
        <w:t>.</w:t>
      </w:r>
      <w:r w:rsidRPr="00926A55">
        <w:rPr>
          <w:bCs/>
        </w:rPr>
        <w:t> »</w:t>
      </w:r>
    </w:p>
    <w:p w:rsidR="00A228A9" w:rsidRPr="00147D43" w:rsidRDefault="00A228A9" w:rsidP="00A228A9">
      <w:pPr>
        <w:pStyle w:val="SingleTxtG"/>
        <w:rPr>
          <w:bCs/>
          <w:lang w:val="fr-FR"/>
        </w:rPr>
      </w:pPr>
      <w:r w:rsidRPr="00086010">
        <w:rPr>
          <w:bCs/>
          <w:i/>
          <w:iCs/>
          <w:lang w:val="fr-FR"/>
        </w:rPr>
        <w:t>Paragraphe 6.24.9.2</w:t>
      </w:r>
      <w:r w:rsidRPr="00147D43">
        <w:rPr>
          <w:bCs/>
          <w:lang w:val="fr-FR"/>
        </w:rPr>
        <w:t>, lire :</w:t>
      </w:r>
    </w:p>
    <w:p w:rsidR="00A228A9" w:rsidRPr="00147D43" w:rsidRDefault="00A228A9" w:rsidP="00A228A9">
      <w:pPr>
        <w:pStyle w:val="SingleTxtG"/>
        <w:ind w:left="4536" w:hanging="3402"/>
        <w:rPr>
          <w:bCs/>
          <w:lang w:val="fr-FR"/>
        </w:rPr>
      </w:pPr>
      <w:bookmarkStart w:id="1" w:name="_Hlk44402969"/>
      <w:r w:rsidRPr="00147D43">
        <w:rPr>
          <w:bCs/>
          <w:lang w:val="fr-FR"/>
        </w:rPr>
        <w:t>« 6.24.9.2</w:t>
      </w:r>
      <w:r w:rsidRPr="00147D43">
        <w:rPr>
          <w:bCs/>
          <w:lang w:val="fr-FR"/>
        </w:rPr>
        <w:tab/>
      </w:r>
      <w:r w:rsidRPr="00147D43">
        <w:rPr>
          <w:bCs/>
          <w:lang w:val="fr-FR"/>
        </w:rPr>
        <w:tab/>
        <w:t xml:space="preserve">Le respect des prescriptions du paragraphe 6.24.9.1 peut être vérifié sur schéma ou par simulation ou jugé réalisé si les conditions d’installation satisfont aux prescriptions du paragraphe 6.2.2 du Règlement ONU </w:t>
      </w:r>
      <w:r w:rsidRPr="00B13A39">
        <w:rPr>
          <w:bCs/>
          <w:lang w:val="fr-FR"/>
        </w:rPr>
        <w:t>n</w:t>
      </w:r>
      <w:r w:rsidRPr="00B13A39">
        <w:rPr>
          <w:bCs/>
          <w:vertAlign w:val="superscript"/>
          <w:lang w:val="fr-FR"/>
        </w:rPr>
        <w:t>o</w:t>
      </w:r>
      <w:r w:rsidRPr="00AA61AB">
        <w:rPr>
          <w:bCs/>
          <w:lang w:val="fr-FR"/>
        </w:rPr>
        <w:t> 23, ou au paragraphe </w:t>
      </w:r>
      <w:r w:rsidRPr="007E0CF2">
        <w:rPr>
          <w:bCs/>
          <w:lang w:val="fr-FR"/>
        </w:rPr>
        <w:t>5.10.2 du Règlement ONU n</w:t>
      </w:r>
      <w:r w:rsidRPr="007E0CF2">
        <w:rPr>
          <w:bCs/>
          <w:vertAlign w:val="superscript"/>
          <w:lang w:val="fr-FR"/>
        </w:rPr>
        <w:t>o</w:t>
      </w:r>
      <w:r w:rsidRPr="007E0CF2">
        <w:rPr>
          <w:bCs/>
          <w:lang w:val="fr-FR"/>
        </w:rPr>
        <w:t> </w:t>
      </w:r>
      <w:r w:rsidRPr="008567B5">
        <w:rPr>
          <w:bCs/>
          <w:lang w:val="fr-FR"/>
        </w:rPr>
        <w:t>148</w:t>
      </w:r>
      <w:r w:rsidRPr="00926A55">
        <w:rPr>
          <w:bCs/>
          <w:lang w:val="fr-FR"/>
        </w:rPr>
        <w:t xml:space="preserve">, comme indiqué dans le document </w:t>
      </w:r>
      <w:r w:rsidRPr="00086010">
        <w:rPr>
          <w:bCs/>
          <w:spacing w:val="-2"/>
          <w:lang w:val="fr-FR"/>
        </w:rPr>
        <w:t>d’homologation de l’annexe</w:t>
      </w:r>
      <w:r w:rsidRPr="00147D43">
        <w:rPr>
          <w:bCs/>
          <w:spacing w:val="-2"/>
          <w:lang w:val="fr-FR"/>
        </w:rPr>
        <w:t> 1, au paragraphe 9.</w:t>
      </w:r>
      <w:bookmarkEnd w:id="1"/>
      <w:r w:rsidRPr="00147D43">
        <w:rPr>
          <w:bCs/>
          <w:spacing w:val="-2"/>
          <w:lang w:val="fr-FR"/>
        </w:rPr>
        <w:t> »</w:t>
      </w:r>
    </w:p>
    <w:p w:rsidR="00A228A9" w:rsidRPr="00147D43" w:rsidRDefault="00A228A9" w:rsidP="00A228A9">
      <w:pPr>
        <w:pStyle w:val="SingleTxtG"/>
        <w:rPr>
          <w:bCs/>
          <w:lang w:val="fr-FR"/>
        </w:rPr>
      </w:pPr>
      <w:r w:rsidRPr="00147D43">
        <w:rPr>
          <w:bCs/>
          <w:i/>
          <w:iCs/>
          <w:lang w:val="fr-FR"/>
        </w:rPr>
        <w:t>Paragraphe 6.25</w:t>
      </w:r>
      <w:r w:rsidRPr="00147D43">
        <w:rPr>
          <w:bCs/>
          <w:lang w:val="fr-FR"/>
        </w:rPr>
        <w:t>, lire :</w:t>
      </w:r>
    </w:p>
    <w:p w:rsidR="00A228A9" w:rsidRPr="00147D43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147D43">
        <w:rPr>
          <w:bCs/>
        </w:rPr>
        <w:t>« 6.25</w:t>
      </w:r>
      <w:r w:rsidRPr="00147D43">
        <w:rPr>
          <w:bCs/>
        </w:rPr>
        <w:tab/>
        <w:t>Catadioptres arrière, triangulaires (Règlement</w:t>
      </w:r>
      <w:r>
        <w:rPr>
          <w:bCs/>
        </w:rPr>
        <w:t>s</w:t>
      </w:r>
      <w:r w:rsidRPr="00147D43">
        <w:rPr>
          <w:bCs/>
        </w:rPr>
        <w:t xml:space="preserve"> ONU </w:t>
      </w:r>
      <w:r w:rsidRPr="00B13A39">
        <w:rPr>
          <w:bCs/>
        </w:rPr>
        <w:t>n</w:t>
      </w:r>
      <w:r w:rsidRPr="00B13A39">
        <w:rPr>
          <w:bCs/>
          <w:vertAlign w:val="superscript"/>
        </w:rPr>
        <w:t>o</w:t>
      </w:r>
      <w:r>
        <w:rPr>
          <w:bCs/>
          <w:vertAlign w:val="superscript"/>
        </w:rPr>
        <w:t>s</w:t>
      </w:r>
      <w:r w:rsidRPr="00AA61AB">
        <w:rPr>
          <w:bCs/>
        </w:rPr>
        <w:t> 3 ou</w:t>
      </w:r>
      <w:r w:rsidRPr="007E0CF2">
        <w:rPr>
          <w:bCs/>
        </w:rPr>
        <w:t> </w:t>
      </w:r>
      <w:r w:rsidRPr="008567B5">
        <w:rPr>
          <w:bCs/>
        </w:rPr>
        <w:t>150</w:t>
      </w:r>
      <w:r w:rsidRPr="00926A55">
        <w:rPr>
          <w:bCs/>
        </w:rPr>
        <w:t>)</w:t>
      </w:r>
      <w:r>
        <w:rPr>
          <w:bCs/>
        </w:rPr>
        <w:t>.</w:t>
      </w:r>
      <w:r w:rsidRPr="00086010">
        <w:rPr>
          <w:bCs/>
        </w:rPr>
        <w:t> »</w:t>
      </w:r>
    </w:p>
    <w:p w:rsidR="00A228A9" w:rsidRPr="00C72685" w:rsidRDefault="00A228A9" w:rsidP="00A228A9">
      <w:pPr>
        <w:pStyle w:val="SingleTxtG"/>
        <w:keepNext/>
        <w:keepLines/>
        <w:rPr>
          <w:bCs/>
          <w:lang w:val="fr-FR"/>
        </w:rPr>
      </w:pPr>
      <w:r w:rsidRPr="00147D43">
        <w:rPr>
          <w:bCs/>
          <w:i/>
          <w:iCs/>
          <w:lang w:val="fr-FR"/>
        </w:rPr>
        <w:t>Paragraphe 6.26</w:t>
      </w:r>
      <w:r w:rsidRPr="00B13A39">
        <w:rPr>
          <w:bCs/>
          <w:lang w:val="fr-FR"/>
        </w:rPr>
        <w:t>, lire</w:t>
      </w:r>
      <w:r w:rsidRPr="00D95EB8">
        <w:rPr>
          <w:bCs/>
          <w:lang w:val="fr-FR"/>
        </w:rPr>
        <w:t> :</w:t>
      </w:r>
    </w:p>
    <w:p w:rsidR="00A228A9" w:rsidRPr="00D95EB8" w:rsidRDefault="00A228A9" w:rsidP="00A228A9">
      <w:pPr>
        <w:pStyle w:val="SingleTxtG"/>
        <w:ind w:left="2268" w:hanging="1134"/>
        <w:rPr>
          <w:rFonts w:eastAsia="MS Mincho"/>
          <w:bCs/>
          <w:i/>
        </w:rPr>
      </w:pPr>
      <w:r w:rsidRPr="00C72685">
        <w:rPr>
          <w:bCs/>
        </w:rPr>
        <w:t>« 6.26</w:t>
      </w:r>
      <w:r w:rsidRPr="00C72685">
        <w:rPr>
          <w:bCs/>
        </w:rPr>
        <w:tab/>
        <w:t>Bandeaux de signalisation (Règlements ONU n</w:t>
      </w:r>
      <w:r w:rsidRPr="00C72685">
        <w:rPr>
          <w:bCs/>
          <w:vertAlign w:val="superscript"/>
        </w:rPr>
        <w:t>os</w:t>
      </w:r>
      <w:r w:rsidRPr="00C72685">
        <w:rPr>
          <w:bCs/>
        </w:rPr>
        <w:t> 70 et 104 ou Règlement ONU n</w:t>
      </w:r>
      <w:r w:rsidRPr="00C72685">
        <w:rPr>
          <w:bCs/>
          <w:vertAlign w:val="superscript"/>
        </w:rPr>
        <w:t>o</w:t>
      </w:r>
      <w:r w:rsidRPr="00C72685">
        <w:rPr>
          <w:bCs/>
        </w:rPr>
        <w:t> </w:t>
      </w:r>
      <w:r w:rsidRPr="008567B5">
        <w:rPr>
          <w:bCs/>
        </w:rPr>
        <w:t>150</w:t>
      </w:r>
      <w:r w:rsidRPr="00147D43">
        <w:rPr>
          <w:bCs/>
        </w:rPr>
        <w:t>)</w:t>
      </w:r>
      <w:r>
        <w:rPr>
          <w:bCs/>
        </w:rPr>
        <w:t>.</w:t>
      </w:r>
      <w:r w:rsidRPr="00B13A39">
        <w:rPr>
          <w:bCs/>
        </w:rPr>
        <w:t> </w:t>
      </w:r>
      <w:r w:rsidRPr="00D95EB8">
        <w:rPr>
          <w:bCs/>
        </w:rPr>
        <w:t>»</w:t>
      </w:r>
    </w:p>
    <w:p w:rsidR="00A228A9" w:rsidRPr="00C72685" w:rsidRDefault="00A228A9" w:rsidP="00A228A9">
      <w:pPr>
        <w:pStyle w:val="SingleTxtG"/>
        <w:rPr>
          <w:bCs/>
          <w:i/>
          <w:lang w:val="fr-FR"/>
        </w:rPr>
      </w:pPr>
      <w:r w:rsidRPr="00C72685">
        <w:rPr>
          <w:bCs/>
          <w:i/>
          <w:iCs/>
          <w:lang w:val="fr-FR"/>
        </w:rPr>
        <w:t>Annexe 1</w:t>
      </w:r>
    </w:p>
    <w:p w:rsidR="00A228A9" w:rsidRPr="00C72685" w:rsidRDefault="00A228A9" w:rsidP="00A228A9">
      <w:pPr>
        <w:pStyle w:val="SingleTxtG"/>
        <w:rPr>
          <w:bCs/>
          <w:lang w:val="fr-FR"/>
        </w:rPr>
      </w:pPr>
      <w:r w:rsidRPr="00C72685">
        <w:rPr>
          <w:bCs/>
          <w:i/>
          <w:iCs/>
          <w:lang w:val="fr-FR"/>
        </w:rPr>
        <w:t>Point 6</w:t>
      </w:r>
      <w:r w:rsidRPr="00C72685">
        <w:rPr>
          <w:bCs/>
          <w:lang w:val="fr-FR"/>
        </w:rPr>
        <w:t>, lire :</w:t>
      </w:r>
    </w:p>
    <w:p w:rsidR="00A228A9" w:rsidRPr="00147D43" w:rsidRDefault="00A228A9" w:rsidP="00A228A9">
      <w:pPr>
        <w:pStyle w:val="SingleTxtG"/>
        <w:ind w:left="2268" w:hanging="1134"/>
        <w:rPr>
          <w:bCs/>
          <w:lang w:val="fr-FR"/>
        </w:rPr>
      </w:pPr>
      <w:r w:rsidRPr="00C72685">
        <w:rPr>
          <w:bCs/>
          <w:lang w:val="fr-FR"/>
        </w:rPr>
        <w:t>« 6.</w:t>
      </w:r>
      <w:r w:rsidRPr="00C72685">
        <w:rPr>
          <w:bCs/>
          <w:lang w:val="fr-FR"/>
        </w:rPr>
        <w:tab/>
        <w:t>Feux équivalents </w:t>
      </w:r>
      <w:r w:rsidRPr="008567B5">
        <w:rPr>
          <w:bCs/>
          <w:lang w:val="fr-FR"/>
        </w:rPr>
        <w:t>: oui/non</w:t>
      </w:r>
      <w:r w:rsidRPr="008567B5">
        <w:rPr>
          <w:bCs/>
          <w:vertAlign w:val="superscript"/>
          <w:lang w:val="fr-FR"/>
        </w:rPr>
        <w:t>2</w:t>
      </w:r>
      <w:r w:rsidRPr="008567B5">
        <w:rPr>
          <w:bCs/>
          <w:lang w:val="fr-FR"/>
        </w:rPr>
        <w:t xml:space="preserve"> (voir par. 2.2</w:t>
      </w:r>
      <w:r w:rsidRPr="0009193A">
        <w:rPr>
          <w:bCs/>
          <w:lang w:val="fr-FR"/>
        </w:rPr>
        <w:t>.1). »</w:t>
      </w:r>
    </w:p>
    <w:p w:rsidR="00A228A9" w:rsidRPr="00C72685" w:rsidRDefault="00A228A9" w:rsidP="00A228A9">
      <w:pPr>
        <w:pStyle w:val="SingleTxtG"/>
        <w:rPr>
          <w:bCs/>
          <w:i/>
          <w:lang w:val="fr-FR"/>
        </w:rPr>
      </w:pPr>
      <w:r w:rsidRPr="00C72685">
        <w:rPr>
          <w:bCs/>
          <w:i/>
          <w:iCs/>
          <w:lang w:val="fr-FR"/>
        </w:rPr>
        <w:t>Annexe 5</w:t>
      </w:r>
      <w:r w:rsidRPr="00C72685">
        <w:rPr>
          <w:bCs/>
          <w:lang w:val="fr-FR"/>
        </w:rPr>
        <w:t>, supprimer le “4” barré :</w:t>
      </w:r>
    </w:p>
    <w:p w:rsidR="00A228A9" w:rsidRPr="0009193A" w:rsidRDefault="00A228A9" w:rsidP="00A228A9">
      <w:pPr>
        <w:pStyle w:val="SingleTxtG"/>
        <w:rPr>
          <w:bCs/>
          <w:lang w:val="fr-FR"/>
        </w:rPr>
      </w:pPr>
      <w:r w:rsidRPr="00C72685">
        <w:rPr>
          <w:bCs/>
          <w:lang w:val="fr-FR"/>
        </w:rPr>
        <w:t>« (Voir le paragraphe 6.5.</w:t>
      </w:r>
      <w:r w:rsidRPr="008567B5">
        <w:rPr>
          <w:bCs/>
          <w:lang w:val="fr-FR"/>
        </w:rPr>
        <w:t>5</w:t>
      </w:r>
      <w:r w:rsidRPr="00BA71ED">
        <w:rPr>
          <w:bCs/>
          <w:lang w:val="fr-FR"/>
        </w:rPr>
        <w:t>) »</w:t>
      </w:r>
    </w:p>
    <w:p w:rsidR="00A228A9" w:rsidRPr="00B13A39" w:rsidRDefault="00A228A9" w:rsidP="00A228A9">
      <w:pPr>
        <w:pStyle w:val="SingleTxtG"/>
        <w:rPr>
          <w:bCs/>
          <w:i/>
          <w:lang w:val="fr-FR"/>
        </w:rPr>
      </w:pPr>
      <w:r w:rsidRPr="00147D43">
        <w:rPr>
          <w:bCs/>
          <w:i/>
          <w:iCs/>
          <w:lang w:val="fr-FR"/>
        </w:rPr>
        <w:t>Annexe 6</w:t>
      </w:r>
    </w:p>
    <w:p w:rsidR="00A228A9" w:rsidRPr="00C72685" w:rsidRDefault="00A228A9" w:rsidP="00A228A9">
      <w:pPr>
        <w:pStyle w:val="SingleTxtG"/>
        <w:rPr>
          <w:bCs/>
          <w:lang w:val="fr-FR"/>
        </w:rPr>
      </w:pPr>
      <w:r w:rsidRPr="00C72685">
        <w:rPr>
          <w:bCs/>
          <w:i/>
          <w:iCs/>
          <w:lang w:val="fr-FR"/>
        </w:rPr>
        <w:t>Paragraphe 2</w:t>
      </w:r>
      <w:r w:rsidRPr="00C72685">
        <w:rPr>
          <w:bCs/>
          <w:lang w:val="fr-FR"/>
        </w:rPr>
        <w:t>, lire :</w:t>
      </w:r>
    </w:p>
    <w:p w:rsidR="00A228A9" w:rsidRDefault="00A228A9" w:rsidP="00A228A9">
      <w:pPr>
        <w:pStyle w:val="SingleTxtG"/>
        <w:ind w:left="2268" w:hanging="1134"/>
        <w:rPr>
          <w:lang w:val="fr-FR"/>
        </w:rPr>
      </w:pPr>
      <w:r w:rsidRPr="00C72685">
        <w:rPr>
          <w:bCs/>
          <w:lang w:val="fr-FR"/>
        </w:rPr>
        <w:t>« 2.</w:t>
      </w:r>
      <w:r w:rsidRPr="00C72685">
        <w:rPr>
          <w:bCs/>
          <w:lang w:val="fr-FR"/>
        </w:rPr>
        <w:tab/>
        <w:t>Chaque bandeau doit être conforme aux prescriptions du Règlement ONU n</w:t>
      </w:r>
      <w:r w:rsidRPr="00C72685">
        <w:rPr>
          <w:bCs/>
          <w:vertAlign w:val="superscript"/>
          <w:lang w:val="fr-FR"/>
        </w:rPr>
        <w:t>o</w:t>
      </w:r>
      <w:r w:rsidRPr="008567B5">
        <w:rPr>
          <w:bCs/>
          <w:lang w:val="fr-FR"/>
        </w:rPr>
        <w:t> 70, pour la classe 5, ou du Règlement ONU n</w:t>
      </w:r>
      <w:r w:rsidRPr="008567B5">
        <w:rPr>
          <w:bCs/>
          <w:vertAlign w:val="superscript"/>
          <w:lang w:val="fr-FR"/>
        </w:rPr>
        <w:t>o</w:t>
      </w:r>
      <w:r w:rsidRPr="008567B5">
        <w:rPr>
          <w:bCs/>
          <w:lang w:val="fr-FR"/>
        </w:rPr>
        <w:t> 104, pour la classe F, ou du Règlement ONU n</w:t>
      </w:r>
      <w:r w:rsidRPr="008567B5">
        <w:rPr>
          <w:bCs/>
          <w:vertAlign w:val="superscript"/>
          <w:lang w:val="fr-FR"/>
        </w:rPr>
        <w:t>o</w:t>
      </w:r>
      <w:r w:rsidRPr="008567B5">
        <w:rPr>
          <w:bCs/>
          <w:lang w:val="fr-FR"/>
        </w:rPr>
        <w:t> 150</w:t>
      </w:r>
      <w:r w:rsidRPr="00EF0C47">
        <w:rPr>
          <w:lang w:val="fr-FR"/>
        </w:rPr>
        <w:t xml:space="preserve"> , pour la classe</w:t>
      </w:r>
      <w:r>
        <w:rPr>
          <w:lang w:val="fr-FR"/>
        </w:rPr>
        <w:t> </w:t>
      </w:r>
      <w:r w:rsidRPr="00EF0C47">
        <w:rPr>
          <w:lang w:val="fr-FR"/>
        </w:rPr>
        <w:t>5 ou la classe</w:t>
      </w:r>
      <w:r>
        <w:rPr>
          <w:lang w:val="fr-FR"/>
        </w:rPr>
        <w:t> </w:t>
      </w:r>
      <w:r w:rsidRPr="00EF0C47">
        <w:rPr>
          <w:lang w:val="fr-FR"/>
        </w:rPr>
        <w:t>F. »</w:t>
      </w:r>
    </w:p>
    <w:p w:rsidR="00A228A9" w:rsidRPr="00A228A9" w:rsidRDefault="00A228A9" w:rsidP="00A228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28A9" w:rsidRPr="00A228A9" w:rsidSect="00A228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DA" w:rsidRDefault="00651ADA" w:rsidP="00F95C08">
      <w:pPr>
        <w:spacing w:line="240" w:lineRule="auto"/>
      </w:pPr>
    </w:p>
  </w:endnote>
  <w:endnote w:type="continuationSeparator" w:id="0">
    <w:p w:rsidR="00651ADA" w:rsidRPr="00AC3823" w:rsidRDefault="00651ADA" w:rsidP="00AC3823">
      <w:pPr>
        <w:pStyle w:val="Pieddepage"/>
      </w:pPr>
    </w:p>
  </w:endnote>
  <w:endnote w:type="continuationNotice" w:id="1">
    <w:p w:rsidR="00651ADA" w:rsidRDefault="00651A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A9" w:rsidRPr="00A228A9" w:rsidRDefault="00A228A9" w:rsidP="00A228A9">
    <w:pPr>
      <w:pStyle w:val="Pieddepage"/>
      <w:tabs>
        <w:tab w:val="right" w:pos="9638"/>
      </w:tabs>
    </w:pPr>
    <w:r w:rsidRPr="00A228A9">
      <w:rPr>
        <w:b/>
        <w:sz w:val="18"/>
      </w:rPr>
      <w:fldChar w:fldCharType="begin"/>
    </w:r>
    <w:r w:rsidRPr="00A228A9">
      <w:rPr>
        <w:b/>
        <w:sz w:val="18"/>
      </w:rPr>
      <w:instrText xml:space="preserve"> PAGE  \* MERGEFORMAT </w:instrText>
    </w:r>
    <w:r w:rsidRPr="00A228A9">
      <w:rPr>
        <w:b/>
        <w:sz w:val="18"/>
      </w:rPr>
      <w:fldChar w:fldCharType="separate"/>
    </w:r>
    <w:r w:rsidRPr="00A228A9">
      <w:rPr>
        <w:b/>
        <w:noProof/>
        <w:sz w:val="18"/>
      </w:rPr>
      <w:t>2</w:t>
    </w:r>
    <w:r w:rsidRPr="00A228A9">
      <w:rPr>
        <w:b/>
        <w:sz w:val="18"/>
      </w:rPr>
      <w:fldChar w:fldCharType="end"/>
    </w:r>
    <w:r>
      <w:rPr>
        <w:b/>
        <w:sz w:val="18"/>
      </w:rPr>
      <w:tab/>
    </w:r>
    <w:r>
      <w:t>GE.20-17349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A9" w:rsidRPr="00A228A9" w:rsidRDefault="00A228A9" w:rsidP="00A228A9">
    <w:pPr>
      <w:pStyle w:val="Pieddepage"/>
      <w:tabs>
        <w:tab w:val="right" w:pos="9638"/>
      </w:tabs>
      <w:rPr>
        <w:b/>
        <w:sz w:val="18"/>
      </w:rPr>
    </w:pPr>
    <w:r>
      <w:t>GE.20-17349</w:t>
    </w:r>
    <w:r>
      <w:tab/>
    </w:r>
    <w:r w:rsidRPr="00A228A9">
      <w:rPr>
        <w:b/>
        <w:sz w:val="18"/>
      </w:rPr>
      <w:fldChar w:fldCharType="begin"/>
    </w:r>
    <w:r w:rsidRPr="00A228A9">
      <w:rPr>
        <w:b/>
        <w:sz w:val="18"/>
      </w:rPr>
      <w:instrText xml:space="preserve"> PAGE  \* MERGEFORMAT </w:instrText>
    </w:r>
    <w:r w:rsidRPr="00A228A9">
      <w:rPr>
        <w:b/>
        <w:sz w:val="18"/>
      </w:rPr>
      <w:fldChar w:fldCharType="separate"/>
    </w:r>
    <w:r w:rsidRPr="00A228A9">
      <w:rPr>
        <w:b/>
        <w:noProof/>
        <w:sz w:val="18"/>
      </w:rPr>
      <w:t>3</w:t>
    </w:r>
    <w:r w:rsidRPr="00A228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228A9" w:rsidRDefault="00A228A9" w:rsidP="00A228A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20-17349</w:t>
    </w:r>
    <w:r w:rsidR="006513CA">
      <w:rPr>
        <w:sz w:val="20"/>
      </w:rPr>
      <w:t xml:space="preserve"> </w:t>
    </w:r>
    <w:r w:rsidR="00CE585D">
      <w:rPr>
        <w:sz w:val="20"/>
      </w:rPr>
      <w:t xml:space="preserve">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85D">
      <w:rPr>
        <w:sz w:val="20"/>
      </w:rPr>
      <w:t xml:space="preserve"> </w:t>
    </w:r>
    <w:r w:rsidR="006513CA">
      <w:rPr>
        <w:sz w:val="20"/>
      </w:rPr>
      <w:t xml:space="preserve">  </w:t>
    </w:r>
    <w:r w:rsidR="00CE585D">
      <w:rPr>
        <w:sz w:val="20"/>
      </w:rPr>
      <w:t xml:space="preserve"> </w:t>
    </w:r>
    <w:r>
      <w:rPr>
        <w:sz w:val="20"/>
      </w:rPr>
      <w:t>150121</w:t>
    </w:r>
    <w:r w:rsidR="006513CA">
      <w:rPr>
        <w:sz w:val="20"/>
      </w:rPr>
      <w:t xml:space="preserve">  </w:t>
    </w:r>
    <w:r w:rsidR="00CE585D">
      <w:rPr>
        <w:sz w:val="20"/>
      </w:rPr>
      <w:t xml:space="preserve">  </w:t>
    </w:r>
    <w:r>
      <w:rPr>
        <w:sz w:val="20"/>
      </w:rPr>
      <w:t>150121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DA" w:rsidRPr="00AC3823" w:rsidRDefault="00651A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1ADA" w:rsidRPr="00AC3823" w:rsidRDefault="00651A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1ADA" w:rsidRPr="00AC3823" w:rsidRDefault="00651ADA">
      <w:pPr>
        <w:spacing w:line="240" w:lineRule="auto"/>
        <w:rPr>
          <w:sz w:val="2"/>
          <w:szCs w:val="2"/>
        </w:rPr>
      </w:pPr>
    </w:p>
  </w:footnote>
  <w:footnote w:id="2">
    <w:p w:rsidR="00A228A9" w:rsidRPr="00E900F5" w:rsidRDefault="00A228A9" w:rsidP="00A228A9">
      <w:pPr>
        <w:pStyle w:val="Notedebasdepage"/>
      </w:pPr>
      <w:r>
        <w:rPr>
          <w:rStyle w:val="Appelnotedebasdep"/>
        </w:rPr>
        <w:tab/>
      </w:r>
      <w:r w:rsidRPr="00E900F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 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A228A9" w:rsidRPr="00EA6565" w:rsidRDefault="00A228A9" w:rsidP="00A228A9">
      <w:pPr>
        <w:pStyle w:val="Notedebasdepage"/>
      </w:pPr>
      <w:r w:rsidRPr="003854E5">
        <w:rPr>
          <w:rStyle w:val="Appelnotedebasdep"/>
          <w:vertAlign w:val="baseline"/>
        </w:rPr>
        <w:tab/>
      </w:r>
      <w:r w:rsidRPr="003854E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</w:rPr>
        <w:tab/>
      </w:r>
      <w:r w:rsidRPr="00F35296">
        <w:rPr>
          <w:lang w:val="fr-FR"/>
        </w:rPr>
        <w:t>Il a été prévu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A9" w:rsidRPr="00A228A9" w:rsidRDefault="00A228A9">
    <w:pPr>
      <w:pStyle w:val="En-tte"/>
    </w:pPr>
    <w:fldSimple w:instr=" TITLE  \* MERGEFORMAT ">
      <w:r w:rsidR="00A16A4A">
        <w:t>ECE/TRANS/WP.29/2021/37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A9" w:rsidRPr="00A228A9" w:rsidRDefault="00A228A9" w:rsidP="00A228A9">
    <w:pPr>
      <w:pStyle w:val="En-tte"/>
      <w:jc w:val="right"/>
    </w:pPr>
    <w:fldSimple w:instr=" TITLE  \* MERGEFORMAT ">
      <w:r w:rsidR="00A16A4A">
        <w:t>ECE/TRANS/WP.29/2021/37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D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15D0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4329"/>
    <w:rsid w:val="00586ED3"/>
    <w:rsid w:val="00596AA9"/>
    <w:rsid w:val="006513CA"/>
    <w:rsid w:val="00651ADA"/>
    <w:rsid w:val="006704D1"/>
    <w:rsid w:val="0071601D"/>
    <w:rsid w:val="007A62E6"/>
    <w:rsid w:val="007D4EEC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6A4A"/>
    <w:rsid w:val="00A21070"/>
    <w:rsid w:val="00A228A9"/>
    <w:rsid w:val="00A3029F"/>
    <w:rsid w:val="00A30353"/>
    <w:rsid w:val="00A81C9E"/>
    <w:rsid w:val="00AA445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585D"/>
    <w:rsid w:val="00D05600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9C4322"/>
  <w15:docId w15:val="{34920468-5278-456E-97D1-60A9BA6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281B1-F800-4AB7-B193-56337277E27F}"/>
</file>

<file path=customXml/itemProps2.xml><?xml version="1.0" encoding="utf-8"?>
<ds:datastoreItem xmlns:ds="http://schemas.openxmlformats.org/officeDocument/2006/customXml" ds:itemID="{B0E8E109-F0F6-4979-827B-A5F4C8D013DB}"/>
</file>

<file path=customXml/itemProps3.xml><?xml version="1.0" encoding="utf-8"?>
<ds:datastoreItem xmlns:ds="http://schemas.openxmlformats.org/officeDocument/2006/customXml" ds:itemID="{DEAA09BB-B0D3-471E-91D5-14A8D2E1151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962</Words>
  <Characters>6735</Characters>
  <Application>Microsoft Office Word</Application>
  <DocSecurity>0</DocSecurity>
  <Lines>561</Lines>
  <Paragraphs>307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ECE/TRANS/WP.29/2021/37</vt:lpstr>
    </vt:vector>
  </TitlesOfParts>
  <Company>DCM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ECE/TRANS/WP.29/2021/37</dc:title>
  <dc:subject/>
  <dc:creator>Edith BOURION</dc:creator>
  <cp:keywords/>
  <cp:lastModifiedBy>Edith</cp:lastModifiedBy>
  <cp:revision>2</cp:revision>
  <cp:lastPrinted>2021-01-15T14:55:00Z</cp:lastPrinted>
  <dcterms:created xsi:type="dcterms:W3CDTF">2021-01-15T15:16:00Z</dcterms:created>
  <dcterms:modified xsi:type="dcterms:W3CDTF">2021-01-15T15:16:00Z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