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819D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819DF" w:rsidP="00F819DF">
            <w:pPr>
              <w:jc w:val="right"/>
            </w:pPr>
            <w:r w:rsidRPr="00F819DF">
              <w:rPr>
                <w:sz w:val="40"/>
              </w:rPr>
              <w:t>ECE</w:t>
            </w:r>
            <w:r>
              <w:t>/TRANS/WP.29/2021/6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819DF" w:rsidP="00C97039">
            <w:pPr>
              <w:spacing w:before="240"/>
            </w:pPr>
            <w:proofErr w:type="spellStart"/>
            <w:r>
              <w:t>Distr</w:t>
            </w:r>
            <w:proofErr w:type="spellEnd"/>
            <w:r>
              <w:t>. générale</w:t>
            </w:r>
          </w:p>
          <w:p w:rsidR="00F819DF" w:rsidRDefault="00F819DF" w:rsidP="00F819DF">
            <w:pPr>
              <w:spacing w:line="240" w:lineRule="exact"/>
            </w:pPr>
            <w:r>
              <w:t>17 décembre 2020</w:t>
            </w:r>
          </w:p>
          <w:p w:rsidR="00F819DF" w:rsidRDefault="00F819DF" w:rsidP="00F819DF">
            <w:pPr>
              <w:spacing w:line="240" w:lineRule="exact"/>
            </w:pPr>
            <w:r>
              <w:t>Français</w:t>
            </w:r>
          </w:p>
          <w:p w:rsidR="00F819DF" w:rsidRPr="00DB58B5" w:rsidRDefault="00F819DF" w:rsidP="00F819D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819DF" w:rsidRPr="000569B4" w:rsidRDefault="00F819DF" w:rsidP="00F819DF">
      <w:pPr>
        <w:spacing w:before="120"/>
        <w:rPr>
          <w:b/>
          <w:sz w:val="24"/>
          <w:szCs w:val="24"/>
        </w:rPr>
      </w:pPr>
      <w:r w:rsidRPr="000569B4">
        <w:rPr>
          <w:b/>
          <w:sz w:val="24"/>
          <w:szCs w:val="24"/>
        </w:rPr>
        <w:t>Forum mondial de l’harmonisation</w:t>
      </w:r>
      <w:r w:rsidRPr="000569B4">
        <w:rPr>
          <w:b/>
          <w:sz w:val="24"/>
          <w:szCs w:val="24"/>
        </w:rPr>
        <w:br/>
        <w:t>des Règlements concernant les véhicules</w:t>
      </w:r>
    </w:p>
    <w:p w:rsidR="00F819DF" w:rsidRPr="000569B4" w:rsidRDefault="00F819DF" w:rsidP="00F819DF">
      <w:pPr>
        <w:spacing w:line="240" w:lineRule="exact"/>
        <w:rPr>
          <w:b/>
          <w:lang w:val="fr-FR"/>
        </w:rPr>
      </w:pPr>
      <w:r>
        <w:rPr>
          <w:b/>
        </w:rPr>
        <w:t>183</w:t>
      </w:r>
      <w:r w:rsidRPr="00037587">
        <w:rPr>
          <w:b/>
          <w:vertAlign w:val="superscript"/>
        </w:rPr>
        <w:t>e</w:t>
      </w:r>
      <w:r w:rsidR="004069B5">
        <w:rPr>
          <w:b/>
        </w:rPr>
        <w:t> </w:t>
      </w:r>
      <w:r w:rsidRPr="000569B4">
        <w:rPr>
          <w:b/>
          <w:bCs/>
          <w:lang w:val="fr-FR"/>
        </w:rPr>
        <w:t>session</w:t>
      </w:r>
      <w:r w:rsidRPr="000569B4">
        <w:rPr>
          <w:b/>
          <w:lang w:val="fr-FR"/>
        </w:rPr>
        <w:t xml:space="preserve"> </w:t>
      </w:r>
    </w:p>
    <w:p w:rsidR="00F819DF" w:rsidRPr="000569B4" w:rsidRDefault="00F819DF" w:rsidP="00F819DF">
      <w:pPr>
        <w:spacing w:line="240" w:lineRule="exact"/>
        <w:rPr>
          <w:bCs/>
          <w:lang w:val="fr-FR"/>
        </w:rPr>
      </w:pPr>
      <w:r w:rsidRPr="000569B4">
        <w:rPr>
          <w:bCs/>
          <w:lang w:val="fr-FR"/>
        </w:rPr>
        <w:t>Genève, 9</w:t>
      </w:r>
      <w:r>
        <w:rPr>
          <w:bCs/>
          <w:lang w:val="fr-FR"/>
        </w:rPr>
        <w:t>-11 mars</w:t>
      </w:r>
      <w:r w:rsidRPr="000569B4">
        <w:rPr>
          <w:bCs/>
          <w:lang w:val="fr-FR"/>
        </w:rPr>
        <w:t xml:space="preserve"> 202</w:t>
      </w:r>
      <w:r>
        <w:rPr>
          <w:bCs/>
          <w:lang w:val="fr-FR"/>
        </w:rPr>
        <w:t>1</w:t>
      </w:r>
    </w:p>
    <w:p w:rsidR="00F819DF" w:rsidRPr="000569B4" w:rsidRDefault="00F819DF" w:rsidP="00F819DF">
      <w:pPr>
        <w:spacing w:line="240" w:lineRule="exact"/>
        <w:rPr>
          <w:bCs/>
          <w:lang w:val="fr-FR"/>
        </w:rPr>
      </w:pPr>
      <w:r w:rsidRPr="000569B4">
        <w:rPr>
          <w:bCs/>
          <w:lang w:val="fr-FR"/>
        </w:rPr>
        <w:t xml:space="preserve">Point </w:t>
      </w:r>
      <w:r>
        <w:rPr>
          <w:bCs/>
          <w:lang w:val="fr-FR"/>
        </w:rPr>
        <w:t>4.6.4</w:t>
      </w:r>
      <w:r w:rsidRPr="000569B4">
        <w:rPr>
          <w:bCs/>
          <w:lang w:val="fr-FR"/>
        </w:rPr>
        <w:t xml:space="preserve"> de l’ordre du jour provisoire</w:t>
      </w:r>
    </w:p>
    <w:p w:rsidR="00F819DF" w:rsidRDefault="00F819DF" w:rsidP="00F819DF">
      <w:pPr>
        <w:spacing w:line="240" w:lineRule="exact"/>
        <w:rPr>
          <w:b/>
          <w:bCs/>
          <w:lang w:val="fr-FR"/>
        </w:rPr>
      </w:pPr>
      <w:r w:rsidRPr="004A377F">
        <w:rPr>
          <w:b/>
          <w:bCs/>
          <w:lang w:val="fr-FR"/>
        </w:rPr>
        <w:t>Accord de 1958</w:t>
      </w:r>
      <w:r w:rsidR="004069B5">
        <w:rPr>
          <w:b/>
          <w:bCs/>
          <w:lang w:val="fr-FR"/>
        </w:rPr>
        <w:t> </w:t>
      </w:r>
      <w:r w:rsidRPr="004A377F">
        <w:rPr>
          <w:b/>
          <w:bCs/>
          <w:lang w:val="fr-FR"/>
        </w:rPr>
        <w:t xml:space="preserve">: Examen de projets d’amendements à </w:t>
      </w:r>
      <w:r w:rsidR="004069B5">
        <w:rPr>
          <w:b/>
          <w:bCs/>
          <w:lang w:val="fr-FR"/>
        </w:rPr>
        <w:br/>
      </w:r>
      <w:r w:rsidRPr="004A377F">
        <w:rPr>
          <w:b/>
          <w:bCs/>
          <w:lang w:val="fr-FR"/>
        </w:rPr>
        <w:t>des Règlements ONU existants, soumis par le</w:t>
      </w:r>
      <w:r>
        <w:rPr>
          <w:b/>
          <w:bCs/>
          <w:lang w:val="fr-FR"/>
        </w:rPr>
        <w:t xml:space="preserve"> </w:t>
      </w:r>
      <w:r w:rsidRPr="000A550A">
        <w:rPr>
          <w:b/>
          <w:bCs/>
          <w:lang w:val="fr-FR"/>
        </w:rPr>
        <w:t xml:space="preserve">Groupe </w:t>
      </w:r>
      <w:r w:rsidR="004069B5">
        <w:rPr>
          <w:b/>
          <w:bCs/>
          <w:lang w:val="fr-FR"/>
        </w:rPr>
        <w:br/>
      </w:r>
      <w:r w:rsidRPr="000A550A">
        <w:rPr>
          <w:b/>
          <w:bCs/>
          <w:lang w:val="fr-FR"/>
        </w:rPr>
        <w:t>de travail du bruit et des pneumatiques</w:t>
      </w:r>
      <w:r w:rsidRPr="004A377F">
        <w:rPr>
          <w:b/>
          <w:bCs/>
          <w:lang w:val="fr-FR"/>
        </w:rPr>
        <w:t xml:space="preserve"> </w:t>
      </w:r>
      <w:r>
        <w:rPr>
          <w:b/>
          <w:bCs/>
          <w:lang w:val="fr-FR"/>
        </w:rPr>
        <w:t>(</w:t>
      </w:r>
      <w:r w:rsidRPr="004A377F">
        <w:rPr>
          <w:b/>
          <w:bCs/>
          <w:lang w:val="fr-FR"/>
        </w:rPr>
        <w:t>GRBP</w:t>
      </w:r>
      <w:r>
        <w:rPr>
          <w:b/>
          <w:bCs/>
          <w:lang w:val="fr-FR"/>
        </w:rPr>
        <w:t>)</w:t>
      </w:r>
    </w:p>
    <w:p w:rsidR="00F819DF" w:rsidRPr="000569B4" w:rsidRDefault="00F819DF" w:rsidP="004069B5">
      <w:pPr>
        <w:pStyle w:val="HChG"/>
        <w:rPr>
          <w:lang w:val="fr-FR"/>
        </w:rPr>
      </w:pPr>
      <w:r w:rsidRPr="000569B4">
        <w:rPr>
          <w:lang w:val="fr-FR"/>
        </w:rPr>
        <w:tab/>
      </w:r>
      <w:r w:rsidRPr="000569B4">
        <w:rPr>
          <w:lang w:val="fr-FR"/>
        </w:rPr>
        <w:tab/>
      </w:r>
      <w:r w:rsidRPr="004069B5">
        <w:rPr>
          <w:spacing w:val="2"/>
          <w:lang w:val="fr-FR"/>
        </w:rPr>
        <w:t>Proposition de complément 19 à la version originale</w:t>
      </w:r>
      <w:r w:rsidRPr="00F819DF">
        <w:rPr>
          <w:lang w:val="fr-FR"/>
        </w:rPr>
        <w:t xml:space="preserve"> </w:t>
      </w:r>
      <w:r w:rsidRPr="00F819DF">
        <w:rPr>
          <w:lang w:val="fr-FR"/>
        </w:rPr>
        <w:br/>
      </w:r>
      <w:r w:rsidRPr="00F819DF">
        <w:rPr>
          <w:spacing w:val="-2"/>
          <w:lang w:val="fr-FR"/>
        </w:rPr>
        <w:t xml:space="preserve">du Règlement ONU </w:t>
      </w:r>
      <w:r w:rsidRPr="00F819DF">
        <w:rPr>
          <w:rFonts w:eastAsia="MS Mincho"/>
          <w:spacing w:val="-2"/>
          <w:szCs w:val="22"/>
          <w:lang w:val="fr-FR"/>
        </w:rPr>
        <w:t>n</w:t>
      </w:r>
      <w:r w:rsidRPr="00F819DF">
        <w:rPr>
          <w:rFonts w:eastAsia="MS Mincho"/>
          <w:spacing w:val="-2"/>
          <w:szCs w:val="22"/>
          <w:vertAlign w:val="superscript"/>
          <w:lang w:val="fr-FR"/>
        </w:rPr>
        <w:t>o</w:t>
      </w:r>
      <w:r w:rsidRPr="00F819DF">
        <w:rPr>
          <w:spacing w:val="-2"/>
          <w:lang w:val="fr-FR"/>
        </w:rPr>
        <w:t xml:space="preserve"> 75 (Pneumatiques des véhicules </w:t>
      </w:r>
      <w:r w:rsidRPr="00F819DF">
        <w:rPr>
          <w:spacing w:val="-2"/>
          <w:lang w:val="fr-FR"/>
        </w:rPr>
        <w:br/>
      </w:r>
      <w:r w:rsidRPr="004A377F">
        <w:rPr>
          <w:lang w:val="fr-FR"/>
        </w:rPr>
        <w:t>de la catégorie L)</w:t>
      </w:r>
      <w:r>
        <w:rPr>
          <w:lang w:val="fr-FR"/>
        </w:rPr>
        <w:t xml:space="preserve"> </w:t>
      </w:r>
    </w:p>
    <w:p w:rsidR="00F819DF" w:rsidRPr="000569B4" w:rsidRDefault="00F819DF" w:rsidP="004069B5">
      <w:pPr>
        <w:pStyle w:val="H1G"/>
        <w:rPr>
          <w:sz w:val="20"/>
          <w:lang w:val="fr-FR"/>
        </w:rPr>
      </w:pPr>
      <w:r w:rsidRPr="000569B4">
        <w:rPr>
          <w:lang w:val="fr-FR"/>
        </w:rPr>
        <w:tab/>
      </w:r>
      <w:r w:rsidRPr="000569B4">
        <w:rPr>
          <w:lang w:val="fr-FR"/>
        </w:rPr>
        <w:tab/>
        <w:t>Communication d</w:t>
      </w:r>
      <w:r>
        <w:rPr>
          <w:lang w:val="fr-FR"/>
        </w:rPr>
        <w:t>u Groupe de travail du bruit et des pneumatiques</w:t>
      </w:r>
      <w:r w:rsidRPr="000569B4">
        <w:rPr>
          <w:rStyle w:val="Appelnotedebasdep"/>
          <w:b w:val="0"/>
          <w:bCs/>
          <w:sz w:val="20"/>
          <w:vertAlign w:val="baseline"/>
          <w:lang w:val="fr-FR"/>
        </w:rPr>
        <w:footnoteReference w:customMarkFollows="1" w:id="2"/>
        <w:t>*</w:t>
      </w:r>
    </w:p>
    <w:p w:rsidR="00F819DF" w:rsidRDefault="00F819DF" w:rsidP="00F819DF">
      <w:pPr>
        <w:pStyle w:val="SingleTxtG"/>
        <w:ind w:firstLine="567"/>
        <w:rPr>
          <w:lang w:val="fr-FR"/>
        </w:rPr>
      </w:pPr>
      <w:r w:rsidRPr="000569B4">
        <w:rPr>
          <w:lang w:val="fr-FR"/>
        </w:rPr>
        <w:t>Le texte ci-après</w:t>
      </w:r>
      <w:r>
        <w:rPr>
          <w:lang w:val="fr-FR"/>
        </w:rPr>
        <w:t>, adopté par le Groupe de travail du bruit et des pneumatiques (GRBP) à sa soixante-douzième session (ECE/TRANS/WP.29/GRBP/70, par.</w:t>
      </w:r>
      <w:r>
        <w:rPr>
          <w:lang w:val="fr-FR"/>
        </w:rPr>
        <w:t> </w:t>
      </w:r>
      <w:r>
        <w:rPr>
          <w:lang w:val="fr-FR"/>
        </w:rPr>
        <w:t xml:space="preserve">14), est fondé sur le document ECE/TRANS/WP.29/GRBP/2020/14 et l’annexe VI au rapport. </w:t>
      </w:r>
      <w:r w:rsidRPr="004A377F">
        <w:rPr>
          <w:lang w:val="fr-FR"/>
        </w:rPr>
        <w:t>Il est soumis au</w:t>
      </w:r>
      <w:r>
        <w:rPr>
          <w:lang w:val="fr-FR"/>
        </w:rPr>
        <w:t xml:space="preserve"> </w:t>
      </w:r>
      <w:r w:rsidRPr="004A377F">
        <w:rPr>
          <w:lang w:val="fr-FR"/>
        </w:rPr>
        <w:t xml:space="preserve">Forum mondial de l’harmonisation des Règlements concernant les véhicules (WP.29) et au Comité d’administration de l’Accord de 1958 (AC.1) pour examen à leurs sessions de </w:t>
      </w:r>
      <w:r>
        <w:rPr>
          <w:lang w:val="fr-FR"/>
        </w:rPr>
        <w:t>mars</w:t>
      </w:r>
      <w:r>
        <w:rPr>
          <w:lang w:val="fr-FR"/>
        </w:rPr>
        <w:t> </w:t>
      </w:r>
      <w:r>
        <w:rPr>
          <w:lang w:val="fr-FR"/>
        </w:rPr>
        <w:t>2021</w:t>
      </w:r>
      <w:r w:rsidRPr="000569B4">
        <w:rPr>
          <w:lang w:val="fr-FR"/>
        </w:rPr>
        <w:t>.</w:t>
      </w:r>
    </w:p>
    <w:p w:rsidR="00F819DF" w:rsidRDefault="00F819DF">
      <w:pPr>
        <w:suppressAutoHyphens w:val="0"/>
        <w:kinsoku/>
        <w:overflowPunct/>
        <w:autoSpaceDE/>
        <w:autoSpaceDN/>
        <w:adjustRightInd/>
        <w:snapToGrid/>
        <w:spacing w:after="200" w:line="276" w:lineRule="auto"/>
        <w:rPr>
          <w:lang w:val="fr-FR"/>
        </w:rPr>
      </w:pPr>
      <w:r>
        <w:rPr>
          <w:lang w:val="fr-FR"/>
        </w:rPr>
        <w:br w:type="page"/>
      </w:r>
    </w:p>
    <w:p w:rsidR="00F819DF" w:rsidRPr="000569B4" w:rsidRDefault="00F819DF" w:rsidP="00F819DF">
      <w:pPr>
        <w:pStyle w:val="SingleTxtG"/>
        <w:rPr>
          <w:rFonts w:eastAsia="Calibri"/>
          <w:i/>
          <w:lang w:val="fr-FR"/>
        </w:rPr>
      </w:pPr>
      <w:r w:rsidRPr="000569B4">
        <w:rPr>
          <w:i/>
          <w:iCs/>
          <w:lang w:val="fr-FR"/>
        </w:rPr>
        <w:lastRenderedPageBreak/>
        <w:t>Paragraphe 2.5.1</w:t>
      </w:r>
      <w:r w:rsidRPr="000569B4">
        <w:rPr>
          <w:lang w:val="fr-FR"/>
        </w:rPr>
        <w:t>, supprimer l’appel de note de bas de page</w:t>
      </w:r>
      <w:r>
        <w:rPr>
          <w:lang w:val="fr-FR"/>
        </w:rPr>
        <w:t xml:space="preserve"> 1.</w:t>
      </w:r>
    </w:p>
    <w:p w:rsidR="00F819DF" w:rsidRPr="000569B4" w:rsidRDefault="00F819DF" w:rsidP="00F819DF">
      <w:pPr>
        <w:pStyle w:val="SingleTxtG"/>
        <w:rPr>
          <w:lang w:val="fr-FR"/>
        </w:rPr>
      </w:pPr>
      <w:r w:rsidRPr="000569B4">
        <w:rPr>
          <w:i/>
          <w:iCs/>
          <w:lang w:val="fr-FR"/>
        </w:rPr>
        <w:t>Paragraphe 2.5.2</w:t>
      </w:r>
      <w:r w:rsidRPr="000569B4">
        <w:rPr>
          <w:lang w:val="fr-FR"/>
        </w:rPr>
        <w:t>, lire</w:t>
      </w:r>
      <w:r w:rsidR="004069B5">
        <w:rPr>
          <w:lang w:val="fr-FR"/>
        </w:rPr>
        <w:t> </w:t>
      </w:r>
      <w:r w:rsidRPr="000569B4">
        <w:rPr>
          <w:lang w:val="fr-FR"/>
        </w:rPr>
        <w:t>:</w:t>
      </w:r>
    </w:p>
    <w:p w:rsidR="00F819DF" w:rsidRPr="00581CE1" w:rsidRDefault="00F819DF" w:rsidP="00F819DF">
      <w:pPr>
        <w:spacing w:after="120"/>
        <w:ind w:left="2268" w:right="1134" w:hanging="1134"/>
        <w:jc w:val="both"/>
        <w:rPr>
          <w:lang w:val="fr-FR"/>
        </w:rPr>
      </w:pPr>
      <w:r w:rsidRPr="00581CE1">
        <w:rPr>
          <w:lang w:val="fr-FR"/>
        </w:rPr>
        <w:t>« 2.5.2</w:t>
      </w:r>
      <w:r w:rsidRPr="00581CE1">
        <w:rPr>
          <w:lang w:val="fr-FR"/>
        </w:rPr>
        <w:tab/>
      </w:r>
      <w:r w:rsidRPr="00581CE1">
        <w:t>“</w:t>
      </w:r>
      <w:r w:rsidRPr="00581CE1">
        <w:rPr>
          <w:i/>
          <w:iCs/>
          <w:lang w:val="fr-FR"/>
        </w:rPr>
        <w:t>Diagonal ceinturé</w:t>
      </w:r>
      <w:r w:rsidRPr="00581CE1">
        <w:t>”</w:t>
      </w:r>
      <w:r w:rsidRPr="00581CE1">
        <w:rPr>
          <w:lang w:val="fr-FR"/>
        </w:rPr>
        <w:t>, décrit une structure pneumatique</w:t>
      </w:r>
      <w:r w:rsidRPr="0037285B">
        <w:rPr>
          <w:lang w:val="fr-FR"/>
        </w:rPr>
        <w:t xml:space="preserve"> </w:t>
      </w:r>
      <w:r w:rsidRPr="00037587">
        <w:rPr>
          <w:lang w:val="fr-FR"/>
        </w:rPr>
        <w:t>dont les câbl</w:t>
      </w:r>
      <w:r>
        <w:rPr>
          <w:lang w:val="fr-FR"/>
        </w:rPr>
        <w:t>é</w:t>
      </w:r>
      <w:r w:rsidRPr="00037587">
        <w:rPr>
          <w:lang w:val="fr-FR"/>
        </w:rPr>
        <w:t>s des plis qui</w:t>
      </w:r>
      <w:r w:rsidRPr="00581CE1">
        <w:rPr>
          <w:lang w:val="fr-FR"/>
        </w:rPr>
        <w:t xml:space="preserve"> </w:t>
      </w:r>
      <w:r w:rsidRPr="00037587">
        <w:rPr>
          <w:lang w:val="fr-FR"/>
        </w:rPr>
        <w:t>s’étendent jusqu’aux talons sont orientés de façon à former des angles alternés sensiblement inférieurs à 90° par rapport à la ligne médiane de la bande de roulement, cette structure étant</w:t>
      </w:r>
      <w:r w:rsidRPr="00581CE1">
        <w:rPr>
          <w:lang w:val="fr-FR"/>
        </w:rPr>
        <w:t xml:space="preserve"> bridée par une ceinture formée </w:t>
      </w:r>
      <w:r w:rsidRPr="00037587">
        <w:rPr>
          <w:lang w:val="fr-FR"/>
        </w:rPr>
        <w:t xml:space="preserve">d’une </w:t>
      </w:r>
      <w:r w:rsidRPr="00581CE1">
        <w:rPr>
          <w:lang w:val="fr-FR"/>
        </w:rPr>
        <w:t>ou plusieurs couches de câbl</w:t>
      </w:r>
      <w:r>
        <w:rPr>
          <w:lang w:val="fr-FR"/>
        </w:rPr>
        <w:t>é</w:t>
      </w:r>
      <w:r w:rsidRPr="00581CE1">
        <w:rPr>
          <w:lang w:val="fr-FR"/>
        </w:rPr>
        <w:t>s essentiellement inextensibles. ».</w:t>
      </w:r>
    </w:p>
    <w:p w:rsidR="00F819DF" w:rsidRPr="000569B4" w:rsidRDefault="00F819DF" w:rsidP="00F819DF">
      <w:pPr>
        <w:pStyle w:val="SingleTxtG"/>
        <w:rPr>
          <w:rFonts w:eastAsia="Calibri"/>
          <w:i/>
          <w:lang w:val="fr-FR"/>
        </w:rPr>
      </w:pPr>
      <w:r w:rsidRPr="000569B4">
        <w:rPr>
          <w:i/>
          <w:iCs/>
          <w:lang w:val="fr-FR"/>
        </w:rPr>
        <w:t>Paragraphe 2.5.3</w:t>
      </w:r>
      <w:r w:rsidRPr="000569B4">
        <w:rPr>
          <w:lang w:val="fr-FR"/>
        </w:rPr>
        <w:t>, supprimer l’appel de note de bas de page 1</w:t>
      </w:r>
      <w:r>
        <w:rPr>
          <w:lang w:val="fr-FR"/>
        </w:rPr>
        <w:t xml:space="preserve"> et lire</w:t>
      </w:r>
      <w:r w:rsidR="004069B5">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2.5.3</w:t>
      </w:r>
      <w:r w:rsidRPr="000569B4">
        <w:rPr>
          <w:lang w:val="fr-FR"/>
        </w:rPr>
        <w:tab/>
      </w:r>
      <w:r w:rsidRPr="000569B4">
        <w:t>“</w:t>
      </w:r>
      <w:r w:rsidRPr="000569B4">
        <w:rPr>
          <w:i/>
          <w:iCs/>
          <w:lang w:val="fr-FR"/>
        </w:rPr>
        <w:t>Radial</w:t>
      </w:r>
      <w:r w:rsidRPr="000569B4">
        <w:t>”</w:t>
      </w:r>
      <w:r>
        <w:t xml:space="preserve"> ou </w:t>
      </w:r>
      <w:r w:rsidRPr="008409D6">
        <w:t>“</w:t>
      </w:r>
      <w:r>
        <w:t>à structure radiale</w:t>
      </w:r>
      <w:r w:rsidRPr="008409D6">
        <w:t>”</w:t>
      </w:r>
      <w:r w:rsidRPr="000569B4">
        <w:rPr>
          <w:lang w:val="fr-FR"/>
        </w:rPr>
        <w:t>, décrit une structure pneumatique dont les câbl</w:t>
      </w:r>
      <w:r>
        <w:rPr>
          <w:lang w:val="fr-FR"/>
        </w:rPr>
        <w:t>é</w:t>
      </w:r>
      <w:r w:rsidRPr="000569B4">
        <w:rPr>
          <w:lang w:val="fr-FR"/>
        </w:rPr>
        <w:t>s des plis s’étendent jusqu’aux talons et sont orientés de façon à former un angle sensiblement égal à 90° par rapport à la ligne médiane de la bande de roulement, et dont la carcasse est stabilisée par une ceinture circonférentielle essentiellement inextensible. ».</w:t>
      </w:r>
    </w:p>
    <w:p w:rsidR="00F819DF" w:rsidRPr="000569B4" w:rsidRDefault="00F819DF" w:rsidP="00F819DF">
      <w:pPr>
        <w:pStyle w:val="SingleTxtG"/>
        <w:rPr>
          <w:lang w:val="fr-FR"/>
        </w:rPr>
      </w:pPr>
      <w:r w:rsidRPr="000569B4">
        <w:rPr>
          <w:i/>
          <w:iCs/>
          <w:lang w:val="fr-FR"/>
        </w:rPr>
        <w:t>Note de bas de page 1</w:t>
      </w:r>
      <w:r w:rsidRPr="000569B4">
        <w:rPr>
          <w:lang w:val="fr-FR"/>
        </w:rPr>
        <w:t>, supprimer</w:t>
      </w:r>
      <w:r>
        <w:rPr>
          <w:lang w:val="fr-FR"/>
        </w:rPr>
        <w:t>.</w:t>
      </w:r>
    </w:p>
    <w:p w:rsidR="00F819DF" w:rsidRPr="000569B4" w:rsidRDefault="00F819DF" w:rsidP="00F819DF">
      <w:pPr>
        <w:pStyle w:val="SingleTxtG"/>
        <w:rPr>
          <w:rFonts w:eastAsia="Calibri"/>
          <w:lang w:val="fr-FR"/>
        </w:rPr>
      </w:pPr>
      <w:r w:rsidRPr="000569B4">
        <w:rPr>
          <w:i/>
          <w:iCs/>
          <w:lang w:val="fr-FR"/>
        </w:rPr>
        <w:t xml:space="preserve">Le paragraphe 2.5.4 </w:t>
      </w:r>
      <w:r w:rsidRPr="000569B4">
        <w:rPr>
          <w:lang w:val="fr-FR"/>
        </w:rPr>
        <w:t>devient le paragraphe</w:t>
      </w:r>
      <w:r w:rsidRPr="000569B4">
        <w:rPr>
          <w:i/>
          <w:iCs/>
          <w:lang w:val="fr-FR"/>
        </w:rPr>
        <w:t xml:space="preserve"> </w:t>
      </w:r>
      <w:r w:rsidRPr="000569B4">
        <w:rPr>
          <w:lang w:val="fr-FR"/>
        </w:rPr>
        <w:t>2.6.</w:t>
      </w:r>
    </w:p>
    <w:p w:rsidR="00F819DF" w:rsidRPr="000569B4" w:rsidRDefault="00F819DF" w:rsidP="00F819DF">
      <w:pPr>
        <w:pStyle w:val="SingleTxtG"/>
        <w:rPr>
          <w:rFonts w:eastAsia="Calibri"/>
          <w:lang w:val="fr-FR"/>
        </w:rPr>
      </w:pPr>
      <w:r w:rsidRPr="000569B4">
        <w:rPr>
          <w:i/>
          <w:iCs/>
          <w:lang w:val="fr-FR"/>
        </w:rPr>
        <w:t>Les paragraphes 2.6 à 2.18</w:t>
      </w:r>
      <w:r w:rsidRPr="000569B4">
        <w:rPr>
          <w:lang w:val="fr-FR"/>
        </w:rPr>
        <w:t xml:space="preserve"> deviennent les paragraphes 2.7 à 2.19.</w:t>
      </w:r>
    </w:p>
    <w:p w:rsidR="00F819DF" w:rsidRPr="000569B4" w:rsidRDefault="00F819DF" w:rsidP="00F819DF">
      <w:pPr>
        <w:pStyle w:val="SingleTxtG"/>
        <w:rPr>
          <w:rFonts w:eastAsia="Calibri"/>
          <w:i/>
          <w:lang w:val="fr-FR"/>
        </w:rPr>
      </w:pPr>
      <w:r w:rsidRPr="000569B4">
        <w:rPr>
          <w:i/>
          <w:iCs/>
          <w:lang w:val="fr-FR"/>
        </w:rPr>
        <w:t>Le paragraphe 2.19</w:t>
      </w:r>
      <w:r w:rsidRPr="000569B4">
        <w:rPr>
          <w:lang w:val="fr-FR"/>
        </w:rPr>
        <w:t xml:space="preserve"> devient le paragraphe 2.20 et se lit comme suit :</w:t>
      </w:r>
    </w:p>
    <w:p w:rsidR="00F819DF" w:rsidRPr="000569B4" w:rsidRDefault="00F819DF" w:rsidP="00F819DF">
      <w:pPr>
        <w:spacing w:after="120"/>
        <w:ind w:left="2268" w:right="1134" w:hanging="1134"/>
        <w:jc w:val="both"/>
        <w:rPr>
          <w:lang w:val="fr-FR"/>
        </w:rPr>
      </w:pPr>
      <w:bookmarkStart w:id="0" w:name="_Hlk40104251"/>
      <w:r w:rsidRPr="000569B4">
        <w:rPr>
          <w:lang w:val="fr-FR"/>
        </w:rPr>
        <w:t>« 2.</w:t>
      </w:r>
      <w:r w:rsidRPr="00037587">
        <w:rPr>
          <w:lang w:val="fr-FR"/>
        </w:rPr>
        <w:t>20</w:t>
      </w:r>
      <w:r w:rsidRPr="000569B4">
        <w:rPr>
          <w:lang w:val="fr-FR"/>
        </w:rPr>
        <w:tab/>
      </w:r>
      <w:bookmarkStart w:id="1" w:name="_Hlk45040935"/>
      <w:r w:rsidRPr="000569B4">
        <w:t>“</w:t>
      </w:r>
      <w:r w:rsidRPr="000569B4">
        <w:rPr>
          <w:i/>
          <w:iCs/>
          <w:lang w:val="fr-FR"/>
        </w:rPr>
        <w:t>Désignation des dimensions du pneumatique</w:t>
      </w:r>
      <w:bookmarkEnd w:id="1"/>
      <w:r w:rsidRPr="000569B4">
        <w:t>”</w:t>
      </w:r>
      <w:r w:rsidRPr="000569B4">
        <w:rPr>
          <w:lang w:val="fr-FR"/>
        </w:rPr>
        <w:t xml:space="preserve">, qui </w:t>
      </w:r>
      <w:r w:rsidRPr="008B1449">
        <w:rPr>
          <w:lang w:val="fr-FR"/>
        </w:rPr>
        <w:t>est</w:t>
      </w:r>
      <w:r w:rsidRPr="00037587">
        <w:rPr>
          <w:lang w:val="fr-FR"/>
        </w:rPr>
        <w:t>, pour les dimensions de pneumatiques énumérées à l’annexe 5 du présent Règlement, la désignation qui est indiquée dans la première colonne des tableaux de l’annexe 5 et, pour les autres dimensions de pneumatiques,</w:t>
      </w:r>
      <w:r w:rsidRPr="000569B4">
        <w:rPr>
          <w:lang w:val="fr-FR"/>
        </w:rPr>
        <w:t xml:space="preserve"> une désignation faisant apparaître</w:t>
      </w:r>
      <w:r w:rsidR="00E61E92">
        <w:rPr>
          <w:lang w:val="fr-FR"/>
        </w:rPr>
        <w:t> </w:t>
      </w:r>
      <w:r w:rsidRPr="000569B4">
        <w:rPr>
          <w:lang w:val="fr-FR"/>
        </w:rPr>
        <w:t>:</w:t>
      </w:r>
      <w:bookmarkEnd w:id="0"/>
      <w:r w:rsidRPr="000569B4">
        <w:rPr>
          <w:lang w:val="fr-FR"/>
        </w:rPr>
        <w:t> ».</w:t>
      </w:r>
    </w:p>
    <w:p w:rsidR="00F819DF" w:rsidRPr="000569B4" w:rsidRDefault="00F819DF" w:rsidP="00F819DF">
      <w:pPr>
        <w:pStyle w:val="SingleTxtG"/>
        <w:rPr>
          <w:rFonts w:eastAsia="Calibri"/>
          <w:i/>
          <w:lang w:val="fr-FR"/>
        </w:rPr>
      </w:pPr>
      <w:r w:rsidRPr="000569B4">
        <w:rPr>
          <w:i/>
          <w:iCs/>
          <w:lang w:val="fr-FR"/>
        </w:rPr>
        <w:t>Le paragraphe 2.19.1</w:t>
      </w:r>
      <w:r w:rsidRPr="000569B4">
        <w:rPr>
          <w:lang w:val="fr-FR"/>
        </w:rPr>
        <w:t xml:space="preserve"> devient le paragraphe 2.20.1 et se lit comme suit :</w:t>
      </w:r>
    </w:p>
    <w:p w:rsidR="00F819DF" w:rsidRPr="000569B4" w:rsidRDefault="00F819DF" w:rsidP="00F819DF">
      <w:pPr>
        <w:spacing w:after="120"/>
        <w:ind w:left="2268" w:right="1134" w:hanging="1134"/>
        <w:jc w:val="both"/>
        <w:rPr>
          <w:lang w:val="fr-FR"/>
        </w:rPr>
      </w:pPr>
      <w:r w:rsidRPr="000569B4">
        <w:rPr>
          <w:lang w:val="fr-FR"/>
        </w:rPr>
        <w:t>« 2</w:t>
      </w:r>
      <w:r w:rsidRPr="008B1449">
        <w:rPr>
          <w:lang w:val="fr-FR"/>
        </w:rPr>
        <w:t>.</w:t>
      </w:r>
      <w:r w:rsidRPr="00037587">
        <w:rPr>
          <w:lang w:val="fr-FR"/>
        </w:rPr>
        <w:t>20.</w:t>
      </w:r>
      <w:r w:rsidRPr="008B1449">
        <w:rPr>
          <w:lang w:val="fr-FR"/>
        </w:rPr>
        <w:t>1</w:t>
      </w:r>
      <w:r w:rsidRPr="008B1449">
        <w:rPr>
          <w:lang w:val="fr-FR"/>
        </w:rPr>
        <w:tab/>
        <w:t>La grosseur nominale du boudin (S1)</w:t>
      </w:r>
      <w:r w:rsidRPr="00037587">
        <w:rPr>
          <w:lang w:val="fr-FR"/>
        </w:rPr>
        <w:t>, qui</w:t>
      </w:r>
      <w:r w:rsidRPr="000569B4">
        <w:rPr>
          <w:b/>
          <w:bCs/>
          <w:lang w:val="fr-FR"/>
        </w:rPr>
        <w:t xml:space="preserve"> </w:t>
      </w:r>
      <w:r w:rsidRPr="000569B4">
        <w:rPr>
          <w:lang w:val="fr-FR"/>
        </w:rPr>
        <w:t>doit être exprimée en millimètre</w:t>
      </w:r>
      <w:r>
        <w:rPr>
          <w:lang w:val="fr-FR"/>
        </w:rPr>
        <w:t>s </w:t>
      </w:r>
      <w:r w:rsidRPr="000569B4">
        <w:rPr>
          <w:lang w:val="fr-FR"/>
        </w:rPr>
        <w:t>; ».</w:t>
      </w:r>
    </w:p>
    <w:p w:rsidR="00F819DF" w:rsidRPr="000569B4" w:rsidRDefault="00F819DF" w:rsidP="00F819DF">
      <w:pPr>
        <w:pStyle w:val="SingleTxtG"/>
        <w:rPr>
          <w:rFonts w:eastAsia="Calibri"/>
          <w:i/>
          <w:lang w:val="fr-FR"/>
        </w:rPr>
      </w:pPr>
      <w:r w:rsidRPr="000569B4">
        <w:rPr>
          <w:i/>
          <w:iCs/>
          <w:lang w:val="fr-FR"/>
        </w:rPr>
        <w:t>Le paragraphe 2.19.2</w:t>
      </w:r>
      <w:r w:rsidRPr="000569B4">
        <w:rPr>
          <w:lang w:val="fr-FR"/>
        </w:rPr>
        <w:t xml:space="preserve"> devient le paragraphe 2.20.2 et se lit comme suit :</w:t>
      </w:r>
    </w:p>
    <w:p w:rsidR="00F819DF" w:rsidRPr="000569B4" w:rsidRDefault="00F819DF" w:rsidP="00F819DF">
      <w:pPr>
        <w:spacing w:after="120"/>
        <w:ind w:left="2268" w:right="1134" w:hanging="1134"/>
        <w:jc w:val="both"/>
        <w:rPr>
          <w:rFonts w:eastAsia="Calibri"/>
          <w:i/>
          <w:lang w:val="fr-FR"/>
        </w:rPr>
      </w:pPr>
      <w:r w:rsidRPr="000569B4">
        <w:rPr>
          <w:lang w:val="fr-FR"/>
        </w:rPr>
        <w:t>« 2.</w:t>
      </w:r>
      <w:r w:rsidRPr="00037587">
        <w:rPr>
          <w:lang w:val="fr-FR"/>
        </w:rPr>
        <w:t>20</w:t>
      </w:r>
      <w:r w:rsidRPr="000569B4">
        <w:rPr>
          <w:b/>
          <w:bCs/>
          <w:lang w:val="fr-FR"/>
        </w:rPr>
        <w:t>.</w:t>
      </w:r>
      <w:r w:rsidRPr="000569B4">
        <w:rPr>
          <w:lang w:val="fr-FR"/>
        </w:rPr>
        <w:t>2</w:t>
      </w:r>
      <w:r w:rsidRPr="000569B4">
        <w:rPr>
          <w:lang w:val="fr-FR"/>
        </w:rPr>
        <w:tab/>
        <w:t>Le rapport nominal d’aspect</w:t>
      </w:r>
      <w:r>
        <w:rPr>
          <w:lang w:val="fr-FR"/>
        </w:rPr>
        <w:t> </w:t>
      </w:r>
      <w:r w:rsidRPr="000569B4">
        <w:rPr>
          <w:lang w:val="fr-FR"/>
        </w:rPr>
        <w:t>; ».</w:t>
      </w:r>
    </w:p>
    <w:p w:rsidR="00F819DF" w:rsidRPr="000569B4" w:rsidRDefault="00F819DF" w:rsidP="00F819DF">
      <w:pPr>
        <w:pStyle w:val="SingleTxtG"/>
        <w:rPr>
          <w:rFonts w:eastAsia="Calibri"/>
          <w:iCs/>
          <w:lang w:val="fr-FR"/>
        </w:rPr>
      </w:pPr>
      <w:r w:rsidRPr="000569B4">
        <w:rPr>
          <w:i/>
          <w:iCs/>
          <w:lang w:val="fr-FR"/>
        </w:rPr>
        <w:t>Ajouter les nouveaux paragraphes 2.20.3 à 2.20.3.3</w:t>
      </w:r>
      <w:r w:rsidRPr="000569B4">
        <w:rPr>
          <w:lang w:val="fr-FR"/>
        </w:rPr>
        <w:t>, libellés comme suit</w:t>
      </w:r>
      <w:r w:rsidR="00E61E92">
        <w:rPr>
          <w:lang w:val="fr-FR"/>
        </w:rPr>
        <w:t> </w:t>
      </w:r>
      <w:r w:rsidRPr="000569B4">
        <w:rPr>
          <w:lang w:val="fr-FR"/>
        </w:rPr>
        <w:t>:</w:t>
      </w:r>
    </w:p>
    <w:p w:rsidR="00F819DF" w:rsidRPr="00037587" w:rsidRDefault="00F819DF" w:rsidP="00F819DF">
      <w:pPr>
        <w:spacing w:after="120"/>
        <w:ind w:left="2268" w:right="1134" w:hanging="1134"/>
        <w:jc w:val="both"/>
        <w:rPr>
          <w:lang w:val="fr-FR"/>
        </w:rPr>
      </w:pPr>
      <w:r w:rsidRPr="008B1449">
        <w:rPr>
          <w:lang w:val="fr-FR"/>
        </w:rPr>
        <w:t>« </w:t>
      </w:r>
      <w:r w:rsidRPr="00037587">
        <w:rPr>
          <w:lang w:val="fr-FR"/>
        </w:rPr>
        <w:t>2.20.3</w:t>
      </w:r>
      <w:r w:rsidRPr="008B1449">
        <w:rPr>
          <w:lang w:val="fr-FR"/>
        </w:rPr>
        <w:tab/>
      </w:r>
      <w:r w:rsidRPr="00037587">
        <w:rPr>
          <w:lang w:val="fr-FR"/>
        </w:rPr>
        <w:t>L’indication de la structure</w:t>
      </w:r>
      <w:r w:rsidR="00E61E92">
        <w:rPr>
          <w:lang w:val="fr-FR"/>
        </w:rPr>
        <w:t> </w:t>
      </w:r>
      <w:r w:rsidRPr="00037587">
        <w:rPr>
          <w:lang w:val="fr-FR"/>
        </w:rPr>
        <w:t>:</w:t>
      </w:r>
    </w:p>
    <w:p w:rsidR="00F819DF" w:rsidRPr="00037587" w:rsidRDefault="00F819DF" w:rsidP="00F819DF">
      <w:pPr>
        <w:spacing w:after="120"/>
        <w:ind w:left="2268" w:right="1134" w:hanging="1134"/>
        <w:jc w:val="both"/>
        <w:rPr>
          <w:lang w:val="fr-FR"/>
        </w:rPr>
      </w:pPr>
      <w:bookmarkStart w:id="2" w:name="_Hlk45175888"/>
      <w:r w:rsidRPr="00037587">
        <w:rPr>
          <w:lang w:val="fr-FR"/>
        </w:rPr>
        <w:t>2.20.3.1</w:t>
      </w:r>
      <w:r w:rsidRPr="00037587">
        <w:rPr>
          <w:lang w:val="fr-FR"/>
        </w:rPr>
        <w:tab/>
      </w:r>
      <w:r w:rsidRPr="00037587">
        <w:t>“</w:t>
      </w:r>
      <w:r w:rsidRPr="00037587">
        <w:rPr>
          <w:lang w:val="fr-FR"/>
        </w:rPr>
        <w:t>-</w:t>
      </w:r>
      <w:r w:rsidRPr="00037587">
        <w:t>”</w:t>
      </w:r>
      <w:r w:rsidRPr="00037587">
        <w:rPr>
          <w:lang w:val="fr-FR"/>
        </w:rPr>
        <w:t xml:space="preserve"> ou la lettre </w:t>
      </w:r>
      <w:r w:rsidRPr="00037587">
        <w:t>“</w:t>
      </w:r>
      <w:r w:rsidRPr="00037587">
        <w:rPr>
          <w:lang w:val="fr-FR"/>
        </w:rPr>
        <w:t>D</w:t>
      </w:r>
      <w:r w:rsidRPr="00037587">
        <w:t>”</w:t>
      </w:r>
      <w:r w:rsidRPr="00037587">
        <w:rPr>
          <w:lang w:val="fr-FR"/>
        </w:rPr>
        <w:t xml:space="preserve"> pour les pneumatiques à structure diagonale</w:t>
      </w:r>
      <w:r w:rsidR="00E61E92">
        <w:rPr>
          <w:lang w:val="fr-FR"/>
        </w:rPr>
        <w:t> </w:t>
      </w:r>
      <w:r w:rsidRPr="00037587">
        <w:rPr>
          <w:lang w:val="fr-FR"/>
        </w:rPr>
        <w:t>;</w:t>
      </w:r>
    </w:p>
    <w:bookmarkEnd w:id="2"/>
    <w:p w:rsidR="00F819DF" w:rsidRPr="00037587" w:rsidRDefault="00F819DF" w:rsidP="00F819DF">
      <w:pPr>
        <w:spacing w:after="120"/>
        <w:ind w:left="2268" w:right="1134" w:hanging="1134"/>
        <w:jc w:val="both"/>
        <w:rPr>
          <w:lang w:val="fr-FR"/>
        </w:rPr>
      </w:pPr>
      <w:r w:rsidRPr="00037587">
        <w:rPr>
          <w:lang w:val="fr-FR"/>
        </w:rPr>
        <w:t>2.20.3.2</w:t>
      </w:r>
      <w:r w:rsidRPr="00037587">
        <w:rPr>
          <w:lang w:val="fr-FR"/>
        </w:rPr>
        <w:tab/>
        <w:t xml:space="preserve">La lettre </w:t>
      </w:r>
      <w:r w:rsidRPr="00037587">
        <w:t>“</w:t>
      </w:r>
      <w:r w:rsidRPr="00037587">
        <w:rPr>
          <w:lang w:val="fr-FR"/>
        </w:rPr>
        <w:t>B</w:t>
      </w:r>
      <w:r w:rsidRPr="00037587">
        <w:t>”</w:t>
      </w:r>
      <w:r w:rsidRPr="00037587">
        <w:rPr>
          <w:lang w:val="fr-FR"/>
        </w:rPr>
        <w:t xml:space="preserve"> pour les pneumatiques à structure ceinturée croisée</w:t>
      </w:r>
      <w:r w:rsidR="00E61E92">
        <w:rPr>
          <w:lang w:val="fr-FR"/>
        </w:rPr>
        <w:t> </w:t>
      </w:r>
      <w:r w:rsidRPr="00037587">
        <w:rPr>
          <w:lang w:val="fr-FR"/>
        </w:rPr>
        <w:t>;</w:t>
      </w:r>
    </w:p>
    <w:p w:rsidR="00F819DF" w:rsidRPr="00037587" w:rsidRDefault="00F819DF" w:rsidP="00F819DF">
      <w:pPr>
        <w:spacing w:after="120"/>
        <w:ind w:left="2268" w:right="1134" w:hanging="1134"/>
        <w:jc w:val="both"/>
        <w:rPr>
          <w:lang w:val="fr-FR"/>
        </w:rPr>
      </w:pPr>
      <w:r w:rsidRPr="00037587">
        <w:rPr>
          <w:lang w:val="fr-FR"/>
        </w:rPr>
        <w:t>2.20.3.3</w:t>
      </w:r>
      <w:r w:rsidRPr="00037587">
        <w:rPr>
          <w:lang w:val="fr-FR"/>
        </w:rPr>
        <w:tab/>
        <w:t xml:space="preserve">La lettre </w:t>
      </w:r>
      <w:r w:rsidRPr="00037587">
        <w:t>“</w:t>
      </w:r>
      <w:r w:rsidRPr="00037587">
        <w:rPr>
          <w:lang w:val="fr-FR"/>
        </w:rPr>
        <w:t>R</w:t>
      </w:r>
      <w:r w:rsidRPr="00037587">
        <w:t>”</w:t>
      </w:r>
      <w:r w:rsidRPr="00037587">
        <w:rPr>
          <w:lang w:val="fr-FR"/>
        </w:rPr>
        <w:t xml:space="preserve"> pour les pneumatiques à structure radiale ;</w:t>
      </w:r>
      <w:r w:rsidRPr="008B1449">
        <w:rPr>
          <w:lang w:val="fr-FR"/>
        </w:rPr>
        <w:t> ».</w:t>
      </w:r>
    </w:p>
    <w:p w:rsidR="00F819DF" w:rsidRPr="000569B4" w:rsidRDefault="00F819DF" w:rsidP="00F819DF">
      <w:pPr>
        <w:pStyle w:val="SingleTxtG"/>
        <w:rPr>
          <w:rFonts w:eastAsia="Calibri"/>
          <w:lang w:val="fr-FR"/>
        </w:rPr>
      </w:pPr>
      <w:r w:rsidRPr="000569B4">
        <w:rPr>
          <w:i/>
          <w:iCs/>
          <w:lang w:val="fr-FR"/>
        </w:rPr>
        <w:t>Les paragraphes 2.19.3 et 2.19.3.1</w:t>
      </w:r>
      <w:r w:rsidRPr="000569B4">
        <w:rPr>
          <w:lang w:val="fr-FR"/>
        </w:rPr>
        <w:t xml:space="preserve"> deviennent les paragraphes 2.20.5 et 2.20.5.1.</w:t>
      </w:r>
    </w:p>
    <w:p w:rsidR="00F819DF" w:rsidRPr="000569B4" w:rsidRDefault="00F819DF" w:rsidP="00F819DF">
      <w:pPr>
        <w:pStyle w:val="SingleTxtG"/>
        <w:rPr>
          <w:rFonts w:eastAsia="Calibri"/>
          <w:lang w:val="fr-FR"/>
        </w:rPr>
      </w:pPr>
      <w:r w:rsidRPr="000569B4">
        <w:rPr>
          <w:i/>
          <w:iCs/>
          <w:lang w:val="fr-FR"/>
        </w:rPr>
        <w:t>Paragraphe 2.19.4</w:t>
      </w:r>
      <w:r w:rsidRPr="000569B4">
        <w:rPr>
          <w:lang w:val="fr-FR"/>
        </w:rPr>
        <w:t>, supprimer.</w:t>
      </w:r>
    </w:p>
    <w:p w:rsidR="00F819DF" w:rsidRPr="000569B4" w:rsidRDefault="00F819DF" w:rsidP="00F819DF">
      <w:pPr>
        <w:pStyle w:val="SingleTxtG"/>
        <w:rPr>
          <w:rFonts w:eastAsia="Calibri"/>
          <w:i/>
          <w:lang w:val="fr-FR"/>
        </w:rPr>
      </w:pPr>
      <w:r w:rsidRPr="000569B4">
        <w:rPr>
          <w:i/>
          <w:iCs/>
          <w:lang w:val="fr-FR"/>
        </w:rPr>
        <w:t xml:space="preserve">Ajouter </w:t>
      </w:r>
      <w:r>
        <w:rPr>
          <w:i/>
          <w:iCs/>
          <w:lang w:val="fr-FR"/>
        </w:rPr>
        <w:t>le</w:t>
      </w:r>
      <w:r w:rsidRPr="000569B4">
        <w:rPr>
          <w:i/>
          <w:iCs/>
          <w:lang w:val="fr-FR"/>
        </w:rPr>
        <w:t xml:space="preserve"> nouveau paragraphe 2.20.6</w:t>
      </w:r>
      <w:r w:rsidRPr="000569B4">
        <w:rPr>
          <w:lang w:val="fr-FR"/>
        </w:rPr>
        <w:t>, libellé comme suit :</w:t>
      </w:r>
    </w:p>
    <w:p w:rsidR="00F819DF" w:rsidRPr="00037587" w:rsidRDefault="00F819DF" w:rsidP="00F819DF">
      <w:pPr>
        <w:spacing w:after="120"/>
        <w:ind w:left="2268" w:right="1134" w:hanging="1134"/>
        <w:jc w:val="both"/>
        <w:rPr>
          <w:lang w:val="fr-FR"/>
        </w:rPr>
      </w:pPr>
      <w:bookmarkStart w:id="3" w:name="_Hlk40104086"/>
      <w:r w:rsidRPr="008B1449">
        <w:rPr>
          <w:lang w:val="fr-FR"/>
        </w:rPr>
        <w:t>« </w:t>
      </w:r>
      <w:r w:rsidRPr="00037587">
        <w:rPr>
          <w:lang w:val="fr-FR"/>
        </w:rPr>
        <w:t>2.20.6</w:t>
      </w:r>
      <w:r w:rsidRPr="008B1449">
        <w:rPr>
          <w:lang w:val="fr-FR"/>
        </w:rPr>
        <w:tab/>
      </w:r>
      <w:r w:rsidRPr="00037587">
        <w:rPr>
          <w:lang w:val="fr-FR"/>
        </w:rPr>
        <w:t xml:space="preserve">Le suffixe </w:t>
      </w:r>
      <w:r w:rsidRPr="00037587">
        <w:t>“</w:t>
      </w:r>
      <w:r w:rsidRPr="00037587">
        <w:rPr>
          <w:lang w:val="fr-FR"/>
        </w:rPr>
        <w:t>M/C</w:t>
      </w:r>
      <w:r w:rsidRPr="00037587">
        <w:t>”</w:t>
      </w:r>
      <w:r w:rsidRPr="00037587">
        <w:rPr>
          <w:lang w:val="fr-FR"/>
        </w:rPr>
        <w:t xml:space="preserve"> pour les pneumatiques destinés à être montés sur des jantes conçues pour les motocycles</w:t>
      </w:r>
      <w:r w:rsidR="00E61E92">
        <w:rPr>
          <w:lang w:val="fr-FR"/>
        </w:rPr>
        <w:t> </w:t>
      </w:r>
      <w:r w:rsidRPr="00037587">
        <w:rPr>
          <w:lang w:val="fr-FR"/>
        </w:rPr>
        <w:t>;</w:t>
      </w:r>
      <w:r w:rsidRPr="008B1449">
        <w:rPr>
          <w:lang w:val="fr-FR"/>
        </w:rPr>
        <w:t xml:space="preserve"> </w:t>
      </w:r>
      <w:r w:rsidRPr="00037587">
        <w:rPr>
          <w:lang w:val="fr-FR"/>
        </w:rPr>
        <w:t>ce suffixe est obligatoire pour les pneumatiques ayant un diamètre de jante nominal équivalent au code 13 (330 mm) ou supérieur, et facultatif pour les dimensions de pneumatiques énumérées à l’annexe 5. ».</w:t>
      </w:r>
      <w:bookmarkEnd w:id="3"/>
    </w:p>
    <w:p w:rsidR="00F819DF" w:rsidRPr="000569B4" w:rsidRDefault="00F819DF" w:rsidP="00F819DF">
      <w:pPr>
        <w:pStyle w:val="SingleTxtG"/>
        <w:rPr>
          <w:rFonts w:eastAsia="Calibri"/>
          <w:lang w:val="fr-FR"/>
        </w:rPr>
      </w:pPr>
      <w:r w:rsidRPr="000569B4">
        <w:rPr>
          <w:i/>
          <w:iCs/>
          <w:lang w:val="fr-FR"/>
        </w:rPr>
        <w:t>Les paragraphes 2.20 à 2.31</w:t>
      </w:r>
      <w:r w:rsidRPr="000569B4">
        <w:rPr>
          <w:lang w:val="fr-FR"/>
        </w:rPr>
        <w:t xml:space="preserve"> deviennent les paragraphes 2.21 à 2.32.</w:t>
      </w:r>
    </w:p>
    <w:p w:rsidR="00F819DF" w:rsidRPr="000569B4" w:rsidRDefault="00F819DF" w:rsidP="00F819DF">
      <w:pPr>
        <w:pStyle w:val="SingleTxtG"/>
        <w:rPr>
          <w:rFonts w:eastAsia="Calibri"/>
          <w:lang w:val="fr-FR"/>
        </w:rPr>
      </w:pPr>
      <w:r w:rsidRPr="000569B4">
        <w:rPr>
          <w:i/>
          <w:iCs/>
          <w:lang w:val="fr-FR"/>
        </w:rPr>
        <w:t>Le paragraphe 2.31.1</w:t>
      </w:r>
      <w:r w:rsidRPr="000569B4">
        <w:rPr>
          <w:lang w:val="fr-FR"/>
        </w:rPr>
        <w:t xml:space="preserve"> devient le paragraphe 2.32.1 et se lit comme suit</w:t>
      </w:r>
      <w:r w:rsidR="00E61E92">
        <w:rPr>
          <w:lang w:val="fr-FR"/>
        </w:rPr>
        <w:t> </w:t>
      </w:r>
      <w:r w:rsidRPr="000569B4">
        <w:rPr>
          <w:lang w:val="fr-FR"/>
        </w:rPr>
        <w:t>:</w:t>
      </w:r>
    </w:p>
    <w:p w:rsidR="00F819DF" w:rsidRPr="008B1449" w:rsidRDefault="00F819DF" w:rsidP="00F819DF">
      <w:pPr>
        <w:spacing w:after="120"/>
        <w:ind w:left="2268" w:right="1134" w:hanging="1134"/>
        <w:jc w:val="both"/>
        <w:rPr>
          <w:rFonts w:eastAsia="Calibri"/>
          <w:lang w:val="fr-FR"/>
        </w:rPr>
      </w:pPr>
      <w:r w:rsidRPr="008B1449">
        <w:rPr>
          <w:lang w:val="fr-FR"/>
        </w:rPr>
        <w:t>« 2.</w:t>
      </w:r>
      <w:r w:rsidRPr="00037587">
        <w:rPr>
          <w:lang w:val="fr-FR"/>
        </w:rPr>
        <w:t>32.</w:t>
      </w:r>
      <w:r w:rsidRPr="008B1449">
        <w:rPr>
          <w:lang w:val="fr-FR"/>
        </w:rPr>
        <w:t>1</w:t>
      </w:r>
      <w:r w:rsidRPr="008B1449">
        <w:rPr>
          <w:lang w:val="fr-FR"/>
        </w:rPr>
        <w:tab/>
        <w:t xml:space="preserve">Les vitesses désignées par le symbole de la catégorie de vitesse comme indiqué dans le tableau du paragraphe </w:t>
      </w:r>
      <w:r w:rsidRPr="00037587">
        <w:rPr>
          <w:lang w:val="fr-FR"/>
        </w:rPr>
        <w:t>2.32.2 ci-dessous</w:t>
      </w:r>
      <w:r w:rsidRPr="008B1449">
        <w:rPr>
          <w:lang w:val="fr-FR"/>
        </w:rPr>
        <w:t>. ».</w:t>
      </w:r>
    </w:p>
    <w:p w:rsidR="00F819DF" w:rsidRPr="000569B4" w:rsidRDefault="00F819DF" w:rsidP="00F819DF">
      <w:pPr>
        <w:pStyle w:val="SingleTxtG"/>
        <w:rPr>
          <w:rFonts w:eastAsia="Calibri"/>
          <w:lang w:val="fr-FR"/>
        </w:rPr>
      </w:pPr>
      <w:r w:rsidRPr="000569B4">
        <w:rPr>
          <w:i/>
          <w:iCs/>
          <w:lang w:val="fr-FR"/>
        </w:rPr>
        <w:t>Le paragraphe 2.31.2</w:t>
      </w:r>
      <w:r w:rsidRPr="000569B4">
        <w:rPr>
          <w:lang w:val="fr-FR"/>
        </w:rPr>
        <w:t xml:space="preserve"> devient le paragraphe 2.32.2.</w:t>
      </w:r>
    </w:p>
    <w:p w:rsidR="00F819DF" w:rsidRPr="000569B4" w:rsidRDefault="00F819DF" w:rsidP="00E61E92">
      <w:pPr>
        <w:pStyle w:val="SingleTxtG"/>
        <w:keepNext/>
        <w:rPr>
          <w:rFonts w:eastAsia="Calibri"/>
          <w:i/>
          <w:lang w:val="fr-FR"/>
        </w:rPr>
      </w:pPr>
      <w:r w:rsidRPr="000569B4">
        <w:rPr>
          <w:i/>
          <w:iCs/>
          <w:lang w:val="fr-FR"/>
        </w:rPr>
        <w:lastRenderedPageBreak/>
        <w:t>Le paragraphe 2.31.3</w:t>
      </w:r>
      <w:r w:rsidRPr="000569B4">
        <w:rPr>
          <w:lang w:val="fr-FR"/>
        </w:rPr>
        <w:t xml:space="preserve"> devient le paragraphe 2.20.4 et se lit comme suit</w:t>
      </w:r>
      <w:r w:rsidR="00E61E92">
        <w:rPr>
          <w:lang w:val="fr-FR"/>
        </w:rPr>
        <w:t> </w:t>
      </w:r>
      <w:r w:rsidRPr="000569B4">
        <w:rPr>
          <w:lang w:val="fr-FR"/>
        </w:rPr>
        <w:t>:</w:t>
      </w:r>
    </w:p>
    <w:p w:rsidR="00F819DF" w:rsidRPr="00863978" w:rsidRDefault="00F819DF" w:rsidP="00F819DF">
      <w:pPr>
        <w:spacing w:after="120"/>
        <w:ind w:left="2268" w:right="1134" w:hanging="1134"/>
        <w:jc w:val="both"/>
        <w:rPr>
          <w:lang w:val="fr-FR"/>
        </w:rPr>
      </w:pPr>
      <w:r w:rsidRPr="00863978">
        <w:rPr>
          <w:lang w:val="fr-FR"/>
        </w:rPr>
        <w:t>« 2.</w:t>
      </w:r>
      <w:r w:rsidRPr="00037587">
        <w:rPr>
          <w:lang w:val="fr-FR"/>
        </w:rPr>
        <w:t>20.4</w:t>
      </w:r>
      <w:r w:rsidRPr="00863978">
        <w:rPr>
          <w:lang w:val="fr-FR"/>
        </w:rPr>
        <w:tab/>
      </w:r>
      <w:r w:rsidRPr="00037587">
        <w:rPr>
          <w:lang w:val="fr-FR"/>
        </w:rPr>
        <w:t>Devant l’indication concernant la structure, la lettre de code “V” pour les pneumatiques</w:t>
      </w:r>
      <w:r w:rsidRPr="00863978">
        <w:rPr>
          <w:lang w:val="fr-FR"/>
        </w:rPr>
        <w:t xml:space="preserve"> conçus pour des vitesses maximales supérieures à 240 km/h mais inférieures à 270 km/h et </w:t>
      </w:r>
      <w:r w:rsidRPr="00037587">
        <w:rPr>
          <w:lang w:val="fr-FR"/>
        </w:rPr>
        <w:t>la lettre de code “Z” pour</w:t>
      </w:r>
      <w:r w:rsidRPr="00863978">
        <w:rPr>
          <w:lang w:val="fr-FR"/>
        </w:rPr>
        <w:t xml:space="preserve"> les pneumatiques conçus pour des vitesses maximales supérieures ou égales à 270 km/h</w:t>
      </w:r>
      <w:r w:rsidR="00E61E92">
        <w:rPr>
          <w:lang w:val="fr-FR"/>
        </w:rPr>
        <w:t> </w:t>
      </w:r>
      <w:r w:rsidRPr="00037587">
        <w:rPr>
          <w:lang w:val="fr-FR"/>
        </w:rPr>
        <w:t>; le signe “-” comme indication concernant la structure pour les pneumatiques à structure diagonale peut être omis dans ce cas</w:t>
      </w:r>
      <w:r w:rsidR="00E61E92">
        <w:rPr>
          <w:lang w:val="fr-FR"/>
        </w:rPr>
        <w:t> </w:t>
      </w:r>
      <w:r w:rsidRPr="00037587">
        <w:rPr>
          <w:lang w:val="fr-FR"/>
        </w:rPr>
        <w:t>; </w:t>
      </w:r>
      <w:r w:rsidRPr="00863978">
        <w:rPr>
          <w:lang w:val="fr-FR"/>
        </w:rPr>
        <w:t>».</w:t>
      </w:r>
    </w:p>
    <w:p w:rsidR="00F819DF" w:rsidRPr="000569B4" w:rsidRDefault="00F819DF" w:rsidP="00F819DF">
      <w:pPr>
        <w:pStyle w:val="SingleTxtG"/>
        <w:rPr>
          <w:rFonts w:eastAsia="Calibri"/>
          <w:i/>
          <w:lang w:val="fr-FR"/>
        </w:rPr>
      </w:pPr>
      <w:r w:rsidRPr="000569B4">
        <w:rPr>
          <w:i/>
          <w:iCs/>
          <w:lang w:val="fr-FR"/>
        </w:rPr>
        <w:t>Le paragraphe 2.32</w:t>
      </w:r>
      <w:r w:rsidRPr="000569B4">
        <w:rPr>
          <w:lang w:val="fr-FR"/>
        </w:rPr>
        <w:t xml:space="preserve"> devient le paragraphe 2.33 et se lit comme suit</w:t>
      </w:r>
      <w:r w:rsidR="00E61E92">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2.</w:t>
      </w:r>
      <w:r w:rsidRPr="00037587">
        <w:rPr>
          <w:lang w:val="fr-FR"/>
        </w:rPr>
        <w:t>33</w:t>
      </w:r>
      <w:r w:rsidRPr="000569B4">
        <w:rPr>
          <w:lang w:val="fr-FR"/>
        </w:rPr>
        <w:tab/>
        <w:t>“</w:t>
      </w:r>
      <w:r w:rsidRPr="000569B4">
        <w:rPr>
          <w:i/>
          <w:iCs/>
          <w:lang w:val="fr-FR"/>
        </w:rPr>
        <w:t>Pneumatiques neige</w:t>
      </w:r>
      <w:r w:rsidRPr="000569B4">
        <w:rPr>
          <w:lang w:val="fr-FR"/>
        </w:rPr>
        <w:t xml:space="preserve">”, les pneumatiques dont le dessin de la bande de roulement et la structure sont conçus avant tout pour assurer dans la boue et la neige fraîche ou fondante un comportement meilleur que celui des pneumatiques </w:t>
      </w:r>
      <w:r w:rsidRPr="00037587">
        <w:rPr>
          <w:lang w:val="fr-FR"/>
        </w:rPr>
        <w:t>ordinaires en ce qui concerne</w:t>
      </w:r>
      <w:r w:rsidRPr="003B1D0C">
        <w:t xml:space="preserve"> </w:t>
      </w:r>
      <w:r w:rsidRPr="00037587">
        <w:rPr>
          <w:lang w:val="fr-FR"/>
        </w:rPr>
        <w:t>la capacité de mise en mouvement ou la mobilité du véhicule</w:t>
      </w:r>
      <w:r w:rsidRPr="000569B4">
        <w:rPr>
          <w:lang w:val="fr-FR"/>
        </w:rPr>
        <w:t>. ».</w:t>
      </w:r>
    </w:p>
    <w:p w:rsidR="00F819DF" w:rsidRPr="000569B4" w:rsidRDefault="00F819DF" w:rsidP="00F819DF">
      <w:pPr>
        <w:pStyle w:val="SingleTxtG"/>
        <w:rPr>
          <w:rFonts w:eastAsia="Calibri"/>
          <w:lang w:val="fr-FR"/>
        </w:rPr>
      </w:pPr>
      <w:r w:rsidRPr="000569B4">
        <w:rPr>
          <w:i/>
          <w:iCs/>
          <w:lang w:val="fr-FR"/>
        </w:rPr>
        <w:t>Les paragraphes 2.33 à 2.34</w:t>
      </w:r>
      <w:r w:rsidRPr="000569B4">
        <w:rPr>
          <w:lang w:val="fr-FR"/>
        </w:rPr>
        <w:t xml:space="preserve"> deviennent les paragraphes 2.34 à 2.35.</w:t>
      </w:r>
    </w:p>
    <w:p w:rsidR="00F819DF" w:rsidRPr="000569B4" w:rsidRDefault="00F819DF" w:rsidP="00F819DF">
      <w:pPr>
        <w:pStyle w:val="SingleTxtG"/>
        <w:rPr>
          <w:rFonts w:eastAsia="Calibri"/>
          <w:lang w:val="fr-FR"/>
        </w:rPr>
      </w:pPr>
      <w:r w:rsidRPr="000569B4">
        <w:rPr>
          <w:i/>
          <w:iCs/>
          <w:lang w:val="fr-FR"/>
        </w:rPr>
        <w:t>Le paragraphe 2.35</w:t>
      </w:r>
      <w:r w:rsidRPr="000569B4">
        <w:rPr>
          <w:lang w:val="fr-FR"/>
        </w:rPr>
        <w:t xml:space="preserve"> devient le paragraphe 2.36 et se lit comme suit</w:t>
      </w:r>
      <w:r w:rsidR="00E61E92">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2.</w:t>
      </w:r>
      <w:r w:rsidRPr="00037587">
        <w:rPr>
          <w:lang w:val="fr-FR"/>
        </w:rPr>
        <w:t>36</w:t>
      </w:r>
      <w:r w:rsidRPr="000569B4">
        <w:rPr>
          <w:lang w:val="fr-FR"/>
        </w:rPr>
        <w:tab/>
        <w:t>“</w:t>
      </w:r>
      <w:r w:rsidRPr="000569B4">
        <w:rPr>
          <w:i/>
          <w:iCs/>
          <w:lang w:val="fr-FR"/>
        </w:rPr>
        <w:t>Pneumatique pour motocycle</w:t>
      </w:r>
      <w:r w:rsidRPr="000569B4">
        <w:rPr>
          <w:lang w:val="fr-FR"/>
        </w:rPr>
        <w:t>”, un pneumatique conçu principalement pour équiper les motocycles (catégories L</w:t>
      </w:r>
      <w:r w:rsidRPr="000569B4">
        <w:rPr>
          <w:vertAlign w:val="subscript"/>
          <w:lang w:val="fr-FR"/>
        </w:rPr>
        <w:t>3</w:t>
      </w:r>
      <w:r w:rsidRPr="000569B4">
        <w:rPr>
          <w:lang w:val="fr-FR"/>
        </w:rPr>
        <w:t>, L</w:t>
      </w:r>
      <w:r w:rsidRPr="000569B4">
        <w:rPr>
          <w:vertAlign w:val="subscript"/>
          <w:lang w:val="fr-FR"/>
        </w:rPr>
        <w:t>4</w:t>
      </w:r>
      <w:r w:rsidRPr="000569B4">
        <w:rPr>
          <w:lang w:val="fr-FR"/>
        </w:rPr>
        <w:t xml:space="preserve"> et L</w:t>
      </w:r>
      <w:r w:rsidRPr="000569B4">
        <w:rPr>
          <w:vertAlign w:val="subscript"/>
          <w:lang w:val="fr-FR"/>
        </w:rPr>
        <w:t>5</w:t>
      </w:r>
      <w:r w:rsidRPr="000569B4">
        <w:rPr>
          <w:lang w:val="fr-FR"/>
        </w:rPr>
        <w:t>). Toutefois, il peut également équiper les cyclomoteurs (catégories L</w:t>
      </w:r>
      <w:r w:rsidRPr="000569B4">
        <w:rPr>
          <w:vertAlign w:val="subscript"/>
          <w:lang w:val="fr-FR"/>
        </w:rPr>
        <w:t>1</w:t>
      </w:r>
      <w:r w:rsidRPr="000569B4">
        <w:rPr>
          <w:lang w:val="fr-FR"/>
        </w:rPr>
        <w:t xml:space="preserve"> et L</w:t>
      </w:r>
      <w:r w:rsidRPr="000569B4">
        <w:rPr>
          <w:vertAlign w:val="subscript"/>
          <w:lang w:val="fr-FR"/>
        </w:rPr>
        <w:t>2</w:t>
      </w:r>
      <w:r w:rsidRPr="000569B4">
        <w:rPr>
          <w:lang w:val="fr-FR"/>
        </w:rPr>
        <w:t>) et les remorques légères (</w:t>
      </w:r>
      <w:r w:rsidRPr="00863978">
        <w:rPr>
          <w:lang w:val="fr-FR"/>
        </w:rPr>
        <w:t xml:space="preserve">catégorie </w:t>
      </w:r>
      <w:r w:rsidRPr="00037587">
        <w:rPr>
          <w:lang w:val="fr-FR"/>
        </w:rPr>
        <w:t>O</w:t>
      </w:r>
      <w:r w:rsidRPr="00037587">
        <w:rPr>
          <w:vertAlign w:val="subscript"/>
          <w:lang w:val="fr-FR"/>
        </w:rPr>
        <w:t>1</w:t>
      </w:r>
      <w:r w:rsidRPr="000569B4">
        <w:rPr>
          <w:lang w:val="fr-FR"/>
        </w:rPr>
        <w:t>). ».</w:t>
      </w:r>
    </w:p>
    <w:p w:rsidR="00F819DF" w:rsidRPr="000569B4" w:rsidRDefault="00F819DF" w:rsidP="00F819DF">
      <w:pPr>
        <w:pStyle w:val="SingleTxtG"/>
        <w:rPr>
          <w:rFonts w:eastAsia="Calibri"/>
          <w:lang w:val="fr-FR"/>
        </w:rPr>
      </w:pPr>
      <w:r w:rsidRPr="000569B4">
        <w:rPr>
          <w:i/>
          <w:iCs/>
          <w:lang w:val="fr-FR"/>
        </w:rPr>
        <w:t>Le paragraphe 2.36</w:t>
      </w:r>
      <w:r w:rsidRPr="000569B4">
        <w:rPr>
          <w:lang w:val="fr-FR"/>
        </w:rPr>
        <w:t xml:space="preserve"> devient le paragraphe 2.37.</w:t>
      </w:r>
    </w:p>
    <w:p w:rsidR="00F819DF" w:rsidRPr="000569B4" w:rsidRDefault="00F819DF" w:rsidP="00F819DF">
      <w:pPr>
        <w:pStyle w:val="SingleTxtG"/>
        <w:rPr>
          <w:rFonts w:eastAsia="Calibri"/>
          <w:lang w:val="fr-FR"/>
        </w:rPr>
      </w:pPr>
      <w:r w:rsidRPr="000569B4">
        <w:rPr>
          <w:i/>
          <w:iCs/>
          <w:lang w:val="fr-FR"/>
        </w:rPr>
        <w:t>Le paragraphe 2.36.1</w:t>
      </w:r>
      <w:r w:rsidRPr="000569B4">
        <w:rPr>
          <w:lang w:val="fr-FR"/>
        </w:rPr>
        <w:t xml:space="preserve"> devient le paragraphe 2.37.1 et se lit comme suit</w:t>
      </w:r>
      <w:r w:rsidR="00E61E92">
        <w:rPr>
          <w:lang w:val="fr-FR"/>
        </w:rPr>
        <w:t> </w:t>
      </w:r>
      <w:r w:rsidRPr="000569B4">
        <w:rPr>
          <w:lang w:val="fr-FR"/>
        </w:rPr>
        <w:t>:</w:t>
      </w:r>
    </w:p>
    <w:p w:rsidR="00F819DF" w:rsidRPr="000569B4" w:rsidRDefault="00F819DF" w:rsidP="00F819DF">
      <w:pPr>
        <w:spacing w:after="120"/>
        <w:ind w:left="2268" w:right="1134" w:hanging="1134"/>
        <w:jc w:val="both"/>
        <w:rPr>
          <w:rFonts w:eastAsia="Calibri"/>
          <w:lang w:val="fr-FR"/>
        </w:rPr>
      </w:pPr>
      <w:r w:rsidRPr="000569B4">
        <w:rPr>
          <w:lang w:val="fr-FR"/>
        </w:rPr>
        <w:t>« 2.</w:t>
      </w:r>
      <w:r w:rsidRPr="00037587">
        <w:rPr>
          <w:lang w:val="fr-FR"/>
        </w:rPr>
        <w:t>3</w:t>
      </w:r>
      <w:r w:rsidRPr="000569B4">
        <w:rPr>
          <w:b/>
          <w:bCs/>
          <w:lang w:val="fr-FR"/>
        </w:rPr>
        <w:t>7</w:t>
      </w:r>
      <w:r w:rsidRPr="000569B4">
        <w:rPr>
          <w:lang w:val="fr-FR"/>
        </w:rPr>
        <w:t>.1</w:t>
      </w:r>
      <w:r w:rsidRPr="000569B4">
        <w:rPr>
          <w:lang w:val="fr-FR"/>
        </w:rPr>
        <w:tab/>
        <w:t xml:space="preserve">Pour les vitesses inférieures ou égales à 130 km/h, l’indice de charge </w:t>
      </w:r>
      <w:r w:rsidRPr="00863978">
        <w:rPr>
          <w:lang w:val="fr-FR"/>
        </w:rPr>
        <w:t>maximale ne doit pas dépasser le pourcentage de la valeur associée à l’indice de capacité de charge correspondant du pneumatique comme indiqué dans le tableau “</w:t>
      </w:r>
      <w:r w:rsidRPr="00037587">
        <w:rPr>
          <w:lang w:val="fr-FR"/>
        </w:rPr>
        <w:t>Variation de la capacité de charge en fonction de la vitesse</w:t>
      </w:r>
      <w:r w:rsidRPr="00863978">
        <w:rPr>
          <w:lang w:val="fr-FR"/>
        </w:rPr>
        <w:t xml:space="preserve">” (voir </w:t>
      </w:r>
      <w:r w:rsidRPr="00037587">
        <w:rPr>
          <w:lang w:val="fr-FR"/>
        </w:rPr>
        <w:t>annexe 8</w:t>
      </w:r>
      <w:r w:rsidRPr="00863978">
        <w:rPr>
          <w:lang w:val="fr-FR"/>
        </w:rPr>
        <w:t>),</w:t>
      </w:r>
      <w:r w:rsidRPr="000569B4">
        <w:rPr>
          <w:lang w:val="fr-FR"/>
        </w:rPr>
        <w:t xml:space="preserve"> en ce qui concerne le symbole de la catégorie de vitesse du pneumatique et la vitesse que peut atteindre le véhicule sur lequel il est monté. ».</w:t>
      </w:r>
    </w:p>
    <w:p w:rsidR="00F819DF" w:rsidRPr="000569B4" w:rsidRDefault="00F819DF" w:rsidP="00F819DF">
      <w:pPr>
        <w:pStyle w:val="SingleTxtG"/>
        <w:rPr>
          <w:rFonts w:eastAsia="Calibri"/>
          <w:lang w:val="fr-FR"/>
        </w:rPr>
      </w:pPr>
      <w:r w:rsidRPr="000569B4">
        <w:rPr>
          <w:i/>
          <w:iCs/>
          <w:lang w:val="fr-FR"/>
        </w:rPr>
        <w:t>Les paragraphes 2.36.2 à 2.37</w:t>
      </w:r>
      <w:r w:rsidRPr="000569B4">
        <w:rPr>
          <w:lang w:val="fr-FR"/>
        </w:rPr>
        <w:t xml:space="preserve"> deviennent les paragraphes 2.37.2 à 2.38.</w:t>
      </w:r>
    </w:p>
    <w:p w:rsidR="00F819DF" w:rsidRPr="000569B4" w:rsidRDefault="00F819DF" w:rsidP="00F819DF">
      <w:pPr>
        <w:pStyle w:val="SingleTxtG"/>
        <w:rPr>
          <w:lang w:val="fr-FR"/>
        </w:rPr>
      </w:pPr>
      <w:r w:rsidRPr="000569B4">
        <w:rPr>
          <w:i/>
          <w:iCs/>
          <w:lang w:val="fr-FR"/>
        </w:rPr>
        <w:t>Ajouter le nouveau paragraphe 2.3</w:t>
      </w:r>
      <w:r>
        <w:rPr>
          <w:i/>
          <w:iCs/>
          <w:lang w:val="fr-FR"/>
        </w:rPr>
        <w:t>9</w:t>
      </w:r>
      <w:r w:rsidRPr="000569B4">
        <w:rPr>
          <w:lang w:val="fr-FR"/>
        </w:rPr>
        <w:t>, libellé comme suit</w:t>
      </w:r>
      <w:r w:rsidR="00CB0491">
        <w:rPr>
          <w:lang w:val="fr-FR"/>
        </w:rPr>
        <w:t> </w:t>
      </w:r>
      <w:r w:rsidRPr="000569B4">
        <w:rPr>
          <w:lang w:val="fr-FR"/>
        </w:rPr>
        <w:t>:</w:t>
      </w:r>
    </w:p>
    <w:p w:rsidR="00F819DF" w:rsidRPr="00863978" w:rsidRDefault="00F819DF" w:rsidP="00F819DF">
      <w:pPr>
        <w:spacing w:after="120"/>
        <w:ind w:left="2268" w:right="1134" w:hanging="1134"/>
        <w:jc w:val="both"/>
        <w:rPr>
          <w:lang w:val="fr-FR"/>
        </w:rPr>
      </w:pPr>
      <w:r w:rsidRPr="00863978">
        <w:rPr>
          <w:lang w:val="fr-FR"/>
        </w:rPr>
        <w:t>« </w:t>
      </w:r>
      <w:r w:rsidRPr="00037587">
        <w:rPr>
          <w:lang w:val="fr-FR"/>
        </w:rPr>
        <w:t>2.39</w:t>
      </w:r>
      <w:r w:rsidRPr="00863978">
        <w:rPr>
          <w:lang w:val="fr-FR"/>
        </w:rPr>
        <w:tab/>
        <w:t>“</w:t>
      </w:r>
      <w:r w:rsidRPr="00037587">
        <w:rPr>
          <w:lang w:val="fr-FR"/>
        </w:rPr>
        <w:t>Code de service</w:t>
      </w:r>
      <w:r w:rsidRPr="00863978">
        <w:rPr>
          <w:lang w:val="fr-FR"/>
        </w:rPr>
        <w:t>”</w:t>
      </w:r>
      <w:r w:rsidRPr="00037587">
        <w:rPr>
          <w:lang w:val="fr-FR"/>
        </w:rPr>
        <w:t xml:space="preserve">, la combinaison de l’indice de capacité de charge et d’un symbole de la </w:t>
      </w:r>
      <w:bookmarkStart w:id="4" w:name="_Hlk45101281"/>
      <w:bookmarkStart w:id="5" w:name="_Hlk45107429"/>
      <w:r w:rsidRPr="00037587">
        <w:rPr>
          <w:lang w:val="fr-FR"/>
        </w:rPr>
        <w:t>catégorie de vitesse</w:t>
      </w:r>
      <w:bookmarkEnd w:id="4"/>
      <w:bookmarkEnd w:id="5"/>
      <w:r w:rsidRPr="00037587">
        <w:rPr>
          <w:lang w:val="fr-FR"/>
        </w:rPr>
        <w:t xml:space="preserve"> (par exemple, 72H)</w:t>
      </w:r>
      <w:r w:rsidR="00CB0491">
        <w:rPr>
          <w:lang w:val="fr-FR"/>
        </w:rPr>
        <w:t> </w:t>
      </w:r>
      <w:r w:rsidRPr="00037587">
        <w:rPr>
          <w:lang w:val="fr-FR"/>
        </w:rPr>
        <w:t>; </w:t>
      </w:r>
      <w:r w:rsidRPr="00863978">
        <w:rPr>
          <w:lang w:val="fr-FR"/>
        </w:rPr>
        <w:t>».</w:t>
      </w:r>
    </w:p>
    <w:p w:rsidR="00F819DF" w:rsidRPr="000569B4" w:rsidRDefault="00F819DF" w:rsidP="00F819DF">
      <w:pPr>
        <w:pStyle w:val="SingleTxtG"/>
        <w:rPr>
          <w:rFonts w:eastAsia="Calibri"/>
          <w:lang w:val="fr-FR"/>
        </w:rPr>
      </w:pPr>
      <w:r w:rsidRPr="000569B4">
        <w:rPr>
          <w:i/>
          <w:iCs/>
          <w:lang w:val="fr-FR"/>
        </w:rPr>
        <w:t>Paragraphe 3.1.4</w:t>
      </w:r>
      <w:r>
        <w:rPr>
          <w:i/>
          <w:iCs/>
          <w:lang w:val="fr-FR"/>
        </w:rPr>
        <w:t xml:space="preserve"> et ses sous-paragraphes</w:t>
      </w:r>
      <w:r w:rsidRPr="000569B4">
        <w:rPr>
          <w:lang w:val="fr-FR"/>
        </w:rPr>
        <w:t>, lire</w:t>
      </w:r>
      <w:r w:rsidR="00CB0491">
        <w:rPr>
          <w:lang w:val="fr-FR"/>
        </w:rPr>
        <w:t> </w:t>
      </w:r>
      <w:r w:rsidRPr="000569B4">
        <w:rPr>
          <w:lang w:val="fr-FR"/>
        </w:rPr>
        <w:t>:</w:t>
      </w:r>
    </w:p>
    <w:p w:rsidR="00F819DF" w:rsidRPr="00863978" w:rsidRDefault="00F819DF" w:rsidP="00F819DF">
      <w:pPr>
        <w:spacing w:after="120"/>
        <w:ind w:left="2268" w:right="1134" w:hanging="1134"/>
        <w:jc w:val="both"/>
        <w:rPr>
          <w:lang w:val="fr-FR"/>
        </w:rPr>
      </w:pPr>
      <w:r w:rsidRPr="00863978">
        <w:rPr>
          <w:lang w:val="fr-FR"/>
        </w:rPr>
        <w:t>« 3.1.4</w:t>
      </w:r>
      <w:r w:rsidRPr="00863978">
        <w:rPr>
          <w:lang w:val="fr-FR"/>
        </w:rPr>
        <w:tab/>
      </w:r>
      <w:r w:rsidRPr="00037587">
        <w:rPr>
          <w:lang w:val="fr-FR"/>
        </w:rPr>
        <w:t>Éventuellement,</w:t>
      </w:r>
      <w:r w:rsidRPr="00863978">
        <w:rPr>
          <w:lang w:val="fr-FR"/>
        </w:rPr>
        <w:t xml:space="preserve"> l’indication de la structure</w:t>
      </w:r>
      <w:r w:rsidR="00CB0491">
        <w:rPr>
          <w:lang w:val="fr-FR"/>
        </w:rPr>
        <w:t> </w:t>
      </w:r>
      <w:r w:rsidRPr="00863978">
        <w:rPr>
          <w:lang w:val="fr-FR"/>
        </w:rPr>
        <w:t>:</w:t>
      </w:r>
    </w:p>
    <w:p w:rsidR="00F819DF" w:rsidRPr="00DC7A67" w:rsidRDefault="00F819DF" w:rsidP="00F819DF">
      <w:pPr>
        <w:spacing w:after="120"/>
        <w:ind w:left="2268" w:right="1134" w:hanging="1134"/>
        <w:jc w:val="both"/>
        <w:rPr>
          <w:lang w:val="fr-FR"/>
        </w:rPr>
      </w:pPr>
      <w:r w:rsidRPr="00DC7A67">
        <w:rPr>
          <w:lang w:val="fr-FR"/>
        </w:rPr>
        <w:t>3.1.4.</w:t>
      </w:r>
      <w:r w:rsidRPr="00037587">
        <w:rPr>
          <w:lang w:val="fr-FR"/>
        </w:rPr>
        <w:t>1</w:t>
      </w:r>
      <w:r w:rsidRPr="00863978">
        <w:rPr>
          <w:lang w:val="fr-FR"/>
        </w:rPr>
        <w:tab/>
        <w:t xml:space="preserve">Pour les pneumatiques à structure ceinturée croisée, </w:t>
      </w:r>
      <w:r w:rsidRPr="00DC7A67">
        <w:rPr>
          <w:lang w:val="fr-FR"/>
        </w:rPr>
        <w:t>les mots “BIAS</w:t>
      </w:r>
      <w:r w:rsidRPr="00DC7A67">
        <w:rPr>
          <w:lang w:val="fr-FR"/>
        </w:rPr>
        <w:noBreakHyphen/>
        <w:t>BELTED” ;</w:t>
      </w:r>
    </w:p>
    <w:p w:rsidR="00F819DF" w:rsidRPr="00DC7A67" w:rsidRDefault="00F819DF" w:rsidP="00F819DF">
      <w:pPr>
        <w:spacing w:after="120"/>
        <w:ind w:left="2268" w:right="1134" w:hanging="1134"/>
        <w:jc w:val="both"/>
        <w:rPr>
          <w:lang w:val="fr-FR"/>
        </w:rPr>
      </w:pPr>
      <w:r w:rsidRPr="00DC7A67">
        <w:rPr>
          <w:lang w:val="fr-FR"/>
        </w:rPr>
        <w:t>3.1.4.</w:t>
      </w:r>
      <w:r w:rsidRPr="00037587">
        <w:rPr>
          <w:lang w:val="fr-FR"/>
        </w:rPr>
        <w:t>2</w:t>
      </w:r>
      <w:r w:rsidRPr="00863978">
        <w:rPr>
          <w:lang w:val="fr-FR"/>
        </w:rPr>
        <w:tab/>
        <w:t xml:space="preserve">Pour les pneumatiques à structure radiale, </w:t>
      </w:r>
      <w:r w:rsidRPr="00DC7A67">
        <w:rPr>
          <w:lang w:val="fr-FR"/>
        </w:rPr>
        <w:t>le mot “RADIAL”. ».</w:t>
      </w:r>
    </w:p>
    <w:p w:rsidR="00F819DF" w:rsidRPr="000569B4" w:rsidRDefault="00F819DF" w:rsidP="00F819DF">
      <w:pPr>
        <w:pStyle w:val="SingleTxtG"/>
        <w:rPr>
          <w:lang w:val="fr-FR"/>
        </w:rPr>
      </w:pPr>
      <w:r w:rsidRPr="000569B4">
        <w:rPr>
          <w:i/>
          <w:iCs/>
          <w:lang w:val="fr-FR"/>
        </w:rPr>
        <w:t>Paragraphe 3.1.5</w:t>
      </w:r>
      <w:r w:rsidRPr="000569B4">
        <w:rPr>
          <w:lang w:val="fr-FR"/>
        </w:rPr>
        <w:t>, lire</w:t>
      </w:r>
      <w:r w:rsidR="00CB0491">
        <w:rPr>
          <w:lang w:val="fr-FR"/>
        </w:rPr>
        <w:t> </w:t>
      </w:r>
      <w:r w:rsidRPr="000569B4">
        <w:rPr>
          <w:lang w:val="fr-FR"/>
        </w:rPr>
        <w:t>:</w:t>
      </w:r>
    </w:p>
    <w:p w:rsidR="00F819DF" w:rsidRPr="00DC7A67" w:rsidRDefault="00F819DF" w:rsidP="00F819DF">
      <w:pPr>
        <w:spacing w:after="120"/>
        <w:ind w:left="2268" w:right="1134" w:hanging="1134"/>
        <w:jc w:val="both"/>
        <w:rPr>
          <w:lang w:val="fr-FR"/>
        </w:rPr>
      </w:pPr>
      <w:r w:rsidRPr="00863978">
        <w:rPr>
          <w:lang w:val="fr-FR"/>
        </w:rPr>
        <w:t>« 3.1.5</w:t>
      </w:r>
      <w:r w:rsidRPr="00863978">
        <w:rPr>
          <w:lang w:val="fr-FR"/>
        </w:rPr>
        <w:tab/>
      </w:r>
      <w:r w:rsidRPr="00037587">
        <w:rPr>
          <w:lang w:val="fr-FR"/>
        </w:rPr>
        <w:t>Un</w:t>
      </w:r>
      <w:r w:rsidRPr="00037587">
        <w:rPr>
          <w:i/>
          <w:iCs/>
          <w:lang w:val="fr-FR"/>
        </w:rPr>
        <w:t xml:space="preserve"> </w:t>
      </w:r>
      <w:r w:rsidRPr="00037587">
        <w:rPr>
          <w:lang w:val="fr-FR"/>
        </w:rPr>
        <w:t>code de service</w:t>
      </w:r>
      <w:r w:rsidR="00CB0491">
        <w:rPr>
          <w:lang w:val="fr-FR"/>
        </w:rPr>
        <w:t> </w:t>
      </w:r>
      <w:r w:rsidRPr="00DC7A67">
        <w:rPr>
          <w:lang w:val="fr-FR"/>
        </w:rPr>
        <w:t>; ».</w:t>
      </w:r>
    </w:p>
    <w:p w:rsidR="00F819DF" w:rsidRPr="000569B4" w:rsidRDefault="00F819DF" w:rsidP="00F819DF">
      <w:pPr>
        <w:pStyle w:val="SingleTxtG"/>
        <w:rPr>
          <w:rFonts w:eastAsia="Calibri"/>
          <w:iCs/>
          <w:lang w:val="fr-FR"/>
        </w:rPr>
      </w:pPr>
      <w:r w:rsidRPr="000569B4">
        <w:rPr>
          <w:i/>
          <w:iCs/>
          <w:lang w:val="fr-FR"/>
        </w:rPr>
        <w:t>Paragraphe 3.1.6</w:t>
      </w:r>
      <w:r w:rsidRPr="000569B4">
        <w:rPr>
          <w:lang w:val="fr-FR"/>
        </w:rPr>
        <w:t>, supprimer.</w:t>
      </w:r>
    </w:p>
    <w:p w:rsidR="00F819DF" w:rsidRPr="000569B4" w:rsidRDefault="00F819DF" w:rsidP="00F819DF">
      <w:pPr>
        <w:pStyle w:val="SingleTxtG"/>
        <w:rPr>
          <w:rFonts w:eastAsia="Calibri"/>
          <w:i/>
          <w:lang w:val="fr-FR"/>
        </w:rPr>
      </w:pPr>
      <w:r w:rsidRPr="000569B4">
        <w:rPr>
          <w:i/>
          <w:iCs/>
          <w:lang w:val="fr-FR"/>
        </w:rPr>
        <w:t>Les paragraphes 3.1.7 à 3.1.12</w:t>
      </w:r>
      <w:r w:rsidRPr="000569B4">
        <w:rPr>
          <w:lang w:val="fr-FR"/>
        </w:rPr>
        <w:t xml:space="preserve"> deviennent les paragraphes 3.1.6 à 3.1.11.</w:t>
      </w:r>
    </w:p>
    <w:p w:rsidR="00F819DF" w:rsidRPr="000569B4" w:rsidRDefault="00F819DF" w:rsidP="00F819DF">
      <w:pPr>
        <w:pStyle w:val="SingleTxtG"/>
        <w:rPr>
          <w:rFonts w:eastAsia="Calibri"/>
          <w:lang w:val="fr-FR"/>
        </w:rPr>
      </w:pPr>
      <w:r w:rsidRPr="000569B4">
        <w:rPr>
          <w:i/>
          <w:iCs/>
          <w:lang w:val="fr-FR"/>
        </w:rPr>
        <w:t>Paragraphes 3.1.13 et 3.1.14</w:t>
      </w:r>
      <w:r w:rsidRPr="000569B4">
        <w:rPr>
          <w:lang w:val="fr-FR"/>
        </w:rPr>
        <w:t>, supprimer.</w:t>
      </w:r>
    </w:p>
    <w:p w:rsidR="00F819DF" w:rsidRPr="000569B4" w:rsidRDefault="00F819DF" w:rsidP="00F819DF">
      <w:pPr>
        <w:pStyle w:val="SingleTxtG"/>
        <w:rPr>
          <w:rFonts w:eastAsia="Calibri"/>
          <w:i/>
          <w:lang w:val="fr-FR"/>
        </w:rPr>
      </w:pPr>
      <w:r w:rsidRPr="000569B4">
        <w:rPr>
          <w:i/>
          <w:iCs/>
          <w:lang w:val="fr-FR"/>
        </w:rPr>
        <w:t>Le paragraphe 3.1.15</w:t>
      </w:r>
      <w:r w:rsidRPr="000569B4">
        <w:rPr>
          <w:lang w:val="fr-FR"/>
        </w:rPr>
        <w:t xml:space="preserve"> devient le paragraphe 3.1.5.1 et se lit comme suit</w:t>
      </w:r>
      <w:r w:rsidR="00CB0491">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3.1.5.1</w:t>
      </w:r>
      <w:r w:rsidRPr="000569B4">
        <w:rPr>
          <w:lang w:val="fr-FR"/>
        </w:rPr>
        <w:tab/>
      </w:r>
      <w:r w:rsidRPr="00037587">
        <w:rPr>
          <w:lang w:val="fr-FR"/>
        </w:rPr>
        <w:t>Pour les pneumatiques</w:t>
      </w:r>
      <w:r w:rsidRPr="00DC7A67">
        <w:rPr>
          <w:lang w:val="fr-FR"/>
        </w:rPr>
        <w:t xml:space="preserve"> conçus pour des vitesses supérieures à 240 km/h mais inférieures à 270 km/h </w:t>
      </w:r>
      <w:r w:rsidRPr="00037587">
        <w:rPr>
          <w:lang w:val="fr-FR"/>
        </w:rPr>
        <w:t xml:space="preserve">et identifiés par la lettre de code </w:t>
      </w:r>
      <w:r w:rsidRPr="00DC7A67">
        <w:rPr>
          <w:lang w:val="fr-FR"/>
        </w:rPr>
        <w:t>“</w:t>
      </w:r>
      <w:r w:rsidRPr="00037587">
        <w:rPr>
          <w:lang w:val="fr-FR"/>
        </w:rPr>
        <w:t>V</w:t>
      </w:r>
      <w:r w:rsidRPr="00DC7A67">
        <w:rPr>
          <w:lang w:val="fr-FR"/>
        </w:rPr>
        <w:t>”</w:t>
      </w:r>
      <w:r w:rsidRPr="00037587">
        <w:rPr>
          <w:lang w:val="fr-FR"/>
        </w:rPr>
        <w:t xml:space="preserve"> dans la désignation des dimensions, le code de service sera indiqué</w:t>
      </w:r>
      <w:r w:rsidRPr="00DC7A67">
        <w:rPr>
          <w:lang w:val="fr-FR"/>
        </w:rPr>
        <w:t xml:space="preserve"> entre parenthèses </w:t>
      </w:r>
      <w:r w:rsidRPr="00037587">
        <w:rPr>
          <w:lang w:val="fr-FR"/>
        </w:rPr>
        <w:t xml:space="preserve">et sera composé </w:t>
      </w:r>
      <w:r w:rsidRPr="00DC7A67">
        <w:rPr>
          <w:lang w:val="fr-FR"/>
        </w:rPr>
        <w:t xml:space="preserve">de l’indice de charge maximale applicable à une vitesse de 210 km/h et </w:t>
      </w:r>
      <w:r w:rsidRPr="00037587">
        <w:rPr>
          <w:lang w:val="fr-FR"/>
        </w:rPr>
        <w:t xml:space="preserve">du </w:t>
      </w:r>
      <w:r w:rsidRPr="00DC7A67">
        <w:rPr>
          <w:lang w:val="fr-FR"/>
        </w:rPr>
        <w:t>symbole de</w:t>
      </w:r>
      <w:r w:rsidRPr="000569B4">
        <w:rPr>
          <w:lang w:val="fr-FR"/>
        </w:rPr>
        <w:t xml:space="preserve"> catégorie de vitesse. ».</w:t>
      </w:r>
    </w:p>
    <w:p w:rsidR="00F819DF" w:rsidRPr="000569B4" w:rsidRDefault="00F819DF" w:rsidP="00F819DF">
      <w:pPr>
        <w:pStyle w:val="SingleTxtG"/>
        <w:rPr>
          <w:rFonts w:eastAsia="Calibri"/>
          <w:i/>
          <w:lang w:val="fr-FR"/>
        </w:rPr>
      </w:pPr>
      <w:r w:rsidRPr="000569B4">
        <w:rPr>
          <w:i/>
          <w:iCs/>
          <w:lang w:val="fr-FR"/>
        </w:rPr>
        <w:lastRenderedPageBreak/>
        <w:t>Le paragraphe 3.1.16</w:t>
      </w:r>
      <w:r w:rsidRPr="000569B4">
        <w:rPr>
          <w:lang w:val="fr-FR"/>
        </w:rPr>
        <w:t xml:space="preserve"> devient le paragraphe 3.1.5.2 et se lit comme suit</w:t>
      </w:r>
      <w:r w:rsidR="00CB0491">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3.1.5.2</w:t>
      </w:r>
      <w:r w:rsidRPr="000569B4">
        <w:rPr>
          <w:lang w:val="fr-FR"/>
        </w:rPr>
        <w:tab/>
      </w:r>
      <w:r w:rsidRPr="00037587">
        <w:rPr>
          <w:lang w:val="fr-FR"/>
        </w:rPr>
        <w:t xml:space="preserve">Pour les pneumatiques </w:t>
      </w:r>
      <w:r w:rsidRPr="003B1D0C">
        <w:rPr>
          <w:lang w:val="fr-FR"/>
        </w:rPr>
        <w:t>conçus pour des vitesses supérieures à 270</w:t>
      </w:r>
      <w:r w:rsidRPr="00AE479D">
        <w:rPr>
          <w:lang w:val="fr-FR"/>
        </w:rPr>
        <w:t xml:space="preserve"> km/h </w:t>
      </w:r>
      <w:r w:rsidRPr="00037587">
        <w:rPr>
          <w:lang w:val="fr-FR"/>
        </w:rPr>
        <w:t xml:space="preserve">et identifiés par la lettre de code </w:t>
      </w:r>
      <w:r w:rsidRPr="003B1D0C">
        <w:rPr>
          <w:lang w:val="fr-FR"/>
        </w:rPr>
        <w:t>“</w:t>
      </w:r>
      <w:r w:rsidRPr="00037587">
        <w:rPr>
          <w:lang w:val="fr-FR"/>
        </w:rPr>
        <w:t>Z</w:t>
      </w:r>
      <w:r w:rsidRPr="003B1D0C">
        <w:rPr>
          <w:lang w:val="fr-FR"/>
        </w:rPr>
        <w:t>”</w:t>
      </w:r>
      <w:r w:rsidRPr="00037587">
        <w:rPr>
          <w:lang w:val="fr-FR"/>
        </w:rPr>
        <w:t xml:space="preserve"> dans la désignation des dimensions, le code de service sera indiqué</w:t>
      </w:r>
      <w:r w:rsidRPr="003B1D0C">
        <w:rPr>
          <w:lang w:val="fr-FR"/>
        </w:rPr>
        <w:t xml:space="preserve"> entre parenthèses</w:t>
      </w:r>
      <w:r w:rsidRPr="00AE479D">
        <w:rPr>
          <w:lang w:val="fr-FR"/>
        </w:rPr>
        <w:t xml:space="preserve"> </w:t>
      </w:r>
      <w:r w:rsidRPr="00037587">
        <w:rPr>
          <w:lang w:val="fr-FR"/>
        </w:rPr>
        <w:t>et sera composé</w:t>
      </w:r>
      <w:r w:rsidRPr="003B1D0C">
        <w:rPr>
          <w:lang w:val="fr-FR"/>
        </w:rPr>
        <w:t xml:space="preserve"> de l</w:t>
      </w:r>
      <w:r w:rsidRPr="00AE479D">
        <w:rPr>
          <w:lang w:val="fr-FR"/>
        </w:rPr>
        <w:t xml:space="preserve">’indice de charge maximale applicable à une vitesse de 240 km/h et </w:t>
      </w:r>
      <w:r w:rsidRPr="00037587">
        <w:rPr>
          <w:lang w:val="fr-FR"/>
        </w:rPr>
        <w:t>du</w:t>
      </w:r>
      <w:r w:rsidRPr="003B1D0C">
        <w:rPr>
          <w:lang w:val="fr-FR"/>
        </w:rPr>
        <w:t xml:space="preserve"> symbole</w:t>
      </w:r>
      <w:r w:rsidRPr="000569B4">
        <w:rPr>
          <w:lang w:val="fr-FR"/>
        </w:rPr>
        <w:t xml:space="preserve"> de catégorie de vitesse. ».</w:t>
      </w:r>
    </w:p>
    <w:p w:rsidR="00F819DF" w:rsidRPr="000569B4" w:rsidRDefault="00F819DF" w:rsidP="00F819DF">
      <w:pPr>
        <w:pStyle w:val="SingleTxtG"/>
        <w:rPr>
          <w:rFonts w:eastAsia="Calibri"/>
          <w:lang w:val="fr-FR"/>
        </w:rPr>
      </w:pPr>
      <w:r w:rsidRPr="000569B4">
        <w:rPr>
          <w:i/>
          <w:iCs/>
          <w:lang w:val="fr-FR"/>
        </w:rPr>
        <w:t>Le paragraphe 3.1.17</w:t>
      </w:r>
      <w:r w:rsidRPr="000569B4">
        <w:rPr>
          <w:lang w:val="fr-FR"/>
        </w:rPr>
        <w:t xml:space="preserve"> devient le paragraphe 3.1.12.</w:t>
      </w:r>
    </w:p>
    <w:p w:rsidR="00F819DF" w:rsidRPr="000569B4" w:rsidRDefault="00F819DF" w:rsidP="00F819DF">
      <w:pPr>
        <w:pStyle w:val="SingleTxtG"/>
        <w:rPr>
          <w:rFonts w:eastAsia="Calibri" w:cs="Arial"/>
          <w:iCs/>
          <w:lang w:val="fr-FR"/>
        </w:rPr>
      </w:pPr>
      <w:r w:rsidRPr="000569B4">
        <w:rPr>
          <w:i/>
          <w:iCs/>
          <w:lang w:val="fr-FR"/>
        </w:rPr>
        <w:t>Paragraphe 3.4</w:t>
      </w:r>
      <w:r w:rsidRPr="000569B4">
        <w:rPr>
          <w:lang w:val="fr-FR"/>
        </w:rPr>
        <w:t>, lire</w:t>
      </w:r>
      <w:r w:rsidR="00CB0491">
        <w:rPr>
          <w:lang w:val="fr-FR"/>
        </w:rPr>
        <w:t> </w:t>
      </w:r>
      <w:r w:rsidRPr="000569B4">
        <w:rPr>
          <w:lang w:val="fr-FR"/>
        </w:rPr>
        <w:t>:</w:t>
      </w:r>
    </w:p>
    <w:p w:rsidR="00F819DF" w:rsidRPr="000569B4" w:rsidRDefault="00F819DF" w:rsidP="00F819DF">
      <w:pPr>
        <w:spacing w:after="120"/>
        <w:ind w:left="2268" w:right="1134" w:hanging="1134"/>
        <w:jc w:val="both"/>
        <w:rPr>
          <w:rFonts w:eastAsia="Calibri" w:cs="Arial"/>
          <w:lang w:val="fr-FR"/>
        </w:rPr>
      </w:pPr>
      <w:r w:rsidRPr="000569B4">
        <w:rPr>
          <w:lang w:val="fr-FR"/>
        </w:rPr>
        <w:t>« 3.4</w:t>
      </w:r>
      <w:r w:rsidRPr="000569B4">
        <w:rPr>
          <w:lang w:val="fr-FR"/>
        </w:rPr>
        <w:tab/>
        <w:t xml:space="preserve">Les inscriptions mentionnées au paragraphe 3.1 et la marque d’homologation prévue par le paragraphe 5.4 du présent Règlement doivent être nettement </w:t>
      </w:r>
      <w:r w:rsidRPr="00DC7A67">
        <w:rPr>
          <w:lang w:val="fr-FR"/>
        </w:rPr>
        <w:t>lisibles</w:t>
      </w:r>
      <w:r w:rsidRPr="00037587">
        <w:rPr>
          <w:lang w:val="fr-FR"/>
        </w:rPr>
        <w:t xml:space="preserve"> </w:t>
      </w:r>
      <w:r>
        <w:rPr>
          <w:lang w:val="fr-FR"/>
        </w:rPr>
        <w:t xml:space="preserve">et </w:t>
      </w:r>
      <w:r w:rsidRPr="00037587">
        <w:rPr>
          <w:lang w:val="fr-FR"/>
        </w:rPr>
        <w:t>indélébiles et être appliquées en saillie ou en creux sur les pneumatiques.</w:t>
      </w:r>
      <w:r w:rsidRPr="000569B4">
        <w:rPr>
          <w:lang w:val="fr-FR"/>
        </w:rPr>
        <w:t> ».</w:t>
      </w:r>
    </w:p>
    <w:p w:rsidR="00F819DF" w:rsidRPr="000569B4" w:rsidRDefault="00F819DF" w:rsidP="00F819DF">
      <w:pPr>
        <w:pStyle w:val="SingleTxtG"/>
        <w:rPr>
          <w:rFonts w:eastAsia="Calibri" w:cs="Arial"/>
          <w:lang w:val="fr-FR"/>
        </w:rPr>
      </w:pPr>
      <w:r w:rsidRPr="000569B4">
        <w:rPr>
          <w:i/>
          <w:iCs/>
          <w:lang w:val="fr-FR"/>
        </w:rPr>
        <w:t>Ajouter le nouveau paragraphe 3.4.1</w:t>
      </w:r>
      <w:r w:rsidRPr="000569B4">
        <w:rPr>
          <w:lang w:val="fr-FR"/>
        </w:rPr>
        <w:t>, libellé comme suit</w:t>
      </w:r>
      <w:r w:rsidR="00CB0491">
        <w:rPr>
          <w:lang w:val="fr-FR"/>
        </w:rPr>
        <w:t> </w:t>
      </w:r>
      <w:r w:rsidRPr="000569B4">
        <w:rPr>
          <w:lang w:val="fr-FR"/>
        </w:rPr>
        <w:t>:</w:t>
      </w:r>
    </w:p>
    <w:p w:rsidR="00F819DF" w:rsidRPr="00DC7A67" w:rsidRDefault="00F819DF" w:rsidP="00F819DF">
      <w:pPr>
        <w:spacing w:after="120"/>
        <w:ind w:left="2268" w:right="1134" w:hanging="1134"/>
        <w:jc w:val="both"/>
        <w:rPr>
          <w:rFonts w:eastAsia="Calibri" w:cs="Arial"/>
          <w:lang w:val="fr-FR"/>
        </w:rPr>
      </w:pPr>
      <w:r w:rsidRPr="00037587">
        <w:rPr>
          <w:lang w:val="fr-FR"/>
        </w:rPr>
        <w:t>« 3.4.1</w:t>
      </w:r>
      <w:r w:rsidRPr="00DC7A67">
        <w:rPr>
          <w:lang w:val="fr-FR"/>
        </w:rPr>
        <w:tab/>
      </w:r>
      <w:r w:rsidRPr="00037587">
        <w:rPr>
          <w:lang w:val="fr-FR"/>
        </w:rPr>
        <w:t>Si la date de fabrication n’est pas moulée, elle doit être appliquée au plus tard 24 heures après que le pneumatique a été retiré du moule.</w:t>
      </w:r>
      <w:r w:rsidRPr="00DC7A67">
        <w:rPr>
          <w:lang w:val="fr-FR"/>
        </w:rPr>
        <w:t> ».</w:t>
      </w:r>
    </w:p>
    <w:p w:rsidR="00F819DF" w:rsidRPr="000569B4" w:rsidRDefault="00F819DF" w:rsidP="00F819DF">
      <w:pPr>
        <w:pStyle w:val="SingleTxtG"/>
        <w:rPr>
          <w:rFonts w:eastAsia="Calibri"/>
          <w:lang w:val="fr-FR"/>
        </w:rPr>
      </w:pPr>
      <w:r w:rsidRPr="000569B4">
        <w:rPr>
          <w:i/>
          <w:iCs/>
          <w:lang w:val="fr-FR"/>
        </w:rPr>
        <w:t>Paragraphe 4.1.14</w:t>
      </w:r>
      <w:r w:rsidRPr="000569B4">
        <w:rPr>
          <w:lang w:val="fr-FR"/>
        </w:rPr>
        <w:t>, lire</w:t>
      </w:r>
      <w:r w:rsidR="00CB0491">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4.1.14</w:t>
      </w:r>
      <w:r w:rsidRPr="000569B4">
        <w:rPr>
          <w:lang w:val="fr-FR"/>
        </w:rPr>
        <w:tab/>
        <w:t xml:space="preserve">Le coefficient X mentionné au </w:t>
      </w:r>
      <w:r w:rsidRPr="00DC7A67">
        <w:rPr>
          <w:lang w:val="fr-FR"/>
        </w:rPr>
        <w:t xml:space="preserve">paragraphe </w:t>
      </w:r>
      <w:r w:rsidRPr="00037587">
        <w:rPr>
          <w:lang w:val="fr-FR"/>
        </w:rPr>
        <w:t>2.23</w:t>
      </w:r>
      <w:r w:rsidR="00CB0491">
        <w:rPr>
          <w:lang w:val="fr-FR"/>
        </w:rPr>
        <w:t> </w:t>
      </w:r>
      <w:r w:rsidRPr="000569B4">
        <w:rPr>
          <w:lang w:val="fr-FR"/>
        </w:rPr>
        <w:t>; ».</w:t>
      </w:r>
    </w:p>
    <w:p w:rsidR="00F819DF" w:rsidRPr="000569B4" w:rsidRDefault="00F819DF" w:rsidP="00F819DF">
      <w:pPr>
        <w:pStyle w:val="SingleTxtG"/>
        <w:rPr>
          <w:rFonts w:eastAsia="Calibri"/>
          <w:lang w:val="fr-FR"/>
        </w:rPr>
      </w:pPr>
      <w:r w:rsidRPr="000569B4">
        <w:rPr>
          <w:i/>
          <w:iCs/>
          <w:lang w:val="fr-FR"/>
        </w:rPr>
        <w:t>Paragraphe 4.1.16</w:t>
      </w:r>
      <w:r w:rsidRPr="000569B4">
        <w:rPr>
          <w:lang w:val="fr-FR"/>
        </w:rPr>
        <w:t>, lire</w:t>
      </w:r>
      <w:r w:rsidR="00CB0491">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4.1.16</w:t>
      </w:r>
      <w:r w:rsidRPr="000569B4">
        <w:rPr>
          <w:lang w:val="fr-FR"/>
        </w:rPr>
        <w:tab/>
        <w:t>Pour les pneumatiques tout-terrain (AT), le symbole indiquant la pression de gonflage de référence (voir par.</w:t>
      </w:r>
      <w:r w:rsidR="00CB0491">
        <w:rPr>
          <w:lang w:val="fr-FR"/>
        </w:rPr>
        <w:t> </w:t>
      </w:r>
      <w:r w:rsidRPr="00037587">
        <w:rPr>
          <w:lang w:val="fr-FR"/>
        </w:rPr>
        <w:t>3.1.12</w:t>
      </w:r>
      <w:r w:rsidRPr="000569B4">
        <w:rPr>
          <w:lang w:val="fr-FR"/>
        </w:rPr>
        <w:t>). ».</w:t>
      </w:r>
    </w:p>
    <w:p w:rsidR="00F819DF" w:rsidRPr="000569B4" w:rsidRDefault="00F819DF" w:rsidP="00F819DF">
      <w:pPr>
        <w:pStyle w:val="SingleTxtG"/>
        <w:rPr>
          <w:rFonts w:eastAsia="Calibri"/>
          <w:lang w:val="fr-FR"/>
        </w:rPr>
      </w:pPr>
      <w:r w:rsidRPr="000569B4">
        <w:rPr>
          <w:i/>
          <w:iCs/>
          <w:lang w:val="fr-FR"/>
        </w:rPr>
        <w:t>Paragraphe 4.2</w:t>
      </w:r>
      <w:r w:rsidRPr="000569B4">
        <w:rPr>
          <w:lang w:val="fr-FR"/>
        </w:rPr>
        <w:t>, modification sans objet en français.</w:t>
      </w:r>
    </w:p>
    <w:p w:rsidR="00F819DF" w:rsidRPr="000569B4" w:rsidRDefault="00F819DF" w:rsidP="00F819DF">
      <w:pPr>
        <w:pStyle w:val="SingleTxtG"/>
        <w:rPr>
          <w:rFonts w:eastAsia="Calibri"/>
          <w:lang w:val="fr-FR"/>
        </w:rPr>
      </w:pPr>
      <w:r w:rsidRPr="000569B4">
        <w:rPr>
          <w:i/>
          <w:iCs/>
          <w:lang w:val="fr-FR"/>
        </w:rPr>
        <w:t>Paragraphe 5.2</w:t>
      </w:r>
      <w:r w:rsidRPr="000569B4">
        <w:rPr>
          <w:lang w:val="fr-FR"/>
        </w:rPr>
        <w:t>, modification sans objet en français.</w:t>
      </w:r>
    </w:p>
    <w:p w:rsidR="00F819DF" w:rsidRPr="000569B4" w:rsidRDefault="00F819DF" w:rsidP="00F819DF">
      <w:pPr>
        <w:pStyle w:val="SingleTxtG"/>
        <w:rPr>
          <w:rFonts w:eastAsia="Calibri"/>
          <w:lang w:val="fr-FR"/>
        </w:rPr>
      </w:pPr>
      <w:r w:rsidRPr="000569B4">
        <w:rPr>
          <w:i/>
          <w:iCs/>
          <w:lang w:val="fr-FR"/>
        </w:rPr>
        <w:t>Paragraphe 6.1.2.1</w:t>
      </w:r>
      <w:r w:rsidRPr="000569B4">
        <w:rPr>
          <w:lang w:val="fr-FR"/>
        </w:rPr>
        <w:t>, lire</w:t>
      </w:r>
      <w:r w:rsidR="00CB0491">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6.1.2.1</w:t>
      </w:r>
      <w:r w:rsidRPr="000569B4">
        <w:rPr>
          <w:lang w:val="fr-FR"/>
        </w:rPr>
        <w:tab/>
        <w:t>Le diamètre extérieur d’un pneumatique est obtenu par la formule suivante</w:t>
      </w:r>
      <w:r w:rsidR="00CB0491">
        <w:rPr>
          <w:lang w:val="fr-FR"/>
        </w:rPr>
        <w:t> </w:t>
      </w:r>
      <w:r w:rsidRPr="000569B4">
        <w:rPr>
          <w:lang w:val="fr-FR"/>
        </w:rPr>
        <w:t>:</w:t>
      </w:r>
    </w:p>
    <w:p w:rsidR="00F819DF" w:rsidRPr="000569B4" w:rsidRDefault="00F819DF" w:rsidP="00F819DF">
      <w:pPr>
        <w:spacing w:after="120"/>
        <w:ind w:left="2268" w:right="1134"/>
        <w:rPr>
          <w:lang w:val="fr-FR"/>
        </w:rPr>
      </w:pPr>
      <w:r w:rsidRPr="000569B4">
        <w:rPr>
          <w:lang w:val="fr-FR"/>
        </w:rPr>
        <w:t>D = d + 2H</w:t>
      </w:r>
    </w:p>
    <w:p w:rsidR="00F819DF" w:rsidRPr="000569B4" w:rsidRDefault="00F819DF" w:rsidP="00F819DF">
      <w:pPr>
        <w:spacing w:after="120"/>
        <w:ind w:left="2835" w:right="1134" w:hanging="567"/>
        <w:jc w:val="both"/>
        <w:rPr>
          <w:lang w:val="fr-FR"/>
        </w:rPr>
      </w:pPr>
      <w:r w:rsidRPr="000569B4">
        <w:rPr>
          <w:lang w:val="fr-FR"/>
        </w:rPr>
        <w:t>dans laquelle</w:t>
      </w:r>
      <w:r w:rsidR="00CB0491">
        <w:rPr>
          <w:lang w:val="fr-FR"/>
        </w:rPr>
        <w:t> </w:t>
      </w:r>
      <w:r w:rsidRPr="000569B4">
        <w:rPr>
          <w:lang w:val="fr-FR"/>
        </w:rPr>
        <w:t>:</w:t>
      </w:r>
    </w:p>
    <w:p w:rsidR="00F819DF" w:rsidRPr="000569B4" w:rsidRDefault="00F819DF" w:rsidP="00F819DF">
      <w:pPr>
        <w:spacing w:after="120"/>
        <w:ind w:left="2835" w:right="1134" w:hanging="567"/>
        <w:jc w:val="both"/>
        <w:rPr>
          <w:lang w:val="fr-FR"/>
        </w:rPr>
      </w:pPr>
      <w:r w:rsidRPr="000569B4">
        <w:rPr>
          <w:lang w:val="fr-FR"/>
        </w:rPr>
        <w:t>D</w:t>
      </w:r>
      <w:r w:rsidRPr="000569B4">
        <w:rPr>
          <w:lang w:val="fr-FR"/>
        </w:rPr>
        <w:tab/>
        <w:t>est le diamètre extérieur exprimé en millimètres</w:t>
      </w:r>
      <w:r w:rsidR="00CB0491">
        <w:rPr>
          <w:lang w:val="fr-FR"/>
        </w:rPr>
        <w:t> </w:t>
      </w:r>
      <w:r w:rsidRPr="000569B4">
        <w:rPr>
          <w:lang w:val="fr-FR"/>
        </w:rPr>
        <w:t>;</w:t>
      </w:r>
    </w:p>
    <w:p w:rsidR="00F819DF" w:rsidRPr="00300E08" w:rsidRDefault="00F819DF" w:rsidP="00F819DF">
      <w:pPr>
        <w:spacing w:after="120"/>
        <w:ind w:left="2835" w:right="1134" w:hanging="567"/>
        <w:jc w:val="both"/>
        <w:rPr>
          <w:lang w:val="fr-FR"/>
        </w:rPr>
      </w:pPr>
      <w:r w:rsidRPr="00300E08">
        <w:rPr>
          <w:lang w:val="fr-FR"/>
        </w:rPr>
        <w:t>d</w:t>
      </w:r>
      <w:r w:rsidRPr="00300E08">
        <w:rPr>
          <w:lang w:val="fr-FR"/>
        </w:rPr>
        <w:tab/>
        <w:t xml:space="preserve">est le diamètre nominal de la jante défini au paragraphe </w:t>
      </w:r>
      <w:r w:rsidRPr="00037587">
        <w:rPr>
          <w:lang w:val="fr-FR"/>
        </w:rPr>
        <w:t>2.20.5</w:t>
      </w:r>
      <w:r w:rsidRPr="00300E08">
        <w:rPr>
          <w:lang w:val="fr-FR"/>
        </w:rPr>
        <w:t xml:space="preserve"> exprimé en millimètres</w:t>
      </w:r>
      <w:r w:rsidR="00CB0491">
        <w:rPr>
          <w:lang w:val="fr-FR"/>
        </w:rPr>
        <w:t> </w:t>
      </w:r>
      <w:r w:rsidRPr="00300E08">
        <w:rPr>
          <w:lang w:val="fr-FR"/>
        </w:rPr>
        <w:t>;</w:t>
      </w:r>
    </w:p>
    <w:p w:rsidR="00F819DF" w:rsidRPr="000569B4" w:rsidRDefault="00F819DF" w:rsidP="00F819DF">
      <w:pPr>
        <w:spacing w:after="120"/>
        <w:ind w:left="2835" w:right="1134" w:hanging="567"/>
        <w:jc w:val="both"/>
        <w:rPr>
          <w:lang w:val="fr-FR"/>
        </w:rPr>
      </w:pPr>
      <w:r w:rsidRPr="000569B4">
        <w:rPr>
          <w:lang w:val="fr-FR"/>
        </w:rPr>
        <w:t>H</w:t>
      </w:r>
      <w:r w:rsidRPr="000569B4">
        <w:rPr>
          <w:lang w:val="fr-FR"/>
        </w:rPr>
        <w:tab/>
        <w:t>est la hauteur nominale du boudin arrondie au millimètre le plus proche ; elle est égale à</w:t>
      </w:r>
      <w:r w:rsidR="00CB0491">
        <w:rPr>
          <w:lang w:val="fr-FR"/>
        </w:rPr>
        <w:t> </w:t>
      </w:r>
      <w:r w:rsidRPr="000569B4">
        <w:rPr>
          <w:lang w:val="fr-FR"/>
        </w:rPr>
        <w:t>:</w:t>
      </w:r>
    </w:p>
    <w:p w:rsidR="00F819DF" w:rsidRPr="000569B4" w:rsidRDefault="00F819DF" w:rsidP="00F819DF">
      <w:pPr>
        <w:tabs>
          <w:tab w:val="left" w:pos="3100"/>
        </w:tabs>
        <w:spacing w:after="120"/>
        <w:ind w:left="2835" w:right="1134"/>
        <w:jc w:val="both"/>
        <w:rPr>
          <w:lang w:val="fr-FR"/>
        </w:rPr>
      </w:pPr>
      <w:bookmarkStart w:id="6" w:name="_Hlk45176938"/>
      <w:r w:rsidRPr="000569B4">
        <w:rPr>
          <w:lang w:val="fr-FR"/>
        </w:rPr>
        <w:t>H = S</w:t>
      </w:r>
      <w:r w:rsidRPr="000569B4">
        <w:rPr>
          <w:vertAlign w:val="subscript"/>
          <w:lang w:val="fr-FR"/>
        </w:rPr>
        <w:t>1</w:t>
      </w:r>
      <w:r w:rsidRPr="000569B4">
        <w:rPr>
          <w:lang w:val="fr-FR"/>
        </w:rPr>
        <w:t xml:space="preserve"> • 0,01 Ra, où</w:t>
      </w:r>
    </w:p>
    <w:bookmarkEnd w:id="6"/>
    <w:p w:rsidR="00F819DF" w:rsidRPr="000569B4" w:rsidRDefault="00F819DF" w:rsidP="00F819DF">
      <w:pPr>
        <w:tabs>
          <w:tab w:val="left" w:pos="2600"/>
          <w:tab w:val="left" w:pos="3100"/>
          <w:tab w:val="left" w:pos="3200"/>
        </w:tabs>
        <w:spacing w:after="120"/>
        <w:ind w:left="2835" w:right="1134"/>
        <w:jc w:val="both"/>
        <w:rPr>
          <w:lang w:val="fr-FR"/>
        </w:rPr>
      </w:pPr>
      <w:r w:rsidRPr="000569B4">
        <w:rPr>
          <w:lang w:val="fr-FR"/>
        </w:rPr>
        <w:t>S</w:t>
      </w:r>
      <w:r w:rsidRPr="000569B4">
        <w:rPr>
          <w:vertAlign w:val="subscript"/>
          <w:lang w:val="fr-FR"/>
        </w:rPr>
        <w:t>1</w:t>
      </w:r>
      <w:r w:rsidRPr="000569B4">
        <w:rPr>
          <w:lang w:val="fr-FR"/>
        </w:rPr>
        <w:tab/>
      </w:r>
      <w:r w:rsidRPr="000569B4">
        <w:rPr>
          <w:lang w:val="fr-FR"/>
        </w:rPr>
        <w:tab/>
        <w:t>est la grosseur nominale du boudin en millimètres</w:t>
      </w:r>
      <w:r w:rsidR="00CB0491">
        <w:rPr>
          <w:lang w:val="fr-FR"/>
        </w:rPr>
        <w:t> </w:t>
      </w:r>
      <w:r w:rsidRPr="000569B4">
        <w:rPr>
          <w:lang w:val="fr-FR"/>
        </w:rPr>
        <w:t>;</w:t>
      </w:r>
    </w:p>
    <w:p w:rsidR="00F819DF" w:rsidRPr="000569B4" w:rsidRDefault="00F819DF" w:rsidP="00F819DF">
      <w:pPr>
        <w:tabs>
          <w:tab w:val="left" w:pos="2600"/>
          <w:tab w:val="left" w:pos="3100"/>
          <w:tab w:val="left" w:pos="3200"/>
        </w:tabs>
        <w:spacing w:after="120"/>
        <w:ind w:left="2835" w:right="1134"/>
        <w:jc w:val="both"/>
        <w:rPr>
          <w:lang w:val="fr-FR"/>
        </w:rPr>
      </w:pPr>
      <w:r w:rsidRPr="000569B4">
        <w:rPr>
          <w:lang w:val="fr-FR"/>
        </w:rPr>
        <w:t>Ra</w:t>
      </w:r>
      <w:r w:rsidRPr="000569B4">
        <w:rPr>
          <w:lang w:val="fr-FR"/>
        </w:rPr>
        <w:tab/>
      </w:r>
      <w:r w:rsidRPr="000569B4">
        <w:rPr>
          <w:lang w:val="fr-FR"/>
        </w:rPr>
        <w:tab/>
        <w:t>est le rapport nominal d’aspect</w:t>
      </w:r>
      <w:r w:rsidR="00CB0491">
        <w:rPr>
          <w:lang w:val="fr-FR"/>
        </w:rPr>
        <w:t> </w:t>
      </w:r>
      <w:r w:rsidRPr="000569B4">
        <w:rPr>
          <w:lang w:val="fr-FR"/>
        </w:rPr>
        <w:t>;</w:t>
      </w:r>
    </w:p>
    <w:p w:rsidR="00F819DF" w:rsidRPr="000569B4" w:rsidRDefault="00F819DF" w:rsidP="00F819DF">
      <w:pPr>
        <w:spacing w:after="120"/>
        <w:ind w:left="2268" w:right="1134"/>
        <w:jc w:val="both"/>
        <w:rPr>
          <w:lang w:val="fr-FR"/>
        </w:rPr>
      </w:pPr>
      <w:r w:rsidRPr="000569B4">
        <w:rPr>
          <w:lang w:val="fr-FR"/>
        </w:rPr>
        <w:tab/>
        <w:t>tels qu’ils figurent sur le flanc du pneumatique dans sa désignation conformément aux prescriptions du paragraphe 3.4 ci-dessus. ».</w:t>
      </w:r>
    </w:p>
    <w:p w:rsidR="00F819DF" w:rsidRPr="000569B4" w:rsidRDefault="00F819DF" w:rsidP="00F819DF">
      <w:pPr>
        <w:pStyle w:val="SingleTxtG"/>
        <w:rPr>
          <w:rFonts w:eastAsia="Calibri"/>
          <w:lang w:val="fr-FR"/>
        </w:rPr>
      </w:pPr>
      <w:r w:rsidRPr="000569B4">
        <w:rPr>
          <w:i/>
          <w:iCs/>
          <w:lang w:val="fr-FR"/>
        </w:rPr>
        <w:t>Paragraphe 6.2.1.1</w:t>
      </w:r>
      <w:r w:rsidRPr="000569B4">
        <w:rPr>
          <w:lang w:val="fr-FR"/>
        </w:rPr>
        <w:t>, lire</w:t>
      </w:r>
      <w:r w:rsidR="00CB0491">
        <w:rPr>
          <w:lang w:val="fr-FR"/>
        </w:rPr>
        <w:t> </w:t>
      </w:r>
      <w:r w:rsidRPr="000569B4">
        <w:rPr>
          <w:lang w:val="fr-FR"/>
        </w:rPr>
        <w:t>:</w:t>
      </w:r>
    </w:p>
    <w:p w:rsidR="00F819DF" w:rsidRPr="000569B4" w:rsidRDefault="00F819DF" w:rsidP="00F819DF">
      <w:pPr>
        <w:spacing w:after="120"/>
        <w:ind w:left="2268" w:right="1134" w:hanging="1134"/>
        <w:jc w:val="both"/>
        <w:rPr>
          <w:lang w:val="fr-FR"/>
        </w:rPr>
      </w:pPr>
      <w:bookmarkStart w:id="7" w:name="_Hlk22654172"/>
      <w:r w:rsidRPr="000569B4">
        <w:rPr>
          <w:lang w:val="fr-FR"/>
        </w:rPr>
        <w:t>« 6.2.1.1</w:t>
      </w:r>
      <w:r w:rsidRPr="000569B4">
        <w:rPr>
          <w:lang w:val="fr-FR"/>
        </w:rPr>
        <w:tab/>
        <w:t xml:space="preserve">Lorsqu’une demande d’homologation est faite pour des pneumatiques identifiés au moyen de la lettre de code “V” dans la désignation des dimensions et conçus pour des vitesses supérieures à 240 km/h ou pour des pneumatiques identifiés au moyen de la lettre de code “Z” dans la désignation des dimensions et conçus pour des vitesses supérieures à 270 km/h (voir par. 4.1.15), l’essai de charge/vitesse ci-dessus est effectué sur un seul pneumatique aux conditions de charge et de vitesse indiquées </w:t>
      </w:r>
      <w:r>
        <w:rPr>
          <w:lang w:val="fr-FR"/>
        </w:rPr>
        <w:t xml:space="preserve">entre parenthèses </w:t>
      </w:r>
      <w:r w:rsidRPr="000569B4">
        <w:rPr>
          <w:lang w:val="fr-FR"/>
        </w:rPr>
        <w:t xml:space="preserve">sur le pneumatique (voir </w:t>
      </w:r>
      <w:r w:rsidRPr="00037587">
        <w:rPr>
          <w:lang w:val="fr-FR"/>
        </w:rPr>
        <w:t>par. 3.1.5.1 et 3.1.5.2</w:t>
      </w:r>
      <w:r w:rsidRPr="000569B4">
        <w:rPr>
          <w:lang w:val="fr-FR"/>
        </w:rPr>
        <w:t xml:space="preserve">). Un autre essai de charge/vitesse doit être effectué sur un second pneumatique du même type aux conditions de charge et de vitesse spécifiées, le cas échéant, par le fabricant du pneumatique comme étant la </w:t>
      </w:r>
      <w:r w:rsidRPr="000569B4">
        <w:rPr>
          <w:lang w:val="fr-FR"/>
        </w:rPr>
        <w:lastRenderedPageBreak/>
        <w:t xml:space="preserve">charge et la vitesse maximales (voir par. 4.1.15). Pour les pneumatiques identifiés au moyen de la lettre de code “V” dans la désignation des dimensions et conçus pour des vitesses supérieures à 240 km/h, la charge maximale spécifiée par le fabricant ne doit pas dépasser l’indice de charge maximale spécifié au paragraphe </w:t>
      </w:r>
      <w:r w:rsidRPr="00037587">
        <w:rPr>
          <w:lang w:val="fr-FR"/>
        </w:rPr>
        <w:t>2.37.4</w:t>
      </w:r>
      <w:r w:rsidRPr="000569B4">
        <w:rPr>
          <w:lang w:val="fr-FR"/>
        </w:rPr>
        <w:t xml:space="preserve"> par référence à la vitesse maximale spécifiée par le fabricant. ».</w:t>
      </w:r>
    </w:p>
    <w:bookmarkEnd w:id="7"/>
    <w:p w:rsidR="00F819DF" w:rsidRPr="000569B4" w:rsidRDefault="00F819DF" w:rsidP="00F819DF">
      <w:pPr>
        <w:pStyle w:val="SingleTxtG"/>
        <w:rPr>
          <w:rFonts w:eastAsia="Calibri"/>
          <w:lang w:val="fr-FR"/>
        </w:rPr>
      </w:pPr>
      <w:r w:rsidRPr="000569B4">
        <w:rPr>
          <w:i/>
          <w:iCs/>
          <w:lang w:val="fr-FR"/>
        </w:rPr>
        <w:t>Paragraphe 6.2.3</w:t>
      </w:r>
      <w:r w:rsidRPr="000569B4">
        <w:rPr>
          <w:lang w:val="fr-FR"/>
        </w:rPr>
        <w:t>, lire</w:t>
      </w:r>
      <w:r w:rsidR="00954DA4">
        <w:rPr>
          <w:lang w:val="fr-FR"/>
        </w:rPr>
        <w:t> </w:t>
      </w:r>
      <w:r w:rsidRPr="000569B4">
        <w:rPr>
          <w:lang w:val="fr-FR"/>
        </w:rPr>
        <w:t>:</w:t>
      </w:r>
    </w:p>
    <w:p w:rsidR="00F819DF" w:rsidRPr="000569B4" w:rsidRDefault="00F819DF" w:rsidP="00F819DF">
      <w:pPr>
        <w:spacing w:after="120"/>
        <w:ind w:left="2268" w:right="1134" w:hanging="1134"/>
        <w:jc w:val="both"/>
        <w:rPr>
          <w:lang w:val="fr-FR"/>
        </w:rPr>
      </w:pPr>
      <w:bookmarkStart w:id="8" w:name="_Hlk45177255"/>
      <w:r w:rsidRPr="000569B4">
        <w:rPr>
          <w:lang w:val="fr-FR"/>
        </w:rPr>
        <w:t>« 6.2.3</w:t>
      </w:r>
      <w:r w:rsidRPr="000569B4">
        <w:rPr>
          <w:lang w:val="fr-FR"/>
        </w:rPr>
        <w:tab/>
      </w:r>
      <w:r w:rsidRPr="00037587">
        <w:rPr>
          <w:lang w:val="fr-FR"/>
        </w:rPr>
        <w:t>À l’exception des pneumatiques à structure radiale, le</w:t>
      </w:r>
      <w:r w:rsidRPr="000569B4">
        <w:rPr>
          <w:lang w:val="fr-FR"/>
        </w:rPr>
        <w:t xml:space="preserve"> diamètre extérieur du pneumatique, mesuré au moins six heures après l’essai de performance charge/vitesse, ne doit pas différer de plus de </w:t>
      </w:r>
      <w:r w:rsidRPr="000569B4">
        <w:rPr>
          <w:lang w:val="fr-FR"/>
        </w:rPr>
        <w:sym w:font="Symbol" w:char="F0B1"/>
      </w:r>
      <w:r w:rsidRPr="000569B4">
        <w:rPr>
          <w:lang w:val="fr-FR"/>
        </w:rPr>
        <w:t>3,5 % du diamètre extérieur mesuré avant l’essai. ».</w:t>
      </w:r>
    </w:p>
    <w:bookmarkEnd w:id="8"/>
    <w:p w:rsidR="00F819DF" w:rsidRPr="000569B4" w:rsidRDefault="00F819DF" w:rsidP="00F819DF">
      <w:pPr>
        <w:pStyle w:val="SingleTxtG"/>
        <w:rPr>
          <w:rFonts w:eastAsia="Calibri"/>
          <w:lang w:val="fr-FR"/>
        </w:rPr>
      </w:pPr>
      <w:r w:rsidRPr="000569B4">
        <w:rPr>
          <w:i/>
          <w:iCs/>
          <w:lang w:val="fr-FR"/>
        </w:rPr>
        <w:t>Ajouter le nouveau paragraphe 12.4</w:t>
      </w:r>
      <w:r w:rsidRPr="00954DA4">
        <w:rPr>
          <w:lang w:val="fr-FR"/>
        </w:rPr>
        <w:t xml:space="preserve">, </w:t>
      </w:r>
      <w:r w:rsidRPr="000569B4">
        <w:rPr>
          <w:lang w:val="fr-FR"/>
        </w:rPr>
        <w:t>libellé comme suit :</w:t>
      </w:r>
    </w:p>
    <w:p w:rsidR="00F819DF" w:rsidRPr="00AE479D" w:rsidRDefault="00F819DF" w:rsidP="00F819DF">
      <w:pPr>
        <w:spacing w:after="120"/>
        <w:ind w:left="2268" w:right="1134" w:hanging="1134"/>
        <w:jc w:val="both"/>
        <w:rPr>
          <w:lang w:val="fr-FR"/>
        </w:rPr>
      </w:pPr>
      <w:r w:rsidRPr="00AE479D">
        <w:rPr>
          <w:lang w:val="fr-FR"/>
        </w:rPr>
        <w:t>« </w:t>
      </w:r>
      <w:r w:rsidRPr="00037587">
        <w:rPr>
          <w:lang w:val="fr-FR"/>
        </w:rPr>
        <w:t>12.4</w:t>
      </w:r>
      <w:r w:rsidRPr="00AE479D">
        <w:rPr>
          <w:lang w:val="fr-FR"/>
        </w:rPr>
        <w:tab/>
      </w:r>
      <w:r w:rsidRPr="00037587">
        <w:rPr>
          <w:lang w:val="fr-FR"/>
        </w:rPr>
        <w:t xml:space="preserve">Pendant 3 mois après la date d’entrée en vigueur du complément 19 à la version </w:t>
      </w:r>
      <w:r w:rsidRPr="00954DA4">
        <w:rPr>
          <w:spacing w:val="-4"/>
          <w:lang w:val="fr-FR"/>
        </w:rPr>
        <w:t>originale du présent Règlement, les Parties contractantes appliquant ce Règlement</w:t>
      </w:r>
      <w:r w:rsidRPr="00037587">
        <w:rPr>
          <w:lang w:val="fr-FR"/>
        </w:rPr>
        <w:t xml:space="preserve"> pourront continuer d’accorder des homologations de type ou des extensions pour les homologations en question conformément à la version originale </w:t>
      </w:r>
      <w:r>
        <w:rPr>
          <w:lang w:val="fr-FR"/>
        </w:rPr>
        <w:t>dudit</w:t>
      </w:r>
      <w:r w:rsidRPr="00037587">
        <w:rPr>
          <w:lang w:val="fr-FR"/>
        </w:rPr>
        <w:t xml:space="preserve"> Règlement, sans tenir compte des dispositions du complément 19.</w:t>
      </w:r>
      <w:r w:rsidRPr="00AE479D">
        <w:rPr>
          <w:lang w:val="fr-FR"/>
        </w:rPr>
        <w:t> ».</w:t>
      </w:r>
    </w:p>
    <w:p w:rsidR="00F819DF" w:rsidRPr="000569B4" w:rsidRDefault="00F819DF" w:rsidP="00F819DF">
      <w:pPr>
        <w:pStyle w:val="SingleTxtG"/>
        <w:keepNext/>
        <w:rPr>
          <w:lang w:val="fr-FR"/>
        </w:rPr>
      </w:pPr>
      <w:r w:rsidRPr="000569B4">
        <w:rPr>
          <w:i/>
          <w:iCs/>
          <w:lang w:val="fr-FR"/>
        </w:rPr>
        <w:t>Annexe 2</w:t>
      </w:r>
      <w:r w:rsidRPr="000569B4">
        <w:rPr>
          <w:lang w:val="fr-FR"/>
        </w:rPr>
        <w:t>, lire :</w:t>
      </w:r>
      <w:r>
        <w:rPr>
          <w:lang w:val="fr-FR"/>
        </w:rPr>
        <w:t xml:space="preserve"> </w:t>
      </w:r>
    </w:p>
    <w:p w:rsidR="00F819DF" w:rsidRPr="000569B4" w:rsidRDefault="00F819DF" w:rsidP="00F819DF">
      <w:pPr>
        <w:spacing w:before="120" w:after="360" w:line="240" w:lineRule="auto"/>
        <w:ind w:left="1134" w:right="1134"/>
        <w:jc w:val="both"/>
      </w:pPr>
      <w:r w:rsidRPr="000569B4">
        <w:rPr>
          <w:noProof/>
        </w:rPr>
        <mc:AlternateContent>
          <mc:Choice Requires="wps">
            <w:drawing>
              <wp:anchor distT="0" distB="0" distL="114300" distR="114300" simplePos="0" relativeHeight="251660288" behindDoc="0" locked="0" layoutInCell="1" allowOverlap="1" wp14:anchorId="43026E1B" wp14:editId="4F46E4CA">
                <wp:simplePos x="0" y="0"/>
                <wp:positionH relativeFrom="column">
                  <wp:posOffset>4165284</wp:posOffset>
                </wp:positionH>
                <wp:positionV relativeFrom="paragraph">
                  <wp:posOffset>824958</wp:posOffset>
                </wp:positionV>
                <wp:extent cx="1210963" cy="222422"/>
                <wp:effectExtent l="0" t="0" r="8255" b="6350"/>
                <wp:wrapNone/>
                <wp:docPr id="8" name="Надпись 8"/>
                <wp:cNvGraphicFramePr/>
                <a:graphic xmlns:a="http://schemas.openxmlformats.org/drawingml/2006/main">
                  <a:graphicData uri="http://schemas.microsoft.com/office/word/2010/wordprocessingShape">
                    <wps:wsp>
                      <wps:cNvSpPr txBox="1"/>
                      <wps:spPr>
                        <a:xfrm>
                          <a:off x="0" y="0"/>
                          <a:ext cx="1210963" cy="222422"/>
                        </a:xfrm>
                        <a:prstGeom prst="rect">
                          <a:avLst/>
                        </a:prstGeom>
                        <a:solidFill>
                          <a:schemeClr val="lt1"/>
                        </a:solidFill>
                        <a:ln w="6350">
                          <a:noFill/>
                        </a:ln>
                      </wps:spPr>
                      <wps:txbx>
                        <w:txbxContent>
                          <w:p w:rsidR="00F819DF" w:rsidRPr="001E2EB9" w:rsidRDefault="00F819DF" w:rsidP="00F819DF">
                            <w:pPr>
                              <w:rPr>
                                <w:sz w:val="28"/>
                                <w:szCs w:val="28"/>
                              </w:rPr>
                            </w:pPr>
                            <w:r w:rsidRPr="001E2EB9">
                              <w:rPr>
                                <w:sz w:val="28"/>
                                <w:szCs w:val="28"/>
                              </w:rPr>
                              <w:t xml:space="preserve">а = 8 </w:t>
                            </w:r>
                            <w:r>
                              <w:rPr>
                                <w:sz w:val="28"/>
                                <w:szCs w:val="28"/>
                              </w:rPr>
                              <w:t>mm</w:t>
                            </w:r>
                            <w:r w:rsidRPr="001E2EB9">
                              <w:rPr>
                                <w:sz w:val="28"/>
                                <w:szCs w:val="28"/>
                              </w:rPr>
                              <w:t xml:space="preserve"> </w:t>
                            </w:r>
                            <w:r>
                              <w:rPr>
                                <w:sz w:val="28"/>
                                <w:szCs w:val="28"/>
                              </w:rPr>
                              <w:t>min</w:t>
                            </w:r>
                            <w:r w:rsidRPr="001E2EB9">
                              <w:rPr>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26E1B" id="_x0000_t202" coordsize="21600,21600" o:spt="202" path="m,l,21600r21600,l21600,xe">
                <v:stroke joinstyle="miter"/>
                <v:path gradientshapeok="t" o:connecttype="rect"/>
              </v:shapetype>
              <v:shape id="Надпись 8" o:spid="_x0000_s1026" type="#_x0000_t202" style="position:absolute;left:0;text-align:left;margin-left:328pt;margin-top:64.95pt;width:95.3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" fillcolor="white [3201]" stroked="f" strokeweight=".5pt">
                <v:textbox inset="0,0,0,0">
                  <w:txbxContent>
                    <w:p w:rsidR="00F819DF" w:rsidRPr="001E2EB9" w:rsidRDefault="00F819DF" w:rsidP="00F819DF">
                      <w:pPr>
                        <w:rPr>
                          <w:sz w:val="28"/>
                          <w:szCs w:val="28"/>
                        </w:rPr>
                      </w:pPr>
                      <w:r w:rsidRPr="001E2EB9">
                        <w:rPr>
                          <w:sz w:val="28"/>
                          <w:szCs w:val="28"/>
                        </w:rPr>
                        <w:t xml:space="preserve">а = 8 </w:t>
                      </w:r>
                      <w:r>
                        <w:rPr>
                          <w:sz w:val="28"/>
                          <w:szCs w:val="28"/>
                        </w:rPr>
                        <w:t>mm</w:t>
                      </w:r>
                      <w:r w:rsidRPr="001E2EB9">
                        <w:rPr>
                          <w:sz w:val="28"/>
                          <w:szCs w:val="28"/>
                        </w:rPr>
                        <w:t xml:space="preserve"> </w:t>
                      </w:r>
                      <w:r>
                        <w:rPr>
                          <w:sz w:val="28"/>
                          <w:szCs w:val="28"/>
                        </w:rPr>
                        <w:t>min</w:t>
                      </w:r>
                      <w:r w:rsidRPr="001E2EB9">
                        <w:rPr>
                          <w:sz w:val="28"/>
                          <w:szCs w:val="28"/>
                        </w:rPr>
                        <w:t>.</w:t>
                      </w:r>
                    </w:p>
                  </w:txbxContent>
                </v:textbox>
              </v:shape>
            </w:pict>
          </mc:Fallback>
        </mc:AlternateContent>
      </w:r>
      <w:r w:rsidRPr="000569B4">
        <w:rPr>
          <w:rFonts w:ascii="Arial Unicode MS" w:eastAsia="Arial Unicode MS" w:hAnsi="Arial Unicode MS" w:cs="Arial Unicode MS"/>
          <w:b/>
          <w:noProof/>
          <w:sz w:val="48"/>
          <w:szCs w:val="48"/>
          <w:lang w:val="en-US"/>
        </w:rPr>
        <mc:AlternateContent>
          <mc:Choice Requires="wps">
            <w:drawing>
              <wp:anchor distT="0" distB="0" distL="114300" distR="114300" simplePos="0" relativeHeight="251659264" behindDoc="0" locked="0" layoutInCell="1" allowOverlap="1" wp14:anchorId="6DC3F132" wp14:editId="110906E0">
                <wp:simplePos x="0" y="0"/>
                <wp:positionH relativeFrom="column">
                  <wp:posOffset>916437</wp:posOffset>
                </wp:positionH>
                <wp:positionV relativeFrom="paragraph">
                  <wp:posOffset>1840050</wp:posOffset>
                </wp:positionV>
                <wp:extent cx="2029460" cy="537845"/>
                <wp:effectExtent l="0" t="635" r="317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9DF" w:rsidRPr="008C572C" w:rsidRDefault="00F819DF" w:rsidP="00F819DF">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F132" id="Text Box 4" o:spid="_x0000_s1027" type="#_x0000_t202" style="position:absolute;left:0;text-align:left;margin-left:72.15pt;margin-top:144.9pt;width:159.8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" stroked="f">
                <v:textbox inset="0,0,0,0">
                  <w:txbxContent>
                    <w:p w:rsidR="00F819DF" w:rsidRPr="008C572C" w:rsidRDefault="00F819DF" w:rsidP="00F819DF">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v:textbox>
              </v:shape>
            </w:pict>
          </mc:Fallback>
        </mc:AlternateContent>
      </w:r>
      <w:r w:rsidRPr="000569B4">
        <w:t>«…</w:t>
      </w:r>
      <w:r w:rsidRPr="000569B4">
        <w:rPr>
          <w:noProof/>
          <w:lang w:val="de-DE" w:eastAsia="de-DE"/>
        </w:rPr>
        <w:drawing>
          <wp:inline distT="0" distB="0" distL="0" distR="0" wp14:anchorId="22596EA8" wp14:editId="5BF6EE1C">
            <wp:extent cx="4549775" cy="214312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49775" cy="2143125"/>
                    </a:xfrm>
                    <a:prstGeom prst="rect">
                      <a:avLst/>
                    </a:prstGeom>
                    <a:noFill/>
                    <a:ln w="9525">
                      <a:noFill/>
                      <a:miter lim="800000"/>
                      <a:headEnd/>
                      <a:tailEnd/>
                    </a:ln>
                  </pic:spPr>
                </pic:pic>
              </a:graphicData>
            </a:graphic>
          </wp:inline>
        </w:drawing>
      </w:r>
    </w:p>
    <w:p w:rsidR="00F819DF" w:rsidRPr="000569B4" w:rsidRDefault="00F819DF" w:rsidP="00F819DF">
      <w:pPr>
        <w:pStyle w:val="SingleTxtG"/>
        <w:rPr>
          <w:lang w:val="fr-FR"/>
        </w:rPr>
      </w:pPr>
      <w:r w:rsidRPr="000569B4">
        <w:rPr>
          <w:lang w:val="fr-FR"/>
        </w:rPr>
        <w:t>La marque d’homologation ci-dessus, apposée sur un pneumatique, indique que ce type de pneumatique pour motocycles et cyclomoteurs a été homologué aux Pays-Bas (E</w:t>
      </w:r>
      <w:r w:rsidR="00954DA4">
        <w:rPr>
          <w:lang w:val="fr-FR"/>
        </w:rPr>
        <w:t> </w:t>
      </w:r>
      <w:r w:rsidRPr="000569B4">
        <w:rPr>
          <w:lang w:val="fr-FR"/>
        </w:rPr>
        <w:t xml:space="preserve">4), en application du Règlement </w:t>
      </w:r>
      <w:r>
        <w:rPr>
          <w:lang w:val="fr-FR"/>
        </w:rPr>
        <w:t xml:space="preserve">ONU </w:t>
      </w:r>
      <w:r w:rsidRPr="000569B4">
        <w:rPr>
          <w:rFonts w:eastAsia="MS Mincho"/>
          <w:szCs w:val="22"/>
          <w:lang w:val="fr-FR"/>
        </w:rPr>
        <w:t>n</w:t>
      </w:r>
      <w:r w:rsidRPr="000569B4">
        <w:rPr>
          <w:rFonts w:eastAsia="MS Mincho"/>
          <w:szCs w:val="22"/>
          <w:vertAlign w:val="superscript"/>
          <w:lang w:val="fr-FR"/>
        </w:rPr>
        <w:t>o</w:t>
      </w:r>
      <w:r w:rsidRPr="000569B4">
        <w:rPr>
          <w:lang w:val="fr-FR"/>
        </w:rPr>
        <w:t xml:space="preserve"> 75 sous le </w:t>
      </w:r>
      <w:r w:rsidRPr="000569B4">
        <w:rPr>
          <w:rFonts w:eastAsia="MS Mincho"/>
          <w:szCs w:val="22"/>
          <w:lang w:val="fr-FR"/>
        </w:rPr>
        <w:t>n</w:t>
      </w:r>
      <w:r w:rsidRPr="000569B4">
        <w:rPr>
          <w:rFonts w:eastAsia="MS Mincho"/>
          <w:szCs w:val="22"/>
          <w:vertAlign w:val="superscript"/>
          <w:lang w:val="fr-FR"/>
        </w:rPr>
        <w:t>o</w:t>
      </w:r>
      <w:r w:rsidRPr="000569B4">
        <w:rPr>
          <w:lang w:val="fr-FR"/>
        </w:rPr>
        <w:t> </w:t>
      </w:r>
      <w:r w:rsidRPr="00037587">
        <w:rPr>
          <w:lang w:val="fr-FR"/>
        </w:rPr>
        <w:t>002439</w:t>
      </w:r>
      <w:r w:rsidRPr="000569B4">
        <w:rPr>
          <w:lang w:val="fr-FR"/>
        </w:rPr>
        <w:t xml:space="preserve">. Les deux premiers chiffres du numéro d’homologation indiquent que l’homologation a été délivrée conformément aux prescriptions du Règlement </w:t>
      </w:r>
      <w:r>
        <w:rPr>
          <w:lang w:val="fr-FR"/>
        </w:rPr>
        <w:t xml:space="preserve">ONU </w:t>
      </w:r>
      <w:r w:rsidRPr="000569B4">
        <w:rPr>
          <w:rFonts w:eastAsia="MS Mincho"/>
          <w:szCs w:val="22"/>
          <w:lang w:val="fr-FR"/>
        </w:rPr>
        <w:t>n</w:t>
      </w:r>
      <w:r w:rsidRPr="000569B4">
        <w:rPr>
          <w:rFonts w:eastAsia="MS Mincho"/>
          <w:szCs w:val="22"/>
          <w:vertAlign w:val="superscript"/>
          <w:lang w:val="fr-FR"/>
        </w:rPr>
        <w:t>o</w:t>
      </w:r>
      <w:r w:rsidRPr="000569B4">
        <w:rPr>
          <w:lang w:val="fr-FR"/>
        </w:rPr>
        <w:t> 75 dans sa forme originale.</w:t>
      </w:r>
    </w:p>
    <w:p w:rsidR="00F819DF" w:rsidRPr="000569B4" w:rsidRDefault="00F819DF" w:rsidP="00F819DF">
      <w:pPr>
        <w:pStyle w:val="SingleTxtG"/>
        <w:rPr>
          <w:lang w:val="fr-FR"/>
        </w:rPr>
      </w:pPr>
      <w:r w:rsidRPr="000569B4">
        <w:rPr>
          <w:lang w:val="fr-FR"/>
        </w:rPr>
        <w:t>… ».</w:t>
      </w:r>
    </w:p>
    <w:p w:rsidR="00F819DF" w:rsidRDefault="00F819DF" w:rsidP="00F819DF">
      <w:pPr>
        <w:pStyle w:val="SingleTxtG"/>
        <w:rPr>
          <w:i/>
          <w:iCs/>
          <w:lang w:val="fr-FR"/>
        </w:rPr>
      </w:pPr>
      <w:r w:rsidRPr="000569B4">
        <w:rPr>
          <w:i/>
          <w:iCs/>
          <w:lang w:val="fr-FR"/>
        </w:rPr>
        <w:t>Annexe 3</w:t>
      </w:r>
    </w:p>
    <w:p w:rsidR="00F819DF" w:rsidRPr="000569B4" w:rsidRDefault="00F819DF" w:rsidP="00F819DF">
      <w:pPr>
        <w:pStyle w:val="SingleTxtG"/>
        <w:rPr>
          <w:rFonts w:eastAsia="Calibri"/>
          <w:lang w:val="fr-FR"/>
        </w:rPr>
      </w:pPr>
      <w:r>
        <w:rPr>
          <w:i/>
          <w:iCs/>
          <w:lang w:val="fr-FR"/>
        </w:rPr>
        <w:t>P</w:t>
      </w:r>
      <w:r w:rsidRPr="000569B4">
        <w:rPr>
          <w:i/>
          <w:iCs/>
          <w:lang w:val="fr-FR"/>
        </w:rPr>
        <w:t>aragraphe</w:t>
      </w:r>
      <w:r>
        <w:rPr>
          <w:i/>
          <w:iCs/>
          <w:lang w:val="fr-FR"/>
        </w:rPr>
        <w:t xml:space="preserve"> d)</w:t>
      </w:r>
      <w:r w:rsidRPr="000569B4">
        <w:rPr>
          <w:lang w:val="fr-FR"/>
        </w:rPr>
        <w:t>, lire :</w:t>
      </w:r>
    </w:p>
    <w:p w:rsidR="00F819DF" w:rsidRPr="000569B4" w:rsidRDefault="00F819DF" w:rsidP="00F819DF">
      <w:pPr>
        <w:pStyle w:val="SingleTxtG"/>
        <w:rPr>
          <w:lang w:val="fr-FR"/>
        </w:rPr>
      </w:pPr>
      <w:r w:rsidRPr="000569B4">
        <w:rPr>
          <w:lang w:val="fr-FR"/>
        </w:rPr>
        <w:t>« </w:t>
      </w:r>
      <w:r w:rsidRPr="000569B4">
        <w:rPr>
          <w:lang w:val="fr-FR"/>
        </w:rPr>
        <w:tab/>
      </w:r>
      <w:r w:rsidRPr="000569B4">
        <w:rPr>
          <w:lang w:val="fr-FR"/>
        </w:rPr>
        <w:tab/>
        <w:t>…</w:t>
      </w:r>
    </w:p>
    <w:p w:rsidR="00F819DF" w:rsidRPr="000569B4" w:rsidRDefault="00F819DF" w:rsidP="00F819DF">
      <w:pPr>
        <w:spacing w:after="120"/>
        <w:ind w:left="2268" w:right="1134" w:hanging="1134"/>
        <w:jc w:val="both"/>
        <w:rPr>
          <w:lang w:val="fr-FR"/>
        </w:rPr>
      </w:pPr>
      <w:r w:rsidRPr="000569B4">
        <w:rPr>
          <w:lang w:val="fr-FR"/>
        </w:rPr>
        <w:t>d)</w:t>
      </w:r>
      <w:r w:rsidRPr="000569B4">
        <w:rPr>
          <w:lang w:val="fr-FR"/>
        </w:rPr>
        <w:tab/>
        <w:t xml:space="preserve">Dans le cas de pneumatiques conçus pour des vitesses supérieures à 240 km/h, la lettre de code “V” ou “Z”, selon le cas, doit figurer devant la marque de la structure (par exemple 140/60ZR18). L’indice de capacité de charge de référence et le symbole de la catégorie de vitesse doivent être indiqués entre parenthèses s’il y a lieu (voir </w:t>
      </w:r>
      <w:r w:rsidRPr="00037587">
        <w:rPr>
          <w:lang w:val="fr-FR"/>
        </w:rPr>
        <w:t>par. 3.1.5.1 et 3.1.5.2</w:t>
      </w:r>
      <w:r w:rsidRPr="000569B4">
        <w:rPr>
          <w:lang w:val="fr-FR"/>
        </w:rPr>
        <w:t>). ».</w:t>
      </w:r>
    </w:p>
    <w:p w:rsidR="00F819DF" w:rsidRPr="000569B4" w:rsidRDefault="00F819DF" w:rsidP="00954DA4">
      <w:pPr>
        <w:pStyle w:val="SingleTxtG"/>
        <w:keepNext/>
        <w:rPr>
          <w:rFonts w:eastAsia="Calibri"/>
          <w:i/>
          <w:lang w:val="fr-FR"/>
        </w:rPr>
      </w:pPr>
      <w:r w:rsidRPr="000569B4">
        <w:rPr>
          <w:i/>
          <w:iCs/>
          <w:lang w:val="fr-FR"/>
        </w:rPr>
        <w:lastRenderedPageBreak/>
        <w:t>Annexe 7</w:t>
      </w:r>
    </w:p>
    <w:p w:rsidR="00F819DF" w:rsidRPr="000569B4" w:rsidRDefault="00F819DF" w:rsidP="00954DA4">
      <w:pPr>
        <w:pStyle w:val="SingleTxtG"/>
        <w:keepNext/>
        <w:rPr>
          <w:rFonts w:eastAsia="Calibri"/>
          <w:lang w:val="fr-FR"/>
        </w:rPr>
      </w:pPr>
      <w:r w:rsidRPr="000569B4">
        <w:rPr>
          <w:i/>
          <w:iCs/>
          <w:lang w:val="fr-FR"/>
        </w:rPr>
        <w:t>Paragraphe 2.2.2</w:t>
      </w:r>
      <w:r w:rsidRPr="000569B4">
        <w:rPr>
          <w:lang w:val="fr-FR"/>
        </w:rPr>
        <w:t>, lire</w:t>
      </w:r>
      <w:r w:rsidR="00954DA4">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2.2.2</w:t>
      </w:r>
      <w:r w:rsidRPr="000569B4">
        <w:rPr>
          <w:lang w:val="fr-FR"/>
        </w:rPr>
        <w:tab/>
        <w:t>La charge maximale associée à une vitesse maximale de 240 km/h en ce qui concerne les pneumatiques portant l’indication des symboles de vitesse “V” (voir par.</w:t>
      </w:r>
      <w:r w:rsidR="00954DA4">
        <w:rPr>
          <w:lang w:val="fr-FR"/>
        </w:rPr>
        <w:t> </w:t>
      </w:r>
      <w:r w:rsidRPr="00037587">
        <w:rPr>
          <w:lang w:val="fr-FR"/>
        </w:rPr>
        <w:t>2.37.3</w:t>
      </w:r>
      <w:r w:rsidRPr="000569B4">
        <w:rPr>
          <w:lang w:val="fr-FR"/>
        </w:rPr>
        <w:t xml:space="preserve"> du présent Règlement)</w:t>
      </w:r>
      <w:r w:rsidR="00954DA4">
        <w:rPr>
          <w:lang w:val="fr-FR"/>
        </w:rPr>
        <w:t> </w:t>
      </w:r>
      <w:r w:rsidRPr="000569B4">
        <w:rPr>
          <w:lang w:val="fr-FR"/>
        </w:rPr>
        <w:t>; ».</w:t>
      </w:r>
    </w:p>
    <w:p w:rsidR="00F819DF" w:rsidRPr="000569B4" w:rsidRDefault="00F819DF" w:rsidP="00F819DF">
      <w:pPr>
        <w:pStyle w:val="SingleTxtG"/>
        <w:rPr>
          <w:rFonts w:eastAsia="Calibri"/>
          <w:lang w:val="fr-FR"/>
        </w:rPr>
      </w:pPr>
      <w:r w:rsidRPr="000569B4">
        <w:rPr>
          <w:i/>
          <w:iCs/>
          <w:lang w:val="fr-FR"/>
        </w:rPr>
        <w:t>Paragraphe 2.2.3</w:t>
      </w:r>
      <w:r w:rsidRPr="000569B4">
        <w:rPr>
          <w:lang w:val="fr-FR"/>
        </w:rPr>
        <w:t>, lire</w:t>
      </w:r>
      <w:r w:rsidR="00954DA4">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2.2.3</w:t>
      </w:r>
      <w:r w:rsidRPr="000569B4">
        <w:rPr>
          <w:lang w:val="fr-FR"/>
        </w:rPr>
        <w:tab/>
        <w:t>L’indice de charge maximale associé à la vitesse maximale de 270</w:t>
      </w:r>
      <w:r w:rsidR="00954DA4">
        <w:rPr>
          <w:lang w:val="fr-FR"/>
        </w:rPr>
        <w:t> </w:t>
      </w:r>
      <w:r w:rsidRPr="000569B4">
        <w:rPr>
          <w:lang w:val="fr-FR"/>
        </w:rPr>
        <w:t>km/h en ce qui concerne les pneumatiques portant le symbole de vitesse “W” (voir par. </w:t>
      </w:r>
      <w:r w:rsidRPr="00037587">
        <w:rPr>
          <w:lang w:val="fr-FR"/>
        </w:rPr>
        <w:t>2.37.5</w:t>
      </w:r>
      <w:r w:rsidRPr="000569B4">
        <w:rPr>
          <w:lang w:val="fr-FR"/>
        </w:rPr>
        <w:t xml:space="preserve"> du présent Règlement)</w:t>
      </w:r>
      <w:r w:rsidR="00954DA4">
        <w:rPr>
          <w:lang w:val="fr-FR"/>
        </w:rPr>
        <w:t> </w:t>
      </w:r>
      <w:r w:rsidRPr="000569B4">
        <w:rPr>
          <w:lang w:val="fr-FR"/>
        </w:rPr>
        <w:t>; ».</w:t>
      </w:r>
    </w:p>
    <w:p w:rsidR="00F819DF" w:rsidRPr="000569B4" w:rsidRDefault="00F819DF" w:rsidP="00F819DF">
      <w:pPr>
        <w:pStyle w:val="SingleTxtG"/>
        <w:rPr>
          <w:rFonts w:eastAsia="Calibri"/>
          <w:lang w:val="fr-FR"/>
        </w:rPr>
      </w:pPr>
      <w:r w:rsidRPr="000569B4">
        <w:rPr>
          <w:i/>
          <w:iCs/>
          <w:lang w:val="fr-FR"/>
        </w:rPr>
        <w:t>Le paragraphe 2.2.5</w:t>
      </w:r>
      <w:r w:rsidRPr="000569B4">
        <w:rPr>
          <w:lang w:val="fr-FR"/>
        </w:rPr>
        <w:t xml:space="preserve"> devient le paragraphe 2.2.4.</w:t>
      </w:r>
    </w:p>
    <w:p w:rsidR="00F819DF" w:rsidRPr="000569B4" w:rsidRDefault="00F819DF" w:rsidP="00F819DF">
      <w:pPr>
        <w:pStyle w:val="SingleTxtG"/>
        <w:rPr>
          <w:rFonts w:eastAsia="Calibri"/>
          <w:lang w:val="fr-FR"/>
        </w:rPr>
      </w:pPr>
      <w:r w:rsidRPr="000569B4">
        <w:rPr>
          <w:i/>
          <w:iCs/>
          <w:lang w:val="fr-FR"/>
        </w:rPr>
        <w:t>Paragraphe 2.4</w:t>
      </w:r>
      <w:r w:rsidRPr="000569B4">
        <w:rPr>
          <w:lang w:val="fr-FR"/>
        </w:rPr>
        <w:t>, modification sans objet en français.</w:t>
      </w:r>
    </w:p>
    <w:p w:rsidR="00F819DF" w:rsidRPr="000569B4" w:rsidRDefault="00F819DF" w:rsidP="00F819DF">
      <w:pPr>
        <w:pStyle w:val="SingleTxtG"/>
        <w:rPr>
          <w:rFonts w:eastAsia="Calibri"/>
          <w:lang w:val="fr-FR"/>
        </w:rPr>
      </w:pPr>
      <w:r w:rsidRPr="000569B4">
        <w:rPr>
          <w:i/>
          <w:iCs/>
          <w:lang w:val="fr-FR"/>
        </w:rPr>
        <w:t>Paragraphe 2.5.2</w:t>
      </w:r>
      <w:r w:rsidRPr="000569B4">
        <w:rPr>
          <w:lang w:val="fr-FR"/>
        </w:rPr>
        <w:t>, lire</w:t>
      </w:r>
      <w:r w:rsidR="00954DA4">
        <w:rPr>
          <w:lang w:val="fr-FR"/>
        </w:rPr>
        <w:t> </w:t>
      </w:r>
      <w:r w:rsidRPr="000569B4">
        <w:rPr>
          <w:lang w:val="fr-FR"/>
        </w:rPr>
        <w:t>:</w:t>
      </w:r>
    </w:p>
    <w:p w:rsidR="00F819DF" w:rsidRPr="000569B4" w:rsidRDefault="00F819DF" w:rsidP="00F819DF">
      <w:pPr>
        <w:spacing w:after="120"/>
        <w:ind w:left="2268" w:right="1134" w:hanging="1134"/>
        <w:jc w:val="both"/>
        <w:rPr>
          <w:lang w:val="fr-FR"/>
        </w:rPr>
      </w:pPr>
      <w:r w:rsidRPr="000569B4">
        <w:rPr>
          <w:lang w:val="fr-FR"/>
        </w:rPr>
        <w:t>« 2.5.2</w:t>
      </w:r>
      <w:r w:rsidRPr="000569B4">
        <w:rPr>
          <w:lang w:val="fr-FR"/>
        </w:rPr>
        <w:tab/>
        <w:t>Vitesse de départ de l’essai : 30 km/h de moins que la vitesse correspondant au symbole de catégorie de vitesse indiquée sur le pneumatique</w:t>
      </w:r>
      <w:r>
        <w:rPr>
          <w:lang w:val="fr-FR"/>
        </w:rPr>
        <w:t xml:space="preserve"> </w:t>
      </w:r>
      <w:r w:rsidRPr="000569B4">
        <w:rPr>
          <w:lang w:val="fr-FR"/>
        </w:rPr>
        <w:t>si l’essai est effectué sur un tambour d’un diamètre de 2 m, ou de 40 km/h de moins s’il est effectué sur un tambour d’un diamètre de 1,7 m</w:t>
      </w:r>
      <w:r w:rsidR="00954DA4">
        <w:rPr>
          <w:lang w:val="fr-FR"/>
        </w:rPr>
        <w:t> </w:t>
      </w:r>
      <w:r w:rsidRPr="000569B4">
        <w:rPr>
          <w:lang w:val="fr-FR"/>
        </w:rPr>
        <w:t>; ».</w:t>
      </w:r>
    </w:p>
    <w:p w:rsidR="00F819DF" w:rsidRPr="000569B4" w:rsidRDefault="00F819DF" w:rsidP="00F819DF">
      <w:pPr>
        <w:pStyle w:val="SingleTxtG"/>
        <w:rPr>
          <w:rFonts w:eastAsia="Calibri"/>
          <w:lang w:val="fr-FR"/>
        </w:rPr>
      </w:pPr>
      <w:r w:rsidRPr="000569B4">
        <w:rPr>
          <w:i/>
          <w:iCs/>
          <w:lang w:val="fr-FR"/>
        </w:rPr>
        <w:t>Paragraphe 2.5.2.1</w:t>
      </w:r>
      <w:r w:rsidRPr="000569B4">
        <w:rPr>
          <w:lang w:val="fr-FR"/>
        </w:rPr>
        <w:t>, supprimer.</w:t>
      </w:r>
    </w:p>
    <w:p w:rsidR="00F819DF" w:rsidRPr="000569B4" w:rsidRDefault="00F819DF" w:rsidP="00F819DF">
      <w:pPr>
        <w:pStyle w:val="SingleTxtG"/>
        <w:rPr>
          <w:rFonts w:eastAsia="Calibri"/>
          <w:lang w:val="fr-FR"/>
        </w:rPr>
      </w:pPr>
      <w:r w:rsidRPr="000569B4">
        <w:rPr>
          <w:i/>
          <w:iCs/>
          <w:lang w:val="fr-FR"/>
        </w:rPr>
        <w:t>Paragraphe 2.5.6.1</w:t>
      </w:r>
      <w:r w:rsidRPr="000569B4">
        <w:rPr>
          <w:lang w:val="fr-FR"/>
        </w:rPr>
        <w:t>, supprimer.</w:t>
      </w:r>
    </w:p>
    <w:p w:rsidR="00F819DF" w:rsidRPr="000569B4" w:rsidRDefault="00F819DF" w:rsidP="00F819DF">
      <w:pPr>
        <w:pStyle w:val="SingleTxtG"/>
        <w:rPr>
          <w:rFonts w:eastAsia="Calibri"/>
          <w:lang w:val="fr-FR"/>
        </w:rPr>
      </w:pPr>
      <w:r w:rsidRPr="000569B4">
        <w:rPr>
          <w:i/>
          <w:iCs/>
          <w:lang w:val="fr-FR"/>
        </w:rPr>
        <w:t>Paragraphe 2.6</w:t>
      </w:r>
      <w:r w:rsidRPr="000569B4">
        <w:rPr>
          <w:lang w:val="fr-FR"/>
        </w:rPr>
        <w:t>, lire</w:t>
      </w:r>
      <w:r w:rsidR="00954DA4">
        <w:rPr>
          <w:lang w:val="fr-FR"/>
        </w:rPr>
        <w:t> </w:t>
      </w:r>
      <w:r w:rsidRPr="000569B4">
        <w:rPr>
          <w:lang w:val="fr-FR"/>
        </w:rPr>
        <w:t>:</w:t>
      </w:r>
    </w:p>
    <w:p w:rsidR="00F819DF" w:rsidRDefault="00F819DF" w:rsidP="00F819DF">
      <w:pPr>
        <w:spacing w:after="120"/>
        <w:ind w:left="2268" w:right="1134" w:hanging="1134"/>
        <w:jc w:val="both"/>
        <w:rPr>
          <w:lang w:val="fr-FR"/>
        </w:rPr>
      </w:pPr>
      <w:r w:rsidRPr="000569B4">
        <w:rPr>
          <w:lang w:val="fr-FR"/>
        </w:rPr>
        <w:t>« 2.6</w:t>
      </w:r>
      <w:r w:rsidRPr="000569B4">
        <w:rPr>
          <w:lang w:val="fr-FR"/>
        </w:rPr>
        <w:tab/>
        <w:t xml:space="preserve">Toutefois, dans le cas où un second essai est effectué pour évaluer les performances maximales des pneumatiques conçus pour les vitesses supérieures à 240 km/h </w:t>
      </w:r>
      <w:r w:rsidRPr="00037587">
        <w:rPr>
          <w:lang w:val="fr-FR"/>
        </w:rPr>
        <w:t>et dont le code de ser</w:t>
      </w:r>
      <w:bookmarkStart w:id="9" w:name="_GoBack"/>
      <w:bookmarkEnd w:id="9"/>
      <w:r w:rsidRPr="00037587">
        <w:rPr>
          <w:lang w:val="fr-FR"/>
        </w:rPr>
        <w:t>vice est indiqué entre parenthèses (voir par. 3.1.5.1 et 3.1.5.2 du présent Règlement)</w:t>
      </w:r>
      <w:r w:rsidRPr="00EA77DD">
        <w:rPr>
          <w:lang w:val="fr-FR"/>
        </w:rPr>
        <w:t xml:space="preserve">, </w:t>
      </w:r>
      <w:r w:rsidRPr="000569B4">
        <w:rPr>
          <w:lang w:val="fr-FR"/>
        </w:rPr>
        <w:t>l’essai est réalisé comme suit</w:t>
      </w:r>
      <w:r w:rsidR="00954DA4">
        <w:rPr>
          <w:lang w:val="fr-FR"/>
        </w:rPr>
        <w:t> </w:t>
      </w:r>
      <w:r w:rsidRPr="000569B4">
        <w:rPr>
          <w:lang w:val="fr-FR"/>
        </w:rPr>
        <w:t>: ».</w:t>
      </w:r>
    </w:p>
    <w:p w:rsidR="00F9573C" w:rsidRPr="00F819DF" w:rsidRDefault="00F819DF" w:rsidP="00F819DF">
      <w:pPr>
        <w:pStyle w:val="SingleTxtG"/>
        <w:spacing w:before="240" w:after="0"/>
        <w:jc w:val="center"/>
        <w:rPr>
          <w:bCs/>
          <w:u w:val="single"/>
          <w:lang w:val="fr-FR"/>
        </w:rPr>
      </w:pPr>
      <w:r>
        <w:rPr>
          <w:u w:val="single"/>
          <w:lang w:val="fr-FR"/>
        </w:rPr>
        <w:tab/>
      </w:r>
      <w:r>
        <w:rPr>
          <w:u w:val="single"/>
          <w:lang w:val="fr-FR"/>
        </w:rPr>
        <w:tab/>
      </w:r>
      <w:r>
        <w:rPr>
          <w:u w:val="single"/>
          <w:lang w:val="fr-FR"/>
        </w:rPr>
        <w:tab/>
      </w:r>
      <w:r>
        <w:rPr>
          <w:u w:val="single"/>
          <w:lang w:val="fr-FR"/>
        </w:rPr>
        <w:tab/>
      </w:r>
    </w:p>
    <w:sectPr w:rsidR="00F9573C" w:rsidRPr="00F819DF" w:rsidSect="00F819D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0D" w:rsidRDefault="00A1370D" w:rsidP="00F95C08">
      <w:pPr>
        <w:spacing w:line="240" w:lineRule="auto"/>
      </w:pPr>
    </w:p>
  </w:endnote>
  <w:endnote w:type="continuationSeparator" w:id="0">
    <w:p w:rsidR="00A1370D" w:rsidRPr="00AC3823" w:rsidRDefault="00A1370D" w:rsidP="00AC3823">
      <w:pPr>
        <w:pStyle w:val="Pieddepage"/>
      </w:pPr>
    </w:p>
  </w:endnote>
  <w:endnote w:type="continuationNotice" w:id="1">
    <w:p w:rsidR="00A1370D" w:rsidRDefault="00A137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DF" w:rsidRPr="00F819DF" w:rsidRDefault="00F819DF" w:rsidP="00F819DF">
    <w:pPr>
      <w:pStyle w:val="Pieddepage"/>
      <w:tabs>
        <w:tab w:val="right" w:pos="9638"/>
      </w:tabs>
    </w:pPr>
    <w:r w:rsidRPr="00F819DF">
      <w:rPr>
        <w:b/>
        <w:sz w:val="18"/>
      </w:rPr>
      <w:fldChar w:fldCharType="begin"/>
    </w:r>
    <w:r w:rsidRPr="00F819DF">
      <w:rPr>
        <w:b/>
        <w:sz w:val="18"/>
      </w:rPr>
      <w:instrText xml:space="preserve"> PAGE  \* MERGEFORMAT </w:instrText>
    </w:r>
    <w:r w:rsidRPr="00F819DF">
      <w:rPr>
        <w:b/>
        <w:sz w:val="18"/>
      </w:rPr>
      <w:fldChar w:fldCharType="separate"/>
    </w:r>
    <w:r w:rsidRPr="00F819DF">
      <w:rPr>
        <w:b/>
        <w:noProof/>
        <w:sz w:val="18"/>
      </w:rPr>
      <w:t>2</w:t>
    </w:r>
    <w:r w:rsidRPr="00F819DF">
      <w:rPr>
        <w:b/>
        <w:sz w:val="18"/>
      </w:rPr>
      <w:fldChar w:fldCharType="end"/>
    </w:r>
    <w:r>
      <w:rPr>
        <w:b/>
        <w:sz w:val="18"/>
      </w:rPr>
      <w:tab/>
    </w:r>
    <w:r>
      <w:t>GE.20-17262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DF" w:rsidRPr="00F819DF" w:rsidRDefault="00F819DF" w:rsidP="00F819DF">
    <w:pPr>
      <w:pStyle w:val="Pieddepage"/>
      <w:tabs>
        <w:tab w:val="right" w:pos="9638"/>
      </w:tabs>
      <w:rPr>
        <w:b/>
        <w:sz w:val="18"/>
      </w:rPr>
    </w:pPr>
    <w:r>
      <w:t>GE.20-17262</w:t>
    </w:r>
    <w:r>
      <w:tab/>
    </w:r>
    <w:r w:rsidRPr="00F819DF">
      <w:rPr>
        <w:b/>
        <w:sz w:val="18"/>
      </w:rPr>
      <w:fldChar w:fldCharType="begin"/>
    </w:r>
    <w:r w:rsidRPr="00F819DF">
      <w:rPr>
        <w:b/>
        <w:sz w:val="18"/>
      </w:rPr>
      <w:instrText xml:space="preserve"> PAGE  \* MERGEFORMAT </w:instrText>
    </w:r>
    <w:r w:rsidRPr="00F819DF">
      <w:rPr>
        <w:b/>
        <w:sz w:val="18"/>
      </w:rPr>
      <w:fldChar w:fldCharType="separate"/>
    </w:r>
    <w:r w:rsidRPr="00F819DF">
      <w:rPr>
        <w:b/>
        <w:noProof/>
        <w:sz w:val="18"/>
      </w:rPr>
      <w:t>3</w:t>
    </w:r>
    <w:r w:rsidRPr="00F819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819DF" w:rsidRDefault="00F819DF" w:rsidP="00F819D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20-17262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130121    130121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0D" w:rsidRPr="00AC3823" w:rsidRDefault="00A1370D" w:rsidP="00AC3823">
      <w:pPr>
        <w:pStyle w:val="Pieddepage"/>
        <w:tabs>
          <w:tab w:val="right" w:pos="2155"/>
        </w:tabs>
        <w:spacing w:after="80" w:line="240" w:lineRule="atLeast"/>
        <w:ind w:left="680"/>
        <w:rPr>
          <w:u w:val="single"/>
        </w:rPr>
      </w:pPr>
      <w:r>
        <w:rPr>
          <w:u w:val="single"/>
        </w:rPr>
        <w:tab/>
      </w:r>
    </w:p>
  </w:footnote>
  <w:footnote w:type="continuationSeparator" w:id="0">
    <w:p w:rsidR="00A1370D" w:rsidRPr="00AC3823" w:rsidRDefault="00A1370D" w:rsidP="00AC3823">
      <w:pPr>
        <w:pStyle w:val="Pieddepage"/>
        <w:tabs>
          <w:tab w:val="right" w:pos="2155"/>
        </w:tabs>
        <w:spacing w:after="80" w:line="240" w:lineRule="atLeast"/>
        <w:ind w:left="680"/>
        <w:rPr>
          <w:u w:val="single"/>
        </w:rPr>
      </w:pPr>
      <w:r>
        <w:rPr>
          <w:u w:val="single"/>
        </w:rPr>
        <w:tab/>
      </w:r>
    </w:p>
  </w:footnote>
  <w:footnote w:type="continuationNotice" w:id="1">
    <w:p w:rsidR="00A1370D" w:rsidRPr="00AC3823" w:rsidRDefault="00A1370D">
      <w:pPr>
        <w:spacing w:line="240" w:lineRule="auto"/>
        <w:rPr>
          <w:sz w:val="2"/>
          <w:szCs w:val="2"/>
        </w:rPr>
      </w:pPr>
    </w:p>
  </w:footnote>
  <w:footnote w:id="2">
    <w:p w:rsidR="00F819DF" w:rsidRPr="00FE243B" w:rsidRDefault="00F819DF" w:rsidP="00F819DF">
      <w:pPr>
        <w:pStyle w:val="Notedebasdepage"/>
      </w:pPr>
      <w:r>
        <w:rPr>
          <w:lang w:val="fr-FR"/>
        </w:rPr>
        <w:tab/>
      </w:r>
      <w:r w:rsidRPr="003743BA">
        <w:rPr>
          <w:sz w:val="20"/>
          <w:lang w:val="fr-FR"/>
        </w:rPr>
        <w:t>*</w:t>
      </w:r>
      <w:r>
        <w:rPr>
          <w:lang w:val="fr-FR"/>
        </w:rPr>
        <w:tab/>
        <w:t>Conformément au programme de travail du Comité des transports intérieurs pour 2020 tel qu’il figure dans le projet de budget-programme pour 2020 (A/74/6 (</w:t>
      </w:r>
      <w:r w:rsidRPr="00BD4202">
        <w:rPr>
          <w:lang w:val="fr-FR"/>
        </w:rPr>
        <w:t>titre V, chap.</w:t>
      </w:r>
      <w:r>
        <w:rPr>
          <w:lang w:val="fr-FR"/>
        </w:rPr>
        <w:t> </w:t>
      </w:r>
      <w:r w:rsidRPr="00BD4202">
        <w:rPr>
          <w:lang w:val="fr-FR"/>
        </w:rPr>
        <w:t>20), par.</w:t>
      </w:r>
      <w:r>
        <w:rPr>
          <w:lang w:val="fr-FR"/>
        </w:rPr>
        <w:t> </w:t>
      </w:r>
      <w:r w:rsidRPr="00BD4202">
        <w:rPr>
          <w:lang w:val="fr-FR"/>
        </w:rPr>
        <w:t>20</w:t>
      </w:r>
      <w:r>
        <w:rPr>
          <w:lang w:val="fr-FR"/>
        </w:rPr>
        <w:t>.37),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DF" w:rsidRPr="00F819DF" w:rsidRDefault="00F819DF">
    <w:pPr>
      <w:pStyle w:val="En-tte"/>
    </w:pPr>
    <w:fldSimple w:instr=" TITLE  \* MERGEFORMAT ">
      <w:r>
        <w:t>ECE/TRANS/WP.29/2021/6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DF" w:rsidRPr="00F819DF" w:rsidRDefault="00F819DF" w:rsidP="00F819DF">
    <w:pPr>
      <w:pStyle w:val="En-tte"/>
      <w:jc w:val="right"/>
    </w:pPr>
    <w:fldSimple w:instr=" TITLE  \* MERGEFORMAT ">
      <w:r>
        <w:t>ECE/TRANS/WP.29/2021/6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0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069B5"/>
    <w:rsid w:val="00421996"/>
    <w:rsid w:val="00441C3B"/>
    <w:rsid w:val="00446FE5"/>
    <w:rsid w:val="00452396"/>
    <w:rsid w:val="00477EB2"/>
    <w:rsid w:val="004837D8"/>
    <w:rsid w:val="004E2EED"/>
    <w:rsid w:val="004E468C"/>
    <w:rsid w:val="005505B7"/>
    <w:rsid w:val="00573BE5"/>
    <w:rsid w:val="00586ED3"/>
    <w:rsid w:val="00596AA9"/>
    <w:rsid w:val="005E5F3F"/>
    <w:rsid w:val="0071601D"/>
    <w:rsid w:val="007A62E6"/>
    <w:rsid w:val="007F20FA"/>
    <w:rsid w:val="0080684C"/>
    <w:rsid w:val="00871C75"/>
    <w:rsid w:val="008776DC"/>
    <w:rsid w:val="008D5EF9"/>
    <w:rsid w:val="009446C0"/>
    <w:rsid w:val="00954DA4"/>
    <w:rsid w:val="009705C8"/>
    <w:rsid w:val="009C1CF4"/>
    <w:rsid w:val="009F6B74"/>
    <w:rsid w:val="00A1370D"/>
    <w:rsid w:val="00A3029F"/>
    <w:rsid w:val="00A30353"/>
    <w:rsid w:val="00AC3823"/>
    <w:rsid w:val="00AE323C"/>
    <w:rsid w:val="00AF0CB5"/>
    <w:rsid w:val="00B00181"/>
    <w:rsid w:val="00B00B0D"/>
    <w:rsid w:val="00B45F2E"/>
    <w:rsid w:val="00B765F7"/>
    <w:rsid w:val="00B77993"/>
    <w:rsid w:val="00BA0CA9"/>
    <w:rsid w:val="00C02897"/>
    <w:rsid w:val="00C97039"/>
    <w:rsid w:val="00CB0491"/>
    <w:rsid w:val="00CB2F24"/>
    <w:rsid w:val="00D3439C"/>
    <w:rsid w:val="00D7622E"/>
    <w:rsid w:val="00DB1831"/>
    <w:rsid w:val="00DD3BFD"/>
    <w:rsid w:val="00DF6678"/>
    <w:rsid w:val="00E0299A"/>
    <w:rsid w:val="00E61E92"/>
    <w:rsid w:val="00E85C74"/>
    <w:rsid w:val="00EA6547"/>
    <w:rsid w:val="00ED7237"/>
    <w:rsid w:val="00EF2E22"/>
    <w:rsid w:val="00F35BAF"/>
    <w:rsid w:val="00F660DF"/>
    <w:rsid w:val="00F819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388EA"/>
  <w15:docId w15:val="{A30661EC-97CE-486E-92C2-6871F395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3BBA8-5CEA-447C-9683-BA6ACDF5C1ED}"/>
</file>

<file path=customXml/itemProps2.xml><?xml version="1.0" encoding="utf-8"?>
<ds:datastoreItem xmlns:ds="http://schemas.openxmlformats.org/officeDocument/2006/customXml" ds:itemID="{C4D072A7-B352-4B90-ABFF-B18BE4A23ED2}"/>
</file>

<file path=customXml/itemProps3.xml><?xml version="1.0" encoding="utf-8"?>
<ds:datastoreItem xmlns:ds="http://schemas.openxmlformats.org/officeDocument/2006/customXml" ds:itemID="{CCF9242D-A06B-4C55-8ABA-F8FC6C6F0596}"/>
</file>

<file path=docProps/app.xml><?xml version="1.0" encoding="utf-8"?>
<Properties xmlns="http://schemas.openxmlformats.org/officeDocument/2006/extended-properties" xmlns:vt="http://schemas.openxmlformats.org/officeDocument/2006/docPropsVTypes">
  <Template>ECE_TRANS.dotm</Template>
  <TotalTime>0</TotalTime>
  <Pages>6</Pages>
  <Words>1623</Words>
  <Characters>11362</Characters>
  <Application>Microsoft Office Word</Application>
  <DocSecurity>0</DocSecurity>
  <Lines>946</Lines>
  <Paragraphs>519</Paragraphs>
  <ScaleCrop>false</ScaleCrop>
  <HeadingPairs>
    <vt:vector size="2" baseType="variant">
      <vt:variant>
        <vt:lpstr>Titre</vt:lpstr>
      </vt:variant>
      <vt:variant>
        <vt:i4>1</vt:i4>
      </vt:variant>
    </vt:vector>
  </HeadingPairs>
  <TitlesOfParts>
    <vt:vector size="1" baseType="lpstr">
      <vt:lpstr>ECE/TRANS/WP.29/2021/6</vt:lpstr>
    </vt:vector>
  </TitlesOfParts>
  <Company>DCM</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dc:title>
  <dc:subject/>
  <dc:creator>Fabienne CRELIER</dc:creator>
  <cp:keywords/>
  <cp:lastModifiedBy>Fabienne Crelier</cp:lastModifiedBy>
  <cp:revision>2</cp:revision>
  <cp:lastPrinted>2014-05-14T10:59:00Z</cp:lastPrinted>
  <dcterms:created xsi:type="dcterms:W3CDTF">2021-01-13T08:29:00Z</dcterms:created>
  <dcterms:modified xsi:type="dcterms:W3CDTF">2021-01-13T08:29:00Z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