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9135B3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9135B3" w:rsidP="009135B3">
            <w:pPr>
              <w:jc w:val="right"/>
            </w:pPr>
            <w:r w:rsidRPr="009135B3">
              <w:rPr>
                <w:sz w:val="40"/>
              </w:rPr>
              <w:t>ECE</w:t>
            </w:r>
            <w:r>
              <w:t>/TRANS/WP.29/2021/4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9135B3" w:rsidP="00C97039">
            <w:pPr>
              <w:spacing w:before="240"/>
            </w:pPr>
            <w:r>
              <w:t>Distr. générale</w:t>
            </w:r>
          </w:p>
          <w:p w:rsidR="009135B3" w:rsidRDefault="009135B3" w:rsidP="009135B3">
            <w:pPr>
              <w:spacing w:line="240" w:lineRule="exact"/>
            </w:pPr>
            <w:r>
              <w:t>17 décembre 2020</w:t>
            </w:r>
          </w:p>
          <w:p w:rsidR="009135B3" w:rsidRDefault="009135B3" w:rsidP="009135B3">
            <w:pPr>
              <w:spacing w:line="240" w:lineRule="exact"/>
            </w:pPr>
            <w:r>
              <w:t>Français</w:t>
            </w:r>
          </w:p>
          <w:p w:rsidR="009135B3" w:rsidRPr="00DB58B5" w:rsidRDefault="009135B3" w:rsidP="009135B3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9135B3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9135B3" w:rsidRDefault="009135B3" w:rsidP="009135B3">
      <w:pPr>
        <w:spacing w:before="120"/>
        <w:ind w:right="4393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des</w:t>
      </w:r>
      <w:r>
        <w:rPr>
          <w:b/>
          <w:sz w:val="24"/>
          <w:szCs w:val="24"/>
        </w:rPr>
        <w:t> </w:t>
      </w:r>
      <w:r w:rsidRPr="00685843">
        <w:rPr>
          <w:b/>
          <w:sz w:val="24"/>
          <w:szCs w:val="24"/>
        </w:rPr>
        <w:t>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9135B3" w:rsidRPr="00F85731" w:rsidRDefault="009135B3" w:rsidP="009135B3">
      <w:pPr>
        <w:spacing w:before="120"/>
        <w:rPr>
          <w:rFonts w:eastAsia="Times New Roman"/>
          <w:b/>
        </w:rPr>
      </w:pPr>
      <w:r>
        <w:rPr>
          <w:b/>
          <w:bCs/>
          <w:lang w:val="fr-FR"/>
        </w:rPr>
        <w:t>183</w:t>
      </w:r>
      <w:r w:rsidRPr="006B72FC">
        <w:rPr>
          <w:b/>
          <w:bCs/>
          <w:vertAlign w:val="superscript"/>
          <w:lang w:val="fr-FR"/>
        </w:rPr>
        <w:t>e</w:t>
      </w:r>
      <w:r>
        <w:rPr>
          <w:b/>
          <w:bCs/>
          <w:lang w:val="fr-FR"/>
        </w:rPr>
        <w:t> </w:t>
      </w:r>
      <w:r w:rsidRPr="00F85731">
        <w:rPr>
          <w:b/>
          <w:bCs/>
          <w:lang w:val="fr-FR"/>
        </w:rPr>
        <w:t>session</w:t>
      </w:r>
    </w:p>
    <w:p w:rsidR="009135B3" w:rsidRPr="00F85731" w:rsidRDefault="009135B3" w:rsidP="009135B3">
      <w:pPr>
        <w:rPr>
          <w:rFonts w:eastAsiaTheme="minorEastAsia"/>
        </w:rPr>
      </w:pPr>
      <w:r w:rsidRPr="00F85731">
        <w:rPr>
          <w:lang w:val="fr-FR"/>
        </w:rPr>
        <w:t>Genève, 9</w:t>
      </w:r>
      <w:r>
        <w:rPr>
          <w:lang w:val="fr-FR"/>
        </w:rPr>
        <w:t>-11</w:t>
      </w:r>
      <w:r w:rsidRPr="00F85731">
        <w:rPr>
          <w:lang w:val="fr-FR"/>
        </w:rPr>
        <w:t xml:space="preserve"> </w:t>
      </w:r>
      <w:r>
        <w:rPr>
          <w:lang w:val="fr-FR"/>
        </w:rPr>
        <w:t>mars</w:t>
      </w:r>
      <w:r w:rsidRPr="00F85731">
        <w:rPr>
          <w:lang w:val="fr-FR"/>
        </w:rPr>
        <w:t xml:space="preserve"> 202</w:t>
      </w:r>
      <w:r>
        <w:rPr>
          <w:lang w:val="fr-FR"/>
        </w:rPr>
        <w:t>1</w:t>
      </w:r>
    </w:p>
    <w:p w:rsidR="009135B3" w:rsidRPr="00F85731" w:rsidRDefault="009135B3" w:rsidP="009135B3">
      <w:pPr>
        <w:rPr>
          <w:rFonts w:eastAsiaTheme="minorEastAsia"/>
        </w:rPr>
      </w:pPr>
      <w:r w:rsidRPr="00F85731">
        <w:rPr>
          <w:lang w:val="fr-FR"/>
        </w:rPr>
        <w:t xml:space="preserve">Point </w:t>
      </w:r>
      <w:r>
        <w:rPr>
          <w:lang w:val="fr-FR"/>
        </w:rPr>
        <w:t>4.6.</w:t>
      </w:r>
      <w:r w:rsidRPr="00F85731">
        <w:rPr>
          <w:lang w:val="fr-FR"/>
        </w:rPr>
        <w:t>2 de l</w:t>
      </w:r>
      <w:r>
        <w:rPr>
          <w:lang w:val="fr-FR"/>
        </w:rPr>
        <w:t>’</w:t>
      </w:r>
      <w:r w:rsidRPr="00F85731">
        <w:rPr>
          <w:lang w:val="fr-FR"/>
        </w:rPr>
        <w:t>ordre du jour provisoire</w:t>
      </w:r>
    </w:p>
    <w:p w:rsidR="009135B3" w:rsidRDefault="009135B3" w:rsidP="009135B3">
      <w:pPr>
        <w:rPr>
          <w:b/>
          <w:bCs/>
          <w:lang w:val="fr-FR"/>
        </w:rPr>
      </w:pPr>
      <w:r w:rsidRPr="0010338B">
        <w:rPr>
          <w:b/>
          <w:bCs/>
          <w:lang w:val="fr-FR"/>
        </w:rPr>
        <w:t>Accord de 1958</w:t>
      </w:r>
      <w:r>
        <w:rPr>
          <w:b/>
          <w:bCs/>
          <w:lang w:val="fr-FR"/>
        </w:rPr>
        <w:t> </w:t>
      </w:r>
      <w:r w:rsidRPr="0010338B">
        <w:rPr>
          <w:b/>
          <w:bCs/>
          <w:lang w:val="fr-FR"/>
        </w:rPr>
        <w:t xml:space="preserve">: </w:t>
      </w:r>
      <w:r>
        <w:rPr>
          <w:b/>
          <w:bCs/>
          <w:lang w:val="fr-FR"/>
        </w:rPr>
        <w:br/>
      </w:r>
      <w:r w:rsidRPr="0010338B">
        <w:rPr>
          <w:b/>
          <w:bCs/>
          <w:lang w:val="fr-FR"/>
        </w:rPr>
        <w:t>E</w:t>
      </w:r>
      <w:r w:rsidRPr="0010338B">
        <w:rPr>
          <w:b/>
          <w:bCs/>
          <w:lang w:val="fr-FR"/>
        </w:rPr>
        <w:t>xamen de projets d</w:t>
      </w:r>
      <w:r>
        <w:rPr>
          <w:b/>
          <w:bCs/>
          <w:lang w:val="fr-FR"/>
        </w:rPr>
        <w:t>’</w:t>
      </w:r>
      <w:r w:rsidRPr="0010338B">
        <w:rPr>
          <w:b/>
          <w:bCs/>
          <w:lang w:val="fr-FR"/>
        </w:rPr>
        <w:t xml:space="preserve">amendements à des Règlements ONU existants, </w:t>
      </w:r>
      <w:r>
        <w:rPr>
          <w:b/>
          <w:bCs/>
          <w:lang w:val="fr-FR"/>
        </w:rPr>
        <w:br/>
      </w:r>
      <w:r w:rsidRPr="0010338B">
        <w:rPr>
          <w:b/>
          <w:bCs/>
          <w:lang w:val="fr-FR"/>
        </w:rPr>
        <w:t>soumis par le Groupe de travail du bruit et des pneumatiques (GRBP)</w:t>
      </w:r>
    </w:p>
    <w:p w:rsidR="009135B3" w:rsidRPr="00F85731" w:rsidRDefault="009135B3" w:rsidP="009135B3">
      <w:pPr>
        <w:pStyle w:val="HChG"/>
        <w:rPr>
          <w:rFonts w:eastAsia="Times New Roman"/>
          <w:lang w:val="fr-FR"/>
        </w:rPr>
      </w:pPr>
      <w:r w:rsidRPr="00F85731">
        <w:rPr>
          <w:lang w:val="fr-FR"/>
        </w:rPr>
        <w:tab/>
      </w:r>
      <w:r w:rsidRPr="00F85731">
        <w:rPr>
          <w:lang w:val="fr-FR"/>
        </w:rPr>
        <w:tab/>
        <w:t>Proposition d</w:t>
      </w:r>
      <w:r>
        <w:rPr>
          <w:lang w:val="fr-FR"/>
        </w:rPr>
        <w:t>e complé</w:t>
      </w:r>
      <w:r w:rsidRPr="00F85731">
        <w:rPr>
          <w:lang w:val="fr-FR"/>
        </w:rPr>
        <w:t>ment</w:t>
      </w:r>
      <w:r>
        <w:rPr>
          <w:lang w:val="fr-FR"/>
        </w:rPr>
        <w:t> 9</w:t>
      </w:r>
      <w:r w:rsidRPr="00F85731">
        <w:rPr>
          <w:lang w:val="fr-FR"/>
        </w:rPr>
        <w:t xml:space="preserve"> à la série 04 d</w:t>
      </w:r>
      <w:r>
        <w:rPr>
          <w:lang w:val="fr-FR"/>
        </w:rPr>
        <w:t>’</w:t>
      </w:r>
      <w:r w:rsidRPr="00F85731">
        <w:rPr>
          <w:lang w:val="fr-FR"/>
        </w:rPr>
        <w:t>amendements au</w:t>
      </w:r>
      <w:r>
        <w:rPr>
          <w:lang w:val="fr-FR"/>
        </w:rPr>
        <w:t> </w:t>
      </w:r>
      <w:r w:rsidRPr="00F85731">
        <w:rPr>
          <w:lang w:val="fr-FR"/>
        </w:rPr>
        <w:t xml:space="preserve">Règlement ONU </w:t>
      </w:r>
      <w:r w:rsidRPr="0086044C">
        <w:rPr>
          <w:rFonts w:eastAsia="MS Mincho"/>
          <w:lang w:val="fr-FR"/>
        </w:rPr>
        <w:t>n</w:t>
      </w:r>
      <w:r w:rsidRPr="0086044C">
        <w:rPr>
          <w:rFonts w:eastAsia="MS Mincho"/>
          <w:vertAlign w:val="superscript"/>
          <w:lang w:val="fr-FR"/>
        </w:rPr>
        <w:t>o</w:t>
      </w:r>
      <w:r w:rsidRPr="00F85731">
        <w:rPr>
          <w:lang w:val="fr-FR"/>
        </w:rPr>
        <w:t xml:space="preserve"> 41</w:t>
      </w:r>
      <w:r>
        <w:rPr>
          <w:lang w:val="fr-FR"/>
        </w:rPr>
        <w:t xml:space="preserve"> </w:t>
      </w:r>
      <w:r w:rsidRPr="00F85731">
        <w:rPr>
          <w:bCs/>
          <w:lang w:val="fr-FR"/>
        </w:rPr>
        <w:t>(Bruit émis par les motocycles)</w:t>
      </w:r>
    </w:p>
    <w:p w:rsidR="009135B3" w:rsidRPr="00F85731" w:rsidRDefault="009135B3" w:rsidP="009135B3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F85731">
        <w:rPr>
          <w:lang w:val="fr-FR"/>
        </w:rPr>
        <w:t xml:space="preserve">Communication </w:t>
      </w:r>
      <w:r>
        <w:rPr>
          <w:lang w:val="fr-FR"/>
        </w:rPr>
        <w:t>du Groupe de travail du bruit et des pneumatiques</w:t>
      </w:r>
      <w:r w:rsidRPr="0086044C">
        <w:rPr>
          <w:rStyle w:val="Appelnotedebasdep"/>
          <w:b w:val="0"/>
          <w:bCs/>
          <w:sz w:val="20"/>
          <w:vertAlign w:val="baseline"/>
          <w:lang w:val="fr-FR"/>
        </w:rPr>
        <w:footnoteReference w:customMarkFollows="1" w:id="2"/>
        <w:t>*</w:t>
      </w:r>
    </w:p>
    <w:p w:rsidR="009135B3" w:rsidRPr="00F85731" w:rsidRDefault="009135B3" w:rsidP="009135B3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6B72FC">
        <w:rPr>
          <w:lang w:val="fr-FR"/>
        </w:rPr>
        <w:t>Le texte ci-après</w:t>
      </w:r>
      <w:r>
        <w:rPr>
          <w:lang w:val="fr-FR"/>
        </w:rPr>
        <w:t>,</w:t>
      </w:r>
      <w:r w:rsidRPr="006B72FC">
        <w:rPr>
          <w:lang w:val="fr-FR"/>
        </w:rPr>
        <w:t xml:space="preserve"> adopté par le Groupe de travail du bruit et des pneumatiques (GRBP) à sa soixante-douzième session (ECE/TRANS/WP.29/GRBP/70, par. 5)</w:t>
      </w:r>
      <w:r>
        <w:rPr>
          <w:lang w:val="fr-FR"/>
        </w:rPr>
        <w:t xml:space="preserve">, </w:t>
      </w:r>
      <w:r w:rsidRPr="006B72FC">
        <w:rPr>
          <w:lang w:val="fr-FR"/>
        </w:rPr>
        <w:t>a été établi sur la base du document ECE/TRANS/WP.29/GRBP/2020/18. Il est soumis au Forum mondial de l</w:t>
      </w:r>
      <w:r>
        <w:rPr>
          <w:lang w:val="fr-FR"/>
        </w:rPr>
        <w:t>’</w:t>
      </w:r>
      <w:r w:rsidRPr="006B72FC">
        <w:rPr>
          <w:lang w:val="fr-FR"/>
        </w:rPr>
        <w:t>harmonisation des Règlements concernant les véhicules (WP.29) et au Comité d</w:t>
      </w:r>
      <w:r>
        <w:rPr>
          <w:lang w:val="fr-FR"/>
        </w:rPr>
        <w:t>’</w:t>
      </w:r>
      <w:r w:rsidRPr="006B72FC">
        <w:rPr>
          <w:lang w:val="fr-FR"/>
        </w:rPr>
        <w:t>administration (AC.1) pour examen à leurs sessions de mars 2021</w:t>
      </w:r>
      <w:r w:rsidRPr="00F85731">
        <w:rPr>
          <w:lang w:val="fr-FR"/>
        </w:rPr>
        <w:t>.</w:t>
      </w:r>
    </w:p>
    <w:p w:rsidR="009135B3" w:rsidRPr="00F85731" w:rsidRDefault="009135B3" w:rsidP="009135B3">
      <w:pPr>
        <w:pStyle w:val="HChG"/>
        <w:rPr>
          <w:lang w:val="fr-FR"/>
        </w:rPr>
      </w:pPr>
      <w:r w:rsidRPr="00F85731">
        <w:rPr>
          <w:lang w:val="fr-FR"/>
        </w:rPr>
        <w:br w:type="page"/>
      </w:r>
    </w:p>
    <w:p w:rsidR="009135B3" w:rsidRPr="00F85731" w:rsidRDefault="009135B3" w:rsidP="009135B3">
      <w:pPr>
        <w:pStyle w:val="SingleTxtG"/>
        <w:ind w:left="2268" w:right="1133" w:hanging="1134"/>
        <w:rPr>
          <w:i/>
          <w:color w:val="000000"/>
          <w:lang w:val="fr-FR"/>
        </w:rPr>
      </w:pPr>
      <w:r w:rsidRPr="00F85731">
        <w:rPr>
          <w:i/>
          <w:iCs/>
          <w:lang w:val="fr-FR"/>
        </w:rPr>
        <w:lastRenderedPageBreak/>
        <w:t>Table des matières, Annexes</w:t>
      </w:r>
      <w:r>
        <w:rPr>
          <w:i/>
          <w:iCs/>
          <w:lang w:val="fr-FR"/>
        </w:rPr>
        <w:t>, 4</w:t>
      </w:r>
      <w:r w:rsidRPr="00F85731">
        <w:rPr>
          <w:lang w:val="fr-FR"/>
        </w:rPr>
        <w:t>, lire</w:t>
      </w:r>
      <w:r>
        <w:rPr>
          <w:lang w:val="fr-FR"/>
        </w:rPr>
        <w:t> </w:t>
      </w:r>
      <w:r w:rsidRPr="00F85731">
        <w:rPr>
          <w:lang w:val="fr-FR"/>
        </w:rPr>
        <w:t>:</w:t>
      </w:r>
    </w:p>
    <w:p w:rsidR="009135B3" w:rsidRPr="00F85731" w:rsidRDefault="009135B3" w:rsidP="009135B3">
      <w:pPr>
        <w:pStyle w:val="SingleTxtG"/>
        <w:ind w:left="2268" w:hanging="1134"/>
        <w:rPr>
          <w:b/>
          <w:color w:val="000000" w:themeColor="text1"/>
          <w:lang w:val="fr-FR"/>
        </w:rPr>
      </w:pPr>
      <w:r>
        <w:rPr>
          <w:lang w:val="fr-FR"/>
        </w:rPr>
        <w:t>« </w:t>
      </w:r>
      <w:r w:rsidRPr="00F85731">
        <w:rPr>
          <w:lang w:val="fr-FR"/>
        </w:rPr>
        <w:t>4</w:t>
      </w:r>
      <w:r w:rsidRPr="00F85731">
        <w:rPr>
          <w:lang w:val="fr-FR"/>
        </w:rPr>
        <w:tab/>
      </w:r>
      <w:r w:rsidRPr="00C251BD">
        <w:rPr>
          <w:lang w:val="fr-FR"/>
        </w:rPr>
        <w:t>Caractéristiques de la piste d</w:t>
      </w:r>
      <w:r>
        <w:rPr>
          <w:lang w:val="fr-FR"/>
        </w:rPr>
        <w:t>’</w:t>
      </w:r>
      <w:r w:rsidRPr="00C251BD">
        <w:rPr>
          <w:lang w:val="fr-FR"/>
        </w:rPr>
        <w:t>essai »</w:t>
      </w:r>
    </w:p>
    <w:p w:rsidR="009135B3" w:rsidRPr="00F85731" w:rsidRDefault="009135B3" w:rsidP="009135B3">
      <w:pPr>
        <w:pStyle w:val="SingleTxtG"/>
        <w:ind w:left="2268" w:right="1133" w:hanging="1134"/>
        <w:rPr>
          <w:rFonts w:eastAsia="Yu Mincho"/>
          <w:iCs/>
          <w:color w:val="000000"/>
          <w:lang w:val="fr-FR"/>
        </w:rPr>
      </w:pPr>
      <w:r w:rsidRPr="00F85731">
        <w:rPr>
          <w:i/>
          <w:iCs/>
          <w:lang w:val="fr-FR"/>
        </w:rPr>
        <w:t>Paragraphe 12.3</w:t>
      </w:r>
      <w:r w:rsidRPr="00F85731">
        <w:rPr>
          <w:lang w:val="fr-FR"/>
        </w:rPr>
        <w:t>, lire</w:t>
      </w:r>
      <w:r>
        <w:rPr>
          <w:lang w:val="fr-FR"/>
        </w:rPr>
        <w:t> </w:t>
      </w:r>
      <w:r w:rsidRPr="00F85731">
        <w:rPr>
          <w:lang w:val="fr-FR"/>
        </w:rPr>
        <w:t>:</w:t>
      </w:r>
    </w:p>
    <w:p w:rsidR="009135B3" w:rsidRDefault="009135B3" w:rsidP="009135B3">
      <w:pPr>
        <w:pStyle w:val="SingleTxtG"/>
        <w:ind w:left="2268" w:right="1133" w:hanging="1134"/>
        <w:rPr>
          <w:lang w:val="fr-FR"/>
        </w:rPr>
      </w:pPr>
      <w:r>
        <w:rPr>
          <w:lang w:val="fr-FR"/>
        </w:rPr>
        <w:t>« </w:t>
      </w:r>
      <w:r w:rsidRPr="00F85731">
        <w:rPr>
          <w:lang w:val="fr-FR"/>
        </w:rPr>
        <w:t>12.3</w:t>
      </w:r>
      <w:r w:rsidRPr="00F85731">
        <w:rPr>
          <w:lang w:val="fr-FR"/>
        </w:rPr>
        <w:tab/>
        <w:t>Les Parties contractantes appliquant le présent Règlement</w:t>
      </w:r>
      <w:r w:rsidRPr="00096DE1">
        <w:rPr>
          <w:lang w:val="fr-FR"/>
        </w:rPr>
        <w:t xml:space="preserve"> pourront accorder des homologations de type en vertu de l</w:t>
      </w:r>
      <w:r>
        <w:rPr>
          <w:lang w:val="fr-FR"/>
        </w:rPr>
        <w:t>’</w:t>
      </w:r>
      <w:r w:rsidRPr="00096DE1">
        <w:rPr>
          <w:lang w:val="fr-FR"/>
        </w:rPr>
        <w:t>une quelconque des précédentes séries d</w:t>
      </w:r>
      <w:r>
        <w:rPr>
          <w:lang w:val="fr-FR"/>
        </w:rPr>
        <w:t>’</w:t>
      </w:r>
      <w:r w:rsidRPr="00096DE1">
        <w:rPr>
          <w:lang w:val="fr-FR"/>
        </w:rPr>
        <w:t>amendements audit Règlement</w:t>
      </w:r>
      <w:r>
        <w:rPr>
          <w:rStyle w:val="Appelnotedebasdep"/>
        </w:rPr>
        <w:footnoteReference w:id="3"/>
      </w:r>
      <w:r w:rsidRPr="00096DE1">
        <w:rPr>
          <w:lang w:val="fr-FR"/>
        </w:rPr>
        <w:t>. Cependant, les caractéristiques de la piste d</w:t>
      </w:r>
      <w:r>
        <w:rPr>
          <w:lang w:val="fr-FR"/>
        </w:rPr>
        <w:t>’</w:t>
      </w:r>
      <w:r w:rsidRPr="00096DE1">
        <w:rPr>
          <w:lang w:val="fr-FR"/>
        </w:rPr>
        <w:t xml:space="preserve">essai pourront être conformes aux dispositions de </w:t>
      </w:r>
      <w:r w:rsidRPr="00F85731">
        <w:rPr>
          <w:lang w:val="fr-FR"/>
        </w:rPr>
        <w:t>la norme ISO</w:t>
      </w:r>
      <w:r>
        <w:rPr>
          <w:lang w:val="fr-FR"/>
        </w:rPr>
        <w:t> </w:t>
      </w:r>
      <w:r w:rsidRPr="00F85731">
        <w:rPr>
          <w:lang w:val="fr-FR"/>
        </w:rPr>
        <w:t>10844:2014.</w:t>
      </w:r>
      <w:r>
        <w:rPr>
          <w:lang w:val="fr-FR"/>
        </w:rPr>
        <w:t> ».</w:t>
      </w:r>
    </w:p>
    <w:p w:rsidR="009135B3" w:rsidRPr="00CC77E9" w:rsidRDefault="009135B3" w:rsidP="009135B3">
      <w:pPr>
        <w:pStyle w:val="SingleTxtG"/>
        <w:ind w:left="2268" w:right="1133" w:hanging="1134"/>
        <w:rPr>
          <w:rFonts w:eastAsia="Yu Mincho"/>
          <w:iCs/>
          <w:color w:val="000000"/>
          <w:lang w:val="fr-FR"/>
        </w:rPr>
      </w:pPr>
      <w:r w:rsidRPr="00CC77E9">
        <w:rPr>
          <w:rFonts w:eastAsia="Yu Mincho"/>
          <w:i/>
          <w:color w:val="000000"/>
          <w:lang w:val="fr-FR"/>
        </w:rPr>
        <w:t>Insérer un nouveau paragraphe 12.4</w:t>
      </w:r>
      <w:r w:rsidRPr="00CC77E9">
        <w:rPr>
          <w:rFonts w:eastAsia="Yu Mincho"/>
          <w:iCs/>
          <w:color w:val="000000"/>
          <w:lang w:val="fr-FR"/>
        </w:rPr>
        <w:t>,</w:t>
      </w:r>
      <w:r>
        <w:rPr>
          <w:rFonts w:eastAsia="Yu Mincho"/>
          <w:iCs/>
          <w:color w:val="000000"/>
          <w:lang w:val="fr-FR"/>
        </w:rPr>
        <w:t xml:space="preserve"> libellé</w:t>
      </w:r>
      <w:r w:rsidRPr="00CC77E9">
        <w:rPr>
          <w:rFonts w:eastAsia="Yu Mincho"/>
          <w:iCs/>
          <w:color w:val="000000"/>
          <w:lang w:val="fr-FR"/>
        </w:rPr>
        <w:t xml:space="preserve"> comme suit</w:t>
      </w:r>
      <w:r>
        <w:rPr>
          <w:rFonts w:eastAsia="Yu Mincho"/>
          <w:iCs/>
          <w:color w:val="000000"/>
          <w:lang w:val="fr-FR"/>
        </w:rPr>
        <w:t> </w:t>
      </w:r>
      <w:r w:rsidRPr="00CC77E9">
        <w:rPr>
          <w:rFonts w:eastAsia="Yu Mincho"/>
          <w:iCs/>
          <w:color w:val="000000"/>
          <w:lang w:val="fr-FR"/>
        </w:rPr>
        <w:t>:</w:t>
      </w:r>
    </w:p>
    <w:p w:rsidR="009135B3" w:rsidRPr="00CC77E9" w:rsidRDefault="009135B3" w:rsidP="009135B3">
      <w:pPr>
        <w:pStyle w:val="SingleTxtG"/>
        <w:ind w:left="2268" w:right="1133" w:hanging="1134"/>
        <w:rPr>
          <w:rFonts w:eastAsia="Yu Mincho"/>
          <w:iCs/>
          <w:color w:val="000000"/>
          <w:lang w:val="fr-FR"/>
        </w:rPr>
      </w:pPr>
      <w:r>
        <w:rPr>
          <w:rFonts w:eastAsia="Yu Mincho"/>
          <w:iCs/>
          <w:color w:val="000000"/>
          <w:lang w:val="fr-FR"/>
        </w:rPr>
        <w:t>« </w:t>
      </w:r>
      <w:r w:rsidRPr="00CC77E9">
        <w:rPr>
          <w:rFonts w:eastAsia="Yu Mincho"/>
          <w:iCs/>
          <w:color w:val="000000"/>
          <w:lang w:val="fr-FR"/>
        </w:rPr>
        <w:t>12.4</w:t>
      </w:r>
      <w:r w:rsidRPr="00CC77E9">
        <w:rPr>
          <w:rFonts w:eastAsia="Yu Mincho"/>
          <w:iCs/>
          <w:color w:val="000000"/>
          <w:lang w:val="fr-FR"/>
        </w:rPr>
        <w:tab/>
        <w:t>Les Parties contractantes appliquant le présent Règlement d</w:t>
      </w:r>
      <w:r>
        <w:rPr>
          <w:rFonts w:eastAsia="Yu Mincho"/>
          <w:iCs/>
          <w:color w:val="000000"/>
          <w:lang w:val="fr-FR"/>
        </w:rPr>
        <w:t>evro</w:t>
      </w:r>
      <w:r w:rsidRPr="00CC77E9">
        <w:rPr>
          <w:rFonts w:eastAsia="Yu Mincho"/>
          <w:iCs/>
          <w:color w:val="000000"/>
          <w:lang w:val="fr-FR"/>
        </w:rPr>
        <w:t>nt continuer à accorder des extensions aux homologations octroyées en application de toute série précédente d</w:t>
      </w:r>
      <w:r>
        <w:rPr>
          <w:rFonts w:eastAsia="Yu Mincho"/>
          <w:iCs/>
          <w:color w:val="000000"/>
          <w:lang w:val="fr-FR"/>
        </w:rPr>
        <w:t>’</w:t>
      </w:r>
      <w:r w:rsidRPr="00CC77E9">
        <w:rPr>
          <w:rFonts w:eastAsia="Yu Mincho"/>
          <w:iCs/>
          <w:color w:val="000000"/>
          <w:lang w:val="fr-FR"/>
        </w:rPr>
        <w:t>amendements au présent Règlement</w:t>
      </w:r>
      <w:r w:rsidRPr="009135B3">
        <w:rPr>
          <w:rFonts w:eastAsia="Yu Mincho"/>
          <w:iCs/>
          <w:color w:val="000000"/>
          <w:sz w:val="18"/>
          <w:szCs w:val="18"/>
          <w:vertAlign w:val="superscript"/>
          <w:lang w:val="fr-FR"/>
        </w:rPr>
        <w:t>1</w:t>
      </w:r>
      <w:r w:rsidRPr="00CC77E9">
        <w:rPr>
          <w:rFonts w:eastAsia="Yu Mincho"/>
          <w:iCs/>
          <w:color w:val="000000"/>
          <w:lang w:val="fr-FR"/>
        </w:rPr>
        <w:t xml:space="preserve">. Cependant, </w:t>
      </w:r>
      <w:r w:rsidRPr="00CC0337">
        <w:rPr>
          <w:rFonts w:eastAsia="Yu Mincho"/>
          <w:iCs/>
          <w:color w:val="000000"/>
          <w:lang w:val="fr-FR"/>
        </w:rPr>
        <w:t>les caractéristiques de la piste d</w:t>
      </w:r>
      <w:r>
        <w:rPr>
          <w:rFonts w:eastAsia="Yu Mincho"/>
          <w:iCs/>
          <w:color w:val="000000"/>
          <w:lang w:val="fr-FR"/>
        </w:rPr>
        <w:t>’</w:t>
      </w:r>
      <w:r w:rsidRPr="00CC0337">
        <w:rPr>
          <w:rFonts w:eastAsia="Yu Mincho"/>
          <w:iCs/>
          <w:color w:val="000000"/>
          <w:lang w:val="fr-FR"/>
        </w:rPr>
        <w:t xml:space="preserve">essai pourront être conformes aux dispositions de </w:t>
      </w:r>
      <w:r w:rsidRPr="00CC77E9">
        <w:rPr>
          <w:rFonts w:eastAsia="Yu Mincho"/>
          <w:iCs/>
          <w:color w:val="000000"/>
          <w:lang w:val="fr-FR"/>
        </w:rPr>
        <w:t>la norme ISO</w:t>
      </w:r>
      <w:r>
        <w:rPr>
          <w:rFonts w:eastAsia="Yu Mincho"/>
          <w:iCs/>
          <w:color w:val="000000"/>
          <w:lang w:val="fr-FR"/>
        </w:rPr>
        <w:t> </w:t>
      </w:r>
      <w:r w:rsidRPr="00CC77E9">
        <w:rPr>
          <w:rFonts w:eastAsia="Yu Mincho"/>
          <w:iCs/>
          <w:color w:val="000000"/>
          <w:lang w:val="fr-FR"/>
        </w:rPr>
        <w:t>10844:2014.</w:t>
      </w:r>
      <w:r>
        <w:rPr>
          <w:rFonts w:eastAsia="Yu Mincho"/>
          <w:iCs/>
          <w:color w:val="000000"/>
          <w:lang w:val="fr-FR"/>
        </w:rPr>
        <w:t> »</w:t>
      </w:r>
      <w:r w:rsidRPr="00CC77E9">
        <w:rPr>
          <w:rFonts w:eastAsia="Yu Mincho"/>
          <w:iCs/>
          <w:color w:val="000000"/>
          <w:lang w:val="fr-FR"/>
        </w:rPr>
        <w:t>.</w:t>
      </w:r>
    </w:p>
    <w:p w:rsidR="009135B3" w:rsidRPr="00CC77E9" w:rsidRDefault="009135B3" w:rsidP="009135B3">
      <w:pPr>
        <w:pStyle w:val="SingleTxtG"/>
        <w:ind w:left="2268" w:right="1133" w:hanging="1134"/>
        <w:rPr>
          <w:rFonts w:eastAsia="Yu Mincho"/>
          <w:i/>
          <w:color w:val="000000"/>
          <w:lang w:val="fr-FR"/>
        </w:rPr>
      </w:pPr>
      <w:r w:rsidRPr="00CC77E9">
        <w:rPr>
          <w:rFonts w:eastAsia="Yu Mincho"/>
          <w:i/>
          <w:color w:val="000000"/>
          <w:lang w:val="fr-FR"/>
        </w:rPr>
        <w:t xml:space="preserve">Les paragraphes 12.4 à 12.9 </w:t>
      </w:r>
      <w:r w:rsidRPr="007F0EE1">
        <w:rPr>
          <w:rFonts w:eastAsia="Yu Mincho"/>
          <w:iCs/>
          <w:color w:val="000000"/>
          <w:lang w:val="fr-FR"/>
        </w:rPr>
        <w:t>deviennent les paragraphes 12.5 à 12.10</w:t>
      </w:r>
      <w:r>
        <w:rPr>
          <w:rFonts w:eastAsia="Yu Mincho"/>
          <w:iCs/>
          <w:color w:val="000000"/>
          <w:lang w:val="fr-FR"/>
        </w:rPr>
        <w:t>.</w:t>
      </w:r>
      <w:r w:rsidRPr="007F0EE1">
        <w:rPr>
          <w:rFonts w:eastAsia="Yu Mincho"/>
          <w:i/>
          <w:color w:val="000000"/>
          <w:lang w:val="fr-FR"/>
        </w:rPr>
        <w:t xml:space="preserve"> </w:t>
      </w:r>
    </w:p>
    <w:p w:rsidR="009135B3" w:rsidRPr="00F85731" w:rsidRDefault="009135B3" w:rsidP="009135B3">
      <w:pPr>
        <w:pStyle w:val="SingleTxtG"/>
        <w:ind w:left="2268" w:right="1133" w:hanging="1134"/>
        <w:rPr>
          <w:i/>
          <w:color w:val="000000"/>
          <w:lang w:val="fr-FR"/>
        </w:rPr>
      </w:pPr>
      <w:r w:rsidRPr="00F85731">
        <w:rPr>
          <w:i/>
          <w:iCs/>
          <w:lang w:val="fr-FR"/>
        </w:rPr>
        <w:t>Annexe 3</w:t>
      </w:r>
      <w:r w:rsidRPr="00F85731">
        <w:rPr>
          <w:lang w:val="fr-FR"/>
        </w:rPr>
        <w:t xml:space="preserve">, </w:t>
      </w:r>
    </w:p>
    <w:p w:rsidR="009135B3" w:rsidRPr="00F85731" w:rsidRDefault="009135B3" w:rsidP="009135B3">
      <w:pPr>
        <w:pStyle w:val="SingleTxtG"/>
        <w:ind w:left="2268" w:right="1133" w:hanging="1134"/>
        <w:rPr>
          <w:rFonts w:eastAsia="Yu Mincho"/>
          <w:iCs/>
          <w:color w:val="000000"/>
          <w:lang w:val="fr-FR"/>
        </w:rPr>
      </w:pPr>
      <w:r w:rsidRPr="00F85731">
        <w:rPr>
          <w:i/>
          <w:iCs/>
          <w:lang w:val="fr-FR"/>
        </w:rPr>
        <w:t>Paragraphe 1.2.1</w:t>
      </w:r>
      <w:r w:rsidRPr="00F85731">
        <w:rPr>
          <w:lang w:val="fr-FR"/>
        </w:rPr>
        <w:t xml:space="preserve">, </w:t>
      </w:r>
      <w:r>
        <w:rPr>
          <w:lang w:val="fr-FR"/>
        </w:rPr>
        <w:t>troisième alinéa, supprimer « </w:t>
      </w:r>
      <w:r w:rsidRPr="00C5463F">
        <w:t>aux prescriptions de l</w:t>
      </w:r>
      <w:r>
        <w:t>’</w:t>
      </w:r>
      <w:r w:rsidRPr="00C5463F">
        <w:t>annexe 4</w:t>
      </w:r>
      <w:r>
        <w:t xml:space="preserve"> ou ».</w:t>
      </w:r>
    </w:p>
    <w:p w:rsidR="009135B3" w:rsidRPr="00F85731" w:rsidRDefault="009135B3" w:rsidP="009135B3">
      <w:pPr>
        <w:pStyle w:val="SingleTxtG"/>
        <w:ind w:left="2268" w:right="1133" w:hanging="1134"/>
        <w:rPr>
          <w:i/>
          <w:color w:val="000000"/>
          <w:lang w:val="fr-FR"/>
        </w:rPr>
      </w:pPr>
      <w:r w:rsidRPr="00F85731">
        <w:rPr>
          <w:i/>
          <w:iCs/>
          <w:lang w:val="fr-FR"/>
        </w:rPr>
        <w:t>Annexe 4,</w:t>
      </w:r>
    </w:p>
    <w:p w:rsidR="009135B3" w:rsidRPr="00F85731" w:rsidRDefault="009135B3" w:rsidP="009135B3">
      <w:pPr>
        <w:pStyle w:val="SingleTxtG"/>
        <w:ind w:left="2268" w:right="1133" w:hanging="1134"/>
        <w:rPr>
          <w:i/>
          <w:color w:val="000000"/>
          <w:lang w:val="fr-FR"/>
        </w:rPr>
      </w:pPr>
      <w:r w:rsidRPr="00F85731">
        <w:rPr>
          <w:i/>
          <w:iCs/>
          <w:lang w:val="fr-FR"/>
        </w:rPr>
        <w:t>Titre</w:t>
      </w:r>
      <w:r w:rsidRPr="00F85731">
        <w:rPr>
          <w:lang w:val="fr-FR"/>
        </w:rPr>
        <w:t>,</w:t>
      </w:r>
      <w:r>
        <w:rPr>
          <w:lang w:val="fr-FR"/>
        </w:rPr>
        <w:t xml:space="preserve"> supprimer </w:t>
      </w:r>
      <w:r w:rsidRPr="00CC0337">
        <w:rPr>
          <w:i/>
          <w:iCs/>
          <w:lang w:val="fr-FR"/>
        </w:rPr>
        <w:t>la</w:t>
      </w:r>
      <w:r>
        <w:rPr>
          <w:lang w:val="fr-FR"/>
        </w:rPr>
        <w:t xml:space="preserve"> </w:t>
      </w:r>
      <w:r w:rsidRPr="00CC0337">
        <w:rPr>
          <w:i/>
          <w:iCs/>
          <w:lang w:val="fr-FR"/>
        </w:rPr>
        <w:t xml:space="preserve">note de bas de page 1 </w:t>
      </w:r>
      <w:r>
        <w:rPr>
          <w:lang w:val="fr-FR"/>
        </w:rPr>
        <w:t>et modifier comme suit </w:t>
      </w:r>
      <w:r w:rsidRPr="00F85731">
        <w:rPr>
          <w:lang w:val="fr-FR"/>
        </w:rPr>
        <w:t>:</w:t>
      </w:r>
    </w:p>
    <w:p w:rsidR="009135B3" w:rsidRPr="007F0EE1" w:rsidRDefault="009135B3" w:rsidP="009135B3">
      <w:pPr>
        <w:pStyle w:val="SingleTxtG"/>
        <w:ind w:left="2268" w:right="1133" w:hanging="1134"/>
        <w:rPr>
          <w:lang w:val="fr-FR"/>
        </w:rPr>
      </w:pPr>
      <w:r w:rsidRPr="007F0EE1">
        <w:rPr>
          <w:lang w:val="fr-FR"/>
        </w:rPr>
        <w:t>« Caractéristiques de la piste d</w:t>
      </w:r>
      <w:r>
        <w:rPr>
          <w:lang w:val="fr-FR"/>
        </w:rPr>
        <w:t>’</w:t>
      </w:r>
      <w:r w:rsidRPr="007F0EE1">
        <w:rPr>
          <w:lang w:val="fr-FR"/>
        </w:rPr>
        <w:t>essai »</w:t>
      </w:r>
    </w:p>
    <w:p w:rsidR="009135B3" w:rsidRPr="00F85731" w:rsidRDefault="009135B3" w:rsidP="009135B3">
      <w:pPr>
        <w:keepLines/>
        <w:spacing w:after="120"/>
        <w:ind w:left="1134" w:right="1133"/>
        <w:outlineLvl w:val="0"/>
        <w:rPr>
          <w:rFonts w:eastAsia="Times New Roman"/>
        </w:rPr>
      </w:pPr>
      <w:r w:rsidRPr="00F85731">
        <w:rPr>
          <w:i/>
          <w:iCs/>
          <w:lang w:val="fr-FR"/>
        </w:rPr>
        <w:t>Paragraphe</w:t>
      </w:r>
      <w:r>
        <w:rPr>
          <w:i/>
          <w:iCs/>
          <w:lang w:val="fr-FR"/>
        </w:rPr>
        <w:t>s</w:t>
      </w:r>
      <w:r w:rsidRPr="00F85731">
        <w:rPr>
          <w:i/>
          <w:iCs/>
          <w:lang w:val="fr-FR"/>
        </w:rPr>
        <w:t xml:space="preserve"> 1</w:t>
      </w:r>
      <w:r>
        <w:rPr>
          <w:i/>
          <w:iCs/>
          <w:lang w:val="fr-FR"/>
        </w:rPr>
        <w:t xml:space="preserve"> (y compris </w:t>
      </w:r>
      <w:r w:rsidRPr="00F85731">
        <w:rPr>
          <w:i/>
          <w:iCs/>
          <w:lang w:val="fr-FR"/>
        </w:rPr>
        <w:t>note de bas de page 2</w:t>
      </w:r>
      <w:r>
        <w:rPr>
          <w:i/>
          <w:iCs/>
          <w:lang w:val="fr-FR"/>
        </w:rPr>
        <w:t>), 2 et 2.1 à 2.5</w:t>
      </w:r>
      <w:r w:rsidRPr="00F85731">
        <w:rPr>
          <w:lang w:val="fr-FR"/>
        </w:rPr>
        <w:t>, supprimer.</w:t>
      </w:r>
    </w:p>
    <w:p w:rsidR="009135B3" w:rsidRPr="00F85731" w:rsidRDefault="009135B3" w:rsidP="009135B3">
      <w:pPr>
        <w:keepLines/>
        <w:spacing w:after="120"/>
        <w:ind w:left="1134" w:right="1133"/>
        <w:outlineLvl w:val="0"/>
        <w:rPr>
          <w:rFonts w:eastAsia="Times New Roman"/>
        </w:rPr>
      </w:pPr>
      <w:r w:rsidRPr="00F85731">
        <w:rPr>
          <w:i/>
          <w:iCs/>
          <w:lang w:val="fr-FR"/>
        </w:rPr>
        <w:t>Paragraphe 2.2, note de bas de page 3</w:t>
      </w:r>
      <w:r w:rsidRPr="00F85731">
        <w:rPr>
          <w:lang w:val="fr-FR"/>
        </w:rPr>
        <w:t>, supprimer.</w:t>
      </w:r>
    </w:p>
    <w:p w:rsidR="009135B3" w:rsidRPr="00F85731" w:rsidRDefault="009135B3" w:rsidP="009135B3">
      <w:pPr>
        <w:keepLines/>
        <w:spacing w:after="120"/>
        <w:ind w:left="1134" w:right="1133"/>
        <w:outlineLvl w:val="0"/>
        <w:rPr>
          <w:rFonts w:eastAsia="Times New Roman"/>
        </w:rPr>
      </w:pPr>
      <w:r w:rsidRPr="00F85731">
        <w:rPr>
          <w:i/>
          <w:iCs/>
          <w:lang w:val="fr-FR"/>
        </w:rPr>
        <w:t>Paragraphes 3, 3.1, 3.2, 3.2.1, 3.2.1.1 à 3.2.1.4 et 3.2.2</w:t>
      </w:r>
      <w:r w:rsidRPr="00F85731">
        <w:rPr>
          <w:lang w:val="fr-FR"/>
        </w:rPr>
        <w:t xml:space="preserve">, supprimer. </w:t>
      </w:r>
    </w:p>
    <w:p w:rsidR="009135B3" w:rsidRPr="00F85731" w:rsidRDefault="009135B3" w:rsidP="009135B3">
      <w:pPr>
        <w:keepNext/>
        <w:keepLines/>
        <w:spacing w:after="100"/>
        <w:ind w:left="1134" w:right="1133"/>
        <w:outlineLvl w:val="0"/>
        <w:rPr>
          <w:rFonts w:eastAsia="Times New Roman"/>
        </w:rPr>
      </w:pPr>
      <w:r w:rsidRPr="00F85731">
        <w:rPr>
          <w:i/>
          <w:iCs/>
          <w:lang w:val="fr-FR"/>
        </w:rPr>
        <w:t>Figure 1</w:t>
      </w:r>
      <w:r w:rsidRPr="00F85731">
        <w:rPr>
          <w:lang w:val="fr-FR"/>
        </w:rPr>
        <w:t>, lire</w:t>
      </w:r>
      <w:r>
        <w:rPr>
          <w:lang w:val="fr-FR"/>
        </w:rPr>
        <w:t> </w:t>
      </w:r>
      <w:r w:rsidRPr="00F85731">
        <w:rPr>
          <w:lang w:val="fr-FR"/>
        </w:rPr>
        <w:t>:</w:t>
      </w:r>
    </w:p>
    <w:p w:rsidR="009135B3" w:rsidRPr="00F85731" w:rsidRDefault="009135B3" w:rsidP="009135B3">
      <w:pPr>
        <w:pStyle w:val="Titre1"/>
        <w:spacing w:after="100"/>
        <w:rPr>
          <w:b/>
          <w:color w:val="000000" w:themeColor="text1"/>
          <w:lang w:val="fr-FR"/>
        </w:rPr>
      </w:pPr>
      <w:r>
        <w:rPr>
          <w:lang w:val="fr-FR"/>
        </w:rPr>
        <w:t>« </w:t>
      </w:r>
      <w:r w:rsidRPr="00F85731">
        <w:rPr>
          <w:lang w:val="fr-FR"/>
        </w:rPr>
        <w:t>Figure 1</w:t>
      </w:r>
      <w:r>
        <w:rPr>
          <w:lang w:val="fr-FR"/>
        </w:rPr>
        <w:br/>
      </w:r>
      <w:r w:rsidRPr="00F85731">
        <w:rPr>
          <w:b/>
          <w:bCs/>
          <w:lang w:val="fr-FR"/>
        </w:rPr>
        <w:t>Caractéristiques de la piste d</w:t>
      </w:r>
      <w:r>
        <w:rPr>
          <w:b/>
          <w:bCs/>
          <w:lang w:val="fr-FR"/>
        </w:rPr>
        <w:t>’</w:t>
      </w:r>
      <w:r w:rsidRPr="00F85731">
        <w:rPr>
          <w:b/>
          <w:bCs/>
          <w:lang w:val="fr-FR"/>
        </w:rPr>
        <w:t>essai (dimensions en mètres)</w:t>
      </w:r>
    </w:p>
    <w:p w:rsidR="009135B3" w:rsidRPr="00F85731" w:rsidRDefault="009135B3" w:rsidP="009135B3">
      <w:pPr>
        <w:ind w:left="1134"/>
        <w:rPr>
          <w:lang w:val="en-GB"/>
        </w:rPr>
      </w:pPr>
      <w:r w:rsidRPr="00F85731">
        <w:rPr>
          <w:noProof/>
          <w:lang w:val="en-GB"/>
        </w:rPr>
        <w:drawing>
          <wp:inline distT="0" distB="0" distL="0" distR="0" wp14:anchorId="1FA20316" wp14:editId="255D2C6D">
            <wp:extent cx="5332670" cy="3032582"/>
            <wp:effectExtent l="19050" t="19050" r="20955" b="15875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4141" b="14264"/>
                    <a:stretch/>
                  </pic:blipFill>
                  <pic:spPr bwMode="auto">
                    <a:xfrm>
                      <a:off x="0" y="0"/>
                      <a:ext cx="5350421" cy="3042677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35B3" w:rsidRPr="00F85731" w:rsidRDefault="009135B3" w:rsidP="009135B3">
      <w:pPr>
        <w:keepNext/>
        <w:keepLines/>
        <w:spacing w:before="120" w:after="120" w:line="240" w:lineRule="auto"/>
        <w:ind w:left="1134" w:right="851"/>
        <w:outlineLvl w:val="0"/>
        <w:rPr>
          <w:rFonts w:eastAsia="Times New Roman"/>
        </w:rPr>
      </w:pPr>
      <w:r w:rsidRPr="00F85731">
        <w:rPr>
          <w:lang w:val="fr-FR"/>
        </w:rPr>
        <w:lastRenderedPageBreak/>
        <w:t>Légende</w:t>
      </w:r>
    </w:p>
    <w:tbl>
      <w:tblPr>
        <w:tblStyle w:val="Grilledutableau"/>
        <w:tblW w:w="8505" w:type="dxa"/>
        <w:tblInd w:w="1134" w:type="dxa"/>
        <w:tblLayout w:type="fixed"/>
        <w:tblLook w:val="04A0" w:firstRow="1" w:lastRow="0" w:firstColumn="1" w:lastColumn="0" w:noHBand="0" w:noVBand="1"/>
      </w:tblPr>
      <w:tblGrid>
        <w:gridCol w:w="1169"/>
        <w:gridCol w:w="7336"/>
      </w:tblGrid>
      <w:tr w:rsidR="009135B3" w:rsidRPr="00F85731" w:rsidTr="004F66B6">
        <w:trPr>
          <w:trHeight w:val="567"/>
        </w:trPr>
        <w:tc>
          <w:tcPr>
            <w:tcW w:w="1129" w:type="dxa"/>
            <w:vAlign w:val="center"/>
          </w:tcPr>
          <w:p w:rsidR="009135B3" w:rsidRPr="00F85731" w:rsidRDefault="009135B3" w:rsidP="004F66B6">
            <w:pPr>
              <w:keepNext/>
              <w:keepLines/>
              <w:spacing w:before="40" w:after="40"/>
              <w:jc w:val="center"/>
              <w:outlineLvl w:val="0"/>
              <w:rPr>
                <w:rFonts w:eastAsia="Times New Roman"/>
                <w:lang w:val="en-GB"/>
              </w:rPr>
            </w:pPr>
            <w:r w:rsidRPr="00F85731">
              <w:rPr>
                <w:noProof/>
              </w:rPr>
              <w:drawing>
                <wp:inline distT="0" distB="0" distL="0" distR="0" wp14:anchorId="027E0561" wp14:editId="37A0FB0F">
                  <wp:extent cx="539750" cy="328543"/>
                  <wp:effectExtent l="0" t="0" r="0" b="0"/>
                  <wp:docPr id="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789" cy="334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2" w:type="dxa"/>
            <w:vAlign w:val="center"/>
          </w:tcPr>
          <w:p w:rsidR="009135B3" w:rsidRPr="00F85731" w:rsidRDefault="009135B3" w:rsidP="004F66B6">
            <w:pPr>
              <w:keepNext/>
              <w:keepLines/>
              <w:spacing w:before="40" w:after="40"/>
              <w:ind w:left="57"/>
              <w:outlineLvl w:val="0"/>
              <w:rPr>
                <w:rFonts w:eastAsia="Times New Roman"/>
              </w:rPr>
            </w:pPr>
            <w:r w:rsidRPr="00F85731">
              <w:rPr>
                <w:lang w:val="fr-FR"/>
              </w:rPr>
              <w:t>Surface minimale couverte par la surface de chaussée soumise à l</w:t>
            </w:r>
            <w:r>
              <w:rPr>
                <w:lang w:val="fr-FR"/>
              </w:rPr>
              <w:t>’</w:t>
            </w:r>
            <w:r w:rsidRPr="00F85731">
              <w:rPr>
                <w:lang w:val="fr-FR"/>
              </w:rPr>
              <w:t xml:space="preserve">essai, </w:t>
            </w:r>
            <w:r>
              <w:rPr>
                <w:lang w:val="fr-FR"/>
              </w:rPr>
              <w:t>soit la</w:t>
            </w:r>
            <w:r w:rsidRPr="00F85731">
              <w:rPr>
                <w:lang w:val="fr-FR"/>
              </w:rPr>
              <w:t xml:space="preserve"> </w:t>
            </w:r>
            <w:r>
              <w:rPr>
                <w:lang w:val="fr-FR"/>
              </w:rPr>
              <w:t>« </w:t>
            </w:r>
            <w:r w:rsidRPr="00F85731">
              <w:rPr>
                <w:lang w:val="fr-FR"/>
              </w:rPr>
              <w:t>zone d</w:t>
            </w:r>
            <w:r>
              <w:rPr>
                <w:lang w:val="fr-FR"/>
              </w:rPr>
              <w:t>’</w:t>
            </w:r>
            <w:r w:rsidRPr="00F85731">
              <w:rPr>
                <w:lang w:val="fr-FR"/>
              </w:rPr>
              <w:t>essai</w:t>
            </w:r>
            <w:r>
              <w:rPr>
                <w:lang w:val="fr-FR"/>
              </w:rPr>
              <w:t> »</w:t>
            </w:r>
          </w:p>
        </w:tc>
      </w:tr>
      <w:tr w:rsidR="009135B3" w:rsidRPr="00F85731" w:rsidTr="004F66B6">
        <w:trPr>
          <w:trHeight w:val="663"/>
        </w:trPr>
        <w:tc>
          <w:tcPr>
            <w:tcW w:w="1129" w:type="dxa"/>
            <w:vAlign w:val="center"/>
          </w:tcPr>
          <w:p w:rsidR="009135B3" w:rsidRPr="00F85731" w:rsidRDefault="009135B3" w:rsidP="004F66B6">
            <w:pPr>
              <w:keepNext/>
              <w:keepLines/>
              <w:spacing w:before="40" w:after="40"/>
              <w:outlineLvl w:val="0"/>
              <w:rPr>
                <w:rFonts w:eastAsia="Times New Roman"/>
                <w:lang w:val="fr-FR"/>
              </w:rPr>
            </w:pPr>
            <w:r w:rsidRPr="00F85731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5CC375C" wp14:editId="767484C8">
                  <wp:simplePos x="0" y="0"/>
                  <wp:positionH relativeFrom="column">
                    <wp:posOffset>177165</wp:posOffset>
                  </wp:positionH>
                  <wp:positionV relativeFrom="paragraph">
                    <wp:posOffset>1905</wp:posOffset>
                  </wp:positionV>
                  <wp:extent cx="311785" cy="295910"/>
                  <wp:effectExtent l="0" t="0" r="0" b="889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60" t="63074" r="66006" b="5500"/>
                          <a:stretch/>
                        </pic:blipFill>
                        <pic:spPr bwMode="auto">
                          <a:xfrm>
                            <a:off x="0" y="0"/>
                            <a:ext cx="311785" cy="2959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82" w:type="dxa"/>
            <w:vAlign w:val="center"/>
          </w:tcPr>
          <w:p w:rsidR="009135B3" w:rsidRPr="00F85731" w:rsidRDefault="009135B3" w:rsidP="004F66B6">
            <w:pPr>
              <w:keepNext/>
              <w:keepLines/>
              <w:spacing w:before="40" w:after="40"/>
              <w:ind w:left="57"/>
              <w:outlineLvl w:val="0"/>
              <w:rPr>
                <w:rFonts w:eastAsia="Times New Roman"/>
              </w:rPr>
            </w:pPr>
            <w:r w:rsidRPr="00F85731">
              <w:rPr>
                <w:lang w:val="fr-FR"/>
              </w:rPr>
              <w:t>Emplacements des microphones (hauteur 1,2</w:t>
            </w:r>
            <w:r>
              <w:rPr>
                <w:lang w:val="fr-FR"/>
              </w:rPr>
              <w:t xml:space="preserve"> </w:t>
            </w:r>
            <w:r w:rsidRPr="00F85731">
              <w:rPr>
                <w:lang w:val="fr-FR"/>
              </w:rPr>
              <w:t>m)</w:t>
            </w:r>
          </w:p>
        </w:tc>
      </w:tr>
    </w:tbl>
    <w:p w:rsidR="009135B3" w:rsidRPr="007F0EE1" w:rsidRDefault="009135B3" w:rsidP="009135B3">
      <w:pPr>
        <w:keepNext/>
        <w:keepLines/>
        <w:spacing w:before="120" w:after="100"/>
        <w:ind w:left="1134" w:right="851"/>
        <w:jc w:val="right"/>
        <w:outlineLvl w:val="0"/>
        <w:rPr>
          <w:lang w:val="fr-FR"/>
        </w:rPr>
      </w:pPr>
      <w:r>
        <w:rPr>
          <w:lang w:val="fr-FR"/>
        </w:rPr>
        <w:t>.</w:t>
      </w:r>
      <w:r>
        <w:rPr>
          <w:lang w:val="fr-FR"/>
        </w:rPr>
        <w:t> ».</w:t>
      </w:r>
    </w:p>
    <w:p w:rsidR="009135B3" w:rsidRPr="00F85731" w:rsidRDefault="009135B3" w:rsidP="009135B3">
      <w:pPr>
        <w:keepNext/>
        <w:keepLines/>
        <w:spacing w:before="240" w:after="100"/>
        <w:ind w:left="1134" w:right="851"/>
        <w:outlineLvl w:val="0"/>
        <w:rPr>
          <w:rFonts w:eastAsia="Times New Roman"/>
        </w:rPr>
      </w:pPr>
      <w:r w:rsidRPr="00F85731">
        <w:rPr>
          <w:i/>
          <w:iCs/>
          <w:lang w:val="fr-FR"/>
        </w:rPr>
        <w:t>Figure 2 et tableau 1</w:t>
      </w:r>
      <w:r w:rsidRPr="00F85731">
        <w:rPr>
          <w:lang w:val="fr-FR"/>
        </w:rPr>
        <w:t>, supprimer.</w:t>
      </w:r>
    </w:p>
    <w:p w:rsidR="009135B3" w:rsidRPr="00F85731" w:rsidRDefault="009135B3" w:rsidP="009135B3">
      <w:pPr>
        <w:keepNext/>
        <w:keepLines/>
        <w:spacing w:after="100"/>
        <w:ind w:left="1134" w:right="851"/>
        <w:outlineLvl w:val="0"/>
        <w:rPr>
          <w:rFonts w:eastAsia="Times New Roman"/>
        </w:rPr>
      </w:pPr>
      <w:r w:rsidRPr="00F85731">
        <w:rPr>
          <w:i/>
          <w:iCs/>
          <w:lang w:val="fr-FR"/>
        </w:rPr>
        <w:t>Paragraphes 4, 4.1 à 4.3, 5 et 5.1 à 5.3,</w:t>
      </w:r>
      <w:r w:rsidRPr="00F85731">
        <w:rPr>
          <w:lang w:val="fr-FR"/>
        </w:rPr>
        <w:t xml:space="preserve"> supprimer. </w:t>
      </w:r>
    </w:p>
    <w:p w:rsidR="009135B3" w:rsidRPr="00F85731" w:rsidRDefault="009135B3" w:rsidP="009135B3">
      <w:pPr>
        <w:keepNext/>
        <w:keepLines/>
        <w:spacing w:after="100"/>
        <w:ind w:left="1134" w:right="851"/>
        <w:outlineLvl w:val="0"/>
      </w:pPr>
      <w:r w:rsidRPr="00F85731">
        <w:rPr>
          <w:i/>
          <w:iCs/>
          <w:lang w:val="fr-FR"/>
        </w:rPr>
        <w:t>Paragraphes 6, 6.1, 6.1.1 à 6.1.6, 6.1.6.1 à 6.1.6.7 et 6.2</w:t>
      </w:r>
      <w:r w:rsidRPr="00F85731">
        <w:rPr>
          <w:lang w:val="fr-FR"/>
        </w:rPr>
        <w:t xml:space="preserve">, supprimer. </w:t>
      </w:r>
    </w:p>
    <w:p w:rsidR="00F9573C" w:rsidRPr="009135B3" w:rsidRDefault="009135B3" w:rsidP="009135B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9135B3" w:rsidSect="009135B3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234F" w:rsidRDefault="0098234F" w:rsidP="00F95C08">
      <w:pPr>
        <w:spacing w:line="240" w:lineRule="auto"/>
      </w:pPr>
    </w:p>
  </w:endnote>
  <w:endnote w:type="continuationSeparator" w:id="0">
    <w:p w:rsidR="0098234F" w:rsidRPr="00AC3823" w:rsidRDefault="0098234F" w:rsidP="00AC3823">
      <w:pPr>
        <w:pStyle w:val="Pieddepage"/>
      </w:pPr>
    </w:p>
  </w:endnote>
  <w:endnote w:type="continuationNotice" w:id="1">
    <w:p w:rsidR="0098234F" w:rsidRDefault="0098234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5B3" w:rsidRPr="009135B3" w:rsidRDefault="009135B3" w:rsidP="009135B3">
    <w:pPr>
      <w:pStyle w:val="Pieddepage"/>
      <w:tabs>
        <w:tab w:val="right" w:pos="9638"/>
      </w:tabs>
    </w:pPr>
    <w:r w:rsidRPr="009135B3">
      <w:rPr>
        <w:b/>
        <w:sz w:val="18"/>
      </w:rPr>
      <w:fldChar w:fldCharType="begin"/>
    </w:r>
    <w:r w:rsidRPr="009135B3">
      <w:rPr>
        <w:b/>
        <w:sz w:val="18"/>
      </w:rPr>
      <w:instrText xml:space="preserve"> PAGE  \* MERGEFORMAT </w:instrText>
    </w:r>
    <w:r w:rsidRPr="009135B3">
      <w:rPr>
        <w:b/>
        <w:sz w:val="18"/>
      </w:rPr>
      <w:fldChar w:fldCharType="separate"/>
    </w:r>
    <w:r w:rsidRPr="009135B3">
      <w:rPr>
        <w:b/>
        <w:noProof/>
        <w:sz w:val="18"/>
      </w:rPr>
      <w:t>2</w:t>
    </w:r>
    <w:r w:rsidRPr="009135B3">
      <w:rPr>
        <w:b/>
        <w:sz w:val="18"/>
      </w:rPr>
      <w:fldChar w:fldCharType="end"/>
    </w:r>
    <w:r>
      <w:rPr>
        <w:b/>
        <w:sz w:val="18"/>
      </w:rPr>
      <w:tab/>
    </w:r>
    <w:r>
      <w:t>GE.20-17259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5B3" w:rsidRPr="009135B3" w:rsidRDefault="009135B3" w:rsidP="009135B3">
    <w:pPr>
      <w:pStyle w:val="Pieddepage"/>
      <w:tabs>
        <w:tab w:val="right" w:pos="9638"/>
      </w:tabs>
      <w:rPr>
        <w:b/>
        <w:sz w:val="18"/>
      </w:rPr>
    </w:pPr>
    <w:r>
      <w:t>GE.20-17259</w:t>
    </w:r>
    <w:r>
      <w:tab/>
    </w:r>
    <w:r w:rsidRPr="009135B3">
      <w:rPr>
        <w:b/>
        <w:sz w:val="18"/>
      </w:rPr>
      <w:fldChar w:fldCharType="begin"/>
    </w:r>
    <w:r w:rsidRPr="009135B3">
      <w:rPr>
        <w:b/>
        <w:sz w:val="18"/>
      </w:rPr>
      <w:instrText xml:space="preserve"> PAGE  \* MERGEFORMAT </w:instrText>
    </w:r>
    <w:r w:rsidRPr="009135B3">
      <w:rPr>
        <w:b/>
        <w:sz w:val="18"/>
      </w:rPr>
      <w:fldChar w:fldCharType="separate"/>
    </w:r>
    <w:r w:rsidRPr="009135B3">
      <w:rPr>
        <w:b/>
        <w:noProof/>
        <w:sz w:val="18"/>
      </w:rPr>
      <w:t>3</w:t>
    </w:r>
    <w:r w:rsidRPr="009135B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9135B3" w:rsidRDefault="009135B3" w:rsidP="009135B3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20-17259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110121    110121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234F" w:rsidRPr="00AC3823" w:rsidRDefault="0098234F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8234F" w:rsidRPr="00AC3823" w:rsidRDefault="0098234F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8234F" w:rsidRPr="00AC3823" w:rsidRDefault="0098234F">
      <w:pPr>
        <w:spacing w:line="240" w:lineRule="auto"/>
        <w:rPr>
          <w:sz w:val="2"/>
          <w:szCs w:val="2"/>
        </w:rPr>
      </w:pPr>
    </w:p>
  </w:footnote>
  <w:footnote w:id="2">
    <w:p w:rsidR="009135B3" w:rsidRPr="00F85731" w:rsidRDefault="009135B3" w:rsidP="00285FE9">
      <w:pPr>
        <w:pStyle w:val="Notedebasdepage"/>
        <w:rPr>
          <w:lang w:val="fr-FR"/>
        </w:rPr>
      </w:pPr>
      <w:r>
        <w:rPr>
          <w:lang w:val="fr-FR"/>
        </w:rPr>
        <w:tab/>
      </w:r>
      <w:r w:rsidRPr="0086044C">
        <w:rPr>
          <w:sz w:val="20"/>
          <w:lang w:val="fr-FR"/>
        </w:rPr>
        <w:t>*</w:t>
      </w:r>
      <w:r>
        <w:rPr>
          <w:lang w:val="fr-FR"/>
        </w:rPr>
        <w:tab/>
        <w:t>Conformément au programme de travail du Comité des transports intérieurs pour 2020 tel qu’il figure dans le projet de budget-programme pour 2020 (A/74/6 (titre V, chap. 20), par. 20.37), le Forum mondial a pour mission d’élaborer, d’harmoniser et de mettre à jour les Règlements ONU en vue d’améliorer les carac</w:t>
      </w:r>
      <w:bookmarkStart w:id="0" w:name="_GoBack"/>
      <w:bookmarkEnd w:id="0"/>
      <w:r>
        <w:rPr>
          <w:lang w:val="fr-FR"/>
        </w:rPr>
        <w:t>téristiques fonctionnelles des véhicules. Le présent document est soumis en vertu de ce mandat.</w:t>
      </w:r>
    </w:p>
  </w:footnote>
  <w:footnote w:id="3">
    <w:p w:rsidR="009135B3" w:rsidRPr="0010338B" w:rsidRDefault="009135B3" w:rsidP="009135B3">
      <w:pPr>
        <w:pStyle w:val="Notedebasdepage"/>
        <w:rPr>
          <w:lang w:val="fr-FR"/>
        </w:rPr>
      </w:pPr>
      <w:r>
        <w:tab/>
      </w:r>
      <w:r>
        <w:rPr>
          <w:rStyle w:val="Appelnotedebasdep"/>
        </w:rPr>
        <w:footnoteRef/>
      </w:r>
      <w:r>
        <w:tab/>
      </w:r>
      <w:r w:rsidRPr="00CC0337">
        <w:t>Note du secrétariat</w:t>
      </w:r>
      <w:r>
        <w:t> </w:t>
      </w:r>
      <w:r w:rsidRPr="00CC0337">
        <w:t>: le libellé a été adapté conformément à la décision prise par le WP.29 à sa session de novembre 2020 (ECE/TRANS/WP.29/1155, par. 92 et 93, et document informel WP.29-182-11).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5B3" w:rsidRPr="009135B3" w:rsidRDefault="009135B3">
    <w:pPr>
      <w:pStyle w:val="En-tte"/>
    </w:pPr>
    <w:fldSimple w:instr=" TITLE  \* MERGEFORMAT ">
      <w:r>
        <w:t>ECE/TRANS/WP.29/2021/4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5B3" w:rsidRPr="009135B3" w:rsidRDefault="009135B3" w:rsidP="009135B3">
    <w:pPr>
      <w:pStyle w:val="En-tte"/>
      <w:jc w:val="right"/>
    </w:pPr>
    <w:fldSimple w:instr=" TITLE  \* MERGEFORMAT ">
      <w:r>
        <w:t>ECE/TRANS/WP.29/2021/4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34F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1148"/>
    <w:rsid w:val="00223272"/>
    <w:rsid w:val="0024779E"/>
    <w:rsid w:val="00257168"/>
    <w:rsid w:val="002744B8"/>
    <w:rsid w:val="002832AC"/>
    <w:rsid w:val="00285FE9"/>
    <w:rsid w:val="002D7C93"/>
    <w:rsid w:val="00305801"/>
    <w:rsid w:val="003916DE"/>
    <w:rsid w:val="00421996"/>
    <w:rsid w:val="00441C3B"/>
    <w:rsid w:val="00446FE5"/>
    <w:rsid w:val="00452396"/>
    <w:rsid w:val="00477EB2"/>
    <w:rsid w:val="004837D8"/>
    <w:rsid w:val="004E2EED"/>
    <w:rsid w:val="004E468C"/>
    <w:rsid w:val="00500EB5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D5EF9"/>
    <w:rsid w:val="009135B3"/>
    <w:rsid w:val="009446C0"/>
    <w:rsid w:val="009705C8"/>
    <w:rsid w:val="0098234F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C02897"/>
    <w:rsid w:val="00C97039"/>
    <w:rsid w:val="00D3439C"/>
    <w:rsid w:val="00D7622E"/>
    <w:rsid w:val="00DB1831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6C47607"/>
  <w15:docId w15:val="{0B17C017-203E-444E-9BA7-ACBAF4223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-E Fußnotenzeichen,BVI fnr, BVI fnr,Footnote symbol,Footnote,Footnote Reference Superscript,SUPERS"/>
    <w:basedOn w:val="Policepardfaut"/>
    <w:uiPriority w:val="99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uiPriority w:val="39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,PP,5_G_6"/>
    <w:basedOn w:val="Normal"/>
    <w:link w:val="NotedebasdepageCar"/>
    <w:uiPriority w:val="99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,PP Car,5_G_6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qFormat/>
    <w:rsid w:val="009135B3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9135B3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rsid w:val="009135B3"/>
    <w:rPr>
      <w:rFonts w:ascii="Times New Roman" w:eastAsiaTheme="minorHAnsi" w:hAnsi="Times New Roman" w:cs="Times New Roman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3</Pages>
  <Words>437</Words>
  <Characters>2367</Characters>
  <Application>Microsoft Office Word</Application>
  <DocSecurity>0</DocSecurity>
  <Lines>67</Lines>
  <Paragraphs>48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ECE/TRANS/WP.29/2021/4</vt:lpstr>
    </vt:vector>
  </TitlesOfParts>
  <Company>DCM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ECE/TRANS/WP.29/2021/4</dc:title>
  <dc:subject/>
  <dc:creator>Sandrine CLERE</dc:creator>
  <cp:keywords/>
  <cp:lastModifiedBy>Sandrine CLERE</cp:lastModifiedBy>
  <cp:revision>2</cp:revision>
  <cp:lastPrinted>2014-05-14T10:59:00Z</cp:lastPrinted>
  <dcterms:created xsi:type="dcterms:W3CDTF">2021-01-11T09:51:00Z</dcterms:created>
  <dcterms:modified xsi:type="dcterms:W3CDTF">2021-01-11T09:51:00Z</dcterms:modified>
</cp:coreProperties>
</file>