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73BD7" w:rsidTr="00C97039">
        <w:trPr>
          <w:trHeight w:hRule="exact" w:val="851"/>
        </w:trPr>
        <w:tc>
          <w:tcPr>
            <w:tcW w:w="1276" w:type="dxa"/>
            <w:tcBorders>
              <w:bottom w:val="single" w:sz="4" w:space="0" w:color="auto"/>
            </w:tcBorders>
          </w:tcPr>
          <w:p w:rsidR="00F35BAF" w:rsidRPr="00DB58B5" w:rsidRDefault="00F35BAF" w:rsidP="00E35850"/>
        </w:tc>
        <w:tc>
          <w:tcPr>
            <w:tcW w:w="2268" w:type="dxa"/>
            <w:tcBorders>
              <w:bottom w:val="single" w:sz="4" w:space="0" w:color="auto"/>
            </w:tcBorders>
            <w:vAlign w:val="bottom"/>
          </w:tcPr>
          <w:p w:rsidR="00F35BAF" w:rsidRPr="00D73BD7" w:rsidRDefault="00F35BAF" w:rsidP="00C97039">
            <w:pPr>
              <w:spacing w:after="80" w:line="300" w:lineRule="exact"/>
              <w:rPr>
                <w:sz w:val="28"/>
              </w:rPr>
            </w:pPr>
            <w:r w:rsidRPr="00D73BD7">
              <w:rPr>
                <w:sz w:val="28"/>
              </w:rPr>
              <w:t>Nations Unies</w:t>
            </w:r>
          </w:p>
        </w:tc>
        <w:tc>
          <w:tcPr>
            <w:tcW w:w="6095" w:type="dxa"/>
            <w:gridSpan w:val="2"/>
            <w:tcBorders>
              <w:bottom w:val="single" w:sz="4" w:space="0" w:color="auto"/>
            </w:tcBorders>
            <w:vAlign w:val="bottom"/>
          </w:tcPr>
          <w:p w:rsidR="00F35BAF" w:rsidRPr="00D73BD7" w:rsidRDefault="00E35850" w:rsidP="00E35850">
            <w:pPr>
              <w:jc w:val="right"/>
            </w:pPr>
            <w:r w:rsidRPr="00D73BD7">
              <w:rPr>
                <w:sz w:val="40"/>
              </w:rPr>
              <w:t>ECE</w:t>
            </w:r>
            <w:r w:rsidRPr="00D73BD7">
              <w:t>/TRANS/2021/5</w:t>
            </w:r>
          </w:p>
        </w:tc>
      </w:tr>
      <w:tr w:rsidR="00F35BAF" w:rsidRPr="00D73BD7" w:rsidTr="00C97039">
        <w:trPr>
          <w:trHeight w:hRule="exact" w:val="2835"/>
        </w:trPr>
        <w:tc>
          <w:tcPr>
            <w:tcW w:w="1276" w:type="dxa"/>
            <w:tcBorders>
              <w:top w:val="single" w:sz="4" w:space="0" w:color="auto"/>
              <w:bottom w:val="single" w:sz="12" w:space="0" w:color="auto"/>
            </w:tcBorders>
          </w:tcPr>
          <w:p w:rsidR="00F35BAF" w:rsidRPr="00D73BD7" w:rsidRDefault="00F35BAF" w:rsidP="00C97039">
            <w:pPr>
              <w:spacing w:before="120"/>
              <w:jc w:val="center"/>
            </w:pPr>
            <w:r w:rsidRPr="00D73BD7">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D73BD7" w:rsidRDefault="00F35BAF" w:rsidP="00C97039">
            <w:pPr>
              <w:spacing w:before="120" w:line="420" w:lineRule="exact"/>
              <w:rPr>
                <w:b/>
                <w:sz w:val="40"/>
                <w:szCs w:val="40"/>
              </w:rPr>
            </w:pPr>
            <w:r w:rsidRPr="00D73BD7">
              <w:rPr>
                <w:b/>
                <w:sz w:val="40"/>
                <w:szCs w:val="40"/>
              </w:rPr>
              <w:t>Conseil économique et social</w:t>
            </w:r>
          </w:p>
        </w:tc>
        <w:tc>
          <w:tcPr>
            <w:tcW w:w="2835" w:type="dxa"/>
            <w:tcBorders>
              <w:top w:val="single" w:sz="4" w:space="0" w:color="auto"/>
              <w:bottom w:val="single" w:sz="12" w:space="0" w:color="auto"/>
            </w:tcBorders>
          </w:tcPr>
          <w:p w:rsidR="00F35BAF" w:rsidRPr="00D73BD7" w:rsidRDefault="00E35850" w:rsidP="00C97039">
            <w:pPr>
              <w:spacing w:before="240"/>
            </w:pPr>
            <w:r w:rsidRPr="00D73BD7">
              <w:t>Distr. générale</w:t>
            </w:r>
          </w:p>
          <w:p w:rsidR="00E35850" w:rsidRPr="00D73BD7" w:rsidRDefault="00E35850" w:rsidP="00E35850">
            <w:pPr>
              <w:spacing w:line="240" w:lineRule="exact"/>
            </w:pPr>
            <w:r w:rsidRPr="00D73BD7">
              <w:t>4 janvier 2021</w:t>
            </w:r>
          </w:p>
          <w:p w:rsidR="00E35850" w:rsidRPr="00D73BD7" w:rsidRDefault="00E35850" w:rsidP="00E35850">
            <w:pPr>
              <w:spacing w:line="240" w:lineRule="exact"/>
            </w:pPr>
            <w:r w:rsidRPr="00D73BD7">
              <w:t>Français</w:t>
            </w:r>
          </w:p>
          <w:p w:rsidR="00E35850" w:rsidRPr="00D73BD7" w:rsidRDefault="00E35850" w:rsidP="00E35850">
            <w:pPr>
              <w:spacing w:line="240" w:lineRule="exact"/>
            </w:pPr>
            <w:r w:rsidRPr="00D73BD7">
              <w:t>Original</w:t>
            </w:r>
            <w:r w:rsidR="00D73BD7">
              <w:t> :</w:t>
            </w:r>
            <w:r w:rsidRPr="00D73BD7">
              <w:t xml:space="preserve"> anglais</w:t>
            </w:r>
          </w:p>
        </w:tc>
      </w:tr>
    </w:tbl>
    <w:p w:rsidR="007F20FA" w:rsidRPr="00D73BD7" w:rsidRDefault="007F20FA" w:rsidP="007F20FA">
      <w:pPr>
        <w:spacing w:before="120"/>
        <w:rPr>
          <w:b/>
          <w:sz w:val="28"/>
          <w:szCs w:val="28"/>
        </w:rPr>
      </w:pPr>
      <w:r w:rsidRPr="00D73BD7">
        <w:rPr>
          <w:b/>
          <w:sz w:val="28"/>
          <w:szCs w:val="28"/>
        </w:rPr>
        <w:t>Commission économique pour l’Europe</w:t>
      </w:r>
    </w:p>
    <w:p w:rsidR="007F20FA" w:rsidRPr="00D73BD7" w:rsidRDefault="007F20FA" w:rsidP="007F20FA">
      <w:pPr>
        <w:spacing w:before="120"/>
        <w:rPr>
          <w:sz w:val="28"/>
          <w:szCs w:val="28"/>
        </w:rPr>
      </w:pPr>
      <w:r w:rsidRPr="00D73BD7">
        <w:rPr>
          <w:sz w:val="28"/>
          <w:szCs w:val="28"/>
        </w:rPr>
        <w:t>Comité des transports intérieurs</w:t>
      </w:r>
    </w:p>
    <w:p w:rsidR="00D73BD7" w:rsidRPr="00D73BD7" w:rsidRDefault="00D73BD7" w:rsidP="00D73BD7">
      <w:pPr>
        <w:spacing w:before="120"/>
        <w:rPr>
          <w:b/>
          <w:bCs/>
          <w:lang w:val="fr-FR"/>
        </w:rPr>
      </w:pPr>
      <w:r w:rsidRPr="00D73BD7">
        <w:rPr>
          <w:b/>
          <w:bCs/>
          <w:lang w:val="fr-FR"/>
        </w:rPr>
        <w:t>Quatre-vingt-troisième session</w:t>
      </w:r>
    </w:p>
    <w:p w:rsidR="00D73BD7" w:rsidRDefault="00D73BD7" w:rsidP="00D73BD7">
      <w:pPr>
        <w:rPr>
          <w:lang w:val="fr-FR"/>
        </w:rPr>
      </w:pPr>
      <w:r w:rsidRPr="00D73BD7">
        <w:rPr>
          <w:lang w:val="fr-FR"/>
        </w:rPr>
        <w:t xml:space="preserve">Genève, 23-26 février 2021 </w:t>
      </w:r>
    </w:p>
    <w:p w:rsidR="00D73BD7" w:rsidRDefault="00D73BD7" w:rsidP="00D73BD7">
      <w:pPr>
        <w:rPr>
          <w:lang w:val="fr-FR"/>
        </w:rPr>
      </w:pPr>
      <w:r w:rsidRPr="00D73BD7">
        <w:rPr>
          <w:lang w:val="fr-FR"/>
        </w:rPr>
        <w:t>Point 4 de l’ordre du jour provisoire</w:t>
      </w:r>
    </w:p>
    <w:p w:rsidR="00D73BD7" w:rsidRPr="00D73BD7" w:rsidRDefault="00D73BD7" w:rsidP="00D73BD7">
      <w:pPr>
        <w:rPr>
          <w:b/>
          <w:bCs/>
          <w:lang w:val="fr-FR"/>
        </w:rPr>
      </w:pPr>
      <w:r w:rsidRPr="00D73BD7">
        <w:rPr>
          <w:b/>
          <w:bCs/>
          <w:lang w:val="fr-FR"/>
        </w:rPr>
        <w:t xml:space="preserve">Questions de gouvernance et autres questions découlant </w:t>
      </w:r>
      <w:r>
        <w:rPr>
          <w:b/>
          <w:bCs/>
          <w:lang w:val="fr-FR"/>
        </w:rPr>
        <w:br/>
      </w:r>
      <w:r w:rsidRPr="00D73BD7">
        <w:rPr>
          <w:b/>
          <w:bCs/>
          <w:lang w:val="fr-FR"/>
        </w:rPr>
        <w:t xml:space="preserve">de la Commission économique des Nations Unies pour l’Europe, </w:t>
      </w:r>
      <w:r>
        <w:rPr>
          <w:b/>
          <w:bCs/>
          <w:lang w:val="fr-FR"/>
        </w:rPr>
        <w:br/>
      </w:r>
      <w:r w:rsidRPr="00D73BD7">
        <w:rPr>
          <w:b/>
          <w:bCs/>
          <w:lang w:val="fr-FR"/>
        </w:rPr>
        <w:t xml:space="preserve">du Conseil économique et social et d’autres organes </w:t>
      </w:r>
      <w:r>
        <w:rPr>
          <w:b/>
          <w:bCs/>
          <w:lang w:val="fr-FR"/>
        </w:rPr>
        <w:br/>
      </w:r>
      <w:r w:rsidRPr="00D73BD7">
        <w:rPr>
          <w:b/>
          <w:bCs/>
          <w:lang w:val="fr-FR"/>
        </w:rPr>
        <w:t>et conférences des Nations Unies</w:t>
      </w:r>
    </w:p>
    <w:p w:rsidR="00D73BD7" w:rsidRPr="00D73BD7" w:rsidRDefault="00D73BD7" w:rsidP="00D73BD7">
      <w:pPr>
        <w:pStyle w:val="HChG"/>
        <w:rPr>
          <w:lang w:val="fr-FR"/>
        </w:rPr>
      </w:pPr>
      <w:r w:rsidRPr="00D73BD7">
        <w:rPr>
          <w:lang w:val="fr-FR"/>
        </w:rPr>
        <w:tab/>
      </w:r>
      <w:r w:rsidRPr="00D73BD7">
        <w:rPr>
          <w:lang w:val="fr-FR"/>
        </w:rPr>
        <w:tab/>
      </w:r>
      <w:r w:rsidRPr="00D73BD7">
        <w:rPr>
          <w:lang w:val="fr-FR"/>
        </w:rPr>
        <w:tab/>
      </w:r>
      <w:r w:rsidRPr="00D73BD7">
        <w:rPr>
          <w:bCs/>
          <w:lang w:val="fr-FR"/>
        </w:rPr>
        <w:t>Conséquences de la COVID-19 et de la crise de liquidités sur</w:t>
      </w:r>
      <w:r>
        <w:rPr>
          <w:bCs/>
          <w:lang w:val="fr-FR"/>
        </w:rPr>
        <w:t> </w:t>
      </w:r>
      <w:r w:rsidRPr="00D73BD7">
        <w:rPr>
          <w:bCs/>
          <w:lang w:val="fr-FR"/>
        </w:rPr>
        <w:t>les travaux du sous-programme Transports</w:t>
      </w:r>
    </w:p>
    <w:p w:rsidR="00D73BD7" w:rsidRPr="00D73BD7" w:rsidRDefault="00D73BD7" w:rsidP="00D73BD7">
      <w:pPr>
        <w:pStyle w:val="H1G"/>
        <w:rPr>
          <w:lang w:val="fr-FR"/>
        </w:rPr>
      </w:pPr>
      <w:r w:rsidRPr="00D73BD7">
        <w:rPr>
          <w:lang w:val="fr-FR"/>
        </w:rPr>
        <w:tab/>
      </w:r>
      <w:r w:rsidRPr="00D73BD7">
        <w:rPr>
          <w:lang w:val="fr-FR"/>
        </w:rPr>
        <w:tab/>
      </w:r>
      <w:r w:rsidRPr="00D73BD7">
        <w:rPr>
          <w:lang w:val="fr-FR"/>
        </w:rPr>
        <w:tab/>
        <w:t>Note du secrétariat</w:t>
      </w:r>
      <w:r w:rsidRPr="00D73BD7">
        <w:rPr>
          <w:rStyle w:val="Appelnotedebasdep"/>
          <w:b w:val="0"/>
          <w:bCs/>
          <w:sz w:val="20"/>
          <w:vertAlign w:val="baseline"/>
          <w:lang w:val="fr-FR"/>
        </w:rPr>
        <w:footnoteReference w:customMarkFollows="1" w:id="2"/>
        <w:t>*</w:t>
      </w:r>
    </w:p>
    <w:p w:rsidR="00D73BD7" w:rsidRPr="00D73BD7" w:rsidRDefault="00D73BD7" w:rsidP="00D73BD7">
      <w:pPr>
        <w:pStyle w:val="HChG"/>
        <w:rPr>
          <w:lang w:val="fr-FR"/>
        </w:rPr>
      </w:pPr>
      <w:r w:rsidRPr="00D73BD7">
        <w:rPr>
          <w:lang w:val="fr-FR"/>
        </w:rPr>
        <w:tab/>
        <w:t>I.</w:t>
      </w:r>
      <w:r w:rsidRPr="00D73BD7">
        <w:rPr>
          <w:lang w:val="fr-FR"/>
        </w:rPr>
        <w:tab/>
        <w:t>Contexte</w:t>
      </w:r>
    </w:p>
    <w:p w:rsidR="00D73BD7" w:rsidRPr="00D73BD7" w:rsidRDefault="00D73BD7" w:rsidP="00D73BD7">
      <w:pPr>
        <w:pStyle w:val="SingleTxtG"/>
        <w:rPr>
          <w:lang w:val="fr-FR"/>
        </w:rPr>
      </w:pPr>
      <w:r w:rsidRPr="00D73BD7">
        <w:rPr>
          <w:lang w:val="fr-FR"/>
        </w:rPr>
        <w:t>1.</w:t>
      </w:r>
      <w:r w:rsidRPr="00D73BD7">
        <w:rPr>
          <w:lang w:val="fr-FR"/>
        </w:rPr>
        <w:tab/>
        <w:t>La déclaration du 16</w:t>
      </w:r>
      <w:r w:rsidR="001952EE">
        <w:rPr>
          <w:lang w:val="fr-FR"/>
        </w:rPr>
        <w:t> </w:t>
      </w:r>
      <w:r w:rsidRPr="00D73BD7">
        <w:rPr>
          <w:lang w:val="fr-FR"/>
        </w:rPr>
        <w:t xml:space="preserve">mars 2020, par laquelle les autorités suisses ont fait état d’une « situation extraordinaire » au niveau national en raison du nombre croissant de cas de coronavirus dans le pays, a eu des conséquences sur toutes les manifestations publiques et privées, toutes les réunions internationales et tous les autres services fournis par le secrétariat de l’ONU, notamment par la Commission économique pour l’Europe (CEE). Si le </w:t>
      </w:r>
      <w:r w:rsidR="005F566F" w:rsidRPr="00D73BD7">
        <w:rPr>
          <w:lang w:val="fr-FR"/>
        </w:rPr>
        <w:t xml:space="preserve">Gouvernement </w:t>
      </w:r>
      <w:r w:rsidRPr="00D73BD7">
        <w:rPr>
          <w:lang w:val="fr-FR"/>
        </w:rPr>
        <w:t>du pays hôte a, le 27</w:t>
      </w:r>
      <w:r w:rsidR="001952EE">
        <w:rPr>
          <w:lang w:val="fr-FR"/>
        </w:rPr>
        <w:t> </w:t>
      </w:r>
      <w:r w:rsidRPr="00D73BD7">
        <w:rPr>
          <w:lang w:val="fr-FR"/>
        </w:rPr>
        <w:t>mai, décidé d’alléger de façon généralisée, à compter du 6</w:t>
      </w:r>
      <w:r w:rsidR="005F566F">
        <w:rPr>
          <w:lang w:val="fr-FR"/>
        </w:rPr>
        <w:t> </w:t>
      </w:r>
      <w:r w:rsidRPr="00D73BD7">
        <w:rPr>
          <w:lang w:val="fr-FR"/>
        </w:rPr>
        <w:t>juin, les mesures qu’il avait prises, le retard considérable accusé dans la tenue des réunions et la restriction des déplacements imposée partout dans le monde se sont répercuté</w:t>
      </w:r>
      <w:r w:rsidR="005F566F">
        <w:rPr>
          <w:lang w:val="fr-FR"/>
        </w:rPr>
        <w:t>e</w:t>
      </w:r>
      <w:r w:rsidRPr="00D73BD7">
        <w:rPr>
          <w:lang w:val="fr-FR"/>
        </w:rPr>
        <w:t>s sur la capacité du secrétariat de réaliser l’ensemble des travaux du sous-programme Transports.</w:t>
      </w:r>
    </w:p>
    <w:p w:rsidR="00D73BD7" w:rsidRPr="00D73BD7" w:rsidRDefault="00D73BD7" w:rsidP="00D73BD7">
      <w:pPr>
        <w:pStyle w:val="SingleTxtG"/>
        <w:rPr>
          <w:lang w:val="fr-FR"/>
        </w:rPr>
      </w:pPr>
      <w:r w:rsidRPr="00D73BD7">
        <w:rPr>
          <w:lang w:val="fr-FR"/>
        </w:rPr>
        <w:t>2.</w:t>
      </w:r>
      <w:r w:rsidRPr="00D73BD7">
        <w:rPr>
          <w:lang w:val="fr-FR"/>
        </w:rPr>
        <w:tab/>
        <w:t>Par ailleurs, dans une note en date du 19</w:t>
      </w:r>
      <w:r w:rsidR="00634A7D">
        <w:rPr>
          <w:lang w:val="fr-FR"/>
        </w:rPr>
        <w:t> </w:t>
      </w:r>
      <w:r w:rsidRPr="00D73BD7">
        <w:rPr>
          <w:lang w:val="fr-FR"/>
        </w:rPr>
        <w:t>août 2020, la Secrétaire exécutive de la CEE a informé le secrétariat que, face à la situation sans précédent créée par la pandémie de COVID-19, la crise de liquidités et la mise en œuvre du Plan stratégique patrimonial, la CEE devrait sérieusement limiter les activités liées aux réunions jusqu’à la fin de 2020. La Division de la gestion des conférences de l’ONUG a répertorié les principaux aspects de cette limitation</w:t>
      </w:r>
      <w:r>
        <w:rPr>
          <w:lang w:val="fr-FR"/>
        </w:rPr>
        <w:t> :</w:t>
      </w:r>
    </w:p>
    <w:p w:rsidR="00D73BD7" w:rsidRPr="00D73BD7" w:rsidRDefault="00D73BD7" w:rsidP="00D73BD7">
      <w:pPr>
        <w:pStyle w:val="Bullet1G"/>
        <w:numPr>
          <w:ilvl w:val="0"/>
          <w:numId w:val="1"/>
        </w:numPr>
        <w:rPr>
          <w:lang w:val="fr-FR"/>
        </w:rPr>
      </w:pPr>
      <w:r w:rsidRPr="00D73BD7">
        <w:rPr>
          <w:lang w:val="fr-FR"/>
        </w:rPr>
        <w:t>Les sessions annulées ou reportées ne peuvent pas être complétement remplacées par des réunions en ligne ou hybrides</w:t>
      </w:r>
      <w:r>
        <w:rPr>
          <w:lang w:val="fr-FR"/>
        </w:rPr>
        <w:t> ;</w:t>
      </w:r>
    </w:p>
    <w:p w:rsidR="00D73BD7" w:rsidRPr="00D73BD7" w:rsidRDefault="00D73BD7" w:rsidP="00D73BD7">
      <w:pPr>
        <w:pStyle w:val="Bullet1G"/>
        <w:numPr>
          <w:ilvl w:val="0"/>
          <w:numId w:val="1"/>
        </w:numPr>
        <w:rPr>
          <w:lang w:val="fr-FR"/>
        </w:rPr>
      </w:pPr>
      <w:r w:rsidRPr="00D73BD7">
        <w:rPr>
          <w:lang w:val="fr-FR"/>
        </w:rPr>
        <w:t>Les manifestations en ligne ou hybrides ont un coût plus élevé étant donné que les capacités sont limitées et qu’il est complexe de mettre en place de nouvelles solutions pour la tenue des réunions</w:t>
      </w:r>
      <w:r>
        <w:rPr>
          <w:lang w:val="fr-FR"/>
        </w:rPr>
        <w:t> ;</w:t>
      </w:r>
    </w:p>
    <w:p w:rsidR="00D73BD7" w:rsidRPr="00D73BD7" w:rsidRDefault="00D73BD7" w:rsidP="00D73BD7">
      <w:pPr>
        <w:pStyle w:val="Bullet1G"/>
        <w:numPr>
          <w:ilvl w:val="0"/>
          <w:numId w:val="1"/>
        </w:numPr>
        <w:rPr>
          <w:lang w:val="fr-FR"/>
        </w:rPr>
      </w:pPr>
      <w:r w:rsidRPr="00D73BD7">
        <w:rPr>
          <w:lang w:val="fr-FR"/>
        </w:rPr>
        <w:lastRenderedPageBreak/>
        <w:t>Du fait de la crise de liquidités, il pourrait à l’avenir être nécessaire que les clients contribuent à l’utilisation de la plateforme [hybride]</w:t>
      </w:r>
      <w:r>
        <w:rPr>
          <w:lang w:val="fr-FR"/>
        </w:rPr>
        <w:t> ;</w:t>
      </w:r>
    </w:p>
    <w:p w:rsidR="00D73BD7" w:rsidRPr="00D73BD7" w:rsidRDefault="00D73BD7" w:rsidP="00D73BD7">
      <w:pPr>
        <w:pStyle w:val="Bullet1G"/>
        <w:numPr>
          <w:ilvl w:val="0"/>
          <w:numId w:val="1"/>
        </w:numPr>
        <w:rPr>
          <w:lang w:val="fr-FR"/>
        </w:rPr>
      </w:pPr>
      <w:r w:rsidRPr="00D73BD7">
        <w:rPr>
          <w:lang w:val="fr-FR"/>
        </w:rPr>
        <w:t>La durée des réunions en ligne ou hybrides avec interprétation a été réduite à deux heures</w:t>
      </w:r>
      <w:r>
        <w:rPr>
          <w:lang w:val="fr-FR"/>
        </w:rPr>
        <w:t> ;</w:t>
      </w:r>
    </w:p>
    <w:p w:rsidR="00D73BD7" w:rsidRPr="00D73BD7" w:rsidRDefault="00D73BD7" w:rsidP="00D73BD7">
      <w:pPr>
        <w:pStyle w:val="Bullet1G"/>
        <w:numPr>
          <w:ilvl w:val="0"/>
          <w:numId w:val="1"/>
        </w:numPr>
        <w:rPr>
          <w:lang w:val="fr-FR"/>
        </w:rPr>
      </w:pPr>
      <w:r w:rsidRPr="00D73BD7">
        <w:rPr>
          <w:lang w:val="fr-FR"/>
        </w:rPr>
        <w:t>À partir de septembre, les services proposés devraient être réduits, ce qui serait susceptible d’influer sur la disponibilité des salles de réunion et des services y relatifs au Palais des Nations</w:t>
      </w:r>
      <w:r>
        <w:rPr>
          <w:lang w:val="fr-FR"/>
        </w:rPr>
        <w:t> ;</w:t>
      </w:r>
    </w:p>
    <w:p w:rsidR="00D73BD7" w:rsidRPr="00D73BD7" w:rsidRDefault="00D73BD7" w:rsidP="00D73BD7">
      <w:pPr>
        <w:pStyle w:val="Bullet1G"/>
        <w:rPr>
          <w:lang w:val="fr-FR"/>
        </w:rPr>
      </w:pPr>
      <w:r w:rsidRPr="00D73BD7">
        <w:t>L’ONUG</w:t>
      </w:r>
      <w:r w:rsidRPr="00D73BD7">
        <w:rPr>
          <w:lang w:val="fr-FR"/>
        </w:rPr>
        <w:t xml:space="preserve"> pourrait tout au plus accueillir une manifestation physique organisée par la CEE et financée par le budget ordinaire, avec interprétation, par jour (une séance de trois heures le matin et une autre l’après-midi). En temps normal, trois manifestations financées par le budget ordinaire, avec interprétation, peuvent bénéficier des services d’appui (trois réunions de </w:t>
      </w:r>
      <w:r w:rsidR="00634A7D">
        <w:rPr>
          <w:lang w:val="fr-FR"/>
        </w:rPr>
        <w:t>trois</w:t>
      </w:r>
      <w:r w:rsidRPr="00D73BD7">
        <w:rPr>
          <w:lang w:val="fr-FR"/>
        </w:rPr>
        <w:t xml:space="preserve"> heures le matin et trois autres l’après-midi).</w:t>
      </w:r>
    </w:p>
    <w:p w:rsidR="00D73BD7" w:rsidRPr="00D73BD7" w:rsidRDefault="00D73BD7" w:rsidP="00D73BD7">
      <w:pPr>
        <w:pStyle w:val="SingleTxtG"/>
        <w:rPr>
          <w:lang w:val="fr-FR"/>
        </w:rPr>
      </w:pPr>
      <w:r w:rsidRPr="00D73BD7">
        <w:rPr>
          <w:lang w:val="fr-FR"/>
        </w:rPr>
        <w:t>3.</w:t>
      </w:r>
      <w:r w:rsidRPr="00D73BD7">
        <w:rPr>
          <w:lang w:val="fr-FR"/>
        </w:rPr>
        <w:tab/>
        <w:t>La présente note résume</w:t>
      </w:r>
      <w:r>
        <w:rPr>
          <w:lang w:val="fr-FR"/>
        </w:rPr>
        <w:t> :</w:t>
      </w:r>
      <w:r w:rsidRPr="00D73BD7">
        <w:rPr>
          <w:lang w:val="fr-FR"/>
        </w:rPr>
        <w:t xml:space="preserve"> a)</w:t>
      </w:r>
      <w:r w:rsidR="00634A7D">
        <w:rPr>
          <w:lang w:val="fr-FR"/>
        </w:rPr>
        <w:t> </w:t>
      </w:r>
      <w:r w:rsidRPr="00D73BD7">
        <w:rPr>
          <w:lang w:val="fr-FR"/>
        </w:rPr>
        <w:t>les mesures d’ajustement visant à permettre la continuité du service, que le secrétariat a mises en place afin d’assurer la poursuite des activités correspondant aux principaux mandats qui lui sont confiés, en dépit de la situation liée à la pandémie</w:t>
      </w:r>
      <w:r>
        <w:rPr>
          <w:lang w:val="fr-FR"/>
        </w:rPr>
        <w:t> ;</w:t>
      </w:r>
      <w:r w:rsidRPr="00D73BD7">
        <w:rPr>
          <w:lang w:val="fr-FR"/>
        </w:rPr>
        <w:t xml:space="preserve"> b)</w:t>
      </w:r>
      <w:r w:rsidR="00634A7D">
        <w:rPr>
          <w:lang w:val="fr-FR"/>
        </w:rPr>
        <w:t> </w:t>
      </w:r>
      <w:r w:rsidRPr="00D73BD7">
        <w:rPr>
          <w:lang w:val="fr-FR"/>
        </w:rPr>
        <w:t>les conséquences de la COVID-19 et de la crise de liquidités sur les travaux du sous-programme Transports.</w:t>
      </w:r>
    </w:p>
    <w:p w:rsidR="00D73BD7" w:rsidRPr="00D73BD7" w:rsidRDefault="00D73BD7" w:rsidP="00D73BD7">
      <w:pPr>
        <w:pStyle w:val="SingleTxtG"/>
        <w:rPr>
          <w:lang w:val="fr-FR"/>
        </w:rPr>
      </w:pPr>
      <w:r w:rsidRPr="00D73BD7">
        <w:rPr>
          <w:lang w:val="fr-FR"/>
        </w:rPr>
        <w:t>4.</w:t>
      </w:r>
      <w:r w:rsidRPr="00D73BD7">
        <w:rPr>
          <w:lang w:val="fr-FR"/>
        </w:rPr>
        <w:tab/>
        <w:t xml:space="preserve">Le Comité est </w:t>
      </w:r>
      <w:r w:rsidRPr="00D73BD7">
        <w:rPr>
          <w:b/>
          <w:bCs/>
          <w:lang w:val="fr-FR"/>
        </w:rPr>
        <w:t>invité à prendre note</w:t>
      </w:r>
      <w:r w:rsidRPr="00D73BD7">
        <w:rPr>
          <w:lang w:val="fr-FR"/>
        </w:rPr>
        <w:t xml:space="preserve"> des informations communiquées.</w:t>
      </w:r>
    </w:p>
    <w:p w:rsidR="00D73BD7" w:rsidRPr="00D73BD7" w:rsidRDefault="00D73BD7" w:rsidP="00D73BD7">
      <w:pPr>
        <w:pStyle w:val="HChG"/>
        <w:rPr>
          <w:lang w:val="fr-FR"/>
        </w:rPr>
      </w:pPr>
      <w:r w:rsidRPr="00D73BD7">
        <w:rPr>
          <w:lang w:val="fr-FR"/>
        </w:rPr>
        <w:tab/>
        <w:t>II.</w:t>
      </w:r>
      <w:r w:rsidRPr="00D73BD7">
        <w:rPr>
          <w:lang w:val="fr-FR"/>
        </w:rPr>
        <w:tab/>
        <w:t>Mesures d’ajustement</w:t>
      </w:r>
    </w:p>
    <w:p w:rsidR="00D73BD7" w:rsidRPr="00D73BD7" w:rsidRDefault="00D73BD7" w:rsidP="00D73BD7">
      <w:pPr>
        <w:pStyle w:val="H1G"/>
        <w:rPr>
          <w:lang w:val="fr-FR"/>
        </w:rPr>
      </w:pPr>
      <w:r w:rsidRPr="00D73BD7">
        <w:rPr>
          <w:lang w:val="fr-FR"/>
        </w:rPr>
        <w:tab/>
        <w:t>A.</w:t>
      </w:r>
      <w:r w:rsidRPr="00D73BD7">
        <w:rPr>
          <w:lang w:val="fr-FR"/>
        </w:rPr>
        <w:tab/>
        <w:t>Procédures spéciales mises en place pendant la pandémie de COVID-19</w:t>
      </w:r>
    </w:p>
    <w:p w:rsidR="00D73BD7" w:rsidRPr="00D73BD7" w:rsidRDefault="00D73BD7" w:rsidP="00D73BD7">
      <w:pPr>
        <w:pStyle w:val="SingleTxtG"/>
        <w:rPr>
          <w:lang w:val="fr-FR"/>
        </w:rPr>
      </w:pPr>
      <w:r w:rsidRPr="00D73BD7">
        <w:rPr>
          <w:lang w:val="fr-FR"/>
        </w:rPr>
        <w:t>5.</w:t>
      </w:r>
      <w:r w:rsidRPr="00D73BD7">
        <w:rPr>
          <w:lang w:val="fr-FR"/>
        </w:rPr>
        <w:tab/>
        <w:t>Pour pallier la quasi-interruption de toutes les réunions intergouvernementales des Nations Unies à Genève en raison de la pandémie de COVID-19 et pour assurer la continuité du service, le Comité exécutif de la CEE a, le 6</w:t>
      </w:r>
      <w:r w:rsidR="00634A7D">
        <w:rPr>
          <w:lang w:val="fr-FR"/>
        </w:rPr>
        <w:t> </w:t>
      </w:r>
      <w:r w:rsidRPr="00D73BD7">
        <w:rPr>
          <w:lang w:val="fr-FR"/>
        </w:rPr>
        <w:t>avril 2020, adopté des « Procédures spéciales pendant la période de la COVID-19 ». Au paragraphe 6 de cette décision, le Comité exécutif encourage les organes subsidiaires de la CEE à rechercher des formules novatrices pour la conduite des affaires à distance, notamment, à titre exceptionnel et pour des questions d’importance cruciale, la prise de décisions au moyen de consultations écrites et d’une procédure d’approbation tacite en dehors des sessions régulières de ces organes.</w:t>
      </w:r>
    </w:p>
    <w:p w:rsidR="00D73BD7" w:rsidRPr="00D73BD7" w:rsidRDefault="00D73BD7" w:rsidP="00D73BD7">
      <w:pPr>
        <w:pStyle w:val="SingleTxtG"/>
        <w:rPr>
          <w:lang w:val="fr-FR"/>
        </w:rPr>
      </w:pPr>
      <w:r w:rsidRPr="00D73BD7">
        <w:rPr>
          <w:lang w:val="fr-FR"/>
        </w:rPr>
        <w:t>6.</w:t>
      </w:r>
      <w:r w:rsidRPr="00D73BD7">
        <w:rPr>
          <w:lang w:val="fr-FR"/>
        </w:rPr>
        <w:tab/>
        <w:t>À cet égard, le Bureau du Comité des transports intérieurs (CTI), avec l’appui du secrétariat, a soumis à l’approbation du Comité exécutif des modalités d’organisation particulières pour les organes subsidiaires, conformément aux dispositions approuvées par le Comité exécutif (voir annexe I). Ces mesures prévoyaient, pour les organes subsidiaires du CTI, l’organisation de discussions informelles, pendant la période d’application des procédures spéciales, pour leur permettre d’examiner des questions d’importance cruciale pour la poursuite de leurs activités dans les circonstances exceptionnelles liées à la pandémie de COVID-19. Elles ont été approuvées par le Comité exécutif le 20</w:t>
      </w:r>
      <w:r w:rsidR="00634A7D">
        <w:rPr>
          <w:lang w:val="fr-FR"/>
        </w:rPr>
        <w:t> </w:t>
      </w:r>
      <w:r w:rsidRPr="00D73BD7">
        <w:rPr>
          <w:lang w:val="fr-FR"/>
        </w:rPr>
        <w:t>mai 2020 (décision n</w:t>
      </w:r>
      <w:r w:rsidRPr="00D73BD7">
        <w:rPr>
          <w:vertAlign w:val="superscript"/>
          <w:lang w:val="fr-FR"/>
        </w:rPr>
        <w:t>o</w:t>
      </w:r>
      <w:r w:rsidR="00634A7D">
        <w:rPr>
          <w:lang w:val="fr-FR"/>
        </w:rPr>
        <w:t> </w:t>
      </w:r>
      <w:r w:rsidRPr="00D73BD7">
        <w:rPr>
          <w:lang w:val="fr-FR"/>
        </w:rPr>
        <w:t>5) puis officiellement adoptées à sa réunion du 5 octobre 2020.</w:t>
      </w:r>
    </w:p>
    <w:p w:rsidR="00D73BD7" w:rsidRPr="00D73BD7" w:rsidRDefault="00D73BD7" w:rsidP="00D73BD7">
      <w:pPr>
        <w:pStyle w:val="SingleTxtG"/>
        <w:rPr>
          <w:lang w:val="fr-FR"/>
        </w:rPr>
      </w:pPr>
      <w:r w:rsidRPr="00D73BD7">
        <w:rPr>
          <w:lang w:val="fr-FR"/>
        </w:rPr>
        <w:t>7.</w:t>
      </w:r>
      <w:r w:rsidRPr="00D73BD7">
        <w:rPr>
          <w:lang w:val="fr-FR"/>
        </w:rPr>
        <w:tab/>
        <w:t>Lorsqu’il s’est réuni le 5</w:t>
      </w:r>
      <w:r w:rsidR="00634A7D">
        <w:rPr>
          <w:lang w:val="fr-FR"/>
        </w:rPr>
        <w:t> </w:t>
      </w:r>
      <w:r w:rsidRPr="00D73BD7">
        <w:rPr>
          <w:lang w:val="fr-FR"/>
        </w:rPr>
        <w:t xml:space="preserve">octobre 2020, le Comité exécutif a également adopté les Procédures de prise de décisions lors de réunions </w:t>
      </w:r>
      <w:r w:rsidRPr="00D73BD7">
        <w:rPr>
          <w:i/>
          <w:iCs/>
          <w:lang w:val="fr-FR"/>
        </w:rPr>
        <w:t>formelles</w:t>
      </w:r>
      <w:r w:rsidRPr="00D73BD7">
        <w:rPr>
          <w:lang w:val="fr-FR"/>
        </w:rPr>
        <w:t xml:space="preserve"> avec participation à distance, avec effet immédiat et applicables au moins jusqu’en décembre 2020 (</w:t>
      </w:r>
      <w:hyperlink r:id="rId8" w:history="1">
        <w:r w:rsidRPr="005F566F">
          <w:rPr>
            <w:rStyle w:val="Lienhypertexte"/>
            <w:lang w:val="fr-FR"/>
          </w:rPr>
          <w:t>ECE/EX/2020/L.12</w:t>
        </w:r>
      </w:hyperlink>
      <w:r w:rsidRPr="00D73BD7">
        <w:rPr>
          <w:lang w:val="fr-FR"/>
        </w:rPr>
        <w:t>). Ces procédures concernent les comités sectoriels, les organes relevant directement du Comité exécutif et les groupes de travail.</w:t>
      </w:r>
    </w:p>
    <w:p w:rsidR="00D73BD7" w:rsidRPr="00D73BD7" w:rsidRDefault="00D73BD7" w:rsidP="00D73BD7">
      <w:pPr>
        <w:pStyle w:val="H1G"/>
        <w:rPr>
          <w:lang w:val="fr-FR"/>
        </w:rPr>
      </w:pPr>
      <w:r w:rsidRPr="00D73BD7">
        <w:rPr>
          <w:lang w:val="fr-FR"/>
        </w:rPr>
        <w:tab/>
        <w:t>B.</w:t>
      </w:r>
      <w:r w:rsidRPr="00D73BD7">
        <w:rPr>
          <w:lang w:val="fr-FR"/>
        </w:rPr>
        <w:tab/>
        <w:t>Annulations, reports, réunions informelles à distance (en ligne) et</w:t>
      </w:r>
      <w:r w:rsidR="00634A7D">
        <w:rPr>
          <w:lang w:val="fr-FR"/>
        </w:rPr>
        <w:t> </w:t>
      </w:r>
      <w:r w:rsidRPr="00D73BD7">
        <w:rPr>
          <w:lang w:val="fr-FR"/>
        </w:rPr>
        <w:t>manifestations combinant des volets informel et formel</w:t>
      </w:r>
    </w:p>
    <w:p w:rsidR="00D73BD7" w:rsidRPr="00D73BD7" w:rsidRDefault="00D73BD7" w:rsidP="00D73BD7">
      <w:pPr>
        <w:pStyle w:val="SingleTxtG"/>
        <w:rPr>
          <w:lang w:val="fr-FR"/>
        </w:rPr>
      </w:pPr>
      <w:r w:rsidRPr="00D73BD7">
        <w:rPr>
          <w:lang w:val="fr-FR"/>
        </w:rPr>
        <w:t>8.</w:t>
      </w:r>
      <w:r w:rsidRPr="00D73BD7">
        <w:rPr>
          <w:lang w:val="fr-FR"/>
        </w:rPr>
        <w:tab/>
        <w:t>La situation extraordinaire décrite ci-dessus a entraîné le report ou l’annulation de plusieurs des réunions de comités sectoriels de la CEE et de leurs organes subsidiaires qui étaient prévues.</w:t>
      </w:r>
    </w:p>
    <w:p w:rsidR="00D73BD7" w:rsidRPr="00D73BD7" w:rsidRDefault="00D73BD7" w:rsidP="00D73BD7">
      <w:pPr>
        <w:pStyle w:val="SingleTxtG"/>
        <w:rPr>
          <w:lang w:val="fr-FR"/>
        </w:rPr>
      </w:pPr>
      <w:r w:rsidRPr="00D73BD7">
        <w:rPr>
          <w:lang w:val="fr-FR"/>
        </w:rPr>
        <w:lastRenderedPageBreak/>
        <w:t>9.</w:t>
      </w:r>
      <w:r w:rsidRPr="00D73BD7">
        <w:rPr>
          <w:lang w:val="fr-FR"/>
        </w:rPr>
        <w:tab/>
        <w:t>Face à cette situation, et dans le plein respect de la décision du Comité exécutif relative aux procédures spéciales applicables aux organes subsidiaires du CTI, d’autres réunions se sont tenues en ligne, conformément aux procédures spéciales, afin d’assurer la continuité des</w:t>
      </w:r>
      <w:r w:rsidR="00634A7D">
        <w:rPr>
          <w:lang w:val="fr-FR"/>
        </w:rPr>
        <w:t> </w:t>
      </w:r>
      <w:r w:rsidRPr="00D73BD7">
        <w:rPr>
          <w:lang w:val="fr-FR"/>
        </w:rPr>
        <w:t>activités.</w:t>
      </w:r>
    </w:p>
    <w:p w:rsidR="00D73BD7" w:rsidRPr="00D73BD7" w:rsidRDefault="00D73BD7" w:rsidP="00D73BD7">
      <w:pPr>
        <w:pStyle w:val="SingleTxtG"/>
        <w:rPr>
          <w:lang w:val="fr-FR"/>
        </w:rPr>
      </w:pPr>
      <w:r w:rsidRPr="00D73BD7">
        <w:rPr>
          <w:lang w:val="fr-FR"/>
        </w:rPr>
        <w:t>10.</w:t>
      </w:r>
      <w:r w:rsidRPr="00D73BD7">
        <w:rPr>
          <w:lang w:val="fr-FR"/>
        </w:rPr>
        <w:tab/>
        <w:t>En raison du fort durcissement des restrictions annoncé en août 2020, plusieurs réunions ont été raccourcies à compter de septembre 2020, le temps alloué aux formules hybrides étant limité. De plus, certaines réunions prévues se sont tenues à titre de manifestations combinant des volets informel et formel, à la suite de négociations internes organisées entre les divisions de la CEE, de façon à répondre aux besoins d’autant de sous</w:t>
      </w:r>
      <w:r w:rsidR="005F566F">
        <w:rPr>
          <w:lang w:val="fr-FR"/>
        </w:rPr>
        <w:noBreakHyphen/>
      </w:r>
      <w:r w:rsidRPr="00D73BD7">
        <w:rPr>
          <w:lang w:val="fr-FR"/>
        </w:rPr>
        <w:t>programmes que possible dans le cadre du quota de service restreint de l’ONUG (une manifestation de la CEE par jour). Pour plus de précisions sur la chronologie des événements, voir l’annexe II.</w:t>
      </w:r>
    </w:p>
    <w:p w:rsidR="00D73BD7" w:rsidRPr="00D73BD7" w:rsidRDefault="00D73BD7" w:rsidP="00D73BD7">
      <w:pPr>
        <w:pStyle w:val="H1G"/>
        <w:rPr>
          <w:lang w:val="fr-FR"/>
        </w:rPr>
      </w:pPr>
      <w:r w:rsidRPr="00D73BD7">
        <w:rPr>
          <w:lang w:val="fr-FR"/>
        </w:rPr>
        <w:tab/>
        <w:t>C.</w:t>
      </w:r>
      <w:r w:rsidRPr="00D73BD7">
        <w:rPr>
          <w:lang w:val="fr-FR"/>
        </w:rPr>
        <w:tab/>
      </w:r>
      <w:r w:rsidRPr="00D73BD7">
        <w:rPr>
          <w:bCs/>
          <w:lang w:val="fr-FR"/>
        </w:rPr>
        <w:t>Activités supplémentaires ou nouvelles liées à la COVID-19</w:t>
      </w:r>
    </w:p>
    <w:p w:rsidR="00D73BD7" w:rsidRPr="00D73BD7" w:rsidRDefault="00D73BD7" w:rsidP="00D73BD7">
      <w:pPr>
        <w:pStyle w:val="SingleTxtG"/>
        <w:rPr>
          <w:lang w:val="fr-FR"/>
        </w:rPr>
      </w:pPr>
      <w:r w:rsidRPr="00D73BD7">
        <w:rPr>
          <w:lang w:val="fr-FR"/>
        </w:rPr>
        <w:t>11.</w:t>
      </w:r>
      <w:r w:rsidRPr="00D73BD7">
        <w:rPr>
          <w:lang w:val="fr-FR"/>
        </w:rPr>
        <w:tab/>
        <w:t>Du fait des mesures d’atténuation des effets de la pandémie de COVID-19, le secrétariat a lancé ou soutenu plusieurs activités qui n’étaient au départ pas prévues dans le programme de travail du sous-programme afin de continuer à fournir un appui réglementaire et stratégique aux États membres et aux Parties contractantes. Pour un compte rendu plus détaillé de ces activités, voir le document ECE/TRANS/2021/4.</w:t>
      </w:r>
    </w:p>
    <w:p w:rsidR="00D73BD7" w:rsidRPr="00634A7D" w:rsidRDefault="00D73BD7" w:rsidP="00D73BD7">
      <w:pPr>
        <w:pStyle w:val="HChG"/>
        <w:rPr>
          <w:spacing w:val="-2"/>
          <w:lang w:val="fr-FR"/>
        </w:rPr>
      </w:pPr>
      <w:r w:rsidRPr="00D73BD7">
        <w:rPr>
          <w:lang w:val="fr-FR"/>
        </w:rPr>
        <w:tab/>
        <w:t>III.</w:t>
      </w:r>
      <w:r w:rsidRPr="00D73BD7">
        <w:rPr>
          <w:lang w:val="fr-FR"/>
        </w:rPr>
        <w:tab/>
      </w:r>
      <w:r w:rsidRPr="00634A7D">
        <w:rPr>
          <w:spacing w:val="-2"/>
          <w:lang w:val="fr-FR"/>
        </w:rPr>
        <w:t>Conséquences sur les travaux du sous-programme Transports</w:t>
      </w:r>
    </w:p>
    <w:p w:rsidR="00D73BD7" w:rsidRPr="00D73BD7" w:rsidRDefault="00D73BD7" w:rsidP="00D73BD7">
      <w:pPr>
        <w:pStyle w:val="SingleTxtG"/>
        <w:rPr>
          <w:lang w:val="fr-FR"/>
        </w:rPr>
      </w:pPr>
      <w:r w:rsidRPr="00D73BD7">
        <w:rPr>
          <w:lang w:val="fr-FR"/>
        </w:rPr>
        <w:t>12.</w:t>
      </w:r>
      <w:r w:rsidRPr="00D73BD7">
        <w:rPr>
          <w:lang w:val="fr-FR"/>
        </w:rPr>
        <w:tab/>
        <w:t>Ce chapitre rend compte des conséquences estimées de la pandémie de COVID-19, conjuguée à la crise de liquidités, sur le sous-programme Transports.</w:t>
      </w:r>
    </w:p>
    <w:p w:rsidR="00D73BD7" w:rsidRPr="00D73BD7" w:rsidRDefault="00D73BD7" w:rsidP="00D73BD7">
      <w:pPr>
        <w:pStyle w:val="SingleTxtG"/>
        <w:rPr>
          <w:lang w:val="fr-FR"/>
        </w:rPr>
      </w:pPr>
      <w:r w:rsidRPr="00D73BD7">
        <w:rPr>
          <w:lang w:val="fr-FR"/>
        </w:rPr>
        <w:t>13.</w:t>
      </w:r>
      <w:r w:rsidRPr="00D73BD7">
        <w:rPr>
          <w:lang w:val="fr-FR"/>
        </w:rPr>
        <w:tab/>
        <w:t>Globalement, environ 35 à 40</w:t>
      </w:r>
      <w:r w:rsidR="00634A7D">
        <w:rPr>
          <w:lang w:val="fr-FR"/>
        </w:rPr>
        <w:t> </w:t>
      </w:r>
      <w:r w:rsidRPr="00D73BD7">
        <w:rPr>
          <w:lang w:val="fr-FR"/>
        </w:rPr>
        <w:t>% des produits répertoriés dans le programme de travail du sous-programme Transports ne seront pas livrés</w:t>
      </w:r>
      <w:r w:rsidRPr="00D73BD7">
        <w:rPr>
          <w:rStyle w:val="Appelnotedebasdep"/>
        </w:rPr>
        <w:footnoteReference w:id="3"/>
      </w:r>
      <w:r w:rsidRPr="00D73BD7">
        <w:rPr>
          <w:lang w:val="fr-FR"/>
        </w:rPr>
        <w:t>. La présente note traite essentiellement des conséquences sur</w:t>
      </w:r>
      <w:r>
        <w:rPr>
          <w:lang w:val="fr-FR"/>
        </w:rPr>
        <w:t> :</w:t>
      </w:r>
    </w:p>
    <w:p w:rsidR="00D73BD7" w:rsidRPr="00D73BD7" w:rsidRDefault="00D73BD7" w:rsidP="00D73BD7">
      <w:pPr>
        <w:pStyle w:val="SingleTxtG"/>
        <w:ind w:firstLine="567"/>
        <w:rPr>
          <w:lang w:val="fr-FR"/>
        </w:rPr>
      </w:pPr>
      <w:r w:rsidRPr="00D73BD7">
        <w:rPr>
          <w:lang w:val="fr-FR"/>
        </w:rPr>
        <w:t>a)</w:t>
      </w:r>
      <w:r w:rsidRPr="00D73BD7">
        <w:rPr>
          <w:lang w:val="fr-FR"/>
        </w:rPr>
        <w:tab/>
        <w:t>Les réunions des organes subsidiaires du CTI, qui constituent le fondement des travaux réglementaires que le Comité effectue conformément à son rôle de plateforme des Nations Unies pour les transports intérieurs</w:t>
      </w:r>
      <w:r>
        <w:rPr>
          <w:lang w:val="fr-FR"/>
        </w:rPr>
        <w:t> ;</w:t>
      </w:r>
    </w:p>
    <w:p w:rsidR="00D73BD7" w:rsidRPr="00D73BD7" w:rsidRDefault="00D73BD7" w:rsidP="00D73BD7">
      <w:pPr>
        <w:pStyle w:val="SingleTxtG"/>
        <w:ind w:firstLine="567"/>
        <w:rPr>
          <w:lang w:val="fr-FR"/>
        </w:rPr>
      </w:pPr>
      <w:r w:rsidRPr="00D73BD7">
        <w:rPr>
          <w:lang w:val="fr-FR"/>
        </w:rPr>
        <w:t>b)</w:t>
      </w:r>
      <w:r w:rsidRPr="00D73BD7">
        <w:rPr>
          <w:lang w:val="fr-FR"/>
        </w:rPr>
        <w:tab/>
        <w:t>La documentation, essentielle à la mise à jour des instruments juridiques.</w:t>
      </w:r>
    </w:p>
    <w:p w:rsidR="00D73BD7" w:rsidRPr="00D73BD7" w:rsidRDefault="00D73BD7" w:rsidP="00D73BD7">
      <w:pPr>
        <w:pStyle w:val="H1G"/>
        <w:rPr>
          <w:lang w:val="fr-FR"/>
        </w:rPr>
      </w:pPr>
      <w:r w:rsidRPr="00D73BD7">
        <w:rPr>
          <w:lang w:val="fr-FR"/>
        </w:rPr>
        <w:tab/>
        <w:t>A.</w:t>
      </w:r>
      <w:r w:rsidRPr="00D73BD7">
        <w:rPr>
          <w:lang w:val="fr-FR"/>
        </w:rPr>
        <w:tab/>
        <w:t>Conséquences sur les réunions</w:t>
      </w:r>
    </w:p>
    <w:p w:rsidR="00D73BD7" w:rsidRPr="00D73BD7" w:rsidRDefault="00D73BD7" w:rsidP="00D73BD7">
      <w:pPr>
        <w:pStyle w:val="H23G"/>
        <w:rPr>
          <w:lang w:val="fr-FR"/>
        </w:rPr>
      </w:pPr>
      <w:r w:rsidRPr="00D73BD7">
        <w:rPr>
          <w:lang w:val="fr-FR"/>
        </w:rPr>
        <w:tab/>
        <w:t>1.</w:t>
      </w:r>
      <w:r w:rsidRPr="00D73BD7">
        <w:rPr>
          <w:lang w:val="fr-FR"/>
        </w:rPr>
        <w:tab/>
        <w:t>Conséquences sur les réunions des organes permanents (groupes de travail)</w:t>
      </w:r>
    </w:p>
    <w:p w:rsidR="00D73BD7" w:rsidRPr="00D73BD7" w:rsidRDefault="00D73BD7" w:rsidP="00D73BD7">
      <w:pPr>
        <w:pStyle w:val="SingleTxtG"/>
        <w:rPr>
          <w:lang w:val="fr-FR"/>
        </w:rPr>
      </w:pPr>
      <w:r w:rsidRPr="00D73BD7">
        <w:rPr>
          <w:lang w:val="fr-FR"/>
        </w:rPr>
        <w:t>14.</w:t>
      </w:r>
      <w:r w:rsidRPr="00D73BD7">
        <w:rPr>
          <w:lang w:val="fr-FR"/>
        </w:rPr>
        <w:tab/>
        <w:t>Au moment de la rédaction de la présente note, les effets conjugués de la COVID-19 et de la crise de liquidités sur les réunions prévues de plusieurs groupes de travail du CTI ne s’étaient pas encore totalement révélés, mais il était déjà possible d’affirmer qu’ils seraient importants.</w:t>
      </w:r>
    </w:p>
    <w:p w:rsidR="00D73BD7" w:rsidRDefault="00D73BD7" w:rsidP="00D73BD7">
      <w:pPr>
        <w:pStyle w:val="SingleTxtG"/>
        <w:rPr>
          <w:lang w:val="fr-FR"/>
        </w:rPr>
      </w:pPr>
      <w:r w:rsidRPr="00D73BD7">
        <w:rPr>
          <w:lang w:val="fr-FR"/>
        </w:rPr>
        <w:t>15.</w:t>
      </w:r>
      <w:r w:rsidRPr="00D73BD7">
        <w:rPr>
          <w:lang w:val="fr-FR"/>
        </w:rPr>
        <w:tab/>
        <w:t xml:space="preserve">Si l’on tient compte des réunions combinant des volets formel (réunions en présentiel et hybrides avec interprétation) et informel (sans interprétation) organisées conformément aux procédures spéciales, entre 35 et 100 % des réunions prévues ont eu lieu, selon les groupes de travail (voir tableau 1). </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634A7D">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634A7D" w:rsidRDefault="00634A7D" w:rsidP="00EC6B98">
            <w:pPr>
              <w:keepNext/>
            </w:pPr>
          </w:p>
        </w:tc>
      </w:tr>
      <w:tr w:rsidR="00634A7D">
        <w:trPr>
          <w:jc w:val="center"/>
        </w:trPr>
        <w:tc>
          <w:tcPr>
            <w:tcW w:w="7653" w:type="dxa"/>
            <w:tcBorders>
              <w:left w:val="single" w:sz="4" w:space="0" w:color="auto"/>
              <w:bottom w:val="nil"/>
              <w:right w:val="single" w:sz="4" w:space="0" w:color="auto"/>
            </w:tcBorders>
            <w:shd w:val="clear" w:color="auto" w:fill="auto"/>
          </w:tcPr>
          <w:p w:rsidR="00634A7D" w:rsidRDefault="00634A7D" w:rsidP="00EC6B98">
            <w:pPr>
              <w:keepNext/>
              <w:spacing w:after="120"/>
              <w:jc w:val="both"/>
            </w:pPr>
            <w:r w:rsidRPr="00D73BD7">
              <w:rPr>
                <w:b/>
                <w:bCs/>
                <w:lang w:val="fr-FR"/>
              </w:rPr>
              <w:t>Encadré</w:t>
            </w:r>
            <w:r>
              <w:rPr>
                <w:b/>
                <w:bCs/>
                <w:lang w:val="fr-FR"/>
              </w:rPr>
              <w:br/>
            </w:r>
            <w:r w:rsidRPr="00D73BD7">
              <w:rPr>
                <w:b/>
                <w:bCs/>
                <w:lang w:val="fr-FR"/>
              </w:rPr>
              <w:t>Groupe de travail des dispositions générales de sécurité (GRSG)</w:t>
            </w:r>
          </w:p>
        </w:tc>
      </w:tr>
      <w:tr w:rsidR="00634A7D">
        <w:trPr>
          <w:jc w:val="center"/>
        </w:trPr>
        <w:tc>
          <w:tcPr>
            <w:tcW w:w="7653" w:type="dxa"/>
            <w:tcBorders>
              <w:left w:val="single" w:sz="4" w:space="0" w:color="auto"/>
              <w:bottom w:val="nil"/>
              <w:right w:val="single" w:sz="4" w:space="0" w:color="auto"/>
            </w:tcBorders>
            <w:shd w:val="clear" w:color="auto" w:fill="auto"/>
          </w:tcPr>
          <w:p w:rsidR="00634A7D" w:rsidRPr="00EC6B98" w:rsidRDefault="00634A7D" w:rsidP="00EC6B98">
            <w:pPr>
              <w:keepNext/>
              <w:spacing w:after="120"/>
              <w:ind w:firstLine="567"/>
              <w:jc w:val="both"/>
              <w:rPr>
                <w:spacing w:val="-2"/>
              </w:rPr>
            </w:pPr>
            <w:r w:rsidRPr="00EC6B98">
              <w:rPr>
                <w:spacing w:val="-2"/>
                <w:lang w:val="fr-FR"/>
              </w:rPr>
              <w:t>Le GRSG est un groupe de travail qui relève du Forum mondial de l’harmonisation des Règlements concernant les véhicules (WP.29) et organise généralement deux sessions par an (en avril et en octobre), ce qui représente 17</w:t>
            </w:r>
            <w:r w:rsidRPr="00EC6B98">
              <w:rPr>
                <w:spacing w:val="-2"/>
                <w:lang w:val="fr-FR"/>
              </w:rPr>
              <w:t> </w:t>
            </w:r>
            <w:r w:rsidRPr="00EC6B98">
              <w:rPr>
                <w:spacing w:val="-2"/>
                <w:lang w:val="fr-FR"/>
              </w:rPr>
              <w:t>demi-journées de service complet avec interprétation. En 2020, en raison de la pandémie de COVID-19 et de la crise financière, la session d’avril a dû être reportée au mois de juillet, et les deux sessions se sont tenues en ligne et sans interprétation. Étant donné que les délégations participant au GRSG étaient réparties sur tous les continents, les Parties contractantes ont demandé que les réunions aient lieu en début d’après-midi (heure d’Europe centrale), ce qui a restreint à huit le nombre de demi-journées.</w:t>
            </w:r>
          </w:p>
        </w:tc>
      </w:tr>
      <w:tr w:rsidR="00634A7D">
        <w:trPr>
          <w:jc w:val="center"/>
        </w:trPr>
        <w:tc>
          <w:tcPr>
            <w:tcW w:w="7653" w:type="dxa"/>
            <w:tcBorders>
              <w:left w:val="single" w:sz="4" w:space="0" w:color="auto"/>
              <w:bottom w:val="nil"/>
              <w:right w:val="single" w:sz="4" w:space="0" w:color="auto"/>
            </w:tcBorders>
            <w:shd w:val="clear" w:color="auto" w:fill="auto"/>
          </w:tcPr>
          <w:p w:rsidR="00634A7D" w:rsidRDefault="00634A7D" w:rsidP="00634A7D">
            <w:pPr>
              <w:spacing w:after="120"/>
              <w:ind w:firstLine="567"/>
              <w:jc w:val="both"/>
            </w:pPr>
            <w:r w:rsidRPr="00D73BD7">
              <w:rPr>
                <w:lang w:val="fr-FR"/>
              </w:rPr>
              <w:t>Le Comité exécutif a considéré ces séances en ligne sans interprétation comme des réunions informelles, et estimé que la prise de toute</w:t>
            </w:r>
            <w:r w:rsidR="00EC6B98">
              <w:rPr>
                <w:lang w:val="fr-FR"/>
              </w:rPr>
              <w:t>s</w:t>
            </w:r>
            <w:r w:rsidRPr="00D73BD7">
              <w:rPr>
                <w:lang w:val="fr-FR"/>
              </w:rPr>
              <w:t xml:space="preserve"> décision</w:t>
            </w:r>
            <w:r w:rsidR="00EC6B98">
              <w:rPr>
                <w:lang w:val="fr-FR"/>
              </w:rPr>
              <w:t>s</w:t>
            </w:r>
            <w:r w:rsidRPr="00D73BD7">
              <w:rPr>
                <w:lang w:val="fr-FR"/>
              </w:rPr>
              <w:t xml:space="preserve"> sur des questions de fond devrait être conforme aux procédures spéciales énoncées dans le document EXCOM Inf. n</w:t>
            </w:r>
            <w:r w:rsidRPr="00D73BD7">
              <w:rPr>
                <w:vertAlign w:val="superscript"/>
                <w:lang w:val="fr-FR"/>
              </w:rPr>
              <w:t>o</w:t>
            </w:r>
            <w:r>
              <w:rPr>
                <w:lang w:val="fr-FR"/>
              </w:rPr>
              <w:t> </w:t>
            </w:r>
            <w:r w:rsidRPr="00D73BD7">
              <w:rPr>
                <w:lang w:val="fr-FR"/>
              </w:rPr>
              <w:t xml:space="preserve">2020/18. Conformément à ces procédures, le Président du GRSG devait formuler une proposition relative aux modalités d’organisation de la session à venir, qui devait être approuvée par les pays participants selon une procédure d’approbation tacite de </w:t>
            </w:r>
            <w:r w:rsidR="00EC6B98">
              <w:rPr>
                <w:lang w:val="fr-FR"/>
              </w:rPr>
              <w:t xml:space="preserve">soixante-douze </w:t>
            </w:r>
            <w:r w:rsidRPr="00D73BD7">
              <w:rPr>
                <w:lang w:val="fr-FR"/>
              </w:rPr>
              <w:t xml:space="preserve">heures avant la session. Celle-ci s’est tenue conformément aux modalités d’organisation ainsi approuvées. Après cette session, une liste des principales décisions devait être diffusée à toutes les Parties contractantes représentées pour adoption selon une procédure d’approbation tacite d’une durée de </w:t>
            </w:r>
            <w:r>
              <w:rPr>
                <w:lang w:val="fr-FR"/>
              </w:rPr>
              <w:t xml:space="preserve">dix </w:t>
            </w:r>
            <w:r w:rsidRPr="00D73BD7">
              <w:rPr>
                <w:lang w:val="fr-FR"/>
              </w:rPr>
              <w:t>jours. Conformément aux dispositions adoptées par le Comité exécutif, tous les documents utilisés aux fins des procédures d’approbation tacite doivent être mis à disposition dans les trois langues officielles de la CEE. La traduction de ces documents, qui n’était pas prévue dans le budget 2020, a dû être assurée par le personnel de la Section. Enfin, ces réunions n’ont pas été prises en compte dans les statistiques relatives aux réunions qui ont été soumises aux Comité exécutif.</w:t>
            </w:r>
          </w:p>
        </w:tc>
      </w:tr>
      <w:tr w:rsidR="00634A7D">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634A7D" w:rsidRDefault="00634A7D"/>
        </w:tc>
      </w:tr>
    </w:tbl>
    <w:p w:rsidR="00D73BD7" w:rsidRPr="00D73BD7" w:rsidRDefault="00D73BD7" w:rsidP="00D73BD7">
      <w:pPr>
        <w:pStyle w:val="SingleTxtG"/>
        <w:spacing w:before="120"/>
        <w:rPr>
          <w:lang w:val="fr-FR"/>
        </w:rPr>
      </w:pPr>
      <w:r w:rsidRPr="00D73BD7">
        <w:rPr>
          <w:lang w:val="fr-FR"/>
        </w:rPr>
        <w:t>16.</w:t>
      </w:r>
      <w:r w:rsidRPr="00D73BD7">
        <w:rPr>
          <w:lang w:val="fr-FR"/>
        </w:rPr>
        <w:tab/>
        <w:t>Au total, le sous-programme dans son ensemble devrait avoir tenu environ 62</w:t>
      </w:r>
      <w:r w:rsidR="00634A7D">
        <w:rPr>
          <w:lang w:val="fr-FR"/>
        </w:rPr>
        <w:t> </w:t>
      </w:r>
      <w:r w:rsidRPr="00D73BD7">
        <w:rPr>
          <w:lang w:val="fr-FR"/>
        </w:rPr>
        <w:t>% des réunions prévues (voir tableau 1, colonne f)).</w:t>
      </w:r>
    </w:p>
    <w:p w:rsidR="00D73BD7" w:rsidRPr="00D73BD7" w:rsidRDefault="00D73BD7" w:rsidP="00D73BD7">
      <w:pPr>
        <w:pStyle w:val="SingleTxtG"/>
        <w:rPr>
          <w:lang w:val="fr-FR"/>
        </w:rPr>
      </w:pPr>
      <w:r w:rsidRPr="00D73BD7">
        <w:rPr>
          <w:lang w:val="fr-FR"/>
        </w:rPr>
        <w:t>17.</w:t>
      </w:r>
      <w:r w:rsidRPr="00D73BD7">
        <w:rPr>
          <w:lang w:val="fr-FR"/>
        </w:rPr>
        <w:tab/>
        <w:t>Le multilinguisme et la capacité de tenir des réunions avec services d’interprétation complets sont cependant essentiels à la bonne exécution du mandat du Comité et de ses organes subsidiaires. S’agissant de cet aspect qualitatif, certains groupes de travail, en particulier ceux dont les réunions programmées coïncidaient avec le début de la mise en œuvre des mesures prises contre la COVID-19, ont été totalement privés d’interprétation (voir tableau 1, colonne e)). Les difficultés rencontrées par les organes subsidiaires du Comité sont examinées plus en détail, à titre indicatif, dans l’encadré.</w:t>
      </w:r>
    </w:p>
    <w:p w:rsidR="00D73BD7" w:rsidRPr="00D73BD7" w:rsidRDefault="00D73BD7" w:rsidP="00D73BD7">
      <w:pPr>
        <w:pStyle w:val="SingleTxtG"/>
        <w:rPr>
          <w:lang w:val="fr-FR"/>
        </w:rPr>
      </w:pPr>
      <w:r w:rsidRPr="00D73BD7">
        <w:rPr>
          <w:lang w:val="fr-FR"/>
        </w:rPr>
        <w:t>18.</w:t>
      </w:r>
      <w:r w:rsidRPr="00D73BD7">
        <w:rPr>
          <w:lang w:val="fr-FR"/>
        </w:rPr>
        <w:tab/>
        <w:t>Globalement, seules 34</w:t>
      </w:r>
      <w:r w:rsidR="00634A7D">
        <w:rPr>
          <w:lang w:val="fr-FR"/>
        </w:rPr>
        <w:t> </w:t>
      </w:r>
      <w:r w:rsidRPr="00D73BD7">
        <w:rPr>
          <w:lang w:val="fr-FR"/>
        </w:rPr>
        <w:t>% environ des réunions prévues ou inscrites au budget au titre du sous-programme devraient se tenir en 2020 avec interprétation dans toutes les langues de travail, qu’il s’agisse de réunions en présentiel ou de réunions hybrides.</w:t>
      </w:r>
    </w:p>
    <w:p w:rsidR="00D73BD7" w:rsidRPr="00D73BD7" w:rsidRDefault="00D73BD7" w:rsidP="00634A7D">
      <w:pPr>
        <w:pStyle w:val="Titre1"/>
        <w:rPr>
          <w:lang w:val="fr-FR"/>
        </w:rPr>
      </w:pPr>
      <w:r w:rsidRPr="00D73BD7">
        <w:rPr>
          <w:lang w:val="fr-FR"/>
        </w:rPr>
        <w:t>Tableau 1</w:t>
      </w:r>
    </w:p>
    <w:p w:rsidR="00D73BD7" w:rsidRPr="00634A7D" w:rsidRDefault="00D73BD7" w:rsidP="00EC6B98">
      <w:pPr>
        <w:pStyle w:val="SingleTxtG"/>
        <w:keepNext/>
        <w:ind w:right="0"/>
        <w:jc w:val="left"/>
        <w:rPr>
          <w:b/>
          <w:bCs/>
          <w:lang w:val="fr-FR"/>
        </w:rPr>
      </w:pPr>
      <w:r w:rsidRPr="00634A7D">
        <w:rPr>
          <w:b/>
          <w:bCs/>
          <w:lang w:val="fr-FR"/>
        </w:rPr>
        <w:t>Conséquences de la COVID-19 et de la crise de liquidités sur les réunions des groupes de travail</w:t>
      </w:r>
    </w:p>
    <w:tbl>
      <w:tblPr>
        <w:tblW w:w="8504" w:type="dxa"/>
        <w:tblInd w:w="1134" w:type="dxa"/>
        <w:tblLayout w:type="fixed"/>
        <w:tblCellMar>
          <w:left w:w="0" w:type="dxa"/>
          <w:right w:w="0" w:type="dxa"/>
        </w:tblCellMar>
        <w:tblLook w:val="04A0" w:firstRow="1" w:lastRow="0" w:firstColumn="1" w:lastColumn="0" w:noHBand="0" w:noVBand="1"/>
      </w:tblPr>
      <w:tblGrid>
        <w:gridCol w:w="2127"/>
        <w:gridCol w:w="992"/>
        <w:gridCol w:w="992"/>
        <w:gridCol w:w="992"/>
        <w:gridCol w:w="1134"/>
        <w:gridCol w:w="1134"/>
        <w:gridCol w:w="1125"/>
        <w:gridCol w:w="8"/>
      </w:tblGrid>
      <w:tr w:rsidR="00634A7D" w:rsidRPr="00634A7D" w:rsidTr="00094937">
        <w:trPr>
          <w:tblHeader/>
        </w:trPr>
        <w:tc>
          <w:tcPr>
            <w:tcW w:w="2127" w:type="dxa"/>
            <w:vMerge w:val="restart"/>
            <w:tcBorders>
              <w:top w:val="single" w:sz="4" w:space="0" w:color="auto"/>
            </w:tcBorders>
            <w:shd w:val="clear" w:color="auto" w:fill="auto"/>
            <w:vAlign w:val="bottom"/>
            <w:hideMark/>
          </w:tcPr>
          <w:p w:rsidR="00634A7D" w:rsidRPr="00634A7D" w:rsidRDefault="00634A7D" w:rsidP="00634A7D">
            <w:pPr>
              <w:suppressAutoHyphens w:val="0"/>
              <w:spacing w:before="80" w:after="80" w:line="200" w:lineRule="exact"/>
              <w:jc w:val="right"/>
              <w:rPr>
                <w:i/>
                <w:sz w:val="16"/>
                <w:lang w:val="fr-FR"/>
              </w:rPr>
            </w:pPr>
            <w:r w:rsidRPr="00634A7D">
              <w:rPr>
                <w:i/>
                <w:sz w:val="16"/>
                <w:lang w:val="fr-FR"/>
              </w:rPr>
              <w:t> </w:t>
            </w:r>
          </w:p>
        </w:tc>
        <w:tc>
          <w:tcPr>
            <w:tcW w:w="992" w:type="dxa"/>
            <w:tcBorders>
              <w:top w:val="single" w:sz="4" w:space="0" w:color="auto"/>
              <w:bottom w:val="single" w:sz="4" w:space="0" w:color="auto"/>
            </w:tcBorders>
            <w:shd w:val="clear" w:color="auto" w:fill="auto"/>
            <w:noWrap/>
            <w:vAlign w:val="bottom"/>
            <w:hideMark/>
          </w:tcPr>
          <w:p w:rsidR="00634A7D" w:rsidRPr="00634A7D" w:rsidRDefault="00634A7D" w:rsidP="00634A7D">
            <w:pPr>
              <w:spacing w:before="80" w:after="80" w:line="200" w:lineRule="exact"/>
              <w:jc w:val="right"/>
              <w:rPr>
                <w:i/>
                <w:sz w:val="16"/>
                <w:lang w:val="fr-FR"/>
              </w:rPr>
            </w:pPr>
          </w:p>
        </w:tc>
        <w:tc>
          <w:tcPr>
            <w:tcW w:w="1984" w:type="dxa"/>
            <w:gridSpan w:val="2"/>
            <w:tcBorders>
              <w:top w:val="single" w:sz="4" w:space="0" w:color="auto"/>
              <w:bottom w:val="single" w:sz="4" w:space="0" w:color="auto"/>
            </w:tcBorders>
            <w:shd w:val="clear" w:color="auto" w:fill="auto"/>
            <w:vAlign w:val="bottom"/>
            <w:hideMark/>
          </w:tcPr>
          <w:p w:rsidR="00634A7D" w:rsidRPr="00634A7D" w:rsidRDefault="00634A7D" w:rsidP="00634A7D">
            <w:pPr>
              <w:suppressAutoHyphens w:val="0"/>
              <w:spacing w:before="80" w:after="80" w:line="200" w:lineRule="exact"/>
              <w:jc w:val="center"/>
              <w:rPr>
                <w:i/>
                <w:sz w:val="16"/>
                <w:lang w:val="fr-FR"/>
              </w:rPr>
            </w:pPr>
            <w:r w:rsidRPr="00634A7D">
              <w:rPr>
                <w:i/>
                <w:sz w:val="16"/>
                <w:lang w:val="fr-FR"/>
              </w:rPr>
              <w:t>Réunions tenues en 2020 (estimation)</w:t>
            </w:r>
          </w:p>
        </w:tc>
        <w:tc>
          <w:tcPr>
            <w:tcW w:w="1134" w:type="dxa"/>
            <w:tcBorders>
              <w:top w:val="single" w:sz="4" w:space="0" w:color="auto"/>
              <w:bottom w:val="single" w:sz="4" w:space="0" w:color="auto"/>
            </w:tcBorders>
            <w:shd w:val="clear" w:color="auto" w:fill="auto"/>
            <w:vAlign w:val="bottom"/>
            <w:hideMark/>
          </w:tcPr>
          <w:p w:rsidR="00634A7D" w:rsidRPr="00634A7D" w:rsidRDefault="00634A7D" w:rsidP="00634A7D">
            <w:pPr>
              <w:spacing w:before="80" w:after="80" w:line="200" w:lineRule="exact"/>
              <w:rPr>
                <w:i/>
                <w:sz w:val="16"/>
                <w:lang w:val="fr-FR"/>
              </w:rPr>
            </w:pPr>
          </w:p>
        </w:tc>
        <w:tc>
          <w:tcPr>
            <w:tcW w:w="1134" w:type="dxa"/>
            <w:tcBorders>
              <w:top w:val="single" w:sz="4" w:space="0" w:color="auto"/>
              <w:bottom w:val="single" w:sz="4" w:space="0" w:color="auto"/>
            </w:tcBorders>
            <w:shd w:val="clear" w:color="auto" w:fill="auto"/>
            <w:vAlign w:val="bottom"/>
            <w:hideMark/>
          </w:tcPr>
          <w:p w:rsidR="00634A7D" w:rsidRPr="00634A7D" w:rsidRDefault="00634A7D" w:rsidP="00634A7D">
            <w:pPr>
              <w:suppressAutoHyphens w:val="0"/>
              <w:spacing w:before="80" w:after="80" w:line="200" w:lineRule="exact"/>
              <w:rPr>
                <w:i/>
                <w:sz w:val="16"/>
                <w:lang w:val="fr-FR"/>
              </w:rPr>
            </w:pPr>
          </w:p>
        </w:tc>
        <w:tc>
          <w:tcPr>
            <w:tcW w:w="1133" w:type="dxa"/>
            <w:gridSpan w:val="2"/>
            <w:tcBorders>
              <w:top w:val="single" w:sz="4" w:space="0" w:color="auto"/>
              <w:bottom w:val="single" w:sz="4" w:space="0" w:color="auto"/>
            </w:tcBorders>
            <w:shd w:val="clear" w:color="auto" w:fill="auto"/>
            <w:vAlign w:val="bottom"/>
            <w:hideMark/>
          </w:tcPr>
          <w:p w:rsidR="00634A7D" w:rsidRPr="00634A7D" w:rsidRDefault="00634A7D" w:rsidP="00634A7D">
            <w:pPr>
              <w:suppressAutoHyphens w:val="0"/>
              <w:spacing w:before="80" w:after="80" w:line="200" w:lineRule="exact"/>
              <w:rPr>
                <w:i/>
                <w:sz w:val="16"/>
                <w:lang w:val="fr-FR"/>
              </w:rPr>
            </w:pPr>
          </w:p>
        </w:tc>
      </w:tr>
      <w:tr w:rsidR="00634A7D" w:rsidRPr="00634A7D" w:rsidTr="00094937">
        <w:trPr>
          <w:gridAfter w:val="1"/>
          <w:wAfter w:w="8" w:type="dxa"/>
          <w:tblHeader/>
        </w:trPr>
        <w:tc>
          <w:tcPr>
            <w:tcW w:w="2127" w:type="dxa"/>
            <w:vMerge/>
            <w:tcBorders>
              <w:bottom w:val="single" w:sz="12" w:space="0" w:color="auto"/>
            </w:tcBorders>
            <w:shd w:val="clear" w:color="auto" w:fill="auto"/>
            <w:vAlign w:val="bottom"/>
            <w:hideMark/>
          </w:tcPr>
          <w:p w:rsidR="00634A7D" w:rsidRPr="00634A7D" w:rsidRDefault="00634A7D" w:rsidP="00634A7D">
            <w:pPr>
              <w:suppressAutoHyphens w:val="0"/>
              <w:spacing w:before="80" w:after="80" w:line="200" w:lineRule="exact"/>
              <w:rPr>
                <w:i/>
                <w:sz w:val="16"/>
                <w:lang w:val="fr-FR" w:eastAsia="zh-CN"/>
              </w:rPr>
            </w:pPr>
          </w:p>
        </w:tc>
        <w:tc>
          <w:tcPr>
            <w:tcW w:w="992" w:type="dxa"/>
            <w:tcBorders>
              <w:top w:val="single" w:sz="4" w:space="0" w:color="auto"/>
              <w:bottom w:val="single" w:sz="12" w:space="0" w:color="auto"/>
            </w:tcBorders>
            <w:shd w:val="clear" w:color="auto" w:fill="auto"/>
            <w:vAlign w:val="bottom"/>
            <w:hideMark/>
          </w:tcPr>
          <w:p w:rsidR="00634A7D" w:rsidRPr="00634A7D" w:rsidRDefault="00094937" w:rsidP="00634A7D">
            <w:pPr>
              <w:suppressAutoHyphens w:val="0"/>
              <w:spacing w:before="80" w:after="80" w:line="200" w:lineRule="exact"/>
              <w:jc w:val="right"/>
              <w:rPr>
                <w:bCs/>
                <w:i/>
                <w:sz w:val="16"/>
                <w:lang w:val="fr-FR"/>
              </w:rPr>
            </w:pPr>
            <w:r w:rsidRPr="00634A7D">
              <w:rPr>
                <w:i/>
                <w:sz w:val="16"/>
                <w:lang w:val="fr-FR"/>
              </w:rPr>
              <w:t xml:space="preserve">Réunions programmées en 2020 </w:t>
            </w:r>
            <w:r>
              <w:rPr>
                <w:i/>
                <w:sz w:val="16"/>
                <w:lang w:val="fr-FR"/>
              </w:rPr>
              <w:br/>
            </w:r>
            <w:r w:rsidRPr="00634A7D">
              <w:rPr>
                <w:i/>
                <w:sz w:val="16"/>
                <w:lang w:val="fr-FR"/>
              </w:rPr>
              <w:t>(a)</w:t>
            </w:r>
          </w:p>
        </w:tc>
        <w:tc>
          <w:tcPr>
            <w:tcW w:w="992" w:type="dxa"/>
            <w:tcBorders>
              <w:top w:val="single" w:sz="4" w:space="0" w:color="auto"/>
              <w:bottom w:val="single" w:sz="12" w:space="0" w:color="auto"/>
            </w:tcBorders>
            <w:shd w:val="clear" w:color="auto" w:fill="auto"/>
            <w:vAlign w:val="bottom"/>
            <w:hideMark/>
          </w:tcPr>
          <w:p w:rsidR="00634A7D" w:rsidRPr="00634A7D" w:rsidRDefault="00634A7D" w:rsidP="00634A7D">
            <w:pPr>
              <w:suppressAutoHyphens w:val="0"/>
              <w:spacing w:before="80" w:after="80" w:line="200" w:lineRule="exact"/>
              <w:jc w:val="right"/>
              <w:rPr>
                <w:bCs/>
                <w:i/>
                <w:sz w:val="16"/>
                <w:lang w:val="fr-FR"/>
              </w:rPr>
            </w:pPr>
            <w:r w:rsidRPr="00634A7D">
              <w:rPr>
                <w:i/>
                <w:sz w:val="16"/>
                <w:lang w:val="fr-FR"/>
              </w:rPr>
              <w:t xml:space="preserve">Réunions tenues avec interprétation </w:t>
            </w:r>
            <w:r w:rsidRPr="00634A7D">
              <w:rPr>
                <w:i/>
                <w:sz w:val="16"/>
                <w:lang w:val="fr-FR"/>
              </w:rPr>
              <w:br/>
              <w:t>(b)*</w:t>
            </w:r>
          </w:p>
        </w:tc>
        <w:tc>
          <w:tcPr>
            <w:tcW w:w="992" w:type="dxa"/>
            <w:tcBorders>
              <w:top w:val="single" w:sz="4" w:space="0" w:color="auto"/>
              <w:bottom w:val="single" w:sz="12" w:space="0" w:color="auto"/>
            </w:tcBorders>
            <w:shd w:val="clear" w:color="auto" w:fill="auto"/>
            <w:vAlign w:val="bottom"/>
            <w:hideMark/>
          </w:tcPr>
          <w:p w:rsidR="00634A7D" w:rsidRPr="00634A7D" w:rsidRDefault="00634A7D" w:rsidP="00634A7D">
            <w:pPr>
              <w:suppressAutoHyphens w:val="0"/>
              <w:spacing w:before="80" w:after="80" w:line="200" w:lineRule="exact"/>
              <w:jc w:val="right"/>
              <w:rPr>
                <w:bCs/>
                <w:i/>
                <w:sz w:val="16"/>
                <w:lang w:val="fr-FR"/>
              </w:rPr>
            </w:pPr>
            <w:r w:rsidRPr="00634A7D">
              <w:rPr>
                <w:i/>
                <w:sz w:val="16"/>
                <w:lang w:val="fr-FR"/>
              </w:rPr>
              <w:t xml:space="preserve">Réunions tenues sans interprétation </w:t>
            </w:r>
            <w:r w:rsidRPr="00634A7D">
              <w:rPr>
                <w:i/>
                <w:sz w:val="16"/>
                <w:lang w:val="fr-FR"/>
              </w:rPr>
              <w:br/>
              <w:t>(c)*</w:t>
            </w:r>
          </w:p>
        </w:tc>
        <w:tc>
          <w:tcPr>
            <w:tcW w:w="1134" w:type="dxa"/>
            <w:tcBorders>
              <w:bottom w:val="single" w:sz="12" w:space="0" w:color="auto"/>
            </w:tcBorders>
            <w:shd w:val="clear" w:color="auto" w:fill="auto"/>
            <w:vAlign w:val="bottom"/>
            <w:hideMark/>
          </w:tcPr>
          <w:p w:rsidR="00634A7D" w:rsidRPr="00634A7D" w:rsidRDefault="00634A7D" w:rsidP="00634A7D">
            <w:pPr>
              <w:suppressAutoHyphens w:val="0"/>
              <w:spacing w:before="80" w:after="80" w:line="200" w:lineRule="exact"/>
              <w:jc w:val="right"/>
              <w:rPr>
                <w:bCs/>
                <w:i/>
                <w:sz w:val="16"/>
                <w:lang w:val="fr-FR"/>
              </w:rPr>
            </w:pPr>
            <w:r w:rsidRPr="00634A7D">
              <w:rPr>
                <w:i/>
                <w:sz w:val="16"/>
                <w:lang w:val="fr-FR"/>
              </w:rPr>
              <w:t>Nombre total de</w:t>
            </w:r>
            <w:r w:rsidR="00094937">
              <w:rPr>
                <w:i/>
                <w:sz w:val="16"/>
                <w:lang w:val="fr-FR"/>
              </w:rPr>
              <w:t> </w:t>
            </w:r>
            <w:r w:rsidRPr="00634A7D">
              <w:rPr>
                <w:i/>
                <w:sz w:val="16"/>
                <w:lang w:val="fr-FR"/>
              </w:rPr>
              <w:t>réunions tenues en 2020</w:t>
            </w:r>
            <w:r>
              <w:rPr>
                <w:i/>
                <w:sz w:val="16"/>
                <w:lang w:val="fr-FR"/>
              </w:rPr>
              <w:br/>
            </w:r>
            <w:r w:rsidRPr="00634A7D">
              <w:rPr>
                <w:i/>
                <w:sz w:val="16"/>
                <w:lang w:val="fr-FR"/>
              </w:rPr>
              <w:t>(d) = b + c</w:t>
            </w:r>
          </w:p>
        </w:tc>
        <w:tc>
          <w:tcPr>
            <w:tcW w:w="1134" w:type="dxa"/>
            <w:tcBorders>
              <w:bottom w:val="single" w:sz="12" w:space="0" w:color="auto"/>
            </w:tcBorders>
            <w:shd w:val="clear" w:color="auto" w:fill="auto"/>
            <w:vAlign w:val="bottom"/>
            <w:hideMark/>
          </w:tcPr>
          <w:p w:rsidR="00634A7D" w:rsidRPr="00634A7D" w:rsidRDefault="00634A7D" w:rsidP="00634A7D">
            <w:pPr>
              <w:suppressAutoHyphens w:val="0"/>
              <w:spacing w:before="80" w:after="80" w:line="200" w:lineRule="exact"/>
              <w:jc w:val="right"/>
              <w:rPr>
                <w:bCs/>
                <w:i/>
                <w:sz w:val="16"/>
                <w:lang w:val="fr-FR"/>
              </w:rPr>
            </w:pPr>
            <w:r w:rsidRPr="00634A7D">
              <w:rPr>
                <w:i/>
                <w:sz w:val="16"/>
                <w:lang w:val="fr-FR"/>
              </w:rPr>
              <w:t>Pourcentage de</w:t>
            </w:r>
            <w:r w:rsidR="00EC6B98">
              <w:rPr>
                <w:i/>
                <w:sz w:val="16"/>
                <w:lang w:val="fr-FR"/>
              </w:rPr>
              <w:t> </w:t>
            </w:r>
            <w:r w:rsidRPr="00634A7D">
              <w:rPr>
                <w:i/>
                <w:sz w:val="16"/>
                <w:lang w:val="fr-FR"/>
              </w:rPr>
              <w:t>réunions tenues sans interprétation (e)</w:t>
            </w:r>
            <w:r w:rsidR="00094937">
              <w:rPr>
                <w:i/>
                <w:sz w:val="16"/>
                <w:lang w:val="fr-FR"/>
              </w:rPr>
              <w:t> </w:t>
            </w:r>
            <w:r w:rsidRPr="00634A7D">
              <w:rPr>
                <w:i/>
                <w:sz w:val="16"/>
                <w:lang w:val="fr-FR"/>
              </w:rPr>
              <w:t>= b</w:t>
            </w:r>
            <w:r w:rsidR="00EC6B98">
              <w:rPr>
                <w:i/>
                <w:sz w:val="16"/>
                <w:lang w:val="fr-FR"/>
              </w:rPr>
              <w:t xml:space="preserve"> </w:t>
            </w:r>
            <w:r w:rsidRPr="00634A7D">
              <w:rPr>
                <w:i/>
                <w:sz w:val="16"/>
                <w:lang w:val="fr-FR"/>
              </w:rPr>
              <w:t>/</w:t>
            </w:r>
            <w:r w:rsidR="00EC6B98">
              <w:rPr>
                <w:i/>
                <w:sz w:val="16"/>
                <w:lang w:val="fr-FR"/>
              </w:rPr>
              <w:t xml:space="preserve"> </w:t>
            </w:r>
            <w:r w:rsidRPr="00634A7D">
              <w:rPr>
                <w:i/>
                <w:sz w:val="16"/>
                <w:lang w:val="fr-FR"/>
              </w:rPr>
              <w:t>a (%)</w:t>
            </w:r>
          </w:p>
        </w:tc>
        <w:tc>
          <w:tcPr>
            <w:tcW w:w="1125" w:type="dxa"/>
            <w:tcBorders>
              <w:bottom w:val="single" w:sz="12" w:space="0" w:color="auto"/>
            </w:tcBorders>
            <w:shd w:val="clear" w:color="auto" w:fill="auto"/>
            <w:vAlign w:val="bottom"/>
            <w:hideMark/>
          </w:tcPr>
          <w:p w:rsidR="00634A7D" w:rsidRPr="00634A7D" w:rsidRDefault="00634A7D" w:rsidP="00634A7D">
            <w:pPr>
              <w:suppressAutoHyphens w:val="0"/>
              <w:spacing w:before="80" w:after="80" w:line="200" w:lineRule="exact"/>
              <w:jc w:val="right"/>
              <w:rPr>
                <w:bCs/>
                <w:i/>
                <w:sz w:val="16"/>
                <w:lang w:val="fr-FR"/>
              </w:rPr>
            </w:pPr>
            <w:r w:rsidRPr="00634A7D">
              <w:rPr>
                <w:i/>
                <w:sz w:val="16"/>
                <w:lang w:val="fr-FR"/>
              </w:rPr>
              <w:t>Pourcentage de réunions tenues avec ou sans interprétation</w:t>
            </w:r>
            <w:r w:rsidRPr="00634A7D">
              <w:rPr>
                <w:i/>
                <w:sz w:val="16"/>
                <w:lang w:val="fr-FR"/>
              </w:rPr>
              <w:br/>
              <w:t>(f) = d</w:t>
            </w:r>
            <w:r w:rsidR="00EC6B98">
              <w:rPr>
                <w:i/>
                <w:sz w:val="16"/>
                <w:lang w:val="fr-FR"/>
              </w:rPr>
              <w:t xml:space="preserve"> </w:t>
            </w:r>
            <w:r w:rsidRPr="00634A7D">
              <w:rPr>
                <w:i/>
                <w:sz w:val="16"/>
                <w:lang w:val="fr-FR"/>
              </w:rPr>
              <w:t>/</w:t>
            </w:r>
            <w:r w:rsidR="00EC6B98">
              <w:rPr>
                <w:i/>
                <w:sz w:val="16"/>
                <w:lang w:val="fr-FR"/>
              </w:rPr>
              <w:t xml:space="preserve"> </w:t>
            </w:r>
            <w:r w:rsidRPr="00634A7D">
              <w:rPr>
                <w:i/>
                <w:sz w:val="16"/>
                <w:lang w:val="fr-FR"/>
              </w:rPr>
              <w:t>a (%)</w:t>
            </w:r>
          </w:p>
        </w:tc>
      </w:tr>
      <w:tr w:rsidR="00634A7D" w:rsidRPr="00634A7D" w:rsidTr="00094937">
        <w:trPr>
          <w:gridAfter w:val="1"/>
          <w:wAfter w:w="8" w:type="dxa"/>
        </w:trPr>
        <w:tc>
          <w:tcPr>
            <w:tcW w:w="2127" w:type="dxa"/>
            <w:tcBorders>
              <w:top w:val="single" w:sz="12" w:space="0" w:color="auto"/>
            </w:tcBorders>
            <w:shd w:val="clear" w:color="auto" w:fill="auto"/>
            <w:hideMark/>
          </w:tcPr>
          <w:p w:rsidR="00634A7D" w:rsidRPr="00634A7D" w:rsidRDefault="00634A7D" w:rsidP="00634A7D">
            <w:pPr>
              <w:suppressAutoHyphens w:val="0"/>
              <w:spacing w:before="40" w:after="40" w:line="220" w:lineRule="exact"/>
              <w:rPr>
                <w:b/>
                <w:bCs/>
                <w:sz w:val="18"/>
                <w:lang w:val="fr-FR"/>
              </w:rPr>
            </w:pPr>
            <w:r w:rsidRPr="00634A7D">
              <w:rPr>
                <w:b/>
                <w:bCs/>
                <w:sz w:val="18"/>
                <w:lang w:val="fr-FR"/>
              </w:rPr>
              <w:t>A2.</w:t>
            </w:r>
            <w:r w:rsidR="00CE67F1">
              <w:rPr>
                <w:b/>
                <w:bCs/>
                <w:sz w:val="18"/>
                <w:lang w:val="fr-FR"/>
              </w:rPr>
              <w:t xml:space="preserve">  </w:t>
            </w:r>
            <w:r w:rsidRPr="00634A7D">
              <w:rPr>
                <w:b/>
                <w:bCs/>
                <w:sz w:val="18"/>
                <w:lang w:val="fr-FR"/>
              </w:rPr>
              <w:t>Services fonctionnels pour les réunions (</w:t>
            </w:r>
            <w:proofErr w:type="spellStart"/>
            <w:r w:rsidRPr="00634A7D">
              <w:rPr>
                <w:b/>
                <w:bCs/>
                <w:sz w:val="18"/>
                <w:lang w:val="fr-FR"/>
              </w:rPr>
              <w:t>éq</w:t>
            </w:r>
            <w:proofErr w:type="spellEnd"/>
            <w:r w:rsidRPr="00634A7D">
              <w:rPr>
                <w:b/>
                <w:bCs/>
                <w:sz w:val="18"/>
                <w:lang w:val="fr-FR"/>
              </w:rPr>
              <w:t>.</w:t>
            </w:r>
            <w:r w:rsidR="00CE67F1">
              <w:rPr>
                <w:b/>
                <w:bCs/>
                <w:sz w:val="18"/>
                <w:lang w:val="fr-FR"/>
              </w:rPr>
              <w:t> </w:t>
            </w:r>
            <w:r w:rsidRPr="00634A7D">
              <w:rPr>
                <w:b/>
                <w:bCs/>
                <w:sz w:val="18"/>
                <w:lang w:val="fr-FR"/>
              </w:rPr>
              <w:t>nombre de réunions de</w:t>
            </w:r>
            <w:r w:rsidR="00094937">
              <w:rPr>
                <w:b/>
                <w:bCs/>
                <w:sz w:val="18"/>
                <w:lang w:val="fr-FR"/>
              </w:rPr>
              <w:t> </w:t>
            </w:r>
            <w:r w:rsidRPr="00634A7D">
              <w:rPr>
                <w:b/>
                <w:bCs/>
                <w:sz w:val="18"/>
                <w:lang w:val="fr-FR"/>
              </w:rPr>
              <w:t>trois heures)</w:t>
            </w:r>
          </w:p>
        </w:tc>
        <w:tc>
          <w:tcPr>
            <w:tcW w:w="992" w:type="dxa"/>
            <w:tcBorders>
              <w:top w:val="single" w:sz="12" w:space="0" w:color="auto"/>
            </w:tcBorders>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369</w:t>
            </w:r>
          </w:p>
        </w:tc>
        <w:tc>
          <w:tcPr>
            <w:tcW w:w="992" w:type="dxa"/>
            <w:tcBorders>
              <w:top w:val="single" w:sz="12" w:space="0" w:color="auto"/>
            </w:tcBorders>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124</w:t>
            </w:r>
          </w:p>
        </w:tc>
        <w:tc>
          <w:tcPr>
            <w:tcW w:w="992" w:type="dxa"/>
            <w:tcBorders>
              <w:top w:val="single" w:sz="12" w:space="0" w:color="auto"/>
            </w:tcBorders>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106</w:t>
            </w:r>
          </w:p>
        </w:tc>
        <w:tc>
          <w:tcPr>
            <w:tcW w:w="1134" w:type="dxa"/>
            <w:tcBorders>
              <w:top w:val="single" w:sz="12" w:space="0" w:color="auto"/>
            </w:tcBorders>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230</w:t>
            </w:r>
          </w:p>
        </w:tc>
        <w:tc>
          <w:tcPr>
            <w:tcW w:w="1134" w:type="dxa"/>
            <w:tcBorders>
              <w:top w:val="single" w:sz="12" w:space="0" w:color="auto"/>
            </w:tcBorders>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34</w:t>
            </w:r>
            <w:r w:rsidR="00094937">
              <w:rPr>
                <w:b/>
                <w:bCs/>
                <w:sz w:val="18"/>
                <w:lang w:val="fr-FR"/>
              </w:rPr>
              <w:t> </w:t>
            </w:r>
            <w:r w:rsidRPr="00634A7D">
              <w:rPr>
                <w:sz w:val="18"/>
                <w:lang w:val="fr-FR"/>
              </w:rPr>
              <w:t>%</w:t>
            </w:r>
          </w:p>
        </w:tc>
        <w:tc>
          <w:tcPr>
            <w:tcW w:w="1125" w:type="dxa"/>
            <w:tcBorders>
              <w:top w:val="single" w:sz="12" w:space="0" w:color="auto"/>
            </w:tcBorders>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62</w:t>
            </w:r>
            <w:r w:rsidR="00094937">
              <w:rPr>
                <w:b/>
                <w:bCs/>
                <w:sz w:val="18"/>
                <w:lang w:val="fr-FR"/>
              </w:rPr>
              <w:t> </w:t>
            </w:r>
            <w:r w:rsidRPr="00634A7D">
              <w:rPr>
                <w:sz w:val="18"/>
                <w:lang w:val="fr-FR"/>
              </w:rPr>
              <w:t>%</w:t>
            </w:r>
          </w:p>
        </w:tc>
      </w:tr>
      <w:tr w:rsidR="00634A7D" w:rsidRPr="00634A7D" w:rsidTr="00094937">
        <w:trPr>
          <w:gridAfter w:val="1"/>
          <w:wAfter w:w="8" w:type="dxa"/>
        </w:trPr>
        <w:tc>
          <w:tcPr>
            <w:tcW w:w="2127" w:type="dxa"/>
            <w:shd w:val="clear" w:color="auto" w:fill="auto"/>
            <w:hideMark/>
          </w:tcPr>
          <w:p w:rsidR="00634A7D" w:rsidRPr="00634A7D" w:rsidRDefault="00634A7D" w:rsidP="00634A7D">
            <w:pPr>
              <w:suppressAutoHyphens w:val="0"/>
              <w:spacing w:before="40" w:after="40" w:line="220" w:lineRule="exact"/>
              <w:rPr>
                <w:b/>
                <w:bCs/>
                <w:sz w:val="18"/>
                <w:lang w:val="fr-FR"/>
              </w:rPr>
            </w:pPr>
            <w:r w:rsidRPr="00634A7D">
              <w:rPr>
                <w:b/>
                <w:bCs/>
                <w:sz w:val="18"/>
                <w:lang w:val="fr-FR"/>
              </w:rPr>
              <w:t>CTI</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327</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116</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95</w:t>
            </w:r>
          </w:p>
        </w:tc>
        <w:tc>
          <w:tcPr>
            <w:tcW w:w="1134"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211</w:t>
            </w:r>
          </w:p>
        </w:tc>
        <w:tc>
          <w:tcPr>
            <w:tcW w:w="1134"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35</w:t>
            </w:r>
            <w:r w:rsidR="00094937">
              <w:rPr>
                <w:b/>
                <w:bCs/>
                <w:sz w:val="18"/>
                <w:lang w:val="fr-FR"/>
              </w:rPr>
              <w:t> </w:t>
            </w:r>
            <w:r w:rsidRPr="00634A7D">
              <w:rPr>
                <w:sz w:val="18"/>
                <w:lang w:val="fr-FR"/>
              </w:rPr>
              <w:t>%</w:t>
            </w:r>
          </w:p>
        </w:tc>
        <w:tc>
          <w:tcPr>
            <w:tcW w:w="1125"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65</w:t>
            </w:r>
            <w:r w:rsidR="00094937">
              <w:rPr>
                <w:b/>
                <w:bCs/>
                <w:sz w:val="18"/>
                <w:lang w:val="fr-FR"/>
              </w:rPr>
              <w:t> </w:t>
            </w:r>
            <w:r w:rsidRPr="00634A7D">
              <w:rPr>
                <w:sz w:val="18"/>
                <w:lang w:val="fr-FR"/>
              </w:rPr>
              <w:t>%</w:t>
            </w:r>
          </w:p>
        </w:tc>
      </w:tr>
      <w:tr w:rsidR="00634A7D" w:rsidRPr="00634A7D" w:rsidTr="00094937">
        <w:trPr>
          <w:gridAfter w:val="1"/>
          <w:wAfter w:w="8" w:type="dxa"/>
        </w:trPr>
        <w:tc>
          <w:tcPr>
            <w:tcW w:w="2127" w:type="dxa"/>
            <w:shd w:val="clear" w:color="auto" w:fill="auto"/>
            <w:hideMark/>
          </w:tcPr>
          <w:p w:rsidR="00634A7D" w:rsidRPr="00634A7D" w:rsidRDefault="00634A7D" w:rsidP="00634A7D">
            <w:pPr>
              <w:suppressAutoHyphens w:val="0"/>
              <w:spacing w:before="40" w:after="40" w:line="220" w:lineRule="exact"/>
              <w:rPr>
                <w:sz w:val="18"/>
                <w:lang w:val="fr-FR"/>
              </w:rPr>
            </w:pPr>
            <w:r w:rsidRPr="00634A7D">
              <w:rPr>
                <w:sz w:val="18"/>
                <w:lang w:val="fr-FR"/>
              </w:rPr>
              <w:t>Comité des transports intérieurs et Bureau</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16</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8</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7</w:t>
            </w:r>
          </w:p>
        </w:tc>
        <w:tc>
          <w:tcPr>
            <w:tcW w:w="1134"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15</w:t>
            </w:r>
          </w:p>
        </w:tc>
        <w:tc>
          <w:tcPr>
            <w:tcW w:w="1134"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50 %</w:t>
            </w:r>
          </w:p>
        </w:tc>
        <w:tc>
          <w:tcPr>
            <w:tcW w:w="1125"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94 %</w:t>
            </w:r>
          </w:p>
        </w:tc>
      </w:tr>
      <w:tr w:rsidR="00634A7D" w:rsidRPr="00634A7D" w:rsidTr="00094937">
        <w:trPr>
          <w:gridAfter w:val="1"/>
          <w:wAfter w:w="8" w:type="dxa"/>
        </w:trPr>
        <w:tc>
          <w:tcPr>
            <w:tcW w:w="2127" w:type="dxa"/>
            <w:shd w:val="clear" w:color="auto" w:fill="auto"/>
            <w:hideMark/>
          </w:tcPr>
          <w:p w:rsidR="00634A7D" w:rsidRPr="00634A7D" w:rsidRDefault="00634A7D" w:rsidP="00634A7D">
            <w:pPr>
              <w:suppressAutoHyphens w:val="0"/>
              <w:spacing w:before="40" w:after="40" w:line="220" w:lineRule="exact"/>
              <w:rPr>
                <w:sz w:val="18"/>
                <w:lang w:val="fr-FR"/>
              </w:rPr>
            </w:pPr>
            <w:r w:rsidRPr="00634A7D">
              <w:rPr>
                <w:sz w:val="18"/>
                <w:lang w:val="fr-FR"/>
              </w:rPr>
              <w:lastRenderedPageBreak/>
              <w:t>Forum mondial de l’harmonisation des Règlements concernant les</w:t>
            </w:r>
            <w:r w:rsidR="00094937">
              <w:rPr>
                <w:sz w:val="18"/>
                <w:lang w:val="fr-FR"/>
              </w:rPr>
              <w:t> </w:t>
            </w:r>
            <w:r w:rsidRPr="00634A7D">
              <w:rPr>
                <w:sz w:val="18"/>
                <w:lang w:val="fr-FR"/>
              </w:rPr>
              <w:t>véhicules</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111</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34</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40</w:t>
            </w:r>
          </w:p>
        </w:tc>
        <w:tc>
          <w:tcPr>
            <w:tcW w:w="1134"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74</w:t>
            </w:r>
          </w:p>
        </w:tc>
        <w:tc>
          <w:tcPr>
            <w:tcW w:w="1134"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31 %</w:t>
            </w:r>
          </w:p>
        </w:tc>
        <w:tc>
          <w:tcPr>
            <w:tcW w:w="1125"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67 %</w:t>
            </w:r>
          </w:p>
        </w:tc>
      </w:tr>
      <w:tr w:rsidR="00634A7D" w:rsidRPr="00634A7D" w:rsidTr="00094937">
        <w:trPr>
          <w:gridAfter w:val="1"/>
          <w:wAfter w:w="8" w:type="dxa"/>
        </w:trPr>
        <w:tc>
          <w:tcPr>
            <w:tcW w:w="2127" w:type="dxa"/>
            <w:shd w:val="clear" w:color="auto" w:fill="auto"/>
            <w:hideMark/>
          </w:tcPr>
          <w:p w:rsidR="00634A7D" w:rsidRPr="00634A7D" w:rsidRDefault="00634A7D" w:rsidP="00634A7D">
            <w:pPr>
              <w:suppressAutoHyphens w:val="0"/>
              <w:spacing w:before="40" w:after="40" w:line="220" w:lineRule="exact"/>
              <w:rPr>
                <w:sz w:val="18"/>
                <w:lang w:val="fr-FR"/>
              </w:rPr>
            </w:pPr>
            <w:r w:rsidRPr="00634A7D">
              <w:rPr>
                <w:sz w:val="18"/>
                <w:lang w:val="fr-FR"/>
              </w:rPr>
              <w:t>Groupe de travail du transport des denrées périssables</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8</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3</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5</w:t>
            </w:r>
          </w:p>
        </w:tc>
        <w:tc>
          <w:tcPr>
            <w:tcW w:w="1134"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8</w:t>
            </w:r>
          </w:p>
        </w:tc>
        <w:tc>
          <w:tcPr>
            <w:tcW w:w="1134"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38 %</w:t>
            </w:r>
          </w:p>
        </w:tc>
        <w:tc>
          <w:tcPr>
            <w:tcW w:w="1125"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100 %</w:t>
            </w:r>
          </w:p>
        </w:tc>
      </w:tr>
      <w:tr w:rsidR="00634A7D" w:rsidRPr="00634A7D" w:rsidTr="00094937">
        <w:trPr>
          <w:gridAfter w:val="1"/>
          <w:wAfter w:w="8" w:type="dxa"/>
        </w:trPr>
        <w:tc>
          <w:tcPr>
            <w:tcW w:w="2127" w:type="dxa"/>
            <w:shd w:val="clear" w:color="auto" w:fill="auto"/>
            <w:hideMark/>
          </w:tcPr>
          <w:p w:rsidR="00634A7D" w:rsidRPr="00634A7D" w:rsidRDefault="00634A7D" w:rsidP="00634A7D">
            <w:pPr>
              <w:suppressAutoHyphens w:val="0"/>
              <w:spacing w:before="40" w:after="40" w:line="220" w:lineRule="exact"/>
              <w:rPr>
                <w:sz w:val="18"/>
                <w:lang w:val="fr-FR"/>
              </w:rPr>
            </w:pPr>
            <w:r w:rsidRPr="00634A7D">
              <w:rPr>
                <w:sz w:val="18"/>
                <w:lang w:val="fr-FR"/>
              </w:rPr>
              <w:t>Groupe de travail des transports de marchandises dangereuses</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58</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19</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13</w:t>
            </w:r>
          </w:p>
        </w:tc>
        <w:tc>
          <w:tcPr>
            <w:tcW w:w="1134"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32</w:t>
            </w:r>
          </w:p>
        </w:tc>
        <w:tc>
          <w:tcPr>
            <w:tcW w:w="1134"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33 %</w:t>
            </w:r>
          </w:p>
        </w:tc>
        <w:tc>
          <w:tcPr>
            <w:tcW w:w="1125"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55 %</w:t>
            </w:r>
          </w:p>
        </w:tc>
      </w:tr>
      <w:tr w:rsidR="00634A7D" w:rsidRPr="00634A7D" w:rsidTr="00094937">
        <w:trPr>
          <w:gridAfter w:val="1"/>
          <w:wAfter w:w="8" w:type="dxa"/>
        </w:trPr>
        <w:tc>
          <w:tcPr>
            <w:tcW w:w="2127" w:type="dxa"/>
            <w:shd w:val="clear" w:color="auto" w:fill="auto"/>
            <w:hideMark/>
          </w:tcPr>
          <w:p w:rsidR="00634A7D" w:rsidRPr="00634A7D" w:rsidRDefault="00634A7D" w:rsidP="00634A7D">
            <w:pPr>
              <w:suppressAutoHyphens w:val="0"/>
              <w:spacing w:before="40" w:after="40" w:line="220" w:lineRule="exact"/>
              <w:rPr>
                <w:sz w:val="18"/>
                <w:lang w:val="fr-FR"/>
              </w:rPr>
            </w:pPr>
            <w:r w:rsidRPr="00634A7D">
              <w:rPr>
                <w:sz w:val="18"/>
                <w:lang w:val="fr-FR"/>
              </w:rPr>
              <w:t>Groupe de travail chargé d’examiner les tendances et l’économie des transports</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32</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5</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7</w:t>
            </w:r>
          </w:p>
        </w:tc>
        <w:tc>
          <w:tcPr>
            <w:tcW w:w="1134"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12</w:t>
            </w:r>
          </w:p>
        </w:tc>
        <w:tc>
          <w:tcPr>
            <w:tcW w:w="1134"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16 %</w:t>
            </w:r>
          </w:p>
        </w:tc>
        <w:tc>
          <w:tcPr>
            <w:tcW w:w="1125"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38 %</w:t>
            </w:r>
          </w:p>
        </w:tc>
      </w:tr>
      <w:tr w:rsidR="00634A7D" w:rsidRPr="00634A7D" w:rsidTr="00094937">
        <w:trPr>
          <w:gridAfter w:val="1"/>
          <w:wAfter w:w="8" w:type="dxa"/>
        </w:trPr>
        <w:tc>
          <w:tcPr>
            <w:tcW w:w="2127" w:type="dxa"/>
            <w:shd w:val="clear" w:color="auto" w:fill="auto"/>
            <w:hideMark/>
          </w:tcPr>
          <w:p w:rsidR="00634A7D" w:rsidRPr="00634A7D" w:rsidRDefault="00634A7D" w:rsidP="00634A7D">
            <w:pPr>
              <w:suppressAutoHyphens w:val="0"/>
              <w:spacing w:before="40" w:after="40" w:line="220" w:lineRule="exact"/>
              <w:rPr>
                <w:sz w:val="18"/>
                <w:lang w:val="fr-FR"/>
              </w:rPr>
            </w:pPr>
            <w:r w:rsidRPr="00634A7D">
              <w:rPr>
                <w:sz w:val="18"/>
                <w:lang w:val="fr-FR"/>
              </w:rPr>
              <w:t>Groupe de travail des statistiques des transports</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6</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0</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4</w:t>
            </w:r>
          </w:p>
        </w:tc>
        <w:tc>
          <w:tcPr>
            <w:tcW w:w="1134"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4</w:t>
            </w:r>
          </w:p>
        </w:tc>
        <w:tc>
          <w:tcPr>
            <w:tcW w:w="1134"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0 %</w:t>
            </w:r>
          </w:p>
        </w:tc>
        <w:tc>
          <w:tcPr>
            <w:tcW w:w="1125"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67 %</w:t>
            </w:r>
          </w:p>
        </w:tc>
      </w:tr>
      <w:tr w:rsidR="00634A7D" w:rsidRPr="00634A7D" w:rsidTr="00094937">
        <w:trPr>
          <w:gridAfter w:val="1"/>
          <w:wAfter w:w="8" w:type="dxa"/>
        </w:trPr>
        <w:tc>
          <w:tcPr>
            <w:tcW w:w="2127" w:type="dxa"/>
            <w:shd w:val="clear" w:color="auto" w:fill="auto"/>
            <w:hideMark/>
          </w:tcPr>
          <w:p w:rsidR="00634A7D" w:rsidRPr="00634A7D" w:rsidRDefault="00634A7D" w:rsidP="00634A7D">
            <w:pPr>
              <w:suppressAutoHyphens w:val="0"/>
              <w:spacing w:before="40" w:after="40" w:line="220" w:lineRule="exact"/>
              <w:rPr>
                <w:sz w:val="18"/>
                <w:lang w:val="fr-FR"/>
              </w:rPr>
            </w:pPr>
            <w:r w:rsidRPr="00634A7D">
              <w:rPr>
                <w:sz w:val="18"/>
                <w:lang w:val="fr-FR"/>
              </w:rPr>
              <w:t>Groupe de travail des transports routiers</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6</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6</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0</w:t>
            </w:r>
          </w:p>
        </w:tc>
        <w:tc>
          <w:tcPr>
            <w:tcW w:w="1134"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6</w:t>
            </w:r>
          </w:p>
        </w:tc>
        <w:tc>
          <w:tcPr>
            <w:tcW w:w="1134"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100 %</w:t>
            </w:r>
          </w:p>
        </w:tc>
        <w:tc>
          <w:tcPr>
            <w:tcW w:w="1125"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100 %</w:t>
            </w:r>
          </w:p>
        </w:tc>
      </w:tr>
      <w:tr w:rsidR="00634A7D" w:rsidRPr="00634A7D" w:rsidTr="00094937">
        <w:trPr>
          <w:gridAfter w:val="1"/>
          <w:wAfter w:w="8" w:type="dxa"/>
        </w:trPr>
        <w:tc>
          <w:tcPr>
            <w:tcW w:w="2127" w:type="dxa"/>
            <w:shd w:val="clear" w:color="auto" w:fill="auto"/>
            <w:hideMark/>
          </w:tcPr>
          <w:p w:rsidR="00634A7D" w:rsidRPr="00634A7D" w:rsidRDefault="00634A7D" w:rsidP="00634A7D">
            <w:pPr>
              <w:suppressAutoHyphens w:val="0"/>
              <w:spacing w:before="40" w:after="40" w:line="220" w:lineRule="exact"/>
              <w:rPr>
                <w:sz w:val="18"/>
                <w:lang w:val="fr-FR"/>
              </w:rPr>
            </w:pPr>
            <w:r w:rsidRPr="00634A7D">
              <w:rPr>
                <w:sz w:val="18"/>
                <w:lang w:val="fr-FR"/>
              </w:rPr>
              <w:t>Forum mondial de la sécurité routière</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14</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14</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0</w:t>
            </w:r>
          </w:p>
        </w:tc>
        <w:tc>
          <w:tcPr>
            <w:tcW w:w="1134"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14</w:t>
            </w:r>
          </w:p>
        </w:tc>
        <w:tc>
          <w:tcPr>
            <w:tcW w:w="1134"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100 %</w:t>
            </w:r>
          </w:p>
        </w:tc>
        <w:tc>
          <w:tcPr>
            <w:tcW w:w="1125"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100 %</w:t>
            </w:r>
          </w:p>
        </w:tc>
      </w:tr>
      <w:tr w:rsidR="00634A7D" w:rsidRPr="00634A7D" w:rsidTr="00094937">
        <w:trPr>
          <w:gridAfter w:val="1"/>
          <w:wAfter w:w="8" w:type="dxa"/>
        </w:trPr>
        <w:tc>
          <w:tcPr>
            <w:tcW w:w="2127" w:type="dxa"/>
            <w:shd w:val="clear" w:color="auto" w:fill="auto"/>
            <w:hideMark/>
          </w:tcPr>
          <w:p w:rsidR="00634A7D" w:rsidRPr="00634A7D" w:rsidRDefault="00634A7D" w:rsidP="00634A7D">
            <w:pPr>
              <w:suppressAutoHyphens w:val="0"/>
              <w:spacing w:before="40" w:after="40" w:line="220" w:lineRule="exact"/>
              <w:rPr>
                <w:sz w:val="18"/>
                <w:lang w:val="fr-FR"/>
              </w:rPr>
            </w:pPr>
            <w:r w:rsidRPr="00634A7D">
              <w:rPr>
                <w:sz w:val="18"/>
                <w:lang w:val="fr-FR"/>
              </w:rPr>
              <w:t>Groupe de travail des transports par chemin de fer</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6</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4</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2</w:t>
            </w:r>
          </w:p>
        </w:tc>
        <w:tc>
          <w:tcPr>
            <w:tcW w:w="1134"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6</w:t>
            </w:r>
          </w:p>
        </w:tc>
        <w:tc>
          <w:tcPr>
            <w:tcW w:w="1134"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67 %</w:t>
            </w:r>
          </w:p>
        </w:tc>
        <w:tc>
          <w:tcPr>
            <w:tcW w:w="1125"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100 %</w:t>
            </w:r>
          </w:p>
        </w:tc>
      </w:tr>
      <w:tr w:rsidR="00634A7D" w:rsidRPr="00634A7D" w:rsidTr="00094937">
        <w:trPr>
          <w:gridAfter w:val="1"/>
          <w:wAfter w:w="8" w:type="dxa"/>
        </w:trPr>
        <w:tc>
          <w:tcPr>
            <w:tcW w:w="2127" w:type="dxa"/>
            <w:shd w:val="clear" w:color="auto" w:fill="auto"/>
            <w:hideMark/>
          </w:tcPr>
          <w:p w:rsidR="00634A7D" w:rsidRPr="00634A7D" w:rsidRDefault="00634A7D" w:rsidP="00634A7D">
            <w:pPr>
              <w:suppressAutoHyphens w:val="0"/>
              <w:spacing w:before="40" w:after="40" w:line="220" w:lineRule="exact"/>
              <w:rPr>
                <w:sz w:val="18"/>
                <w:lang w:val="fr-FR"/>
              </w:rPr>
            </w:pPr>
            <w:r w:rsidRPr="00634A7D">
              <w:rPr>
                <w:sz w:val="18"/>
                <w:lang w:val="fr-FR"/>
              </w:rPr>
              <w:t>Groupe de travail du</w:t>
            </w:r>
            <w:r w:rsidR="00094937">
              <w:rPr>
                <w:sz w:val="18"/>
                <w:lang w:val="fr-FR"/>
              </w:rPr>
              <w:t> </w:t>
            </w:r>
            <w:r w:rsidRPr="00634A7D">
              <w:rPr>
                <w:sz w:val="18"/>
                <w:lang w:val="fr-FR"/>
              </w:rPr>
              <w:t>transport intermodal et de</w:t>
            </w:r>
            <w:r w:rsidR="00094937">
              <w:rPr>
                <w:sz w:val="18"/>
                <w:lang w:val="fr-FR"/>
              </w:rPr>
              <w:t> </w:t>
            </w:r>
            <w:r w:rsidRPr="00634A7D">
              <w:rPr>
                <w:sz w:val="18"/>
                <w:lang w:val="fr-FR"/>
              </w:rPr>
              <w:t>la logistique</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6</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2</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4</w:t>
            </w:r>
          </w:p>
        </w:tc>
        <w:tc>
          <w:tcPr>
            <w:tcW w:w="1134"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6</w:t>
            </w:r>
          </w:p>
        </w:tc>
        <w:tc>
          <w:tcPr>
            <w:tcW w:w="1134"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33 %</w:t>
            </w:r>
          </w:p>
        </w:tc>
        <w:tc>
          <w:tcPr>
            <w:tcW w:w="1125"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100 %</w:t>
            </w:r>
          </w:p>
        </w:tc>
      </w:tr>
      <w:tr w:rsidR="00634A7D" w:rsidRPr="00634A7D" w:rsidTr="00094937">
        <w:trPr>
          <w:gridAfter w:val="1"/>
          <w:wAfter w:w="8" w:type="dxa"/>
        </w:trPr>
        <w:tc>
          <w:tcPr>
            <w:tcW w:w="2127" w:type="dxa"/>
            <w:shd w:val="clear" w:color="auto" w:fill="auto"/>
            <w:hideMark/>
          </w:tcPr>
          <w:p w:rsidR="00634A7D" w:rsidRPr="00634A7D" w:rsidRDefault="00634A7D" w:rsidP="00634A7D">
            <w:pPr>
              <w:suppressAutoHyphens w:val="0"/>
              <w:spacing w:before="40" w:after="40" w:line="220" w:lineRule="exact"/>
              <w:rPr>
                <w:sz w:val="18"/>
                <w:lang w:val="fr-FR"/>
              </w:rPr>
            </w:pPr>
            <w:r w:rsidRPr="00634A7D">
              <w:rPr>
                <w:sz w:val="18"/>
                <w:lang w:val="fr-FR"/>
              </w:rPr>
              <w:t>Groupe de travail des transports par voie navigable</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18</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8</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9</w:t>
            </w:r>
          </w:p>
        </w:tc>
        <w:tc>
          <w:tcPr>
            <w:tcW w:w="1134"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17</w:t>
            </w:r>
          </w:p>
        </w:tc>
        <w:tc>
          <w:tcPr>
            <w:tcW w:w="1134"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44 %</w:t>
            </w:r>
          </w:p>
        </w:tc>
        <w:tc>
          <w:tcPr>
            <w:tcW w:w="1125"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94 %</w:t>
            </w:r>
          </w:p>
        </w:tc>
      </w:tr>
      <w:tr w:rsidR="00634A7D" w:rsidRPr="00634A7D" w:rsidTr="00094937">
        <w:trPr>
          <w:gridAfter w:val="1"/>
          <w:wAfter w:w="8" w:type="dxa"/>
        </w:trPr>
        <w:tc>
          <w:tcPr>
            <w:tcW w:w="2127" w:type="dxa"/>
            <w:shd w:val="clear" w:color="auto" w:fill="auto"/>
            <w:hideMark/>
          </w:tcPr>
          <w:p w:rsidR="00634A7D" w:rsidRPr="00634A7D" w:rsidRDefault="00634A7D" w:rsidP="00634A7D">
            <w:pPr>
              <w:suppressAutoHyphens w:val="0"/>
              <w:spacing w:before="40" w:after="40" w:line="220" w:lineRule="exact"/>
              <w:rPr>
                <w:sz w:val="18"/>
                <w:lang w:val="fr-FR"/>
              </w:rPr>
            </w:pPr>
            <w:r w:rsidRPr="00634A7D">
              <w:rPr>
                <w:sz w:val="18"/>
                <w:lang w:val="fr-FR"/>
              </w:rPr>
              <w:t>Groupe de travail des problèmes douaniers intéressant les transports</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46</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13</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4</w:t>
            </w:r>
          </w:p>
        </w:tc>
        <w:tc>
          <w:tcPr>
            <w:tcW w:w="1134"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17</w:t>
            </w:r>
          </w:p>
        </w:tc>
        <w:tc>
          <w:tcPr>
            <w:tcW w:w="1134"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 xml:space="preserve">28 </w:t>
            </w:r>
            <w:r w:rsidRPr="00634A7D">
              <w:rPr>
                <w:sz w:val="18"/>
                <w:lang w:val="fr-FR"/>
              </w:rPr>
              <w:t>%</w:t>
            </w:r>
          </w:p>
        </w:tc>
        <w:tc>
          <w:tcPr>
            <w:tcW w:w="1125"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37 %</w:t>
            </w:r>
          </w:p>
        </w:tc>
      </w:tr>
      <w:tr w:rsidR="00634A7D" w:rsidRPr="00634A7D" w:rsidTr="00094937">
        <w:trPr>
          <w:gridAfter w:val="1"/>
          <w:wAfter w:w="8" w:type="dxa"/>
        </w:trPr>
        <w:tc>
          <w:tcPr>
            <w:tcW w:w="2127" w:type="dxa"/>
            <w:shd w:val="clear" w:color="auto" w:fill="auto"/>
            <w:hideMark/>
          </w:tcPr>
          <w:p w:rsidR="00634A7D" w:rsidRPr="00634A7D" w:rsidRDefault="00634A7D" w:rsidP="00634A7D">
            <w:pPr>
              <w:suppressAutoHyphens w:val="0"/>
              <w:spacing w:before="40" w:after="40" w:line="220" w:lineRule="exact"/>
              <w:rPr>
                <w:b/>
                <w:bCs/>
                <w:sz w:val="18"/>
                <w:lang w:val="fr-FR"/>
              </w:rPr>
            </w:pPr>
            <w:r w:rsidRPr="00634A7D">
              <w:rPr>
                <w:b/>
                <w:bCs/>
                <w:sz w:val="18"/>
                <w:lang w:val="fr-FR"/>
              </w:rPr>
              <w:t>Conseil économique et socia</w:t>
            </w:r>
            <w:r w:rsidRPr="00634A7D">
              <w:rPr>
                <w:sz w:val="18"/>
                <w:lang w:val="fr-FR"/>
              </w:rPr>
              <w:t>l</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40</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8</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9</w:t>
            </w:r>
          </w:p>
        </w:tc>
        <w:tc>
          <w:tcPr>
            <w:tcW w:w="1134"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17</w:t>
            </w:r>
          </w:p>
        </w:tc>
        <w:tc>
          <w:tcPr>
            <w:tcW w:w="1134"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20 %</w:t>
            </w:r>
          </w:p>
        </w:tc>
        <w:tc>
          <w:tcPr>
            <w:tcW w:w="1125"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43 %</w:t>
            </w:r>
          </w:p>
        </w:tc>
      </w:tr>
      <w:tr w:rsidR="00634A7D" w:rsidRPr="00634A7D" w:rsidTr="00094937">
        <w:trPr>
          <w:gridAfter w:val="1"/>
          <w:wAfter w:w="8" w:type="dxa"/>
        </w:trPr>
        <w:tc>
          <w:tcPr>
            <w:tcW w:w="2127" w:type="dxa"/>
            <w:shd w:val="clear" w:color="auto" w:fill="auto"/>
            <w:hideMark/>
          </w:tcPr>
          <w:p w:rsidR="00634A7D" w:rsidRPr="00634A7D" w:rsidRDefault="00634A7D" w:rsidP="00634A7D">
            <w:pPr>
              <w:suppressAutoHyphens w:val="0"/>
              <w:spacing w:before="40" w:after="40" w:line="220" w:lineRule="exact"/>
              <w:rPr>
                <w:sz w:val="18"/>
                <w:lang w:val="fr-FR"/>
              </w:rPr>
            </w:pPr>
            <w:r w:rsidRPr="00634A7D">
              <w:rPr>
                <w:sz w:val="18"/>
                <w:lang w:val="fr-FR"/>
              </w:rPr>
              <w:t>Comité d’experts du transport des marchandises dangereuses et du SGH du Conseil économique et social</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1</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1</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0</w:t>
            </w:r>
          </w:p>
        </w:tc>
        <w:tc>
          <w:tcPr>
            <w:tcW w:w="1134"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1</w:t>
            </w:r>
          </w:p>
        </w:tc>
        <w:tc>
          <w:tcPr>
            <w:tcW w:w="1134"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100 %</w:t>
            </w:r>
          </w:p>
        </w:tc>
        <w:tc>
          <w:tcPr>
            <w:tcW w:w="1125"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100 %</w:t>
            </w:r>
          </w:p>
        </w:tc>
      </w:tr>
      <w:tr w:rsidR="00634A7D" w:rsidRPr="00634A7D" w:rsidTr="00094937">
        <w:trPr>
          <w:gridAfter w:val="1"/>
          <w:wAfter w:w="8" w:type="dxa"/>
        </w:trPr>
        <w:tc>
          <w:tcPr>
            <w:tcW w:w="2127" w:type="dxa"/>
            <w:shd w:val="clear" w:color="auto" w:fill="auto"/>
            <w:hideMark/>
          </w:tcPr>
          <w:p w:rsidR="00634A7D" w:rsidRPr="00634A7D" w:rsidRDefault="00634A7D" w:rsidP="00634A7D">
            <w:pPr>
              <w:suppressAutoHyphens w:val="0"/>
              <w:spacing w:before="40" w:after="40" w:line="220" w:lineRule="exact"/>
              <w:rPr>
                <w:sz w:val="18"/>
                <w:lang w:val="fr-FR"/>
              </w:rPr>
            </w:pPr>
            <w:r w:rsidRPr="00634A7D">
              <w:rPr>
                <w:sz w:val="18"/>
                <w:lang w:val="fr-FR"/>
              </w:rPr>
              <w:t>Sous-Comité d’experts du transport des marchandises dangereuses du Conseil économique et social</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29</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5</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7</w:t>
            </w:r>
          </w:p>
        </w:tc>
        <w:tc>
          <w:tcPr>
            <w:tcW w:w="1134"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12</w:t>
            </w:r>
          </w:p>
        </w:tc>
        <w:tc>
          <w:tcPr>
            <w:tcW w:w="1134"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17 </w:t>
            </w:r>
            <w:r w:rsidRPr="00634A7D">
              <w:rPr>
                <w:sz w:val="18"/>
                <w:lang w:val="fr-FR"/>
              </w:rPr>
              <w:t>%</w:t>
            </w:r>
          </w:p>
        </w:tc>
        <w:tc>
          <w:tcPr>
            <w:tcW w:w="1125"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41 %</w:t>
            </w:r>
          </w:p>
        </w:tc>
      </w:tr>
      <w:tr w:rsidR="00634A7D" w:rsidRPr="00634A7D" w:rsidTr="00094937">
        <w:trPr>
          <w:gridAfter w:val="1"/>
          <w:wAfter w:w="8" w:type="dxa"/>
        </w:trPr>
        <w:tc>
          <w:tcPr>
            <w:tcW w:w="2127" w:type="dxa"/>
            <w:shd w:val="clear" w:color="auto" w:fill="auto"/>
            <w:hideMark/>
          </w:tcPr>
          <w:p w:rsidR="00634A7D" w:rsidRPr="00634A7D" w:rsidRDefault="00634A7D" w:rsidP="00634A7D">
            <w:pPr>
              <w:suppressAutoHyphens w:val="0"/>
              <w:spacing w:before="40" w:after="40" w:line="220" w:lineRule="exact"/>
              <w:rPr>
                <w:sz w:val="18"/>
                <w:lang w:val="fr-FR"/>
              </w:rPr>
            </w:pPr>
            <w:r w:rsidRPr="00634A7D">
              <w:rPr>
                <w:sz w:val="18"/>
                <w:lang w:val="fr-FR"/>
              </w:rPr>
              <w:t>Sous-Comité d’experts du SGH du Conseil économique et social</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10</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2</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2</w:t>
            </w:r>
          </w:p>
        </w:tc>
        <w:tc>
          <w:tcPr>
            <w:tcW w:w="1134" w:type="dxa"/>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4</w:t>
            </w:r>
          </w:p>
        </w:tc>
        <w:tc>
          <w:tcPr>
            <w:tcW w:w="1134"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20 %</w:t>
            </w:r>
          </w:p>
        </w:tc>
        <w:tc>
          <w:tcPr>
            <w:tcW w:w="1125"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40 %</w:t>
            </w:r>
          </w:p>
        </w:tc>
      </w:tr>
      <w:tr w:rsidR="00634A7D" w:rsidRPr="00634A7D" w:rsidTr="00094937">
        <w:trPr>
          <w:gridAfter w:val="1"/>
          <w:wAfter w:w="8" w:type="dxa"/>
        </w:trPr>
        <w:tc>
          <w:tcPr>
            <w:tcW w:w="2127" w:type="dxa"/>
            <w:shd w:val="clear" w:color="auto" w:fill="auto"/>
            <w:hideMark/>
          </w:tcPr>
          <w:p w:rsidR="00634A7D" w:rsidRPr="00634A7D" w:rsidRDefault="00634A7D" w:rsidP="00634A7D">
            <w:pPr>
              <w:suppressAutoHyphens w:val="0"/>
              <w:spacing w:before="40" w:after="40" w:line="220" w:lineRule="exact"/>
              <w:rPr>
                <w:b/>
                <w:bCs/>
                <w:sz w:val="18"/>
                <w:lang w:val="fr-FR"/>
              </w:rPr>
            </w:pPr>
            <w:r w:rsidRPr="00634A7D">
              <w:rPr>
                <w:b/>
                <w:bCs/>
                <w:sz w:val="18"/>
                <w:lang w:val="fr-FR"/>
              </w:rPr>
              <w:t>PPE-TSE</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2</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0</w:t>
            </w:r>
          </w:p>
        </w:tc>
        <w:tc>
          <w:tcPr>
            <w:tcW w:w="992"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2</w:t>
            </w:r>
          </w:p>
        </w:tc>
        <w:tc>
          <w:tcPr>
            <w:tcW w:w="1134"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2</w:t>
            </w:r>
          </w:p>
        </w:tc>
        <w:tc>
          <w:tcPr>
            <w:tcW w:w="1134"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0 %</w:t>
            </w:r>
          </w:p>
        </w:tc>
        <w:tc>
          <w:tcPr>
            <w:tcW w:w="1125" w:type="dxa"/>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100 %</w:t>
            </w:r>
          </w:p>
        </w:tc>
      </w:tr>
      <w:tr w:rsidR="00634A7D" w:rsidRPr="00634A7D" w:rsidTr="00094937">
        <w:trPr>
          <w:gridAfter w:val="1"/>
          <w:wAfter w:w="8" w:type="dxa"/>
        </w:trPr>
        <w:tc>
          <w:tcPr>
            <w:tcW w:w="2127" w:type="dxa"/>
            <w:tcBorders>
              <w:bottom w:val="single" w:sz="12" w:space="0" w:color="auto"/>
            </w:tcBorders>
            <w:shd w:val="clear" w:color="auto" w:fill="auto"/>
            <w:hideMark/>
          </w:tcPr>
          <w:p w:rsidR="00634A7D" w:rsidRPr="00634A7D" w:rsidRDefault="00634A7D" w:rsidP="00634A7D">
            <w:pPr>
              <w:suppressAutoHyphens w:val="0"/>
              <w:spacing w:before="40" w:after="40" w:line="220" w:lineRule="exact"/>
              <w:rPr>
                <w:sz w:val="18"/>
                <w:lang w:val="fr-FR"/>
              </w:rPr>
            </w:pPr>
            <w:r w:rsidRPr="00634A7D">
              <w:rPr>
                <w:sz w:val="18"/>
                <w:lang w:val="fr-FR"/>
              </w:rPr>
              <w:t>Réunion de haut niveau sur les transports, la santé et l’environnement</w:t>
            </w:r>
          </w:p>
        </w:tc>
        <w:tc>
          <w:tcPr>
            <w:tcW w:w="992" w:type="dxa"/>
            <w:tcBorders>
              <w:bottom w:val="single" w:sz="12" w:space="0" w:color="auto"/>
            </w:tcBorders>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2</w:t>
            </w:r>
          </w:p>
        </w:tc>
        <w:tc>
          <w:tcPr>
            <w:tcW w:w="992" w:type="dxa"/>
            <w:tcBorders>
              <w:bottom w:val="single" w:sz="12" w:space="0" w:color="auto"/>
            </w:tcBorders>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0</w:t>
            </w:r>
          </w:p>
        </w:tc>
        <w:tc>
          <w:tcPr>
            <w:tcW w:w="992" w:type="dxa"/>
            <w:tcBorders>
              <w:bottom w:val="single" w:sz="12" w:space="0" w:color="auto"/>
            </w:tcBorders>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2</w:t>
            </w:r>
          </w:p>
        </w:tc>
        <w:tc>
          <w:tcPr>
            <w:tcW w:w="1134" w:type="dxa"/>
            <w:tcBorders>
              <w:bottom w:val="single" w:sz="12" w:space="0" w:color="auto"/>
            </w:tcBorders>
            <w:shd w:val="clear" w:color="auto" w:fill="auto"/>
            <w:vAlign w:val="bottom"/>
            <w:hideMark/>
          </w:tcPr>
          <w:p w:rsidR="00634A7D" w:rsidRPr="00634A7D" w:rsidRDefault="00634A7D" w:rsidP="00634A7D">
            <w:pPr>
              <w:suppressAutoHyphens w:val="0"/>
              <w:spacing w:before="40" w:after="40" w:line="220" w:lineRule="exact"/>
              <w:jc w:val="right"/>
              <w:rPr>
                <w:sz w:val="18"/>
                <w:lang w:val="fr-FR"/>
              </w:rPr>
            </w:pPr>
            <w:r w:rsidRPr="00634A7D">
              <w:rPr>
                <w:sz w:val="18"/>
                <w:lang w:val="fr-FR"/>
              </w:rPr>
              <w:t>2</w:t>
            </w:r>
          </w:p>
        </w:tc>
        <w:tc>
          <w:tcPr>
            <w:tcW w:w="1134" w:type="dxa"/>
            <w:tcBorders>
              <w:bottom w:val="single" w:sz="12" w:space="0" w:color="auto"/>
            </w:tcBorders>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0 %</w:t>
            </w:r>
          </w:p>
        </w:tc>
        <w:tc>
          <w:tcPr>
            <w:tcW w:w="1125" w:type="dxa"/>
            <w:tcBorders>
              <w:bottom w:val="single" w:sz="12" w:space="0" w:color="auto"/>
            </w:tcBorders>
            <w:shd w:val="clear" w:color="auto" w:fill="auto"/>
            <w:vAlign w:val="bottom"/>
            <w:hideMark/>
          </w:tcPr>
          <w:p w:rsidR="00634A7D" w:rsidRPr="00634A7D" w:rsidRDefault="00634A7D" w:rsidP="00634A7D">
            <w:pPr>
              <w:suppressAutoHyphens w:val="0"/>
              <w:spacing w:before="40" w:after="40" w:line="220" w:lineRule="exact"/>
              <w:jc w:val="right"/>
              <w:rPr>
                <w:b/>
                <w:bCs/>
                <w:sz w:val="18"/>
                <w:lang w:val="fr-FR"/>
              </w:rPr>
            </w:pPr>
            <w:r w:rsidRPr="00634A7D">
              <w:rPr>
                <w:b/>
                <w:bCs/>
                <w:sz w:val="18"/>
                <w:lang w:val="fr-FR"/>
              </w:rPr>
              <w:t>100 %</w:t>
            </w:r>
          </w:p>
        </w:tc>
      </w:tr>
    </w:tbl>
    <w:p w:rsidR="00D73BD7" w:rsidRPr="00094937" w:rsidRDefault="00D73BD7" w:rsidP="00EC6B98">
      <w:pPr>
        <w:pStyle w:val="SingleTxtG"/>
        <w:keepLines/>
        <w:spacing w:before="120" w:after="0" w:line="220" w:lineRule="exact"/>
        <w:ind w:right="0" w:firstLine="170"/>
        <w:jc w:val="left"/>
        <w:rPr>
          <w:b/>
          <w:bCs/>
          <w:sz w:val="18"/>
          <w:szCs w:val="18"/>
          <w:lang w:val="fr-FR"/>
        </w:rPr>
      </w:pPr>
      <w:r w:rsidRPr="00094937">
        <w:rPr>
          <w:sz w:val="18"/>
          <w:szCs w:val="18"/>
          <w:lang w:val="fr-FR"/>
        </w:rPr>
        <w:t xml:space="preserve">* </w:t>
      </w:r>
      <w:r w:rsidR="00094937">
        <w:rPr>
          <w:sz w:val="18"/>
          <w:szCs w:val="18"/>
          <w:lang w:val="fr-FR"/>
        </w:rPr>
        <w:t xml:space="preserve"> </w:t>
      </w:r>
      <w:r w:rsidRPr="00094937">
        <w:rPr>
          <w:sz w:val="18"/>
          <w:szCs w:val="18"/>
          <w:lang w:val="fr-FR"/>
        </w:rPr>
        <w:t>Meilleures estimations annuelles au 22 décembre 2020</w:t>
      </w:r>
      <w:r w:rsidR="00094937">
        <w:rPr>
          <w:sz w:val="18"/>
          <w:szCs w:val="18"/>
          <w:lang w:val="fr-FR"/>
        </w:rPr>
        <w:t>.</w:t>
      </w:r>
    </w:p>
    <w:p w:rsidR="00D73BD7" w:rsidRPr="00D73BD7" w:rsidRDefault="00D73BD7" w:rsidP="00D73BD7">
      <w:pPr>
        <w:pStyle w:val="H23G"/>
        <w:rPr>
          <w:lang w:val="fr-FR"/>
        </w:rPr>
      </w:pPr>
      <w:bookmarkStart w:id="0" w:name="_Hlk42791676"/>
      <w:r w:rsidRPr="00D73BD7">
        <w:rPr>
          <w:lang w:val="fr-FR"/>
        </w:rPr>
        <w:lastRenderedPageBreak/>
        <w:tab/>
        <w:t>2.</w:t>
      </w:r>
      <w:r w:rsidRPr="00D73BD7">
        <w:rPr>
          <w:lang w:val="fr-FR"/>
        </w:rPr>
        <w:tab/>
        <w:t>Conséquences sur les réunions des équipes de spécialistes (groupes d’experts)</w:t>
      </w:r>
    </w:p>
    <w:p w:rsidR="00D73BD7" w:rsidRPr="00EC6B98" w:rsidRDefault="00D73BD7" w:rsidP="00D73BD7">
      <w:pPr>
        <w:pStyle w:val="SingleTxtG"/>
      </w:pPr>
      <w:r w:rsidRPr="00D73BD7">
        <w:rPr>
          <w:lang w:val="fr-FR"/>
        </w:rPr>
        <w:t>19.</w:t>
      </w:r>
      <w:r w:rsidRPr="00D73BD7">
        <w:rPr>
          <w:lang w:val="fr-FR"/>
        </w:rPr>
        <w:tab/>
        <w:t>Les conséquences de la COVID-19 sur les travaux des groupes d’experts sont traitées séparément dans le présent document car ces organes ont un mandat limité dans le temps. Le tableau 2 résume les conséquences connues sur les réunions des groupes d’experts programmées en 2020. On voit dans le tableau 2 que moins de 30</w:t>
      </w:r>
      <w:r w:rsidR="00094937">
        <w:rPr>
          <w:lang w:val="fr-FR"/>
        </w:rPr>
        <w:t> </w:t>
      </w:r>
      <w:r w:rsidRPr="00D73BD7">
        <w:rPr>
          <w:lang w:val="fr-FR"/>
        </w:rPr>
        <w:t>% des réunions prévues dans les plans de travail des groupes d’experts ont eu lieu.</w:t>
      </w:r>
    </w:p>
    <w:p w:rsidR="00D73BD7" w:rsidRPr="00D73BD7" w:rsidRDefault="00D73BD7" w:rsidP="00D73BD7">
      <w:pPr>
        <w:pStyle w:val="Titre1"/>
        <w:rPr>
          <w:lang w:val="fr-FR"/>
        </w:rPr>
      </w:pPr>
      <w:r w:rsidRPr="00D73BD7">
        <w:rPr>
          <w:lang w:val="fr-FR"/>
        </w:rPr>
        <w:t>Tableau 2</w:t>
      </w:r>
    </w:p>
    <w:p w:rsidR="00D73BD7" w:rsidRPr="00094937" w:rsidRDefault="00D73BD7" w:rsidP="00094937">
      <w:pPr>
        <w:pStyle w:val="SingleTxtG"/>
        <w:keepNext/>
        <w:jc w:val="left"/>
        <w:rPr>
          <w:b/>
          <w:bCs/>
          <w:lang w:val="fr-FR"/>
        </w:rPr>
      </w:pPr>
      <w:r w:rsidRPr="00094937">
        <w:rPr>
          <w:b/>
          <w:bCs/>
          <w:lang w:val="fr-FR"/>
        </w:rPr>
        <w:t>Conséquences de la COVID-19 et de la crise de liquidités sur les réunions des groupes d’experts</w:t>
      </w:r>
    </w:p>
    <w:tbl>
      <w:tblPr>
        <w:tblW w:w="7370" w:type="dxa"/>
        <w:tblInd w:w="1134" w:type="dxa"/>
        <w:tblLayout w:type="fixed"/>
        <w:tblCellMar>
          <w:left w:w="0" w:type="dxa"/>
          <w:right w:w="0" w:type="dxa"/>
        </w:tblCellMar>
        <w:tblLook w:val="04A0" w:firstRow="1" w:lastRow="0" w:firstColumn="1" w:lastColumn="0" w:noHBand="0" w:noVBand="1"/>
      </w:tblPr>
      <w:tblGrid>
        <w:gridCol w:w="3315"/>
        <w:gridCol w:w="972"/>
        <w:gridCol w:w="915"/>
        <w:gridCol w:w="945"/>
        <w:gridCol w:w="1223"/>
      </w:tblGrid>
      <w:tr w:rsidR="00D73BD7" w:rsidRPr="00094937" w:rsidTr="00094937">
        <w:trPr>
          <w:tblHeader/>
        </w:trPr>
        <w:tc>
          <w:tcPr>
            <w:tcW w:w="3828" w:type="dxa"/>
            <w:tcBorders>
              <w:top w:val="single" w:sz="4" w:space="0" w:color="auto"/>
              <w:bottom w:val="single" w:sz="12" w:space="0" w:color="auto"/>
            </w:tcBorders>
            <w:shd w:val="clear" w:color="auto" w:fill="auto"/>
            <w:vAlign w:val="bottom"/>
            <w:hideMark/>
          </w:tcPr>
          <w:p w:rsidR="00D73BD7" w:rsidRPr="00094937" w:rsidRDefault="00D73BD7" w:rsidP="00094937">
            <w:pPr>
              <w:suppressAutoHyphens w:val="0"/>
              <w:spacing w:before="80" w:after="80" w:line="200" w:lineRule="exact"/>
              <w:rPr>
                <w:bCs/>
                <w:i/>
                <w:sz w:val="16"/>
                <w:szCs w:val="18"/>
                <w:lang w:val="fr-FR"/>
              </w:rPr>
            </w:pPr>
            <w:bookmarkStart w:id="1" w:name="_Hlk42850313"/>
            <w:r w:rsidRPr="00094937">
              <w:rPr>
                <w:i/>
                <w:sz w:val="16"/>
                <w:lang w:val="fr-FR"/>
              </w:rPr>
              <w:t>Réunions des groupes d’experts</w:t>
            </w:r>
          </w:p>
        </w:tc>
        <w:tc>
          <w:tcPr>
            <w:tcW w:w="1121" w:type="dxa"/>
            <w:tcBorders>
              <w:top w:val="single" w:sz="4" w:space="0" w:color="auto"/>
              <w:bottom w:val="single" w:sz="12" w:space="0" w:color="auto"/>
            </w:tcBorders>
            <w:shd w:val="clear" w:color="auto" w:fill="auto"/>
            <w:vAlign w:val="bottom"/>
            <w:hideMark/>
          </w:tcPr>
          <w:p w:rsidR="00D73BD7" w:rsidRPr="00094937" w:rsidRDefault="00D73BD7" w:rsidP="00094937">
            <w:pPr>
              <w:suppressAutoHyphens w:val="0"/>
              <w:spacing w:before="80" w:after="80" w:line="200" w:lineRule="exact"/>
              <w:jc w:val="right"/>
              <w:rPr>
                <w:bCs/>
                <w:i/>
                <w:sz w:val="16"/>
                <w:szCs w:val="14"/>
                <w:lang w:val="fr-FR"/>
              </w:rPr>
            </w:pPr>
            <w:r w:rsidRPr="00094937">
              <w:rPr>
                <w:i/>
                <w:sz w:val="16"/>
                <w:lang w:val="fr-FR"/>
              </w:rPr>
              <w:t>Réunions prévues en</w:t>
            </w:r>
            <w:r w:rsidR="00094937">
              <w:rPr>
                <w:i/>
                <w:sz w:val="16"/>
                <w:lang w:val="fr-FR"/>
              </w:rPr>
              <w:t> </w:t>
            </w:r>
            <w:r w:rsidRPr="00094937">
              <w:rPr>
                <w:i/>
                <w:sz w:val="16"/>
                <w:lang w:val="fr-FR"/>
              </w:rPr>
              <w:t>2020</w:t>
            </w:r>
            <w:r w:rsidRPr="00094937">
              <w:rPr>
                <w:i/>
                <w:sz w:val="16"/>
                <w:lang w:val="fr-FR"/>
              </w:rPr>
              <w:br/>
              <w:t>(a)</w:t>
            </w:r>
          </w:p>
        </w:tc>
        <w:tc>
          <w:tcPr>
            <w:tcW w:w="1055" w:type="dxa"/>
            <w:tcBorders>
              <w:top w:val="single" w:sz="4" w:space="0" w:color="auto"/>
              <w:bottom w:val="single" w:sz="12" w:space="0" w:color="auto"/>
            </w:tcBorders>
            <w:shd w:val="clear" w:color="auto" w:fill="auto"/>
            <w:vAlign w:val="bottom"/>
            <w:hideMark/>
          </w:tcPr>
          <w:p w:rsidR="00D73BD7" w:rsidRPr="00094937" w:rsidRDefault="00D73BD7" w:rsidP="00094937">
            <w:pPr>
              <w:suppressAutoHyphens w:val="0"/>
              <w:spacing w:before="80" w:after="80" w:line="200" w:lineRule="exact"/>
              <w:jc w:val="right"/>
              <w:rPr>
                <w:bCs/>
                <w:i/>
                <w:sz w:val="16"/>
                <w:szCs w:val="14"/>
                <w:lang w:val="fr-FR"/>
              </w:rPr>
            </w:pPr>
            <w:r w:rsidRPr="00094937">
              <w:rPr>
                <w:i/>
                <w:sz w:val="16"/>
                <w:lang w:val="fr-FR"/>
              </w:rPr>
              <w:t>Réunions tenues en</w:t>
            </w:r>
            <w:r w:rsidR="00094937">
              <w:rPr>
                <w:i/>
                <w:sz w:val="16"/>
                <w:lang w:val="fr-FR"/>
              </w:rPr>
              <w:t> </w:t>
            </w:r>
            <w:r w:rsidRPr="00094937">
              <w:rPr>
                <w:i/>
                <w:sz w:val="16"/>
                <w:lang w:val="fr-FR"/>
              </w:rPr>
              <w:t>2020</w:t>
            </w:r>
            <w:r w:rsidRPr="00094937">
              <w:rPr>
                <w:i/>
                <w:sz w:val="16"/>
                <w:lang w:val="fr-FR"/>
              </w:rPr>
              <w:br/>
              <w:t>(b)</w:t>
            </w:r>
          </w:p>
        </w:tc>
        <w:tc>
          <w:tcPr>
            <w:tcW w:w="1089" w:type="dxa"/>
            <w:tcBorders>
              <w:top w:val="single" w:sz="4" w:space="0" w:color="auto"/>
              <w:bottom w:val="single" w:sz="12" w:space="0" w:color="auto"/>
            </w:tcBorders>
            <w:shd w:val="clear" w:color="auto" w:fill="auto"/>
            <w:vAlign w:val="bottom"/>
            <w:hideMark/>
          </w:tcPr>
          <w:p w:rsidR="00D73BD7" w:rsidRPr="00094937" w:rsidRDefault="00D73BD7" w:rsidP="00094937">
            <w:pPr>
              <w:suppressAutoHyphens w:val="0"/>
              <w:spacing w:before="80" w:after="80" w:line="200" w:lineRule="exact"/>
              <w:jc w:val="right"/>
              <w:rPr>
                <w:bCs/>
                <w:i/>
                <w:sz w:val="16"/>
                <w:szCs w:val="14"/>
                <w:lang w:val="fr-FR"/>
              </w:rPr>
            </w:pPr>
            <w:r w:rsidRPr="00094937">
              <w:rPr>
                <w:i/>
                <w:sz w:val="16"/>
                <w:lang w:val="fr-FR"/>
              </w:rPr>
              <w:t xml:space="preserve">Différence </w:t>
            </w:r>
            <w:r w:rsidRPr="00094937">
              <w:rPr>
                <w:i/>
                <w:sz w:val="16"/>
                <w:lang w:val="fr-FR"/>
              </w:rPr>
              <w:br/>
              <w:t>(c) = b - a</w:t>
            </w:r>
          </w:p>
        </w:tc>
        <w:tc>
          <w:tcPr>
            <w:tcW w:w="1411" w:type="dxa"/>
            <w:tcBorders>
              <w:top w:val="single" w:sz="4" w:space="0" w:color="auto"/>
              <w:bottom w:val="single" w:sz="12" w:space="0" w:color="auto"/>
            </w:tcBorders>
            <w:shd w:val="clear" w:color="auto" w:fill="auto"/>
            <w:vAlign w:val="bottom"/>
            <w:hideMark/>
          </w:tcPr>
          <w:p w:rsidR="00D73BD7" w:rsidRPr="00094937" w:rsidRDefault="00D73BD7" w:rsidP="00094937">
            <w:pPr>
              <w:suppressAutoHyphens w:val="0"/>
              <w:spacing w:before="80" w:after="80" w:line="200" w:lineRule="exact"/>
              <w:jc w:val="right"/>
              <w:rPr>
                <w:bCs/>
                <w:i/>
                <w:sz w:val="16"/>
                <w:szCs w:val="14"/>
                <w:lang w:val="fr-FR"/>
              </w:rPr>
            </w:pPr>
            <w:r w:rsidRPr="00094937">
              <w:rPr>
                <w:i/>
                <w:sz w:val="16"/>
                <w:lang w:val="fr-FR"/>
              </w:rPr>
              <w:t>Pourcentage de réunions tenues</w:t>
            </w:r>
          </w:p>
        </w:tc>
      </w:tr>
      <w:tr w:rsidR="00D73BD7" w:rsidRPr="00094937" w:rsidTr="00094937">
        <w:tc>
          <w:tcPr>
            <w:tcW w:w="3828" w:type="dxa"/>
            <w:tcBorders>
              <w:top w:val="single" w:sz="12" w:space="0" w:color="auto"/>
            </w:tcBorders>
            <w:shd w:val="clear" w:color="auto" w:fill="auto"/>
            <w:hideMark/>
          </w:tcPr>
          <w:p w:rsidR="00D73BD7" w:rsidRPr="00094937" w:rsidRDefault="00D73BD7" w:rsidP="00094937">
            <w:pPr>
              <w:suppressAutoHyphens w:val="0"/>
              <w:spacing w:before="40" w:after="40" w:line="220" w:lineRule="exact"/>
              <w:rPr>
                <w:sz w:val="18"/>
                <w:szCs w:val="17"/>
                <w:lang w:val="fr-FR"/>
              </w:rPr>
            </w:pPr>
            <w:r w:rsidRPr="00094937">
              <w:rPr>
                <w:sz w:val="18"/>
                <w:lang w:val="fr-FR"/>
              </w:rPr>
              <w:t>Groupe d’experts chargé d’évaluer les effets des changements climatiques sur les transports intérieurs et l’adaptation à ces</w:t>
            </w:r>
            <w:r w:rsidR="00EC6B98">
              <w:rPr>
                <w:sz w:val="18"/>
                <w:lang w:val="fr-FR"/>
              </w:rPr>
              <w:t> </w:t>
            </w:r>
            <w:r w:rsidRPr="00094937">
              <w:rPr>
                <w:sz w:val="18"/>
                <w:lang w:val="fr-FR"/>
              </w:rPr>
              <w:t>changements (WP.5/GE.3)</w:t>
            </w:r>
          </w:p>
        </w:tc>
        <w:tc>
          <w:tcPr>
            <w:tcW w:w="1121" w:type="dxa"/>
            <w:tcBorders>
              <w:top w:val="single" w:sz="12" w:space="0" w:color="auto"/>
            </w:tcBorders>
            <w:shd w:val="clear" w:color="auto" w:fill="auto"/>
            <w:vAlign w:val="bottom"/>
            <w:hideMark/>
          </w:tcPr>
          <w:p w:rsidR="00D73BD7" w:rsidRPr="00094937" w:rsidRDefault="00D73BD7" w:rsidP="00094937">
            <w:pPr>
              <w:suppressAutoHyphens w:val="0"/>
              <w:spacing w:before="40" w:after="40" w:line="220" w:lineRule="exact"/>
              <w:jc w:val="right"/>
              <w:rPr>
                <w:sz w:val="18"/>
                <w:szCs w:val="24"/>
                <w:lang w:val="fr-FR"/>
              </w:rPr>
            </w:pPr>
            <w:r w:rsidRPr="00094937">
              <w:rPr>
                <w:sz w:val="18"/>
                <w:lang w:val="fr-FR"/>
              </w:rPr>
              <w:t>8</w:t>
            </w:r>
          </w:p>
        </w:tc>
        <w:tc>
          <w:tcPr>
            <w:tcW w:w="1055" w:type="dxa"/>
            <w:tcBorders>
              <w:top w:val="single" w:sz="12" w:space="0" w:color="auto"/>
            </w:tcBorders>
            <w:shd w:val="clear" w:color="auto" w:fill="auto"/>
            <w:vAlign w:val="bottom"/>
            <w:hideMark/>
          </w:tcPr>
          <w:p w:rsidR="00D73BD7" w:rsidRPr="00094937" w:rsidRDefault="00D73BD7" w:rsidP="00094937">
            <w:pPr>
              <w:suppressAutoHyphens w:val="0"/>
              <w:spacing w:before="40" w:after="40" w:line="220" w:lineRule="exact"/>
              <w:jc w:val="right"/>
              <w:rPr>
                <w:sz w:val="18"/>
                <w:szCs w:val="24"/>
                <w:lang w:val="fr-FR"/>
              </w:rPr>
            </w:pPr>
            <w:r w:rsidRPr="00094937">
              <w:rPr>
                <w:sz w:val="18"/>
                <w:lang w:val="fr-FR"/>
              </w:rPr>
              <w:t>4</w:t>
            </w:r>
          </w:p>
        </w:tc>
        <w:tc>
          <w:tcPr>
            <w:tcW w:w="1089" w:type="dxa"/>
            <w:tcBorders>
              <w:top w:val="single" w:sz="12" w:space="0" w:color="auto"/>
            </w:tcBorders>
            <w:shd w:val="clear" w:color="auto" w:fill="auto"/>
            <w:vAlign w:val="bottom"/>
            <w:hideMark/>
          </w:tcPr>
          <w:p w:rsidR="00D73BD7" w:rsidRPr="00094937" w:rsidRDefault="00D73BD7" w:rsidP="00094937">
            <w:pPr>
              <w:suppressAutoHyphens w:val="0"/>
              <w:spacing w:before="40" w:after="40" w:line="220" w:lineRule="exact"/>
              <w:jc w:val="right"/>
              <w:rPr>
                <w:sz w:val="18"/>
                <w:szCs w:val="24"/>
                <w:lang w:val="fr-FR"/>
              </w:rPr>
            </w:pPr>
            <w:r w:rsidRPr="00094937">
              <w:rPr>
                <w:sz w:val="18"/>
                <w:lang w:val="fr-FR"/>
              </w:rPr>
              <w:t>-4</w:t>
            </w:r>
          </w:p>
        </w:tc>
        <w:tc>
          <w:tcPr>
            <w:tcW w:w="1411" w:type="dxa"/>
            <w:tcBorders>
              <w:top w:val="single" w:sz="12" w:space="0" w:color="auto"/>
            </w:tcBorders>
            <w:shd w:val="clear" w:color="auto" w:fill="auto"/>
            <w:vAlign w:val="bottom"/>
            <w:hideMark/>
          </w:tcPr>
          <w:p w:rsidR="00D73BD7" w:rsidRPr="00094937" w:rsidRDefault="00D73BD7" w:rsidP="00094937">
            <w:pPr>
              <w:suppressAutoHyphens w:val="0"/>
              <w:spacing w:before="40" w:after="40" w:line="220" w:lineRule="exact"/>
              <w:jc w:val="right"/>
              <w:rPr>
                <w:sz w:val="18"/>
                <w:szCs w:val="24"/>
                <w:lang w:val="fr-FR"/>
              </w:rPr>
            </w:pPr>
            <w:r w:rsidRPr="00094937">
              <w:rPr>
                <w:sz w:val="18"/>
                <w:lang w:val="fr-FR"/>
              </w:rPr>
              <w:t>50</w:t>
            </w:r>
            <w:r w:rsidR="00094937">
              <w:rPr>
                <w:sz w:val="18"/>
                <w:lang w:val="fr-FR"/>
              </w:rPr>
              <w:t> </w:t>
            </w:r>
            <w:r w:rsidRPr="00094937">
              <w:rPr>
                <w:sz w:val="18"/>
                <w:lang w:val="fr-FR"/>
              </w:rPr>
              <w:t>%</w:t>
            </w:r>
          </w:p>
        </w:tc>
      </w:tr>
      <w:tr w:rsidR="00D73BD7" w:rsidRPr="00094937" w:rsidTr="00094937">
        <w:tc>
          <w:tcPr>
            <w:tcW w:w="3828" w:type="dxa"/>
            <w:shd w:val="clear" w:color="auto" w:fill="auto"/>
            <w:hideMark/>
          </w:tcPr>
          <w:p w:rsidR="00D73BD7" w:rsidRPr="00094937" w:rsidRDefault="00D73BD7" w:rsidP="00094937">
            <w:pPr>
              <w:suppressAutoHyphens w:val="0"/>
              <w:spacing w:before="40" w:after="40" w:line="220" w:lineRule="exact"/>
              <w:rPr>
                <w:sz w:val="18"/>
                <w:szCs w:val="17"/>
                <w:lang w:val="fr-FR"/>
              </w:rPr>
            </w:pPr>
            <w:r w:rsidRPr="00094937">
              <w:rPr>
                <w:sz w:val="18"/>
                <w:lang w:val="fr-FR"/>
              </w:rPr>
              <w:t>Groupe d’experts pour l’uniformisation du droit ferroviaire (SC.2/GEURL) (expiration du mandat en 2020)</w:t>
            </w:r>
          </w:p>
        </w:tc>
        <w:tc>
          <w:tcPr>
            <w:tcW w:w="1121" w:type="dxa"/>
            <w:shd w:val="clear" w:color="auto" w:fill="auto"/>
            <w:vAlign w:val="bottom"/>
            <w:hideMark/>
          </w:tcPr>
          <w:p w:rsidR="00D73BD7" w:rsidRPr="00094937" w:rsidRDefault="00D73BD7" w:rsidP="00094937">
            <w:pPr>
              <w:suppressAutoHyphens w:val="0"/>
              <w:spacing w:before="40" w:after="40" w:line="220" w:lineRule="exact"/>
              <w:jc w:val="right"/>
              <w:rPr>
                <w:sz w:val="18"/>
                <w:szCs w:val="24"/>
                <w:lang w:val="fr-FR"/>
              </w:rPr>
            </w:pPr>
            <w:r w:rsidRPr="00094937">
              <w:rPr>
                <w:sz w:val="18"/>
                <w:lang w:val="fr-FR"/>
              </w:rPr>
              <w:t>12</w:t>
            </w:r>
          </w:p>
        </w:tc>
        <w:tc>
          <w:tcPr>
            <w:tcW w:w="1055" w:type="dxa"/>
            <w:shd w:val="clear" w:color="auto" w:fill="auto"/>
            <w:vAlign w:val="bottom"/>
            <w:hideMark/>
          </w:tcPr>
          <w:p w:rsidR="00D73BD7" w:rsidRPr="00094937" w:rsidRDefault="00D73BD7" w:rsidP="00094937">
            <w:pPr>
              <w:suppressAutoHyphens w:val="0"/>
              <w:spacing w:before="40" w:after="40" w:line="220" w:lineRule="exact"/>
              <w:jc w:val="right"/>
              <w:rPr>
                <w:sz w:val="18"/>
                <w:szCs w:val="24"/>
                <w:lang w:val="fr-FR"/>
              </w:rPr>
            </w:pPr>
            <w:r w:rsidRPr="00094937">
              <w:rPr>
                <w:sz w:val="18"/>
                <w:lang w:val="fr-FR"/>
              </w:rPr>
              <w:t>3</w:t>
            </w:r>
          </w:p>
        </w:tc>
        <w:tc>
          <w:tcPr>
            <w:tcW w:w="1089" w:type="dxa"/>
            <w:shd w:val="clear" w:color="auto" w:fill="auto"/>
            <w:vAlign w:val="bottom"/>
            <w:hideMark/>
          </w:tcPr>
          <w:p w:rsidR="00D73BD7" w:rsidRPr="00094937" w:rsidRDefault="00D73BD7" w:rsidP="00094937">
            <w:pPr>
              <w:suppressAutoHyphens w:val="0"/>
              <w:spacing w:before="40" w:after="40" w:line="220" w:lineRule="exact"/>
              <w:jc w:val="right"/>
              <w:rPr>
                <w:sz w:val="18"/>
                <w:szCs w:val="24"/>
                <w:lang w:val="fr-FR"/>
              </w:rPr>
            </w:pPr>
            <w:r w:rsidRPr="00094937">
              <w:rPr>
                <w:sz w:val="18"/>
                <w:lang w:val="fr-FR"/>
              </w:rPr>
              <w:t>-9</w:t>
            </w:r>
          </w:p>
        </w:tc>
        <w:tc>
          <w:tcPr>
            <w:tcW w:w="1411" w:type="dxa"/>
            <w:shd w:val="clear" w:color="auto" w:fill="auto"/>
            <w:vAlign w:val="bottom"/>
            <w:hideMark/>
          </w:tcPr>
          <w:p w:rsidR="00D73BD7" w:rsidRPr="00094937" w:rsidRDefault="00D73BD7" w:rsidP="00094937">
            <w:pPr>
              <w:suppressAutoHyphens w:val="0"/>
              <w:spacing w:before="40" w:after="40" w:line="220" w:lineRule="exact"/>
              <w:jc w:val="right"/>
              <w:rPr>
                <w:sz w:val="18"/>
                <w:szCs w:val="24"/>
                <w:lang w:val="fr-FR"/>
              </w:rPr>
            </w:pPr>
            <w:r w:rsidRPr="00094937">
              <w:rPr>
                <w:sz w:val="18"/>
                <w:lang w:val="fr-FR"/>
              </w:rPr>
              <w:t>25 %</w:t>
            </w:r>
          </w:p>
        </w:tc>
      </w:tr>
      <w:tr w:rsidR="00D73BD7" w:rsidRPr="00094937" w:rsidTr="00094937">
        <w:tc>
          <w:tcPr>
            <w:tcW w:w="3828" w:type="dxa"/>
            <w:shd w:val="clear" w:color="auto" w:fill="auto"/>
            <w:hideMark/>
          </w:tcPr>
          <w:p w:rsidR="00D73BD7" w:rsidRPr="00094937" w:rsidRDefault="00D73BD7" w:rsidP="00094937">
            <w:pPr>
              <w:suppressAutoHyphens w:val="0"/>
              <w:spacing w:before="40" w:after="40" w:line="220" w:lineRule="exact"/>
              <w:rPr>
                <w:sz w:val="18"/>
                <w:szCs w:val="17"/>
                <w:lang w:val="fr-FR"/>
              </w:rPr>
            </w:pPr>
            <w:r w:rsidRPr="00094937">
              <w:rPr>
                <w:sz w:val="18"/>
                <w:lang w:val="fr-FR"/>
              </w:rPr>
              <w:t>Groupe d’experts de l’évaluation comparative des coûts de construction des infrastructures de transport (WP.5/GE.4)</w:t>
            </w:r>
          </w:p>
        </w:tc>
        <w:tc>
          <w:tcPr>
            <w:tcW w:w="1121" w:type="dxa"/>
            <w:shd w:val="clear" w:color="auto" w:fill="auto"/>
            <w:vAlign w:val="bottom"/>
            <w:hideMark/>
          </w:tcPr>
          <w:p w:rsidR="00D73BD7" w:rsidRPr="00094937" w:rsidRDefault="00D73BD7" w:rsidP="00094937">
            <w:pPr>
              <w:suppressAutoHyphens w:val="0"/>
              <w:spacing w:before="40" w:after="40" w:line="220" w:lineRule="exact"/>
              <w:jc w:val="right"/>
              <w:rPr>
                <w:sz w:val="18"/>
                <w:szCs w:val="24"/>
                <w:lang w:val="fr-FR"/>
              </w:rPr>
            </w:pPr>
            <w:r w:rsidRPr="00094937">
              <w:rPr>
                <w:sz w:val="18"/>
                <w:lang w:val="fr-FR"/>
              </w:rPr>
              <w:t>4</w:t>
            </w:r>
          </w:p>
        </w:tc>
        <w:tc>
          <w:tcPr>
            <w:tcW w:w="1055" w:type="dxa"/>
            <w:shd w:val="clear" w:color="auto" w:fill="auto"/>
            <w:vAlign w:val="bottom"/>
            <w:hideMark/>
          </w:tcPr>
          <w:p w:rsidR="00D73BD7" w:rsidRPr="00094937" w:rsidRDefault="00D73BD7" w:rsidP="00094937">
            <w:pPr>
              <w:suppressAutoHyphens w:val="0"/>
              <w:spacing w:before="40" w:after="40" w:line="220" w:lineRule="exact"/>
              <w:jc w:val="right"/>
              <w:rPr>
                <w:sz w:val="18"/>
                <w:szCs w:val="24"/>
                <w:lang w:val="fr-FR"/>
              </w:rPr>
            </w:pPr>
            <w:r w:rsidRPr="00094937">
              <w:rPr>
                <w:sz w:val="18"/>
                <w:lang w:val="fr-FR"/>
              </w:rPr>
              <w:t>0</w:t>
            </w:r>
          </w:p>
        </w:tc>
        <w:tc>
          <w:tcPr>
            <w:tcW w:w="1089" w:type="dxa"/>
            <w:shd w:val="clear" w:color="auto" w:fill="auto"/>
            <w:vAlign w:val="bottom"/>
            <w:hideMark/>
          </w:tcPr>
          <w:p w:rsidR="00D73BD7" w:rsidRPr="00094937" w:rsidRDefault="00D73BD7" w:rsidP="00094937">
            <w:pPr>
              <w:suppressAutoHyphens w:val="0"/>
              <w:spacing w:before="40" w:after="40" w:line="220" w:lineRule="exact"/>
              <w:jc w:val="right"/>
              <w:rPr>
                <w:sz w:val="18"/>
                <w:szCs w:val="24"/>
                <w:lang w:val="fr-FR"/>
              </w:rPr>
            </w:pPr>
            <w:r w:rsidRPr="00094937">
              <w:rPr>
                <w:sz w:val="18"/>
                <w:lang w:val="fr-FR"/>
              </w:rPr>
              <w:t>-4</w:t>
            </w:r>
          </w:p>
        </w:tc>
        <w:tc>
          <w:tcPr>
            <w:tcW w:w="1411" w:type="dxa"/>
            <w:shd w:val="clear" w:color="auto" w:fill="auto"/>
            <w:vAlign w:val="bottom"/>
            <w:hideMark/>
          </w:tcPr>
          <w:p w:rsidR="00D73BD7" w:rsidRPr="00094937" w:rsidRDefault="00D73BD7" w:rsidP="00094937">
            <w:pPr>
              <w:suppressAutoHyphens w:val="0"/>
              <w:spacing w:before="40" w:after="40" w:line="220" w:lineRule="exact"/>
              <w:jc w:val="right"/>
              <w:rPr>
                <w:sz w:val="18"/>
                <w:szCs w:val="24"/>
                <w:lang w:val="fr-FR"/>
              </w:rPr>
            </w:pPr>
            <w:r w:rsidRPr="00094937">
              <w:rPr>
                <w:sz w:val="18"/>
                <w:lang w:val="fr-FR"/>
              </w:rPr>
              <w:t>0 %</w:t>
            </w:r>
          </w:p>
        </w:tc>
      </w:tr>
      <w:tr w:rsidR="00D73BD7" w:rsidRPr="00094937" w:rsidTr="00094937">
        <w:tc>
          <w:tcPr>
            <w:tcW w:w="3828" w:type="dxa"/>
            <w:shd w:val="clear" w:color="auto" w:fill="auto"/>
            <w:hideMark/>
          </w:tcPr>
          <w:p w:rsidR="00D73BD7" w:rsidRPr="00094937" w:rsidRDefault="00D73BD7" w:rsidP="00094937">
            <w:pPr>
              <w:suppressAutoHyphens w:val="0"/>
              <w:spacing w:before="40" w:after="40" w:line="220" w:lineRule="exact"/>
              <w:rPr>
                <w:sz w:val="18"/>
                <w:szCs w:val="17"/>
                <w:lang w:val="fr-FR"/>
              </w:rPr>
            </w:pPr>
            <w:r w:rsidRPr="00094937">
              <w:rPr>
                <w:sz w:val="18"/>
                <w:lang w:val="fr-FR"/>
              </w:rPr>
              <w:t>Groupe d’experts de la signalisation routière (expiration du mandat en 2020)</w:t>
            </w:r>
          </w:p>
        </w:tc>
        <w:tc>
          <w:tcPr>
            <w:tcW w:w="1121" w:type="dxa"/>
            <w:shd w:val="clear" w:color="auto" w:fill="auto"/>
            <w:vAlign w:val="bottom"/>
            <w:hideMark/>
          </w:tcPr>
          <w:p w:rsidR="00D73BD7" w:rsidRPr="00094937" w:rsidRDefault="00D73BD7" w:rsidP="00094937">
            <w:pPr>
              <w:suppressAutoHyphens w:val="0"/>
              <w:spacing w:before="40" w:after="40" w:line="220" w:lineRule="exact"/>
              <w:jc w:val="right"/>
              <w:rPr>
                <w:sz w:val="18"/>
                <w:szCs w:val="24"/>
                <w:lang w:val="fr-FR"/>
              </w:rPr>
            </w:pPr>
            <w:r w:rsidRPr="00094937">
              <w:rPr>
                <w:sz w:val="18"/>
                <w:lang w:val="fr-FR"/>
              </w:rPr>
              <w:t>2</w:t>
            </w:r>
          </w:p>
        </w:tc>
        <w:tc>
          <w:tcPr>
            <w:tcW w:w="1055" w:type="dxa"/>
            <w:shd w:val="clear" w:color="auto" w:fill="auto"/>
            <w:vAlign w:val="bottom"/>
            <w:hideMark/>
          </w:tcPr>
          <w:p w:rsidR="00D73BD7" w:rsidRPr="00094937" w:rsidRDefault="00D73BD7" w:rsidP="00094937">
            <w:pPr>
              <w:suppressAutoHyphens w:val="0"/>
              <w:spacing w:before="40" w:after="40" w:line="220" w:lineRule="exact"/>
              <w:jc w:val="right"/>
              <w:rPr>
                <w:sz w:val="18"/>
                <w:szCs w:val="24"/>
                <w:lang w:val="fr-FR"/>
              </w:rPr>
            </w:pPr>
            <w:r w:rsidRPr="00094937">
              <w:rPr>
                <w:sz w:val="18"/>
                <w:lang w:val="fr-FR"/>
              </w:rPr>
              <w:t>0</w:t>
            </w:r>
          </w:p>
        </w:tc>
        <w:tc>
          <w:tcPr>
            <w:tcW w:w="1089" w:type="dxa"/>
            <w:shd w:val="clear" w:color="auto" w:fill="auto"/>
            <w:vAlign w:val="bottom"/>
            <w:hideMark/>
          </w:tcPr>
          <w:p w:rsidR="00D73BD7" w:rsidRPr="00094937" w:rsidRDefault="00D73BD7" w:rsidP="00094937">
            <w:pPr>
              <w:suppressAutoHyphens w:val="0"/>
              <w:spacing w:before="40" w:after="40" w:line="220" w:lineRule="exact"/>
              <w:jc w:val="right"/>
              <w:rPr>
                <w:sz w:val="18"/>
                <w:szCs w:val="24"/>
                <w:lang w:val="fr-FR"/>
              </w:rPr>
            </w:pPr>
            <w:r w:rsidRPr="00094937">
              <w:rPr>
                <w:sz w:val="18"/>
                <w:lang w:val="fr-FR"/>
              </w:rPr>
              <w:t>-2</w:t>
            </w:r>
          </w:p>
        </w:tc>
        <w:tc>
          <w:tcPr>
            <w:tcW w:w="1411" w:type="dxa"/>
            <w:shd w:val="clear" w:color="auto" w:fill="auto"/>
            <w:vAlign w:val="bottom"/>
            <w:hideMark/>
          </w:tcPr>
          <w:p w:rsidR="00D73BD7" w:rsidRPr="00094937" w:rsidRDefault="00D73BD7" w:rsidP="00094937">
            <w:pPr>
              <w:suppressAutoHyphens w:val="0"/>
              <w:spacing w:before="40" w:after="40" w:line="220" w:lineRule="exact"/>
              <w:jc w:val="right"/>
              <w:rPr>
                <w:sz w:val="18"/>
                <w:szCs w:val="24"/>
                <w:lang w:val="fr-FR"/>
              </w:rPr>
            </w:pPr>
            <w:r w:rsidRPr="00094937">
              <w:rPr>
                <w:sz w:val="18"/>
                <w:lang w:val="fr-FR"/>
              </w:rPr>
              <w:t>0 %</w:t>
            </w:r>
          </w:p>
        </w:tc>
      </w:tr>
      <w:tr w:rsidR="00D73BD7" w:rsidRPr="00094937" w:rsidTr="00094937">
        <w:tc>
          <w:tcPr>
            <w:tcW w:w="3828" w:type="dxa"/>
            <w:shd w:val="clear" w:color="auto" w:fill="auto"/>
            <w:hideMark/>
          </w:tcPr>
          <w:p w:rsidR="00D73BD7" w:rsidRPr="00094937" w:rsidRDefault="00D73BD7" w:rsidP="00094937">
            <w:pPr>
              <w:suppressAutoHyphens w:val="0"/>
              <w:spacing w:before="40" w:after="40" w:line="220" w:lineRule="exact"/>
              <w:rPr>
                <w:sz w:val="18"/>
                <w:szCs w:val="17"/>
                <w:lang w:val="fr-FR"/>
              </w:rPr>
            </w:pPr>
            <w:r w:rsidRPr="00094937">
              <w:rPr>
                <w:sz w:val="18"/>
                <w:lang w:val="fr-FR"/>
              </w:rPr>
              <w:t>Groupe d’experts de l’AETR</w:t>
            </w:r>
          </w:p>
        </w:tc>
        <w:tc>
          <w:tcPr>
            <w:tcW w:w="1121" w:type="dxa"/>
            <w:shd w:val="clear" w:color="auto" w:fill="auto"/>
            <w:vAlign w:val="bottom"/>
            <w:hideMark/>
          </w:tcPr>
          <w:p w:rsidR="00D73BD7" w:rsidRPr="00094937" w:rsidRDefault="00D73BD7" w:rsidP="00094937">
            <w:pPr>
              <w:suppressAutoHyphens w:val="0"/>
              <w:spacing w:before="40" w:after="40" w:line="220" w:lineRule="exact"/>
              <w:jc w:val="right"/>
              <w:rPr>
                <w:sz w:val="18"/>
                <w:szCs w:val="24"/>
                <w:lang w:val="fr-FR"/>
              </w:rPr>
            </w:pPr>
            <w:r w:rsidRPr="00094937">
              <w:rPr>
                <w:sz w:val="18"/>
                <w:lang w:val="fr-FR"/>
              </w:rPr>
              <w:t>3</w:t>
            </w:r>
          </w:p>
        </w:tc>
        <w:tc>
          <w:tcPr>
            <w:tcW w:w="1055" w:type="dxa"/>
            <w:shd w:val="clear" w:color="auto" w:fill="auto"/>
            <w:vAlign w:val="bottom"/>
            <w:hideMark/>
          </w:tcPr>
          <w:p w:rsidR="00D73BD7" w:rsidRPr="00094937" w:rsidRDefault="00D73BD7" w:rsidP="00094937">
            <w:pPr>
              <w:suppressAutoHyphens w:val="0"/>
              <w:spacing w:before="40" w:after="40" w:line="220" w:lineRule="exact"/>
              <w:jc w:val="right"/>
              <w:rPr>
                <w:sz w:val="18"/>
                <w:szCs w:val="24"/>
                <w:lang w:val="fr-FR"/>
              </w:rPr>
            </w:pPr>
            <w:r w:rsidRPr="00094937">
              <w:rPr>
                <w:sz w:val="18"/>
                <w:lang w:val="fr-FR"/>
              </w:rPr>
              <w:t>2</w:t>
            </w:r>
          </w:p>
        </w:tc>
        <w:tc>
          <w:tcPr>
            <w:tcW w:w="1089" w:type="dxa"/>
            <w:shd w:val="clear" w:color="auto" w:fill="auto"/>
            <w:vAlign w:val="bottom"/>
            <w:hideMark/>
          </w:tcPr>
          <w:p w:rsidR="00D73BD7" w:rsidRPr="00094937" w:rsidRDefault="00D73BD7" w:rsidP="00094937">
            <w:pPr>
              <w:suppressAutoHyphens w:val="0"/>
              <w:spacing w:before="40" w:after="40" w:line="220" w:lineRule="exact"/>
              <w:jc w:val="right"/>
              <w:rPr>
                <w:sz w:val="18"/>
                <w:szCs w:val="24"/>
                <w:lang w:val="fr-FR"/>
              </w:rPr>
            </w:pPr>
            <w:r w:rsidRPr="00094937">
              <w:rPr>
                <w:sz w:val="18"/>
                <w:lang w:val="fr-FR"/>
              </w:rPr>
              <w:t>-1</w:t>
            </w:r>
          </w:p>
        </w:tc>
        <w:tc>
          <w:tcPr>
            <w:tcW w:w="1411" w:type="dxa"/>
            <w:shd w:val="clear" w:color="auto" w:fill="auto"/>
            <w:vAlign w:val="bottom"/>
            <w:hideMark/>
          </w:tcPr>
          <w:p w:rsidR="00D73BD7" w:rsidRPr="00094937" w:rsidRDefault="00D73BD7" w:rsidP="00094937">
            <w:pPr>
              <w:suppressAutoHyphens w:val="0"/>
              <w:spacing w:before="40" w:after="40" w:line="220" w:lineRule="exact"/>
              <w:jc w:val="right"/>
              <w:rPr>
                <w:sz w:val="18"/>
                <w:szCs w:val="24"/>
                <w:lang w:val="fr-FR"/>
              </w:rPr>
            </w:pPr>
            <w:r w:rsidRPr="00094937">
              <w:rPr>
                <w:sz w:val="18"/>
                <w:lang w:val="fr-FR"/>
              </w:rPr>
              <w:t>67</w:t>
            </w:r>
            <w:r w:rsidR="00094937">
              <w:rPr>
                <w:sz w:val="18"/>
                <w:lang w:val="fr-FR"/>
              </w:rPr>
              <w:t> </w:t>
            </w:r>
            <w:r w:rsidRPr="00094937">
              <w:rPr>
                <w:sz w:val="18"/>
                <w:lang w:val="fr-FR"/>
              </w:rPr>
              <w:t>%</w:t>
            </w:r>
          </w:p>
        </w:tc>
      </w:tr>
      <w:tr w:rsidR="00D73BD7" w:rsidRPr="00094937" w:rsidTr="00094937">
        <w:tc>
          <w:tcPr>
            <w:tcW w:w="3828" w:type="dxa"/>
            <w:tcBorders>
              <w:bottom w:val="single" w:sz="4" w:space="0" w:color="auto"/>
            </w:tcBorders>
            <w:shd w:val="clear" w:color="auto" w:fill="auto"/>
            <w:hideMark/>
          </w:tcPr>
          <w:p w:rsidR="00D73BD7" w:rsidRPr="00094937" w:rsidRDefault="00D73BD7" w:rsidP="00094937">
            <w:pPr>
              <w:suppressAutoHyphens w:val="0"/>
              <w:spacing w:before="40" w:after="40" w:line="220" w:lineRule="exact"/>
              <w:rPr>
                <w:sz w:val="18"/>
                <w:szCs w:val="17"/>
                <w:lang w:val="fr-FR"/>
              </w:rPr>
            </w:pPr>
            <w:r w:rsidRPr="00094937">
              <w:rPr>
                <w:sz w:val="18"/>
                <w:lang w:val="fr-FR"/>
              </w:rPr>
              <w:t>Groupe d’experts de l’identification permanente du matériel roulant ferroviaire</w:t>
            </w:r>
          </w:p>
        </w:tc>
        <w:tc>
          <w:tcPr>
            <w:tcW w:w="1121" w:type="dxa"/>
            <w:tcBorders>
              <w:bottom w:val="single" w:sz="4" w:space="0" w:color="auto"/>
            </w:tcBorders>
            <w:shd w:val="clear" w:color="auto" w:fill="auto"/>
            <w:vAlign w:val="bottom"/>
            <w:hideMark/>
          </w:tcPr>
          <w:p w:rsidR="00D73BD7" w:rsidRPr="00094937" w:rsidRDefault="00D73BD7" w:rsidP="00094937">
            <w:pPr>
              <w:suppressAutoHyphens w:val="0"/>
              <w:spacing w:before="40" w:after="40" w:line="220" w:lineRule="exact"/>
              <w:jc w:val="right"/>
              <w:rPr>
                <w:sz w:val="18"/>
                <w:szCs w:val="24"/>
                <w:lang w:val="fr-FR"/>
              </w:rPr>
            </w:pPr>
            <w:r w:rsidRPr="00094937">
              <w:rPr>
                <w:sz w:val="18"/>
                <w:lang w:val="fr-FR"/>
              </w:rPr>
              <w:t>12</w:t>
            </w:r>
          </w:p>
        </w:tc>
        <w:tc>
          <w:tcPr>
            <w:tcW w:w="1055" w:type="dxa"/>
            <w:tcBorders>
              <w:bottom w:val="single" w:sz="4" w:space="0" w:color="auto"/>
            </w:tcBorders>
            <w:shd w:val="clear" w:color="auto" w:fill="auto"/>
            <w:vAlign w:val="bottom"/>
            <w:hideMark/>
          </w:tcPr>
          <w:p w:rsidR="00D73BD7" w:rsidRPr="00094937" w:rsidRDefault="00D73BD7" w:rsidP="00094937">
            <w:pPr>
              <w:suppressAutoHyphens w:val="0"/>
              <w:spacing w:before="40" w:after="40" w:line="220" w:lineRule="exact"/>
              <w:jc w:val="right"/>
              <w:rPr>
                <w:sz w:val="18"/>
                <w:szCs w:val="24"/>
                <w:lang w:val="fr-FR"/>
              </w:rPr>
            </w:pPr>
            <w:r w:rsidRPr="00094937">
              <w:rPr>
                <w:sz w:val="18"/>
                <w:lang w:val="fr-FR"/>
              </w:rPr>
              <w:t>3</w:t>
            </w:r>
          </w:p>
        </w:tc>
        <w:tc>
          <w:tcPr>
            <w:tcW w:w="1089" w:type="dxa"/>
            <w:tcBorders>
              <w:bottom w:val="single" w:sz="4" w:space="0" w:color="auto"/>
            </w:tcBorders>
            <w:shd w:val="clear" w:color="auto" w:fill="auto"/>
            <w:vAlign w:val="bottom"/>
            <w:hideMark/>
          </w:tcPr>
          <w:p w:rsidR="00D73BD7" w:rsidRPr="00094937" w:rsidRDefault="00D73BD7" w:rsidP="00094937">
            <w:pPr>
              <w:suppressAutoHyphens w:val="0"/>
              <w:spacing w:before="40" w:after="40" w:line="220" w:lineRule="exact"/>
              <w:jc w:val="right"/>
              <w:rPr>
                <w:sz w:val="18"/>
                <w:szCs w:val="24"/>
                <w:lang w:val="fr-FR"/>
              </w:rPr>
            </w:pPr>
            <w:r w:rsidRPr="00094937">
              <w:rPr>
                <w:sz w:val="18"/>
                <w:lang w:val="fr-FR"/>
              </w:rPr>
              <w:t>-9</w:t>
            </w:r>
          </w:p>
        </w:tc>
        <w:tc>
          <w:tcPr>
            <w:tcW w:w="1411" w:type="dxa"/>
            <w:tcBorders>
              <w:bottom w:val="single" w:sz="4" w:space="0" w:color="auto"/>
            </w:tcBorders>
            <w:shd w:val="clear" w:color="auto" w:fill="auto"/>
            <w:vAlign w:val="bottom"/>
            <w:hideMark/>
          </w:tcPr>
          <w:p w:rsidR="00D73BD7" w:rsidRPr="00094937" w:rsidRDefault="00D73BD7" w:rsidP="00094937">
            <w:pPr>
              <w:suppressAutoHyphens w:val="0"/>
              <w:spacing w:before="40" w:after="40" w:line="220" w:lineRule="exact"/>
              <w:jc w:val="right"/>
              <w:rPr>
                <w:sz w:val="18"/>
                <w:szCs w:val="24"/>
                <w:lang w:val="fr-FR"/>
              </w:rPr>
            </w:pPr>
            <w:r w:rsidRPr="00094937">
              <w:rPr>
                <w:sz w:val="18"/>
                <w:lang w:val="fr-FR"/>
              </w:rPr>
              <w:t>25 %</w:t>
            </w:r>
          </w:p>
        </w:tc>
      </w:tr>
      <w:tr w:rsidR="00D73BD7" w:rsidRPr="00094937" w:rsidTr="00094937">
        <w:tc>
          <w:tcPr>
            <w:tcW w:w="3828" w:type="dxa"/>
            <w:tcBorders>
              <w:top w:val="single" w:sz="4" w:space="0" w:color="auto"/>
              <w:bottom w:val="single" w:sz="12" w:space="0" w:color="auto"/>
            </w:tcBorders>
            <w:shd w:val="clear" w:color="auto" w:fill="auto"/>
            <w:hideMark/>
          </w:tcPr>
          <w:p w:rsidR="00D73BD7" w:rsidRPr="00094937" w:rsidRDefault="00D73BD7" w:rsidP="00094937">
            <w:pPr>
              <w:suppressAutoHyphens w:val="0"/>
              <w:spacing w:before="80" w:after="80" w:line="220" w:lineRule="exact"/>
              <w:ind w:left="283"/>
              <w:rPr>
                <w:b/>
                <w:sz w:val="18"/>
                <w:lang w:val="fr-FR"/>
              </w:rPr>
            </w:pPr>
            <w:r w:rsidRPr="00094937">
              <w:rPr>
                <w:b/>
                <w:bCs/>
                <w:sz w:val="18"/>
                <w:lang w:val="fr-FR"/>
              </w:rPr>
              <w:t>Total</w:t>
            </w:r>
          </w:p>
        </w:tc>
        <w:tc>
          <w:tcPr>
            <w:tcW w:w="1121" w:type="dxa"/>
            <w:tcBorders>
              <w:top w:val="single" w:sz="4" w:space="0" w:color="auto"/>
              <w:bottom w:val="single" w:sz="12" w:space="0" w:color="auto"/>
            </w:tcBorders>
            <w:shd w:val="clear" w:color="auto" w:fill="auto"/>
            <w:vAlign w:val="bottom"/>
            <w:hideMark/>
          </w:tcPr>
          <w:p w:rsidR="00D73BD7" w:rsidRPr="00094937" w:rsidRDefault="00D73BD7" w:rsidP="00094937">
            <w:pPr>
              <w:suppressAutoHyphens w:val="0"/>
              <w:spacing w:before="80" w:after="80" w:line="220" w:lineRule="exact"/>
              <w:jc w:val="right"/>
              <w:rPr>
                <w:b/>
                <w:sz w:val="18"/>
                <w:szCs w:val="24"/>
                <w:lang w:val="fr-FR"/>
              </w:rPr>
            </w:pPr>
            <w:r w:rsidRPr="00094937">
              <w:rPr>
                <w:b/>
                <w:bCs/>
                <w:sz w:val="18"/>
                <w:lang w:val="fr-FR"/>
              </w:rPr>
              <w:t>41</w:t>
            </w:r>
          </w:p>
        </w:tc>
        <w:tc>
          <w:tcPr>
            <w:tcW w:w="1055" w:type="dxa"/>
            <w:tcBorders>
              <w:top w:val="single" w:sz="4" w:space="0" w:color="auto"/>
              <w:bottom w:val="single" w:sz="12" w:space="0" w:color="auto"/>
            </w:tcBorders>
            <w:shd w:val="clear" w:color="auto" w:fill="auto"/>
            <w:vAlign w:val="bottom"/>
            <w:hideMark/>
          </w:tcPr>
          <w:p w:rsidR="00D73BD7" w:rsidRPr="00094937" w:rsidRDefault="00D73BD7" w:rsidP="00094937">
            <w:pPr>
              <w:suppressAutoHyphens w:val="0"/>
              <w:spacing w:before="80" w:after="80" w:line="220" w:lineRule="exact"/>
              <w:jc w:val="right"/>
              <w:rPr>
                <w:b/>
                <w:sz w:val="18"/>
                <w:szCs w:val="24"/>
                <w:lang w:val="fr-FR"/>
              </w:rPr>
            </w:pPr>
            <w:r w:rsidRPr="00094937">
              <w:rPr>
                <w:b/>
                <w:bCs/>
                <w:sz w:val="18"/>
                <w:lang w:val="fr-FR"/>
              </w:rPr>
              <w:t>12</w:t>
            </w:r>
          </w:p>
        </w:tc>
        <w:tc>
          <w:tcPr>
            <w:tcW w:w="1089" w:type="dxa"/>
            <w:tcBorders>
              <w:top w:val="single" w:sz="4" w:space="0" w:color="auto"/>
              <w:bottom w:val="single" w:sz="12" w:space="0" w:color="auto"/>
            </w:tcBorders>
            <w:shd w:val="clear" w:color="auto" w:fill="auto"/>
            <w:vAlign w:val="bottom"/>
            <w:hideMark/>
          </w:tcPr>
          <w:p w:rsidR="00D73BD7" w:rsidRPr="00094937" w:rsidRDefault="00D73BD7" w:rsidP="00094937">
            <w:pPr>
              <w:suppressAutoHyphens w:val="0"/>
              <w:spacing w:before="80" w:after="80" w:line="220" w:lineRule="exact"/>
              <w:jc w:val="right"/>
              <w:rPr>
                <w:b/>
                <w:sz w:val="18"/>
                <w:szCs w:val="24"/>
                <w:lang w:val="fr-FR"/>
              </w:rPr>
            </w:pPr>
            <w:r w:rsidRPr="00094937">
              <w:rPr>
                <w:b/>
                <w:bCs/>
                <w:sz w:val="18"/>
                <w:lang w:val="fr-FR"/>
              </w:rPr>
              <w:t>-29</w:t>
            </w:r>
          </w:p>
        </w:tc>
        <w:tc>
          <w:tcPr>
            <w:tcW w:w="1411" w:type="dxa"/>
            <w:tcBorders>
              <w:top w:val="single" w:sz="4" w:space="0" w:color="auto"/>
              <w:bottom w:val="single" w:sz="12" w:space="0" w:color="auto"/>
            </w:tcBorders>
            <w:shd w:val="clear" w:color="auto" w:fill="auto"/>
            <w:vAlign w:val="bottom"/>
            <w:hideMark/>
          </w:tcPr>
          <w:p w:rsidR="00D73BD7" w:rsidRPr="00094937" w:rsidRDefault="00D73BD7" w:rsidP="00094937">
            <w:pPr>
              <w:suppressAutoHyphens w:val="0"/>
              <w:spacing w:before="80" w:after="80" w:line="220" w:lineRule="exact"/>
              <w:jc w:val="right"/>
              <w:rPr>
                <w:b/>
                <w:sz w:val="18"/>
                <w:szCs w:val="24"/>
                <w:lang w:val="fr-FR"/>
              </w:rPr>
            </w:pPr>
            <w:r w:rsidRPr="00094937">
              <w:rPr>
                <w:b/>
                <w:bCs/>
                <w:sz w:val="18"/>
                <w:lang w:val="fr-FR"/>
              </w:rPr>
              <w:t>29</w:t>
            </w:r>
            <w:r w:rsidR="00094937">
              <w:rPr>
                <w:b/>
                <w:bCs/>
                <w:sz w:val="18"/>
                <w:lang w:val="fr-FR"/>
              </w:rPr>
              <w:t> </w:t>
            </w:r>
            <w:r w:rsidRPr="00094937">
              <w:rPr>
                <w:b/>
                <w:bCs/>
                <w:sz w:val="18"/>
                <w:lang w:val="fr-FR"/>
              </w:rPr>
              <w:t>%</w:t>
            </w:r>
          </w:p>
        </w:tc>
      </w:tr>
    </w:tbl>
    <w:p w:rsidR="00D73BD7" w:rsidRPr="00D73BD7" w:rsidRDefault="00D73BD7" w:rsidP="00D73BD7">
      <w:pPr>
        <w:pStyle w:val="H1G"/>
        <w:rPr>
          <w:lang w:val="fr-FR"/>
        </w:rPr>
      </w:pPr>
      <w:r w:rsidRPr="00D73BD7">
        <w:rPr>
          <w:lang w:val="fr-FR"/>
        </w:rPr>
        <w:tab/>
        <w:t>B.</w:t>
      </w:r>
      <w:r w:rsidRPr="00D73BD7">
        <w:rPr>
          <w:lang w:val="fr-FR"/>
        </w:rPr>
        <w:tab/>
        <w:t>Conséquences sur la documentation</w:t>
      </w:r>
    </w:p>
    <w:p w:rsidR="00D73BD7" w:rsidRPr="00D73BD7" w:rsidRDefault="00D73BD7" w:rsidP="00D73BD7">
      <w:pPr>
        <w:pStyle w:val="SingleTxtG"/>
        <w:rPr>
          <w:lang w:val="fr-FR"/>
        </w:rPr>
      </w:pPr>
      <w:r w:rsidRPr="00D73BD7">
        <w:rPr>
          <w:lang w:val="fr-FR"/>
        </w:rPr>
        <w:t>20.</w:t>
      </w:r>
      <w:r w:rsidRPr="00D73BD7">
        <w:rPr>
          <w:lang w:val="fr-FR"/>
        </w:rPr>
        <w:tab/>
        <w:t>Au moment de la rédaction de la présente note, on s’attendait à ce que les effets conjugués de la COVID-19 et de la crise de liquidités sur la production des documents soient déterminants pour les organes intergouvernementaux dont la mission consiste à concevoir des instruments juridiques contraignants et à mettre à jour les instruments existants en vue de rendre les systèmes de transport intérieurs du monde entier plus sûrs, plus efficaces et plus respectueux de l’environnement.</w:t>
      </w:r>
    </w:p>
    <w:p w:rsidR="00D73BD7" w:rsidRPr="00D73BD7" w:rsidRDefault="00D73BD7" w:rsidP="00D73BD7">
      <w:pPr>
        <w:pStyle w:val="SingleTxtG"/>
        <w:rPr>
          <w:lang w:val="fr-FR"/>
        </w:rPr>
      </w:pPr>
      <w:r w:rsidRPr="00D73BD7">
        <w:rPr>
          <w:lang w:val="fr-FR"/>
        </w:rPr>
        <w:t>21.</w:t>
      </w:r>
      <w:r w:rsidRPr="00D73BD7">
        <w:rPr>
          <w:lang w:val="fr-FR"/>
        </w:rPr>
        <w:tab/>
        <w:t>En particulier, en raison des fortes restrictions applicables à l’organisation des réunions prévues au titre du programme de travail du Comité, seules 62</w:t>
      </w:r>
      <w:r w:rsidR="00094937">
        <w:rPr>
          <w:lang w:val="fr-FR"/>
        </w:rPr>
        <w:t> </w:t>
      </w:r>
      <w:r w:rsidRPr="00D73BD7">
        <w:rPr>
          <w:lang w:val="fr-FR"/>
        </w:rPr>
        <w:t>% environ des réunions prévues en 2020 ont eu lieu et des services d’interprétation ont été assurés pour 34 % des réunions prévues. En outre, le fait qu’un poste P-4 soit resté vacant en raison des problèmes de liquidités a rendu encore plus difficile la production des documents relatifs à l’un des volets du sous-programme ayant le plus de conséquences sur le plan réglementaire, à savoir les Règlements concernant les véhicules.</w:t>
      </w:r>
    </w:p>
    <w:p w:rsidR="00D73BD7" w:rsidRPr="00D73BD7" w:rsidRDefault="00D73BD7" w:rsidP="00D73BD7">
      <w:pPr>
        <w:pStyle w:val="SingleTxtG"/>
        <w:rPr>
          <w:lang w:val="fr-FR"/>
        </w:rPr>
      </w:pPr>
      <w:r w:rsidRPr="00D73BD7">
        <w:rPr>
          <w:lang w:val="fr-FR"/>
        </w:rPr>
        <w:t>22.</w:t>
      </w:r>
      <w:r w:rsidRPr="00D73BD7">
        <w:rPr>
          <w:lang w:val="fr-FR"/>
        </w:rPr>
        <w:tab/>
        <w:t xml:space="preserve">Les effets conjugués de ces deux facteurs ont </w:t>
      </w:r>
      <w:r w:rsidRPr="00D73BD7">
        <w:rPr>
          <w:b/>
          <w:bCs/>
          <w:lang w:val="fr-FR"/>
        </w:rPr>
        <w:t>ralenti l’activité normative</w:t>
      </w:r>
      <w:r w:rsidRPr="00D73BD7">
        <w:rPr>
          <w:lang w:val="fr-FR"/>
        </w:rPr>
        <w:t xml:space="preserve"> du Comité des transports intérieurs, de ses organes subsidiaires et du sous-programme Transports dans son ensemble, qui </w:t>
      </w:r>
      <w:r w:rsidRPr="00D73BD7">
        <w:rPr>
          <w:b/>
          <w:bCs/>
          <w:lang w:val="fr-FR"/>
        </w:rPr>
        <w:t>devraient ne publier que 62</w:t>
      </w:r>
      <w:r w:rsidR="00094937">
        <w:rPr>
          <w:b/>
          <w:bCs/>
          <w:lang w:val="fr-FR"/>
        </w:rPr>
        <w:t> </w:t>
      </w:r>
      <w:r w:rsidRPr="00D73BD7">
        <w:rPr>
          <w:b/>
          <w:bCs/>
          <w:lang w:val="fr-FR"/>
        </w:rPr>
        <w:t>% environ des documents prévus</w:t>
      </w:r>
      <w:r w:rsidRPr="00D73BD7">
        <w:rPr>
          <w:lang w:val="fr-FR"/>
        </w:rPr>
        <w:t xml:space="preserve"> en vue de la mise à jour des instruments juridiques, et qui ont souvent dû reporter la prise de décisions à 2021 (voir tableau 3).</w:t>
      </w:r>
    </w:p>
    <w:p w:rsidR="00D73BD7" w:rsidRPr="00D73BD7" w:rsidRDefault="00D73BD7" w:rsidP="00D73BD7">
      <w:pPr>
        <w:pStyle w:val="Titre1"/>
        <w:rPr>
          <w:lang w:val="fr-FR"/>
        </w:rPr>
      </w:pPr>
      <w:r w:rsidRPr="00D73BD7">
        <w:rPr>
          <w:lang w:val="fr-FR"/>
        </w:rPr>
        <w:lastRenderedPageBreak/>
        <w:t>Tableau 3</w:t>
      </w:r>
    </w:p>
    <w:p w:rsidR="00D73BD7" w:rsidRPr="00D73BD7" w:rsidRDefault="00D73BD7" w:rsidP="00094937">
      <w:pPr>
        <w:pStyle w:val="SingleTxtG"/>
        <w:keepNext/>
        <w:keepLines/>
        <w:ind w:right="1138"/>
        <w:jc w:val="left"/>
        <w:rPr>
          <w:lang w:val="fr-FR"/>
        </w:rPr>
      </w:pPr>
      <w:r w:rsidRPr="00D73BD7">
        <w:rPr>
          <w:b/>
          <w:bCs/>
          <w:lang w:val="fr-FR"/>
        </w:rPr>
        <w:t>Conséquences de la COVID-19 et de la crise de liquidités sur les documents du</w:t>
      </w:r>
      <w:r w:rsidR="00094937">
        <w:rPr>
          <w:b/>
          <w:bCs/>
          <w:lang w:val="fr-FR"/>
        </w:rPr>
        <w:t> </w:t>
      </w:r>
      <w:r w:rsidRPr="00D73BD7">
        <w:rPr>
          <w:b/>
          <w:bCs/>
          <w:lang w:val="fr-FR"/>
        </w:rPr>
        <w:t>sou</w:t>
      </w:r>
      <w:r w:rsidR="00CE67F1">
        <w:rPr>
          <w:b/>
          <w:bCs/>
          <w:lang w:val="fr-FR"/>
        </w:rPr>
        <w:t>s</w:t>
      </w:r>
      <w:r w:rsidR="00094937">
        <w:rPr>
          <w:b/>
          <w:bCs/>
          <w:lang w:val="fr-FR"/>
        </w:rPr>
        <w:noBreakHyphen/>
      </w:r>
      <w:r w:rsidRPr="00D73BD7">
        <w:rPr>
          <w:b/>
          <w:bCs/>
          <w:lang w:val="fr-FR"/>
        </w:rPr>
        <w:t>programme Transports</w:t>
      </w:r>
    </w:p>
    <w:tbl>
      <w:tblPr>
        <w:tblW w:w="7370" w:type="dxa"/>
        <w:tblInd w:w="1134" w:type="dxa"/>
        <w:tblLayout w:type="fixed"/>
        <w:tblCellMar>
          <w:left w:w="0" w:type="dxa"/>
          <w:right w:w="0" w:type="dxa"/>
        </w:tblCellMar>
        <w:tblLook w:val="04A0" w:firstRow="1" w:lastRow="0" w:firstColumn="1" w:lastColumn="0" w:noHBand="0" w:noVBand="1"/>
      </w:tblPr>
      <w:tblGrid>
        <w:gridCol w:w="2703"/>
        <w:gridCol w:w="1379"/>
        <w:gridCol w:w="1525"/>
        <w:gridCol w:w="1763"/>
      </w:tblGrid>
      <w:tr w:rsidR="00D73BD7" w:rsidRPr="00094937" w:rsidTr="00094937">
        <w:trPr>
          <w:tblHeader/>
        </w:trPr>
        <w:tc>
          <w:tcPr>
            <w:tcW w:w="2703" w:type="dxa"/>
            <w:tcBorders>
              <w:top w:val="single" w:sz="4" w:space="0" w:color="auto"/>
              <w:bottom w:val="single" w:sz="12" w:space="0" w:color="auto"/>
            </w:tcBorders>
            <w:shd w:val="clear" w:color="auto" w:fill="auto"/>
            <w:vAlign w:val="bottom"/>
            <w:hideMark/>
          </w:tcPr>
          <w:p w:rsidR="00D73BD7" w:rsidRPr="00094937" w:rsidRDefault="00D73BD7" w:rsidP="00094937">
            <w:pPr>
              <w:suppressAutoHyphens w:val="0"/>
              <w:spacing w:before="80" w:after="80" w:line="200" w:lineRule="exact"/>
              <w:rPr>
                <w:i/>
                <w:sz w:val="16"/>
                <w:lang w:val="fr-FR" w:eastAsia="zh-CN"/>
              </w:rPr>
            </w:pPr>
            <w:r w:rsidRPr="00094937">
              <w:rPr>
                <w:i/>
                <w:sz w:val="16"/>
                <w:lang w:val="fr-FR" w:eastAsia="zh-CN"/>
              </w:rPr>
              <w:t> </w:t>
            </w:r>
          </w:p>
        </w:tc>
        <w:tc>
          <w:tcPr>
            <w:tcW w:w="1379" w:type="dxa"/>
            <w:tcBorders>
              <w:top w:val="single" w:sz="4" w:space="0" w:color="auto"/>
              <w:bottom w:val="single" w:sz="12" w:space="0" w:color="auto"/>
            </w:tcBorders>
            <w:shd w:val="clear" w:color="auto" w:fill="auto"/>
            <w:vAlign w:val="bottom"/>
            <w:hideMark/>
          </w:tcPr>
          <w:p w:rsidR="00D73BD7" w:rsidRPr="00094937" w:rsidRDefault="00D73BD7" w:rsidP="00094937">
            <w:pPr>
              <w:suppressAutoHyphens w:val="0"/>
              <w:spacing w:before="80" w:after="80" w:line="200" w:lineRule="exact"/>
              <w:jc w:val="right"/>
              <w:rPr>
                <w:bCs/>
                <w:i/>
                <w:sz w:val="16"/>
                <w:lang w:val="fr-FR"/>
              </w:rPr>
            </w:pPr>
            <w:r w:rsidRPr="00094937">
              <w:rPr>
                <w:i/>
                <w:sz w:val="16"/>
                <w:lang w:val="fr-FR"/>
              </w:rPr>
              <w:t>Documents prévus en</w:t>
            </w:r>
            <w:r w:rsidR="00094937">
              <w:rPr>
                <w:i/>
                <w:sz w:val="16"/>
                <w:lang w:val="fr-FR"/>
              </w:rPr>
              <w:t> </w:t>
            </w:r>
            <w:r w:rsidRPr="00094937">
              <w:rPr>
                <w:i/>
                <w:sz w:val="16"/>
                <w:lang w:val="fr-FR"/>
              </w:rPr>
              <w:t xml:space="preserve">2020 </w:t>
            </w:r>
            <w:r w:rsidRPr="00094937">
              <w:rPr>
                <w:i/>
                <w:sz w:val="16"/>
                <w:lang w:val="fr-FR"/>
              </w:rPr>
              <w:br/>
              <w:t>(a)</w:t>
            </w:r>
          </w:p>
        </w:tc>
        <w:tc>
          <w:tcPr>
            <w:tcW w:w="1525" w:type="dxa"/>
            <w:tcBorders>
              <w:top w:val="single" w:sz="4" w:space="0" w:color="auto"/>
              <w:bottom w:val="single" w:sz="12" w:space="0" w:color="auto"/>
            </w:tcBorders>
            <w:shd w:val="clear" w:color="auto" w:fill="auto"/>
            <w:vAlign w:val="bottom"/>
            <w:hideMark/>
          </w:tcPr>
          <w:p w:rsidR="00D73BD7" w:rsidRPr="00094937" w:rsidRDefault="00D73BD7" w:rsidP="00094937">
            <w:pPr>
              <w:suppressAutoHyphens w:val="0"/>
              <w:spacing w:before="80" w:after="80" w:line="200" w:lineRule="exact"/>
              <w:jc w:val="right"/>
              <w:rPr>
                <w:bCs/>
                <w:i/>
                <w:sz w:val="16"/>
                <w:lang w:val="fr-FR"/>
              </w:rPr>
            </w:pPr>
            <w:r w:rsidRPr="00094937">
              <w:rPr>
                <w:i/>
                <w:sz w:val="16"/>
                <w:lang w:val="fr-FR"/>
              </w:rPr>
              <w:t>Documents publiés en</w:t>
            </w:r>
            <w:r w:rsidR="00094937">
              <w:rPr>
                <w:i/>
                <w:sz w:val="16"/>
                <w:lang w:val="fr-FR"/>
              </w:rPr>
              <w:t> </w:t>
            </w:r>
            <w:r w:rsidRPr="00094937">
              <w:rPr>
                <w:i/>
                <w:sz w:val="16"/>
                <w:lang w:val="fr-FR"/>
              </w:rPr>
              <w:t>2020 (estimation)</w:t>
            </w:r>
            <w:r w:rsidRPr="00094937">
              <w:rPr>
                <w:i/>
                <w:sz w:val="16"/>
                <w:lang w:val="fr-FR"/>
              </w:rPr>
              <w:br/>
              <w:t>(b)</w:t>
            </w:r>
          </w:p>
        </w:tc>
        <w:tc>
          <w:tcPr>
            <w:tcW w:w="1763" w:type="dxa"/>
            <w:tcBorders>
              <w:top w:val="single" w:sz="4" w:space="0" w:color="auto"/>
              <w:bottom w:val="single" w:sz="12" w:space="0" w:color="auto"/>
            </w:tcBorders>
            <w:shd w:val="clear" w:color="auto" w:fill="auto"/>
            <w:vAlign w:val="bottom"/>
            <w:hideMark/>
          </w:tcPr>
          <w:p w:rsidR="00D73BD7" w:rsidRPr="00094937" w:rsidRDefault="00D73BD7" w:rsidP="00094937">
            <w:pPr>
              <w:suppressAutoHyphens w:val="0"/>
              <w:spacing w:before="80" w:after="80" w:line="200" w:lineRule="exact"/>
              <w:jc w:val="right"/>
              <w:rPr>
                <w:bCs/>
                <w:i/>
                <w:sz w:val="16"/>
                <w:lang w:val="fr-FR"/>
              </w:rPr>
            </w:pPr>
            <w:r w:rsidRPr="00094937">
              <w:rPr>
                <w:i/>
                <w:sz w:val="16"/>
                <w:lang w:val="fr-FR"/>
              </w:rPr>
              <w:t xml:space="preserve">Distribution </w:t>
            </w:r>
            <w:r w:rsidR="00094937">
              <w:rPr>
                <w:i/>
                <w:sz w:val="16"/>
                <w:lang w:val="fr-FR"/>
              </w:rPr>
              <w:br/>
            </w:r>
            <w:r w:rsidRPr="00094937">
              <w:rPr>
                <w:i/>
                <w:sz w:val="16"/>
                <w:lang w:val="fr-FR"/>
              </w:rPr>
              <w:t xml:space="preserve">des documents prévus </w:t>
            </w:r>
            <w:r w:rsidRPr="00094937">
              <w:rPr>
                <w:i/>
                <w:sz w:val="16"/>
                <w:lang w:val="fr-FR"/>
              </w:rPr>
              <w:br/>
              <w:t>(c) = b/a (%)</w:t>
            </w:r>
          </w:p>
        </w:tc>
      </w:tr>
      <w:tr w:rsidR="00D73BD7" w:rsidRPr="00094937" w:rsidTr="00094937">
        <w:tc>
          <w:tcPr>
            <w:tcW w:w="2703" w:type="dxa"/>
            <w:tcBorders>
              <w:top w:val="single" w:sz="12" w:space="0" w:color="auto"/>
            </w:tcBorders>
            <w:shd w:val="clear" w:color="auto" w:fill="auto"/>
            <w:hideMark/>
          </w:tcPr>
          <w:p w:rsidR="00D73BD7" w:rsidRPr="00094937" w:rsidRDefault="00D73BD7" w:rsidP="00094937">
            <w:pPr>
              <w:suppressAutoHyphens w:val="0"/>
              <w:spacing w:before="40" w:after="40" w:line="220" w:lineRule="exact"/>
              <w:rPr>
                <w:b/>
                <w:bCs/>
                <w:sz w:val="18"/>
                <w:lang w:val="fr-FR"/>
              </w:rPr>
            </w:pPr>
            <w:r w:rsidRPr="00094937">
              <w:rPr>
                <w:b/>
                <w:bCs/>
                <w:sz w:val="18"/>
                <w:lang w:val="fr-FR"/>
              </w:rPr>
              <w:t>A1.</w:t>
            </w:r>
            <w:r w:rsidR="00CE67F1">
              <w:rPr>
                <w:b/>
                <w:bCs/>
                <w:sz w:val="18"/>
                <w:lang w:val="fr-FR"/>
              </w:rPr>
              <w:t xml:space="preserve">  </w:t>
            </w:r>
            <w:r w:rsidRPr="00094937">
              <w:rPr>
                <w:b/>
                <w:bCs/>
                <w:sz w:val="18"/>
                <w:lang w:val="fr-FR"/>
              </w:rPr>
              <w:t>Documentation destinée aux</w:t>
            </w:r>
            <w:r w:rsidR="00CE67F1">
              <w:rPr>
                <w:b/>
                <w:bCs/>
                <w:sz w:val="18"/>
                <w:lang w:val="fr-FR"/>
              </w:rPr>
              <w:t> </w:t>
            </w:r>
            <w:r w:rsidRPr="00094937">
              <w:rPr>
                <w:b/>
                <w:bCs/>
                <w:sz w:val="18"/>
                <w:lang w:val="fr-FR"/>
              </w:rPr>
              <w:t>organes délibérants (nombre de</w:t>
            </w:r>
            <w:r w:rsidR="00CE67F1">
              <w:rPr>
                <w:b/>
                <w:bCs/>
                <w:sz w:val="18"/>
                <w:lang w:val="fr-FR"/>
              </w:rPr>
              <w:t> </w:t>
            </w:r>
            <w:r w:rsidRPr="00094937">
              <w:rPr>
                <w:b/>
                <w:bCs/>
                <w:sz w:val="18"/>
                <w:lang w:val="fr-FR"/>
              </w:rPr>
              <w:t>documents)</w:t>
            </w:r>
          </w:p>
        </w:tc>
        <w:tc>
          <w:tcPr>
            <w:tcW w:w="1379" w:type="dxa"/>
            <w:tcBorders>
              <w:top w:val="single" w:sz="12" w:space="0" w:color="auto"/>
            </w:tcBorders>
            <w:shd w:val="clear" w:color="auto" w:fill="auto"/>
            <w:vAlign w:val="bottom"/>
            <w:hideMark/>
          </w:tcPr>
          <w:p w:rsidR="00D73BD7" w:rsidRPr="00094937" w:rsidRDefault="00D73BD7" w:rsidP="00094937">
            <w:pPr>
              <w:suppressAutoHyphens w:val="0"/>
              <w:spacing w:before="40" w:after="40" w:line="220" w:lineRule="exact"/>
              <w:jc w:val="right"/>
              <w:rPr>
                <w:b/>
                <w:bCs/>
                <w:sz w:val="18"/>
                <w:lang w:val="fr-FR"/>
              </w:rPr>
            </w:pPr>
            <w:r w:rsidRPr="00094937">
              <w:rPr>
                <w:b/>
                <w:bCs/>
                <w:sz w:val="18"/>
                <w:lang w:val="fr-FR"/>
              </w:rPr>
              <w:t>1</w:t>
            </w:r>
            <w:r w:rsidR="00CE67F1">
              <w:rPr>
                <w:b/>
                <w:bCs/>
                <w:sz w:val="18"/>
                <w:lang w:val="fr-FR"/>
              </w:rPr>
              <w:t xml:space="preserve"> </w:t>
            </w:r>
            <w:r w:rsidRPr="00094937">
              <w:rPr>
                <w:b/>
                <w:bCs/>
                <w:sz w:val="18"/>
                <w:lang w:val="fr-FR"/>
              </w:rPr>
              <w:t>660</w:t>
            </w:r>
          </w:p>
        </w:tc>
        <w:tc>
          <w:tcPr>
            <w:tcW w:w="1525" w:type="dxa"/>
            <w:tcBorders>
              <w:top w:val="single" w:sz="12" w:space="0" w:color="auto"/>
            </w:tcBorders>
            <w:shd w:val="clear" w:color="auto" w:fill="auto"/>
            <w:vAlign w:val="bottom"/>
            <w:hideMark/>
          </w:tcPr>
          <w:p w:rsidR="00D73BD7" w:rsidRPr="00094937" w:rsidRDefault="00D73BD7" w:rsidP="00094937">
            <w:pPr>
              <w:suppressAutoHyphens w:val="0"/>
              <w:spacing w:before="40" w:after="40" w:line="220" w:lineRule="exact"/>
              <w:jc w:val="right"/>
              <w:rPr>
                <w:b/>
                <w:bCs/>
                <w:sz w:val="18"/>
                <w:lang w:val="fr-FR"/>
              </w:rPr>
            </w:pPr>
            <w:r w:rsidRPr="00094937">
              <w:rPr>
                <w:b/>
                <w:bCs/>
                <w:sz w:val="18"/>
                <w:lang w:val="fr-FR"/>
              </w:rPr>
              <w:t>1</w:t>
            </w:r>
            <w:r w:rsidR="00CE67F1">
              <w:rPr>
                <w:b/>
                <w:bCs/>
                <w:sz w:val="18"/>
                <w:lang w:val="fr-FR"/>
              </w:rPr>
              <w:t xml:space="preserve"> </w:t>
            </w:r>
            <w:r w:rsidRPr="00094937">
              <w:rPr>
                <w:b/>
                <w:bCs/>
                <w:sz w:val="18"/>
                <w:lang w:val="fr-FR"/>
              </w:rPr>
              <w:t>015</w:t>
            </w:r>
          </w:p>
        </w:tc>
        <w:tc>
          <w:tcPr>
            <w:tcW w:w="1763" w:type="dxa"/>
            <w:tcBorders>
              <w:top w:val="single" w:sz="12" w:space="0" w:color="auto"/>
            </w:tcBorders>
            <w:shd w:val="clear" w:color="auto" w:fill="auto"/>
            <w:vAlign w:val="bottom"/>
            <w:hideMark/>
          </w:tcPr>
          <w:p w:rsidR="00D73BD7" w:rsidRPr="00094937" w:rsidRDefault="00D73BD7" w:rsidP="00094937">
            <w:pPr>
              <w:suppressAutoHyphens w:val="0"/>
              <w:spacing w:before="40" w:after="40" w:line="220" w:lineRule="exact"/>
              <w:jc w:val="right"/>
              <w:rPr>
                <w:b/>
                <w:bCs/>
                <w:sz w:val="18"/>
                <w:lang w:val="fr-FR"/>
              </w:rPr>
            </w:pPr>
            <w:r w:rsidRPr="00094937">
              <w:rPr>
                <w:b/>
                <w:bCs/>
                <w:sz w:val="18"/>
                <w:lang w:val="fr-FR"/>
              </w:rPr>
              <w:t>61 %</w:t>
            </w:r>
          </w:p>
        </w:tc>
      </w:tr>
      <w:tr w:rsidR="00D73BD7" w:rsidRPr="00094937" w:rsidTr="00094937">
        <w:tc>
          <w:tcPr>
            <w:tcW w:w="2703" w:type="dxa"/>
            <w:shd w:val="clear" w:color="auto" w:fill="auto"/>
            <w:hideMark/>
          </w:tcPr>
          <w:p w:rsidR="00D73BD7" w:rsidRPr="00094937" w:rsidRDefault="00D73BD7" w:rsidP="00094937">
            <w:pPr>
              <w:suppressAutoHyphens w:val="0"/>
              <w:spacing w:before="40" w:after="40" w:line="220" w:lineRule="exact"/>
              <w:rPr>
                <w:b/>
                <w:bCs/>
                <w:sz w:val="18"/>
                <w:lang w:val="fr-FR"/>
              </w:rPr>
            </w:pPr>
            <w:r w:rsidRPr="00094937">
              <w:rPr>
                <w:b/>
                <w:bCs/>
                <w:sz w:val="18"/>
                <w:lang w:val="fr-FR"/>
              </w:rPr>
              <w:t>CTI</w:t>
            </w:r>
          </w:p>
        </w:tc>
        <w:tc>
          <w:tcPr>
            <w:tcW w:w="1379" w:type="dxa"/>
            <w:shd w:val="clear" w:color="auto" w:fill="auto"/>
            <w:vAlign w:val="bottom"/>
            <w:hideMark/>
          </w:tcPr>
          <w:p w:rsidR="00D73BD7" w:rsidRPr="00094937" w:rsidRDefault="00D73BD7" w:rsidP="00094937">
            <w:pPr>
              <w:suppressAutoHyphens w:val="0"/>
              <w:spacing w:before="40" w:after="40" w:line="220" w:lineRule="exact"/>
              <w:jc w:val="right"/>
              <w:rPr>
                <w:b/>
                <w:bCs/>
                <w:sz w:val="18"/>
                <w:lang w:val="fr-FR"/>
              </w:rPr>
            </w:pPr>
            <w:r w:rsidRPr="00094937">
              <w:rPr>
                <w:b/>
                <w:bCs/>
                <w:sz w:val="18"/>
                <w:lang w:val="fr-FR"/>
              </w:rPr>
              <w:t>1</w:t>
            </w:r>
            <w:r w:rsidR="00CE67F1">
              <w:rPr>
                <w:b/>
                <w:bCs/>
                <w:sz w:val="18"/>
                <w:lang w:val="fr-FR"/>
              </w:rPr>
              <w:t xml:space="preserve"> </w:t>
            </w:r>
            <w:r w:rsidRPr="00094937">
              <w:rPr>
                <w:b/>
                <w:bCs/>
                <w:sz w:val="18"/>
                <w:lang w:val="fr-FR"/>
              </w:rPr>
              <w:t>331</w:t>
            </w:r>
          </w:p>
        </w:tc>
        <w:tc>
          <w:tcPr>
            <w:tcW w:w="1525" w:type="dxa"/>
            <w:shd w:val="clear" w:color="auto" w:fill="auto"/>
            <w:vAlign w:val="bottom"/>
            <w:hideMark/>
          </w:tcPr>
          <w:p w:rsidR="00D73BD7" w:rsidRPr="00094937" w:rsidRDefault="00D73BD7" w:rsidP="00094937">
            <w:pPr>
              <w:suppressAutoHyphens w:val="0"/>
              <w:spacing w:before="40" w:after="40" w:line="220" w:lineRule="exact"/>
              <w:jc w:val="right"/>
              <w:rPr>
                <w:b/>
                <w:bCs/>
                <w:sz w:val="18"/>
                <w:lang w:val="fr-FR"/>
              </w:rPr>
            </w:pPr>
            <w:r w:rsidRPr="00094937">
              <w:rPr>
                <w:b/>
                <w:bCs/>
                <w:sz w:val="18"/>
                <w:lang w:val="fr-FR"/>
              </w:rPr>
              <w:t>882</w:t>
            </w:r>
          </w:p>
        </w:tc>
        <w:tc>
          <w:tcPr>
            <w:tcW w:w="1763" w:type="dxa"/>
            <w:shd w:val="clear" w:color="auto" w:fill="auto"/>
            <w:vAlign w:val="bottom"/>
            <w:hideMark/>
          </w:tcPr>
          <w:p w:rsidR="00D73BD7" w:rsidRPr="00094937" w:rsidRDefault="00D73BD7" w:rsidP="00094937">
            <w:pPr>
              <w:suppressAutoHyphens w:val="0"/>
              <w:spacing w:before="40" w:after="40" w:line="220" w:lineRule="exact"/>
              <w:jc w:val="right"/>
              <w:rPr>
                <w:b/>
                <w:bCs/>
                <w:sz w:val="18"/>
                <w:lang w:val="fr-FR"/>
              </w:rPr>
            </w:pPr>
            <w:r w:rsidRPr="00094937">
              <w:rPr>
                <w:b/>
                <w:bCs/>
                <w:sz w:val="18"/>
                <w:lang w:val="fr-FR"/>
              </w:rPr>
              <w:t>66 %</w:t>
            </w:r>
          </w:p>
        </w:tc>
      </w:tr>
      <w:tr w:rsidR="00D73BD7" w:rsidRPr="00094937" w:rsidTr="00094937">
        <w:tc>
          <w:tcPr>
            <w:tcW w:w="2703" w:type="dxa"/>
            <w:shd w:val="clear" w:color="auto" w:fill="auto"/>
            <w:hideMark/>
          </w:tcPr>
          <w:p w:rsidR="00D73BD7" w:rsidRPr="00094937" w:rsidRDefault="00D73BD7" w:rsidP="00094937">
            <w:pPr>
              <w:suppressAutoHyphens w:val="0"/>
              <w:spacing w:before="40" w:after="40" w:line="220" w:lineRule="exact"/>
              <w:rPr>
                <w:sz w:val="18"/>
                <w:lang w:val="fr-FR"/>
              </w:rPr>
            </w:pPr>
            <w:r w:rsidRPr="00094937">
              <w:rPr>
                <w:sz w:val="18"/>
                <w:lang w:val="fr-FR"/>
              </w:rPr>
              <w:t>Comité des transports intérieurs et</w:t>
            </w:r>
            <w:r w:rsidR="00CE67F1">
              <w:rPr>
                <w:sz w:val="18"/>
                <w:lang w:val="fr-FR"/>
              </w:rPr>
              <w:t> </w:t>
            </w:r>
            <w:r w:rsidRPr="00094937">
              <w:rPr>
                <w:sz w:val="18"/>
                <w:lang w:val="fr-FR"/>
              </w:rPr>
              <w:t>Bureau</w:t>
            </w:r>
          </w:p>
        </w:tc>
        <w:tc>
          <w:tcPr>
            <w:tcW w:w="1379" w:type="dxa"/>
            <w:shd w:val="clear" w:color="auto" w:fill="auto"/>
            <w:vAlign w:val="bottom"/>
            <w:hideMark/>
          </w:tcPr>
          <w:p w:rsidR="00D73BD7" w:rsidRPr="00094937" w:rsidRDefault="00D73BD7" w:rsidP="00094937">
            <w:pPr>
              <w:suppressAutoHyphens w:val="0"/>
              <w:spacing w:before="40" w:after="40" w:line="220" w:lineRule="exact"/>
              <w:jc w:val="right"/>
              <w:rPr>
                <w:sz w:val="18"/>
                <w:lang w:val="fr-FR"/>
              </w:rPr>
            </w:pPr>
            <w:r w:rsidRPr="00094937">
              <w:rPr>
                <w:sz w:val="18"/>
                <w:lang w:val="fr-FR"/>
              </w:rPr>
              <w:t>31</w:t>
            </w:r>
          </w:p>
        </w:tc>
        <w:tc>
          <w:tcPr>
            <w:tcW w:w="1525" w:type="dxa"/>
            <w:shd w:val="clear" w:color="auto" w:fill="auto"/>
            <w:vAlign w:val="bottom"/>
            <w:hideMark/>
          </w:tcPr>
          <w:p w:rsidR="00D73BD7" w:rsidRPr="00094937" w:rsidRDefault="00D73BD7" w:rsidP="00094937">
            <w:pPr>
              <w:suppressAutoHyphens w:val="0"/>
              <w:spacing w:before="40" w:after="40" w:line="220" w:lineRule="exact"/>
              <w:jc w:val="right"/>
              <w:rPr>
                <w:sz w:val="18"/>
                <w:lang w:val="fr-FR"/>
              </w:rPr>
            </w:pPr>
            <w:r w:rsidRPr="00094937">
              <w:rPr>
                <w:sz w:val="18"/>
                <w:lang w:val="fr-FR"/>
              </w:rPr>
              <w:t>31</w:t>
            </w:r>
          </w:p>
        </w:tc>
        <w:tc>
          <w:tcPr>
            <w:tcW w:w="1763" w:type="dxa"/>
            <w:shd w:val="clear" w:color="auto" w:fill="auto"/>
            <w:vAlign w:val="bottom"/>
            <w:hideMark/>
          </w:tcPr>
          <w:p w:rsidR="00D73BD7" w:rsidRPr="00094937" w:rsidRDefault="00D73BD7" w:rsidP="00094937">
            <w:pPr>
              <w:suppressAutoHyphens w:val="0"/>
              <w:spacing w:before="40" w:after="40" w:line="220" w:lineRule="exact"/>
              <w:jc w:val="right"/>
              <w:rPr>
                <w:b/>
                <w:bCs/>
                <w:sz w:val="18"/>
                <w:lang w:val="fr-FR"/>
              </w:rPr>
            </w:pPr>
            <w:r w:rsidRPr="00094937">
              <w:rPr>
                <w:b/>
                <w:bCs/>
                <w:sz w:val="18"/>
                <w:lang w:val="fr-FR"/>
              </w:rPr>
              <w:t>100 %</w:t>
            </w:r>
          </w:p>
        </w:tc>
      </w:tr>
      <w:tr w:rsidR="00D73BD7" w:rsidRPr="00094937" w:rsidTr="00094937">
        <w:tc>
          <w:tcPr>
            <w:tcW w:w="2703" w:type="dxa"/>
            <w:shd w:val="clear" w:color="auto" w:fill="auto"/>
            <w:hideMark/>
          </w:tcPr>
          <w:p w:rsidR="00D73BD7" w:rsidRPr="00094937" w:rsidRDefault="00D73BD7" w:rsidP="00094937">
            <w:pPr>
              <w:suppressAutoHyphens w:val="0"/>
              <w:spacing w:before="40" w:after="40" w:line="220" w:lineRule="exact"/>
              <w:rPr>
                <w:sz w:val="18"/>
                <w:lang w:val="fr-FR"/>
              </w:rPr>
            </w:pPr>
            <w:r w:rsidRPr="00094937">
              <w:rPr>
                <w:sz w:val="18"/>
                <w:lang w:val="fr-FR"/>
              </w:rPr>
              <w:t>Forum mondial de l’harmonisation des Règlements concernant les</w:t>
            </w:r>
            <w:r w:rsidR="00CE67F1">
              <w:rPr>
                <w:sz w:val="18"/>
                <w:lang w:val="fr-FR"/>
              </w:rPr>
              <w:t> </w:t>
            </w:r>
            <w:r w:rsidRPr="00094937">
              <w:rPr>
                <w:sz w:val="18"/>
                <w:lang w:val="fr-FR"/>
              </w:rPr>
              <w:t>véhicules</w:t>
            </w:r>
          </w:p>
        </w:tc>
        <w:tc>
          <w:tcPr>
            <w:tcW w:w="1379" w:type="dxa"/>
            <w:shd w:val="clear" w:color="auto" w:fill="auto"/>
            <w:vAlign w:val="bottom"/>
            <w:hideMark/>
          </w:tcPr>
          <w:p w:rsidR="00D73BD7" w:rsidRPr="00094937" w:rsidRDefault="00D73BD7" w:rsidP="00094937">
            <w:pPr>
              <w:suppressAutoHyphens w:val="0"/>
              <w:spacing w:before="40" w:after="40" w:line="220" w:lineRule="exact"/>
              <w:jc w:val="right"/>
              <w:rPr>
                <w:sz w:val="18"/>
                <w:lang w:val="fr-FR"/>
              </w:rPr>
            </w:pPr>
            <w:r w:rsidRPr="00094937">
              <w:rPr>
                <w:sz w:val="18"/>
                <w:lang w:val="fr-FR"/>
              </w:rPr>
              <w:t>840</w:t>
            </w:r>
          </w:p>
        </w:tc>
        <w:tc>
          <w:tcPr>
            <w:tcW w:w="1525" w:type="dxa"/>
            <w:shd w:val="clear" w:color="auto" w:fill="auto"/>
            <w:vAlign w:val="bottom"/>
            <w:hideMark/>
          </w:tcPr>
          <w:p w:rsidR="00D73BD7" w:rsidRPr="00094937" w:rsidRDefault="00D73BD7" w:rsidP="00094937">
            <w:pPr>
              <w:suppressAutoHyphens w:val="0"/>
              <w:spacing w:before="40" w:after="40" w:line="220" w:lineRule="exact"/>
              <w:jc w:val="right"/>
              <w:rPr>
                <w:sz w:val="18"/>
                <w:lang w:val="fr-FR"/>
              </w:rPr>
            </w:pPr>
            <w:r w:rsidRPr="00094937">
              <w:rPr>
                <w:sz w:val="18"/>
                <w:lang w:val="fr-FR"/>
              </w:rPr>
              <w:t>501</w:t>
            </w:r>
          </w:p>
        </w:tc>
        <w:tc>
          <w:tcPr>
            <w:tcW w:w="1763" w:type="dxa"/>
            <w:shd w:val="clear" w:color="auto" w:fill="auto"/>
            <w:vAlign w:val="bottom"/>
            <w:hideMark/>
          </w:tcPr>
          <w:p w:rsidR="00D73BD7" w:rsidRPr="00094937" w:rsidRDefault="00D73BD7" w:rsidP="00094937">
            <w:pPr>
              <w:suppressAutoHyphens w:val="0"/>
              <w:spacing w:before="40" w:after="40" w:line="220" w:lineRule="exact"/>
              <w:jc w:val="right"/>
              <w:rPr>
                <w:b/>
                <w:bCs/>
                <w:sz w:val="18"/>
                <w:lang w:val="fr-FR"/>
              </w:rPr>
            </w:pPr>
            <w:r w:rsidRPr="00094937">
              <w:rPr>
                <w:b/>
                <w:bCs/>
                <w:sz w:val="18"/>
                <w:lang w:val="fr-FR"/>
              </w:rPr>
              <w:t>60 %</w:t>
            </w:r>
          </w:p>
        </w:tc>
      </w:tr>
      <w:tr w:rsidR="00D73BD7" w:rsidRPr="00094937" w:rsidTr="00094937">
        <w:tc>
          <w:tcPr>
            <w:tcW w:w="2703" w:type="dxa"/>
            <w:shd w:val="clear" w:color="auto" w:fill="auto"/>
            <w:hideMark/>
          </w:tcPr>
          <w:p w:rsidR="00D73BD7" w:rsidRPr="00094937" w:rsidRDefault="00D73BD7" w:rsidP="00094937">
            <w:pPr>
              <w:suppressAutoHyphens w:val="0"/>
              <w:spacing w:before="40" w:after="40" w:line="220" w:lineRule="exact"/>
              <w:rPr>
                <w:sz w:val="18"/>
                <w:lang w:val="fr-FR"/>
              </w:rPr>
            </w:pPr>
            <w:r w:rsidRPr="00094937">
              <w:rPr>
                <w:sz w:val="18"/>
                <w:lang w:val="fr-FR"/>
              </w:rPr>
              <w:t>Groupe de travail du transport des</w:t>
            </w:r>
            <w:r w:rsidR="00CE67F1">
              <w:rPr>
                <w:sz w:val="18"/>
                <w:lang w:val="fr-FR"/>
              </w:rPr>
              <w:t> </w:t>
            </w:r>
            <w:r w:rsidRPr="00094937">
              <w:rPr>
                <w:sz w:val="18"/>
                <w:lang w:val="fr-FR"/>
              </w:rPr>
              <w:t>denrées périssables</w:t>
            </w:r>
          </w:p>
        </w:tc>
        <w:tc>
          <w:tcPr>
            <w:tcW w:w="1379" w:type="dxa"/>
            <w:shd w:val="clear" w:color="auto" w:fill="auto"/>
            <w:vAlign w:val="bottom"/>
            <w:hideMark/>
          </w:tcPr>
          <w:p w:rsidR="00D73BD7" w:rsidRPr="00094937" w:rsidRDefault="00D73BD7" w:rsidP="00094937">
            <w:pPr>
              <w:suppressAutoHyphens w:val="0"/>
              <w:spacing w:before="40" w:after="40" w:line="220" w:lineRule="exact"/>
              <w:jc w:val="right"/>
              <w:rPr>
                <w:sz w:val="18"/>
                <w:lang w:val="fr-FR"/>
              </w:rPr>
            </w:pPr>
            <w:r w:rsidRPr="00094937">
              <w:rPr>
                <w:sz w:val="18"/>
                <w:lang w:val="fr-FR"/>
              </w:rPr>
              <w:t>33</w:t>
            </w:r>
          </w:p>
        </w:tc>
        <w:tc>
          <w:tcPr>
            <w:tcW w:w="1525" w:type="dxa"/>
            <w:shd w:val="clear" w:color="auto" w:fill="auto"/>
            <w:vAlign w:val="bottom"/>
            <w:hideMark/>
          </w:tcPr>
          <w:p w:rsidR="00D73BD7" w:rsidRPr="00094937" w:rsidRDefault="00D73BD7" w:rsidP="00094937">
            <w:pPr>
              <w:suppressAutoHyphens w:val="0"/>
              <w:spacing w:before="40" w:after="40" w:line="220" w:lineRule="exact"/>
              <w:jc w:val="right"/>
              <w:rPr>
                <w:sz w:val="18"/>
                <w:lang w:val="fr-FR"/>
              </w:rPr>
            </w:pPr>
            <w:r w:rsidRPr="00094937">
              <w:rPr>
                <w:sz w:val="18"/>
                <w:lang w:val="fr-FR"/>
              </w:rPr>
              <w:t>28</w:t>
            </w:r>
          </w:p>
        </w:tc>
        <w:tc>
          <w:tcPr>
            <w:tcW w:w="1763" w:type="dxa"/>
            <w:shd w:val="clear" w:color="auto" w:fill="auto"/>
            <w:vAlign w:val="bottom"/>
            <w:hideMark/>
          </w:tcPr>
          <w:p w:rsidR="00D73BD7" w:rsidRPr="00094937" w:rsidRDefault="00D73BD7" w:rsidP="00094937">
            <w:pPr>
              <w:suppressAutoHyphens w:val="0"/>
              <w:spacing w:before="40" w:after="40" w:line="220" w:lineRule="exact"/>
              <w:jc w:val="right"/>
              <w:rPr>
                <w:b/>
                <w:bCs/>
                <w:sz w:val="18"/>
                <w:lang w:val="fr-FR"/>
              </w:rPr>
            </w:pPr>
            <w:r w:rsidRPr="00094937">
              <w:rPr>
                <w:b/>
                <w:bCs/>
                <w:sz w:val="18"/>
                <w:lang w:val="fr-FR"/>
              </w:rPr>
              <w:t>85 %</w:t>
            </w:r>
          </w:p>
        </w:tc>
      </w:tr>
      <w:tr w:rsidR="00D73BD7" w:rsidRPr="00094937" w:rsidTr="00094937">
        <w:tc>
          <w:tcPr>
            <w:tcW w:w="2703" w:type="dxa"/>
            <w:shd w:val="clear" w:color="auto" w:fill="auto"/>
            <w:hideMark/>
          </w:tcPr>
          <w:p w:rsidR="00D73BD7" w:rsidRPr="00094937" w:rsidRDefault="00D73BD7" w:rsidP="00094937">
            <w:pPr>
              <w:suppressAutoHyphens w:val="0"/>
              <w:spacing w:before="40" w:after="40" w:line="220" w:lineRule="exact"/>
              <w:rPr>
                <w:sz w:val="18"/>
                <w:lang w:val="fr-FR"/>
              </w:rPr>
            </w:pPr>
            <w:r w:rsidRPr="00094937">
              <w:rPr>
                <w:sz w:val="18"/>
                <w:lang w:val="fr-FR"/>
              </w:rPr>
              <w:t>Groupe de travail des transports de</w:t>
            </w:r>
            <w:r w:rsidR="00CE67F1">
              <w:rPr>
                <w:sz w:val="18"/>
                <w:lang w:val="fr-FR"/>
              </w:rPr>
              <w:t> </w:t>
            </w:r>
            <w:r w:rsidRPr="00094937">
              <w:rPr>
                <w:sz w:val="18"/>
                <w:lang w:val="fr-FR"/>
              </w:rPr>
              <w:t>marchandises dangereuses</w:t>
            </w:r>
          </w:p>
        </w:tc>
        <w:tc>
          <w:tcPr>
            <w:tcW w:w="1379" w:type="dxa"/>
            <w:shd w:val="clear" w:color="auto" w:fill="auto"/>
            <w:vAlign w:val="bottom"/>
            <w:hideMark/>
          </w:tcPr>
          <w:p w:rsidR="00D73BD7" w:rsidRPr="00094937" w:rsidRDefault="00D73BD7" w:rsidP="00094937">
            <w:pPr>
              <w:suppressAutoHyphens w:val="0"/>
              <w:spacing w:before="40" w:after="40" w:line="220" w:lineRule="exact"/>
              <w:jc w:val="right"/>
              <w:rPr>
                <w:sz w:val="18"/>
                <w:lang w:val="fr-FR"/>
              </w:rPr>
            </w:pPr>
            <w:r w:rsidRPr="00094937">
              <w:rPr>
                <w:sz w:val="18"/>
                <w:lang w:val="fr-FR"/>
              </w:rPr>
              <w:t>214</w:t>
            </w:r>
          </w:p>
        </w:tc>
        <w:tc>
          <w:tcPr>
            <w:tcW w:w="1525" w:type="dxa"/>
            <w:shd w:val="clear" w:color="auto" w:fill="auto"/>
            <w:vAlign w:val="bottom"/>
            <w:hideMark/>
          </w:tcPr>
          <w:p w:rsidR="00D73BD7" w:rsidRPr="00094937" w:rsidRDefault="00D73BD7" w:rsidP="00094937">
            <w:pPr>
              <w:suppressAutoHyphens w:val="0"/>
              <w:spacing w:before="40" w:after="40" w:line="220" w:lineRule="exact"/>
              <w:jc w:val="right"/>
              <w:rPr>
                <w:sz w:val="18"/>
                <w:lang w:val="fr-FR"/>
              </w:rPr>
            </w:pPr>
            <w:r w:rsidRPr="00094937">
              <w:rPr>
                <w:sz w:val="18"/>
                <w:lang w:val="fr-FR"/>
              </w:rPr>
              <w:t>146</w:t>
            </w:r>
          </w:p>
        </w:tc>
        <w:tc>
          <w:tcPr>
            <w:tcW w:w="1763" w:type="dxa"/>
            <w:shd w:val="clear" w:color="auto" w:fill="auto"/>
            <w:vAlign w:val="bottom"/>
            <w:hideMark/>
          </w:tcPr>
          <w:p w:rsidR="00D73BD7" w:rsidRPr="00094937" w:rsidRDefault="00D73BD7" w:rsidP="00094937">
            <w:pPr>
              <w:suppressAutoHyphens w:val="0"/>
              <w:spacing w:before="40" w:after="40" w:line="220" w:lineRule="exact"/>
              <w:jc w:val="right"/>
              <w:rPr>
                <w:b/>
                <w:bCs/>
                <w:sz w:val="18"/>
                <w:lang w:val="fr-FR"/>
              </w:rPr>
            </w:pPr>
            <w:r w:rsidRPr="00094937">
              <w:rPr>
                <w:b/>
                <w:bCs/>
                <w:sz w:val="18"/>
                <w:lang w:val="fr-FR"/>
              </w:rPr>
              <w:t>68 %</w:t>
            </w:r>
          </w:p>
        </w:tc>
      </w:tr>
      <w:tr w:rsidR="00D73BD7" w:rsidRPr="00094937" w:rsidTr="00094937">
        <w:tc>
          <w:tcPr>
            <w:tcW w:w="2703" w:type="dxa"/>
            <w:shd w:val="clear" w:color="auto" w:fill="auto"/>
            <w:hideMark/>
          </w:tcPr>
          <w:p w:rsidR="00D73BD7" w:rsidRPr="00094937" w:rsidRDefault="00D73BD7" w:rsidP="00094937">
            <w:pPr>
              <w:suppressAutoHyphens w:val="0"/>
              <w:spacing w:before="40" w:after="40" w:line="220" w:lineRule="exact"/>
              <w:rPr>
                <w:sz w:val="18"/>
                <w:lang w:val="fr-FR"/>
              </w:rPr>
            </w:pPr>
            <w:r w:rsidRPr="00094937">
              <w:rPr>
                <w:sz w:val="18"/>
                <w:lang w:val="fr-FR"/>
              </w:rPr>
              <w:t>Groupe de travail chargé d’examiner les tendances et l’économie des</w:t>
            </w:r>
            <w:r w:rsidR="00CE67F1">
              <w:rPr>
                <w:sz w:val="18"/>
                <w:lang w:val="fr-FR"/>
              </w:rPr>
              <w:t> </w:t>
            </w:r>
            <w:r w:rsidRPr="00094937">
              <w:rPr>
                <w:sz w:val="18"/>
                <w:lang w:val="fr-FR"/>
              </w:rPr>
              <w:t>transports</w:t>
            </w:r>
          </w:p>
        </w:tc>
        <w:tc>
          <w:tcPr>
            <w:tcW w:w="1379" w:type="dxa"/>
            <w:shd w:val="clear" w:color="auto" w:fill="auto"/>
            <w:vAlign w:val="bottom"/>
            <w:hideMark/>
          </w:tcPr>
          <w:p w:rsidR="00D73BD7" w:rsidRPr="00094937" w:rsidRDefault="00D73BD7" w:rsidP="00094937">
            <w:pPr>
              <w:suppressAutoHyphens w:val="0"/>
              <w:spacing w:before="40" w:after="40" w:line="220" w:lineRule="exact"/>
              <w:jc w:val="right"/>
              <w:rPr>
                <w:sz w:val="18"/>
                <w:lang w:val="fr-FR"/>
              </w:rPr>
            </w:pPr>
            <w:r w:rsidRPr="00094937">
              <w:rPr>
                <w:sz w:val="18"/>
                <w:lang w:val="fr-FR"/>
              </w:rPr>
              <w:t>32</w:t>
            </w:r>
          </w:p>
        </w:tc>
        <w:tc>
          <w:tcPr>
            <w:tcW w:w="1525" w:type="dxa"/>
            <w:shd w:val="clear" w:color="auto" w:fill="auto"/>
            <w:vAlign w:val="bottom"/>
            <w:hideMark/>
          </w:tcPr>
          <w:p w:rsidR="00D73BD7" w:rsidRPr="00094937" w:rsidRDefault="00D73BD7" w:rsidP="00094937">
            <w:pPr>
              <w:suppressAutoHyphens w:val="0"/>
              <w:spacing w:before="40" w:after="40" w:line="220" w:lineRule="exact"/>
              <w:jc w:val="right"/>
              <w:rPr>
                <w:sz w:val="18"/>
                <w:lang w:val="fr-FR"/>
              </w:rPr>
            </w:pPr>
            <w:r w:rsidRPr="00094937">
              <w:rPr>
                <w:sz w:val="18"/>
                <w:lang w:val="fr-FR"/>
              </w:rPr>
              <w:t>20</w:t>
            </w:r>
          </w:p>
        </w:tc>
        <w:tc>
          <w:tcPr>
            <w:tcW w:w="1763" w:type="dxa"/>
            <w:shd w:val="clear" w:color="auto" w:fill="auto"/>
            <w:vAlign w:val="bottom"/>
            <w:hideMark/>
          </w:tcPr>
          <w:p w:rsidR="00D73BD7" w:rsidRPr="00094937" w:rsidRDefault="00D73BD7" w:rsidP="00094937">
            <w:pPr>
              <w:suppressAutoHyphens w:val="0"/>
              <w:spacing w:before="40" w:after="40" w:line="220" w:lineRule="exact"/>
              <w:jc w:val="right"/>
              <w:rPr>
                <w:b/>
                <w:bCs/>
                <w:sz w:val="18"/>
                <w:lang w:val="fr-FR"/>
              </w:rPr>
            </w:pPr>
            <w:r w:rsidRPr="00094937">
              <w:rPr>
                <w:b/>
                <w:bCs/>
                <w:sz w:val="18"/>
                <w:lang w:val="fr-FR"/>
              </w:rPr>
              <w:t>63 %</w:t>
            </w:r>
          </w:p>
        </w:tc>
      </w:tr>
      <w:tr w:rsidR="00D73BD7" w:rsidRPr="00094937" w:rsidTr="00094937">
        <w:tc>
          <w:tcPr>
            <w:tcW w:w="2703" w:type="dxa"/>
            <w:shd w:val="clear" w:color="auto" w:fill="auto"/>
            <w:hideMark/>
          </w:tcPr>
          <w:p w:rsidR="00D73BD7" w:rsidRPr="00094937" w:rsidRDefault="00D73BD7" w:rsidP="00094937">
            <w:pPr>
              <w:suppressAutoHyphens w:val="0"/>
              <w:spacing w:before="40" w:after="40" w:line="220" w:lineRule="exact"/>
              <w:rPr>
                <w:sz w:val="18"/>
                <w:lang w:val="fr-FR"/>
              </w:rPr>
            </w:pPr>
            <w:r w:rsidRPr="00094937">
              <w:rPr>
                <w:sz w:val="18"/>
                <w:lang w:val="fr-FR"/>
              </w:rPr>
              <w:t>Groupe de travail des statistiques des</w:t>
            </w:r>
            <w:r w:rsidR="00CE67F1">
              <w:rPr>
                <w:sz w:val="18"/>
                <w:lang w:val="fr-FR"/>
              </w:rPr>
              <w:t> </w:t>
            </w:r>
            <w:r w:rsidRPr="00094937">
              <w:rPr>
                <w:sz w:val="18"/>
                <w:lang w:val="fr-FR"/>
              </w:rPr>
              <w:t>transports</w:t>
            </w:r>
          </w:p>
        </w:tc>
        <w:tc>
          <w:tcPr>
            <w:tcW w:w="1379" w:type="dxa"/>
            <w:shd w:val="clear" w:color="auto" w:fill="auto"/>
            <w:vAlign w:val="bottom"/>
            <w:hideMark/>
          </w:tcPr>
          <w:p w:rsidR="00D73BD7" w:rsidRPr="00094937" w:rsidRDefault="00D73BD7" w:rsidP="00094937">
            <w:pPr>
              <w:suppressAutoHyphens w:val="0"/>
              <w:spacing w:before="40" w:after="40" w:line="220" w:lineRule="exact"/>
              <w:jc w:val="right"/>
              <w:rPr>
                <w:sz w:val="18"/>
                <w:lang w:val="fr-FR"/>
              </w:rPr>
            </w:pPr>
            <w:r w:rsidRPr="00094937">
              <w:rPr>
                <w:sz w:val="18"/>
                <w:lang w:val="fr-FR"/>
              </w:rPr>
              <w:t>14</w:t>
            </w:r>
          </w:p>
        </w:tc>
        <w:tc>
          <w:tcPr>
            <w:tcW w:w="1525" w:type="dxa"/>
            <w:shd w:val="clear" w:color="auto" w:fill="auto"/>
            <w:vAlign w:val="bottom"/>
            <w:hideMark/>
          </w:tcPr>
          <w:p w:rsidR="00D73BD7" w:rsidRPr="00094937" w:rsidRDefault="00D73BD7" w:rsidP="00094937">
            <w:pPr>
              <w:suppressAutoHyphens w:val="0"/>
              <w:spacing w:before="40" w:after="40" w:line="220" w:lineRule="exact"/>
              <w:jc w:val="right"/>
              <w:rPr>
                <w:sz w:val="18"/>
                <w:lang w:val="fr-FR"/>
              </w:rPr>
            </w:pPr>
            <w:r w:rsidRPr="00094937">
              <w:rPr>
                <w:sz w:val="18"/>
                <w:lang w:val="fr-FR"/>
              </w:rPr>
              <w:t>14</w:t>
            </w:r>
          </w:p>
        </w:tc>
        <w:tc>
          <w:tcPr>
            <w:tcW w:w="1763" w:type="dxa"/>
            <w:shd w:val="clear" w:color="auto" w:fill="auto"/>
            <w:vAlign w:val="bottom"/>
            <w:hideMark/>
          </w:tcPr>
          <w:p w:rsidR="00D73BD7" w:rsidRPr="00094937" w:rsidRDefault="00D73BD7" w:rsidP="00094937">
            <w:pPr>
              <w:suppressAutoHyphens w:val="0"/>
              <w:spacing w:before="40" w:after="40" w:line="220" w:lineRule="exact"/>
              <w:jc w:val="right"/>
              <w:rPr>
                <w:b/>
                <w:bCs/>
                <w:sz w:val="18"/>
                <w:lang w:val="fr-FR"/>
              </w:rPr>
            </w:pPr>
            <w:r w:rsidRPr="00094937">
              <w:rPr>
                <w:b/>
                <w:bCs/>
                <w:sz w:val="18"/>
                <w:lang w:val="fr-FR"/>
              </w:rPr>
              <w:t>100 %</w:t>
            </w:r>
          </w:p>
        </w:tc>
      </w:tr>
      <w:tr w:rsidR="00D73BD7" w:rsidRPr="00094937" w:rsidTr="00094937">
        <w:tc>
          <w:tcPr>
            <w:tcW w:w="2703" w:type="dxa"/>
            <w:shd w:val="clear" w:color="auto" w:fill="auto"/>
            <w:hideMark/>
          </w:tcPr>
          <w:p w:rsidR="00D73BD7" w:rsidRPr="00094937" w:rsidRDefault="00D73BD7" w:rsidP="00094937">
            <w:pPr>
              <w:suppressAutoHyphens w:val="0"/>
              <w:spacing w:before="40" w:after="40" w:line="220" w:lineRule="exact"/>
              <w:rPr>
                <w:sz w:val="18"/>
                <w:lang w:val="fr-FR"/>
              </w:rPr>
            </w:pPr>
            <w:r w:rsidRPr="00094937">
              <w:rPr>
                <w:sz w:val="18"/>
                <w:lang w:val="fr-FR"/>
              </w:rPr>
              <w:t>Groupe de travail des transports routiers</w:t>
            </w:r>
          </w:p>
        </w:tc>
        <w:tc>
          <w:tcPr>
            <w:tcW w:w="1379" w:type="dxa"/>
            <w:shd w:val="clear" w:color="auto" w:fill="auto"/>
            <w:vAlign w:val="bottom"/>
            <w:hideMark/>
          </w:tcPr>
          <w:p w:rsidR="00D73BD7" w:rsidRPr="00094937" w:rsidRDefault="00D73BD7" w:rsidP="00094937">
            <w:pPr>
              <w:suppressAutoHyphens w:val="0"/>
              <w:spacing w:before="40" w:after="40" w:line="220" w:lineRule="exact"/>
              <w:jc w:val="right"/>
              <w:rPr>
                <w:sz w:val="18"/>
                <w:lang w:val="fr-FR"/>
              </w:rPr>
            </w:pPr>
            <w:r w:rsidRPr="00094937">
              <w:rPr>
                <w:sz w:val="18"/>
                <w:lang w:val="fr-FR"/>
              </w:rPr>
              <w:t>10</w:t>
            </w:r>
          </w:p>
        </w:tc>
        <w:tc>
          <w:tcPr>
            <w:tcW w:w="1525" w:type="dxa"/>
            <w:shd w:val="clear" w:color="auto" w:fill="auto"/>
            <w:vAlign w:val="bottom"/>
            <w:hideMark/>
          </w:tcPr>
          <w:p w:rsidR="00D73BD7" w:rsidRPr="00094937" w:rsidRDefault="00D73BD7" w:rsidP="00094937">
            <w:pPr>
              <w:suppressAutoHyphens w:val="0"/>
              <w:spacing w:before="40" w:after="40" w:line="220" w:lineRule="exact"/>
              <w:jc w:val="right"/>
              <w:rPr>
                <w:sz w:val="18"/>
                <w:lang w:val="fr-FR"/>
              </w:rPr>
            </w:pPr>
            <w:r w:rsidRPr="00094937">
              <w:rPr>
                <w:sz w:val="18"/>
                <w:lang w:val="fr-FR"/>
              </w:rPr>
              <w:t>11</w:t>
            </w:r>
          </w:p>
        </w:tc>
        <w:tc>
          <w:tcPr>
            <w:tcW w:w="1763" w:type="dxa"/>
            <w:shd w:val="clear" w:color="auto" w:fill="auto"/>
            <w:vAlign w:val="bottom"/>
            <w:hideMark/>
          </w:tcPr>
          <w:p w:rsidR="00D73BD7" w:rsidRPr="00094937" w:rsidRDefault="00D73BD7" w:rsidP="00094937">
            <w:pPr>
              <w:suppressAutoHyphens w:val="0"/>
              <w:spacing w:before="40" w:after="40" w:line="220" w:lineRule="exact"/>
              <w:jc w:val="right"/>
              <w:rPr>
                <w:b/>
                <w:bCs/>
                <w:sz w:val="18"/>
                <w:lang w:val="fr-FR"/>
              </w:rPr>
            </w:pPr>
            <w:r w:rsidRPr="00094937">
              <w:rPr>
                <w:b/>
                <w:bCs/>
                <w:sz w:val="18"/>
                <w:lang w:val="fr-FR"/>
              </w:rPr>
              <w:t>110 %</w:t>
            </w:r>
          </w:p>
        </w:tc>
      </w:tr>
      <w:tr w:rsidR="00D73BD7" w:rsidRPr="00094937" w:rsidTr="00094937">
        <w:tc>
          <w:tcPr>
            <w:tcW w:w="2703" w:type="dxa"/>
            <w:shd w:val="clear" w:color="auto" w:fill="auto"/>
            <w:hideMark/>
          </w:tcPr>
          <w:p w:rsidR="00D73BD7" w:rsidRPr="00094937" w:rsidRDefault="00D73BD7" w:rsidP="00094937">
            <w:pPr>
              <w:suppressAutoHyphens w:val="0"/>
              <w:spacing w:before="40" w:after="40" w:line="220" w:lineRule="exact"/>
              <w:rPr>
                <w:sz w:val="18"/>
                <w:lang w:val="fr-FR"/>
              </w:rPr>
            </w:pPr>
            <w:r w:rsidRPr="00094937">
              <w:rPr>
                <w:sz w:val="18"/>
                <w:lang w:val="fr-FR"/>
              </w:rPr>
              <w:t>Forum mondial de la sécurité routière</w:t>
            </w:r>
          </w:p>
        </w:tc>
        <w:tc>
          <w:tcPr>
            <w:tcW w:w="1379" w:type="dxa"/>
            <w:shd w:val="clear" w:color="auto" w:fill="auto"/>
            <w:vAlign w:val="bottom"/>
            <w:hideMark/>
          </w:tcPr>
          <w:p w:rsidR="00D73BD7" w:rsidRPr="00094937" w:rsidRDefault="00D73BD7" w:rsidP="00094937">
            <w:pPr>
              <w:suppressAutoHyphens w:val="0"/>
              <w:spacing w:before="40" w:after="40" w:line="220" w:lineRule="exact"/>
              <w:jc w:val="right"/>
              <w:rPr>
                <w:sz w:val="18"/>
                <w:lang w:val="fr-FR"/>
              </w:rPr>
            </w:pPr>
            <w:r w:rsidRPr="00094937">
              <w:rPr>
                <w:sz w:val="18"/>
                <w:lang w:val="fr-FR"/>
              </w:rPr>
              <w:t>16</w:t>
            </w:r>
          </w:p>
        </w:tc>
        <w:tc>
          <w:tcPr>
            <w:tcW w:w="1525" w:type="dxa"/>
            <w:shd w:val="clear" w:color="auto" w:fill="auto"/>
            <w:vAlign w:val="bottom"/>
            <w:hideMark/>
          </w:tcPr>
          <w:p w:rsidR="00D73BD7" w:rsidRPr="00094937" w:rsidRDefault="00D73BD7" w:rsidP="00094937">
            <w:pPr>
              <w:suppressAutoHyphens w:val="0"/>
              <w:spacing w:before="40" w:after="40" w:line="220" w:lineRule="exact"/>
              <w:jc w:val="right"/>
              <w:rPr>
                <w:sz w:val="18"/>
                <w:lang w:val="fr-FR"/>
              </w:rPr>
            </w:pPr>
            <w:r w:rsidRPr="00094937">
              <w:rPr>
                <w:sz w:val="18"/>
                <w:lang w:val="fr-FR"/>
              </w:rPr>
              <w:t>16</w:t>
            </w:r>
          </w:p>
        </w:tc>
        <w:tc>
          <w:tcPr>
            <w:tcW w:w="1763" w:type="dxa"/>
            <w:shd w:val="clear" w:color="auto" w:fill="auto"/>
            <w:vAlign w:val="bottom"/>
            <w:hideMark/>
          </w:tcPr>
          <w:p w:rsidR="00D73BD7" w:rsidRPr="00094937" w:rsidRDefault="00D73BD7" w:rsidP="00094937">
            <w:pPr>
              <w:suppressAutoHyphens w:val="0"/>
              <w:spacing w:before="40" w:after="40" w:line="220" w:lineRule="exact"/>
              <w:jc w:val="right"/>
              <w:rPr>
                <w:b/>
                <w:bCs/>
                <w:sz w:val="18"/>
                <w:lang w:val="fr-FR"/>
              </w:rPr>
            </w:pPr>
            <w:r w:rsidRPr="00094937">
              <w:rPr>
                <w:b/>
                <w:bCs/>
                <w:sz w:val="18"/>
                <w:lang w:val="fr-FR"/>
              </w:rPr>
              <w:t>100 %</w:t>
            </w:r>
          </w:p>
        </w:tc>
      </w:tr>
      <w:tr w:rsidR="00D73BD7" w:rsidRPr="00094937" w:rsidTr="00094937">
        <w:tc>
          <w:tcPr>
            <w:tcW w:w="2703" w:type="dxa"/>
            <w:shd w:val="clear" w:color="auto" w:fill="auto"/>
            <w:hideMark/>
          </w:tcPr>
          <w:p w:rsidR="00D73BD7" w:rsidRPr="00094937" w:rsidRDefault="00D73BD7" w:rsidP="00094937">
            <w:pPr>
              <w:suppressAutoHyphens w:val="0"/>
              <w:spacing w:before="40" w:after="40" w:line="220" w:lineRule="exact"/>
              <w:rPr>
                <w:sz w:val="18"/>
                <w:lang w:val="fr-FR"/>
              </w:rPr>
            </w:pPr>
            <w:r w:rsidRPr="00094937">
              <w:rPr>
                <w:sz w:val="18"/>
                <w:lang w:val="fr-FR"/>
              </w:rPr>
              <w:t>Groupe de travail des transports par</w:t>
            </w:r>
            <w:r w:rsidR="00CE67F1">
              <w:rPr>
                <w:sz w:val="18"/>
                <w:lang w:val="fr-FR"/>
              </w:rPr>
              <w:t> </w:t>
            </w:r>
            <w:r w:rsidRPr="00094937">
              <w:rPr>
                <w:sz w:val="18"/>
                <w:lang w:val="fr-FR"/>
              </w:rPr>
              <w:t>chemin de fer</w:t>
            </w:r>
          </w:p>
        </w:tc>
        <w:tc>
          <w:tcPr>
            <w:tcW w:w="1379" w:type="dxa"/>
            <w:shd w:val="clear" w:color="auto" w:fill="auto"/>
            <w:vAlign w:val="bottom"/>
            <w:hideMark/>
          </w:tcPr>
          <w:p w:rsidR="00D73BD7" w:rsidRPr="00094937" w:rsidRDefault="00D73BD7" w:rsidP="00094937">
            <w:pPr>
              <w:suppressAutoHyphens w:val="0"/>
              <w:spacing w:before="40" w:after="40" w:line="220" w:lineRule="exact"/>
              <w:jc w:val="right"/>
              <w:rPr>
                <w:sz w:val="18"/>
                <w:lang w:val="fr-FR"/>
              </w:rPr>
            </w:pPr>
            <w:r w:rsidRPr="00094937">
              <w:rPr>
                <w:sz w:val="18"/>
                <w:lang w:val="fr-FR"/>
              </w:rPr>
              <w:t>12</w:t>
            </w:r>
          </w:p>
        </w:tc>
        <w:tc>
          <w:tcPr>
            <w:tcW w:w="1525" w:type="dxa"/>
            <w:shd w:val="clear" w:color="auto" w:fill="auto"/>
            <w:vAlign w:val="bottom"/>
            <w:hideMark/>
          </w:tcPr>
          <w:p w:rsidR="00D73BD7" w:rsidRPr="00094937" w:rsidRDefault="00D73BD7" w:rsidP="00094937">
            <w:pPr>
              <w:suppressAutoHyphens w:val="0"/>
              <w:spacing w:before="40" w:after="40" w:line="220" w:lineRule="exact"/>
              <w:jc w:val="right"/>
              <w:rPr>
                <w:sz w:val="18"/>
                <w:lang w:val="fr-FR"/>
              </w:rPr>
            </w:pPr>
            <w:r w:rsidRPr="00094937">
              <w:rPr>
                <w:sz w:val="18"/>
                <w:lang w:val="fr-FR"/>
              </w:rPr>
              <w:t>9</w:t>
            </w:r>
          </w:p>
        </w:tc>
        <w:tc>
          <w:tcPr>
            <w:tcW w:w="1763" w:type="dxa"/>
            <w:shd w:val="clear" w:color="auto" w:fill="auto"/>
            <w:vAlign w:val="bottom"/>
            <w:hideMark/>
          </w:tcPr>
          <w:p w:rsidR="00D73BD7" w:rsidRPr="00094937" w:rsidRDefault="00D73BD7" w:rsidP="00094937">
            <w:pPr>
              <w:suppressAutoHyphens w:val="0"/>
              <w:spacing w:before="40" w:after="40" w:line="220" w:lineRule="exact"/>
              <w:jc w:val="right"/>
              <w:rPr>
                <w:b/>
                <w:bCs/>
                <w:sz w:val="18"/>
                <w:lang w:val="fr-FR"/>
              </w:rPr>
            </w:pPr>
            <w:r w:rsidRPr="00094937">
              <w:rPr>
                <w:b/>
                <w:bCs/>
                <w:sz w:val="18"/>
                <w:lang w:val="fr-FR"/>
              </w:rPr>
              <w:t>75 %</w:t>
            </w:r>
          </w:p>
        </w:tc>
      </w:tr>
      <w:tr w:rsidR="00D73BD7" w:rsidRPr="00094937" w:rsidTr="00094937">
        <w:tc>
          <w:tcPr>
            <w:tcW w:w="2703" w:type="dxa"/>
            <w:shd w:val="clear" w:color="auto" w:fill="auto"/>
            <w:hideMark/>
          </w:tcPr>
          <w:p w:rsidR="00D73BD7" w:rsidRPr="00094937" w:rsidRDefault="00D73BD7" w:rsidP="00094937">
            <w:pPr>
              <w:suppressAutoHyphens w:val="0"/>
              <w:spacing w:before="40" w:after="40" w:line="220" w:lineRule="exact"/>
              <w:rPr>
                <w:sz w:val="18"/>
                <w:lang w:val="fr-FR"/>
              </w:rPr>
            </w:pPr>
            <w:r w:rsidRPr="00094937">
              <w:rPr>
                <w:sz w:val="18"/>
                <w:lang w:val="fr-FR"/>
              </w:rPr>
              <w:t>Groupe de travail du transport intermodal et de la logistique</w:t>
            </w:r>
          </w:p>
        </w:tc>
        <w:tc>
          <w:tcPr>
            <w:tcW w:w="1379" w:type="dxa"/>
            <w:shd w:val="clear" w:color="auto" w:fill="auto"/>
            <w:vAlign w:val="bottom"/>
            <w:hideMark/>
          </w:tcPr>
          <w:p w:rsidR="00D73BD7" w:rsidRPr="00094937" w:rsidRDefault="00D73BD7" w:rsidP="00094937">
            <w:pPr>
              <w:suppressAutoHyphens w:val="0"/>
              <w:spacing w:before="40" w:after="40" w:line="220" w:lineRule="exact"/>
              <w:jc w:val="right"/>
              <w:rPr>
                <w:sz w:val="18"/>
                <w:lang w:val="fr-FR"/>
              </w:rPr>
            </w:pPr>
            <w:r w:rsidRPr="00094937">
              <w:rPr>
                <w:sz w:val="18"/>
                <w:lang w:val="fr-FR"/>
              </w:rPr>
              <w:t>11</w:t>
            </w:r>
          </w:p>
        </w:tc>
        <w:tc>
          <w:tcPr>
            <w:tcW w:w="1525" w:type="dxa"/>
            <w:shd w:val="clear" w:color="auto" w:fill="auto"/>
            <w:vAlign w:val="bottom"/>
            <w:hideMark/>
          </w:tcPr>
          <w:p w:rsidR="00D73BD7" w:rsidRPr="00094937" w:rsidRDefault="00D73BD7" w:rsidP="00094937">
            <w:pPr>
              <w:suppressAutoHyphens w:val="0"/>
              <w:spacing w:before="40" w:after="40" w:line="220" w:lineRule="exact"/>
              <w:jc w:val="right"/>
              <w:rPr>
                <w:sz w:val="18"/>
                <w:lang w:val="fr-FR"/>
              </w:rPr>
            </w:pPr>
            <w:r w:rsidRPr="00094937">
              <w:rPr>
                <w:sz w:val="18"/>
                <w:lang w:val="fr-FR"/>
              </w:rPr>
              <w:t>12</w:t>
            </w:r>
          </w:p>
        </w:tc>
        <w:tc>
          <w:tcPr>
            <w:tcW w:w="1763" w:type="dxa"/>
            <w:shd w:val="clear" w:color="auto" w:fill="auto"/>
            <w:vAlign w:val="bottom"/>
            <w:hideMark/>
          </w:tcPr>
          <w:p w:rsidR="00D73BD7" w:rsidRPr="00094937" w:rsidRDefault="00D73BD7" w:rsidP="00094937">
            <w:pPr>
              <w:suppressAutoHyphens w:val="0"/>
              <w:spacing w:before="40" w:after="40" w:line="220" w:lineRule="exact"/>
              <w:jc w:val="right"/>
              <w:rPr>
                <w:b/>
                <w:bCs/>
                <w:sz w:val="18"/>
                <w:lang w:val="fr-FR"/>
              </w:rPr>
            </w:pPr>
            <w:r w:rsidRPr="00094937">
              <w:rPr>
                <w:b/>
                <w:bCs/>
                <w:sz w:val="18"/>
                <w:lang w:val="fr-FR"/>
              </w:rPr>
              <w:t>109 %</w:t>
            </w:r>
          </w:p>
        </w:tc>
      </w:tr>
      <w:tr w:rsidR="00D73BD7" w:rsidRPr="00094937" w:rsidTr="00094937">
        <w:tc>
          <w:tcPr>
            <w:tcW w:w="2703" w:type="dxa"/>
            <w:shd w:val="clear" w:color="auto" w:fill="auto"/>
            <w:hideMark/>
          </w:tcPr>
          <w:p w:rsidR="00D73BD7" w:rsidRPr="00094937" w:rsidRDefault="00D73BD7" w:rsidP="00094937">
            <w:pPr>
              <w:suppressAutoHyphens w:val="0"/>
              <w:spacing w:before="40" w:after="40" w:line="220" w:lineRule="exact"/>
              <w:rPr>
                <w:sz w:val="18"/>
                <w:lang w:val="fr-FR"/>
              </w:rPr>
            </w:pPr>
            <w:r w:rsidRPr="00094937">
              <w:rPr>
                <w:sz w:val="18"/>
                <w:lang w:val="fr-FR"/>
              </w:rPr>
              <w:t>Groupe de travail des transports par</w:t>
            </w:r>
            <w:r w:rsidR="00CE67F1">
              <w:rPr>
                <w:sz w:val="18"/>
                <w:lang w:val="fr-FR"/>
              </w:rPr>
              <w:t> </w:t>
            </w:r>
            <w:r w:rsidRPr="00094937">
              <w:rPr>
                <w:sz w:val="18"/>
                <w:lang w:val="fr-FR"/>
              </w:rPr>
              <w:t>voie navigable</w:t>
            </w:r>
          </w:p>
        </w:tc>
        <w:tc>
          <w:tcPr>
            <w:tcW w:w="1379" w:type="dxa"/>
            <w:shd w:val="clear" w:color="auto" w:fill="auto"/>
            <w:vAlign w:val="bottom"/>
            <w:hideMark/>
          </w:tcPr>
          <w:p w:rsidR="00D73BD7" w:rsidRPr="00094937" w:rsidRDefault="00D73BD7" w:rsidP="00094937">
            <w:pPr>
              <w:suppressAutoHyphens w:val="0"/>
              <w:spacing w:before="40" w:after="40" w:line="220" w:lineRule="exact"/>
              <w:jc w:val="right"/>
              <w:rPr>
                <w:sz w:val="18"/>
                <w:lang w:val="fr-FR"/>
              </w:rPr>
            </w:pPr>
            <w:r w:rsidRPr="00094937">
              <w:rPr>
                <w:sz w:val="18"/>
                <w:lang w:val="fr-FR"/>
              </w:rPr>
              <w:t>47</w:t>
            </w:r>
          </w:p>
        </w:tc>
        <w:tc>
          <w:tcPr>
            <w:tcW w:w="1525" w:type="dxa"/>
            <w:shd w:val="clear" w:color="auto" w:fill="auto"/>
            <w:vAlign w:val="bottom"/>
            <w:hideMark/>
          </w:tcPr>
          <w:p w:rsidR="00D73BD7" w:rsidRPr="00094937" w:rsidRDefault="00D73BD7" w:rsidP="00094937">
            <w:pPr>
              <w:suppressAutoHyphens w:val="0"/>
              <w:spacing w:before="40" w:after="40" w:line="220" w:lineRule="exact"/>
              <w:jc w:val="right"/>
              <w:rPr>
                <w:sz w:val="18"/>
                <w:lang w:val="fr-FR"/>
              </w:rPr>
            </w:pPr>
            <w:r w:rsidRPr="00094937">
              <w:rPr>
                <w:sz w:val="18"/>
                <w:lang w:val="fr-FR"/>
              </w:rPr>
              <w:t>60</w:t>
            </w:r>
          </w:p>
        </w:tc>
        <w:tc>
          <w:tcPr>
            <w:tcW w:w="1763" w:type="dxa"/>
            <w:shd w:val="clear" w:color="auto" w:fill="auto"/>
            <w:vAlign w:val="bottom"/>
            <w:hideMark/>
          </w:tcPr>
          <w:p w:rsidR="00D73BD7" w:rsidRPr="00094937" w:rsidRDefault="00D73BD7" w:rsidP="00094937">
            <w:pPr>
              <w:suppressAutoHyphens w:val="0"/>
              <w:spacing w:before="40" w:after="40" w:line="220" w:lineRule="exact"/>
              <w:jc w:val="right"/>
              <w:rPr>
                <w:b/>
                <w:bCs/>
                <w:sz w:val="18"/>
                <w:lang w:val="fr-FR"/>
              </w:rPr>
            </w:pPr>
            <w:r w:rsidRPr="00094937">
              <w:rPr>
                <w:b/>
                <w:bCs/>
                <w:sz w:val="18"/>
                <w:lang w:val="fr-FR"/>
              </w:rPr>
              <w:t>128 %</w:t>
            </w:r>
          </w:p>
        </w:tc>
      </w:tr>
      <w:tr w:rsidR="00D73BD7" w:rsidRPr="00094937" w:rsidTr="00094937">
        <w:tc>
          <w:tcPr>
            <w:tcW w:w="2703" w:type="dxa"/>
            <w:shd w:val="clear" w:color="auto" w:fill="auto"/>
            <w:hideMark/>
          </w:tcPr>
          <w:p w:rsidR="00D73BD7" w:rsidRPr="00094937" w:rsidRDefault="00D73BD7" w:rsidP="00094937">
            <w:pPr>
              <w:suppressAutoHyphens w:val="0"/>
              <w:spacing w:before="40" w:after="40" w:line="220" w:lineRule="exact"/>
              <w:rPr>
                <w:sz w:val="18"/>
                <w:lang w:val="fr-FR"/>
              </w:rPr>
            </w:pPr>
            <w:r w:rsidRPr="00094937">
              <w:rPr>
                <w:sz w:val="18"/>
                <w:lang w:val="fr-FR"/>
              </w:rPr>
              <w:t>Groupe de travail des problèmes douaniers intéressant les transports</w:t>
            </w:r>
          </w:p>
        </w:tc>
        <w:tc>
          <w:tcPr>
            <w:tcW w:w="1379" w:type="dxa"/>
            <w:shd w:val="clear" w:color="auto" w:fill="auto"/>
            <w:vAlign w:val="bottom"/>
            <w:hideMark/>
          </w:tcPr>
          <w:p w:rsidR="00D73BD7" w:rsidRPr="00094937" w:rsidRDefault="00D73BD7" w:rsidP="00094937">
            <w:pPr>
              <w:suppressAutoHyphens w:val="0"/>
              <w:spacing w:before="40" w:after="40" w:line="220" w:lineRule="exact"/>
              <w:jc w:val="right"/>
              <w:rPr>
                <w:sz w:val="18"/>
                <w:lang w:val="fr-FR"/>
              </w:rPr>
            </w:pPr>
            <w:r w:rsidRPr="00094937">
              <w:rPr>
                <w:sz w:val="18"/>
                <w:lang w:val="fr-FR"/>
              </w:rPr>
              <w:t>71</w:t>
            </w:r>
          </w:p>
        </w:tc>
        <w:tc>
          <w:tcPr>
            <w:tcW w:w="1525" w:type="dxa"/>
            <w:shd w:val="clear" w:color="auto" w:fill="auto"/>
            <w:vAlign w:val="bottom"/>
            <w:hideMark/>
          </w:tcPr>
          <w:p w:rsidR="00D73BD7" w:rsidRPr="00094937" w:rsidRDefault="00D73BD7" w:rsidP="00094937">
            <w:pPr>
              <w:suppressAutoHyphens w:val="0"/>
              <w:spacing w:before="40" w:after="40" w:line="220" w:lineRule="exact"/>
              <w:jc w:val="right"/>
              <w:rPr>
                <w:sz w:val="18"/>
                <w:lang w:val="fr-FR"/>
              </w:rPr>
            </w:pPr>
            <w:r w:rsidRPr="00094937">
              <w:rPr>
                <w:sz w:val="18"/>
                <w:lang w:val="fr-FR"/>
              </w:rPr>
              <w:t>34</w:t>
            </w:r>
          </w:p>
        </w:tc>
        <w:tc>
          <w:tcPr>
            <w:tcW w:w="1763" w:type="dxa"/>
            <w:shd w:val="clear" w:color="auto" w:fill="auto"/>
            <w:vAlign w:val="bottom"/>
            <w:hideMark/>
          </w:tcPr>
          <w:p w:rsidR="00D73BD7" w:rsidRPr="00094937" w:rsidRDefault="00D73BD7" w:rsidP="00094937">
            <w:pPr>
              <w:suppressAutoHyphens w:val="0"/>
              <w:spacing w:before="40" w:after="40" w:line="220" w:lineRule="exact"/>
              <w:jc w:val="right"/>
              <w:rPr>
                <w:b/>
                <w:bCs/>
                <w:sz w:val="18"/>
                <w:lang w:val="fr-FR"/>
              </w:rPr>
            </w:pPr>
            <w:r w:rsidRPr="00094937">
              <w:rPr>
                <w:b/>
                <w:bCs/>
                <w:sz w:val="18"/>
                <w:lang w:val="fr-FR"/>
              </w:rPr>
              <w:t>48 %</w:t>
            </w:r>
          </w:p>
        </w:tc>
      </w:tr>
      <w:tr w:rsidR="00D73BD7" w:rsidRPr="00094937" w:rsidTr="00094937">
        <w:tc>
          <w:tcPr>
            <w:tcW w:w="2703" w:type="dxa"/>
            <w:shd w:val="clear" w:color="auto" w:fill="auto"/>
            <w:hideMark/>
          </w:tcPr>
          <w:p w:rsidR="00D73BD7" w:rsidRPr="00094937" w:rsidRDefault="00D73BD7" w:rsidP="00094937">
            <w:pPr>
              <w:suppressAutoHyphens w:val="0"/>
              <w:spacing w:before="40" w:after="40" w:line="220" w:lineRule="exact"/>
              <w:rPr>
                <w:b/>
                <w:bCs/>
                <w:sz w:val="18"/>
                <w:lang w:val="fr-FR"/>
              </w:rPr>
            </w:pPr>
            <w:r w:rsidRPr="00094937">
              <w:rPr>
                <w:b/>
                <w:bCs/>
                <w:sz w:val="18"/>
                <w:lang w:val="fr-FR"/>
              </w:rPr>
              <w:t>Conseil économique et social</w:t>
            </w:r>
          </w:p>
        </w:tc>
        <w:tc>
          <w:tcPr>
            <w:tcW w:w="1379" w:type="dxa"/>
            <w:shd w:val="clear" w:color="auto" w:fill="auto"/>
            <w:vAlign w:val="bottom"/>
            <w:hideMark/>
          </w:tcPr>
          <w:p w:rsidR="00D73BD7" w:rsidRPr="00094937" w:rsidRDefault="00D73BD7" w:rsidP="00094937">
            <w:pPr>
              <w:suppressAutoHyphens w:val="0"/>
              <w:spacing w:before="40" w:after="40" w:line="220" w:lineRule="exact"/>
              <w:jc w:val="right"/>
              <w:rPr>
                <w:b/>
                <w:bCs/>
                <w:sz w:val="18"/>
                <w:lang w:val="fr-FR"/>
              </w:rPr>
            </w:pPr>
            <w:r w:rsidRPr="00094937">
              <w:rPr>
                <w:b/>
                <w:bCs/>
                <w:sz w:val="18"/>
                <w:lang w:val="fr-FR"/>
              </w:rPr>
              <w:t>324</w:t>
            </w:r>
          </w:p>
        </w:tc>
        <w:tc>
          <w:tcPr>
            <w:tcW w:w="1525" w:type="dxa"/>
            <w:shd w:val="clear" w:color="auto" w:fill="auto"/>
            <w:vAlign w:val="bottom"/>
            <w:hideMark/>
          </w:tcPr>
          <w:p w:rsidR="00D73BD7" w:rsidRPr="00094937" w:rsidRDefault="00D73BD7" w:rsidP="00094937">
            <w:pPr>
              <w:suppressAutoHyphens w:val="0"/>
              <w:spacing w:before="40" w:after="40" w:line="220" w:lineRule="exact"/>
              <w:jc w:val="right"/>
              <w:rPr>
                <w:b/>
                <w:bCs/>
                <w:sz w:val="18"/>
                <w:lang w:val="fr-FR"/>
              </w:rPr>
            </w:pPr>
            <w:r w:rsidRPr="00094937">
              <w:rPr>
                <w:b/>
                <w:bCs/>
                <w:sz w:val="18"/>
                <w:lang w:val="fr-FR"/>
              </w:rPr>
              <w:t>128</w:t>
            </w:r>
          </w:p>
        </w:tc>
        <w:tc>
          <w:tcPr>
            <w:tcW w:w="1763" w:type="dxa"/>
            <w:shd w:val="clear" w:color="auto" w:fill="auto"/>
            <w:vAlign w:val="bottom"/>
            <w:hideMark/>
          </w:tcPr>
          <w:p w:rsidR="00D73BD7" w:rsidRPr="00094937" w:rsidRDefault="00D73BD7" w:rsidP="00094937">
            <w:pPr>
              <w:suppressAutoHyphens w:val="0"/>
              <w:spacing w:before="40" w:after="40" w:line="220" w:lineRule="exact"/>
              <w:jc w:val="right"/>
              <w:rPr>
                <w:b/>
                <w:bCs/>
                <w:sz w:val="18"/>
                <w:lang w:val="fr-FR"/>
              </w:rPr>
            </w:pPr>
            <w:r w:rsidRPr="00094937">
              <w:rPr>
                <w:b/>
                <w:bCs/>
                <w:sz w:val="18"/>
                <w:lang w:val="fr-FR"/>
              </w:rPr>
              <w:t>40 %</w:t>
            </w:r>
          </w:p>
        </w:tc>
      </w:tr>
      <w:tr w:rsidR="00D73BD7" w:rsidRPr="00094937" w:rsidTr="00094937">
        <w:tc>
          <w:tcPr>
            <w:tcW w:w="2703" w:type="dxa"/>
            <w:shd w:val="clear" w:color="auto" w:fill="auto"/>
            <w:hideMark/>
          </w:tcPr>
          <w:p w:rsidR="00D73BD7" w:rsidRPr="00094937" w:rsidRDefault="00D73BD7" w:rsidP="00094937">
            <w:pPr>
              <w:suppressAutoHyphens w:val="0"/>
              <w:spacing w:before="40" w:after="40" w:line="220" w:lineRule="exact"/>
              <w:rPr>
                <w:sz w:val="18"/>
                <w:lang w:val="fr-FR"/>
              </w:rPr>
            </w:pPr>
            <w:r w:rsidRPr="00094937">
              <w:rPr>
                <w:sz w:val="18"/>
                <w:lang w:val="fr-FR"/>
              </w:rPr>
              <w:t>Comité d’experts du transport des</w:t>
            </w:r>
            <w:r w:rsidR="00CE67F1">
              <w:rPr>
                <w:sz w:val="18"/>
                <w:lang w:val="fr-FR"/>
              </w:rPr>
              <w:t> </w:t>
            </w:r>
            <w:r w:rsidRPr="00094937">
              <w:rPr>
                <w:sz w:val="18"/>
                <w:lang w:val="fr-FR"/>
              </w:rPr>
              <w:t>marchandises dangereuses et du</w:t>
            </w:r>
            <w:r w:rsidR="00CE67F1">
              <w:rPr>
                <w:sz w:val="18"/>
                <w:lang w:val="fr-FR"/>
              </w:rPr>
              <w:t> </w:t>
            </w:r>
            <w:r w:rsidRPr="00094937">
              <w:rPr>
                <w:sz w:val="18"/>
                <w:lang w:val="fr-FR"/>
              </w:rPr>
              <w:t>SGH du Conseil économique et</w:t>
            </w:r>
            <w:r w:rsidR="00CE67F1">
              <w:rPr>
                <w:sz w:val="18"/>
                <w:lang w:val="fr-FR"/>
              </w:rPr>
              <w:t> </w:t>
            </w:r>
            <w:r w:rsidRPr="00094937">
              <w:rPr>
                <w:sz w:val="18"/>
                <w:lang w:val="fr-FR"/>
              </w:rPr>
              <w:t>social</w:t>
            </w:r>
          </w:p>
        </w:tc>
        <w:tc>
          <w:tcPr>
            <w:tcW w:w="1379" w:type="dxa"/>
            <w:shd w:val="clear" w:color="auto" w:fill="auto"/>
            <w:vAlign w:val="bottom"/>
            <w:hideMark/>
          </w:tcPr>
          <w:p w:rsidR="00D73BD7" w:rsidRPr="00094937" w:rsidRDefault="00D73BD7" w:rsidP="00094937">
            <w:pPr>
              <w:suppressAutoHyphens w:val="0"/>
              <w:spacing w:before="40" w:after="40" w:line="220" w:lineRule="exact"/>
              <w:jc w:val="right"/>
              <w:rPr>
                <w:sz w:val="18"/>
                <w:lang w:val="fr-FR"/>
              </w:rPr>
            </w:pPr>
            <w:r w:rsidRPr="00094937">
              <w:rPr>
                <w:sz w:val="18"/>
                <w:lang w:val="fr-FR"/>
              </w:rPr>
              <w:t>5</w:t>
            </w:r>
          </w:p>
        </w:tc>
        <w:tc>
          <w:tcPr>
            <w:tcW w:w="1525" w:type="dxa"/>
            <w:shd w:val="clear" w:color="auto" w:fill="auto"/>
            <w:vAlign w:val="bottom"/>
            <w:hideMark/>
          </w:tcPr>
          <w:p w:rsidR="00D73BD7" w:rsidRPr="00094937" w:rsidRDefault="00D73BD7" w:rsidP="00094937">
            <w:pPr>
              <w:suppressAutoHyphens w:val="0"/>
              <w:spacing w:before="40" w:after="40" w:line="220" w:lineRule="exact"/>
              <w:jc w:val="right"/>
              <w:rPr>
                <w:sz w:val="18"/>
                <w:lang w:val="fr-FR"/>
              </w:rPr>
            </w:pPr>
            <w:r w:rsidRPr="00094937">
              <w:rPr>
                <w:sz w:val="18"/>
                <w:lang w:val="fr-FR"/>
              </w:rPr>
              <w:t>2</w:t>
            </w:r>
          </w:p>
        </w:tc>
        <w:tc>
          <w:tcPr>
            <w:tcW w:w="1763" w:type="dxa"/>
            <w:shd w:val="clear" w:color="auto" w:fill="auto"/>
            <w:vAlign w:val="bottom"/>
            <w:hideMark/>
          </w:tcPr>
          <w:p w:rsidR="00D73BD7" w:rsidRPr="00094937" w:rsidRDefault="00D73BD7" w:rsidP="00094937">
            <w:pPr>
              <w:suppressAutoHyphens w:val="0"/>
              <w:spacing w:before="40" w:after="40" w:line="220" w:lineRule="exact"/>
              <w:jc w:val="right"/>
              <w:rPr>
                <w:b/>
                <w:bCs/>
                <w:sz w:val="18"/>
                <w:lang w:val="fr-FR"/>
              </w:rPr>
            </w:pPr>
            <w:r w:rsidRPr="00094937">
              <w:rPr>
                <w:b/>
                <w:bCs/>
                <w:sz w:val="18"/>
                <w:lang w:val="fr-FR"/>
              </w:rPr>
              <w:t>40 %</w:t>
            </w:r>
          </w:p>
        </w:tc>
      </w:tr>
      <w:tr w:rsidR="00D73BD7" w:rsidRPr="00094937" w:rsidTr="00094937">
        <w:tc>
          <w:tcPr>
            <w:tcW w:w="2703" w:type="dxa"/>
            <w:shd w:val="clear" w:color="auto" w:fill="auto"/>
            <w:hideMark/>
          </w:tcPr>
          <w:p w:rsidR="00D73BD7" w:rsidRPr="00094937" w:rsidRDefault="00D73BD7" w:rsidP="00094937">
            <w:pPr>
              <w:suppressAutoHyphens w:val="0"/>
              <w:spacing w:before="40" w:after="40" w:line="220" w:lineRule="exact"/>
              <w:rPr>
                <w:sz w:val="18"/>
                <w:lang w:val="fr-FR"/>
              </w:rPr>
            </w:pPr>
            <w:r w:rsidRPr="00094937">
              <w:rPr>
                <w:sz w:val="18"/>
                <w:lang w:val="fr-FR"/>
              </w:rPr>
              <w:t>Sous-Comité d’experts du transport des marchandises dangereuses du Conseil économique et social</w:t>
            </w:r>
          </w:p>
        </w:tc>
        <w:tc>
          <w:tcPr>
            <w:tcW w:w="1379" w:type="dxa"/>
            <w:shd w:val="clear" w:color="auto" w:fill="auto"/>
            <w:vAlign w:val="bottom"/>
            <w:hideMark/>
          </w:tcPr>
          <w:p w:rsidR="00D73BD7" w:rsidRPr="00094937" w:rsidRDefault="00D73BD7" w:rsidP="00094937">
            <w:pPr>
              <w:suppressAutoHyphens w:val="0"/>
              <w:spacing w:before="40" w:after="40" w:line="220" w:lineRule="exact"/>
              <w:jc w:val="right"/>
              <w:rPr>
                <w:sz w:val="18"/>
                <w:lang w:val="fr-FR"/>
              </w:rPr>
            </w:pPr>
            <w:r w:rsidRPr="00094937">
              <w:rPr>
                <w:sz w:val="18"/>
                <w:lang w:val="fr-FR"/>
              </w:rPr>
              <w:t>257</w:t>
            </w:r>
          </w:p>
        </w:tc>
        <w:tc>
          <w:tcPr>
            <w:tcW w:w="1525" w:type="dxa"/>
            <w:shd w:val="clear" w:color="auto" w:fill="auto"/>
            <w:vAlign w:val="bottom"/>
            <w:hideMark/>
          </w:tcPr>
          <w:p w:rsidR="00D73BD7" w:rsidRPr="00094937" w:rsidRDefault="00D73BD7" w:rsidP="00094937">
            <w:pPr>
              <w:suppressAutoHyphens w:val="0"/>
              <w:spacing w:before="40" w:after="40" w:line="220" w:lineRule="exact"/>
              <w:jc w:val="right"/>
              <w:rPr>
                <w:sz w:val="18"/>
                <w:lang w:val="fr-FR"/>
              </w:rPr>
            </w:pPr>
            <w:r w:rsidRPr="00094937">
              <w:rPr>
                <w:sz w:val="18"/>
                <w:lang w:val="fr-FR"/>
              </w:rPr>
              <w:t>98</w:t>
            </w:r>
          </w:p>
        </w:tc>
        <w:tc>
          <w:tcPr>
            <w:tcW w:w="1763" w:type="dxa"/>
            <w:shd w:val="clear" w:color="auto" w:fill="auto"/>
            <w:vAlign w:val="bottom"/>
            <w:hideMark/>
          </w:tcPr>
          <w:p w:rsidR="00D73BD7" w:rsidRPr="00094937" w:rsidRDefault="00D73BD7" w:rsidP="00094937">
            <w:pPr>
              <w:suppressAutoHyphens w:val="0"/>
              <w:spacing w:before="40" w:after="40" w:line="220" w:lineRule="exact"/>
              <w:jc w:val="right"/>
              <w:rPr>
                <w:b/>
                <w:bCs/>
                <w:sz w:val="18"/>
                <w:lang w:val="fr-FR"/>
              </w:rPr>
            </w:pPr>
            <w:r w:rsidRPr="00094937">
              <w:rPr>
                <w:b/>
                <w:bCs/>
                <w:sz w:val="18"/>
                <w:lang w:val="fr-FR"/>
              </w:rPr>
              <w:t>38 %</w:t>
            </w:r>
          </w:p>
        </w:tc>
      </w:tr>
      <w:tr w:rsidR="00D73BD7" w:rsidRPr="00094937" w:rsidTr="00094937">
        <w:tc>
          <w:tcPr>
            <w:tcW w:w="2703" w:type="dxa"/>
            <w:shd w:val="clear" w:color="auto" w:fill="auto"/>
            <w:hideMark/>
          </w:tcPr>
          <w:p w:rsidR="00D73BD7" w:rsidRPr="00094937" w:rsidRDefault="00D73BD7" w:rsidP="00094937">
            <w:pPr>
              <w:suppressAutoHyphens w:val="0"/>
              <w:spacing w:before="40" w:after="40" w:line="220" w:lineRule="exact"/>
              <w:rPr>
                <w:sz w:val="18"/>
                <w:lang w:val="fr-FR"/>
              </w:rPr>
            </w:pPr>
            <w:r w:rsidRPr="00094937">
              <w:rPr>
                <w:sz w:val="18"/>
                <w:lang w:val="fr-FR"/>
              </w:rPr>
              <w:t>Sous-Comité d’experts du SGH du</w:t>
            </w:r>
            <w:r w:rsidR="00CE67F1">
              <w:rPr>
                <w:sz w:val="18"/>
                <w:lang w:val="fr-FR"/>
              </w:rPr>
              <w:t> </w:t>
            </w:r>
            <w:r w:rsidRPr="00094937">
              <w:rPr>
                <w:sz w:val="18"/>
                <w:lang w:val="fr-FR"/>
              </w:rPr>
              <w:t>Conseil économique et social</w:t>
            </w:r>
          </w:p>
        </w:tc>
        <w:tc>
          <w:tcPr>
            <w:tcW w:w="1379" w:type="dxa"/>
            <w:shd w:val="clear" w:color="auto" w:fill="auto"/>
            <w:vAlign w:val="bottom"/>
            <w:hideMark/>
          </w:tcPr>
          <w:p w:rsidR="00D73BD7" w:rsidRPr="00094937" w:rsidRDefault="00D73BD7" w:rsidP="00094937">
            <w:pPr>
              <w:suppressAutoHyphens w:val="0"/>
              <w:spacing w:before="40" w:after="40" w:line="220" w:lineRule="exact"/>
              <w:jc w:val="right"/>
              <w:rPr>
                <w:sz w:val="18"/>
                <w:lang w:val="fr-FR"/>
              </w:rPr>
            </w:pPr>
            <w:r w:rsidRPr="00094937">
              <w:rPr>
                <w:sz w:val="18"/>
                <w:lang w:val="fr-FR"/>
              </w:rPr>
              <w:t>62</w:t>
            </w:r>
          </w:p>
        </w:tc>
        <w:tc>
          <w:tcPr>
            <w:tcW w:w="1525" w:type="dxa"/>
            <w:shd w:val="clear" w:color="auto" w:fill="auto"/>
            <w:vAlign w:val="bottom"/>
            <w:hideMark/>
          </w:tcPr>
          <w:p w:rsidR="00D73BD7" w:rsidRPr="00094937" w:rsidRDefault="00D73BD7" w:rsidP="00094937">
            <w:pPr>
              <w:suppressAutoHyphens w:val="0"/>
              <w:spacing w:before="40" w:after="40" w:line="220" w:lineRule="exact"/>
              <w:jc w:val="right"/>
              <w:rPr>
                <w:sz w:val="18"/>
                <w:lang w:val="fr-FR"/>
              </w:rPr>
            </w:pPr>
            <w:r w:rsidRPr="00094937">
              <w:rPr>
                <w:sz w:val="18"/>
                <w:lang w:val="fr-FR"/>
              </w:rPr>
              <w:t>28</w:t>
            </w:r>
          </w:p>
        </w:tc>
        <w:tc>
          <w:tcPr>
            <w:tcW w:w="1763" w:type="dxa"/>
            <w:shd w:val="clear" w:color="auto" w:fill="auto"/>
            <w:vAlign w:val="bottom"/>
            <w:hideMark/>
          </w:tcPr>
          <w:p w:rsidR="00D73BD7" w:rsidRPr="00094937" w:rsidRDefault="00D73BD7" w:rsidP="00094937">
            <w:pPr>
              <w:suppressAutoHyphens w:val="0"/>
              <w:spacing w:before="40" w:after="40" w:line="220" w:lineRule="exact"/>
              <w:jc w:val="right"/>
              <w:rPr>
                <w:b/>
                <w:bCs/>
                <w:sz w:val="18"/>
                <w:lang w:val="fr-FR"/>
              </w:rPr>
            </w:pPr>
            <w:r w:rsidRPr="00094937">
              <w:rPr>
                <w:b/>
                <w:bCs/>
                <w:sz w:val="18"/>
                <w:lang w:val="fr-FR"/>
              </w:rPr>
              <w:t>45 %</w:t>
            </w:r>
          </w:p>
        </w:tc>
      </w:tr>
      <w:tr w:rsidR="00D73BD7" w:rsidRPr="00094937" w:rsidTr="00094937">
        <w:tc>
          <w:tcPr>
            <w:tcW w:w="2703" w:type="dxa"/>
            <w:shd w:val="clear" w:color="auto" w:fill="auto"/>
            <w:hideMark/>
          </w:tcPr>
          <w:p w:rsidR="00D73BD7" w:rsidRPr="00094937" w:rsidRDefault="00D73BD7" w:rsidP="00094937">
            <w:pPr>
              <w:suppressAutoHyphens w:val="0"/>
              <w:spacing w:before="40" w:after="40" w:line="220" w:lineRule="exact"/>
              <w:rPr>
                <w:b/>
                <w:bCs/>
                <w:sz w:val="18"/>
                <w:lang w:val="fr-FR"/>
              </w:rPr>
            </w:pPr>
            <w:r w:rsidRPr="00094937">
              <w:rPr>
                <w:b/>
                <w:bCs/>
                <w:sz w:val="18"/>
                <w:lang w:val="fr-FR"/>
              </w:rPr>
              <w:t>PPE-TSE</w:t>
            </w:r>
          </w:p>
        </w:tc>
        <w:tc>
          <w:tcPr>
            <w:tcW w:w="1379" w:type="dxa"/>
            <w:shd w:val="clear" w:color="auto" w:fill="auto"/>
            <w:vAlign w:val="bottom"/>
            <w:hideMark/>
          </w:tcPr>
          <w:p w:rsidR="00D73BD7" w:rsidRPr="00094937" w:rsidRDefault="00D73BD7" w:rsidP="00094937">
            <w:pPr>
              <w:suppressAutoHyphens w:val="0"/>
              <w:spacing w:before="40" w:after="40" w:line="220" w:lineRule="exact"/>
              <w:jc w:val="right"/>
              <w:rPr>
                <w:b/>
                <w:bCs/>
                <w:sz w:val="18"/>
                <w:lang w:val="fr-FR"/>
              </w:rPr>
            </w:pPr>
            <w:r w:rsidRPr="00094937">
              <w:rPr>
                <w:b/>
                <w:bCs/>
                <w:sz w:val="18"/>
                <w:lang w:val="fr-FR"/>
              </w:rPr>
              <w:t>5</w:t>
            </w:r>
          </w:p>
        </w:tc>
        <w:tc>
          <w:tcPr>
            <w:tcW w:w="1525" w:type="dxa"/>
            <w:shd w:val="clear" w:color="auto" w:fill="auto"/>
            <w:vAlign w:val="bottom"/>
            <w:hideMark/>
          </w:tcPr>
          <w:p w:rsidR="00D73BD7" w:rsidRPr="00094937" w:rsidRDefault="00D73BD7" w:rsidP="00094937">
            <w:pPr>
              <w:suppressAutoHyphens w:val="0"/>
              <w:spacing w:before="40" w:after="40" w:line="220" w:lineRule="exact"/>
              <w:jc w:val="right"/>
              <w:rPr>
                <w:b/>
                <w:bCs/>
                <w:sz w:val="18"/>
                <w:lang w:val="fr-FR"/>
              </w:rPr>
            </w:pPr>
            <w:r w:rsidRPr="00094937">
              <w:rPr>
                <w:b/>
                <w:bCs/>
                <w:sz w:val="18"/>
                <w:lang w:val="fr-FR"/>
              </w:rPr>
              <w:t>5</w:t>
            </w:r>
          </w:p>
        </w:tc>
        <w:tc>
          <w:tcPr>
            <w:tcW w:w="1763" w:type="dxa"/>
            <w:shd w:val="clear" w:color="auto" w:fill="auto"/>
            <w:vAlign w:val="bottom"/>
            <w:hideMark/>
          </w:tcPr>
          <w:p w:rsidR="00D73BD7" w:rsidRPr="00094937" w:rsidRDefault="00D73BD7" w:rsidP="00094937">
            <w:pPr>
              <w:suppressAutoHyphens w:val="0"/>
              <w:spacing w:before="40" w:after="40" w:line="220" w:lineRule="exact"/>
              <w:jc w:val="right"/>
              <w:rPr>
                <w:b/>
                <w:bCs/>
                <w:sz w:val="18"/>
                <w:lang w:val="fr-FR"/>
              </w:rPr>
            </w:pPr>
            <w:r w:rsidRPr="00094937">
              <w:rPr>
                <w:b/>
                <w:bCs/>
                <w:sz w:val="18"/>
                <w:lang w:val="fr-FR"/>
              </w:rPr>
              <w:t>100 %</w:t>
            </w:r>
          </w:p>
        </w:tc>
      </w:tr>
      <w:tr w:rsidR="00D73BD7" w:rsidRPr="00094937" w:rsidTr="00094937">
        <w:tc>
          <w:tcPr>
            <w:tcW w:w="2703" w:type="dxa"/>
            <w:tcBorders>
              <w:bottom w:val="single" w:sz="12" w:space="0" w:color="auto"/>
            </w:tcBorders>
            <w:shd w:val="clear" w:color="auto" w:fill="auto"/>
            <w:hideMark/>
          </w:tcPr>
          <w:p w:rsidR="00D73BD7" w:rsidRPr="00094937" w:rsidRDefault="00D73BD7" w:rsidP="00094937">
            <w:pPr>
              <w:suppressAutoHyphens w:val="0"/>
              <w:spacing w:before="40" w:after="40" w:line="220" w:lineRule="exact"/>
              <w:rPr>
                <w:sz w:val="18"/>
                <w:lang w:val="fr-FR"/>
              </w:rPr>
            </w:pPr>
            <w:r w:rsidRPr="00094937">
              <w:rPr>
                <w:sz w:val="18"/>
                <w:lang w:val="fr-FR"/>
              </w:rPr>
              <w:t>Réunion de haut niveau sur les</w:t>
            </w:r>
            <w:r w:rsidR="00CE67F1">
              <w:rPr>
                <w:sz w:val="18"/>
                <w:lang w:val="fr-FR"/>
              </w:rPr>
              <w:t> </w:t>
            </w:r>
            <w:r w:rsidRPr="00094937">
              <w:rPr>
                <w:sz w:val="18"/>
                <w:lang w:val="fr-FR"/>
              </w:rPr>
              <w:t>transports, la santé et l’environnement</w:t>
            </w:r>
          </w:p>
        </w:tc>
        <w:tc>
          <w:tcPr>
            <w:tcW w:w="1379" w:type="dxa"/>
            <w:tcBorders>
              <w:bottom w:val="single" w:sz="12" w:space="0" w:color="auto"/>
            </w:tcBorders>
            <w:shd w:val="clear" w:color="auto" w:fill="auto"/>
            <w:vAlign w:val="bottom"/>
            <w:hideMark/>
          </w:tcPr>
          <w:p w:rsidR="00D73BD7" w:rsidRPr="00094937" w:rsidRDefault="00D73BD7" w:rsidP="00094937">
            <w:pPr>
              <w:suppressAutoHyphens w:val="0"/>
              <w:spacing w:before="40" w:after="40" w:line="220" w:lineRule="exact"/>
              <w:jc w:val="right"/>
              <w:rPr>
                <w:sz w:val="18"/>
                <w:lang w:val="fr-FR"/>
              </w:rPr>
            </w:pPr>
            <w:r w:rsidRPr="00094937">
              <w:rPr>
                <w:sz w:val="18"/>
                <w:lang w:val="fr-FR"/>
              </w:rPr>
              <w:t>5</w:t>
            </w:r>
          </w:p>
        </w:tc>
        <w:tc>
          <w:tcPr>
            <w:tcW w:w="1525" w:type="dxa"/>
            <w:tcBorders>
              <w:bottom w:val="single" w:sz="12" w:space="0" w:color="auto"/>
            </w:tcBorders>
            <w:shd w:val="clear" w:color="auto" w:fill="auto"/>
            <w:vAlign w:val="bottom"/>
            <w:hideMark/>
          </w:tcPr>
          <w:p w:rsidR="00D73BD7" w:rsidRPr="00094937" w:rsidRDefault="00D73BD7" w:rsidP="00094937">
            <w:pPr>
              <w:suppressAutoHyphens w:val="0"/>
              <w:spacing w:before="40" w:after="40" w:line="220" w:lineRule="exact"/>
              <w:jc w:val="right"/>
              <w:rPr>
                <w:sz w:val="18"/>
                <w:lang w:val="fr-FR"/>
              </w:rPr>
            </w:pPr>
            <w:r w:rsidRPr="00094937">
              <w:rPr>
                <w:sz w:val="18"/>
                <w:lang w:val="fr-FR"/>
              </w:rPr>
              <w:t>5</w:t>
            </w:r>
          </w:p>
        </w:tc>
        <w:tc>
          <w:tcPr>
            <w:tcW w:w="1763" w:type="dxa"/>
            <w:tcBorders>
              <w:bottom w:val="single" w:sz="12" w:space="0" w:color="auto"/>
            </w:tcBorders>
            <w:shd w:val="clear" w:color="auto" w:fill="auto"/>
            <w:vAlign w:val="bottom"/>
            <w:hideMark/>
          </w:tcPr>
          <w:p w:rsidR="00D73BD7" w:rsidRPr="00094937" w:rsidRDefault="00D73BD7" w:rsidP="00094937">
            <w:pPr>
              <w:suppressAutoHyphens w:val="0"/>
              <w:spacing w:before="40" w:after="40" w:line="220" w:lineRule="exact"/>
              <w:jc w:val="right"/>
              <w:rPr>
                <w:b/>
                <w:bCs/>
                <w:sz w:val="18"/>
                <w:lang w:val="fr-FR"/>
              </w:rPr>
            </w:pPr>
            <w:r w:rsidRPr="00094937">
              <w:rPr>
                <w:b/>
                <w:bCs/>
                <w:sz w:val="18"/>
                <w:lang w:val="fr-FR"/>
              </w:rPr>
              <w:t>100 %</w:t>
            </w:r>
          </w:p>
        </w:tc>
      </w:tr>
    </w:tbl>
    <w:bookmarkEnd w:id="0"/>
    <w:bookmarkEnd w:id="1"/>
    <w:p w:rsidR="00D73BD7" w:rsidRPr="00094937" w:rsidRDefault="00D73BD7" w:rsidP="00094937">
      <w:pPr>
        <w:pStyle w:val="SingleTxtG"/>
        <w:spacing w:before="120"/>
        <w:ind w:firstLine="170"/>
        <w:jc w:val="left"/>
        <w:rPr>
          <w:b/>
          <w:bCs/>
          <w:sz w:val="18"/>
          <w:szCs w:val="18"/>
          <w:lang w:val="fr-FR"/>
        </w:rPr>
      </w:pPr>
      <w:r w:rsidRPr="00094937">
        <w:rPr>
          <w:sz w:val="18"/>
          <w:szCs w:val="18"/>
          <w:lang w:val="fr-FR"/>
        </w:rPr>
        <w:t xml:space="preserve">* </w:t>
      </w:r>
      <w:r w:rsidR="00094937" w:rsidRPr="00094937">
        <w:rPr>
          <w:sz w:val="18"/>
          <w:szCs w:val="18"/>
          <w:lang w:val="fr-FR"/>
        </w:rPr>
        <w:t xml:space="preserve"> </w:t>
      </w:r>
      <w:r w:rsidRPr="00094937">
        <w:rPr>
          <w:sz w:val="18"/>
          <w:szCs w:val="18"/>
          <w:lang w:val="fr-FR"/>
        </w:rPr>
        <w:t>Meilleures estimations annuelles, au 22 décembre 2020</w:t>
      </w:r>
      <w:r w:rsidR="00094937" w:rsidRPr="00094937">
        <w:rPr>
          <w:sz w:val="18"/>
          <w:szCs w:val="18"/>
          <w:lang w:val="fr-FR"/>
        </w:rPr>
        <w:t>.</w:t>
      </w:r>
    </w:p>
    <w:p w:rsidR="00D73BD7" w:rsidRPr="00D73BD7" w:rsidRDefault="00D73BD7" w:rsidP="00D73BD7">
      <w:pPr>
        <w:suppressAutoHyphens w:val="0"/>
        <w:spacing w:line="240" w:lineRule="auto"/>
        <w:rPr>
          <w:b/>
          <w:sz w:val="28"/>
          <w:lang w:val="fr-FR"/>
        </w:rPr>
      </w:pPr>
      <w:r w:rsidRPr="00D73BD7">
        <w:rPr>
          <w:lang w:val="fr-FR"/>
        </w:rPr>
        <w:br w:type="page"/>
      </w:r>
    </w:p>
    <w:p w:rsidR="00D73BD7" w:rsidRPr="00D73BD7" w:rsidRDefault="00D73BD7" w:rsidP="00D73BD7">
      <w:pPr>
        <w:pStyle w:val="HChG"/>
        <w:rPr>
          <w:lang w:val="fr-FR"/>
        </w:rPr>
      </w:pPr>
      <w:r w:rsidRPr="00D73BD7">
        <w:rPr>
          <w:lang w:val="fr-FR"/>
        </w:rPr>
        <w:lastRenderedPageBreak/>
        <w:t>Annexe I</w:t>
      </w:r>
    </w:p>
    <w:p w:rsidR="00D73BD7" w:rsidRPr="00D73BD7" w:rsidRDefault="00D73BD7" w:rsidP="00D73BD7">
      <w:pPr>
        <w:pStyle w:val="HChG"/>
        <w:rPr>
          <w:lang w:val="fr-FR"/>
        </w:rPr>
      </w:pPr>
      <w:r w:rsidRPr="00D73BD7">
        <w:rPr>
          <w:lang w:val="fr-FR"/>
        </w:rPr>
        <w:tab/>
      </w:r>
      <w:r w:rsidRPr="00D73BD7">
        <w:rPr>
          <w:lang w:val="fr-FR"/>
        </w:rPr>
        <w:tab/>
        <w:t>Procédures spéciales mises en place pendant la pandémie de</w:t>
      </w:r>
      <w:r w:rsidR="00094937">
        <w:rPr>
          <w:lang w:val="fr-FR"/>
        </w:rPr>
        <w:t> </w:t>
      </w:r>
      <w:r w:rsidRPr="00D73BD7">
        <w:rPr>
          <w:lang w:val="fr-FR"/>
        </w:rPr>
        <w:t>COVID-19</w:t>
      </w:r>
    </w:p>
    <w:p w:rsidR="00D73BD7" w:rsidRPr="00D73BD7" w:rsidRDefault="00D73BD7" w:rsidP="00D73BD7">
      <w:pPr>
        <w:pStyle w:val="HChG"/>
        <w:rPr>
          <w:lang w:val="fr-FR"/>
        </w:rPr>
      </w:pPr>
      <w:r w:rsidRPr="00D73BD7">
        <w:rPr>
          <w:lang w:val="fr-FR"/>
        </w:rPr>
        <w:tab/>
      </w:r>
      <w:r w:rsidRPr="00D73BD7">
        <w:rPr>
          <w:lang w:val="fr-FR"/>
        </w:rPr>
        <w:tab/>
        <w:t>Dispositions permettant aux organes subsidiaires du Comité des transports intérieurs de la CEE de mener leurs activités à</w:t>
      </w:r>
      <w:r w:rsidR="00094937">
        <w:rPr>
          <w:lang w:val="fr-FR"/>
        </w:rPr>
        <w:t> </w:t>
      </w:r>
      <w:r w:rsidRPr="00D73BD7">
        <w:rPr>
          <w:lang w:val="fr-FR"/>
        </w:rPr>
        <w:t>distance pendant la pandémie de COVID-19</w:t>
      </w:r>
    </w:p>
    <w:p w:rsidR="00D73BD7" w:rsidRPr="00D73BD7" w:rsidRDefault="00D73BD7" w:rsidP="00D73BD7">
      <w:pPr>
        <w:pStyle w:val="H23G"/>
        <w:rPr>
          <w:lang w:val="fr-FR"/>
        </w:rPr>
      </w:pPr>
      <w:r w:rsidRPr="00D73BD7">
        <w:rPr>
          <w:lang w:val="fr-FR"/>
        </w:rPr>
        <w:tab/>
      </w:r>
      <w:r w:rsidRPr="00D73BD7">
        <w:rPr>
          <w:lang w:val="fr-FR"/>
        </w:rPr>
        <w:tab/>
        <w:t>(Document informel n</w:t>
      </w:r>
      <w:r w:rsidRPr="00D73BD7">
        <w:rPr>
          <w:vertAlign w:val="superscript"/>
          <w:lang w:val="fr-FR"/>
        </w:rPr>
        <w:t>o</w:t>
      </w:r>
      <w:r w:rsidR="004F667C">
        <w:rPr>
          <w:lang w:val="fr-FR"/>
        </w:rPr>
        <w:t> </w:t>
      </w:r>
      <w:r w:rsidRPr="00D73BD7">
        <w:rPr>
          <w:lang w:val="fr-FR"/>
        </w:rPr>
        <w:t xml:space="preserve">2020/18 du Comité exécutif, </w:t>
      </w:r>
      <w:r w:rsidRPr="00D73BD7">
        <w:rPr>
          <w:bCs/>
          <w:lang w:val="fr-FR"/>
        </w:rPr>
        <w:t>adopté le 20</w:t>
      </w:r>
      <w:r w:rsidR="004F667C">
        <w:rPr>
          <w:bCs/>
          <w:lang w:val="fr-FR"/>
        </w:rPr>
        <w:t> </w:t>
      </w:r>
      <w:r w:rsidRPr="00D73BD7">
        <w:rPr>
          <w:bCs/>
          <w:lang w:val="fr-FR"/>
        </w:rPr>
        <w:t>mai 2020</w:t>
      </w:r>
      <w:r w:rsidRPr="00D73BD7">
        <w:rPr>
          <w:lang w:val="fr-FR"/>
        </w:rPr>
        <w:t>)</w:t>
      </w:r>
    </w:p>
    <w:p w:rsidR="00D73BD7" w:rsidRPr="00D73BD7" w:rsidRDefault="00D73BD7" w:rsidP="00046EBC">
      <w:pPr>
        <w:pStyle w:val="SingleTxtG"/>
        <w:ind w:firstLine="567"/>
        <w:rPr>
          <w:b/>
          <w:lang w:val="fr-FR"/>
        </w:rPr>
      </w:pPr>
      <w:r w:rsidRPr="00D73BD7">
        <w:rPr>
          <w:lang w:val="fr-FR"/>
        </w:rPr>
        <w:t>Comme suite aux procédures</w:t>
      </w:r>
      <w:r w:rsidR="00046EBC">
        <w:rPr>
          <w:lang w:val="fr-FR"/>
        </w:rPr>
        <w:t xml:space="preserve"> </w:t>
      </w:r>
      <w:r w:rsidRPr="00D73BD7">
        <w:rPr>
          <w:lang w:val="fr-FR"/>
        </w:rPr>
        <w:t>spéciales pendant la période de la COVID-19, qu’il avait adoptées le 6</w:t>
      </w:r>
      <w:r w:rsidR="004F667C">
        <w:rPr>
          <w:lang w:val="fr-FR"/>
        </w:rPr>
        <w:t> </w:t>
      </w:r>
      <w:r w:rsidRPr="00D73BD7">
        <w:rPr>
          <w:lang w:val="fr-FR"/>
        </w:rPr>
        <w:t>avril 2020, le Comité exécutif</w:t>
      </w:r>
      <w:r>
        <w:rPr>
          <w:lang w:val="fr-FR"/>
        </w:rPr>
        <w:t> :</w:t>
      </w:r>
    </w:p>
    <w:p w:rsidR="00D73BD7" w:rsidRPr="00D73BD7" w:rsidRDefault="00D73BD7" w:rsidP="00D73BD7">
      <w:pPr>
        <w:pStyle w:val="SingleTxtG"/>
        <w:rPr>
          <w:b/>
          <w:lang w:val="fr-FR"/>
        </w:rPr>
      </w:pPr>
      <w:r w:rsidRPr="00D73BD7">
        <w:rPr>
          <w:lang w:val="fr-FR"/>
        </w:rPr>
        <w:t>1.</w:t>
      </w:r>
      <w:r w:rsidRPr="00D73BD7">
        <w:rPr>
          <w:lang w:val="fr-FR"/>
        </w:rPr>
        <w:tab/>
        <w:t>Note que le Bureau du Comité des transports intérieurs (CTI) de la CEE a décidé d’approuver l’organisation, lorsque les présidents des organes subsidiaires du CTI l’estiment nécessaire, de discussions informelles de ces organes pendant la période d’application des procédures spéciales, pour permettre l’examen de points d’une importance cruciale pour la continuité des travaux dans les circonstances exceptionnelles dues à la pandémie de COVID</w:t>
      </w:r>
      <w:r w:rsidR="004F667C">
        <w:rPr>
          <w:lang w:val="fr-FR"/>
        </w:rPr>
        <w:noBreakHyphen/>
      </w:r>
      <w:r w:rsidRPr="00D73BD7">
        <w:rPr>
          <w:lang w:val="fr-FR"/>
        </w:rPr>
        <w:t>19</w:t>
      </w:r>
      <w:r>
        <w:rPr>
          <w:lang w:val="fr-FR"/>
        </w:rPr>
        <w:t> ;</w:t>
      </w:r>
    </w:p>
    <w:p w:rsidR="00D73BD7" w:rsidRPr="00D73BD7" w:rsidRDefault="00D73BD7" w:rsidP="00D73BD7">
      <w:pPr>
        <w:pStyle w:val="SingleTxtG"/>
        <w:rPr>
          <w:b/>
          <w:lang w:val="fr-FR"/>
        </w:rPr>
      </w:pPr>
      <w:r w:rsidRPr="00D73BD7">
        <w:rPr>
          <w:lang w:val="fr-FR"/>
        </w:rPr>
        <w:t>2.</w:t>
      </w:r>
      <w:r w:rsidRPr="00D73BD7">
        <w:rPr>
          <w:lang w:val="fr-FR"/>
        </w:rPr>
        <w:tab/>
        <w:t xml:space="preserve">Autorise les présidents des organes subsidiaires concernés à diffuser à leurs membres des recommandations sur les décisions concernant des questions essentielles à leurs activités et résultant des discussions informelles, par l’intermédiaire des Missions permanentes à Genève, dans le cadre d’une procédure d’approbation tacite d’au moins </w:t>
      </w:r>
      <w:r w:rsidR="004F667C">
        <w:rPr>
          <w:lang w:val="fr-FR"/>
        </w:rPr>
        <w:t xml:space="preserve">soixante-douze </w:t>
      </w:r>
      <w:r w:rsidRPr="00D73BD7">
        <w:rPr>
          <w:lang w:val="fr-FR"/>
        </w:rPr>
        <w:t>heures et conformément à l’article 44 du Mandat et Règlement intérieur de la CEE, figurant dans le document E/ECE/778/Rev.5</w:t>
      </w:r>
      <w:r>
        <w:rPr>
          <w:lang w:val="fr-FR"/>
        </w:rPr>
        <w:t> ;</w:t>
      </w:r>
    </w:p>
    <w:p w:rsidR="00D73BD7" w:rsidRPr="00D73BD7" w:rsidRDefault="00D73BD7" w:rsidP="00D73BD7">
      <w:pPr>
        <w:pStyle w:val="SingleTxtG"/>
        <w:rPr>
          <w:lang w:val="fr-FR"/>
        </w:rPr>
      </w:pPr>
      <w:r w:rsidRPr="00D73BD7">
        <w:rPr>
          <w:lang w:val="fr-FR"/>
        </w:rPr>
        <w:t>3.</w:t>
      </w:r>
      <w:r w:rsidRPr="00D73BD7">
        <w:rPr>
          <w:lang w:val="fr-FR"/>
        </w:rPr>
        <w:tab/>
        <w:t>Note que si le silence n’est pas rompu ces recommandations seront considérées comme adoptées, puis soumises au CTI pour examen à de sa quatre-vingt-troisième session, selon qu’il sera utile.</w:t>
      </w:r>
    </w:p>
    <w:p w:rsidR="00D73BD7" w:rsidRPr="00D73BD7" w:rsidRDefault="00D73BD7" w:rsidP="00D73BD7">
      <w:pPr>
        <w:suppressAutoHyphens w:val="0"/>
        <w:spacing w:line="240" w:lineRule="auto"/>
        <w:rPr>
          <w:b/>
          <w:sz w:val="28"/>
          <w:u w:val="single"/>
          <w:lang w:val="fr-FR"/>
        </w:rPr>
      </w:pPr>
      <w:r w:rsidRPr="00D73BD7">
        <w:rPr>
          <w:u w:val="single"/>
          <w:lang w:val="fr-FR"/>
        </w:rPr>
        <w:br w:type="page"/>
      </w:r>
    </w:p>
    <w:p w:rsidR="00D73BD7" w:rsidRPr="00D73BD7" w:rsidRDefault="00D73BD7" w:rsidP="00D73BD7">
      <w:pPr>
        <w:pStyle w:val="HChG"/>
        <w:rPr>
          <w:lang w:val="fr-FR"/>
        </w:rPr>
      </w:pPr>
      <w:r w:rsidRPr="00D73BD7">
        <w:rPr>
          <w:lang w:val="fr-FR"/>
        </w:rPr>
        <w:lastRenderedPageBreak/>
        <w:t>Annexe II</w:t>
      </w:r>
    </w:p>
    <w:p w:rsidR="00D73BD7" w:rsidRPr="00D73BD7" w:rsidRDefault="00D73BD7" w:rsidP="00D73BD7">
      <w:pPr>
        <w:pStyle w:val="HChG"/>
        <w:rPr>
          <w:lang w:val="fr-FR"/>
        </w:rPr>
      </w:pPr>
      <w:r w:rsidRPr="00D73BD7">
        <w:rPr>
          <w:lang w:val="fr-FR"/>
        </w:rPr>
        <w:tab/>
      </w:r>
      <w:r w:rsidRPr="00D73BD7">
        <w:rPr>
          <w:lang w:val="fr-FR"/>
        </w:rPr>
        <w:tab/>
        <w:t>Les différentes phases de l’ajustement du programme de</w:t>
      </w:r>
      <w:r w:rsidR="004F667C">
        <w:rPr>
          <w:lang w:val="fr-FR"/>
        </w:rPr>
        <w:t> </w:t>
      </w:r>
      <w:r w:rsidRPr="00D73BD7">
        <w:rPr>
          <w:lang w:val="fr-FR"/>
        </w:rPr>
        <w:t>travail du sous-programme Transports pour 2020 en</w:t>
      </w:r>
      <w:r w:rsidR="004F667C">
        <w:rPr>
          <w:lang w:val="fr-FR"/>
        </w:rPr>
        <w:t> </w:t>
      </w:r>
      <w:r w:rsidRPr="00D73BD7">
        <w:rPr>
          <w:lang w:val="fr-FR"/>
        </w:rPr>
        <w:t>raison de circonstances constituant un cas de</w:t>
      </w:r>
      <w:r w:rsidR="004F667C">
        <w:rPr>
          <w:lang w:val="fr-FR"/>
        </w:rPr>
        <w:t> </w:t>
      </w:r>
      <w:r w:rsidRPr="00D73BD7">
        <w:rPr>
          <w:lang w:val="fr-FR"/>
        </w:rPr>
        <w:t>force</w:t>
      </w:r>
      <w:r w:rsidR="004F667C">
        <w:rPr>
          <w:lang w:val="fr-FR"/>
        </w:rPr>
        <w:t> </w:t>
      </w:r>
      <w:r w:rsidRPr="00D73BD7">
        <w:rPr>
          <w:lang w:val="fr-FR"/>
        </w:rPr>
        <w:t>majeure</w:t>
      </w:r>
    </w:p>
    <w:p w:rsidR="00D73BD7" w:rsidRPr="00D73BD7" w:rsidRDefault="00D73BD7" w:rsidP="00D73BD7">
      <w:pPr>
        <w:pStyle w:val="HChG"/>
        <w:rPr>
          <w:lang w:val="fr-FR"/>
        </w:rPr>
      </w:pPr>
      <w:r w:rsidRPr="00D73BD7">
        <w:rPr>
          <w:lang w:val="fr-FR"/>
        </w:rPr>
        <w:tab/>
      </w:r>
      <w:r w:rsidRPr="00D73BD7">
        <w:rPr>
          <w:lang w:val="fr-FR"/>
        </w:rPr>
        <w:tab/>
        <w:t>Phase I (mars à juin 2020)</w:t>
      </w:r>
    </w:p>
    <w:p w:rsidR="00D73BD7" w:rsidRPr="00D73BD7" w:rsidRDefault="00D73BD7" w:rsidP="00D73BD7">
      <w:pPr>
        <w:pStyle w:val="SingleTxtG"/>
        <w:rPr>
          <w:lang w:val="fr-FR"/>
        </w:rPr>
      </w:pPr>
      <w:r w:rsidRPr="00D73BD7">
        <w:rPr>
          <w:lang w:val="fr-FR"/>
        </w:rPr>
        <w:t>1.</w:t>
      </w:r>
      <w:r w:rsidRPr="00D73BD7">
        <w:rPr>
          <w:lang w:val="fr-FR"/>
        </w:rPr>
        <w:tab/>
        <w:t>La déclaration du 16</w:t>
      </w:r>
      <w:r w:rsidR="004F667C">
        <w:rPr>
          <w:lang w:val="fr-FR"/>
        </w:rPr>
        <w:t> </w:t>
      </w:r>
      <w:r w:rsidRPr="00D73BD7">
        <w:rPr>
          <w:lang w:val="fr-FR"/>
        </w:rPr>
        <w:t>mars 2020 par laquelle les autorités suisses ont fait état d’une « situation extraordinaire »</w:t>
      </w:r>
      <w:r w:rsidR="004F667C">
        <w:rPr>
          <w:lang w:val="fr-FR"/>
        </w:rPr>
        <w:t xml:space="preserve"> </w:t>
      </w:r>
      <w:r w:rsidRPr="00D73BD7">
        <w:rPr>
          <w:lang w:val="fr-FR"/>
        </w:rPr>
        <w:t xml:space="preserve">au niveau national en raison du nombre croissant de cas de coronavirus dans le pays a interdit toutes les manifestations publiques et privées, toutes les réunions internationales et tous les autres services fournis par le secrétariat des Nations Unies, notamment par la CEE. Si le </w:t>
      </w:r>
      <w:r w:rsidR="00CE67F1" w:rsidRPr="00D73BD7">
        <w:rPr>
          <w:lang w:val="fr-FR"/>
        </w:rPr>
        <w:t xml:space="preserve">Gouvernement </w:t>
      </w:r>
      <w:r w:rsidRPr="00D73BD7">
        <w:rPr>
          <w:lang w:val="fr-FR"/>
        </w:rPr>
        <w:t>du pays hôte a, le 27</w:t>
      </w:r>
      <w:r w:rsidR="004F667C">
        <w:rPr>
          <w:lang w:val="fr-FR"/>
        </w:rPr>
        <w:t> </w:t>
      </w:r>
      <w:r w:rsidRPr="00D73BD7">
        <w:rPr>
          <w:lang w:val="fr-FR"/>
        </w:rPr>
        <w:t>mai, décidé d’alléger de façon généralisée, à compter du 6</w:t>
      </w:r>
      <w:r w:rsidR="004F667C">
        <w:rPr>
          <w:lang w:val="fr-FR"/>
        </w:rPr>
        <w:t> </w:t>
      </w:r>
      <w:r w:rsidRPr="00D73BD7">
        <w:rPr>
          <w:lang w:val="fr-FR"/>
        </w:rPr>
        <w:t>juin, les mesures qu’il avait prises, le retard considérable accusé dans la tenue des réunions et la restriction des déplacements imposée partout dans le monde ont amené les services de conférence de l’ONUG à interdire à la CEE d’organiser des réunions pendant cette période.</w:t>
      </w:r>
    </w:p>
    <w:p w:rsidR="00D73BD7" w:rsidRPr="00D73BD7" w:rsidRDefault="00D73BD7" w:rsidP="00D73BD7">
      <w:pPr>
        <w:pStyle w:val="HChG"/>
        <w:rPr>
          <w:lang w:val="fr-FR"/>
        </w:rPr>
      </w:pPr>
      <w:r w:rsidRPr="00D73BD7">
        <w:rPr>
          <w:lang w:val="fr-FR"/>
        </w:rPr>
        <w:tab/>
      </w:r>
      <w:r w:rsidRPr="00D73BD7">
        <w:rPr>
          <w:lang w:val="fr-FR"/>
        </w:rPr>
        <w:tab/>
        <w:t>Phase II (juillet à août 2020)</w:t>
      </w:r>
    </w:p>
    <w:p w:rsidR="00D73BD7" w:rsidRPr="00D73BD7" w:rsidRDefault="00D73BD7" w:rsidP="00D73BD7">
      <w:pPr>
        <w:pStyle w:val="SingleTxtG"/>
        <w:rPr>
          <w:lang w:val="fr-FR"/>
        </w:rPr>
      </w:pPr>
      <w:r w:rsidRPr="00D73BD7">
        <w:rPr>
          <w:lang w:val="fr-FR"/>
        </w:rPr>
        <w:t>2.</w:t>
      </w:r>
      <w:r w:rsidRPr="00D73BD7">
        <w:rPr>
          <w:lang w:val="fr-FR"/>
        </w:rPr>
        <w:tab/>
        <w:t>Malgré la levée de la « situation extraordinaire » en Suisse à compter du 6</w:t>
      </w:r>
      <w:r w:rsidR="00CE67F1">
        <w:rPr>
          <w:lang w:val="fr-FR"/>
        </w:rPr>
        <w:t> </w:t>
      </w:r>
      <w:r w:rsidRPr="00D73BD7">
        <w:rPr>
          <w:lang w:val="fr-FR"/>
        </w:rPr>
        <w:t>juin, le retard considérable accusé dans la tenue des réunions et la restriction des déplacements imposée partout dans le monde se sont répercutés sur la capacité des services de l’ONUG chargés de la gestion des conférences et, par extension, du secrétariat de la CEE, d’exécuter l’ensemble des travaux du sous-programme Transports. Suite à l’adoption, par le Comité exécutif, de décisions relatives à la procédure d’approbation tacite des organes du CTI, certaines réunions ont été organisées selon les modalités d’organisation prescrites, ou en tant que réunions hybrides limitées, ce qui a eu des conséquences négatives importantes, à savoir</w:t>
      </w:r>
      <w:r>
        <w:rPr>
          <w:lang w:val="fr-FR"/>
        </w:rPr>
        <w:t> :</w:t>
      </w:r>
      <w:r w:rsidRPr="00D73BD7">
        <w:rPr>
          <w:lang w:val="fr-FR"/>
        </w:rPr>
        <w:t xml:space="preserve"> le raccourcissement des réunions et des ordres du jour</w:t>
      </w:r>
      <w:r>
        <w:rPr>
          <w:lang w:val="fr-FR"/>
        </w:rPr>
        <w:t> ;</w:t>
      </w:r>
      <w:r w:rsidRPr="00D73BD7">
        <w:rPr>
          <w:lang w:val="fr-FR"/>
        </w:rPr>
        <w:t xml:space="preserve"> la limitation des décisions aux seules questions essentielles</w:t>
      </w:r>
      <w:r>
        <w:rPr>
          <w:lang w:val="fr-FR"/>
        </w:rPr>
        <w:t> ;</w:t>
      </w:r>
      <w:r w:rsidRPr="00D73BD7">
        <w:rPr>
          <w:lang w:val="fr-FR"/>
        </w:rPr>
        <w:t xml:space="preserve"> la limitation de la portée planétaire de réunions importantes, même tenues en ligne, du fait des effets conjugués de la restriction des déplacements et, pour les réunions en ligne ou les réunions hybrides, des différences de fuseaux horaires</w:t>
      </w:r>
      <w:r>
        <w:rPr>
          <w:lang w:val="fr-FR"/>
        </w:rPr>
        <w:t> ;</w:t>
      </w:r>
      <w:r w:rsidRPr="00D73BD7">
        <w:rPr>
          <w:lang w:val="fr-FR"/>
        </w:rPr>
        <w:t xml:space="preserve"> </w:t>
      </w:r>
      <w:bookmarkStart w:id="2" w:name="_GoBack"/>
      <w:bookmarkEnd w:id="2"/>
      <w:r w:rsidRPr="00D73BD7">
        <w:rPr>
          <w:lang w:val="fr-FR"/>
        </w:rPr>
        <w:t>de sérieux retards dans la mise à jour des instruments juridiques</w:t>
      </w:r>
      <w:r>
        <w:rPr>
          <w:lang w:val="fr-FR"/>
        </w:rPr>
        <w:t> ;</w:t>
      </w:r>
      <w:r w:rsidRPr="00D73BD7">
        <w:rPr>
          <w:lang w:val="fr-FR"/>
        </w:rPr>
        <w:t xml:space="preserve"> un appauvrissement considérable des débats entre États membres en raison des restrictions applicables aux réunions</w:t>
      </w:r>
      <w:r>
        <w:rPr>
          <w:lang w:val="fr-FR"/>
        </w:rPr>
        <w:t> ;</w:t>
      </w:r>
      <w:r w:rsidRPr="00D73BD7">
        <w:rPr>
          <w:lang w:val="fr-FR"/>
        </w:rPr>
        <w:t xml:space="preserve"> une baisse spectaculaire du nombre de documents produits et soumis par les États membres, qui s’explique par la réduction importante du nombre de réunions et des services d’appui aux</w:t>
      </w:r>
      <w:r w:rsidR="004F667C">
        <w:rPr>
          <w:lang w:val="fr-FR"/>
        </w:rPr>
        <w:t> </w:t>
      </w:r>
      <w:r w:rsidRPr="00D73BD7">
        <w:rPr>
          <w:lang w:val="fr-FR"/>
        </w:rPr>
        <w:t>réunions.</w:t>
      </w:r>
    </w:p>
    <w:p w:rsidR="00D73BD7" w:rsidRPr="00D73BD7" w:rsidRDefault="00D73BD7" w:rsidP="00D73BD7">
      <w:pPr>
        <w:pStyle w:val="HChG"/>
        <w:rPr>
          <w:lang w:val="fr-FR"/>
        </w:rPr>
      </w:pPr>
      <w:r w:rsidRPr="00D73BD7">
        <w:rPr>
          <w:lang w:val="fr-FR"/>
        </w:rPr>
        <w:tab/>
      </w:r>
      <w:r w:rsidRPr="00D73BD7">
        <w:rPr>
          <w:lang w:val="fr-FR"/>
        </w:rPr>
        <w:tab/>
        <w:t>Phase III (août à décembre 2020)</w:t>
      </w:r>
    </w:p>
    <w:p w:rsidR="00D73BD7" w:rsidRPr="0070029B" w:rsidRDefault="00D73BD7" w:rsidP="00D73BD7">
      <w:pPr>
        <w:pStyle w:val="SingleTxtG"/>
        <w:rPr>
          <w:lang w:val="fr-FR"/>
        </w:rPr>
      </w:pPr>
      <w:r w:rsidRPr="00D73BD7">
        <w:rPr>
          <w:lang w:val="fr-FR"/>
        </w:rPr>
        <w:t>3.</w:t>
      </w:r>
      <w:r w:rsidRPr="00D73BD7">
        <w:rPr>
          <w:lang w:val="fr-FR"/>
        </w:rPr>
        <w:tab/>
        <w:t>En raison des mesures d’atténuation des effets de la COVID-19, de la crise de liquidités et des contraintes imposées par le Plan stratégique patrimonial, la Division de la gestion des conférences de l’Office des Nations Unies à Genève n’a pu offrir à la CEE que des services de réunions considérablement réduits (une réunion par jour et deux heures par séance pour une réunion hybride au lieu de trois réunions par jour et de trois heures par séance), ce qui a entraîné l’annulation, le report et le raccourcissement d’autres réunions ainsi que le déclassement de certaines en réunions informelles. Sur le plan de la programmation, suite à la reconduction, par le Comité exécutif, des mesures relatives à la procédure d’approbation tacite concernant les comités sectoriels de la CEE, notamment les organes du CTI, certaines réunions ont continué d’être organisées selon ces dispositions, ou en tant que réunions hybrides limitées, ce qui a eu des conséquences négatives importantes, à savoir</w:t>
      </w:r>
      <w:r>
        <w:rPr>
          <w:lang w:val="fr-FR"/>
        </w:rPr>
        <w:t> :</w:t>
      </w:r>
      <w:r w:rsidRPr="00D73BD7">
        <w:rPr>
          <w:lang w:val="fr-FR"/>
        </w:rPr>
        <w:t xml:space="preserve"> le raccourcissement des réunions et des ordres du jour</w:t>
      </w:r>
      <w:r>
        <w:rPr>
          <w:lang w:val="fr-FR"/>
        </w:rPr>
        <w:t> ;</w:t>
      </w:r>
      <w:r w:rsidRPr="00D73BD7">
        <w:rPr>
          <w:lang w:val="fr-FR"/>
        </w:rPr>
        <w:t xml:space="preserve"> la limitation des décisions aux seules questions essentielles pour le fonctionnement de ces organes (budget, etc.)</w:t>
      </w:r>
      <w:r>
        <w:rPr>
          <w:lang w:val="fr-FR"/>
        </w:rPr>
        <w:t> ;</w:t>
      </w:r>
      <w:r w:rsidRPr="00D73BD7">
        <w:rPr>
          <w:lang w:val="fr-FR"/>
        </w:rPr>
        <w:t xml:space="preserve"> la limitation de la portée planétaire de réunions importantes, même tenues en ligne, du fait des effets </w:t>
      </w:r>
      <w:r w:rsidRPr="00D73BD7">
        <w:rPr>
          <w:lang w:val="fr-FR"/>
        </w:rPr>
        <w:lastRenderedPageBreak/>
        <w:t>conjugués de la restriction des déplacements et, pour les réunions en ligne ou les réunions hybrides, des différences de fuseaux horaires</w:t>
      </w:r>
      <w:r>
        <w:rPr>
          <w:lang w:val="fr-FR"/>
        </w:rPr>
        <w:t> ;</w:t>
      </w:r>
      <w:r w:rsidRPr="00D73BD7">
        <w:rPr>
          <w:lang w:val="fr-FR"/>
        </w:rPr>
        <w:t xml:space="preserve"> de sérieux retards dans la mise à jour des instruments juridiques</w:t>
      </w:r>
      <w:r>
        <w:rPr>
          <w:lang w:val="fr-FR"/>
        </w:rPr>
        <w:t> ;</w:t>
      </w:r>
      <w:r w:rsidRPr="00D73BD7">
        <w:rPr>
          <w:lang w:val="fr-FR"/>
        </w:rPr>
        <w:t xml:space="preserve"> un appauvrissement considérable des débats entre États membres en raison des restrictions applicables aux réunions</w:t>
      </w:r>
      <w:r>
        <w:rPr>
          <w:lang w:val="fr-FR"/>
        </w:rPr>
        <w:t> ;</w:t>
      </w:r>
      <w:r w:rsidRPr="00D73BD7">
        <w:rPr>
          <w:lang w:val="fr-FR"/>
        </w:rPr>
        <w:t xml:space="preserve"> une baisse spectaculaire du nombre de documents produits et soumis par les États membres, qui s’explique par la diminution importante du nombre de réunions et des services d’appui aux réunions. La procédure d’approbation tacite en tant que telle n’est pas prévue pour les documents de session, et le secrétariat doit traduire la liste des décisions en trois langues en interne ou de manière informelle, ce qui lui demande d’autant plus d’efforts qu’il ne s’agit pas de son domaine de compétence professionnelle.</w:t>
      </w:r>
    </w:p>
    <w:p w:rsidR="00F9573C" w:rsidRPr="00D73BD7" w:rsidRDefault="00D73BD7" w:rsidP="00D73BD7">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F9573C" w:rsidRPr="00D73BD7" w:rsidSect="00E3585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2EE" w:rsidRDefault="001952EE" w:rsidP="00F95C08">
      <w:pPr>
        <w:spacing w:line="240" w:lineRule="auto"/>
      </w:pPr>
    </w:p>
  </w:endnote>
  <w:endnote w:type="continuationSeparator" w:id="0">
    <w:p w:rsidR="001952EE" w:rsidRPr="00AC3823" w:rsidRDefault="001952EE" w:rsidP="00AC3823">
      <w:pPr>
        <w:pStyle w:val="Pieddepage"/>
      </w:pPr>
    </w:p>
  </w:endnote>
  <w:endnote w:type="continuationNotice" w:id="1">
    <w:p w:rsidR="001952EE" w:rsidRDefault="001952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2EE" w:rsidRPr="00E35850" w:rsidRDefault="001952EE" w:rsidP="00E35850">
    <w:pPr>
      <w:pStyle w:val="Pieddepage"/>
      <w:tabs>
        <w:tab w:val="right" w:pos="9638"/>
      </w:tabs>
    </w:pPr>
    <w:r w:rsidRPr="00E35850">
      <w:rPr>
        <w:b/>
        <w:sz w:val="18"/>
      </w:rPr>
      <w:fldChar w:fldCharType="begin"/>
    </w:r>
    <w:r w:rsidRPr="00E35850">
      <w:rPr>
        <w:b/>
        <w:sz w:val="18"/>
      </w:rPr>
      <w:instrText xml:space="preserve"> PAGE  \* MERGEFORMAT </w:instrText>
    </w:r>
    <w:r w:rsidRPr="00E35850">
      <w:rPr>
        <w:b/>
        <w:sz w:val="18"/>
      </w:rPr>
      <w:fldChar w:fldCharType="separate"/>
    </w:r>
    <w:r w:rsidRPr="00E35850">
      <w:rPr>
        <w:b/>
        <w:noProof/>
        <w:sz w:val="18"/>
      </w:rPr>
      <w:t>2</w:t>
    </w:r>
    <w:r w:rsidRPr="00E35850">
      <w:rPr>
        <w:b/>
        <w:sz w:val="18"/>
      </w:rPr>
      <w:fldChar w:fldCharType="end"/>
    </w:r>
    <w:r>
      <w:rPr>
        <w:b/>
        <w:sz w:val="18"/>
      </w:rPr>
      <w:tab/>
    </w:r>
    <w:r>
      <w:t>GE.21-00016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2EE" w:rsidRPr="00E35850" w:rsidRDefault="001952EE" w:rsidP="00E35850">
    <w:pPr>
      <w:pStyle w:val="Pieddepage"/>
      <w:tabs>
        <w:tab w:val="right" w:pos="9638"/>
      </w:tabs>
      <w:rPr>
        <w:b/>
        <w:sz w:val="18"/>
      </w:rPr>
    </w:pPr>
    <w:r>
      <w:t>GE.21-00016</w:t>
    </w:r>
    <w:r>
      <w:tab/>
    </w:r>
    <w:r w:rsidRPr="00E35850">
      <w:rPr>
        <w:b/>
        <w:sz w:val="18"/>
      </w:rPr>
      <w:fldChar w:fldCharType="begin"/>
    </w:r>
    <w:r w:rsidRPr="00E35850">
      <w:rPr>
        <w:b/>
        <w:sz w:val="18"/>
      </w:rPr>
      <w:instrText xml:space="preserve"> PAGE  \* MERGEFORMAT </w:instrText>
    </w:r>
    <w:r w:rsidRPr="00E35850">
      <w:rPr>
        <w:b/>
        <w:sz w:val="18"/>
      </w:rPr>
      <w:fldChar w:fldCharType="separate"/>
    </w:r>
    <w:r w:rsidRPr="00E35850">
      <w:rPr>
        <w:b/>
        <w:noProof/>
        <w:sz w:val="18"/>
      </w:rPr>
      <w:t>3</w:t>
    </w:r>
    <w:r w:rsidRPr="00E3585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2EE" w:rsidRPr="00E35850" w:rsidRDefault="001952EE" w:rsidP="00E35850">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21-00016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190121    190121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2EE" w:rsidRPr="00AC3823" w:rsidRDefault="001952EE" w:rsidP="00AC3823">
      <w:pPr>
        <w:pStyle w:val="Pieddepage"/>
        <w:tabs>
          <w:tab w:val="right" w:pos="2155"/>
        </w:tabs>
        <w:spacing w:after="80" w:line="240" w:lineRule="atLeast"/>
        <w:ind w:left="680"/>
        <w:rPr>
          <w:u w:val="single"/>
        </w:rPr>
      </w:pPr>
      <w:r>
        <w:rPr>
          <w:u w:val="single"/>
        </w:rPr>
        <w:tab/>
      </w:r>
    </w:p>
  </w:footnote>
  <w:footnote w:type="continuationSeparator" w:id="0">
    <w:p w:rsidR="001952EE" w:rsidRPr="00AC3823" w:rsidRDefault="001952EE" w:rsidP="00AC3823">
      <w:pPr>
        <w:pStyle w:val="Pieddepage"/>
        <w:tabs>
          <w:tab w:val="right" w:pos="2155"/>
        </w:tabs>
        <w:spacing w:after="80" w:line="240" w:lineRule="atLeast"/>
        <w:ind w:left="680"/>
        <w:rPr>
          <w:u w:val="single"/>
        </w:rPr>
      </w:pPr>
      <w:r>
        <w:rPr>
          <w:u w:val="single"/>
        </w:rPr>
        <w:tab/>
      </w:r>
    </w:p>
  </w:footnote>
  <w:footnote w:type="continuationNotice" w:id="1">
    <w:p w:rsidR="001952EE" w:rsidRPr="00AC3823" w:rsidRDefault="001952EE">
      <w:pPr>
        <w:spacing w:line="240" w:lineRule="auto"/>
        <w:rPr>
          <w:sz w:val="2"/>
          <w:szCs w:val="2"/>
        </w:rPr>
      </w:pPr>
    </w:p>
  </w:footnote>
  <w:footnote w:id="2">
    <w:p w:rsidR="001952EE" w:rsidRPr="0070029B" w:rsidRDefault="001952EE" w:rsidP="00D73BD7">
      <w:pPr>
        <w:pStyle w:val="Notedebasdepage"/>
        <w:rPr>
          <w:lang w:val="fr-FR"/>
        </w:rPr>
      </w:pPr>
      <w:r w:rsidRPr="00D73BD7">
        <w:rPr>
          <w:sz w:val="20"/>
          <w:lang w:val="fr-FR"/>
        </w:rPr>
        <w:tab/>
        <w:t>*</w:t>
      </w:r>
      <w:r w:rsidRPr="00D73BD7">
        <w:rPr>
          <w:sz w:val="20"/>
          <w:lang w:val="fr-FR"/>
        </w:rPr>
        <w:tab/>
      </w:r>
      <w:r>
        <w:rPr>
          <w:lang w:val="fr-FR"/>
        </w:rPr>
        <w:t>Il a été convenu que le présent document serait publié après la date normale de publication en raison de circonstances indépendantes de la volonté du soumetteur.</w:t>
      </w:r>
    </w:p>
  </w:footnote>
  <w:footnote w:id="3">
    <w:p w:rsidR="001952EE" w:rsidRPr="0070029B" w:rsidRDefault="001952EE" w:rsidP="00D73BD7">
      <w:pPr>
        <w:pStyle w:val="Notedebasdepage"/>
        <w:rPr>
          <w:lang w:val="fr-FR"/>
        </w:rPr>
      </w:pPr>
      <w:r>
        <w:rPr>
          <w:lang w:val="fr-FR"/>
        </w:rPr>
        <w:tab/>
      </w:r>
      <w:r w:rsidRPr="007B6C4C">
        <w:rPr>
          <w:rStyle w:val="Appelnotedebasdep"/>
        </w:rPr>
        <w:footnoteRef/>
      </w:r>
      <w:r>
        <w:rPr>
          <w:lang w:val="fr-FR"/>
        </w:rPr>
        <w:tab/>
        <w:t>Informations correctes au moment de la préparation du tableau ; sous réserve de changements liés à</w:t>
      </w:r>
      <w:r w:rsidR="00EC6B98">
        <w:rPr>
          <w:lang w:val="fr-FR"/>
        </w:rPr>
        <w:t> </w:t>
      </w:r>
      <w:r>
        <w:rPr>
          <w:lang w:val="fr-FR"/>
        </w:rPr>
        <w:t>l'évolution de la situation.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2EE" w:rsidRPr="00E35850" w:rsidRDefault="001952EE">
    <w:pPr>
      <w:pStyle w:val="En-tte"/>
    </w:pPr>
    <w:fldSimple w:instr=" TITLE  \* MERGEFORMAT ">
      <w:r>
        <w:t>ECE/TRANS/2021/5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2EE" w:rsidRPr="00E35850" w:rsidRDefault="001952EE" w:rsidP="00E35850">
    <w:pPr>
      <w:pStyle w:val="En-tte"/>
      <w:jc w:val="right"/>
    </w:pPr>
    <w:fldSimple w:instr=" TITLE  \* MERGEFORMAT ">
      <w:r>
        <w:t>ECE/TRANS/2021/5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354CBA"/>
    <w:multiLevelType w:val="hybridMultilevel"/>
    <w:tmpl w:val="95D2321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9"/>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7"/>
  </w:num>
  <w:num w:numId="16">
    <w:abstractNumId w:val="11"/>
  </w:num>
  <w:num w:numId="17">
    <w:abstractNumId w:val="15"/>
  </w:num>
  <w:num w:numId="18">
    <w:abstractNumId w:val="14"/>
  </w:num>
  <w:num w:numId="19">
    <w:abstractNumId w:val="10"/>
  </w:num>
  <w:num w:numId="20">
    <w:abstractNumId w:val="12"/>
  </w:num>
  <w:num w:numId="21">
    <w:abstractNumId w:val="16"/>
  </w:num>
  <w:num w:numId="22">
    <w:abstractNumId w:val="13"/>
  </w:num>
  <w:num w:numId="23">
    <w:abstractNumId w:val="18"/>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F7F"/>
    <w:rsid w:val="00017F94"/>
    <w:rsid w:val="00023842"/>
    <w:rsid w:val="000334F9"/>
    <w:rsid w:val="00045FEB"/>
    <w:rsid w:val="00046EBC"/>
    <w:rsid w:val="0007796D"/>
    <w:rsid w:val="00094937"/>
    <w:rsid w:val="000B7790"/>
    <w:rsid w:val="00111F2F"/>
    <w:rsid w:val="0014365E"/>
    <w:rsid w:val="00143C66"/>
    <w:rsid w:val="00176178"/>
    <w:rsid w:val="001952EE"/>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4F667C"/>
    <w:rsid w:val="005505B7"/>
    <w:rsid w:val="00573BE5"/>
    <w:rsid w:val="00586ED3"/>
    <w:rsid w:val="00596AA9"/>
    <w:rsid w:val="005F566F"/>
    <w:rsid w:val="00634A7D"/>
    <w:rsid w:val="0071601D"/>
    <w:rsid w:val="007A62E6"/>
    <w:rsid w:val="007B4F7F"/>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CE67F1"/>
    <w:rsid w:val="00D3439C"/>
    <w:rsid w:val="00D73BD7"/>
    <w:rsid w:val="00D7622E"/>
    <w:rsid w:val="00DB1831"/>
    <w:rsid w:val="00DD3BFD"/>
    <w:rsid w:val="00DF6678"/>
    <w:rsid w:val="00E0299A"/>
    <w:rsid w:val="00E35850"/>
    <w:rsid w:val="00E85C74"/>
    <w:rsid w:val="00EA6547"/>
    <w:rsid w:val="00EC6B98"/>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1E05A7"/>
  <w15:docId w15:val="{983ED460-B905-4847-BCB3-B365CAF0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D73BD7"/>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D73BD7"/>
    <w:rPr>
      <w:rFonts w:ascii="Times New Roman" w:eastAsiaTheme="minorHAnsi" w:hAnsi="Times New Roman" w:cs="Times New Roman"/>
      <w:sz w:val="20"/>
      <w:szCs w:val="20"/>
      <w:lang w:eastAsia="en-US"/>
    </w:rPr>
  </w:style>
  <w:style w:type="character" w:customStyle="1" w:styleId="H1GChar">
    <w:name w:val="_ H_1_G Char"/>
    <w:link w:val="H1G"/>
    <w:rsid w:val="00D73BD7"/>
    <w:rPr>
      <w:rFonts w:ascii="Times New Roman" w:eastAsiaTheme="minorHAnsi" w:hAnsi="Times New Roman" w:cs="Times New Roman"/>
      <w:b/>
      <w:sz w:val="24"/>
      <w:szCs w:val="20"/>
      <w:lang w:eastAsia="en-US"/>
    </w:rPr>
  </w:style>
  <w:style w:type="character" w:styleId="Mentionnonrsolue">
    <w:name w:val="Unresolved Mention"/>
    <w:basedOn w:val="Policepardfaut"/>
    <w:uiPriority w:val="99"/>
    <w:semiHidden/>
    <w:unhideWhenUsed/>
    <w:rsid w:val="005F5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fr/ECE/EX/2020/L.12"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10</Pages>
  <Words>3094</Words>
  <Characters>21661</Characters>
  <Application>Microsoft Office Word</Application>
  <DocSecurity>0</DocSecurity>
  <Lines>1805</Lines>
  <Paragraphs>990</Paragraphs>
  <ScaleCrop>false</ScaleCrop>
  <HeadingPairs>
    <vt:vector size="2" baseType="variant">
      <vt:variant>
        <vt:lpstr>Titre</vt:lpstr>
      </vt:variant>
      <vt:variant>
        <vt:i4>1</vt:i4>
      </vt:variant>
    </vt:vector>
  </HeadingPairs>
  <TitlesOfParts>
    <vt:vector size="1" baseType="lpstr">
      <vt:lpstr>ECE/TRANS/2021/5</vt:lpstr>
    </vt:vector>
  </TitlesOfParts>
  <Company>DCM</Company>
  <LinksUpToDate>false</LinksUpToDate>
  <CharactersWithSpaces>23765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ECE/TRANS/2021/5</dc:title>
  <dc:subject/>
  <dc:creator>Nicolas MORIN</dc:creator>
  <cp:keywords/>
  <cp:lastModifiedBy>Nicolas Morin</cp:lastModifiedBy>
  <cp:revision>2</cp:revision>
  <cp:lastPrinted>2014-05-14T10:59:00Z</cp:lastPrinted>
  <dcterms:created xsi:type="dcterms:W3CDTF">2021-01-19T10:03:00Z</dcterms:created>
  <dcterms:modified xsi:type="dcterms:W3CDTF">2021-01-19T10:03:00Z</dcterms:modified>
</cp:coreProperties>
</file>