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1DB3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24B851" w14:textId="77777777" w:rsidR="002D5AAC" w:rsidRDefault="002D5AAC" w:rsidP="004545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BFF3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DD6FFB" w14:textId="77777777" w:rsidR="002D5AAC" w:rsidRDefault="004545FF" w:rsidP="004545FF">
            <w:pPr>
              <w:jc w:val="right"/>
            </w:pPr>
            <w:r w:rsidRPr="004545FF">
              <w:rPr>
                <w:sz w:val="40"/>
              </w:rPr>
              <w:t>ECE</w:t>
            </w:r>
            <w:r>
              <w:t>/TRANS/2021/20</w:t>
            </w:r>
          </w:p>
        </w:tc>
      </w:tr>
      <w:tr w:rsidR="002D5AAC" w:rsidRPr="00A82389" w14:paraId="686AA1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80A0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1D639C" wp14:editId="188314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9AEC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A673118" w14:textId="77777777" w:rsidR="002D5AAC" w:rsidRDefault="004545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D31C45" w14:textId="77777777" w:rsidR="004545FF" w:rsidRDefault="004545FF" w:rsidP="00454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2020</w:t>
            </w:r>
          </w:p>
          <w:p w14:paraId="44F03F89" w14:textId="77777777" w:rsidR="004545FF" w:rsidRDefault="004545FF" w:rsidP="00454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C234A6" w14:textId="77777777" w:rsidR="004545FF" w:rsidRPr="008D53B6" w:rsidRDefault="004545FF" w:rsidP="004545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D17CA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A7B775" w14:textId="77777777" w:rsidR="004545FF" w:rsidRPr="007B4A8D" w:rsidRDefault="004545FF" w:rsidP="004545FF">
      <w:pPr>
        <w:spacing w:before="120"/>
        <w:rPr>
          <w:sz w:val="28"/>
          <w:szCs w:val="28"/>
        </w:rPr>
      </w:pPr>
      <w:r w:rsidRPr="007B4A8D">
        <w:rPr>
          <w:sz w:val="28"/>
          <w:szCs w:val="28"/>
        </w:rPr>
        <w:t>Комитет по внутреннему транспорту</w:t>
      </w:r>
    </w:p>
    <w:p w14:paraId="6535E476" w14:textId="77777777" w:rsidR="004545FF" w:rsidRPr="007B4A8D" w:rsidRDefault="004545FF" w:rsidP="004545FF">
      <w:pPr>
        <w:spacing w:before="120"/>
        <w:rPr>
          <w:b/>
          <w:bCs/>
        </w:rPr>
      </w:pPr>
      <w:r w:rsidRPr="007B4A8D">
        <w:rPr>
          <w:b/>
          <w:bCs/>
        </w:rPr>
        <w:t>Восемьдесят третья сессия</w:t>
      </w:r>
    </w:p>
    <w:p w14:paraId="5F8A5E5A" w14:textId="77777777" w:rsidR="004545FF" w:rsidRPr="007B4A8D" w:rsidRDefault="004545FF" w:rsidP="004545FF">
      <w:r w:rsidRPr="007B4A8D">
        <w:t xml:space="preserve">Женева, 23–26 февраля 2021 года </w:t>
      </w:r>
    </w:p>
    <w:p w14:paraId="5A529A94" w14:textId="77777777" w:rsidR="004545FF" w:rsidRPr="007B4A8D" w:rsidRDefault="004545FF" w:rsidP="004545FF">
      <w:r w:rsidRPr="007B4A8D">
        <w:t xml:space="preserve">Пункт 7 i) предварительной повестки дня </w:t>
      </w:r>
    </w:p>
    <w:p w14:paraId="2E011195" w14:textId="77777777" w:rsidR="00E12C5F" w:rsidRDefault="004545FF" w:rsidP="004545FF">
      <w:r w:rsidRPr="007B4A8D"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</w:r>
      <w:r w:rsidRPr="007B4A8D">
        <w:rPr>
          <w:b/>
          <w:bCs/>
        </w:rPr>
        <w:t xml:space="preserve">и </w:t>
      </w:r>
      <w:proofErr w:type="spellStart"/>
      <w:r w:rsidRPr="007B4A8D">
        <w:rPr>
          <w:b/>
          <w:bCs/>
        </w:rPr>
        <w:t>межсекторальной</w:t>
      </w:r>
      <w:proofErr w:type="spellEnd"/>
      <w:r w:rsidRPr="007B4A8D">
        <w:rPr>
          <w:b/>
          <w:bCs/>
        </w:rPr>
        <w:t xml:space="preserve"> политики или нормативного характера: </w:t>
      </w:r>
      <w:r>
        <w:rPr>
          <w:b/>
          <w:bCs/>
        </w:rPr>
        <w:br/>
      </w:r>
      <w:r w:rsidRPr="007B4A8D">
        <w:rPr>
          <w:b/>
          <w:bCs/>
        </w:rPr>
        <w:t>Согласование правил в области транспортных средств</w:t>
      </w:r>
    </w:p>
    <w:p w14:paraId="7A0C5798" w14:textId="77777777" w:rsidR="004545FF" w:rsidRPr="007B4A8D" w:rsidRDefault="004545FF" w:rsidP="004545FF">
      <w:pPr>
        <w:pStyle w:val="HChG"/>
      </w:pPr>
      <w:r w:rsidRPr="007B4A8D">
        <w:tab/>
      </w:r>
      <w:r w:rsidRPr="007B4A8D">
        <w:tab/>
        <w:t>Последние изменения в правилах в области транспортных средств</w:t>
      </w:r>
    </w:p>
    <w:p w14:paraId="46895396" w14:textId="77777777" w:rsidR="004545FF" w:rsidRDefault="004545FF" w:rsidP="004545FF">
      <w:pPr>
        <w:pStyle w:val="H1G"/>
      </w:pPr>
      <w:r w:rsidRPr="007B4A8D">
        <w:tab/>
      </w:r>
      <w:r w:rsidRPr="007B4A8D">
        <w:tab/>
        <w:t>Записка секретариата</w:t>
      </w:r>
      <w:r w:rsidRPr="004545F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545FF" w:rsidRPr="004545FF" w14:paraId="657D893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D587497" w14:textId="77777777" w:rsidR="004545FF" w:rsidRPr="004545FF" w:rsidRDefault="004545F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545FF">
              <w:rPr>
                <w:rFonts w:cs="Times New Roman"/>
              </w:rPr>
              <w:tab/>
            </w:r>
            <w:r w:rsidRPr="004545F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545FF" w:rsidRPr="004545FF" w14:paraId="17F76C3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C04E974" w14:textId="77777777" w:rsidR="004545FF" w:rsidRDefault="004545FF" w:rsidP="00D6488B">
            <w:pPr>
              <w:pStyle w:val="SingleTxtG"/>
            </w:pPr>
            <w:r w:rsidRPr="004545FF">
              <w:tab/>
              <w:t>Работа в рамках Всемирного форума для согласования правил в области транспортных средств (WP.29) по-прежнему направлена на укрепление безопасности транспортных средств и охраны окружающей среды, в результате чего появились многочисленные новые и были внесены поправки в уже существующие предписания и правила в области транспортных средств в рамках соглашений 1958, 1997 и 1998</w:t>
            </w:r>
            <w:r w:rsidR="00DB3FD5">
              <w:t> </w:t>
            </w:r>
            <w:r w:rsidRPr="004545FF">
              <w:t>годов.</w:t>
            </w:r>
          </w:p>
          <w:p w14:paraId="037CDA04" w14:textId="77777777" w:rsidR="004545FF" w:rsidRDefault="002B2C58" w:rsidP="00D6488B">
            <w:pPr>
              <w:pStyle w:val="SingleTxtG"/>
            </w:pPr>
            <w:r w:rsidRPr="002B2C58">
              <w:tab/>
              <w:t xml:space="preserve">К числу важных тем относятся разработка Рабочей группой по автоматизированным/автономным и подключенным транспортным средствам (GRVA) первого набора правил ООН, касающихся высокоавтоматизированных транспортных средств, база данных для обмена данными об официальном утверждении типа (ДЕТА) в Европейской экономической комиссии Организации Объединенных Наций </w:t>
            </w:r>
            <w:bookmarkStart w:id="0" w:name="_GoBack"/>
            <w:bookmarkEnd w:id="0"/>
            <w:r w:rsidRPr="002B2C58">
              <w:t>(ЕЭК), осуществление и дальнейшее развитие Соглашения 1998</w:t>
            </w:r>
            <w:r w:rsidR="00DB3FD5">
              <w:t> </w:t>
            </w:r>
            <w:r w:rsidRPr="002B2C58">
              <w:t>года и периодических технических осмотров (ПТИ) в рамках Соглашения 1997</w:t>
            </w:r>
            <w:r w:rsidR="00DB3FD5">
              <w:t> </w:t>
            </w:r>
            <w:r w:rsidRPr="002B2C58">
              <w:t>года.</w:t>
            </w:r>
          </w:p>
          <w:p w14:paraId="67C47AE1" w14:textId="77777777" w:rsidR="002B2C58" w:rsidRDefault="002B2C58" w:rsidP="00D6488B">
            <w:pPr>
              <w:pStyle w:val="SingleTxtG"/>
            </w:pPr>
            <w:r w:rsidRPr="002B2C58">
              <w:tab/>
              <w:t xml:space="preserve">Комитету по внутреннему транспорту (КВТ) </w:t>
            </w:r>
            <w:r w:rsidRPr="00A82389">
              <w:rPr>
                <w:b/>
                <w:bCs/>
              </w:rPr>
              <w:t>предлагается</w:t>
            </w:r>
            <w:r w:rsidRPr="002B2C58">
              <w:t>:</w:t>
            </w:r>
          </w:p>
          <w:p w14:paraId="77AB091D" w14:textId="77777777" w:rsidR="002B2C58" w:rsidRDefault="002B2C58" w:rsidP="002B2C58">
            <w:pPr>
              <w:pStyle w:val="Bullet1G"/>
            </w:pPr>
            <w:r w:rsidRPr="002B2C58">
              <w:tab/>
            </w:r>
            <w:r w:rsidRPr="002B2C58">
              <w:rPr>
                <w:b/>
                <w:bCs/>
              </w:rPr>
              <w:t>одобрить</w:t>
            </w:r>
            <w:r w:rsidRPr="002B2C58">
              <w:t xml:space="preserve"> перечисленные в документе виды деятельности;</w:t>
            </w:r>
          </w:p>
          <w:p w14:paraId="778995A4" w14:textId="77777777" w:rsidR="002B2C58" w:rsidRDefault="002B2C58" w:rsidP="002B2C58">
            <w:pPr>
              <w:pStyle w:val="Bullet1G"/>
            </w:pPr>
            <w:r w:rsidRPr="007B4A8D">
              <w:rPr>
                <w:b/>
                <w:bCs/>
              </w:rPr>
              <w:t>приветствовать</w:t>
            </w:r>
            <w:r w:rsidRPr="007B4A8D">
              <w:t xml:space="preserve"> разработку GRVA первого набора правил ООН, касающихся высокоавтоматизированных транспортных средств;</w:t>
            </w:r>
          </w:p>
          <w:p w14:paraId="743EBB5F" w14:textId="77777777" w:rsidR="002B2C58" w:rsidRDefault="002B2C58" w:rsidP="002B2C58">
            <w:pPr>
              <w:pStyle w:val="Bullet1G"/>
            </w:pPr>
            <w:r w:rsidRPr="007B4A8D">
              <w:rPr>
                <w:b/>
                <w:bCs/>
              </w:rPr>
              <w:t>принять к сведению</w:t>
            </w:r>
            <w:r w:rsidRPr="007B4A8D">
              <w:t xml:space="preserve"> ограничения в работе сессии WP.29 и его вспомогательных органов, обусловленные последствиями пандемии COVID-19 и финансовым кризисом Организации Объединенных Наций;</w:t>
            </w:r>
          </w:p>
          <w:p w14:paraId="25A72306" w14:textId="77777777" w:rsidR="002B2C58" w:rsidRPr="004545FF" w:rsidRDefault="002B2C58" w:rsidP="00DB3FD5">
            <w:pPr>
              <w:pStyle w:val="Bullet1G"/>
              <w:keepNext/>
              <w:keepLines/>
            </w:pPr>
            <w:r w:rsidRPr="002B2C58">
              <w:lastRenderedPageBreak/>
              <w:tab/>
            </w:r>
            <w:r w:rsidRPr="002B2C58">
              <w:rPr>
                <w:b/>
                <w:bCs/>
              </w:rPr>
              <w:t>поблагодарить</w:t>
            </w:r>
            <w:r w:rsidRPr="002B2C58">
              <w:t xml:space="preserve"> Германию за временное размещение ДЕТА и вновь подтвердить свою просьбу об устойчивом финансировании размещения ДЕТА в ЕЭК либо за счет средств из регулярного бюджета Организации Объединенных Наций, либо за счет добровольных взносов Договаривающихся сторон.</w:t>
            </w:r>
          </w:p>
        </w:tc>
      </w:tr>
      <w:tr w:rsidR="004545FF" w:rsidRPr="004545FF" w14:paraId="381F208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9FFDF1D" w14:textId="77777777" w:rsidR="004545FF" w:rsidRPr="004545FF" w:rsidRDefault="004545FF" w:rsidP="00850215">
            <w:pPr>
              <w:rPr>
                <w:rFonts w:cs="Times New Roman"/>
              </w:rPr>
            </w:pPr>
          </w:p>
        </w:tc>
      </w:tr>
    </w:tbl>
    <w:p w14:paraId="1D305980" w14:textId="77777777" w:rsidR="002B2C58" w:rsidRDefault="002B2C58" w:rsidP="004545FF">
      <w:pPr>
        <w:pStyle w:val="SingleTxtG"/>
      </w:pPr>
    </w:p>
    <w:p w14:paraId="62E657A5" w14:textId="77777777" w:rsidR="002B2C58" w:rsidRDefault="002B2C5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9BD2E1B" w14:textId="77777777" w:rsidR="002B2C58" w:rsidRPr="007B4A8D" w:rsidRDefault="002B2C58" w:rsidP="00DB3FD5">
      <w:pPr>
        <w:pStyle w:val="HChG"/>
      </w:pPr>
      <w:r w:rsidRPr="007B4A8D">
        <w:lastRenderedPageBreak/>
        <w:tab/>
      </w:r>
      <w:r w:rsidRPr="007B4A8D">
        <w:tab/>
        <w:t>Замечания общего порядка</w:t>
      </w:r>
    </w:p>
    <w:p w14:paraId="299EA17E" w14:textId="77777777" w:rsidR="002B2C58" w:rsidRPr="007B4A8D" w:rsidRDefault="002B2C58" w:rsidP="00DB3FD5">
      <w:pPr>
        <w:pStyle w:val="SingleTxtG"/>
      </w:pPr>
      <w:r w:rsidRPr="007B4A8D">
        <w:t>1.</w:t>
      </w:r>
      <w:r w:rsidRPr="007B4A8D">
        <w:tab/>
        <w:t>Пандемия COVID-19 и финансовый кризис Организации Объединенных Наций серьезным образом повлияли на работу WP.29 и его вспомогательных органов (РГ). После сессии WP.29 в марте 2020 года проведение очных совещаний стало невозможным, а предоставление услуг по обеспечению синхронного перевода для виртуальных совещаний началось только в конце июня 2020 года и в весьма ограниченном объеме. Кроме того, чтобы обеспечить участие делегатов со всех континентов, время проведения сессий пришлось ограничить началом второй половины дня. В частности, это привело к тому, что продолжительность сессии WP.29 в июне 2020 года была ограничена двумя часами, в связи с чем повестку дня пришлось сократить до необходимого минимума, с тем чтобы обеспечить возможность для принятия решений/голосования. Кроме того, Отдел обслуживания конференций ЮНОГ не обеспечил синхронный перевод ряда сессий РГ, из-за чего эти сессии не считаются официальными. Помимо этого, необходимость соблюдения процедур молчания, введенных Исполкомом, привела к увеличению административного бремени.</w:t>
      </w:r>
    </w:p>
    <w:p w14:paraId="45A636E4" w14:textId="77777777" w:rsidR="002B2C58" w:rsidRPr="007B4A8D" w:rsidRDefault="002B2C58" w:rsidP="00565955">
      <w:pPr>
        <w:pStyle w:val="HChG"/>
      </w:pPr>
      <w:r w:rsidRPr="007B4A8D">
        <w:tab/>
        <w:t>I.</w:t>
      </w:r>
      <w:r w:rsidRPr="007B4A8D">
        <w:tab/>
        <w:t>Автоматизация транспортных средств</w:t>
      </w:r>
    </w:p>
    <w:p w14:paraId="149493AF" w14:textId="77777777" w:rsidR="002B2C58" w:rsidRPr="007B4A8D" w:rsidRDefault="002B2C58" w:rsidP="002B2C58">
      <w:pPr>
        <w:pStyle w:val="SingleTxtG"/>
      </w:pPr>
      <w:r w:rsidRPr="007B4A8D">
        <w:t>2.</w:t>
      </w:r>
      <w:r w:rsidRPr="007B4A8D">
        <w:tab/>
        <w:t>После реструктуризации WP.29 в июне 2018 года в целях выполнения решения № 19 КВТ от 2018 года и создания Рабочей группы по автоматизированным/</w:t>
      </w:r>
      <w:r w:rsidR="00DB3FD5">
        <w:t xml:space="preserve"> </w:t>
      </w:r>
      <w:r w:rsidRPr="007B4A8D">
        <w:t>автономным и подключенным транспортным средствам (GRVA) Рамочный документ по автоматизированным/автономным транспортным средствам (ECE/TRANS/WP.29/</w:t>
      </w:r>
      <w:r w:rsidR="00DB3FD5">
        <w:t xml:space="preserve"> </w:t>
      </w:r>
      <w:r w:rsidRPr="007B4A8D">
        <w:t>2019/34/Rev.1), одобренный КВТ на его восемьдесят второй сессии, направляет работу в области автоматизированных транспортных средств.</w:t>
      </w:r>
    </w:p>
    <w:p w14:paraId="22F265A9" w14:textId="77777777" w:rsidR="002B2C58" w:rsidRPr="007B4A8D" w:rsidRDefault="002B2C58" w:rsidP="002B2C58">
      <w:pPr>
        <w:pStyle w:val="SingleTxtG"/>
      </w:pPr>
      <w:r w:rsidRPr="007B4A8D">
        <w:t>3.</w:t>
      </w:r>
      <w:r w:rsidRPr="007B4A8D">
        <w:tab/>
        <w:t>Первый набор правил ООН, касающихся автоматизированных транспортных средств, который был утвержден на сессии WP.29 в июне 2020 года, вступает в силу 22 января 2021 года. Эти новые правила ООН охватывают не только правила № 157 ООН, касающиеся автоматизированных систем удержания в пределах полосы движения (первое практическое применение автоматизации транспортных средств, соответствующей уровню 3 САЕ), но и разработанные на перспективу правила № 155 и № 156 ООН, касающиеся кибербезопасности и беспроводного обновления программного обеспечения соответственно. Новые правила ООН направлены на решение вопросов безопасности и надежности автоматизированных транспортных средств на основе применения положений, касающихся эксплуатационных характеристик и являющихся нейтральными в технологическом плане, которые отражают современный технологический уровень, но не ограничивают при этом будущие инновации.</w:t>
      </w:r>
    </w:p>
    <w:p w14:paraId="4832CA01" w14:textId="77777777" w:rsidR="002B2C58" w:rsidRPr="007B4A8D" w:rsidRDefault="002B2C58" w:rsidP="002B2C58">
      <w:pPr>
        <w:pStyle w:val="HChG"/>
        <w:rPr>
          <w:sz w:val="20"/>
        </w:rPr>
      </w:pPr>
      <w:r w:rsidRPr="007B4A8D">
        <w:tab/>
        <w:t>II.</w:t>
      </w:r>
      <w:r w:rsidRPr="007B4A8D">
        <w:tab/>
      </w:r>
      <w:r w:rsidRPr="007B4A8D">
        <w:rPr>
          <w:bCs/>
        </w:rPr>
        <w:t>Соглашение 1958 года</w:t>
      </w:r>
    </w:p>
    <w:p w14:paraId="5F7C5863" w14:textId="77777777" w:rsidR="002B2C58" w:rsidRPr="007B4A8D" w:rsidRDefault="002B2C58" w:rsidP="002B2C58">
      <w:pPr>
        <w:pStyle w:val="SingleTxtG"/>
      </w:pPr>
      <w:r w:rsidRPr="007B4A8D">
        <w:t>4.</w:t>
      </w:r>
      <w:r w:rsidRPr="007B4A8D">
        <w:tab/>
        <w:t xml:space="preserve">В дополнение к трем новым правилам ООН, касающимся автоматизированных транспортных средств (см. </w:t>
      </w:r>
      <w:r w:rsidR="00565955">
        <w:t>п.</w:t>
      </w:r>
      <w:r w:rsidRPr="007B4A8D">
        <w:t xml:space="preserve"> 3 выше), в 2020 году вступили в силу два новых свода правил ООН в области транспортных средств, которые направлены на улучшение показателей безопасности и экологических характеристик транспортных средств: </w:t>
      </w:r>
    </w:p>
    <w:p w14:paraId="4057A781" w14:textId="77777777" w:rsidR="002B2C58" w:rsidRPr="007B4A8D" w:rsidRDefault="002B2C58" w:rsidP="002B2C58">
      <w:pPr>
        <w:pStyle w:val="SingleTxtG"/>
        <w:ind w:firstLine="567"/>
      </w:pPr>
      <w:r w:rsidRPr="007B4A8D">
        <w:t>a)</w:t>
      </w:r>
      <w:r w:rsidRPr="007B4A8D">
        <w:tab/>
        <w:t>Правила № 153 ООН, касающиеся целостности топливной системы и безопасности электрического силового агрегата в случае удара сзади;</w:t>
      </w:r>
    </w:p>
    <w:p w14:paraId="7DC1DC06" w14:textId="77777777" w:rsidR="002B2C58" w:rsidRPr="007B4A8D" w:rsidRDefault="002B2C58" w:rsidP="002B2C58">
      <w:pPr>
        <w:pStyle w:val="SingleTxtG"/>
        <w:ind w:firstLine="567"/>
      </w:pPr>
      <w:r w:rsidRPr="007B4A8D">
        <w:t>b)</w:t>
      </w:r>
      <w:r w:rsidRPr="007B4A8D">
        <w:tab/>
        <w:t>Правила № 154 ООН, касающиеся всемирной согласованной процедуры испытания транспортных средств малой грузоподъемности (ВПИМ) от 22 января 2021</w:t>
      </w:r>
      <w:r w:rsidR="00565955">
        <w:t> </w:t>
      </w:r>
      <w:r w:rsidRPr="007B4A8D">
        <w:t>года.</w:t>
      </w:r>
    </w:p>
    <w:p w14:paraId="1122BC0E" w14:textId="77777777" w:rsidR="002B2C58" w:rsidRPr="007B4A8D" w:rsidRDefault="002B2C58" w:rsidP="002B2C58">
      <w:pPr>
        <w:pStyle w:val="SingleTxtG"/>
      </w:pPr>
      <w:r w:rsidRPr="007B4A8D">
        <w:t>5.</w:t>
      </w:r>
      <w:r w:rsidRPr="007B4A8D">
        <w:tab/>
        <w:t xml:space="preserve">В 2020 году WP.29 принял еще два свода новых правил ООН, направленных на защиту уязвимых участников дорожного движения. В уже действующие правила ООН были внесены 96 поправок, что позволило привести эти правила в соответствие с самыми последними техническими достижениями и включить в них более строгие </w:t>
      </w:r>
      <w:r w:rsidRPr="007B4A8D">
        <w:lastRenderedPageBreak/>
        <w:t>ограничения, нацеленные как на повышение безопасности транспортных средств, так и на улучшение их экологических характеристик. Новые Правила № 158 ООН, касающиеся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средства, и</w:t>
      </w:r>
      <w:r w:rsidR="00565955">
        <w:t> </w:t>
      </w:r>
      <w:r w:rsidRPr="007B4A8D">
        <w:t>новые Правила № 159 ООН, касающиеся системы предупреждения при трогании с места для обнаружения пешеходов и велосипедистов, были приняты на сессии WP.29 в ноябре 2020 года и вступят в силу в июне 2021 года.</w:t>
      </w:r>
    </w:p>
    <w:p w14:paraId="7C9531E2" w14:textId="77777777" w:rsidR="002B2C58" w:rsidRPr="007B4A8D" w:rsidRDefault="002B2C58" w:rsidP="002B2C58">
      <w:pPr>
        <w:pStyle w:val="SingleTxtG"/>
      </w:pPr>
      <w:r w:rsidRPr="007B4A8D">
        <w:t>6.</w:t>
      </w:r>
      <w:r w:rsidRPr="007B4A8D">
        <w:tab/>
        <w:t xml:space="preserve">Поскольку финансирование для размещения ДЕТА в ЕЭК не удалось обеспечить ни за счет средств из регулярного бюджета, ни за счет внебюджетных ресурсов, WP.29 выражает признательность Германии, которая в настоящее время на </w:t>
      </w:r>
      <w:proofErr w:type="spellStart"/>
      <w:r w:rsidRPr="007B4A8D">
        <w:t>врéменной</w:t>
      </w:r>
      <w:proofErr w:type="spellEnd"/>
      <w:r w:rsidRPr="007B4A8D">
        <w:t xml:space="preserve"> основе размещает у себя эту систему. WP.29 продолжит рассматривать вопрос о поиске возможных устойчивых решений для финансирования размещения ДЕТА.</w:t>
      </w:r>
    </w:p>
    <w:p w14:paraId="02A7B247" w14:textId="77777777" w:rsidR="002B2C58" w:rsidRPr="007B4A8D" w:rsidRDefault="002B2C58" w:rsidP="002B2C58">
      <w:pPr>
        <w:pStyle w:val="SingleTxtG"/>
      </w:pPr>
      <w:r w:rsidRPr="007B4A8D">
        <w:t>7.</w:t>
      </w:r>
      <w:r w:rsidRPr="007B4A8D">
        <w:tab/>
        <w:t xml:space="preserve">Что касается разработки дополнительных функций/модулей ДЕТА, то Международный комитет по техническому осмотру автотранспортных средств подтвердил готовность финансировать разработку модуля, посвященного декларации о соответствии. Отраслевые ассоциации </w:t>
      </w:r>
      <w:r w:rsidR="00565955">
        <w:t>—</w:t>
      </w:r>
      <w:r w:rsidRPr="007B4A8D">
        <w:t xml:space="preserve"> Международная организация предприятий автомобильной промышленности, Европейская ассоциация поставщиков автомобильных деталей и Европейская техническая организация по вопросам пневматических шин и ободьев колес </w:t>
      </w:r>
      <w:r w:rsidR="00565955">
        <w:t>—</w:t>
      </w:r>
      <w:r w:rsidRPr="007B4A8D">
        <w:t xml:space="preserve"> подтвердили свое намерение финансировать разработку модуля, касающегося индивидуального идентификатора, в рамках которого понадобится решить текущие договорные вопросы при возможном участии секретариата. </w:t>
      </w:r>
    </w:p>
    <w:p w14:paraId="766EF4FA" w14:textId="77777777" w:rsidR="002B2C58" w:rsidRPr="007B4A8D" w:rsidRDefault="002B2C58" w:rsidP="002B2C58">
      <w:pPr>
        <w:pStyle w:val="HChG"/>
        <w:rPr>
          <w:szCs w:val="24"/>
        </w:rPr>
      </w:pPr>
      <w:r w:rsidRPr="007B4A8D">
        <w:tab/>
        <w:t>III.</w:t>
      </w:r>
      <w:r w:rsidRPr="007B4A8D">
        <w:tab/>
      </w:r>
      <w:r w:rsidRPr="007B4A8D">
        <w:rPr>
          <w:bCs/>
        </w:rPr>
        <w:t>Соглашение 1997 года</w:t>
      </w:r>
    </w:p>
    <w:p w14:paraId="19B91AF4" w14:textId="77777777" w:rsidR="002B2C58" w:rsidRPr="007B4A8D" w:rsidRDefault="002B2C58" w:rsidP="002B2C58">
      <w:pPr>
        <w:pStyle w:val="SingleTxtG"/>
      </w:pPr>
      <w:r w:rsidRPr="007B4A8D">
        <w:t>8.</w:t>
      </w:r>
      <w:r w:rsidRPr="007B4A8D">
        <w:tab/>
        <w:t xml:space="preserve">На сто восемьдесят второй сессии WP.29 в резолюцию СР.6, касающуюся требований в отношении испытательного оборудования, квалификации и подготовки инспекторов, а также надзора за работой испытательных центров, были внесены поправки, связанные с включением элементов для обеспечения соблюдения положений, касающихся пригодности к эксплуатации и экологических характеристик транспортных средств, находящихся в эксплуатации, на основе руководящих принципов проведения технических осмотров на дорогах. </w:t>
      </w:r>
    </w:p>
    <w:p w14:paraId="6D4BBE0E" w14:textId="77777777" w:rsidR="002B2C58" w:rsidRPr="007B4A8D" w:rsidRDefault="002B2C58" w:rsidP="002B2C58">
      <w:pPr>
        <w:pStyle w:val="SingleTxtG"/>
      </w:pPr>
      <w:r w:rsidRPr="007B4A8D">
        <w:t>9.</w:t>
      </w:r>
      <w:r w:rsidRPr="007B4A8D">
        <w:tab/>
        <w:t>Эти руководящие принципы охватывают, в частности, инновационные подходы к выбору транспортных средств, подлежащих контролю на дорогах. Они могут распространяться на такие элементы, как дистанционное зондирование с целью определения загрязняющих веществ, температуры тормозов или нагрузки на ось, а</w:t>
      </w:r>
      <w:r w:rsidR="00565955">
        <w:t> </w:t>
      </w:r>
      <w:r w:rsidRPr="007B4A8D">
        <w:t>также такие интеллектуальные подходы, как составление профилей рисков операторов, и помогут снизить административную нагрузку и затраты как для операторов, имеющих хорошие показатели, так и для инспектирующих органов.</w:t>
      </w:r>
    </w:p>
    <w:p w14:paraId="0DC720DD" w14:textId="77777777" w:rsidR="002B2C58" w:rsidRPr="007B4A8D" w:rsidRDefault="002B2C58" w:rsidP="00565955">
      <w:pPr>
        <w:pStyle w:val="HChG"/>
        <w:rPr>
          <w:szCs w:val="24"/>
        </w:rPr>
      </w:pPr>
      <w:r w:rsidRPr="007B4A8D">
        <w:tab/>
        <w:t>IV.</w:t>
      </w:r>
      <w:r w:rsidRPr="007B4A8D">
        <w:tab/>
        <w:t>Соглашение 1998 года</w:t>
      </w:r>
    </w:p>
    <w:p w14:paraId="2B4488D7" w14:textId="77777777" w:rsidR="002B2C58" w:rsidRPr="007B4A8D" w:rsidRDefault="002B2C58" w:rsidP="002B2C58">
      <w:pPr>
        <w:pStyle w:val="SingleTxtG"/>
        <w:rPr>
          <w:rFonts w:asciiTheme="majorBidi" w:hAnsiTheme="majorBidi" w:cstheme="majorBidi"/>
        </w:rPr>
      </w:pPr>
      <w:r w:rsidRPr="007B4A8D">
        <w:t>10.</w:t>
      </w:r>
      <w:r w:rsidRPr="007B4A8D">
        <w:tab/>
        <w:t>В 2020 году WP.29 завершил многолетнюю работу над новыми Глобальными техническими правилами (ГТП ООН) № 21, касающимися определения мощности электрифицированных транспортных средств, которые были приняты Исполнительным комитетом Соглашения 1998 года на его сессии в ноябре 2020 года.</w:t>
      </w:r>
    </w:p>
    <w:p w14:paraId="7F426FAD" w14:textId="77777777" w:rsidR="002B2C58" w:rsidRPr="007B4A8D" w:rsidRDefault="002B2C58" w:rsidP="002B2C58">
      <w:pPr>
        <w:pStyle w:val="SingleTxtG"/>
        <w:rPr>
          <w:rFonts w:asciiTheme="majorBidi" w:hAnsiTheme="majorBidi" w:cstheme="majorBidi"/>
        </w:rPr>
      </w:pPr>
      <w:r w:rsidRPr="007B4A8D">
        <w:t>11.</w:t>
      </w:r>
      <w:r w:rsidRPr="007B4A8D">
        <w:tab/>
        <w:t xml:space="preserve">В течение 2020 года было принято восемь поправок к Глобальным техническим правилам № 3 (торможение мотоциклов), № 6 (безопасные </w:t>
      </w:r>
      <w:proofErr w:type="spellStart"/>
      <w:r w:rsidRPr="007B4A8D">
        <w:t>стекловые</w:t>
      </w:r>
      <w:proofErr w:type="spellEnd"/>
      <w:r w:rsidRPr="007B4A8D">
        <w:t xml:space="preserve"> материалы), №</w:t>
      </w:r>
      <w:r w:rsidR="00271F24">
        <w:t> </w:t>
      </w:r>
      <w:r w:rsidRPr="007B4A8D">
        <w:t>7</w:t>
      </w:r>
      <w:r w:rsidR="00271F24">
        <w:t> </w:t>
      </w:r>
      <w:r w:rsidRPr="007B4A8D">
        <w:t xml:space="preserve">(подголовники), № 15 (всемирная согласованная процедура испытания транспортных средств малой грузоподъемности), № 16 (шины), № 18 (бортовые диагностические (БД) системы для транспортных средств категории L) и </w:t>
      </w:r>
      <w:r w:rsidR="00271F24">
        <w:br/>
      </w:r>
      <w:r w:rsidRPr="007B4A8D">
        <w:t xml:space="preserve">№ 19 (испытания на выбросы в результате испарения в рамках всемирной согласованной процедуры испытания транспортных средств малой грузоподъемности). Это позволит привести ГТП ООН в соответствие с самыми </w:t>
      </w:r>
      <w:r w:rsidRPr="007B4A8D">
        <w:lastRenderedPageBreak/>
        <w:t xml:space="preserve">последними техническими достижениями и включить в них более строгие требования, нацеленные как на повышение безопасности транспортных средств, так и на улучшение их экологических характеристик. </w:t>
      </w:r>
    </w:p>
    <w:p w14:paraId="32C33C4E" w14:textId="77777777" w:rsidR="002B2C58" w:rsidRPr="007B4A8D" w:rsidRDefault="002B2C58" w:rsidP="00271F24">
      <w:pPr>
        <w:pStyle w:val="HChG"/>
      </w:pPr>
      <w:r w:rsidRPr="007B4A8D">
        <w:tab/>
        <w:t>V.</w:t>
      </w:r>
      <w:r w:rsidRPr="007B4A8D">
        <w:tab/>
        <w:t>Связь с Повесткой дня в области устойчивого развития на период до 2030 года</w:t>
      </w:r>
    </w:p>
    <w:p w14:paraId="06ED4AF1" w14:textId="77777777" w:rsidR="004545FF" w:rsidRDefault="002B2C58" w:rsidP="002B2C58">
      <w:pPr>
        <w:pStyle w:val="SingleTxtG"/>
      </w:pPr>
      <w:r w:rsidRPr="007B4A8D">
        <w:t>12.</w:t>
      </w:r>
      <w:r w:rsidRPr="007B4A8D">
        <w:tab/>
        <w:t>Присоединение к соглашениям Организации Объединенных Наций в области транспортных средств и соблюдение прилагаемых к ним правил ООН, предписаний ООН и ГТП ООН могут способствовать прогрессу в решении задач 3.6, 3.9, 7.3, 9.1, 11.2 и 13.2 целей в области устойчивого развития.</w:t>
      </w:r>
    </w:p>
    <w:p w14:paraId="5860A16B" w14:textId="77777777" w:rsidR="004545FF" w:rsidRPr="002B2C58" w:rsidRDefault="002B2C58" w:rsidP="002B2C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45FF" w:rsidRPr="002B2C58" w:rsidSect="004545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F81D" w14:textId="77777777" w:rsidR="004665A8" w:rsidRPr="00A312BC" w:rsidRDefault="004665A8" w:rsidP="00A312BC"/>
  </w:endnote>
  <w:endnote w:type="continuationSeparator" w:id="0">
    <w:p w14:paraId="7E9DACBB" w14:textId="77777777" w:rsidR="004665A8" w:rsidRPr="00A312BC" w:rsidRDefault="004665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8BAD" w14:textId="77777777" w:rsidR="004545FF" w:rsidRPr="004545FF" w:rsidRDefault="004545FF">
    <w:pPr>
      <w:pStyle w:val="a8"/>
    </w:pPr>
    <w:r w:rsidRPr="004545FF">
      <w:rPr>
        <w:b/>
        <w:sz w:val="18"/>
      </w:rPr>
      <w:fldChar w:fldCharType="begin"/>
    </w:r>
    <w:r w:rsidRPr="004545FF">
      <w:rPr>
        <w:b/>
        <w:sz w:val="18"/>
      </w:rPr>
      <w:instrText xml:space="preserve"> PAGE  \* MERGEFORMAT </w:instrText>
    </w:r>
    <w:r w:rsidRPr="004545FF">
      <w:rPr>
        <w:b/>
        <w:sz w:val="18"/>
      </w:rPr>
      <w:fldChar w:fldCharType="separate"/>
    </w:r>
    <w:r w:rsidRPr="004545FF">
      <w:rPr>
        <w:b/>
        <w:noProof/>
        <w:sz w:val="18"/>
      </w:rPr>
      <w:t>2</w:t>
    </w:r>
    <w:r w:rsidRPr="004545FF">
      <w:rPr>
        <w:b/>
        <w:sz w:val="18"/>
      </w:rPr>
      <w:fldChar w:fldCharType="end"/>
    </w:r>
    <w:r>
      <w:rPr>
        <w:b/>
        <w:sz w:val="18"/>
      </w:rPr>
      <w:tab/>
    </w:r>
    <w:r>
      <w:t>GE.20-17123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C0F1" w14:textId="77777777" w:rsidR="004545FF" w:rsidRPr="004545FF" w:rsidRDefault="004545FF" w:rsidP="004545FF">
    <w:pPr>
      <w:pStyle w:val="a8"/>
      <w:tabs>
        <w:tab w:val="clear" w:pos="9639"/>
        <w:tab w:val="right" w:pos="9638"/>
      </w:tabs>
      <w:rPr>
        <w:b/>
        <w:sz w:val="18"/>
      </w:rPr>
    </w:pPr>
    <w:r>
      <w:t>GE.20-17123</w:t>
    </w:r>
    <w:r>
      <w:tab/>
    </w:r>
    <w:r w:rsidRPr="004545FF">
      <w:rPr>
        <w:b/>
        <w:sz w:val="18"/>
      </w:rPr>
      <w:fldChar w:fldCharType="begin"/>
    </w:r>
    <w:r w:rsidRPr="004545FF">
      <w:rPr>
        <w:b/>
        <w:sz w:val="18"/>
      </w:rPr>
      <w:instrText xml:space="preserve"> PAGE  \* MERGEFORMAT </w:instrText>
    </w:r>
    <w:r w:rsidRPr="004545FF">
      <w:rPr>
        <w:b/>
        <w:sz w:val="18"/>
      </w:rPr>
      <w:fldChar w:fldCharType="separate"/>
    </w:r>
    <w:r w:rsidRPr="004545FF">
      <w:rPr>
        <w:b/>
        <w:noProof/>
        <w:sz w:val="18"/>
      </w:rPr>
      <w:t>3</w:t>
    </w:r>
    <w:r w:rsidRPr="004545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1661" w14:textId="77777777" w:rsidR="00042B72" w:rsidRPr="004545FF" w:rsidRDefault="004545FF" w:rsidP="004545F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5A71299" wp14:editId="55816E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17123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961A5B" wp14:editId="587DEE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F24">
      <w:t xml:space="preserve">  181220  211220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823F" w14:textId="77777777" w:rsidR="004665A8" w:rsidRPr="001075E9" w:rsidRDefault="004665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4409E6" w14:textId="77777777" w:rsidR="004665A8" w:rsidRDefault="004665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3FDF5A" w14:textId="77777777" w:rsidR="004545FF" w:rsidRPr="00887276" w:rsidRDefault="004545FF" w:rsidP="004545FF">
      <w:pPr>
        <w:pStyle w:val="ad"/>
      </w:pPr>
      <w:r>
        <w:tab/>
      </w:r>
      <w:r w:rsidRPr="004545FF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6AAB" w14:textId="5E764B65" w:rsidR="004545FF" w:rsidRPr="004545FF" w:rsidRDefault="00D14B15">
    <w:pPr>
      <w:pStyle w:val="a5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>
      <w:t>ECE/TRANS/2021/20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B8DE" w14:textId="138E8414" w:rsidR="004545FF" w:rsidRPr="004545FF" w:rsidRDefault="00D14B15" w:rsidP="004545F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A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F24"/>
    <w:rsid w:val="002A2EFC"/>
    <w:rsid w:val="002B0106"/>
    <w:rsid w:val="002B2C5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5FF"/>
    <w:rsid w:val="00454AF2"/>
    <w:rsid w:val="00454E07"/>
    <w:rsid w:val="004665A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5955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238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297"/>
    <w:rsid w:val="00CE5A1A"/>
    <w:rsid w:val="00CF2E38"/>
    <w:rsid w:val="00CF55F6"/>
    <w:rsid w:val="00D14B15"/>
    <w:rsid w:val="00D33D63"/>
    <w:rsid w:val="00D5253A"/>
    <w:rsid w:val="00D873A8"/>
    <w:rsid w:val="00D90028"/>
    <w:rsid w:val="00D90138"/>
    <w:rsid w:val="00D9145B"/>
    <w:rsid w:val="00DB3FD5"/>
    <w:rsid w:val="00DD78D1"/>
    <w:rsid w:val="00DE32CD"/>
    <w:rsid w:val="00DF5767"/>
    <w:rsid w:val="00DF71B9"/>
    <w:rsid w:val="00E12C5F"/>
    <w:rsid w:val="00E73F76"/>
    <w:rsid w:val="00E90AD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778A6"/>
  <w15:docId w15:val="{97E417E0-F517-4E74-9049-7A722D0A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545F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4545F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1112</Words>
  <Characters>8526</Characters>
  <Application>Microsoft Office Word</Application>
  <DocSecurity>0</DocSecurity>
  <Lines>947</Lines>
  <Paragraphs>401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ECE/TRANS/2021/20</vt:lpstr>
      <vt:lpstr>A/</vt:lpstr>
      <vt:lpstr>A/</vt:lpstr>
    </vt:vector>
  </TitlesOfParts>
  <Company>DCM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ECE/TRANS/2021/20</dc:title>
  <dc:subject/>
  <dc:creator>Marina KOROTKOVA</dc:creator>
  <cp:keywords/>
  <cp:lastModifiedBy>Marina KOROTKOVA</cp:lastModifiedBy>
  <cp:revision>3</cp:revision>
  <cp:lastPrinted>2020-12-21T10:35:00Z</cp:lastPrinted>
  <dcterms:created xsi:type="dcterms:W3CDTF">2020-12-21T10:35:00Z</dcterms:created>
  <dcterms:modified xsi:type="dcterms:W3CDTF">2020-12-21T10:36:00Z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