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B9CB6" w14:textId="77777777" w:rsidR="004F18D0" w:rsidRPr="00F75C47" w:rsidRDefault="004F18D0" w:rsidP="00364BE7">
      <w:pPr>
        <w:keepNext/>
        <w:keepLines/>
        <w:tabs>
          <w:tab w:val="right" w:pos="851"/>
          <w:tab w:val="left" w:pos="1701"/>
        </w:tabs>
        <w:suppressAutoHyphens/>
        <w:spacing w:before="360" w:after="240" w:line="300" w:lineRule="exact"/>
        <w:ind w:left="1134" w:right="1134"/>
        <w:jc w:val="center"/>
        <w:rPr>
          <w:rFonts w:asciiTheme="majorBidi" w:hAnsiTheme="majorBidi"/>
          <w:b/>
          <w:sz w:val="28"/>
        </w:rPr>
      </w:pPr>
      <w:bookmarkStart w:id="0" w:name="_GoBack"/>
      <w:r w:rsidRPr="00F75C47">
        <w:rPr>
          <w:rFonts w:asciiTheme="majorBidi" w:hAnsiTheme="majorBidi"/>
          <w:b/>
          <w:sz w:val="28"/>
        </w:rPr>
        <w:t>Draft f</w:t>
      </w:r>
      <w:r w:rsidRPr="00F75C47">
        <w:rPr>
          <w:rFonts w:asciiTheme="majorBidi" w:hAnsiTheme="majorBidi"/>
          <w:b/>
          <w:spacing w:val="-2"/>
          <w:sz w:val="28"/>
        </w:rPr>
        <w:t xml:space="preserve">indings and recommendations </w:t>
      </w:r>
      <w:proofErr w:type="gramStart"/>
      <w:r w:rsidRPr="00F75C47">
        <w:rPr>
          <w:rFonts w:asciiTheme="majorBidi" w:hAnsiTheme="majorBidi"/>
          <w:b/>
          <w:spacing w:val="-2"/>
          <w:sz w:val="28"/>
        </w:rPr>
        <w:t>with regard to</w:t>
      </w:r>
      <w:proofErr w:type="gramEnd"/>
      <w:r w:rsidRPr="00F75C47">
        <w:rPr>
          <w:rFonts w:asciiTheme="majorBidi" w:hAnsiTheme="majorBidi"/>
          <w:b/>
          <w:spacing w:val="-2"/>
          <w:sz w:val="28"/>
        </w:rPr>
        <w:t xml:space="preserve"> communication</w:t>
      </w:r>
      <w:r w:rsidRPr="00F75C47">
        <w:rPr>
          <w:rFonts w:asciiTheme="majorBidi" w:hAnsiTheme="majorBidi"/>
          <w:b/>
          <w:sz w:val="28"/>
        </w:rPr>
        <w:t xml:space="preserve"> ACCC/C/2015/128 concerning compliance by the European Union</w:t>
      </w:r>
    </w:p>
    <w:p w14:paraId="5EE7DD27" w14:textId="77777777" w:rsidR="004F18D0" w:rsidRPr="00F75C47" w:rsidRDefault="004F18D0" w:rsidP="00364BE7">
      <w:pPr>
        <w:keepNext/>
        <w:keepLines/>
        <w:tabs>
          <w:tab w:val="right" w:pos="851"/>
          <w:tab w:val="left" w:pos="1701"/>
        </w:tabs>
        <w:suppressAutoHyphens/>
        <w:spacing w:before="360" w:after="240" w:line="270" w:lineRule="exact"/>
        <w:ind w:left="1134" w:right="1134"/>
        <w:jc w:val="center"/>
        <w:rPr>
          <w:rFonts w:asciiTheme="majorBidi" w:hAnsiTheme="majorBidi"/>
          <w:b/>
          <w:sz w:val="28"/>
        </w:rPr>
      </w:pPr>
      <w:r w:rsidRPr="00F75C47">
        <w:rPr>
          <w:rFonts w:asciiTheme="majorBidi" w:hAnsiTheme="majorBidi"/>
          <w:b/>
          <w:sz w:val="28"/>
        </w:rPr>
        <w:t>Adopted by the Compliance Committee on …</w:t>
      </w:r>
    </w:p>
    <w:p w14:paraId="001BFA1D" w14:textId="77777777" w:rsidR="004F18D0" w:rsidRPr="00F75C47" w:rsidRDefault="004F18D0" w:rsidP="00364BE7">
      <w:pPr>
        <w:keepNext/>
        <w:keepLines/>
        <w:numPr>
          <w:ilvl w:val="0"/>
          <w:numId w:val="1"/>
        </w:numPr>
        <w:tabs>
          <w:tab w:val="right" w:pos="1134"/>
          <w:tab w:val="left" w:pos="1701"/>
        </w:tabs>
        <w:suppressAutoHyphens/>
        <w:spacing w:before="360" w:after="240" w:line="300" w:lineRule="exact"/>
        <w:ind w:left="1560" w:right="1134" w:firstLine="0"/>
        <w:rPr>
          <w:rFonts w:asciiTheme="majorBidi" w:hAnsiTheme="majorBidi"/>
          <w:b/>
          <w:sz w:val="24"/>
        </w:rPr>
      </w:pPr>
      <w:r w:rsidRPr="00F75C47">
        <w:rPr>
          <w:rFonts w:asciiTheme="majorBidi" w:hAnsiTheme="majorBidi"/>
          <w:b/>
          <w:sz w:val="24"/>
        </w:rPr>
        <w:t>Introduction</w:t>
      </w:r>
    </w:p>
    <w:p w14:paraId="4C56CEF3" w14:textId="3EA5ACD1" w:rsidR="004F18D0" w:rsidRPr="00F75C47" w:rsidRDefault="004F18D0" w:rsidP="007D18DC">
      <w:pPr>
        <w:numPr>
          <w:ilvl w:val="0"/>
          <w:numId w:val="2"/>
        </w:numPr>
        <w:tabs>
          <w:tab w:val="num" w:pos="1134"/>
          <w:tab w:val="left" w:pos="1701"/>
        </w:tabs>
        <w:suppressAutoHyphens/>
        <w:spacing w:after="120" w:line="240" w:lineRule="atLeast"/>
        <w:ind w:left="1134" w:right="521" w:firstLine="0"/>
        <w:jc w:val="both"/>
        <w:rPr>
          <w:rFonts w:asciiTheme="majorBidi" w:hAnsiTheme="majorBidi"/>
          <w:sz w:val="20"/>
        </w:rPr>
      </w:pPr>
      <w:r w:rsidRPr="00F75C47">
        <w:rPr>
          <w:rFonts w:asciiTheme="majorBidi" w:hAnsiTheme="majorBidi"/>
          <w:sz w:val="20"/>
        </w:rPr>
        <w:t xml:space="preserve">On 9 March 2015, non-governmental </w:t>
      </w:r>
      <w:r w:rsidR="0013549C" w:rsidRPr="00F75C47">
        <w:rPr>
          <w:rFonts w:asciiTheme="majorBidi" w:hAnsiTheme="majorBidi"/>
          <w:sz w:val="20"/>
        </w:rPr>
        <w:t xml:space="preserve">environmental </w:t>
      </w:r>
      <w:r w:rsidRPr="00F75C47">
        <w:rPr>
          <w:rFonts w:asciiTheme="majorBidi" w:hAnsiTheme="majorBidi"/>
          <w:sz w:val="20"/>
        </w:rPr>
        <w:t xml:space="preserve">organizations </w:t>
      </w:r>
      <w:r w:rsidR="0013549C" w:rsidRPr="00F75C47">
        <w:rPr>
          <w:rFonts w:asciiTheme="majorBidi" w:hAnsiTheme="majorBidi"/>
          <w:sz w:val="20"/>
        </w:rPr>
        <w:t xml:space="preserve">(NGOs) </w:t>
      </w:r>
      <w:r w:rsidRPr="00F75C47">
        <w:rPr>
          <w:rFonts w:asciiTheme="majorBidi" w:hAnsiTheme="majorBidi"/>
          <w:sz w:val="20"/>
        </w:rPr>
        <w:t>G</w:t>
      </w:r>
      <w:r w:rsidR="0013549C" w:rsidRPr="00F75C47">
        <w:rPr>
          <w:rFonts w:asciiTheme="majorBidi" w:hAnsiTheme="majorBidi"/>
          <w:sz w:val="20"/>
        </w:rPr>
        <w:t>LOBAL</w:t>
      </w:r>
      <w:r w:rsidRPr="00F75C47">
        <w:rPr>
          <w:rFonts w:asciiTheme="majorBidi" w:hAnsiTheme="majorBidi"/>
          <w:sz w:val="20"/>
        </w:rPr>
        <w:t xml:space="preserve"> 2000</w:t>
      </w:r>
      <w:r w:rsidR="0013549C" w:rsidRPr="00F75C47">
        <w:rPr>
          <w:rFonts w:asciiTheme="majorBidi" w:hAnsiTheme="majorBidi"/>
          <w:sz w:val="20"/>
        </w:rPr>
        <w:t xml:space="preserve"> </w:t>
      </w:r>
      <w:r w:rsidRPr="00F75C47">
        <w:rPr>
          <w:rFonts w:asciiTheme="majorBidi" w:hAnsiTheme="majorBidi"/>
          <w:sz w:val="20"/>
        </w:rPr>
        <w:t xml:space="preserve">and OEKOBUERO – Alliance of the Austrian Environmental Movement (the communicants) submitted a communication to the Compliance Committee </w:t>
      </w:r>
      <w:r w:rsidR="00AD7FF1" w:rsidRPr="00F75C47">
        <w:rPr>
          <w:rFonts w:asciiTheme="majorBidi" w:hAnsiTheme="majorBidi"/>
          <w:sz w:val="20"/>
        </w:rPr>
        <w:t xml:space="preserve">of </w:t>
      </w:r>
      <w:r w:rsidRPr="00F75C47">
        <w:rPr>
          <w:rFonts w:asciiTheme="majorBidi" w:hAnsiTheme="majorBidi"/>
          <w:sz w:val="20"/>
        </w:rPr>
        <w:t>the Convention on Access to Information Public Participation in Decision-making and Access to Justice in Environmental Matters (Aarhus Convention) alleging the failure of the European Union to comply with its obligations under the Convention.</w:t>
      </w:r>
    </w:p>
    <w:p w14:paraId="394E24C2" w14:textId="74E39AB9" w:rsidR="004F18D0" w:rsidRPr="00F75C47" w:rsidRDefault="004F18D0" w:rsidP="007D18DC">
      <w:pPr>
        <w:numPr>
          <w:ilvl w:val="0"/>
          <w:numId w:val="2"/>
        </w:numPr>
        <w:tabs>
          <w:tab w:val="num" w:pos="1134"/>
          <w:tab w:val="left" w:pos="1701"/>
        </w:tabs>
        <w:suppressAutoHyphens/>
        <w:spacing w:after="120" w:line="240" w:lineRule="atLeast"/>
        <w:ind w:left="1134" w:right="521" w:firstLine="0"/>
        <w:jc w:val="both"/>
        <w:rPr>
          <w:rFonts w:asciiTheme="majorBidi" w:hAnsiTheme="majorBidi"/>
          <w:sz w:val="20"/>
        </w:rPr>
      </w:pPr>
      <w:r w:rsidRPr="00F75C47">
        <w:rPr>
          <w:rFonts w:asciiTheme="majorBidi" w:hAnsiTheme="majorBidi"/>
          <w:sz w:val="20"/>
        </w:rPr>
        <w:t>Specifically, the communicants allege that the Party concerned fail</w:t>
      </w:r>
      <w:r w:rsidR="00B04341" w:rsidRPr="00F75C47">
        <w:rPr>
          <w:rFonts w:asciiTheme="majorBidi" w:hAnsiTheme="majorBidi"/>
          <w:sz w:val="20"/>
        </w:rPr>
        <w:t>s</w:t>
      </w:r>
      <w:r w:rsidRPr="00F75C47">
        <w:rPr>
          <w:rFonts w:asciiTheme="majorBidi" w:hAnsiTheme="majorBidi"/>
          <w:sz w:val="20"/>
        </w:rPr>
        <w:t xml:space="preserve"> to comply with article 9</w:t>
      </w:r>
      <w:r w:rsidR="0013549C" w:rsidRPr="00F75C47">
        <w:rPr>
          <w:rFonts w:asciiTheme="majorBidi" w:hAnsiTheme="majorBidi"/>
          <w:sz w:val="20"/>
        </w:rPr>
        <w:t>(</w:t>
      </w:r>
      <w:r w:rsidRPr="00F75C47">
        <w:rPr>
          <w:rFonts w:asciiTheme="majorBidi" w:hAnsiTheme="majorBidi"/>
          <w:sz w:val="20"/>
        </w:rPr>
        <w:t>3</w:t>
      </w:r>
      <w:r w:rsidR="0013549C" w:rsidRPr="00F75C47">
        <w:rPr>
          <w:rFonts w:asciiTheme="majorBidi" w:hAnsiTheme="majorBidi"/>
          <w:sz w:val="20"/>
        </w:rPr>
        <w:t>)</w:t>
      </w:r>
      <w:r w:rsidRPr="00F75C47">
        <w:rPr>
          <w:rFonts w:asciiTheme="majorBidi" w:hAnsiTheme="majorBidi"/>
          <w:sz w:val="20"/>
        </w:rPr>
        <w:t xml:space="preserve"> and </w:t>
      </w:r>
      <w:r w:rsidR="0013549C" w:rsidRPr="00F75C47">
        <w:rPr>
          <w:rFonts w:asciiTheme="majorBidi" w:hAnsiTheme="majorBidi"/>
          <w:sz w:val="20"/>
        </w:rPr>
        <w:t>(</w:t>
      </w:r>
      <w:r w:rsidRPr="00F75C47">
        <w:rPr>
          <w:rFonts w:asciiTheme="majorBidi" w:hAnsiTheme="majorBidi"/>
          <w:sz w:val="20"/>
        </w:rPr>
        <w:t>4</w:t>
      </w:r>
      <w:r w:rsidR="0013549C" w:rsidRPr="00F75C47">
        <w:rPr>
          <w:rFonts w:asciiTheme="majorBidi" w:hAnsiTheme="majorBidi"/>
          <w:sz w:val="20"/>
        </w:rPr>
        <w:t>)</w:t>
      </w:r>
      <w:r w:rsidRPr="00F75C47">
        <w:rPr>
          <w:rFonts w:asciiTheme="majorBidi" w:hAnsiTheme="majorBidi"/>
          <w:sz w:val="20"/>
        </w:rPr>
        <w:t xml:space="preserve"> of the Convention in connection with its alleged failure to provide access to justice in relation to </w:t>
      </w:r>
      <w:r w:rsidR="0013549C" w:rsidRPr="00F75C47">
        <w:rPr>
          <w:rFonts w:asciiTheme="majorBidi" w:hAnsiTheme="majorBidi"/>
          <w:sz w:val="20"/>
        </w:rPr>
        <w:t xml:space="preserve">state aid decisions and in particular for </w:t>
      </w:r>
      <w:r w:rsidRPr="00F75C47">
        <w:rPr>
          <w:rFonts w:asciiTheme="majorBidi" w:hAnsiTheme="majorBidi"/>
          <w:sz w:val="20"/>
        </w:rPr>
        <w:t>the approval of state aid for the nuclear power plant project, Hinkley Point C.</w:t>
      </w:r>
    </w:p>
    <w:p w14:paraId="05E4FE99" w14:textId="77777777" w:rsidR="004F18D0" w:rsidRPr="00F75C47" w:rsidRDefault="004F18D0" w:rsidP="000F2392">
      <w:pPr>
        <w:numPr>
          <w:ilvl w:val="0"/>
          <w:numId w:val="2"/>
        </w:numPr>
        <w:tabs>
          <w:tab w:val="num" w:pos="1134"/>
          <w:tab w:val="left" w:pos="1701"/>
        </w:tabs>
        <w:suppressAutoHyphens/>
        <w:spacing w:after="120" w:line="240" w:lineRule="atLeast"/>
        <w:ind w:left="1134" w:right="521" w:firstLine="0"/>
        <w:jc w:val="both"/>
        <w:rPr>
          <w:rFonts w:asciiTheme="majorBidi" w:hAnsiTheme="majorBidi"/>
          <w:sz w:val="20"/>
        </w:rPr>
      </w:pPr>
      <w:r w:rsidRPr="00F75C47">
        <w:rPr>
          <w:rFonts w:asciiTheme="majorBidi" w:hAnsiTheme="majorBidi"/>
          <w:sz w:val="20"/>
        </w:rPr>
        <w:t>On 20 May 2015, the communicants provided additional information.</w:t>
      </w:r>
    </w:p>
    <w:p w14:paraId="3D07D813" w14:textId="77777777" w:rsidR="004F18D0" w:rsidRPr="00F75C47" w:rsidRDefault="004F18D0" w:rsidP="000F2392">
      <w:pPr>
        <w:numPr>
          <w:ilvl w:val="0"/>
          <w:numId w:val="2"/>
        </w:numPr>
        <w:tabs>
          <w:tab w:val="num" w:pos="1134"/>
          <w:tab w:val="left" w:pos="1701"/>
        </w:tabs>
        <w:suppressAutoHyphens/>
        <w:spacing w:after="120" w:line="240" w:lineRule="atLeast"/>
        <w:ind w:left="1134" w:right="521" w:firstLine="0"/>
        <w:jc w:val="both"/>
        <w:rPr>
          <w:rFonts w:asciiTheme="majorBidi" w:hAnsiTheme="majorBidi"/>
          <w:sz w:val="20"/>
        </w:rPr>
      </w:pPr>
      <w:r w:rsidRPr="00F75C47">
        <w:rPr>
          <w:rFonts w:asciiTheme="majorBidi" w:hAnsiTheme="majorBidi"/>
          <w:sz w:val="20"/>
        </w:rPr>
        <w:t>On 29 June 2015, the United Kingdom, as an observer, submitted a statement on the preliminary admissibility of the communication.</w:t>
      </w:r>
    </w:p>
    <w:p w14:paraId="70F915FC" w14:textId="77777777" w:rsidR="004F18D0" w:rsidRPr="00F75C47" w:rsidRDefault="004F18D0" w:rsidP="000F2392">
      <w:pPr>
        <w:numPr>
          <w:ilvl w:val="0"/>
          <w:numId w:val="2"/>
        </w:numPr>
        <w:tabs>
          <w:tab w:val="num" w:pos="1134"/>
          <w:tab w:val="left" w:pos="1701"/>
        </w:tabs>
        <w:suppressAutoHyphens/>
        <w:spacing w:after="120" w:line="240" w:lineRule="atLeast"/>
        <w:ind w:left="1134" w:right="521" w:firstLine="0"/>
        <w:jc w:val="both"/>
        <w:rPr>
          <w:rFonts w:asciiTheme="majorBidi" w:hAnsiTheme="majorBidi"/>
          <w:sz w:val="20"/>
        </w:rPr>
      </w:pPr>
      <w:r w:rsidRPr="00F75C47">
        <w:rPr>
          <w:rFonts w:asciiTheme="majorBidi" w:hAnsiTheme="majorBidi"/>
          <w:sz w:val="20"/>
        </w:rPr>
        <w:t>At its forty-ninth meeting (Geneva, 30 June</w:t>
      </w:r>
      <w:r w:rsidR="0013549C" w:rsidRPr="00F75C47">
        <w:rPr>
          <w:rFonts w:asciiTheme="majorBidi" w:hAnsiTheme="majorBidi"/>
          <w:sz w:val="20"/>
        </w:rPr>
        <w:t>-</w:t>
      </w:r>
      <w:r w:rsidRPr="00F75C47">
        <w:rPr>
          <w:rFonts w:asciiTheme="majorBidi" w:hAnsiTheme="majorBidi"/>
          <w:sz w:val="20"/>
        </w:rPr>
        <w:t xml:space="preserve">3 July 2015), after </w:t>
      </w:r>
      <w:proofErr w:type="gramStart"/>
      <w:r w:rsidRPr="00F75C47">
        <w:rPr>
          <w:rFonts w:asciiTheme="majorBidi" w:hAnsiTheme="majorBidi"/>
          <w:sz w:val="20"/>
        </w:rPr>
        <w:t>taking into account</w:t>
      </w:r>
      <w:proofErr w:type="gramEnd"/>
      <w:r w:rsidRPr="00F75C47">
        <w:rPr>
          <w:rFonts w:asciiTheme="majorBidi" w:hAnsiTheme="majorBidi"/>
          <w:sz w:val="20"/>
        </w:rPr>
        <w:t xml:space="preserve"> the information received, the Committee determined on a preliminary basis that the communication was admissible.</w:t>
      </w:r>
    </w:p>
    <w:p w14:paraId="1ECD5085" w14:textId="77777777" w:rsidR="004F18D0" w:rsidRPr="00F75C47" w:rsidRDefault="004F18D0" w:rsidP="000F2392">
      <w:pPr>
        <w:numPr>
          <w:ilvl w:val="0"/>
          <w:numId w:val="2"/>
        </w:numPr>
        <w:tabs>
          <w:tab w:val="num" w:pos="1134"/>
          <w:tab w:val="left" w:pos="1701"/>
        </w:tabs>
        <w:suppressAutoHyphens/>
        <w:spacing w:after="120" w:line="240" w:lineRule="atLeast"/>
        <w:ind w:left="1134" w:right="521" w:firstLine="0"/>
        <w:jc w:val="both"/>
        <w:rPr>
          <w:rFonts w:asciiTheme="majorBidi" w:hAnsiTheme="majorBidi"/>
          <w:sz w:val="20"/>
        </w:rPr>
      </w:pPr>
      <w:r w:rsidRPr="00F75C47">
        <w:rPr>
          <w:rFonts w:asciiTheme="majorBidi" w:hAnsiTheme="majorBidi"/>
          <w:sz w:val="20"/>
        </w:rPr>
        <w:t xml:space="preserve">Pursuant to paragraph 22 of the annex to decision I/7 of the Meeting of the Parties to the Convention, the communication was forwarded to the Party concerned on 5 October 2015 for its response. </w:t>
      </w:r>
    </w:p>
    <w:p w14:paraId="4596CE6A" w14:textId="30D6B821" w:rsidR="004F18D0" w:rsidRPr="00F75C47" w:rsidRDefault="004F18D0" w:rsidP="000F2392">
      <w:pPr>
        <w:numPr>
          <w:ilvl w:val="0"/>
          <w:numId w:val="2"/>
        </w:numPr>
        <w:tabs>
          <w:tab w:val="num" w:pos="1134"/>
          <w:tab w:val="left" w:pos="1701"/>
        </w:tabs>
        <w:suppressAutoHyphens/>
        <w:spacing w:after="120" w:line="240" w:lineRule="atLeast"/>
        <w:ind w:left="1134" w:right="521" w:firstLine="0"/>
        <w:jc w:val="both"/>
        <w:rPr>
          <w:rFonts w:asciiTheme="majorBidi" w:hAnsiTheme="majorBidi"/>
          <w:sz w:val="20"/>
        </w:rPr>
      </w:pPr>
      <w:r w:rsidRPr="00F75C47">
        <w:rPr>
          <w:rFonts w:asciiTheme="majorBidi" w:hAnsiTheme="majorBidi"/>
          <w:sz w:val="20"/>
        </w:rPr>
        <w:t xml:space="preserve">At </w:t>
      </w:r>
      <w:r w:rsidR="0013549C" w:rsidRPr="00F75C47">
        <w:rPr>
          <w:rFonts w:asciiTheme="majorBidi" w:hAnsiTheme="majorBidi"/>
          <w:sz w:val="20"/>
        </w:rPr>
        <w:t>the Committee</w:t>
      </w:r>
      <w:r w:rsidR="00AB19CE" w:rsidRPr="00F75C47">
        <w:rPr>
          <w:rFonts w:asciiTheme="majorBidi" w:hAnsiTheme="majorBidi"/>
          <w:sz w:val="20"/>
        </w:rPr>
        <w:t>’</w:t>
      </w:r>
      <w:r w:rsidR="0013549C" w:rsidRPr="00F75C47">
        <w:rPr>
          <w:rFonts w:asciiTheme="majorBidi" w:hAnsiTheme="majorBidi"/>
          <w:sz w:val="20"/>
        </w:rPr>
        <w:t>s</w:t>
      </w:r>
      <w:r w:rsidRPr="00F75C47">
        <w:rPr>
          <w:rFonts w:asciiTheme="majorBidi" w:hAnsiTheme="majorBidi"/>
          <w:sz w:val="20"/>
        </w:rPr>
        <w:t xml:space="preserve"> fifty-first meeting (Geneva, 15</w:t>
      </w:r>
      <w:r w:rsidR="0013549C" w:rsidRPr="00F75C47">
        <w:rPr>
          <w:rFonts w:asciiTheme="majorBidi" w:hAnsiTheme="majorBidi"/>
          <w:sz w:val="20"/>
        </w:rPr>
        <w:t>-</w:t>
      </w:r>
      <w:r w:rsidRPr="00F75C47">
        <w:rPr>
          <w:rFonts w:asciiTheme="majorBidi" w:hAnsiTheme="majorBidi"/>
          <w:sz w:val="20"/>
        </w:rPr>
        <w:t xml:space="preserve">18 December 2015), the Party concerned informed the Committee that it had not received the secretariat’s letter of </w:t>
      </w:r>
      <w:r w:rsidR="00B04341" w:rsidRPr="00F75C47">
        <w:rPr>
          <w:rFonts w:asciiTheme="majorBidi" w:hAnsiTheme="majorBidi"/>
          <w:sz w:val="20"/>
        </w:rPr>
        <w:br/>
      </w:r>
      <w:r w:rsidRPr="00F75C47">
        <w:rPr>
          <w:rFonts w:asciiTheme="majorBidi" w:hAnsiTheme="majorBidi"/>
          <w:sz w:val="20"/>
        </w:rPr>
        <w:t xml:space="preserve">5 October 2015 and the communication was therefore re-forwarded for its response on </w:t>
      </w:r>
      <w:r w:rsidR="00B04341" w:rsidRPr="00F75C47">
        <w:rPr>
          <w:rFonts w:asciiTheme="majorBidi" w:hAnsiTheme="majorBidi"/>
          <w:sz w:val="20"/>
        </w:rPr>
        <w:br/>
      </w:r>
      <w:r w:rsidRPr="00F75C47">
        <w:rPr>
          <w:rFonts w:asciiTheme="majorBidi" w:hAnsiTheme="majorBidi"/>
          <w:sz w:val="20"/>
        </w:rPr>
        <w:t>22 December 2015.</w:t>
      </w:r>
    </w:p>
    <w:p w14:paraId="45799904" w14:textId="77777777" w:rsidR="004F18D0" w:rsidRPr="00F75C47" w:rsidRDefault="004F18D0" w:rsidP="000F2392">
      <w:pPr>
        <w:numPr>
          <w:ilvl w:val="0"/>
          <w:numId w:val="2"/>
        </w:numPr>
        <w:tabs>
          <w:tab w:val="num" w:pos="1134"/>
          <w:tab w:val="left" w:pos="1701"/>
        </w:tabs>
        <w:suppressAutoHyphens/>
        <w:spacing w:after="120" w:line="240" w:lineRule="atLeast"/>
        <w:ind w:left="1134" w:right="521" w:firstLine="0"/>
        <w:jc w:val="both"/>
        <w:rPr>
          <w:rFonts w:asciiTheme="majorBidi" w:hAnsiTheme="majorBidi"/>
          <w:sz w:val="20"/>
        </w:rPr>
      </w:pPr>
      <w:r w:rsidRPr="00F75C47">
        <w:rPr>
          <w:rFonts w:asciiTheme="majorBidi" w:hAnsiTheme="majorBidi"/>
          <w:sz w:val="20"/>
        </w:rPr>
        <w:t>The Party concerned provided its response to the communication on 20 May 2016.</w:t>
      </w:r>
    </w:p>
    <w:p w14:paraId="64F0067E" w14:textId="77777777" w:rsidR="004F18D0" w:rsidRPr="00F75C47" w:rsidRDefault="004F18D0" w:rsidP="000F2392">
      <w:pPr>
        <w:numPr>
          <w:ilvl w:val="0"/>
          <w:numId w:val="2"/>
        </w:numPr>
        <w:tabs>
          <w:tab w:val="num" w:pos="1134"/>
          <w:tab w:val="left" w:pos="1701"/>
        </w:tabs>
        <w:suppressAutoHyphens/>
        <w:spacing w:after="120" w:line="240" w:lineRule="atLeast"/>
        <w:ind w:left="1134" w:right="521" w:firstLine="0"/>
        <w:jc w:val="both"/>
        <w:rPr>
          <w:rFonts w:asciiTheme="majorBidi" w:hAnsiTheme="majorBidi"/>
          <w:sz w:val="20"/>
        </w:rPr>
      </w:pPr>
      <w:r w:rsidRPr="00F75C47">
        <w:rPr>
          <w:rFonts w:asciiTheme="majorBidi" w:hAnsiTheme="majorBidi"/>
          <w:sz w:val="20"/>
        </w:rPr>
        <w:t xml:space="preserve">On 19 July 2016, </w:t>
      </w:r>
      <w:r w:rsidR="0013549C" w:rsidRPr="00F75C47">
        <w:rPr>
          <w:rFonts w:asciiTheme="majorBidi" w:hAnsiTheme="majorBidi"/>
          <w:sz w:val="20"/>
        </w:rPr>
        <w:t>NGO</w:t>
      </w:r>
      <w:r w:rsidRPr="00F75C47">
        <w:rPr>
          <w:rFonts w:asciiTheme="majorBidi" w:hAnsiTheme="majorBidi"/>
          <w:sz w:val="20"/>
        </w:rPr>
        <w:t xml:space="preserve"> Friends of the Earth England, Wales &amp; Northern Ireland provided a statement on the communication as an observer.</w:t>
      </w:r>
    </w:p>
    <w:p w14:paraId="6735FA05" w14:textId="77777777" w:rsidR="004F18D0" w:rsidRPr="00F75C47" w:rsidRDefault="004F18D0" w:rsidP="000F2392">
      <w:pPr>
        <w:numPr>
          <w:ilvl w:val="0"/>
          <w:numId w:val="2"/>
        </w:numPr>
        <w:tabs>
          <w:tab w:val="num" w:pos="1134"/>
          <w:tab w:val="left" w:pos="1701"/>
        </w:tabs>
        <w:suppressAutoHyphens/>
        <w:spacing w:after="120" w:line="240" w:lineRule="atLeast"/>
        <w:ind w:left="1134" w:right="521" w:firstLine="0"/>
        <w:jc w:val="both"/>
        <w:rPr>
          <w:rFonts w:asciiTheme="majorBidi" w:hAnsiTheme="majorBidi"/>
          <w:sz w:val="20"/>
        </w:rPr>
      </w:pPr>
      <w:r w:rsidRPr="00F75C47">
        <w:rPr>
          <w:rFonts w:asciiTheme="majorBidi" w:hAnsiTheme="majorBidi"/>
          <w:sz w:val="20"/>
        </w:rPr>
        <w:t>On 7 September 2016, the communicants provided comments on the response of the Party concerned.</w:t>
      </w:r>
    </w:p>
    <w:p w14:paraId="1CC58163" w14:textId="77777777" w:rsidR="004F18D0" w:rsidRPr="00F75C47" w:rsidRDefault="004F18D0" w:rsidP="000F2392">
      <w:pPr>
        <w:numPr>
          <w:ilvl w:val="0"/>
          <w:numId w:val="2"/>
        </w:numPr>
        <w:tabs>
          <w:tab w:val="num" w:pos="1134"/>
          <w:tab w:val="left" w:pos="1701"/>
        </w:tabs>
        <w:suppressAutoHyphens/>
        <w:spacing w:after="120" w:line="240" w:lineRule="atLeast"/>
        <w:ind w:left="1134" w:right="521" w:firstLine="0"/>
        <w:jc w:val="both"/>
        <w:rPr>
          <w:rFonts w:asciiTheme="majorBidi" w:hAnsiTheme="majorBidi"/>
          <w:sz w:val="20"/>
        </w:rPr>
      </w:pPr>
      <w:r w:rsidRPr="00F75C47">
        <w:rPr>
          <w:rFonts w:asciiTheme="majorBidi" w:hAnsiTheme="majorBidi"/>
          <w:sz w:val="20"/>
        </w:rPr>
        <w:t xml:space="preserve">By letter of 18 November 2016, the Committee asked the communicants and the Party concerned for their views on whether they considered that a hearing would be needed </w:t>
      </w:r>
      <w:proofErr w:type="gramStart"/>
      <w:r w:rsidRPr="00F75C47">
        <w:rPr>
          <w:rFonts w:asciiTheme="majorBidi" w:hAnsiTheme="majorBidi"/>
          <w:sz w:val="20"/>
        </w:rPr>
        <w:t>with regard to</w:t>
      </w:r>
      <w:proofErr w:type="gramEnd"/>
      <w:r w:rsidRPr="00F75C47">
        <w:rPr>
          <w:rFonts w:asciiTheme="majorBidi" w:hAnsiTheme="majorBidi"/>
          <w:sz w:val="20"/>
        </w:rPr>
        <w:t xml:space="preserve"> the communication.</w:t>
      </w:r>
    </w:p>
    <w:p w14:paraId="60017832" w14:textId="77777777" w:rsidR="004F18D0" w:rsidRPr="00F75C47" w:rsidRDefault="004F18D0" w:rsidP="000F2392">
      <w:pPr>
        <w:numPr>
          <w:ilvl w:val="0"/>
          <w:numId w:val="2"/>
        </w:numPr>
        <w:tabs>
          <w:tab w:val="num" w:pos="1134"/>
          <w:tab w:val="left" w:pos="1701"/>
        </w:tabs>
        <w:suppressAutoHyphens/>
        <w:spacing w:after="120" w:line="240" w:lineRule="atLeast"/>
        <w:ind w:left="1134" w:right="521" w:firstLine="0"/>
        <w:jc w:val="both"/>
        <w:rPr>
          <w:rFonts w:asciiTheme="majorBidi" w:hAnsiTheme="majorBidi"/>
          <w:sz w:val="20"/>
        </w:rPr>
      </w:pPr>
      <w:r w:rsidRPr="00F75C47">
        <w:rPr>
          <w:rFonts w:asciiTheme="majorBidi" w:hAnsiTheme="majorBidi"/>
          <w:sz w:val="20"/>
        </w:rPr>
        <w:t>By emails of 24 and 28 November 2016, both the communicants and the Party concerned stated that they considered that a hearing would be needed.</w:t>
      </w:r>
    </w:p>
    <w:p w14:paraId="336D1013" w14:textId="77777777" w:rsidR="004F18D0" w:rsidRPr="00F75C47" w:rsidRDefault="004F18D0" w:rsidP="000F2392">
      <w:pPr>
        <w:numPr>
          <w:ilvl w:val="0"/>
          <w:numId w:val="2"/>
        </w:numPr>
        <w:tabs>
          <w:tab w:val="num" w:pos="1134"/>
          <w:tab w:val="left" w:pos="1701"/>
        </w:tabs>
        <w:suppressAutoHyphens/>
        <w:spacing w:after="120" w:line="240" w:lineRule="atLeast"/>
        <w:ind w:left="1134" w:right="521" w:firstLine="0"/>
        <w:jc w:val="both"/>
        <w:rPr>
          <w:rFonts w:asciiTheme="majorBidi" w:hAnsiTheme="majorBidi"/>
          <w:sz w:val="20"/>
        </w:rPr>
      </w:pPr>
      <w:r w:rsidRPr="00F75C47">
        <w:rPr>
          <w:rFonts w:asciiTheme="majorBidi" w:hAnsiTheme="majorBidi"/>
          <w:sz w:val="20"/>
        </w:rPr>
        <w:t>At its fifty-fifth meeting (Geneva, 6</w:t>
      </w:r>
      <w:r w:rsidR="0013549C" w:rsidRPr="00F75C47">
        <w:rPr>
          <w:rFonts w:asciiTheme="majorBidi" w:hAnsiTheme="majorBidi"/>
          <w:sz w:val="20"/>
        </w:rPr>
        <w:t>-</w:t>
      </w:r>
      <w:r w:rsidRPr="00F75C47">
        <w:rPr>
          <w:rFonts w:asciiTheme="majorBidi" w:hAnsiTheme="majorBidi"/>
          <w:sz w:val="20"/>
        </w:rPr>
        <w:t xml:space="preserve">9 December 2016), after </w:t>
      </w:r>
      <w:proofErr w:type="gramStart"/>
      <w:r w:rsidRPr="00F75C47">
        <w:rPr>
          <w:rFonts w:asciiTheme="majorBidi" w:hAnsiTheme="majorBidi"/>
          <w:sz w:val="20"/>
        </w:rPr>
        <w:t>taking into account</w:t>
      </w:r>
      <w:proofErr w:type="gramEnd"/>
      <w:r w:rsidRPr="00F75C47">
        <w:rPr>
          <w:rFonts w:asciiTheme="majorBidi" w:hAnsiTheme="majorBidi"/>
          <w:sz w:val="20"/>
        </w:rPr>
        <w:t xml:space="preserve"> the comments received</w:t>
      </w:r>
      <w:r w:rsidR="0013549C" w:rsidRPr="00F75C47">
        <w:rPr>
          <w:rFonts w:asciiTheme="majorBidi" w:hAnsiTheme="majorBidi"/>
          <w:sz w:val="20"/>
        </w:rPr>
        <w:t>,</w:t>
      </w:r>
      <w:r w:rsidRPr="00F75C47">
        <w:rPr>
          <w:rFonts w:asciiTheme="majorBidi" w:hAnsiTheme="majorBidi"/>
          <w:sz w:val="20"/>
        </w:rPr>
        <w:t xml:space="preserve"> the Committee decided that a hearing would be held to discuss the substance of the communication.</w:t>
      </w:r>
    </w:p>
    <w:p w14:paraId="3B78CA96" w14:textId="5E85FBBF" w:rsidR="00B04341" w:rsidRPr="00F75C47" w:rsidRDefault="00B04341" w:rsidP="000F2392">
      <w:pPr>
        <w:numPr>
          <w:ilvl w:val="0"/>
          <w:numId w:val="2"/>
        </w:numPr>
        <w:tabs>
          <w:tab w:val="num" w:pos="1134"/>
          <w:tab w:val="left" w:pos="1701"/>
        </w:tabs>
        <w:suppressAutoHyphens/>
        <w:spacing w:after="120" w:line="240" w:lineRule="atLeast"/>
        <w:ind w:left="1134" w:right="521" w:firstLine="0"/>
        <w:jc w:val="both"/>
        <w:rPr>
          <w:rFonts w:asciiTheme="majorBidi" w:hAnsiTheme="majorBidi"/>
          <w:sz w:val="20"/>
        </w:rPr>
      </w:pPr>
      <w:r w:rsidRPr="00F75C47">
        <w:rPr>
          <w:rFonts w:asciiTheme="majorBidi" w:hAnsiTheme="majorBidi"/>
          <w:sz w:val="20"/>
        </w:rPr>
        <w:t>On 26 February 2018</w:t>
      </w:r>
      <w:r w:rsidR="00672440" w:rsidRPr="00F75C47">
        <w:rPr>
          <w:rFonts w:asciiTheme="majorBidi" w:hAnsiTheme="majorBidi"/>
          <w:sz w:val="20"/>
        </w:rPr>
        <w:t>, the communicant</w:t>
      </w:r>
      <w:r w:rsidR="002E0E00">
        <w:rPr>
          <w:rFonts w:asciiTheme="majorBidi" w:hAnsiTheme="majorBidi"/>
          <w:sz w:val="20"/>
        </w:rPr>
        <w:t>s</w:t>
      </w:r>
      <w:r w:rsidR="00672440" w:rsidRPr="00F75C47">
        <w:rPr>
          <w:rFonts w:asciiTheme="majorBidi" w:hAnsiTheme="majorBidi"/>
          <w:sz w:val="20"/>
        </w:rPr>
        <w:t xml:space="preserve"> submitted an update.</w:t>
      </w:r>
    </w:p>
    <w:p w14:paraId="7A0E70AE" w14:textId="2DC641BD" w:rsidR="004F18D0" w:rsidRPr="00F75C47" w:rsidRDefault="004F18D0" w:rsidP="000F2392">
      <w:pPr>
        <w:numPr>
          <w:ilvl w:val="0"/>
          <w:numId w:val="2"/>
        </w:numPr>
        <w:tabs>
          <w:tab w:val="num" w:pos="1134"/>
          <w:tab w:val="left" w:pos="1701"/>
        </w:tabs>
        <w:suppressAutoHyphens/>
        <w:spacing w:after="120" w:line="240" w:lineRule="atLeast"/>
        <w:ind w:left="1134" w:right="521" w:firstLine="0"/>
        <w:jc w:val="both"/>
        <w:rPr>
          <w:rFonts w:asciiTheme="majorBidi" w:hAnsiTheme="majorBidi"/>
          <w:sz w:val="20"/>
        </w:rPr>
      </w:pPr>
      <w:r w:rsidRPr="00F75C47">
        <w:rPr>
          <w:rFonts w:asciiTheme="majorBidi" w:hAnsiTheme="majorBidi"/>
          <w:sz w:val="20"/>
        </w:rPr>
        <w:t>The Committee held a hearing to discuss the substance of the communication at its sixtieth meeting (12</w:t>
      </w:r>
      <w:r w:rsidR="0013549C" w:rsidRPr="00F75C47">
        <w:rPr>
          <w:rFonts w:asciiTheme="majorBidi" w:hAnsiTheme="majorBidi"/>
          <w:sz w:val="20"/>
        </w:rPr>
        <w:t>-</w:t>
      </w:r>
      <w:r w:rsidRPr="00F75C47">
        <w:rPr>
          <w:rFonts w:asciiTheme="majorBidi" w:hAnsiTheme="majorBidi"/>
          <w:sz w:val="20"/>
        </w:rPr>
        <w:t>16 March 2018), with the participation of the communicant</w:t>
      </w:r>
      <w:r w:rsidR="002E0E00">
        <w:rPr>
          <w:rFonts w:asciiTheme="majorBidi" w:hAnsiTheme="majorBidi"/>
          <w:sz w:val="20"/>
        </w:rPr>
        <w:t>s</w:t>
      </w:r>
      <w:r w:rsidRPr="00F75C47">
        <w:rPr>
          <w:rFonts w:asciiTheme="majorBidi" w:hAnsiTheme="majorBidi"/>
          <w:sz w:val="20"/>
        </w:rPr>
        <w:t xml:space="preserve"> and the </w:t>
      </w:r>
      <w:r w:rsidRPr="00F75C47">
        <w:rPr>
          <w:rFonts w:asciiTheme="majorBidi" w:hAnsiTheme="majorBidi"/>
          <w:sz w:val="20"/>
        </w:rPr>
        <w:lastRenderedPageBreak/>
        <w:t xml:space="preserve">Party concerned. At the same meeting, the Committee confirmed the admissibility of the communication. </w:t>
      </w:r>
    </w:p>
    <w:p w14:paraId="1705C3DE" w14:textId="77777777" w:rsidR="004F18D0" w:rsidRPr="00F75C47" w:rsidRDefault="004F18D0" w:rsidP="000F2392">
      <w:pPr>
        <w:numPr>
          <w:ilvl w:val="0"/>
          <w:numId w:val="2"/>
        </w:numPr>
        <w:tabs>
          <w:tab w:val="num" w:pos="1134"/>
          <w:tab w:val="left" w:pos="1701"/>
        </w:tabs>
        <w:suppressAutoHyphens/>
        <w:spacing w:after="120" w:line="240" w:lineRule="atLeast"/>
        <w:ind w:left="1134" w:right="521" w:firstLine="0"/>
        <w:jc w:val="both"/>
        <w:rPr>
          <w:rFonts w:asciiTheme="majorBidi" w:hAnsiTheme="majorBidi"/>
          <w:sz w:val="20"/>
        </w:rPr>
      </w:pPr>
      <w:r w:rsidRPr="00F75C47">
        <w:rPr>
          <w:rFonts w:asciiTheme="majorBidi" w:hAnsiTheme="majorBidi"/>
          <w:sz w:val="20"/>
        </w:rPr>
        <w:t>On 26 March 2018, the Committee submitted questions to the Party concerned.</w:t>
      </w:r>
    </w:p>
    <w:p w14:paraId="5337CA7A" w14:textId="77777777" w:rsidR="004F18D0" w:rsidRPr="00F75C47" w:rsidRDefault="004F18D0" w:rsidP="000F2392">
      <w:pPr>
        <w:numPr>
          <w:ilvl w:val="0"/>
          <w:numId w:val="2"/>
        </w:numPr>
        <w:tabs>
          <w:tab w:val="num" w:pos="1134"/>
          <w:tab w:val="left" w:pos="1701"/>
        </w:tabs>
        <w:suppressAutoHyphens/>
        <w:spacing w:after="120" w:line="240" w:lineRule="atLeast"/>
        <w:ind w:left="1134" w:right="521" w:firstLine="0"/>
        <w:jc w:val="both"/>
        <w:rPr>
          <w:rFonts w:asciiTheme="majorBidi" w:hAnsiTheme="majorBidi"/>
          <w:sz w:val="20"/>
        </w:rPr>
      </w:pPr>
      <w:r w:rsidRPr="00F75C47">
        <w:rPr>
          <w:rFonts w:asciiTheme="majorBidi" w:hAnsiTheme="majorBidi"/>
          <w:sz w:val="20"/>
        </w:rPr>
        <w:t xml:space="preserve">On 26 June 2018, the Party concerned replied to the questions of the Committee. </w:t>
      </w:r>
    </w:p>
    <w:p w14:paraId="1E5F9851" w14:textId="3ACF00CA" w:rsidR="004F18D0" w:rsidRPr="00F75C47" w:rsidRDefault="004F18D0" w:rsidP="000F2392">
      <w:pPr>
        <w:numPr>
          <w:ilvl w:val="0"/>
          <w:numId w:val="2"/>
        </w:numPr>
        <w:tabs>
          <w:tab w:val="num" w:pos="1134"/>
          <w:tab w:val="left" w:pos="1701"/>
        </w:tabs>
        <w:suppressAutoHyphens/>
        <w:spacing w:after="120" w:line="240" w:lineRule="atLeast"/>
        <w:ind w:left="1134" w:right="521" w:firstLine="0"/>
        <w:jc w:val="both"/>
        <w:rPr>
          <w:rFonts w:asciiTheme="majorBidi" w:hAnsiTheme="majorBidi"/>
          <w:sz w:val="20"/>
        </w:rPr>
      </w:pPr>
      <w:r w:rsidRPr="00F75C47">
        <w:rPr>
          <w:rFonts w:asciiTheme="majorBidi" w:hAnsiTheme="majorBidi"/>
          <w:sz w:val="20"/>
        </w:rPr>
        <w:t xml:space="preserve">On 20 July 2018, </w:t>
      </w:r>
      <w:r w:rsidR="00672440" w:rsidRPr="00F75C47">
        <w:rPr>
          <w:rFonts w:asciiTheme="majorBidi" w:hAnsiTheme="majorBidi"/>
          <w:sz w:val="20"/>
        </w:rPr>
        <w:t xml:space="preserve">observer </w:t>
      </w:r>
      <w:r w:rsidR="0013549C" w:rsidRPr="00F75C47">
        <w:rPr>
          <w:rFonts w:asciiTheme="majorBidi" w:hAnsiTheme="majorBidi"/>
          <w:sz w:val="20"/>
        </w:rPr>
        <w:t xml:space="preserve">NGO </w:t>
      </w:r>
      <w:proofErr w:type="spellStart"/>
      <w:r w:rsidR="0013549C" w:rsidRPr="00F75C47">
        <w:rPr>
          <w:rFonts w:asciiTheme="majorBidi" w:hAnsiTheme="majorBidi"/>
          <w:sz w:val="20"/>
        </w:rPr>
        <w:t>ClientEarth</w:t>
      </w:r>
      <w:proofErr w:type="spellEnd"/>
      <w:r w:rsidR="0013549C" w:rsidRPr="00F75C47">
        <w:rPr>
          <w:rFonts w:asciiTheme="majorBidi" w:hAnsiTheme="majorBidi"/>
          <w:sz w:val="20"/>
        </w:rPr>
        <w:t xml:space="preserve"> </w:t>
      </w:r>
      <w:r w:rsidRPr="00F75C47">
        <w:rPr>
          <w:rFonts w:asciiTheme="majorBidi" w:hAnsiTheme="majorBidi"/>
          <w:sz w:val="20"/>
        </w:rPr>
        <w:t xml:space="preserve">provided </w:t>
      </w:r>
      <w:r w:rsidR="00672440" w:rsidRPr="00F75C47">
        <w:rPr>
          <w:rFonts w:asciiTheme="majorBidi" w:hAnsiTheme="majorBidi"/>
          <w:sz w:val="20"/>
        </w:rPr>
        <w:t>comments</w:t>
      </w:r>
      <w:r w:rsidRPr="00F75C47">
        <w:rPr>
          <w:rFonts w:asciiTheme="majorBidi" w:hAnsiTheme="majorBidi"/>
          <w:sz w:val="20"/>
        </w:rPr>
        <w:t xml:space="preserve"> on the reply from the Party concerned to the Committee’s questions.</w:t>
      </w:r>
    </w:p>
    <w:p w14:paraId="546327C7" w14:textId="29D4A9E2" w:rsidR="004F18D0" w:rsidRPr="00F75C47" w:rsidRDefault="004F18D0" w:rsidP="000F2392">
      <w:pPr>
        <w:numPr>
          <w:ilvl w:val="0"/>
          <w:numId w:val="2"/>
        </w:numPr>
        <w:tabs>
          <w:tab w:val="num" w:pos="1134"/>
          <w:tab w:val="left" w:pos="1701"/>
        </w:tabs>
        <w:suppressAutoHyphens/>
        <w:spacing w:after="120" w:line="240" w:lineRule="atLeast"/>
        <w:ind w:left="1134" w:right="521" w:firstLine="0"/>
        <w:jc w:val="both"/>
        <w:rPr>
          <w:rFonts w:asciiTheme="majorBidi" w:hAnsiTheme="majorBidi"/>
          <w:sz w:val="20"/>
        </w:rPr>
      </w:pPr>
      <w:r w:rsidRPr="00F75C47">
        <w:rPr>
          <w:rFonts w:asciiTheme="majorBidi" w:hAnsiTheme="majorBidi"/>
          <w:sz w:val="20"/>
        </w:rPr>
        <w:t>On 21 July 2018, the communicant</w:t>
      </w:r>
      <w:r w:rsidR="002E0E00">
        <w:rPr>
          <w:rFonts w:asciiTheme="majorBidi" w:hAnsiTheme="majorBidi"/>
          <w:sz w:val="20"/>
        </w:rPr>
        <w:t>s</w:t>
      </w:r>
      <w:r w:rsidRPr="00F75C47">
        <w:rPr>
          <w:rFonts w:asciiTheme="majorBidi" w:hAnsiTheme="majorBidi"/>
          <w:sz w:val="20"/>
        </w:rPr>
        <w:t xml:space="preserve"> provided </w:t>
      </w:r>
      <w:r w:rsidR="00672440" w:rsidRPr="00F75C47">
        <w:rPr>
          <w:rFonts w:asciiTheme="majorBidi" w:hAnsiTheme="majorBidi"/>
          <w:sz w:val="20"/>
        </w:rPr>
        <w:t>comments</w:t>
      </w:r>
      <w:r w:rsidRPr="00F75C47">
        <w:rPr>
          <w:rFonts w:asciiTheme="majorBidi" w:hAnsiTheme="majorBidi"/>
          <w:sz w:val="20"/>
        </w:rPr>
        <w:t xml:space="preserve"> on the reply from the Party concerned to the Committee’s questions.</w:t>
      </w:r>
    </w:p>
    <w:p w14:paraId="7AF9DAA6" w14:textId="5908BBBC" w:rsidR="004F18D0" w:rsidRPr="00F75C47" w:rsidRDefault="004F18D0" w:rsidP="000F2392">
      <w:pPr>
        <w:numPr>
          <w:ilvl w:val="0"/>
          <w:numId w:val="2"/>
        </w:numPr>
        <w:tabs>
          <w:tab w:val="num" w:pos="1134"/>
          <w:tab w:val="left" w:pos="1701"/>
        </w:tabs>
        <w:suppressAutoHyphens/>
        <w:spacing w:after="120" w:line="240" w:lineRule="atLeast"/>
        <w:ind w:left="1134" w:right="521" w:firstLine="0"/>
        <w:jc w:val="both"/>
        <w:rPr>
          <w:rFonts w:asciiTheme="majorBidi" w:hAnsiTheme="majorBidi"/>
          <w:sz w:val="20"/>
        </w:rPr>
      </w:pPr>
      <w:r w:rsidRPr="00F75C47">
        <w:rPr>
          <w:rFonts w:asciiTheme="majorBidi" w:hAnsiTheme="majorBidi"/>
          <w:sz w:val="20"/>
        </w:rPr>
        <w:t>On 26 October 2018, the Party concerned submit</w:t>
      </w:r>
      <w:r w:rsidR="00672440" w:rsidRPr="00F75C47">
        <w:rPr>
          <w:rFonts w:asciiTheme="majorBidi" w:hAnsiTheme="majorBidi"/>
          <w:sz w:val="20"/>
        </w:rPr>
        <w:t>ted</w:t>
      </w:r>
      <w:r w:rsidRPr="00F75C47">
        <w:rPr>
          <w:rFonts w:asciiTheme="majorBidi" w:hAnsiTheme="majorBidi"/>
          <w:sz w:val="20"/>
        </w:rPr>
        <w:t xml:space="preserve"> comments on the communicant’s statement of 21 July 2018. </w:t>
      </w:r>
    </w:p>
    <w:p w14:paraId="5E461EF2" w14:textId="06C475DF" w:rsidR="004F18D0" w:rsidRPr="00F75C47" w:rsidRDefault="004F18D0" w:rsidP="000F2392">
      <w:pPr>
        <w:numPr>
          <w:ilvl w:val="0"/>
          <w:numId w:val="2"/>
        </w:numPr>
        <w:tabs>
          <w:tab w:val="num" w:pos="1134"/>
          <w:tab w:val="left" w:pos="1701"/>
        </w:tabs>
        <w:suppressAutoHyphens/>
        <w:spacing w:after="120" w:line="240" w:lineRule="atLeast"/>
        <w:ind w:left="1134" w:right="521" w:firstLine="0"/>
        <w:jc w:val="both"/>
        <w:rPr>
          <w:rFonts w:asciiTheme="majorBidi" w:hAnsiTheme="majorBidi"/>
          <w:sz w:val="20"/>
        </w:rPr>
      </w:pPr>
      <w:r w:rsidRPr="00F75C47">
        <w:rPr>
          <w:rFonts w:asciiTheme="majorBidi" w:hAnsiTheme="majorBidi"/>
          <w:sz w:val="20"/>
        </w:rPr>
        <w:t xml:space="preserve">On 1 February 2019, </w:t>
      </w:r>
      <w:r w:rsidR="00672440" w:rsidRPr="00F75C47">
        <w:rPr>
          <w:rFonts w:asciiTheme="majorBidi" w:hAnsiTheme="majorBidi"/>
          <w:sz w:val="20"/>
        </w:rPr>
        <w:t xml:space="preserve">observer </w:t>
      </w:r>
      <w:r w:rsidRPr="00F75C47">
        <w:rPr>
          <w:rFonts w:asciiTheme="majorBidi" w:hAnsiTheme="majorBidi"/>
          <w:sz w:val="20"/>
        </w:rPr>
        <w:t>NGO</w:t>
      </w:r>
      <w:r w:rsidR="0013549C" w:rsidRPr="00F75C47">
        <w:rPr>
          <w:rFonts w:asciiTheme="majorBidi" w:hAnsiTheme="majorBidi"/>
          <w:sz w:val="20"/>
        </w:rPr>
        <w:t xml:space="preserve"> </w:t>
      </w:r>
      <w:proofErr w:type="spellStart"/>
      <w:r w:rsidR="0013549C" w:rsidRPr="00F75C47">
        <w:rPr>
          <w:rFonts w:asciiTheme="majorBidi" w:hAnsiTheme="majorBidi"/>
          <w:sz w:val="20"/>
        </w:rPr>
        <w:t>ClientEarth</w:t>
      </w:r>
      <w:proofErr w:type="spellEnd"/>
      <w:r w:rsidR="0013549C" w:rsidRPr="00F75C47">
        <w:rPr>
          <w:rFonts w:asciiTheme="majorBidi" w:hAnsiTheme="majorBidi"/>
          <w:sz w:val="20"/>
        </w:rPr>
        <w:t xml:space="preserve"> </w:t>
      </w:r>
      <w:r w:rsidRPr="00F75C47">
        <w:rPr>
          <w:rFonts w:asciiTheme="majorBidi" w:hAnsiTheme="majorBidi"/>
          <w:sz w:val="20"/>
        </w:rPr>
        <w:t xml:space="preserve">provided </w:t>
      </w:r>
      <w:r w:rsidR="00672440" w:rsidRPr="00F75C47">
        <w:rPr>
          <w:rFonts w:asciiTheme="majorBidi" w:hAnsiTheme="majorBidi"/>
          <w:sz w:val="20"/>
        </w:rPr>
        <w:t>comments</w:t>
      </w:r>
      <w:r w:rsidRPr="00F75C47">
        <w:rPr>
          <w:rFonts w:asciiTheme="majorBidi" w:hAnsiTheme="majorBidi"/>
          <w:sz w:val="20"/>
        </w:rPr>
        <w:t xml:space="preserve"> on the comments from the Party concerned of 26 October 2018. </w:t>
      </w:r>
    </w:p>
    <w:p w14:paraId="03003F4C" w14:textId="2BA8D080" w:rsidR="00541AF6" w:rsidRPr="00F75C47" w:rsidRDefault="00541AF6" w:rsidP="000F2392">
      <w:pPr>
        <w:numPr>
          <w:ilvl w:val="0"/>
          <w:numId w:val="2"/>
        </w:numPr>
        <w:tabs>
          <w:tab w:val="num" w:pos="1134"/>
          <w:tab w:val="left" w:pos="1701"/>
        </w:tabs>
        <w:suppressAutoHyphens/>
        <w:spacing w:after="120" w:line="240" w:lineRule="atLeast"/>
        <w:ind w:left="1134" w:right="521" w:firstLine="0"/>
        <w:jc w:val="both"/>
        <w:rPr>
          <w:rFonts w:asciiTheme="majorBidi" w:hAnsiTheme="majorBidi"/>
          <w:sz w:val="20"/>
        </w:rPr>
      </w:pPr>
      <w:r w:rsidRPr="00F75C47">
        <w:rPr>
          <w:rFonts w:asciiTheme="majorBidi" w:hAnsiTheme="majorBidi"/>
          <w:sz w:val="20"/>
        </w:rPr>
        <w:t xml:space="preserve">At its sixty-fourth meeting (Geneva, 1-5 July 2019), the Committee noted that an appeal was pending before the European Court of Justice (C-594/18 P - </w:t>
      </w:r>
      <w:r w:rsidRPr="00F75C47">
        <w:rPr>
          <w:rFonts w:asciiTheme="majorBidi" w:hAnsiTheme="majorBidi"/>
          <w:i/>
          <w:sz w:val="20"/>
        </w:rPr>
        <w:t>Austria v Commission</w:t>
      </w:r>
      <w:r w:rsidRPr="00F75C47">
        <w:rPr>
          <w:rFonts w:asciiTheme="majorBidi" w:hAnsiTheme="majorBidi"/>
          <w:sz w:val="20"/>
        </w:rPr>
        <w:t>), with a request that the Court review the ruling by the General Court (T-356/15). The Committee, noting the relevance of this case for the present communication, decided to defer its deliberations on the draft findings pending the ruling by the European Court of Justice.</w:t>
      </w:r>
    </w:p>
    <w:p w14:paraId="3B890267" w14:textId="77777777" w:rsidR="00541AF6" w:rsidRPr="00F75C47" w:rsidRDefault="00541AF6" w:rsidP="000F2392">
      <w:pPr>
        <w:numPr>
          <w:ilvl w:val="0"/>
          <w:numId w:val="2"/>
        </w:numPr>
        <w:tabs>
          <w:tab w:val="num" w:pos="1134"/>
          <w:tab w:val="left" w:pos="1701"/>
        </w:tabs>
        <w:suppressAutoHyphens/>
        <w:spacing w:after="120" w:line="240" w:lineRule="atLeast"/>
        <w:ind w:left="1134" w:right="521" w:firstLine="0"/>
        <w:jc w:val="both"/>
        <w:rPr>
          <w:rFonts w:asciiTheme="majorBidi" w:hAnsiTheme="majorBidi"/>
          <w:sz w:val="20"/>
        </w:rPr>
      </w:pPr>
      <w:r w:rsidRPr="00F75C47">
        <w:rPr>
          <w:rFonts w:asciiTheme="majorBidi" w:hAnsiTheme="majorBidi"/>
          <w:sz w:val="20"/>
        </w:rPr>
        <w:t xml:space="preserve">On 12 March 2020, the communicants and observer </w:t>
      </w:r>
      <w:proofErr w:type="spellStart"/>
      <w:r w:rsidRPr="00F75C47">
        <w:rPr>
          <w:rFonts w:asciiTheme="majorBidi" w:hAnsiTheme="majorBidi"/>
          <w:sz w:val="20"/>
        </w:rPr>
        <w:t>ClientEarth</w:t>
      </w:r>
      <w:proofErr w:type="spellEnd"/>
      <w:r w:rsidRPr="00F75C47">
        <w:rPr>
          <w:rFonts w:asciiTheme="majorBidi" w:hAnsiTheme="majorBidi"/>
          <w:sz w:val="20"/>
        </w:rPr>
        <w:t xml:space="preserve"> submitted a joint statement on the Committee’s decision to defer its deliberations. </w:t>
      </w:r>
    </w:p>
    <w:p w14:paraId="122E0150" w14:textId="77777777" w:rsidR="00541AF6" w:rsidRPr="00F75C47" w:rsidRDefault="00541AF6" w:rsidP="000F2392">
      <w:pPr>
        <w:numPr>
          <w:ilvl w:val="0"/>
          <w:numId w:val="2"/>
        </w:numPr>
        <w:tabs>
          <w:tab w:val="num" w:pos="1134"/>
          <w:tab w:val="left" w:pos="1701"/>
        </w:tabs>
        <w:suppressAutoHyphens/>
        <w:spacing w:after="120" w:line="240" w:lineRule="atLeast"/>
        <w:ind w:left="1134" w:right="521" w:firstLine="0"/>
        <w:jc w:val="both"/>
        <w:rPr>
          <w:rFonts w:asciiTheme="majorBidi" w:hAnsiTheme="majorBidi"/>
          <w:sz w:val="20"/>
        </w:rPr>
      </w:pPr>
      <w:r w:rsidRPr="00F75C47">
        <w:rPr>
          <w:rFonts w:asciiTheme="majorBidi" w:hAnsiTheme="majorBidi"/>
          <w:sz w:val="20"/>
        </w:rPr>
        <w:t xml:space="preserve">On 22 September 2020, the European Court of Justice delivered its judgment in the case C-594/18 P </w:t>
      </w:r>
      <w:r w:rsidRPr="00F75C47">
        <w:rPr>
          <w:rFonts w:asciiTheme="majorBidi" w:hAnsiTheme="majorBidi"/>
          <w:i/>
          <w:sz w:val="20"/>
        </w:rPr>
        <w:t>Austria v Commission</w:t>
      </w:r>
      <w:r w:rsidRPr="00F75C47">
        <w:rPr>
          <w:rFonts w:asciiTheme="majorBidi" w:hAnsiTheme="majorBidi"/>
          <w:sz w:val="20"/>
        </w:rPr>
        <w:t>.</w:t>
      </w:r>
    </w:p>
    <w:p w14:paraId="09F52704" w14:textId="77777777" w:rsidR="00541AF6" w:rsidRPr="00F75C47" w:rsidRDefault="00541AF6" w:rsidP="000F2392">
      <w:pPr>
        <w:numPr>
          <w:ilvl w:val="0"/>
          <w:numId w:val="2"/>
        </w:numPr>
        <w:tabs>
          <w:tab w:val="num" w:pos="1134"/>
          <w:tab w:val="left" w:pos="1701"/>
        </w:tabs>
        <w:suppressAutoHyphens/>
        <w:spacing w:after="120" w:line="240" w:lineRule="atLeast"/>
        <w:ind w:left="1134" w:right="521" w:firstLine="0"/>
        <w:jc w:val="both"/>
        <w:rPr>
          <w:rFonts w:asciiTheme="majorBidi" w:hAnsiTheme="majorBidi"/>
          <w:sz w:val="20"/>
        </w:rPr>
      </w:pPr>
      <w:r w:rsidRPr="00F75C47">
        <w:rPr>
          <w:rFonts w:asciiTheme="majorBidi" w:hAnsiTheme="majorBidi"/>
          <w:sz w:val="20"/>
        </w:rPr>
        <w:t xml:space="preserve">On 6 November 2020, the communicant OEKOBUERO and observer </w:t>
      </w:r>
      <w:proofErr w:type="spellStart"/>
      <w:r w:rsidRPr="00F75C47">
        <w:rPr>
          <w:rFonts w:asciiTheme="majorBidi" w:hAnsiTheme="majorBidi"/>
          <w:sz w:val="20"/>
        </w:rPr>
        <w:t>ClientEarth</w:t>
      </w:r>
      <w:proofErr w:type="spellEnd"/>
      <w:r w:rsidRPr="00F75C47">
        <w:rPr>
          <w:rFonts w:asciiTheme="majorBidi" w:hAnsiTheme="majorBidi"/>
          <w:sz w:val="20"/>
        </w:rPr>
        <w:t xml:space="preserve"> provided their comments on the judgment in case C-594/18 P.</w:t>
      </w:r>
    </w:p>
    <w:p w14:paraId="1CE68CD6" w14:textId="7C2621CE" w:rsidR="00541AF6" w:rsidRPr="00F75C47" w:rsidRDefault="00541AF6" w:rsidP="000F2392">
      <w:pPr>
        <w:numPr>
          <w:ilvl w:val="0"/>
          <w:numId w:val="2"/>
        </w:numPr>
        <w:tabs>
          <w:tab w:val="num" w:pos="1134"/>
          <w:tab w:val="left" w:pos="1701"/>
        </w:tabs>
        <w:suppressAutoHyphens/>
        <w:spacing w:after="120" w:line="240" w:lineRule="atLeast"/>
        <w:ind w:left="1134" w:right="521" w:firstLine="0"/>
        <w:jc w:val="both"/>
        <w:rPr>
          <w:rFonts w:asciiTheme="majorBidi" w:hAnsiTheme="majorBidi"/>
          <w:sz w:val="20"/>
        </w:rPr>
      </w:pPr>
      <w:r w:rsidRPr="00F75C47">
        <w:rPr>
          <w:rFonts w:asciiTheme="majorBidi" w:hAnsiTheme="majorBidi"/>
          <w:sz w:val="20"/>
        </w:rPr>
        <w:t>On 23 November 2020, the Committee invited the Party concerned to comment on the judgment in C-594/18 P</w:t>
      </w:r>
      <w:r w:rsidR="009B6F03" w:rsidRPr="00F75C47">
        <w:rPr>
          <w:rFonts w:asciiTheme="majorBidi" w:hAnsiTheme="majorBidi" w:cstheme="majorBidi"/>
          <w:sz w:val="20"/>
          <w:szCs w:val="20"/>
        </w:rPr>
        <w:t xml:space="preserve"> and the comments from OEKOBUERO and </w:t>
      </w:r>
      <w:proofErr w:type="spellStart"/>
      <w:r w:rsidR="009B6F03" w:rsidRPr="00F75C47">
        <w:rPr>
          <w:rFonts w:asciiTheme="majorBidi" w:hAnsiTheme="majorBidi" w:cstheme="majorBidi"/>
          <w:sz w:val="20"/>
          <w:szCs w:val="20"/>
        </w:rPr>
        <w:t>ClientEarth</w:t>
      </w:r>
      <w:proofErr w:type="spellEnd"/>
      <w:r w:rsidR="009B6F03" w:rsidRPr="00F75C47">
        <w:rPr>
          <w:rFonts w:asciiTheme="majorBidi" w:hAnsiTheme="majorBidi" w:cstheme="majorBidi"/>
          <w:sz w:val="20"/>
          <w:szCs w:val="20"/>
        </w:rPr>
        <w:t xml:space="preserve"> thereon</w:t>
      </w:r>
      <w:r w:rsidRPr="00F75C47">
        <w:rPr>
          <w:rFonts w:asciiTheme="majorBidi" w:hAnsiTheme="majorBidi" w:cstheme="majorBidi"/>
          <w:sz w:val="20"/>
          <w:szCs w:val="20"/>
        </w:rPr>
        <w:t>.</w:t>
      </w:r>
      <w:r w:rsidR="009B6F03" w:rsidRPr="00F75C47">
        <w:rPr>
          <w:rFonts w:asciiTheme="majorBidi" w:hAnsiTheme="majorBidi" w:cstheme="majorBidi"/>
          <w:sz w:val="20"/>
          <w:szCs w:val="20"/>
        </w:rPr>
        <w:t xml:space="preserve"> On 7 December 2020, the Party concerned provided its comments.</w:t>
      </w:r>
      <w:r w:rsidRPr="00F75C47">
        <w:rPr>
          <w:rFonts w:asciiTheme="majorBidi" w:hAnsiTheme="majorBidi"/>
          <w:sz w:val="20"/>
        </w:rPr>
        <w:t xml:space="preserve"> </w:t>
      </w:r>
    </w:p>
    <w:p w14:paraId="39DE24A4" w14:textId="7738B6BC" w:rsidR="007E3430" w:rsidRPr="002C7224" w:rsidRDefault="007E3430" w:rsidP="00EE5071">
      <w:pPr>
        <w:pStyle w:val="SingleTxtG"/>
        <w:numPr>
          <w:ilvl w:val="0"/>
          <w:numId w:val="2"/>
        </w:numPr>
        <w:tabs>
          <w:tab w:val="num" w:pos="1710"/>
        </w:tabs>
        <w:suppressAutoHyphens w:val="0"/>
        <w:autoSpaceDE w:val="0"/>
        <w:autoSpaceDN w:val="0"/>
        <w:adjustRightInd w:val="0"/>
        <w:spacing w:line="240" w:lineRule="auto"/>
        <w:ind w:left="1134" w:right="521" w:firstLine="0"/>
        <w:rPr>
          <w:rFonts w:asciiTheme="majorBidi" w:hAnsiTheme="majorBidi"/>
          <w:iCs/>
        </w:rPr>
      </w:pPr>
      <w:r w:rsidRPr="002C7224">
        <w:rPr>
          <w:rFonts w:asciiTheme="majorBidi" w:hAnsiTheme="majorBidi"/>
          <w:iCs/>
        </w:rPr>
        <w:t>The Committee completed its draft findings</w:t>
      </w:r>
      <w:r w:rsidR="002E0E00">
        <w:rPr>
          <w:rFonts w:asciiTheme="majorBidi" w:hAnsiTheme="majorBidi"/>
          <w:iCs/>
        </w:rPr>
        <w:t xml:space="preserve"> through its electronic decision-making on 18 January 2021</w:t>
      </w:r>
      <w:r w:rsidR="002E0E00" w:rsidRPr="002C7224">
        <w:rPr>
          <w:rFonts w:asciiTheme="majorBidi" w:hAnsiTheme="majorBidi"/>
          <w:iCs/>
        </w:rPr>
        <w:t xml:space="preserve">. </w:t>
      </w:r>
      <w:r w:rsidRPr="002C7224">
        <w:rPr>
          <w:rFonts w:asciiTheme="majorBidi" w:hAnsiTheme="majorBidi"/>
          <w:iCs/>
        </w:rPr>
        <w:t xml:space="preserve">In accordance with paragraph 34 of the annex to decision I/7, the draft findings were then forwarded </w:t>
      </w:r>
      <w:r w:rsidR="002E0E00">
        <w:rPr>
          <w:rFonts w:asciiTheme="majorBidi" w:hAnsiTheme="majorBidi"/>
          <w:iCs/>
        </w:rPr>
        <w:t xml:space="preserve">on that date </w:t>
      </w:r>
      <w:r w:rsidRPr="002C7224">
        <w:rPr>
          <w:rFonts w:asciiTheme="majorBidi" w:hAnsiTheme="majorBidi"/>
          <w:iCs/>
        </w:rPr>
        <w:t>for comments to the Party concerned and to the communicant</w:t>
      </w:r>
      <w:r w:rsidR="002E0E00">
        <w:rPr>
          <w:rFonts w:asciiTheme="majorBidi" w:hAnsiTheme="majorBidi"/>
          <w:iCs/>
        </w:rPr>
        <w:t xml:space="preserve">s. The parties </w:t>
      </w:r>
      <w:r w:rsidRPr="002C7224">
        <w:rPr>
          <w:rFonts w:asciiTheme="majorBidi" w:hAnsiTheme="majorBidi"/>
          <w:iCs/>
        </w:rPr>
        <w:t xml:space="preserve">were invited to provide comments by </w:t>
      </w:r>
      <w:r w:rsidR="002E0E00">
        <w:rPr>
          <w:rFonts w:asciiTheme="majorBidi" w:hAnsiTheme="majorBidi"/>
          <w:iCs/>
        </w:rPr>
        <w:t>8 March 2021</w:t>
      </w:r>
      <w:r w:rsidR="002E0E00" w:rsidRPr="002C7224">
        <w:rPr>
          <w:rFonts w:asciiTheme="majorBidi" w:hAnsiTheme="majorBidi"/>
          <w:iCs/>
        </w:rPr>
        <w:t>.</w:t>
      </w:r>
    </w:p>
    <w:p w14:paraId="1A307A4D" w14:textId="64A66371" w:rsidR="007E3430" w:rsidRPr="00F75C47" w:rsidRDefault="007E3430" w:rsidP="00EE5071">
      <w:pPr>
        <w:pStyle w:val="SingleTxtG"/>
        <w:numPr>
          <w:ilvl w:val="0"/>
          <w:numId w:val="2"/>
        </w:numPr>
        <w:tabs>
          <w:tab w:val="num" w:pos="1710"/>
        </w:tabs>
        <w:suppressAutoHyphens w:val="0"/>
        <w:autoSpaceDE w:val="0"/>
        <w:autoSpaceDN w:val="0"/>
        <w:adjustRightInd w:val="0"/>
        <w:spacing w:line="240" w:lineRule="auto"/>
        <w:ind w:left="1134" w:right="521" w:firstLine="0"/>
        <w:rPr>
          <w:rFonts w:asciiTheme="majorBidi" w:hAnsiTheme="majorBidi"/>
          <w:i/>
        </w:rPr>
      </w:pPr>
      <w:r w:rsidRPr="00F75C47">
        <w:rPr>
          <w:rFonts w:asciiTheme="majorBidi" w:hAnsiTheme="majorBidi"/>
          <w:i/>
        </w:rPr>
        <w:t>The communicant</w:t>
      </w:r>
      <w:r w:rsidR="002E0E00">
        <w:rPr>
          <w:rFonts w:asciiTheme="majorBidi" w:hAnsiTheme="majorBidi"/>
          <w:i/>
        </w:rPr>
        <w:t>s</w:t>
      </w:r>
      <w:r w:rsidRPr="00F75C47">
        <w:rPr>
          <w:rFonts w:asciiTheme="majorBidi" w:hAnsiTheme="majorBidi"/>
          <w:i/>
        </w:rPr>
        <w:t xml:space="preserve"> and the Party concerned provided comments on […] and […]</w:t>
      </w:r>
      <w:r w:rsidR="00E941E2" w:rsidRPr="00F75C47">
        <w:rPr>
          <w:rFonts w:asciiTheme="majorBidi" w:hAnsiTheme="majorBidi"/>
          <w:i/>
        </w:rPr>
        <w:t>, respectively.</w:t>
      </w:r>
    </w:p>
    <w:p w14:paraId="50D0A3D4" w14:textId="11FAD962" w:rsidR="007E3430" w:rsidRPr="00F75C47" w:rsidRDefault="007E3430" w:rsidP="00EE5071">
      <w:pPr>
        <w:pStyle w:val="SingleTxtG"/>
        <w:numPr>
          <w:ilvl w:val="0"/>
          <w:numId w:val="2"/>
        </w:numPr>
        <w:tabs>
          <w:tab w:val="num" w:pos="1710"/>
        </w:tabs>
        <w:suppressAutoHyphens w:val="0"/>
        <w:autoSpaceDE w:val="0"/>
        <w:autoSpaceDN w:val="0"/>
        <w:adjustRightInd w:val="0"/>
        <w:spacing w:line="240" w:lineRule="auto"/>
        <w:ind w:left="1134" w:right="521" w:firstLine="0"/>
        <w:rPr>
          <w:rFonts w:asciiTheme="majorBidi" w:hAnsiTheme="majorBidi"/>
          <w:i/>
        </w:rPr>
      </w:pPr>
      <w:r w:rsidRPr="00F75C47">
        <w:rPr>
          <w:rFonts w:asciiTheme="majorBidi" w:hAnsiTheme="majorBidi"/>
          <w:i/>
        </w:rPr>
        <w:t>At its […] meeting, the Committee proceeded to finalize its findings in closed session, taking account of the comments received. The Committee then adopted its findings and agreed that they should be published as</w:t>
      </w:r>
      <w:r w:rsidR="009A40E1">
        <w:rPr>
          <w:rFonts w:asciiTheme="majorBidi" w:hAnsiTheme="majorBidi"/>
          <w:i/>
        </w:rPr>
        <w:t xml:space="preserve"> official pre-session</w:t>
      </w:r>
      <w:r w:rsidRPr="00F75C47">
        <w:rPr>
          <w:rFonts w:asciiTheme="majorBidi" w:hAnsiTheme="majorBidi"/>
          <w:i/>
        </w:rPr>
        <w:t xml:space="preserve"> </w:t>
      </w:r>
      <w:r w:rsidR="009A40E1">
        <w:rPr>
          <w:rFonts w:asciiTheme="majorBidi" w:hAnsiTheme="majorBidi"/>
          <w:i/>
        </w:rPr>
        <w:t xml:space="preserve">documents for its </w:t>
      </w:r>
      <w:r w:rsidRPr="00F75C47">
        <w:rPr>
          <w:rFonts w:asciiTheme="majorBidi" w:hAnsiTheme="majorBidi"/>
          <w:i/>
        </w:rPr>
        <w:t>[…]</w:t>
      </w:r>
      <w:r w:rsidR="009A40E1">
        <w:rPr>
          <w:rFonts w:asciiTheme="majorBidi" w:hAnsiTheme="majorBidi"/>
          <w:i/>
        </w:rPr>
        <w:t xml:space="preserve"> meeting</w:t>
      </w:r>
      <w:r w:rsidRPr="00F75C47">
        <w:rPr>
          <w:rFonts w:asciiTheme="majorBidi" w:hAnsiTheme="majorBidi"/>
          <w:i/>
        </w:rPr>
        <w:t>. It requested the secretariat to send the findings to the Party concerned and the communicant</w:t>
      </w:r>
      <w:r w:rsidR="002E0E00">
        <w:rPr>
          <w:rFonts w:asciiTheme="majorBidi" w:hAnsiTheme="majorBidi"/>
          <w:i/>
        </w:rPr>
        <w:t>s</w:t>
      </w:r>
      <w:r w:rsidRPr="00F75C47">
        <w:rPr>
          <w:rFonts w:asciiTheme="majorBidi" w:hAnsiTheme="majorBidi" w:cstheme="majorBidi"/>
          <w:i/>
          <w:iCs/>
          <w:lang w:eastAsia="en-GB"/>
        </w:rPr>
        <w:t>.</w:t>
      </w:r>
      <w:r w:rsidRPr="00F75C47">
        <w:rPr>
          <w:rFonts w:asciiTheme="majorBidi" w:hAnsiTheme="majorBidi"/>
          <w:i/>
        </w:rPr>
        <w:t xml:space="preserve"> </w:t>
      </w:r>
    </w:p>
    <w:p w14:paraId="56E993B0" w14:textId="77777777" w:rsidR="004F18D0" w:rsidRPr="00F75C47" w:rsidRDefault="004F18D0" w:rsidP="00364BE7">
      <w:pPr>
        <w:keepNext/>
        <w:keepLines/>
        <w:numPr>
          <w:ilvl w:val="0"/>
          <w:numId w:val="1"/>
        </w:numPr>
        <w:tabs>
          <w:tab w:val="right" w:pos="1134"/>
          <w:tab w:val="left" w:pos="1701"/>
        </w:tabs>
        <w:suppressAutoHyphens/>
        <w:spacing w:before="360" w:after="240" w:line="300" w:lineRule="exact"/>
        <w:ind w:left="1418" w:right="1134" w:firstLine="0"/>
        <w:rPr>
          <w:rFonts w:asciiTheme="majorBidi" w:hAnsiTheme="majorBidi"/>
          <w:b/>
          <w:sz w:val="28"/>
        </w:rPr>
      </w:pPr>
      <w:r w:rsidRPr="00F75C47">
        <w:rPr>
          <w:rFonts w:asciiTheme="majorBidi" w:hAnsiTheme="majorBidi"/>
          <w:b/>
          <w:sz w:val="28"/>
        </w:rPr>
        <w:t>Summary of facts, evidence and issues</w:t>
      </w:r>
      <w:r w:rsidRPr="00F75C47">
        <w:rPr>
          <w:rStyle w:val="FootnoteReference"/>
          <w:rFonts w:asciiTheme="majorBidi" w:hAnsiTheme="majorBidi"/>
          <w:b/>
          <w:sz w:val="28"/>
        </w:rPr>
        <w:footnoteReference w:id="2"/>
      </w:r>
    </w:p>
    <w:p w14:paraId="59D3B05C" w14:textId="77777777" w:rsidR="004F18D0" w:rsidRPr="00F75C47" w:rsidRDefault="004F18D0" w:rsidP="00364BE7">
      <w:pPr>
        <w:keepNext/>
        <w:keepLines/>
        <w:numPr>
          <w:ilvl w:val="0"/>
          <w:numId w:val="3"/>
        </w:numPr>
        <w:tabs>
          <w:tab w:val="clear" w:pos="1200"/>
          <w:tab w:val="right" w:pos="851"/>
          <w:tab w:val="num" w:pos="1134"/>
          <w:tab w:val="left" w:pos="1701"/>
        </w:tabs>
        <w:suppressAutoHyphens/>
        <w:spacing w:before="360" w:after="240" w:line="270" w:lineRule="exact"/>
        <w:ind w:right="1134" w:firstLine="0"/>
        <w:rPr>
          <w:rFonts w:asciiTheme="majorBidi" w:hAnsiTheme="majorBidi"/>
          <w:b/>
          <w:sz w:val="24"/>
        </w:rPr>
      </w:pPr>
      <w:r w:rsidRPr="00F75C47">
        <w:rPr>
          <w:rFonts w:asciiTheme="majorBidi" w:hAnsiTheme="majorBidi"/>
          <w:b/>
          <w:sz w:val="24"/>
        </w:rPr>
        <w:t xml:space="preserve">Legal framework </w:t>
      </w:r>
    </w:p>
    <w:p w14:paraId="2921A911" w14:textId="77777777" w:rsidR="004F18D0" w:rsidRPr="00F75C47" w:rsidRDefault="004F18D0" w:rsidP="007D18DC">
      <w:pPr>
        <w:tabs>
          <w:tab w:val="left" w:pos="1701"/>
        </w:tabs>
        <w:suppressAutoHyphens/>
        <w:spacing w:after="120" w:line="240" w:lineRule="atLeast"/>
        <w:ind w:left="1134" w:right="521"/>
        <w:jc w:val="both"/>
        <w:rPr>
          <w:rFonts w:asciiTheme="majorBidi" w:hAnsiTheme="majorBidi"/>
          <w:b/>
          <w:sz w:val="20"/>
        </w:rPr>
      </w:pPr>
      <w:r w:rsidRPr="00F75C47">
        <w:rPr>
          <w:rFonts w:asciiTheme="majorBidi" w:hAnsiTheme="majorBidi"/>
          <w:b/>
          <w:sz w:val="20"/>
        </w:rPr>
        <w:t>State aid</w:t>
      </w:r>
    </w:p>
    <w:p w14:paraId="7996DF28" w14:textId="55C73046" w:rsidR="00E941E2" w:rsidRPr="00F75C47" w:rsidRDefault="001F2A83" w:rsidP="007D18DC">
      <w:pPr>
        <w:numPr>
          <w:ilvl w:val="0"/>
          <w:numId w:val="2"/>
        </w:numPr>
        <w:tabs>
          <w:tab w:val="num" w:pos="1134"/>
          <w:tab w:val="left" w:pos="1701"/>
        </w:tabs>
        <w:suppressAutoHyphens/>
        <w:spacing w:after="120" w:line="240" w:lineRule="atLeast"/>
        <w:ind w:left="1134" w:right="521" w:firstLine="0"/>
        <w:jc w:val="both"/>
        <w:rPr>
          <w:rFonts w:asciiTheme="majorBidi" w:hAnsiTheme="majorBidi"/>
          <w:b/>
          <w:sz w:val="20"/>
        </w:rPr>
      </w:pPr>
      <w:bookmarkStart w:id="1" w:name="_Ref508092094"/>
      <w:bookmarkStart w:id="2" w:name="_Ref507748924"/>
      <w:r w:rsidRPr="00F75C47">
        <w:rPr>
          <w:rFonts w:asciiTheme="majorBidi" w:hAnsiTheme="majorBidi"/>
          <w:sz w:val="20"/>
        </w:rPr>
        <w:t xml:space="preserve">As a general </w:t>
      </w:r>
      <w:r w:rsidR="004C4C85" w:rsidRPr="00F75C47">
        <w:rPr>
          <w:rFonts w:asciiTheme="majorBidi" w:hAnsiTheme="majorBidi"/>
          <w:sz w:val="20"/>
        </w:rPr>
        <w:t>rule</w:t>
      </w:r>
      <w:r w:rsidRPr="00F75C47">
        <w:rPr>
          <w:rFonts w:asciiTheme="majorBidi" w:hAnsiTheme="majorBidi"/>
          <w:sz w:val="20"/>
        </w:rPr>
        <w:t xml:space="preserve">, European Union </w:t>
      </w:r>
      <w:r w:rsidR="00FF4C0C" w:rsidRPr="00F75C47">
        <w:rPr>
          <w:rFonts w:asciiTheme="majorBidi" w:hAnsiTheme="majorBidi"/>
          <w:sz w:val="20"/>
        </w:rPr>
        <w:t xml:space="preserve">(EU) </w:t>
      </w:r>
      <w:r w:rsidRPr="00F75C47">
        <w:rPr>
          <w:rFonts w:asciiTheme="majorBidi" w:hAnsiTheme="majorBidi" w:cstheme="majorBidi"/>
          <w:bCs/>
          <w:sz w:val="20"/>
          <w:szCs w:val="20"/>
        </w:rPr>
        <w:t>member</w:t>
      </w:r>
      <w:r w:rsidRPr="00F75C47">
        <w:rPr>
          <w:rFonts w:asciiTheme="majorBidi" w:hAnsiTheme="majorBidi"/>
          <w:sz w:val="20"/>
        </w:rPr>
        <w:t xml:space="preserve"> </w:t>
      </w:r>
      <w:r w:rsidR="00C420E8" w:rsidRPr="00F75C47">
        <w:rPr>
          <w:rFonts w:asciiTheme="majorBidi" w:hAnsiTheme="majorBidi"/>
          <w:sz w:val="20"/>
        </w:rPr>
        <w:t>S</w:t>
      </w:r>
      <w:r w:rsidRPr="00F75C47">
        <w:rPr>
          <w:rFonts w:asciiTheme="majorBidi" w:hAnsiTheme="majorBidi"/>
          <w:sz w:val="20"/>
        </w:rPr>
        <w:t>tates are prohibited</w:t>
      </w:r>
      <w:r w:rsidR="0094604E">
        <w:rPr>
          <w:rFonts w:asciiTheme="majorBidi" w:hAnsiTheme="majorBidi"/>
          <w:sz w:val="20"/>
        </w:rPr>
        <w:t>,</w:t>
      </w:r>
      <w:r w:rsidRPr="00F75C47">
        <w:rPr>
          <w:rFonts w:asciiTheme="majorBidi" w:hAnsiTheme="majorBidi"/>
          <w:sz w:val="20"/>
        </w:rPr>
        <w:t xml:space="preserve"> pursuant to article 107(1) </w:t>
      </w:r>
      <w:r w:rsidR="008624E2" w:rsidRPr="00F75C47">
        <w:rPr>
          <w:rFonts w:asciiTheme="majorBidi" w:hAnsiTheme="majorBidi"/>
          <w:sz w:val="20"/>
        </w:rPr>
        <w:t xml:space="preserve">of the </w:t>
      </w:r>
      <w:r w:rsidRPr="00F75C47">
        <w:rPr>
          <w:rFonts w:asciiTheme="majorBidi" w:hAnsiTheme="majorBidi"/>
          <w:sz w:val="20"/>
        </w:rPr>
        <w:t>Treaty on the Functioning of the European Union (TFEU), from providing state aid</w:t>
      </w:r>
      <w:r w:rsidR="008C5471" w:rsidRPr="00F75C47">
        <w:rPr>
          <w:rFonts w:asciiTheme="majorBidi" w:hAnsiTheme="majorBidi"/>
          <w:sz w:val="20"/>
        </w:rPr>
        <w:t>,</w:t>
      </w:r>
      <w:r w:rsidR="005E7B71" w:rsidRPr="00F75C47">
        <w:rPr>
          <w:rFonts w:asciiTheme="majorBidi" w:hAnsiTheme="majorBidi"/>
          <w:sz w:val="20"/>
        </w:rPr>
        <w:t xml:space="preserve"> as </w:t>
      </w:r>
      <w:r w:rsidR="00736367" w:rsidRPr="00F75C47">
        <w:rPr>
          <w:rFonts w:asciiTheme="majorBidi" w:hAnsiTheme="majorBidi"/>
          <w:sz w:val="20"/>
        </w:rPr>
        <w:t xml:space="preserve">being </w:t>
      </w:r>
      <w:r w:rsidR="008C1360" w:rsidRPr="00F75C47">
        <w:rPr>
          <w:rFonts w:asciiTheme="majorBidi" w:hAnsiTheme="majorBidi"/>
          <w:sz w:val="20"/>
        </w:rPr>
        <w:t>in</w:t>
      </w:r>
      <w:r w:rsidR="005E7B71" w:rsidRPr="00F75C47">
        <w:rPr>
          <w:rFonts w:asciiTheme="majorBidi" w:hAnsiTheme="majorBidi"/>
          <w:sz w:val="20"/>
        </w:rPr>
        <w:t>compatible with the internal market</w:t>
      </w:r>
      <w:r w:rsidR="00C420E8" w:rsidRPr="00F75C47">
        <w:rPr>
          <w:rFonts w:asciiTheme="majorBidi" w:hAnsiTheme="majorBidi"/>
          <w:sz w:val="20"/>
        </w:rPr>
        <w:t>.</w:t>
      </w:r>
      <w:r w:rsidR="00C420E8" w:rsidRPr="00F75C47">
        <w:rPr>
          <w:rStyle w:val="FootnoteReference"/>
          <w:rFonts w:asciiTheme="majorBidi" w:hAnsiTheme="majorBidi"/>
        </w:rPr>
        <w:footnoteReference w:id="3"/>
      </w:r>
      <w:r w:rsidRPr="00F75C47">
        <w:rPr>
          <w:rFonts w:asciiTheme="majorBidi" w:hAnsiTheme="majorBidi"/>
          <w:sz w:val="20"/>
        </w:rPr>
        <w:t xml:space="preserve"> </w:t>
      </w:r>
      <w:r w:rsidR="008624E2" w:rsidRPr="00F75C47">
        <w:rPr>
          <w:rFonts w:asciiTheme="majorBidi" w:hAnsiTheme="majorBidi"/>
          <w:sz w:val="20"/>
        </w:rPr>
        <w:t>Should a member State wish to provide state aid, it must invoke a justification for the aid, such as on the basis of article 107(3) TFEU.</w:t>
      </w:r>
      <w:r w:rsidR="008624E2" w:rsidRPr="00F75C47">
        <w:rPr>
          <w:rStyle w:val="FootnoteReference"/>
          <w:rFonts w:asciiTheme="majorBidi" w:hAnsiTheme="majorBidi"/>
        </w:rPr>
        <w:footnoteReference w:id="4"/>
      </w:r>
      <w:r w:rsidR="00D3095C" w:rsidRPr="00F75C47">
        <w:rPr>
          <w:rFonts w:asciiTheme="majorBidi" w:hAnsiTheme="majorBidi"/>
          <w:sz w:val="20"/>
        </w:rPr>
        <w:t xml:space="preserve"> </w:t>
      </w:r>
    </w:p>
    <w:p w14:paraId="12A1F66D" w14:textId="70A67864" w:rsidR="008624E2" w:rsidRPr="00F75C47" w:rsidRDefault="008624E2" w:rsidP="00EA30E3">
      <w:pPr>
        <w:numPr>
          <w:ilvl w:val="0"/>
          <w:numId w:val="2"/>
        </w:numPr>
        <w:tabs>
          <w:tab w:val="num" w:pos="1134"/>
          <w:tab w:val="left" w:pos="1701"/>
        </w:tabs>
        <w:suppressAutoHyphens/>
        <w:spacing w:after="120" w:line="240" w:lineRule="atLeast"/>
        <w:ind w:left="1134" w:right="521" w:firstLine="0"/>
        <w:jc w:val="both"/>
        <w:rPr>
          <w:rFonts w:asciiTheme="majorBidi" w:hAnsiTheme="majorBidi"/>
          <w:sz w:val="20"/>
        </w:rPr>
      </w:pPr>
      <w:bookmarkStart w:id="3" w:name="_Ref9435444"/>
      <w:r w:rsidRPr="00F75C47">
        <w:rPr>
          <w:rFonts w:asciiTheme="majorBidi" w:hAnsiTheme="majorBidi"/>
          <w:sz w:val="20"/>
        </w:rPr>
        <w:t xml:space="preserve">Article 107(3)(c) TFEU provides that “aid to facilitate the development of certain economic activities or of certain economic areas, where such aid does not adversely affect trading conditions to an extent contrary to the common interest” </w:t>
      </w:r>
      <w:r w:rsidR="00F34FC8" w:rsidRPr="00F75C47">
        <w:rPr>
          <w:rFonts w:asciiTheme="majorBidi" w:hAnsiTheme="majorBidi" w:cstheme="majorBidi"/>
          <w:sz w:val="20"/>
        </w:rPr>
        <w:t>may be</w:t>
      </w:r>
      <w:r w:rsidRPr="00F75C47">
        <w:rPr>
          <w:rFonts w:asciiTheme="majorBidi" w:hAnsiTheme="majorBidi"/>
          <w:sz w:val="20"/>
        </w:rPr>
        <w:t xml:space="preserve"> compatible with the internal market of the European Union. </w:t>
      </w:r>
      <w:r w:rsidR="00654904" w:rsidRPr="00F75C47">
        <w:rPr>
          <w:rFonts w:asciiTheme="majorBidi" w:hAnsiTheme="majorBidi"/>
          <w:sz w:val="20"/>
        </w:rPr>
        <w:t xml:space="preserve">The </w:t>
      </w:r>
      <w:r w:rsidR="008C1360" w:rsidRPr="00F75C47">
        <w:rPr>
          <w:rFonts w:asciiTheme="majorBidi" w:hAnsiTheme="majorBidi"/>
          <w:sz w:val="20"/>
        </w:rPr>
        <w:t>Commission</w:t>
      </w:r>
      <w:r w:rsidRPr="00F75C47">
        <w:rPr>
          <w:rFonts w:asciiTheme="majorBidi" w:hAnsiTheme="majorBidi"/>
          <w:sz w:val="20"/>
        </w:rPr>
        <w:t xml:space="preserve"> </w:t>
      </w:r>
      <w:r w:rsidR="00654904" w:rsidRPr="00F75C47">
        <w:rPr>
          <w:rFonts w:asciiTheme="majorBidi" w:hAnsiTheme="majorBidi"/>
          <w:sz w:val="20"/>
        </w:rPr>
        <w:t>employs a</w:t>
      </w:r>
      <w:r w:rsidRPr="00F75C47">
        <w:rPr>
          <w:rFonts w:asciiTheme="majorBidi" w:hAnsiTheme="majorBidi"/>
          <w:sz w:val="20"/>
        </w:rPr>
        <w:t xml:space="preserve"> </w:t>
      </w:r>
      <w:r w:rsidR="006F6D82" w:rsidRPr="00F75C47">
        <w:rPr>
          <w:rFonts w:asciiTheme="majorBidi" w:hAnsiTheme="majorBidi"/>
          <w:sz w:val="20"/>
        </w:rPr>
        <w:t xml:space="preserve">balancing </w:t>
      </w:r>
      <w:r w:rsidRPr="00F75C47">
        <w:rPr>
          <w:rFonts w:asciiTheme="majorBidi" w:hAnsiTheme="majorBidi"/>
          <w:sz w:val="20"/>
        </w:rPr>
        <w:t xml:space="preserve">test </w:t>
      </w:r>
      <w:r w:rsidR="00654904" w:rsidRPr="00F75C47">
        <w:rPr>
          <w:rFonts w:asciiTheme="majorBidi" w:hAnsiTheme="majorBidi"/>
          <w:sz w:val="20"/>
        </w:rPr>
        <w:t>under this provision to determine</w:t>
      </w:r>
      <w:r w:rsidRPr="00F75C47">
        <w:rPr>
          <w:rFonts w:asciiTheme="majorBidi" w:hAnsiTheme="majorBidi"/>
          <w:sz w:val="20"/>
        </w:rPr>
        <w:t xml:space="preserve"> whether the aid measures “are necessary and proportionate and if the positive effects for the common objective outbalance the negative effects on competition and trade”.</w:t>
      </w:r>
      <w:r w:rsidRPr="00F75C47">
        <w:rPr>
          <w:rStyle w:val="FootnoteReference"/>
          <w:rFonts w:asciiTheme="majorBidi" w:hAnsiTheme="majorBidi"/>
        </w:rPr>
        <w:footnoteReference w:id="5"/>
      </w:r>
      <w:r w:rsidRPr="00F75C47">
        <w:rPr>
          <w:rFonts w:asciiTheme="majorBidi" w:hAnsiTheme="majorBidi"/>
          <w:sz w:val="20"/>
        </w:rPr>
        <w:t xml:space="preserve"> </w:t>
      </w:r>
      <w:bookmarkEnd w:id="3"/>
    </w:p>
    <w:p w14:paraId="346CB0A1" w14:textId="621DD50C" w:rsidR="004F18D0" w:rsidRPr="00F75C47" w:rsidRDefault="00C420E8" w:rsidP="007D18DC">
      <w:pPr>
        <w:numPr>
          <w:ilvl w:val="0"/>
          <w:numId w:val="2"/>
        </w:numPr>
        <w:tabs>
          <w:tab w:val="num" w:pos="1134"/>
          <w:tab w:val="left" w:pos="1701"/>
        </w:tabs>
        <w:suppressAutoHyphens/>
        <w:spacing w:after="120" w:line="240" w:lineRule="atLeast"/>
        <w:ind w:left="1134" w:right="521" w:firstLine="0"/>
        <w:jc w:val="both"/>
        <w:rPr>
          <w:rFonts w:asciiTheme="majorBidi" w:hAnsiTheme="majorBidi"/>
          <w:sz w:val="20"/>
        </w:rPr>
      </w:pPr>
      <w:bookmarkStart w:id="4" w:name="_Ref9335473"/>
      <w:r w:rsidRPr="00F75C47">
        <w:rPr>
          <w:rFonts w:asciiTheme="majorBidi" w:hAnsiTheme="majorBidi"/>
          <w:sz w:val="20"/>
        </w:rPr>
        <w:t>In acc</w:t>
      </w:r>
      <w:r w:rsidR="00126528" w:rsidRPr="00F75C47">
        <w:rPr>
          <w:rFonts w:asciiTheme="majorBidi" w:hAnsiTheme="majorBidi"/>
          <w:sz w:val="20"/>
        </w:rPr>
        <w:t>ordance with article 108(3) TFEU, member States must notify the Commission of any plans to grant aid</w:t>
      </w:r>
      <w:r w:rsidRPr="00F75C47">
        <w:rPr>
          <w:rFonts w:asciiTheme="majorBidi" w:hAnsiTheme="majorBidi"/>
          <w:sz w:val="20"/>
        </w:rPr>
        <w:t xml:space="preserve"> and refrain from putting the aid into effect before the Commission has authorized it</w:t>
      </w:r>
      <w:r w:rsidR="00126528" w:rsidRPr="00F75C47">
        <w:rPr>
          <w:rFonts w:asciiTheme="majorBidi" w:hAnsiTheme="majorBidi"/>
          <w:sz w:val="20"/>
        </w:rPr>
        <w:t>.</w:t>
      </w:r>
      <w:r w:rsidR="00F04332" w:rsidRPr="00F75C47">
        <w:rPr>
          <w:rStyle w:val="FootnoteReference"/>
          <w:rFonts w:asciiTheme="majorBidi" w:hAnsiTheme="majorBidi"/>
        </w:rPr>
        <w:footnoteReference w:id="6"/>
      </w:r>
      <w:r w:rsidR="00126528" w:rsidRPr="00F75C47">
        <w:rPr>
          <w:rFonts w:asciiTheme="majorBidi" w:hAnsiTheme="majorBidi"/>
          <w:sz w:val="20"/>
        </w:rPr>
        <w:t xml:space="preserve"> </w:t>
      </w:r>
      <w:r w:rsidR="00156AA5" w:rsidRPr="00F75C47">
        <w:rPr>
          <w:rFonts w:asciiTheme="majorBidi" w:hAnsiTheme="majorBidi"/>
          <w:sz w:val="20"/>
        </w:rPr>
        <w:t>If the Commission finds that, after a preliminary investigation, there are no doubts as to the compatibility of the notified measure, it will decide that the aid is compatible with the internal market.</w:t>
      </w:r>
      <w:r w:rsidR="00156AA5" w:rsidRPr="00F75C47">
        <w:rPr>
          <w:rStyle w:val="FootnoteReference"/>
          <w:rFonts w:asciiTheme="majorBidi" w:hAnsiTheme="majorBidi"/>
        </w:rPr>
        <w:footnoteReference w:id="7"/>
      </w:r>
      <w:r w:rsidR="004F3D2B" w:rsidRPr="00F75C47">
        <w:rPr>
          <w:rFonts w:asciiTheme="majorBidi" w:hAnsiTheme="majorBidi"/>
          <w:sz w:val="20"/>
        </w:rPr>
        <w:t xml:space="preserve"> </w:t>
      </w:r>
      <w:r w:rsidR="008C1360" w:rsidRPr="00F75C47">
        <w:rPr>
          <w:rFonts w:asciiTheme="majorBidi" w:hAnsiTheme="majorBidi"/>
          <w:sz w:val="20"/>
        </w:rPr>
        <w:t xml:space="preserve">However, if </w:t>
      </w:r>
      <w:r w:rsidR="004F3D2B" w:rsidRPr="00F75C47">
        <w:rPr>
          <w:rFonts w:asciiTheme="majorBidi" w:hAnsiTheme="majorBidi"/>
          <w:sz w:val="20"/>
        </w:rPr>
        <w:t xml:space="preserve">the </w:t>
      </w:r>
      <w:r w:rsidR="008C1360" w:rsidRPr="00F75C47">
        <w:rPr>
          <w:rFonts w:asciiTheme="majorBidi" w:hAnsiTheme="majorBidi"/>
          <w:sz w:val="20"/>
        </w:rPr>
        <w:t>C</w:t>
      </w:r>
      <w:r w:rsidR="004F3D2B" w:rsidRPr="00F75C47">
        <w:rPr>
          <w:rFonts w:asciiTheme="majorBidi" w:hAnsiTheme="majorBidi"/>
          <w:sz w:val="20"/>
        </w:rPr>
        <w:t>ommission has doubts about the notified measure</w:t>
      </w:r>
      <w:r w:rsidR="007E2D7B" w:rsidRPr="00F75C47">
        <w:rPr>
          <w:rFonts w:asciiTheme="majorBidi" w:hAnsiTheme="majorBidi"/>
          <w:sz w:val="20"/>
        </w:rPr>
        <w:t>’</w:t>
      </w:r>
      <w:r w:rsidR="004F3D2B" w:rsidRPr="00F75C47">
        <w:rPr>
          <w:rFonts w:asciiTheme="majorBidi" w:hAnsiTheme="majorBidi"/>
          <w:sz w:val="20"/>
        </w:rPr>
        <w:t>s compatibility with the internal market, it will issue a decision (Opening Decision) to initiate a procedure under article 108(2) TFEU</w:t>
      </w:r>
      <w:r w:rsidR="00F34FC8" w:rsidRPr="00F75C47">
        <w:rPr>
          <w:rFonts w:asciiTheme="majorBidi" w:hAnsiTheme="majorBidi" w:cstheme="majorBidi"/>
          <w:sz w:val="20"/>
        </w:rPr>
        <w:t>. T</w:t>
      </w:r>
      <w:r w:rsidR="004F3D2B" w:rsidRPr="00F75C47">
        <w:rPr>
          <w:rFonts w:asciiTheme="majorBidi" w:hAnsiTheme="majorBidi" w:cstheme="majorBidi"/>
          <w:sz w:val="20"/>
        </w:rPr>
        <w:t>he</w:t>
      </w:r>
      <w:r w:rsidR="004F3D2B" w:rsidRPr="00F75C47">
        <w:rPr>
          <w:rFonts w:asciiTheme="majorBidi" w:hAnsiTheme="majorBidi"/>
          <w:sz w:val="20"/>
        </w:rPr>
        <w:t xml:space="preserve"> </w:t>
      </w:r>
      <w:r w:rsidR="008C1360" w:rsidRPr="00F75C47">
        <w:rPr>
          <w:rFonts w:asciiTheme="majorBidi" w:hAnsiTheme="majorBidi"/>
          <w:sz w:val="20"/>
        </w:rPr>
        <w:t xml:space="preserve">notifying member State and interested parties </w:t>
      </w:r>
      <w:r w:rsidR="00F224E3" w:rsidRPr="00F75C47">
        <w:rPr>
          <w:rFonts w:asciiTheme="majorBidi" w:hAnsiTheme="majorBidi" w:cstheme="majorBidi"/>
          <w:sz w:val="20"/>
        </w:rPr>
        <w:t>will be</w:t>
      </w:r>
      <w:r w:rsidR="00F224E3" w:rsidRPr="00F75C47">
        <w:rPr>
          <w:rFonts w:asciiTheme="majorBidi" w:hAnsiTheme="majorBidi"/>
          <w:sz w:val="20"/>
        </w:rPr>
        <w:t xml:space="preserve"> </w:t>
      </w:r>
      <w:r w:rsidR="008C1360" w:rsidRPr="00F75C47">
        <w:rPr>
          <w:rFonts w:asciiTheme="majorBidi" w:hAnsiTheme="majorBidi"/>
          <w:sz w:val="20"/>
        </w:rPr>
        <w:t>requested to submit their comments on the Opening Decision.</w:t>
      </w:r>
      <w:r w:rsidR="001B6DB4" w:rsidRPr="00F75C47">
        <w:rPr>
          <w:rFonts w:asciiTheme="majorBidi" w:hAnsiTheme="majorBidi"/>
          <w:sz w:val="20"/>
        </w:rPr>
        <w:t xml:space="preserve"> </w:t>
      </w:r>
      <w:r w:rsidR="00755B3F" w:rsidRPr="00F75C47">
        <w:rPr>
          <w:rFonts w:asciiTheme="majorBidi" w:hAnsiTheme="majorBidi"/>
          <w:sz w:val="20"/>
        </w:rPr>
        <w:t>Should</w:t>
      </w:r>
      <w:r w:rsidR="004F3D2B" w:rsidRPr="00F75C47">
        <w:rPr>
          <w:rFonts w:asciiTheme="majorBidi" w:hAnsiTheme="majorBidi"/>
          <w:sz w:val="20"/>
        </w:rPr>
        <w:t xml:space="preserve"> the Commission consider </w:t>
      </w:r>
      <w:r w:rsidR="006C707C" w:rsidRPr="00F75C47">
        <w:rPr>
          <w:rFonts w:asciiTheme="majorBidi" w:hAnsiTheme="majorBidi"/>
          <w:sz w:val="20"/>
        </w:rPr>
        <w:t xml:space="preserve">at the end of this procedure </w:t>
      </w:r>
      <w:r w:rsidR="004F3D2B" w:rsidRPr="00F75C47">
        <w:rPr>
          <w:rFonts w:asciiTheme="majorBidi" w:hAnsiTheme="majorBidi"/>
          <w:sz w:val="20"/>
        </w:rPr>
        <w:t xml:space="preserve">that the </w:t>
      </w:r>
      <w:r w:rsidR="00126528" w:rsidRPr="00F75C47">
        <w:rPr>
          <w:rFonts w:asciiTheme="majorBidi" w:hAnsiTheme="majorBidi"/>
          <w:sz w:val="20"/>
        </w:rPr>
        <w:t xml:space="preserve">aid is not compatible with the internal market, </w:t>
      </w:r>
      <w:r w:rsidR="001B6DB4" w:rsidRPr="00F75C47">
        <w:rPr>
          <w:rFonts w:asciiTheme="majorBidi" w:hAnsiTheme="majorBidi"/>
          <w:sz w:val="20"/>
        </w:rPr>
        <w:t>the Commission orders the member</w:t>
      </w:r>
      <w:r w:rsidR="00126528" w:rsidRPr="00F75C47">
        <w:rPr>
          <w:rFonts w:asciiTheme="majorBidi" w:hAnsiTheme="majorBidi"/>
          <w:sz w:val="20"/>
        </w:rPr>
        <w:t xml:space="preserve"> State concerned </w:t>
      </w:r>
      <w:r w:rsidR="001B6DB4" w:rsidRPr="00F75C47">
        <w:rPr>
          <w:rFonts w:asciiTheme="majorBidi" w:hAnsiTheme="majorBidi"/>
          <w:sz w:val="20"/>
        </w:rPr>
        <w:t>to</w:t>
      </w:r>
      <w:r w:rsidR="00126528" w:rsidRPr="00F75C47">
        <w:rPr>
          <w:rFonts w:asciiTheme="majorBidi" w:hAnsiTheme="majorBidi"/>
          <w:sz w:val="20"/>
        </w:rPr>
        <w:t xml:space="preserve"> abolish or alter such aid within a period of time.</w:t>
      </w:r>
      <w:r w:rsidR="001B6DB4" w:rsidRPr="00F75C47">
        <w:rPr>
          <w:rStyle w:val="FootnoteReference"/>
          <w:rFonts w:asciiTheme="majorBidi" w:hAnsiTheme="majorBidi"/>
        </w:rPr>
        <w:footnoteReference w:id="8"/>
      </w:r>
      <w:r w:rsidR="00126528" w:rsidRPr="00F75C47">
        <w:rPr>
          <w:rFonts w:asciiTheme="majorBidi" w:hAnsiTheme="majorBidi"/>
          <w:sz w:val="20"/>
        </w:rPr>
        <w:t xml:space="preserve"> </w:t>
      </w:r>
      <w:r w:rsidR="00755B3F" w:rsidRPr="00F75C47">
        <w:rPr>
          <w:rFonts w:asciiTheme="majorBidi" w:hAnsiTheme="majorBidi"/>
          <w:sz w:val="20"/>
        </w:rPr>
        <w:t>If the member State d</w:t>
      </w:r>
      <w:r w:rsidR="00126528" w:rsidRPr="00F75C47">
        <w:rPr>
          <w:rFonts w:asciiTheme="majorBidi" w:hAnsiTheme="majorBidi"/>
          <w:sz w:val="20"/>
        </w:rPr>
        <w:t>oes not comply with this decision within the prescribed time, the Commission may refer the matter to the Court of Justice of the European Union</w:t>
      </w:r>
      <w:r w:rsidR="00126528" w:rsidRPr="00F75C47">
        <w:rPr>
          <w:rFonts w:asciiTheme="majorBidi" w:hAnsiTheme="majorBidi" w:cstheme="majorBidi"/>
          <w:sz w:val="20"/>
          <w:szCs w:val="20"/>
        </w:rPr>
        <w:t xml:space="preserve"> </w:t>
      </w:r>
      <w:r w:rsidR="009B6F03" w:rsidRPr="00F75C47">
        <w:rPr>
          <w:rFonts w:asciiTheme="majorBidi" w:hAnsiTheme="majorBidi" w:cstheme="majorBidi"/>
          <w:sz w:val="20"/>
          <w:szCs w:val="20"/>
        </w:rPr>
        <w:t>(CJEU)</w:t>
      </w:r>
      <w:r w:rsidR="009B6F03" w:rsidRPr="00F75C47">
        <w:rPr>
          <w:rFonts w:asciiTheme="majorBidi" w:hAnsiTheme="majorBidi"/>
          <w:sz w:val="20"/>
        </w:rPr>
        <w:t xml:space="preserve"> </w:t>
      </w:r>
      <w:r w:rsidR="00126528" w:rsidRPr="00F75C47">
        <w:rPr>
          <w:rFonts w:asciiTheme="majorBidi" w:hAnsiTheme="majorBidi"/>
          <w:sz w:val="20"/>
        </w:rPr>
        <w:t>direct</w:t>
      </w:r>
      <w:bookmarkEnd w:id="1"/>
      <w:r w:rsidR="006C707C" w:rsidRPr="00F75C47">
        <w:rPr>
          <w:rFonts w:asciiTheme="majorBidi" w:hAnsiTheme="majorBidi"/>
          <w:sz w:val="20"/>
        </w:rPr>
        <w:t>ly</w:t>
      </w:r>
      <w:r w:rsidR="0094604E">
        <w:rPr>
          <w:rFonts w:asciiTheme="majorBidi" w:hAnsiTheme="majorBidi"/>
          <w:sz w:val="20"/>
        </w:rPr>
        <w:t>,</w:t>
      </w:r>
      <w:r w:rsidR="006C707C" w:rsidRPr="00F75C47">
        <w:rPr>
          <w:rFonts w:asciiTheme="majorBidi" w:hAnsiTheme="majorBidi"/>
          <w:sz w:val="20"/>
        </w:rPr>
        <w:t xml:space="preserve"> pursuant to article 108(2) TFEU</w:t>
      </w:r>
      <w:r w:rsidR="00755B3F" w:rsidRPr="00F75C47">
        <w:rPr>
          <w:rFonts w:asciiTheme="majorBidi" w:hAnsiTheme="majorBidi"/>
          <w:sz w:val="20"/>
        </w:rPr>
        <w:t>.</w:t>
      </w:r>
      <w:r w:rsidR="00755B3F" w:rsidRPr="00F75C47">
        <w:rPr>
          <w:rStyle w:val="FootnoteReference"/>
          <w:rFonts w:asciiTheme="majorBidi" w:hAnsiTheme="majorBidi"/>
        </w:rPr>
        <w:footnoteReference w:id="9"/>
      </w:r>
      <w:bookmarkEnd w:id="4"/>
    </w:p>
    <w:bookmarkEnd w:id="2"/>
    <w:p w14:paraId="3BC4D080" w14:textId="77777777" w:rsidR="00D505EC" w:rsidRPr="00F75C47" w:rsidRDefault="00D505EC" w:rsidP="007D18DC">
      <w:pPr>
        <w:tabs>
          <w:tab w:val="left" w:pos="1701"/>
        </w:tabs>
        <w:suppressAutoHyphens/>
        <w:spacing w:after="120" w:line="240" w:lineRule="atLeast"/>
        <w:ind w:left="1134" w:right="521"/>
        <w:jc w:val="both"/>
        <w:rPr>
          <w:rFonts w:asciiTheme="majorBidi" w:hAnsiTheme="majorBidi" w:cstheme="majorBidi"/>
          <w:b/>
          <w:sz w:val="20"/>
          <w:szCs w:val="20"/>
        </w:rPr>
      </w:pPr>
    </w:p>
    <w:p w14:paraId="252C5B28" w14:textId="6DF06E4F" w:rsidR="004F18D0" w:rsidRPr="00F75C47" w:rsidRDefault="00750826">
      <w:pPr>
        <w:tabs>
          <w:tab w:val="left" w:pos="1701"/>
        </w:tabs>
        <w:suppressAutoHyphens/>
        <w:spacing w:after="120" w:line="240" w:lineRule="atLeast"/>
        <w:ind w:left="1134" w:right="521"/>
        <w:jc w:val="both"/>
        <w:rPr>
          <w:rFonts w:asciiTheme="majorBidi" w:hAnsiTheme="majorBidi"/>
          <w:b/>
          <w:sz w:val="20"/>
        </w:rPr>
      </w:pPr>
      <w:r w:rsidRPr="00F75C47">
        <w:rPr>
          <w:rFonts w:asciiTheme="majorBidi" w:hAnsiTheme="majorBidi"/>
          <w:b/>
          <w:sz w:val="20"/>
        </w:rPr>
        <w:t>Access to justice</w:t>
      </w:r>
    </w:p>
    <w:p w14:paraId="19E798B1" w14:textId="6F95CBE6" w:rsidR="00F85683" w:rsidRPr="00F75C47" w:rsidRDefault="00C0126B" w:rsidP="00F85683">
      <w:pPr>
        <w:pStyle w:val="ListParagraph"/>
        <w:tabs>
          <w:tab w:val="left" w:pos="1701"/>
        </w:tabs>
        <w:suppressAutoHyphens/>
        <w:spacing w:after="120" w:line="240" w:lineRule="atLeast"/>
        <w:ind w:left="1134" w:right="521"/>
        <w:jc w:val="both"/>
        <w:rPr>
          <w:rFonts w:asciiTheme="majorBidi" w:hAnsiTheme="majorBidi" w:cstheme="majorBidi"/>
          <w:i/>
          <w:iCs/>
          <w:sz w:val="20"/>
          <w:szCs w:val="20"/>
        </w:rPr>
      </w:pPr>
      <w:r w:rsidRPr="00F75C47">
        <w:rPr>
          <w:rFonts w:asciiTheme="majorBidi" w:hAnsiTheme="majorBidi" w:cstheme="majorBidi"/>
          <w:i/>
          <w:iCs/>
          <w:sz w:val="20"/>
          <w:szCs w:val="20"/>
        </w:rPr>
        <w:t>Complaint</w:t>
      </w:r>
      <w:r w:rsidR="00F85683" w:rsidRPr="00F75C47">
        <w:rPr>
          <w:rFonts w:asciiTheme="majorBidi" w:hAnsiTheme="majorBidi" w:cstheme="majorBidi"/>
          <w:i/>
          <w:iCs/>
          <w:sz w:val="20"/>
          <w:szCs w:val="20"/>
        </w:rPr>
        <w:t xml:space="preserve"> under article 20(2) of Regulation 659/1999</w:t>
      </w:r>
    </w:p>
    <w:p w14:paraId="0CC86DC6" w14:textId="77777777" w:rsidR="00F85683" w:rsidRPr="00F75C47" w:rsidRDefault="00F85683" w:rsidP="00F85683">
      <w:pPr>
        <w:pStyle w:val="ListParagraph"/>
        <w:tabs>
          <w:tab w:val="left" w:pos="1701"/>
        </w:tabs>
        <w:suppressAutoHyphens/>
        <w:spacing w:after="120" w:line="240" w:lineRule="atLeast"/>
        <w:ind w:left="1134" w:right="521"/>
        <w:jc w:val="both"/>
        <w:rPr>
          <w:rFonts w:asciiTheme="majorBidi" w:hAnsiTheme="majorBidi" w:cstheme="majorBidi"/>
          <w:i/>
          <w:iCs/>
          <w:sz w:val="20"/>
          <w:szCs w:val="20"/>
        </w:rPr>
      </w:pPr>
    </w:p>
    <w:p w14:paraId="64D97EF6" w14:textId="225DA2F0" w:rsidR="00F85683" w:rsidRPr="00F75C47" w:rsidRDefault="00F85683" w:rsidP="00F85683">
      <w:pPr>
        <w:pStyle w:val="ListParagraph"/>
        <w:numPr>
          <w:ilvl w:val="0"/>
          <w:numId w:val="2"/>
        </w:numPr>
        <w:tabs>
          <w:tab w:val="clear" w:pos="1994"/>
          <w:tab w:val="left" w:pos="1701"/>
        </w:tabs>
        <w:suppressAutoHyphens/>
        <w:spacing w:after="120" w:line="240" w:lineRule="atLeast"/>
        <w:ind w:left="1134" w:right="521" w:firstLine="0"/>
        <w:jc w:val="both"/>
        <w:rPr>
          <w:rFonts w:asciiTheme="majorBidi" w:hAnsiTheme="majorBidi" w:cstheme="majorBidi"/>
          <w:sz w:val="20"/>
          <w:szCs w:val="20"/>
        </w:rPr>
      </w:pPr>
      <w:r w:rsidRPr="00F75C47">
        <w:rPr>
          <w:rFonts w:asciiTheme="majorBidi" w:hAnsiTheme="majorBidi" w:cstheme="majorBidi"/>
          <w:sz w:val="20"/>
          <w:szCs w:val="20"/>
        </w:rPr>
        <w:t>Council Regulation 659/1999</w:t>
      </w:r>
      <w:r w:rsidRPr="00F75C47">
        <w:rPr>
          <w:rStyle w:val="FootnoteReference"/>
          <w:rFonts w:asciiTheme="majorBidi" w:hAnsiTheme="majorBidi" w:cstheme="majorBidi"/>
          <w:szCs w:val="20"/>
        </w:rPr>
        <w:footnoteReference w:id="10"/>
      </w:r>
      <w:r w:rsidRPr="00F75C47">
        <w:rPr>
          <w:rFonts w:asciiTheme="majorBidi" w:hAnsiTheme="majorBidi" w:cstheme="majorBidi"/>
          <w:sz w:val="20"/>
          <w:szCs w:val="20"/>
        </w:rPr>
        <w:t xml:space="preserve"> lays down detailed rules for the application of article 108 TFEU.</w:t>
      </w:r>
      <w:r w:rsidRPr="00F75C47">
        <w:rPr>
          <w:rStyle w:val="FootnoteReference"/>
          <w:rFonts w:asciiTheme="majorBidi" w:hAnsiTheme="majorBidi" w:cstheme="majorBidi"/>
          <w:szCs w:val="20"/>
        </w:rPr>
        <w:footnoteReference w:id="11"/>
      </w:r>
      <w:r w:rsidRPr="00F75C47">
        <w:rPr>
          <w:rFonts w:asciiTheme="majorBidi" w:hAnsiTheme="majorBidi" w:cstheme="majorBidi"/>
          <w:sz w:val="20"/>
          <w:szCs w:val="20"/>
        </w:rPr>
        <w:t xml:space="preserve"> Pursuant to article 20(2) of Regulation 659/1999 any interested party may inform the Commission of any alleged unlawful aid </w:t>
      </w:r>
      <w:r w:rsidR="00E16B3B" w:rsidRPr="00F75C47">
        <w:rPr>
          <w:rFonts w:asciiTheme="majorBidi" w:hAnsiTheme="majorBidi" w:cstheme="majorBidi"/>
          <w:sz w:val="20"/>
          <w:szCs w:val="20"/>
          <w:lang w:eastAsia="zh-CN"/>
        </w:rPr>
        <w:t>or</w:t>
      </w:r>
      <w:r w:rsidRPr="00F75C47">
        <w:rPr>
          <w:rFonts w:asciiTheme="majorBidi" w:hAnsiTheme="majorBidi" w:cstheme="majorBidi"/>
          <w:sz w:val="20"/>
          <w:szCs w:val="20"/>
          <w:lang w:eastAsia="zh-CN"/>
        </w:rPr>
        <w:t xml:space="preserve"> misuse of aid. It is for the Commission to decide whether there </w:t>
      </w:r>
      <w:r w:rsidR="00E16B3B" w:rsidRPr="00F75C47">
        <w:rPr>
          <w:rFonts w:asciiTheme="majorBidi" w:hAnsiTheme="majorBidi" w:cstheme="majorBidi"/>
          <w:sz w:val="20"/>
          <w:szCs w:val="20"/>
          <w:lang w:eastAsia="zh-CN"/>
        </w:rPr>
        <w:t>are</w:t>
      </w:r>
      <w:r w:rsidRPr="00F75C47">
        <w:rPr>
          <w:rFonts w:asciiTheme="majorBidi" w:hAnsiTheme="majorBidi" w:cstheme="majorBidi"/>
          <w:sz w:val="20"/>
          <w:szCs w:val="20"/>
          <w:lang w:eastAsia="zh-CN"/>
        </w:rPr>
        <w:t xml:space="preserve"> sufficient grounds to take a view on the information received. </w:t>
      </w:r>
      <w:r w:rsidRPr="00F75C47">
        <w:rPr>
          <w:rFonts w:asciiTheme="majorBidi" w:hAnsiTheme="majorBidi" w:cstheme="majorBidi"/>
          <w:sz w:val="20"/>
          <w:szCs w:val="20"/>
          <w:shd w:val="clear" w:color="auto" w:fill="FFFFFF"/>
        </w:rPr>
        <w:t xml:space="preserve">Article 1(h) of Regulation </w:t>
      </w:r>
      <w:r w:rsidRPr="00F75C47">
        <w:rPr>
          <w:rFonts w:asciiTheme="majorBidi" w:hAnsiTheme="majorBidi" w:cstheme="majorBidi"/>
          <w:sz w:val="20"/>
          <w:szCs w:val="20"/>
        </w:rPr>
        <w:t xml:space="preserve">659/1999 defines an </w:t>
      </w:r>
      <w:r w:rsidRPr="00F75C47">
        <w:rPr>
          <w:rFonts w:asciiTheme="majorBidi" w:hAnsiTheme="majorBidi" w:cstheme="majorBidi"/>
          <w:sz w:val="20"/>
          <w:szCs w:val="20"/>
          <w:shd w:val="clear" w:color="auto" w:fill="FFFFFF"/>
        </w:rPr>
        <w:t>“interested party” as “any Member State and any person, undertaking or association of undertakings whose interests might be affected by the granting of aid, in particular the beneficiary of the aid, competing undertakings and trade associations”.</w:t>
      </w:r>
    </w:p>
    <w:p w14:paraId="2FEEAAB4" w14:textId="3283FDD1" w:rsidR="00A64A14" w:rsidRPr="00F75C47" w:rsidRDefault="00A64A14">
      <w:pPr>
        <w:tabs>
          <w:tab w:val="left" w:pos="1701"/>
        </w:tabs>
        <w:suppressAutoHyphens/>
        <w:spacing w:after="120" w:line="240" w:lineRule="atLeast"/>
        <w:ind w:left="1134" w:right="521"/>
        <w:jc w:val="both"/>
        <w:rPr>
          <w:rFonts w:asciiTheme="majorBidi" w:hAnsiTheme="majorBidi"/>
          <w:i/>
          <w:sz w:val="20"/>
        </w:rPr>
      </w:pPr>
      <w:r w:rsidRPr="00F75C47">
        <w:rPr>
          <w:rFonts w:asciiTheme="majorBidi" w:hAnsiTheme="majorBidi" w:cstheme="majorBidi"/>
          <w:i/>
          <w:iCs/>
          <w:sz w:val="20"/>
          <w:szCs w:val="20"/>
        </w:rPr>
        <w:t>Request</w:t>
      </w:r>
      <w:r w:rsidRPr="00F75C47">
        <w:rPr>
          <w:rFonts w:asciiTheme="majorBidi" w:hAnsiTheme="majorBidi"/>
          <w:i/>
          <w:sz w:val="20"/>
        </w:rPr>
        <w:t xml:space="preserve"> for </w:t>
      </w:r>
      <w:r w:rsidR="00A20E87" w:rsidRPr="00F75C47">
        <w:rPr>
          <w:rFonts w:asciiTheme="majorBidi" w:hAnsiTheme="majorBidi"/>
          <w:i/>
          <w:sz w:val="20"/>
        </w:rPr>
        <w:t>i</w:t>
      </w:r>
      <w:r w:rsidRPr="00F75C47">
        <w:rPr>
          <w:rFonts w:asciiTheme="majorBidi" w:hAnsiTheme="majorBidi"/>
          <w:i/>
          <w:sz w:val="20"/>
        </w:rPr>
        <w:t xml:space="preserve">nternal </w:t>
      </w:r>
      <w:r w:rsidR="00A20E87" w:rsidRPr="00F75C47">
        <w:rPr>
          <w:rFonts w:asciiTheme="majorBidi" w:hAnsiTheme="majorBidi"/>
          <w:i/>
          <w:sz w:val="20"/>
        </w:rPr>
        <w:t>r</w:t>
      </w:r>
      <w:r w:rsidRPr="00F75C47">
        <w:rPr>
          <w:rFonts w:asciiTheme="majorBidi" w:hAnsiTheme="majorBidi"/>
          <w:i/>
          <w:sz w:val="20"/>
        </w:rPr>
        <w:t xml:space="preserve">eview </w:t>
      </w:r>
      <w:bookmarkStart w:id="5" w:name="_Ref9408948"/>
    </w:p>
    <w:p w14:paraId="721791EE" w14:textId="2C2C493A" w:rsidR="00A64A14" w:rsidRPr="00F75C47" w:rsidRDefault="00A64A14" w:rsidP="000F2392">
      <w:pPr>
        <w:numPr>
          <w:ilvl w:val="0"/>
          <w:numId w:val="2"/>
        </w:numPr>
        <w:tabs>
          <w:tab w:val="num" w:pos="1134"/>
          <w:tab w:val="left" w:pos="1701"/>
        </w:tabs>
        <w:suppressAutoHyphens/>
        <w:spacing w:after="120" w:line="240" w:lineRule="atLeast"/>
        <w:ind w:left="1134" w:right="521" w:firstLine="0"/>
        <w:jc w:val="both"/>
        <w:rPr>
          <w:rFonts w:asciiTheme="majorBidi" w:hAnsiTheme="majorBidi"/>
          <w:sz w:val="20"/>
        </w:rPr>
      </w:pPr>
      <w:bookmarkStart w:id="6" w:name="_Ref508105293"/>
      <w:r w:rsidRPr="00F75C47">
        <w:rPr>
          <w:rFonts w:asciiTheme="majorBidi" w:hAnsiTheme="majorBidi"/>
          <w:sz w:val="20"/>
        </w:rPr>
        <w:t xml:space="preserve">Article 10 of Regulation (EC) No 1367/2006 of the European Parliament and of the Council of 6 September 2006 on the application of the provisions of the Aarhus Convention to Community institutions and bodies (the Aarhus Regulation) entitles an NGO meeting certain criteria to make a request for internal review to </w:t>
      </w:r>
      <w:r w:rsidR="00BA4338" w:rsidRPr="00F75C47">
        <w:rPr>
          <w:rFonts w:asciiTheme="majorBidi" w:hAnsiTheme="majorBidi" w:cstheme="majorBidi"/>
          <w:sz w:val="20"/>
        </w:rPr>
        <w:t>a</w:t>
      </w:r>
      <w:r w:rsidR="00BA4338" w:rsidRPr="00F75C47">
        <w:rPr>
          <w:rFonts w:asciiTheme="majorBidi" w:hAnsiTheme="majorBidi"/>
          <w:sz w:val="20"/>
        </w:rPr>
        <w:t xml:space="preserve"> </w:t>
      </w:r>
      <w:r w:rsidRPr="00F75C47">
        <w:rPr>
          <w:rFonts w:asciiTheme="majorBidi" w:hAnsiTheme="majorBidi"/>
          <w:sz w:val="20"/>
        </w:rPr>
        <w:t>Community institution or body that has adopted an administrative act under environmental law. In accordance with article 12 of the Aarhus Regulation</w:t>
      </w:r>
      <w:r w:rsidR="00BA4338" w:rsidRPr="00F75C47">
        <w:rPr>
          <w:rFonts w:asciiTheme="majorBidi" w:hAnsiTheme="majorBidi"/>
          <w:sz w:val="20"/>
        </w:rPr>
        <w:t xml:space="preserve">, </w:t>
      </w:r>
      <w:r w:rsidR="00BA4338" w:rsidRPr="00F75C47">
        <w:rPr>
          <w:rFonts w:asciiTheme="majorBidi" w:hAnsiTheme="majorBidi" w:cstheme="majorBidi"/>
          <w:sz w:val="20"/>
        </w:rPr>
        <w:t>where the Community institution or body fails to act in accordance with article 10(2) or (3)</w:t>
      </w:r>
      <w:r w:rsidRPr="00F75C47">
        <w:rPr>
          <w:rFonts w:asciiTheme="majorBidi" w:hAnsiTheme="majorBidi" w:cstheme="majorBidi"/>
          <w:sz w:val="20"/>
        </w:rPr>
        <w:t xml:space="preserve">, </w:t>
      </w:r>
      <w:r w:rsidRPr="00F75C47">
        <w:rPr>
          <w:rFonts w:asciiTheme="majorBidi" w:hAnsiTheme="majorBidi"/>
          <w:sz w:val="20"/>
        </w:rPr>
        <w:t>an NGO that made such a request for internal review pursuant to article 10 may institute proceedings before the Court of Justice in accordance with the relevant provisions of the Treaty.</w:t>
      </w:r>
      <w:bookmarkEnd w:id="6"/>
    </w:p>
    <w:p w14:paraId="1B61B3A2" w14:textId="77777777" w:rsidR="00C70D2D" w:rsidRPr="00F75C47" w:rsidRDefault="00A64A14" w:rsidP="000F2392">
      <w:pPr>
        <w:numPr>
          <w:ilvl w:val="0"/>
          <w:numId w:val="2"/>
        </w:numPr>
        <w:tabs>
          <w:tab w:val="num" w:pos="1134"/>
          <w:tab w:val="left" w:pos="1701"/>
        </w:tabs>
        <w:suppressAutoHyphens/>
        <w:spacing w:after="120" w:line="240" w:lineRule="atLeast"/>
        <w:ind w:left="1134" w:right="521" w:firstLine="0"/>
        <w:jc w:val="both"/>
        <w:rPr>
          <w:rFonts w:asciiTheme="majorBidi" w:hAnsiTheme="majorBidi"/>
          <w:sz w:val="20"/>
        </w:rPr>
      </w:pPr>
      <w:bookmarkStart w:id="7" w:name="_Ref57813695"/>
      <w:bookmarkStart w:id="8" w:name="_Ref508043404"/>
      <w:bookmarkStart w:id="9" w:name="_Ref508105305"/>
      <w:r w:rsidRPr="00F75C47">
        <w:rPr>
          <w:rFonts w:asciiTheme="majorBidi" w:hAnsiTheme="majorBidi"/>
          <w:sz w:val="20"/>
        </w:rPr>
        <w:t>Article 2(2) of the Aarhus Regulation states</w:t>
      </w:r>
      <w:r w:rsidR="00C70D2D" w:rsidRPr="00F75C47">
        <w:rPr>
          <w:rFonts w:asciiTheme="majorBidi" w:hAnsiTheme="majorBidi"/>
          <w:sz w:val="20"/>
        </w:rPr>
        <w:t>, inter alia,</w:t>
      </w:r>
      <w:r w:rsidRPr="00F75C47">
        <w:rPr>
          <w:rFonts w:asciiTheme="majorBidi" w:hAnsiTheme="majorBidi"/>
          <w:sz w:val="20"/>
        </w:rPr>
        <w:t xml:space="preserve"> that</w:t>
      </w:r>
      <w:r w:rsidR="00C70D2D" w:rsidRPr="00F75C47">
        <w:rPr>
          <w:rFonts w:asciiTheme="majorBidi" w:hAnsiTheme="majorBidi"/>
          <w:sz w:val="20"/>
        </w:rPr>
        <w:t>:</w:t>
      </w:r>
      <w:bookmarkEnd w:id="7"/>
      <w:r w:rsidRPr="00F75C47">
        <w:rPr>
          <w:rFonts w:asciiTheme="majorBidi" w:hAnsiTheme="majorBidi"/>
          <w:sz w:val="20"/>
        </w:rPr>
        <w:t xml:space="preserve"> </w:t>
      </w:r>
    </w:p>
    <w:p w14:paraId="6EEAF3AC" w14:textId="0CAD0269" w:rsidR="004642A6" w:rsidRPr="00F75C47" w:rsidRDefault="00C70D2D" w:rsidP="007D18DC">
      <w:pPr>
        <w:tabs>
          <w:tab w:val="left" w:pos="1701"/>
        </w:tabs>
        <w:suppressAutoHyphens/>
        <w:spacing w:after="120" w:line="240" w:lineRule="atLeast"/>
        <w:ind w:left="1701" w:right="521"/>
        <w:jc w:val="both"/>
        <w:rPr>
          <w:rFonts w:asciiTheme="majorBidi" w:hAnsiTheme="majorBidi"/>
          <w:sz w:val="20"/>
        </w:rPr>
      </w:pPr>
      <w:r w:rsidRPr="00F75C47">
        <w:rPr>
          <w:rFonts w:asciiTheme="majorBidi" w:hAnsiTheme="majorBidi"/>
          <w:sz w:val="20"/>
        </w:rPr>
        <w:t xml:space="preserve">“Administrative acts and administrative omissions shall not include measures taken or omissions by a Community institution or body in its capacity as an administrative review body, such as under: </w:t>
      </w:r>
    </w:p>
    <w:p w14:paraId="4C1CA28F" w14:textId="3A0203D9" w:rsidR="00B50680" w:rsidRPr="00F75C47" w:rsidRDefault="009B6F03" w:rsidP="00364BE7">
      <w:pPr>
        <w:pStyle w:val="ListParagraph"/>
        <w:numPr>
          <w:ilvl w:val="0"/>
          <w:numId w:val="50"/>
        </w:numPr>
        <w:tabs>
          <w:tab w:val="left" w:pos="1701"/>
        </w:tabs>
        <w:suppressAutoHyphens/>
        <w:spacing w:after="120" w:line="240" w:lineRule="atLeast"/>
        <w:ind w:right="521"/>
        <w:jc w:val="both"/>
        <w:rPr>
          <w:rFonts w:asciiTheme="majorBidi" w:hAnsiTheme="majorBidi"/>
          <w:sz w:val="20"/>
        </w:rPr>
      </w:pPr>
      <w:r w:rsidRPr="00F75C47">
        <w:rPr>
          <w:rFonts w:asciiTheme="majorBidi" w:hAnsiTheme="majorBidi" w:cstheme="majorBidi"/>
          <w:sz w:val="20"/>
          <w:szCs w:val="20"/>
        </w:rPr>
        <w:t>Articles</w:t>
      </w:r>
      <w:r w:rsidRPr="00F75C47">
        <w:rPr>
          <w:rFonts w:asciiTheme="majorBidi" w:hAnsiTheme="majorBidi"/>
          <w:sz w:val="20"/>
        </w:rPr>
        <w:t xml:space="preserve"> </w:t>
      </w:r>
      <w:r w:rsidR="00A64A14" w:rsidRPr="00F75C47">
        <w:rPr>
          <w:rFonts w:asciiTheme="majorBidi" w:hAnsiTheme="majorBidi"/>
          <w:sz w:val="20"/>
        </w:rPr>
        <w:t>81, 82, 86 and 87 of the [EC] Treaty (competition rules).”</w:t>
      </w:r>
      <w:bookmarkEnd w:id="8"/>
      <w:r w:rsidR="00A64A14" w:rsidRPr="00F75C47">
        <w:rPr>
          <w:rFonts w:asciiTheme="majorBidi" w:hAnsiTheme="majorBidi"/>
          <w:sz w:val="20"/>
        </w:rPr>
        <w:t xml:space="preserve"> </w:t>
      </w:r>
    </w:p>
    <w:p w14:paraId="0D464FCD" w14:textId="0AB22282" w:rsidR="00A64A14" w:rsidRPr="00F75C47" w:rsidRDefault="00A64A14" w:rsidP="00364BE7">
      <w:pPr>
        <w:numPr>
          <w:ilvl w:val="0"/>
          <w:numId w:val="2"/>
        </w:numPr>
        <w:tabs>
          <w:tab w:val="num" w:pos="1134"/>
          <w:tab w:val="left" w:pos="1701"/>
        </w:tabs>
        <w:suppressAutoHyphens/>
        <w:spacing w:after="120" w:line="240" w:lineRule="atLeast"/>
        <w:ind w:left="1134" w:right="521" w:firstLine="0"/>
        <w:jc w:val="both"/>
        <w:rPr>
          <w:rFonts w:asciiTheme="majorBidi" w:hAnsiTheme="majorBidi"/>
          <w:sz w:val="20"/>
        </w:rPr>
      </w:pPr>
      <w:r w:rsidRPr="00F75C47">
        <w:rPr>
          <w:rFonts w:asciiTheme="majorBidi" w:hAnsiTheme="majorBidi"/>
          <w:sz w:val="20"/>
        </w:rPr>
        <w:t xml:space="preserve">Since the adoption of the Lisbon Treaty, </w:t>
      </w:r>
      <w:r w:rsidR="009B6F03" w:rsidRPr="00F75C47">
        <w:rPr>
          <w:rFonts w:asciiTheme="majorBidi" w:hAnsiTheme="majorBidi" w:cstheme="majorBidi"/>
          <w:sz w:val="20"/>
          <w:szCs w:val="20"/>
        </w:rPr>
        <w:t>articles 81, 82, 86 and 87</w:t>
      </w:r>
      <w:r w:rsidRPr="00F75C47">
        <w:rPr>
          <w:rFonts w:asciiTheme="majorBidi" w:hAnsiTheme="majorBidi" w:cstheme="majorBidi"/>
          <w:sz w:val="20"/>
          <w:szCs w:val="20"/>
        </w:rPr>
        <w:t xml:space="preserve"> </w:t>
      </w:r>
      <w:r w:rsidR="009B6F03" w:rsidRPr="00F75C47">
        <w:rPr>
          <w:rFonts w:asciiTheme="majorBidi" w:hAnsiTheme="majorBidi" w:cstheme="majorBidi"/>
          <w:sz w:val="20"/>
          <w:szCs w:val="20"/>
        </w:rPr>
        <w:t>of the EC Treaty</w:t>
      </w:r>
      <w:r w:rsidR="009B6F03" w:rsidRPr="00F75C47">
        <w:rPr>
          <w:rFonts w:asciiTheme="majorBidi" w:hAnsiTheme="majorBidi"/>
          <w:sz w:val="20"/>
        </w:rPr>
        <w:t xml:space="preserve"> </w:t>
      </w:r>
      <w:r w:rsidRPr="00F75C47">
        <w:rPr>
          <w:rFonts w:asciiTheme="majorBidi" w:hAnsiTheme="majorBidi"/>
          <w:sz w:val="20"/>
        </w:rPr>
        <w:t xml:space="preserve">have been replaced </w:t>
      </w:r>
      <w:r w:rsidR="009B6F03" w:rsidRPr="00F75C47">
        <w:rPr>
          <w:rFonts w:asciiTheme="majorBidi" w:hAnsiTheme="majorBidi" w:cstheme="majorBidi"/>
          <w:sz w:val="20"/>
          <w:szCs w:val="20"/>
        </w:rPr>
        <w:t>by</w:t>
      </w:r>
      <w:r w:rsidR="009B6F03" w:rsidRPr="00F75C47">
        <w:rPr>
          <w:rFonts w:asciiTheme="majorBidi" w:hAnsiTheme="majorBidi"/>
          <w:sz w:val="20"/>
        </w:rPr>
        <w:t xml:space="preserve"> </w:t>
      </w:r>
      <w:r w:rsidRPr="00F75C47">
        <w:rPr>
          <w:rFonts w:asciiTheme="majorBidi" w:hAnsiTheme="majorBidi"/>
          <w:sz w:val="20"/>
        </w:rPr>
        <w:t>articles 101, 102, 106 and 107 TFEU</w:t>
      </w:r>
      <w:r w:rsidR="00A20E87" w:rsidRPr="00F75C47">
        <w:rPr>
          <w:rFonts w:asciiTheme="majorBidi" w:hAnsiTheme="majorBidi"/>
          <w:sz w:val="20"/>
        </w:rPr>
        <w:t xml:space="preserve"> respectively</w:t>
      </w:r>
      <w:r w:rsidRPr="00F75C47">
        <w:rPr>
          <w:rFonts w:asciiTheme="majorBidi" w:hAnsiTheme="majorBidi"/>
          <w:sz w:val="20"/>
        </w:rPr>
        <w:t>.</w:t>
      </w:r>
      <w:bookmarkEnd w:id="9"/>
    </w:p>
    <w:p w14:paraId="018B870C" w14:textId="0988CE51" w:rsidR="00A64A14" w:rsidRPr="00F75C47" w:rsidRDefault="00A64A14">
      <w:pPr>
        <w:tabs>
          <w:tab w:val="left" w:pos="1701"/>
        </w:tabs>
        <w:suppressAutoHyphens/>
        <w:spacing w:after="120" w:line="240" w:lineRule="atLeast"/>
        <w:ind w:left="1134" w:right="521"/>
        <w:jc w:val="both"/>
        <w:rPr>
          <w:rFonts w:asciiTheme="majorBidi" w:hAnsiTheme="majorBidi"/>
          <w:i/>
          <w:sz w:val="20"/>
        </w:rPr>
      </w:pPr>
      <w:r w:rsidRPr="00F75C47">
        <w:rPr>
          <w:rFonts w:asciiTheme="majorBidi" w:hAnsiTheme="majorBidi"/>
          <w:i/>
          <w:sz w:val="20"/>
        </w:rPr>
        <w:t>Annulment procedure</w:t>
      </w:r>
    </w:p>
    <w:p w14:paraId="17833364" w14:textId="7387BD55" w:rsidR="00AD7FF1" w:rsidRPr="00F75C47" w:rsidRDefault="004F18D0" w:rsidP="000F2392">
      <w:pPr>
        <w:numPr>
          <w:ilvl w:val="0"/>
          <w:numId w:val="2"/>
        </w:numPr>
        <w:tabs>
          <w:tab w:val="num" w:pos="1134"/>
          <w:tab w:val="left" w:pos="1701"/>
        </w:tabs>
        <w:suppressAutoHyphens/>
        <w:spacing w:after="120" w:line="240" w:lineRule="atLeast"/>
        <w:ind w:left="1134" w:right="521" w:firstLine="0"/>
        <w:jc w:val="both"/>
        <w:rPr>
          <w:rFonts w:asciiTheme="majorBidi" w:hAnsiTheme="majorBidi"/>
          <w:sz w:val="20"/>
        </w:rPr>
      </w:pPr>
      <w:bookmarkStart w:id="10" w:name="_Ref10812885"/>
      <w:r w:rsidRPr="00F75C47">
        <w:rPr>
          <w:rFonts w:asciiTheme="majorBidi" w:hAnsiTheme="majorBidi"/>
          <w:sz w:val="20"/>
        </w:rPr>
        <w:t>In accordance with article 263</w:t>
      </w:r>
      <w:r w:rsidR="0021078E" w:rsidRPr="00F75C47">
        <w:rPr>
          <w:rFonts w:asciiTheme="majorBidi" w:hAnsiTheme="majorBidi"/>
          <w:sz w:val="20"/>
        </w:rPr>
        <w:t>(</w:t>
      </w:r>
      <w:r w:rsidRPr="00F75C47">
        <w:rPr>
          <w:rFonts w:asciiTheme="majorBidi" w:hAnsiTheme="majorBidi"/>
          <w:sz w:val="20"/>
        </w:rPr>
        <w:t>4</w:t>
      </w:r>
      <w:r w:rsidR="0021078E" w:rsidRPr="00F75C47">
        <w:rPr>
          <w:rFonts w:asciiTheme="majorBidi" w:hAnsiTheme="majorBidi"/>
          <w:sz w:val="20"/>
        </w:rPr>
        <w:t>)</w:t>
      </w:r>
      <w:r w:rsidRPr="00F75C47">
        <w:rPr>
          <w:rFonts w:asciiTheme="majorBidi" w:hAnsiTheme="majorBidi"/>
          <w:sz w:val="20"/>
        </w:rPr>
        <w:t xml:space="preserve"> TFEU, any natural or legal person may institute proceedings</w:t>
      </w:r>
      <w:r w:rsidR="00AD7FF1" w:rsidRPr="00F75C47">
        <w:rPr>
          <w:rFonts w:asciiTheme="majorBidi" w:hAnsiTheme="majorBidi"/>
          <w:sz w:val="20"/>
        </w:rPr>
        <w:t>:</w:t>
      </w:r>
      <w:bookmarkEnd w:id="10"/>
    </w:p>
    <w:p w14:paraId="6555B3FD" w14:textId="44E568D5" w:rsidR="00AD7FF1" w:rsidRPr="00F75C47" w:rsidRDefault="004F18D0" w:rsidP="00364BE7">
      <w:pPr>
        <w:pStyle w:val="ListParagraph"/>
        <w:numPr>
          <w:ilvl w:val="0"/>
          <w:numId w:val="43"/>
        </w:numPr>
        <w:tabs>
          <w:tab w:val="left" w:pos="1701"/>
        </w:tabs>
        <w:suppressAutoHyphens/>
        <w:spacing w:after="120" w:line="240" w:lineRule="atLeast"/>
        <w:ind w:left="1134" w:right="521" w:firstLine="567"/>
        <w:jc w:val="both"/>
        <w:rPr>
          <w:rFonts w:asciiTheme="majorBidi" w:hAnsiTheme="majorBidi"/>
          <w:sz w:val="20"/>
        </w:rPr>
      </w:pPr>
      <w:r w:rsidRPr="00F75C47">
        <w:rPr>
          <w:rFonts w:asciiTheme="majorBidi" w:hAnsiTheme="majorBidi"/>
          <w:sz w:val="20"/>
        </w:rPr>
        <w:t xml:space="preserve"> </w:t>
      </w:r>
      <w:r w:rsidR="00353AF7" w:rsidRPr="00F75C47">
        <w:rPr>
          <w:rFonts w:asciiTheme="majorBidi" w:hAnsiTheme="majorBidi"/>
          <w:sz w:val="20"/>
        </w:rPr>
        <w:t xml:space="preserve">Against </w:t>
      </w:r>
      <w:r w:rsidRPr="00F75C47">
        <w:rPr>
          <w:rFonts w:asciiTheme="majorBidi" w:hAnsiTheme="majorBidi"/>
          <w:sz w:val="20"/>
        </w:rPr>
        <w:t>an act</w:t>
      </w:r>
      <w:bookmarkStart w:id="11" w:name="_Ref508043702"/>
      <w:bookmarkEnd w:id="5"/>
      <w:r w:rsidR="008961EB" w:rsidRPr="00F75C47">
        <w:rPr>
          <w:rFonts w:asciiTheme="majorBidi" w:hAnsiTheme="majorBidi"/>
          <w:sz w:val="20"/>
        </w:rPr>
        <w:t xml:space="preserve"> </w:t>
      </w:r>
      <w:r w:rsidRPr="00F75C47">
        <w:rPr>
          <w:rFonts w:asciiTheme="majorBidi" w:hAnsiTheme="majorBidi"/>
          <w:sz w:val="20"/>
        </w:rPr>
        <w:t xml:space="preserve">which is of direct and individual concern to them, </w:t>
      </w:r>
      <w:bookmarkStart w:id="12" w:name="_Ref508043640"/>
      <w:bookmarkEnd w:id="11"/>
      <w:r w:rsidR="00AD7FF1" w:rsidRPr="00F75C47">
        <w:rPr>
          <w:rFonts w:asciiTheme="majorBidi" w:hAnsiTheme="majorBidi"/>
          <w:sz w:val="20"/>
        </w:rPr>
        <w:t>or</w:t>
      </w:r>
    </w:p>
    <w:p w14:paraId="2803A09C" w14:textId="2FF39D1B" w:rsidR="004F18D0" w:rsidRPr="00F75C47" w:rsidRDefault="00AD7FF1" w:rsidP="00364BE7">
      <w:pPr>
        <w:pStyle w:val="ListParagraph"/>
        <w:numPr>
          <w:ilvl w:val="0"/>
          <w:numId w:val="43"/>
        </w:numPr>
        <w:tabs>
          <w:tab w:val="left" w:pos="1701"/>
        </w:tabs>
        <w:suppressAutoHyphens/>
        <w:spacing w:after="120" w:line="240" w:lineRule="atLeast"/>
        <w:ind w:left="1134" w:right="521" w:firstLine="567"/>
        <w:jc w:val="both"/>
        <w:rPr>
          <w:rFonts w:asciiTheme="majorBidi" w:hAnsiTheme="majorBidi"/>
          <w:sz w:val="20"/>
        </w:rPr>
      </w:pPr>
      <w:r w:rsidRPr="00F75C47">
        <w:rPr>
          <w:rFonts w:asciiTheme="majorBidi" w:hAnsiTheme="majorBidi"/>
          <w:sz w:val="20"/>
        </w:rPr>
        <w:t xml:space="preserve"> </w:t>
      </w:r>
      <w:r w:rsidR="00353AF7" w:rsidRPr="00F75C47">
        <w:rPr>
          <w:rFonts w:asciiTheme="majorBidi" w:hAnsiTheme="majorBidi"/>
          <w:sz w:val="20"/>
        </w:rPr>
        <w:t xml:space="preserve">Against </w:t>
      </w:r>
      <w:r w:rsidR="004F18D0" w:rsidRPr="00F75C47">
        <w:rPr>
          <w:rFonts w:asciiTheme="majorBidi" w:hAnsiTheme="majorBidi"/>
          <w:sz w:val="20"/>
        </w:rPr>
        <w:t>a regulatory act which is of direct concern to them and does not entail implementing measures.</w:t>
      </w:r>
      <w:bookmarkEnd w:id="12"/>
      <w:r w:rsidR="008961EB" w:rsidRPr="00F75C47">
        <w:rPr>
          <w:rStyle w:val="FootnoteReference"/>
          <w:rFonts w:asciiTheme="majorBidi" w:hAnsiTheme="majorBidi"/>
        </w:rPr>
        <w:footnoteReference w:id="12"/>
      </w:r>
    </w:p>
    <w:p w14:paraId="3743D1A2" w14:textId="45170ED4" w:rsidR="004F18D0" w:rsidRPr="00F75C47" w:rsidRDefault="004F18D0">
      <w:pPr>
        <w:tabs>
          <w:tab w:val="left" w:pos="1701"/>
        </w:tabs>
        <w:suppressAutoHyphens/>
        <w:spacing w:after="120" w:line="240" w:lineRule="atLeast"/>
        <w:ind w:left="1134" w:right="521"/>
        <w:jc w:val="both"/>
        <w:rPr>
          <w:rFonts w:asciiTheme="majorBidi" w:hAnsiTheme="majorBidi"/>
          <w:i/>
          <w:sz w:val="20"/>
        </w:rPr>
      </w:pPr>
      <w:r w:rsidRPr="00F75C47">
        <w:rPr>
          <w:rFonts w:asciiTheme="majorBidi" w:hAnsiTheme="majorBidi"/>
          <w:i/>
          <w:sz w:val="20"/>
        </w:rPr>
        <w:t>Preliminary ruling</w:t>
      </w:r>
      <w:r w:rsidR="00BA4338" w:rsidRPr="00F75C47">
        <w:rPr>
          <w:rFonts w:asciiTheme="majorBidi" w:hAnsiTheme="majorBidi" w:cstheme="majorBidi"/>
          <w:i/>
          <w:sz w:val="20"/>
        </w:rPr>
        <w:t xml:space="preserve"> procedure</w:t>
      </w:r>
    </w:p>
    <w:p w14:paraId="3FCE108A" w14:textId="77777777" w:rsidR="004F18D0" w:rsidRPr="00F75C47" w:rsidRDefault="004F18D0" w:rsidP="000F2392">
      <w:pPr>
        <w:numPr>
          <w:ilvl w:val="0"/>
          <w:numId w:val="2"/>
        </w:numPr>
        <w:tabs>
          <w:tab w:val="num" w:pos="1134"/>
          <w:tab w:val="left" w:pos="1701"/>
        </w:tabs>
        <w:suppressAutoHyphens/>
        <w:spacing w:after="120" w:line="240" w:lineRule="atLeast"/>
        <w:ind w:left="1134" w:right="521" w:firstLine="0"/>
        <w:jc w:val="both"/>
        <w:rPr>
          <w:rFonts w:asciiTheme="majorBidi" w:hAnsiTheme="majorBidi"/>
          <w:sz w:val="20"/>
        </w:rPr>
      </w:pPr>
      <w:r w:rsidRPr="00F75C47">
        <w:rPr>
          <w:rFonts w:asciiTheme="majorBidi" w:hAnsiTheme="majorBidi"/>
          <w:sz w:val="20"/>
        </w:rPr>
        <w:t xml:space="preserve">Article 267 TFEU provides: </w:t>
      </w:r>
    </w:p>
    <w:p w14:paraId="5F5D4C0F" w14:textId="77777777" w:rsidR="004F18D0" w:rsidRPr="00F75C47" w:rsidRDefault="004F18D0">
      <w:pPr>
        <w:suppressAutoHyphens/>
        <w:spacing w:after="120" w:line="240" w:lineRule="atLeast"/>
        <w:ind w:left="1701" w:right="521"/>
        <w:jc w:val="both"/>
        <w:rPr>
          <w:rFonts w:asciiTheme="majorBidi" w:hAnsiTheme="majorBidi"/>
          <w:sz w:val="20"/>
        </w:rPr>
      </w:pPr>
      <w:r w:rsidRPr="00F75C47">
        <w:rPr>
          <w:rFonts w:asciiTheme="majorBidi" w:hAnsiTheme="majorBidi"/>
          <w:sz w:val="20"/>
        </w:rPr>
        <w:t>“The Court of Justice of the European Union shall have jurisdiction to give preliminary rulings concerning:</w:t>
      </w:r>
    </w:p>
    <w:p w14:paraId="193BB1B2" w14:textId="760221CF" w:rsidR="004F18D0" w:rsidRPr="00F75C47" w:rsidRDefault="004F18D0" w:rsidP="00364BE7">
      <w:pPr>
        <w:suppressAutoHyphens/>
        <w:spacing w:after="120" w:line="240" w:lineRule="atLeast"/>
        <w:ind w:left="1701" w:right="521"/>
        <w:jc w:val="both"/>
        <w:rPr>
          <w:rFonts w:asciiTheme="majorBidi" w:hAnsiTheme="majorBidi"/>
          <w:sz w:val="20"/>
        </w:rPr>
      </w:pPr>
      <w:r w:rsidRPr="00F75C47">
        <w:rPr>
          <w:rFonts w:asciiTheme="majorBidi" w:hAnsiTheme="majorBidi"/>
          <w:sz w:val="20"/>
        </w:rPr>
        <w:t xml:space="preserve">(a) </w:t>
      </w:r>
      <w:r w:rsidR="00F21E43" w:rsidRPr="00F75C47">
        <w:rPr>
          <w:rFonts w:asciiTheme="majorBidi" w:hAnsiTheme="majorBidi" w:cstheme="majorBidi"/>
          <w:sz w:val="20"/>
          <w:szCs w:val="20"/>
        </w:rPr>
        <w:t xml:space="preserve">     </w:t>
      </w:r>
      <w:r w:rsidR="009B6F03" w:rsidRPr="00F75C47">
        <w:rPr>
          <w:rFonts w:asciiTheme="majorBidi" w:hAnsiTheme="majorBidi" w:cstheme="majorBidi"/>
          <w:sz w:val="20"/>
          <w:szCs w:val="20"/>
        </w:rPr>
        <w:t>T</w:t>
      </w:r>
      <w:r w:rsidRPr="00F75C47">
        <w:rPr>
          <w:rFonts w:asciiTheme="majorBidi" w:hAnsiTheme="majorBidi" w:cstheme="majorBidi"/>
          <w:sz w:val="20"/>
          <w:szCs w:val="20"/>
        </w:rPr>
        <w:t>he</w:t>
      </w:r>
      <w:r w:rsidRPr="00F75C47">
        <w:rPr>
          <w:rFonts w:asciiTheme="majorBidi" w:hAnsiTheme="majorBidi"/>
          <w:sz w:val="20"/>
        </w:rPr>
        <w:t xml:space="preserve"> interpretation of the Treaties;</w:t>
      </w:r>
    </w:p>
    <w:p w14:paraId="221CAFC4" w14:textId="4AD8071F" w:rsidR="004F18D0" w:rsidRPr="00F75C47" w:rsidRDefault="004F18D0" w:rsidP="00364BE7">
      <w:pPr>
        <w:suppressAutoHyphens/>
        <w:spacing w:after="120" w:line="240" w:lineRule="atLeast"/>
        <w:ind w:left="1701" w:right="521"/>
        <w:jc w:val="both"/>
        <w:rPr>
          <w:rFonts w:asciiTheme="majorBidi" w:hAnsiTheme="majorBidi"/>
          <w:sz w:val="20"/>
        </w:rPr>
      </w:pPr>
      <w:r w:rsidRPr="00F75C47">
        <w:rPr>
          <w:rFonts w:asciiTheme="majorBidi" w:hAnsiTheme="majorBidi"/>
          <w:sz w:val="20"/>
        </w:rPr>
        <w:t xml:space="preserve">(b) </w:t>
      </w:r>
      <w:r w:rsidR="00F21E43" w:rsidRPr="00F75C47">
        <w:rPr>
          <w:rFonts w:asciiTheme="majorBidi" w:hAnsiTheme="majorBidi" w:cstheme="majorBidi"/>
          <w:sz w:val="20"/>
          <w:szCs w:val="20"/>
        </w:rPr>
        <w:t xml:space="preserve">   </w:t>
      </w:r>
      <w:r w:rsidR="009B6F03" w:rsidRPr="00F75C47">
        <w:rPr>
          <w:rFonts w:asciiTheme="majorBidi" w:hAnsiTheme="majorBidi" w:cstheme="majorBidi"/>
          <w:sz w:val="20"/>
          <w:szCs w:val="20"/>
        </w:rPr>
        <w:t>T</w:t>
      </w:r>
      <w:r w:rsidRPr="00F75C47">
        <w:rPr>
          <w:rFonts w:asciiTheme="majorBidi" w:hAnsiTheme="majorBidi" w:cstheme="majorBidi"/>
          <w:sz w:val="20"/>
          <w:szCs w:val="20"/>
        </w:rPr>
        <w:t>he</w:t>
      </w:r>
      <w:r w:rsidRPr="00F75C47">
        <w:rPr>
          <w:rFonts w:asciiTheme="majorBidi" w:hAnsiTheme="majorBidi"/>
          <w:sz w:val="20"/>
        </w:rPr>
        <w:t xml:space="preserve"> validity and interpretation of acts of the institutions, bodies, offices or agencies of the Union;</w:t>
      </w:r>
    </w:p>
    <w:p w14:paraId="418FAB39" w14:textId="77777777" w:rsidR="004F18D0" w:rsidRPr="00F75C47" w:rsidRDefault="004F18D0" w:rsidP="007D18DC">
      <w:pPr>
        <w:suppressAutoHyphens/>
        <w:spacing w:after="120" w:line="240" w:lineRule="atLeast"/>
        <w:ind w:left="1701" w:right="521"/>
        <w:jc w:val="both"/>
        <w:rPr>
          <w:rFonts w:asciiTheme="majorBidi" w:hAnsiTheme="majorBidi"/>
          <w:sz w:val="20"/>
        </w:rPr>
      </w:pPr>
      <w:r w:rsidRPr="00F75C47">
        <w:rPr>
          <w:rFonts w:asciiTheme="majorBidi" w:hAnsiTheme="majorBidi"/>
          <w:sz w:val="20"/>
        </w:rPr>
        <w:t>Where such a question is raised before any court or tribunal of a Member State, that court or tribunal may, if it considers that a decision on the question is necessary to enable it to give judgment, request the Court to give a ruling thereon.</w:t>
      </w:r>
    </w:p>
    <w:p w14:paraId="3FA88C50" w14:textId="16AD63C8" w:rsidR="004F18D0" w:rsidRPr="00F75C47" w:rsidRDefault="004F18D0" w:rsidP="007D18DC">
      <w:pPr>
        <w:suppressAutoHyphens/>
        <w:spacing w:after="120" w:line="240" w:lineRule="atLeast"/>
        <w:ind w:left="1701" w:right="521"/>
        <w:jc w:val="both"/>
        <w:rPr>
          <w:rFonts w:asciiTheme="majorBidi" w:hAnsiTheme="majorBidi"/>
          <w:sz w:val="20"/>
        </w:rPr>
      </w:pPr>
      <w:r w:rsidRPr="00F75C47">
        <w:rPr>
          <w:rFonts w:asciiTheme="majorBidi" w:hAnsiTheme="majorBidi"/>
          <w:sz w:val="20"/>
        </w:rPr>
        <w:t>Where any such question is raised in a case pending before a court or tribunal of a Member State against whose decisions there is no judicial remedy under national law, that court or tribunal shall bring the matter before the Court.”</w:t>
      </w:r>
    </w:p>
    <w:p w14:paraId="401BB467" w14:textId="77777777" w:rsidR="004F18D0" w:rsidRPr="00F75C47" w:rsidRDefault="004F18D0" w:rsidP="00364BE7">
      <w:pPr>
        <w:pStyle w:val="ListParagraph"/>
        <w:keepNext/>
        <w:keepLines/>
        <w:numPr>
          <w:ilvl w:val="0"/>
          <w:numId w:val="3"/>
        </w:numPr>
        <w:tabs>
          <w:tab w:val="right" w:pos="851"/>
          <w:tab w:val="left" w:pos="1701"/>
        </w:tabs>
        <w:suppressAutoHyphens/>
        <w:spacing w:before="360" w:after="120" w:line="270" w:lineRule="exact"/>
        <w:ind w:right="1134" w:firstLine="0"/>
        <w:rPr>
          <w:rFonts w:asciiTheme="majorBidi" w:hAnsiTheme="majorBidi"/>
          <w:b/>
          <w:sz w:val="24"/>
        </w:rPr>
      </w:pPr>
      <w:r w:rsidRPr="00F75C47">
        <w:rPr>
          <w:rFonts w:asciiTheme="majorBidi" w:hAnsiTheme="majorBidi"/>
          <w:b/>
          <w:sz w:val="24"/>
        </w:rPr>
        <w:t xml:space="preserve">Facts </w:t>
      </w:r>
    </w:p>
    <w:p w14:paraId="01E49702" w14:textId="77777777" w:rsidR="004F18D0" w:rsidRPr="00F75C47" w:rsidRDefault="004F18D0" w:rsidP="007D18DC">
      <w:pPr>
        <w:pStyle w:val="ListParagraph"/>
        <w:keepNext/>
        <w:keepLines/>
        <w:tabs>
          <w:tab w:val="right" w:pos="851"/>
          <w:tab w:val="left" w:pos="1701"/>
        </w:tabs>
        <w:suppressAutoHyphens/>
        <w:spacing w:before="360" w:after="120" w:line="270" w:lineRule="exact"/>
        <w:ind w:left="1200" w:right="1134"/>
        <w:rPr>
          <w:rFonts w:asciiTheme="majorBidi" w:hAnsiTheme="majorBidi"/>
          <w:b/>
          <w:sz w:val="20"/>
        </w:rPr>
      </w:pPr>
    </w:p>
    <w:p w14:paraId="3981D50F" w14:textId="2B49C3ED" w:rsidR="004F18D0" w:rsidRPr="00F75C47" w:rsidRDefault="00BA4338" w:rsidP="00364BE7">
      <w:pPr>
        <w:pStyle w:val="ListParagraph"/>
        <w:numPr>
          <w:ilvl w:val="0"/>
          <w:numId w:val="2"/>
        </w:numPr>
        <w:tabs>
          <w:tab w:val="left" w:pos="1701"/>
        </w:tabs>
        <w:suppressAutoHyphens/>
        <w:spacing w:after="120" w:line="240" w:lineRule="atLeast"/>
        <w:ind w:left="1134" w:right="522" w:firstLine="0"/>
        <w:contextualSpacing w:val="0"/>
        <w:jc w:val="both"/>
        <w:rPr>
          <w:rFonts w:asciiTheme="majorBidi" w:hAnsiTheme="majorBidi"/>
          <w:sz w:val="20"/>
        </w:rPr>
      </w:pPr>
      <w:r w:rsidRPr="00F75C47">
        <w:rPr>
          <w:rFonts w:asciiTheme="majorBidi" w:hAnsiTheme="majorBidi" w:cstheme="majorBidi"/>
          <w:sz w:val="20"/>
        </w:rPr>
        <w:t>In 2013</w:t>
      </w:r>
      <w:r w:rsidR="004F18D0" w:rsidRPr="00F75C47">
        <w:rPr>
          <w:rFonts w:asciiTheme="majorBidi" w:hAnsiTheme="majorBidi"/>
          <w:sz w:val="20"/>
        </w:rPr>
        <w:t xml:space="preserve">, the United Kingdom </w:t>
      </w:r>
      <w:r w:rsidRPr="00F75C47">
        <w:rPr>
          <w:rFonts w:asciiTheme="majorBidi" w:hAnsiTheme="majorBidi" w:cstheme="majorBidi"/>
          <w:sz w:val="20"/>
        </w:rPr>
        <w:t>passed an</w:t>
      </w:r>
      <w:r w:rsidRPr="00F75C47">
        <w:rPr>
          <w:rFonts w:asciiTheme="majorBidi" w:hAnsiTheme="majorBidi"/>
          <w:sz w:val="20"/>
        </w:rPr>
        <w:t xml:space="preserve"> Energy </w:t>
      </w:r>
      <w:r w:rsidRPr="00F75C47">
        <w:rPr>
          <w:rFonts w:asciiTheme="majorBidi" w:hAnsiTheme="majorBidi" w:cstheme="majorBidi"/>
          <w:sz w:val="20"/>
        </w:rPr>
        <w:t>Act that</w:t>
      </w:r>
      <w:r w:rsidR="004F18D0" w:rsidRPr="00F75C47">
        <w:rPr>
          <w:rFonts w:asciiTheme="majorBidi" w:hAnsiTheme="majorBidi" w:cstheme="majorBidi"/>
          <w:sz w:val="20"/>
        </w:rPr>
        <w:t xml:space="preserve"> includ</w:t>
      </w:r>
      <w:r w:rsidRPr="00F75C47">
        <w:rPr>
          <w:rFonts w:asciiTheme="majorBidi" w:hAnsiTheme="majorBidi" w:cstheme="majorBidi"/>
          <w:sz w:val="20"/>
        </w:rPr>
        <w:t>ed</w:t>
      </w:r>
      <w:r w:rsidR="004F18D0" w:rsidRPr="00F75C47">
        <w:rPr>
          <w:rFonts w:asciiTheme="majorBidi" w:hAnsiTheme="majorBidi"/>
          <w:sz w:val="20"/>
        </w:rPr>
        <w:t xml:space="preserve"> a framework for using “Contracts of Difference” and some other measures intended to guarantee revenue streams to producers of nuclear energy and to offer a specific rate of return above market conditions. The United Kingdom shortly thereafter announced plans to use this framework to support the building of two nuclear reactors in Somerset, England, known as Hinkley Point C</w:t>
      </w:r>
      <w:r w:rsidR="004F18D0" w:rsidRPr="00F75C47">
        <w:rPr>
          <w:rFonts w:asciiTheme="majorBidi" w:hAnsiTheme="majorBidi" w:cstheme="majorBidi"/>
          <w:sz w:val="20"/>
          <w:szCs w:val="20"/>
        </w:rPr>
        <w:t>.</w:t>
      </w:r>
      <w:r w:rsidR="004F18D0" w:rsidRPr="00F75C47">
        <w:rPr>
          <w:rStyle w:val="FootnoteReference"/>
          <w:rFonts w:asciiTheme="majorBidi" w:hAnsiTheme="majorBidi"/>
        </w:rPr>
        <w:footnoteReference w:id="13"/>
      </w:r>
    </w:p>
    <w:p w14:paraId="2695670D" w14:textId="43C95075" w:rsidR="00FE4F81" w:rsidRPr="00F75C47" w:rsidRDefault="009B323F" w:rsidP="00364BE7">
      <w:pPr>
        <w:pStyle w:val="ListParagraph"/>
        <w:numPr>
          <w:ilvl w:val="0"/>
          <w:numId w:val="2"/>
        </w:numPr>
        <w:tabs>
          <w:tab w:val="left" w:pos="1701"/>
        </w:tabs>
        <w:suppressAutoHyphens/>
        <w:spacing w:after="120" w:line="240" w:lineRule="atLeast"/>
        <w:ind w:left="1134" w:right="522" w:firstLine="0"/>
        <w:contextualSpacing w:val="0"/>
        <w:jc w:val="both"/>
        <w:rPr>
          <w:rFonts w:asciiTheme="majorBidi" w:hAnsiTheme="majorBidi" w:cstheme="majorBidi"/>
          <w:sz w:val="20"/>
          <w:szCs w:val="20"/>
        </w:rPr>
      </w:pPr>
      <w:bookmarkStart w:id="13" w:name="_Ref9431475"/>
      <w:r w:rsidRPr="00F75C47">
        <w:rPr>
          <w:rFonts w:asciiTheme="majorBidi" w:hAnsiTheme="majorBidi" w:cstheme="majorBidi"/>
          <w:sz w:val="20"/>
          <w:szCs w:val="20"/>
        </w:rPr>
        <w:t>On 22 October 2013, t</w:t>
      </w:r>
      <w:r w:rsidR="00FE4F81" w:rsidRPr="00F75C47">
        <w:rPr>
          <w:rFonts w:asciiTheme="majorBidi" w:hAnsiTheme="majorBidi" w:cstheme="majorBidi"/>
          <w:sz w:val="20"/>
          <w:szCs w:val="20"/>
        </w:rPr>
        <w:t>he</w:t>
      </w:r>
      <w:r w:rsidR="00FE4F81" w:rsidRPr="00F75C47">
        <w:rPr>
          <w:rFonts w:asciiTheme="majorBidi" w:hAnsiTheme="majorBidi"/>
          <w:sz w:val="20"/>
        </w:rPr>
        <w:t xml:space="preserve"> United Kingdom </w:t>
      </w:r>
      <w:r w:rsidR="00FE4F81" w:rsidRPr="00F75C47">
        <w:rPr>
          <w:rFonts w:asciiTheme="majorBidi" w:hAnsiTheme="majorBidi" w:cstheme="majorBidi"/>
          <w:sz w:val="20"/>
          <w:szCs w:val="20"/>
        </w:rPr>
        <w:t>notified the Commission of its proposed measure</w:t>
      </w:r>
      <w:r w:rsidR="00500EC8" w:rsidRPr="00F75C47">
        <w:rPr>
          <w:rFonts w:asciiTheme="majorBidi" w:hAnsiTheme="majorBidi" w:cstheme="majorBidi"/>
          <w:sz w:val="20"/>
          <w:szCs w:val="20"/>
        </w:rPr>
        <w:t>s</w:t>
      </w:r>
      <w:r w:rsidR="00FE4F81" w:rsidRPr="00F75C47">
        <w:rPr>
          <w:rFonts w:asciiTheme="majorBidi" w:hAnsiTheme="majorBidi" w:cstheme="majorBidi"/>
          <w:sz w:val="20"/>
          <w:szCs w:val="20"/>
        </w:rPr>
        <w:t>.</w:t>
      </w:r>
      <w:r w:rsidR="00FE4F81" w:rsidRPr="00F75C47">
        <w:rPr>
          <w:rStyle w:val="FootnoteReference"/>
          <w:rFonts w:asciiTheme="majorBidi" w:hAnsiTheme="majorBidi" w:cstheme="majorBidi"/>
          <w:szCs w:val="20"/>
        </w:rPr>
        <w:footnoteReference w:id="14"/>
      </w:r>
      <w:r w:rsidR="00FE4F81" w:rsidRPr="00F75C47">
        <w:rPr>
          <w:rFonts w:asciiTheme="majorBidi" w:hAnsiTheme="majorBidi" w:cstheme="majorBidi"/>
          <w:sz w:val="20"/>
          <w:szCs w:val="20"/>
        </w:rPr>
        <w:t xml:space="preserve"> </w:t>
      </w:r>
      <w:bookmarkEnd w:id="13"/>
      <w:r w:rsidR="00C149B3" w:rsidRPr="00F75C47">
        <w:rPr>
          <w:rFonts w:asciiTheme="majorBidi" w:hAnsiTheme="majorBidi" w:cstheme="majorBidi"/>
          <w:sz w:val="20"/>
          <w:szCs w:val="20"/>
        </w:rPr>
        <w:t>The United Kingdom claimed that the notified measure was aimed at three objectives</w:t>
      </w:r>
      <w:r w:rsidR="005514BB" w:rsidRPr="00F75C47">
        <w:rPr>
          <w:rFonts w:asciiTheme="majorBidi" w:hAnsiTheme="majorBidi" w:cstheme="majorBidi"/>
          <w:sz w:val="20"/>
          <w:szCs w:val="20"/>
        </w:rPr>
        <w:t xml:space="preserve"> of common interest</w:t>
      </w:r>
      <w:r w:rsidR="00C149B3" w:rsidRPr="00F75C47">
        <w:rPr>
          <w:rFonts w:asciiTheme="majorBidi" w:hAnsiTheme="majorBidi" w:cstheme="majorBidi"/>
          <w:sz w:val="20"/>
          <w:szCs w:val="20"/>
        </w:rPr>
        <w:t>, namely decarbonization, security of supply and diversity of generation, and at addressing the related market failures.</w:t>
      </w:r>
      <w:r w:rsidR="00C149B3" w:rsidRPr="00F75C47">
        <w:rPr>
          <w:rStyle w:val="FootnoteReference"/>
          <w:rFonts w:asciiTheme="majorBidi" w:hAnsiTheme="majorBidi" w:cstheme="majorBidi"/>
          <w:sz w:val="20"/>
          <w:szCs w:val="20"/>
        </w:rPr>
        <w:footnoteReference w:id="15"/>
      </w:r>
      <w:r w:rsidR="00C149B3" w:rsidRPr="00F75C47">
        <w:rPr>
          <w:rFonts w:asciiTheme="majorBidi" w:hAnsiTheme="majorBidi" w:cstheme="majorBidi"/>
          <w:sz w:val="20"/>
          <w:szCs w:val="20"/>
        </w:rPr>
        <w:t xml:space="preserve"> With respect to decarbonization, the United Kingdom submitted this was a common objective pursuant to article 191 TFEU and the Emissions Trading Scheme Directive.</w:t>
      </w:r>
      <w:r w:rsidR="00C149B3" w:rsidRPr="00F75C47">
        <w:rPr>
          <w:rStyle w:val="FootnoteReference"/>
          <w:rFonts w:asciiTheme="majorBidi" w:hAnsiTheme="majorBidi" w:cstheme="majorBidi"/>
          <w:sz w:val="20"/>
          <w:szCs w:val="20"/>
        </w:rPr>
        <w:footnoteReference w:id="16"/>
      </w:r>
      <w:r w:rsidR="00C149B3" w:rsidRPr="00F75C47">
        <w:rPr>
          <w:rFonts w:asciiTheme="majorBidi" w:hAnsiTheme="majorBidi" w:cstheme="majorBidi"/>
          <w:sz w:val="20"/>
          <w:szCs w:val="20"/>
          <w:vertAlign w:val="superscript"/>
        </w:rPr>
        <w:t>,</w:t>
      </w:r>
      <w:r w:rsidR="00C149B3" w:rsidRPr="00F75C47">
        <w:rPr>
          <w:rStyle w:val="FootnoteReference"/>
          <w:rFonts w:asciiTheme="majorBidi" w:hAnsiTheme="majorBidi" w:cstheme="majorBidi"/>
          <w:sz w:val="20"/>
          <w:szCs w:val="20"/>
        </w:rPr>
        <w:footnoteReference w:id="17"/>
      </w:r>
      <w:r w:rsidR="00C149B3" w:rsidRPr="00F75C47" w:rsidDel="00C149B3">
        <w:rPr>
          <w:rStyle w:val="CommentReference"/>
          <w:rFonts w:asciiTheme="majorBidi" w:hAnsiTheme="majorBidi" w:cstheme="majorBidi"/>
        </w:rPr>
        <w:t xml:space="preserve"> </w:t>
      </w:r>
    </w:p>
    <w:p w14:paraId="712B9A73" w14:textId="6EC25CCB" w:rsidR="007F2BF8" w:rsidRPr="00F75C47" w:rsidRDefault="00FE4F81" w:rsidP="00364BE7">
      <w:pPr>
        <w:pStyle w:val="ListParagraph"/>
        <w:numPr>
          <w:ilvl w:val="0"/>
          <w:numId w:val="2"/>
        </w:numPr>
        <w:tabs>
          <w:tab w:val="left" w:pos="1701"/>
        </w:tabs>
        <w:suppressAutoHyphens/>
        <w:spacing w:after="120" w:line="240" w:lineRule="atLeast"/>
        <w:ind w:left="1134" w:right="522" w:firstLine="0"/>
        <w:contextualSpacing w:val="0"/>
        <w:jc w:val="both"/>
        <w:rPr>
          <w:rFonts w:asciiTheme="majorBidi" w:hAnsiTheme="majorBidi" w:cstheme="majorBidi"/>
          <w:sz w:val="20"/>
          <w:szCs w:val="20"/>
        </w:rPr>
      </w:pPr>
      <w:r w:rsidRPr="00F75C47">
        <w:rPr>
          <w:rFonts w:asciiTheme="majorBidi" w:hAnsiTheme="majorBidi" w:cstheme="majorBidi"/>
          <w:sz w:val="20"/>
          <w:szCs w:val="20"/>
        </w:rPr>
        <w:t>On 18 December 201</w:t>
      </w:r>
      <w:r w:rsidR="003914AC" w:rsidRPr="00F75C47">
        <w:rPr>
          <w:rFonts w:asciiTheme="majorBidi" w:hAnsiTheme="majorBidi" w:cstheme="majorBidi"/>
          <w:sz w:val="20"/>
          <w:szCs w:val="20"/>
        </w:rPr>
        <w:t>3, the Commission informed the United Kingdom in its Opening Decision that it had decided to initiate the procedure under article 108(2) TFEU</w:t>
      </w:r>
      <w:r w:rsidR="00D96BF5" w:rsidRPr="00F75C47">
        <w:rPr>
          <w:rFonts w:asciiTheme="majorBidi" w:hAnsiTheme="majorBidi" w:cstheme="majorBidi"/>
          <w:sz w:val="20"/>
          <w:szCs w:val="20"/>
        </w:rPr>
        <w:t xml:space="preserve"> regarding the above measures</w:t>
      </w:r>
      <w:r w:rsidR="00077F25" w:rsidRPr="00F75C47">
        <w:rPr>
          <w:rFonts w:asciiTheme="majorBidi" w:hAnsiTheme="majorBidi" w:cstheme="majorBidi"/>
          <w:sz w:val="20"/>
          <w:szCs w:val="20"/>
        </w:rPr>
        <w:t>.</w:t>
      </w:r>
      <w:r w:rsidR="003914AC" w:rsidRPr="00F75C47">
        <w:rPr>
          <w:rStyle w:val="FootnoteReference"/>
          <w:rFonts w:asciiTheme="majorBidi" w:hAnsiTheme="majorBidi" w:cstheme="majorBidi"/>
          <w:sz w:val="20"/>
          <w:szCs w:val="20"/>
        </w:rPr>
        <w:footnoteReference w:id="18"/>
      </w:r>
      <w:r w:rsidR="00077F25" w:rsidRPr="00F75C47">
        <w:rPr>
          <w:rFonts w:asciiTheme="majorBidi" w:hAnsiTheme="majorBidi" w:cstheme="majorBidi"/>
          <w:sz w:val="20"/>
          <w:szCs w:val="20"/>
        </w:rPr>
        <w:t xml:space="preserve"> </w:t>
      </w:r>
      <w:r w:rsidR="006A6F2B" w:rsidRPr="00F75C47">
        <w:rPr>
          <w:rFonts w:asciiTheme="majorBidi" w:hAnsiTheme="majorBidi" w:cstheme="majorBidi"/>
          <w:sz w:val="20"/>
          <w:szCs w:val="20"/>
        </w:rPr>
        <w:t>In its Opening Decision, the Commission stated that</w:t>
      </w:r>
      <w:r w:rsidR="00892CD9" w:rsidRPr="00F75C47">
        <w:rPr>
          <w:rFonts w:asciiTheme="majorBidi" w:hAnsiTheme="majorBidi" w:cstheme="majorBidi"/>
          <w:sz w:val="20"/>
          <w:szCs w:val="20"/>
        </w:rPr>
        <w:t>:</w:t>
      </w:r>
    </w:p>
    <w:p w14:paraId="20E6E868" w14:textId="182363F0" w:rsidR="006A6F2B" w:rsidRPr="00F75C47" w:rsidRDefault="00892CD9" w:rsidP="00C149B3">
      <w:pPr>
        <w:pStyle w:val="ListParagraph"/>
        <w:tabs>
          <w:tab w:val="left" w:pos="1701"/>
        </w:tabs>
        <w:suppressAutoHyphens/>
        <w:spacing w:after="120" w:line="240" w:lineRule="atLeast"/>
        <w:ind w:left="1994" w:right="522"/>
        <w:jc w:val="both"/>
        <w:rPr>
          <w:rFonts w:asciiTheme="majorBidi" w:hAnsiTheme="majorBidi" w:cstheme="majorBidi"/>
          <w:szCs w:val="20"/>
        </w:rPr>
      </w:pPr>
      <w:r w:rsidRPr="00F75C47">
        <w:rPr>
          <w:rFonts w:asciiTheme="majorBidi" w:hAnsiTheme="majorBidi" w:cstheme="majorBidi"/>
          <w:sz w:val="20"/>
          <w:szCs w:val="20"/>
        </w:rPr>
        <w:t xml:space="preserve">While article 191 TFEU establishes that the preservation, improvement and protection of the environment must be regarded as objectives of EU policy, it is unclear whether such an objective can be immediately applicable to low-carbon generation as defined by the UK. </w:t>
      </w:r>
      <w:proofErr w:type="gramStart"/>
      <w:r w:rsidRPr="00F75C47">
        <w:rPr>
          <w:rFonts w:asciiTheme="majorBidi" w:hAnsiTheme="majorBidi" w:cstheme="majorBidi"/>
          <w:sz w:val="20"/>
          <w:szCs w:val="20"/>
        </w:rPr>
        <w:t>In particular, while</w:t>
      </w:r>
      <w:proofErr w:type="gramEnd"/>
      <w:r w:rsidRPr="00F75C47">
        <w:rPr>
          <w:rFonts w:asciiTheme="majorBidi" w:hAnsiTheme="majorBidi" w:cstheme="majorBidi"/>
          <w:sz w:val="20"/>
          <w:szCs w:val="20"/>
        </w:rPr>
        <w:t xml:space="preserve"> certain generation technologies emit less carbon emissions, their impact on the environment might nonetheless be considered substantial. This seems particularly true of nuclear generation, due to the need to manage and store radioactive waste for very long periods of time, and the potential for accidents.</w:t>
      </w:r>
      <w:r w:rsidR="006A6F2B" w:rsidRPr="00F75C47">
        <w:rPr>
          <w:rStyle w:val="FootnoteReference"/>
          <w:rFonts w:asciiTheme="majorBidi" w:hAnsiTheme="majorBidi"/>
        </w:rPr>
        <w:footnoteReference w:id="19"/>
      </w:r>
    </w:p>
    <w:p w14:paraId="68A405E5" w14:textId="77777777" w:rsidR="00892CD9" w:rsidRPr="00F75C47" w:rsidRDefault="00892CD9" w:rsidP="00364BE7">
      <w:pPr>
        <w:pStyle w:val="ListParagraph"/>
        <w:tabs>
          <w:tab w:val="left" w:pos="1701"/>
        </w:tabs>
        <w:suppressAutoHyphens/>
        <w:spacing w:after="120" w:line="240" w:lineRule="atLeast"/>
        <w:ind w:left="1994" w:right="522"/>
        <w:jc w:val="both"/>
        <w:rPr>
          <w:rFonts w:asciiTheme="majorBidi" w:hAnsiTheme="majorBidi" w:cstheme="majorBidi"/>
          <w:sz w:val="20"/>
          <w:szCs w:val="20"/>
        </w:rPr>
      </w:pPr>
    </w:p>
    <w:p w14:paraId="7965A7F9" w14:textId="3B0EF063" w:rsidR="00F37D0E" w:rsidRPr="00F75C47" w:rsidRDefault="00ED61A0" w:rsidP="00364BE7">
      <w:pPr>
        <w:pStyle w:val="ListParagraph"/>
        <w:numPr>
          <w:ilvl w:val="0"/>
          <w:numId w:val="2"/>
        </w:numPr>
        <w:tabs>
          <w:tab w:val="left" w:pos="1701"/>
        </w:tabs>
        <w:suppressAutoHyphens/>
        <w:spacing w:after="120" w:line="240" w:lineRule="atLeast"/>
        <w:ind w:left="1134" w:right="522" w:firstLine="0"/>
        <w:contextualSpacing w:val="0"/>
        <w:jc w:val="both"/>
        <w:rPr>
          <w:rFonts w:asciiTheme="majorBidi" w:hAnsiTheme="majorBidi"/>
          <w:sz w:val="20"/>
        </w:rPr>
      </w:pPr>
      <w:bookmarkStart w:id="14" w:name="_Ref9436357"/>
      <w:r w:rsidRPr="00F75C47">
        <w:rPr>
          <w:rFonts w:asciiTheme="majorBidi" w:hAnsiTheme="majorBidi" w:cstheme="majorBidi"/>
          <w:sz w:val="20"/>
          <w:szCs w:val="20"/>
        </w:rPr>
        <w:t>Th</w:t>
      </w:r>
      <w:r w:rsidR="00E860F2" w:rsidRPr="00F75C47">
        <w:rPr>
          <w:rFonts w:asciiTheme="majorBidi" w:hAnsiTheme="majorBidi" w:cstheme="majorBidi"/>
          <w:sz w:val="20"/>
          <w:szCs w:val="20"/>
        </w:rPr>
        <w:t xml:space="preserve">e Commission </w:t>
      </w:r>
      <w:r w:rsidRPr="00F75C47">
        <w:rPr>
          <w:rFonts w:asciiTheme="majorBidi" w:hAnsiTheme="majorBidi" w:cstheme="majorBidi"/>
          <w:sz w:val="20"/>
          <w:szCs w:val="20"/>
        </w:rPr>
        <w:t xml:space="preserve">also </w:t>
      </w:r>
      <w:r w:rsidR="00E860F2" w:rsidRPr="00F75C47">
        <w:rPr>
          <w:rFonts w:asciiTheme="majorBidi" w:hAnsiTheme="majorBidi" w:cstheme="majorBidi"/>
          <w:sz w:val="20"/>
          <w:szCs w:val="20"/>
        </w:rPr>
        <w:t>stated</w:t>
      </w:r>
      <w:r w:rsidR="00F37D0E" w:rsidRPr="00F75C47">
        <w:rPr>
          <w:rFonts w:asciiTheme="majorBidi" w:hAnsiTheme="majorBidi" w:cstheme="majorBidi"/>
          <w:sz w:val="20"/>
          <w:szCs w:val="20"/>
        </w:rPr>
        <w:t xml:space="preserve"> that a support mechanism which is specific to nuclear energy generation might crowd out alternative investments in technologies or combinations of technologies, including renewable energy sources, which may have occurred in the absence of the notified measure.</w:t>
      </w:r>
      <w:r w:rsidR="00F37D0E" w:rsidRPr="00F75C47">
        <w:rPr>
          <w:rStyle w:val="FootnoteReference"/>
          <w:rFonts w:asciiTheme="majorBidi" w:hAnsiTheme="majorBidi" w:cstheme="majorBidi"/>
          <w:sz w:val="20"/>
          <w:szCs w:val="20"/>
        </w:rPr>
        <w:footnoteReference w:id="20"/>
      </w:r>
      <w:r w:rsidR="00F37D0E" w:rsidRPr="00F75C47">
        <w:rPr>
          <w:rFonts w:asciiTheme="majorBidi" w:hAnsiTheme="majorBidi" w:cstheme="majorBidi"/>
          <w:sz w:val="20"/>
          <w:szCs w:val="20"/>
        </w:rPr>
        <w:t xml:space="preserve"> The Commission thus concluded that “it is not clear at this stage on whether the notified measure can be argued to be aimed at a common EU objective in terms of environmental protection in general and decarbonisation in particular.”</w:t>
      </w:r>
      <w:r w:rsidR="00F37D0E" w:rsidRPr="00F75C47">
        <w:rPr>
          <w:rStyle w:val="FootnoteReference"/>
          <w:rFonts w:asciiTheme="majorBidi" w:hAnsiTheme="majorBidi" w:cstheme="majorBidi"/>
          <w:sz w:val="20"/>
          <w:szCs w:val="20"/>
        </w:rPr>
        <w:footnoteReference w:id="21"/>
      </w:r>
      <w:bookmarkEnd w:id="14"/>
      <w:r w:rsidR="00F37D0E" w:rsidRPr="00F75C47">
        <w:rPr>
          <w:rFonts w:asciiTheme="majorBidi" w:hAnsiTheme="majorBidi" w:cstheme="majorBidi"/>
          <w:sz w:val="20"/>
          <w:szCs w:val="20"/>
        </w:rPr>
        <w:t xml:space="preserve"> </w:t>
      </w:r>
    </w:p>
    <w:p w14:paraId="59D90D67" w14:textId="6AE3A77D" w:rsidR="004F18D0" w:rsidRPr="00F75C47" w:rsidRDefault="0066521F" w:rsidP="00364BE7">
      <w:pPr>
        <w:pStyle w:val="ListParagraph"/>
        <w:numPr>
          <w:ilvl w:val="0"/>
          <w:numId w:val="2"/>
        </w:numPr>
        <w:tabs>
          <w:tab w:val="left" w:pos="1701"/>
        </w:tabs>
        <w:suppressAutoHyphens/>
        <w:spacing w:after="120" w:line="240" w:lineRule="atLeast"/>
        <w:ind w:left="1134" w:right="522" w:firstLine="0"/>
        <w:contextualSpacing w:val="0"/>
        <w:jc w:val="both"/>
        <w:rPr>
          <w:rFonts w:asciiTheme="majorBidi" w:hAnsiTheme="majorBidi"/>
          <w:sz w:val="20"/>
        </w:rPr>
      </w:pPr>
      <w:bookmarkStart w:id="15" w:name="_Ref9437782"/>
      <w:bookmarkStart w:id="16" w:name="_Ref9438730"/>
      <w:r w:rsidRPr="00F75C47">
        <w:rPr>
          <w:rFonts w:asciiTheme="majorBidi" w:hAnsiTheme="majorBidi" w:cstheme="majorBidi"/>
          <w:sz w:val="20"/>
          <w:szCs w:val="20"/>
        </w:rPr>
        <w:t xml:space="preserve">The Commission </w:t>
      </w:r>
      <w:r w:rsidR="00D56D49" w:rsidRPr="00F75C47">
        <w:rPr>
          <w:rFonts w:asciiTheme="majorBidi" w:hAnsiTheme="majorBidi" w:cstheme="majorBidi"/>
          <w:sz w:val="20"/>
          <w:szCs w:val="20"/>
        </w:rPr>
        <w:t xml:space="preserve">further </w:t>
      </w:r>
      <w:r w:rsidRPr="00F75C47">
        <w:rPr>
          <w:rFonts w:asciiTheme="majorBidi" w:hAnsiTheme="majorBidi" w:cstheme="majorBidi"/>
          <w:sz w:val="20"/>
          <w:szCs w:val="20"/>
        </w:rPr>
        <w:t>stated that the aid measures have “the potential to decrease the incentives to invest in demand-side measures, including storage, energy efficiency and energy saving measures.”</w:t>
      </w:r>
      <w:r w:rsidRPr="00F75C47">
        <w:rPr>
          <w:rStyle w:val="FootnoteReference"/>
          <w:rFonts w:asciiTheme="majorBidi" w:hAnsiTheme="majorBidi" w:cstheme="majorBidi"/>
          <w:sz w:val="20"/>
          <w:szCs w:val="20"/>
        </w:rPr>
        <w:t xml:space="preserve"> </w:t>
      </w:r>
      <w:r w:rsidRPr="00F75C47">
        <w:rPr>
          <w:rStyle w:val="FootnoteReference"/>
          <w:rFonts w:asciiTheme="majorBidi" w:hAnsiTheme="majorBidi" w:cstheme="majorBidi"/>
          <w:sz w:val="20"/>
          <w:szCs w:val="20"/>
        </w:rPr>
        <w:footnoteReference w:id="22"/>
      </w:r>
      <w:r w:rsidRPr="00F75C47">
        <w:rPr>
          <w:rFonts w:asciiTheme="majorBidi" w:hAnsiTheme="majorBidi" w:cstheme="majorBidi"/>
          <w:sz w:val="20"/>
          <w:szCs w:val="20"/>
        </w:rPr>
        <w:t xml:space="preserve"> </w:t>
      </w:r>
      <w:bookmarkEnd w:id="15"/>
      <w:bookmarkEnd w:id="16"/>
    </w:p>
    <w:p w14:paraId="61C20A1B" w14:textId="29A9F0B9" w:rsidR="00A456E7" w:rsidRPr="00F75C47" w:rsidRDefault="00500EC8" w:rsidP="00364BE7">
      <w:pPr>
        <w:pStyle w:val="ListParagraph"/>
        <w:numPr>
          <w:ilvl w:val="0"/>
          <w:numId w:val="2"/>
        </w:numPr>
        <w:tabs>
          <w:tab w:val="left" w:pos="1701"/>
        </w:tabs>
        <w:suppressAutoHyphens/>
        <w:spacing w:after="120" w:line="240" w:lineRule="atLeast"/>
        <w:ind w:left="1134" w:right="522" w:firstLine="0"/>
        <w:contextualSpacing w:val="0"/>
        <w:jc w:val="both"/>
        <w:rPr>
          <w:rFonts w:asciiTheme="majorBidi" w:hAnsiTheme="majorBidi"/>
          <w:sz w:val="20"/>
        </w:rPr>
      </w:pPr>
      <w:bookmarkStart w:id="17" w:name="_Ref9431484"/>
      <w:r w:rsidRPr="00F75C47">
        <w:rPr>
          <w:rFonts w:asciiTheme="majorBidi" w:hAnsiTheme="majorBidi"/>
          <w:sz w:val="20"/>
        </w:rPr>
        <w:t xml:space="preserve">In the course of the </w:t>
      </w:r>
      <w:r w:rsidR="00ED61A0" w:rsidRPr="00F75C47">
        <w:rPr>
          <w:rFonts w:asciiTheme="majorBidi" w:hAnsiTheme="majorBidi"/>
          <w:sz w:val="20"/>
        </w:rPr>
        <w:t xml:space="preserve">procedure under </w:t>
      </w:r>
      <w:r w:rsidRPr="00F75C47">
        <w:rPr>
          <w:rFonts w:asciiTheme="majorBidi" w:hAnsiTheme="majorBidi"/>
          <w:sz w:val="20"/>
        </w:rPr>
        <w:t>article 108</w:t>
      </w:r>
      <w:r w:rsidR="004C36C4" w:rsidRPr="00F75C47">
        <w:rPr>
          <w:rFonts w:asciiTheme="majorBidi" w:hAnsiTheme="majorBidi" w:cstheme="majorBidi"/>
          <w:sz w:val="20"/>
        </w:rPr>
        <w:t>(2)</w:t>
      </w:r>
      <w:r w:rsidRPr="00F75C47">
        <w:rPr>
          <w:rFonts w:asciiTheme="majorBidi" w:hAnsiTheme="majorBidi"/>
          <w:sz w:val="20"/>
        </w:rPr>
        <w:t xml:space="preserve"> TFEU, the United Kingdom su</w:t>
      </w:r>
      <w:r w:rsidR="00341B72" w:rsidRPr="00F75C47">
        <w:rPr>
          <w:rFonts w:asciiTheme="majorBidi" w:hAnsiTheme="majorBidi"/>
          <w:sz w:val="20"/>
        </w:rPr>
        <w:t xml:space="preserve">bmitted its comments on the Opening Decision, in which it reiterated that </w:t>
      </w:r>
      <w:r w:rsidR="00E860F2" w:rsidRPr="00F75C47">
        <w:rPr>
          <w:rFonts w:asciiTheme="majorBidi" w:hAnsiTheme="majorBidi"/>
          <w:sz w:val="20"/>
        </w:rPr>
        <w:t>“</w:t>
      </w:r>
      <w:r w:rsidR="00341B72" w:rsidRPr="00F75C47">
        <w:rPr>
          <w:rFonts w:asciiTheme="majorBidi" w:hAnsiTheme="majorBidi"/>
          <w:sz w:val="20"/>
        </w:rPr>
        <w:t>new nuclear</w:t>
      </w:r>
      <w:r w:rsidR="00E860F2" w:rsidRPr="00F75C47">
        <w:rPr>
          <w:rFonts w:asciiTheme="majorBidi" w:hAnsiTheme="majorBidi"/>
          <w:sz w:val="20"/>
        </w:rPr>
        <w:t>”</w:t>
      </w:r>
      <w:r w:rsidR="00341B72" w:rsidRPr="00F75C47">
        <w:rPr>
          <w:rFonts w:asciiTheme="majorBidi" w:hAnsiTheme="majorBidi"/>
          <w:sz w:val="20"/>
        </w:rPr>
        <w:t xml:space="preserve"> would be an important part of the United Kingdom</w:t>
      </w:r>
      <w:r w:rsidR="00AB19CE" w:rsidRPr="00F75C47">
        <w:rPr>
          <w:rFonts w:asciiTheme="majorBidi" w:hAnsiTheme="majorBidi"/>
          <w:sz w:val="20"/>
        </w:rPr>
        <w:t>’</w:t>
      </w:r>
      <w:r w:rsidR="00341B72" w:rsidRPr="00F75C47">
        <w:rPr>
          <w:rFonts w:asciiTheme="majorBidi" w:hAnsiTheme="majorBidi"/>
          <w:sz w:val="20"/>
        </w:rPr>
        <w:t xml:space="preserve">s energy mix, which would help achieve a </w:t>
      </w:r>
      <w:r w:rsidR="00341B72" w:rsidRPr="00F75C47">
        <w:rPr>
          <w:rFonts w:asciiTheme="majorBidi" w:hAnsiTheme="majorBidi" w:cstheme="majorBidi"/>
          <w:sz w:val="20"/>
        </w:rPr>
        <w:t>decarboni</w:t>
      </w:r>
      <w:r w:rsidR="004C36C4" w:rsidRPr="00F75C47">
        <w:rPr>
          <w:rFonts w:asciiTheme="majorBidi" w:hAnsiTheme="majorBidi" w:cstheme="majorBidi"/>
          <w:sz w:val="20"/>
        </w:rPr>
        <w:t>s</w:t>
      </w:r>
      <w:r w:rsidR="00341B72" w:rsidRPr="00F75C47">
        <w:rPr>
          <w:rFonts w:asciiTheme="majorBidi" w:hAnsiTheme="majorBidi" w:cstheme="majorBidi"/>
          <w:sz w:val="20"/>
        </w:rPr>
        <w:t>ed</w:t>
      </w:r>
      <w:r w:rsidR="00341B72" w:rsidRPr="00F75C47">
        <w:rPr>
          <w:rFonts w:asciiTheme="majorBidi" w:hAnsiTheme="majorBidi"/>
          <w:sz w:val="20"/>
        </w:rPr>
        <w:t>, secure and diverse electricity supply at an affordable cost.</w:t>
      </w:r>
      <w:r w:rsidR="00341B72" w:rsidRPr="00F75C47">
        <w:rPr>
          <w:rStyle w:val="FootnoteReference"/>
          <w:rFonts w:asciiTheme="majorBidi" w:hAnsiTheme="majorBidi" w:cstheme="majorBidi"/>
          <w:sz w:val="20"/>
          <w:szCs w:val="20"/>
        </w:rPr>
        <w:footnoteReference w:id="23"/>
      </w:r>
      <w:r w:rsidR="00341B72" w:rsidRPr="00F75C47">
        <w:rPr>
          <w:rFonts w:asciiTheme="majorBidi" w:hAnsiTheme="majorBidi" w:cstheme="majorBidi"/>
          <w:sz w:val="20"/>
          <w:szCs w:val="20"/>
        </w:rPr>
        <w:t xml:space="preserve"> </w:t>
      </w:r>
      <w:r w:rsidR="00ED61A0" w:rsidRPr="00F75C47">
        <w:rPr>
          <w:rFonts w:asciiTheme="majorBidi" w:hAnsiTheme="majorBidi" w:cstheme="majorBidi"/>
          <w:sz w:val="20"/>
          <w:szCs w:val="20"/>
        </w:rPr>
        <w:t xml:space="preserve">A number of </w:t>
      </w:r>
      <w:r w:rsidR="009B323F" w:rsidRPr="00F75C47">
        <w:rPr>
          <w:rFonts w:asciiTheme="majorBidi" w:hAnsiTheme="majorBidi" w:cstheme="majorBidi"/>
          <w:sz w:val="20"/>
          <w:szCs w:val="20"/>
        </w:rPr>
        <w:t xml:space="preserve">interested parties also submitted </w:t>
      </w:r>
      <w:r w:rsidR="00ED61A0" w:rsidRPr="00F75C47">
        <w:rPr>
          <w:rFonts w:asciiTheme="majorBidi" w:hAnsiTheme="majorBidi" w:cstheme="majorBidi"/>
          <w:sz w:val="20"/>
          <w:szCs w:val="20"/>
        </w:rPr>
        <w:t>comments.</w:t>
      </w:r>
      <w:r w:rsidR="008A1CC0" w:rsidRPr="00F75C47">
        <w:rPr>
          <w:rFonts w:asciiTheme="majorBidi" w:hAnsiTheme="majorBidi" w:cstheme="majorBidi"/>
          <w:sz w:val="20"/>
          <w:szCs w:val="20"/>
        </w:rPr>
        <w:t xml:space="preserve"> </w:t>
      </w:r>
      <w:bookmarkEnd w:id="17"/>
    </w:p>
    <w:p w14:paraId="1C1AF022" w14:textId="7B289101" w:rsidR="00E751BB" w:rsidRPr="00F75C47" w:rsidRDefault="008A1CC0" w:rsidP="00364BE7">
      <w:pPr>
        <w:pStyle w:val="ListParagraph"/>
        <w:numPr>
          <w:ilvl w:val="0"/>
          <w:numId w:val="2"/>
        </w:numPr>
        <w:tabs>
          <w:tab w:val="left" w:pos="1701"/>
        </w:tabs>
        <w:suppressAutoHyphens/>
        <w:spacing w:after="120" w:line="240" w:lineRule="atLeast"/>
        <w:ind w:left="1134" w:right="522" w:firstLine="0"/>
        <w:contextualSpacing w:val="0"/>
        <w:jc w:val="both"/>
        <w:rPr>
          <w:rFonts w:asciiTheme="majorBidi" w:hAnsiTheme="majorBidi" w:cstheme="majorBidi"/>
          <w:sz w:val="20"/>
          <w:szCs w:val="20"/>
        </w:rPr>
      </w:pPr>
      <w:r w:rsidRPr="00F75C47">
        <w:rPr>
          <w:rFonts w:asciiTheme="majorBidi" w:hAnsiTheme="majorBidi"/>
          <w:sz w:val="20"/>
        </w:rPr>
        <w:t>On 8 October 2014</w:t>
      </w:r>
      <w:r w:rsidR="002759CF" w:rsidRPr="00F75C47">
        <w:rPr>
          <w:rFonts w:asciiTheme="majorBidi" w:hAnsiTheme="majorBidi" w:cstheme="majorBidi"/>
          <w:sz w:val="20"/>
          <w:szCs w:val="20"/>
        </w:rPr>
        <w:t>,</w:t>
      </w:r>
      <w:r w:rsidR="009B323F" w:rsidRPr="00F75C47">
        <w:rPr>
          <w:rFonts w:asciiTheme="majorBidi" w:hAnsiTheme="majorBidi" w:cstheme="majorBidi"/>
          <w:sz w:val="20"/>
          <w:szCs w:val="20"/>
        </w:rPr>
        <w:t xml:space="preserve"> after considering the</w:t>
      </w:r>
      <w:r w:rsidR="009B323F" w:rsidRPr="00F75C47">
        <w:rPr>
          <w:rFonts w:asciiTheme="majorBidi" w:hAnsiTheme="majorBidi" w:cstheme="majorBidi"/>
          <w:sz w:val="20"/>
        </w:rPr>
        <w:t xml:space="preserve"> </w:t>
      </w:r>
      <w:r w:rsidR="009B323F" w:rsidRPr="00F75C47">
        <w:rPr>
          <w:rFonts w:asciiTheme="majorBidi" w:hAnsiTheme="majorBidi"/>
          <w:sz w:val="20"/>
        </w:rPr>
        <w:t>comments</w:t>
      </w:r>
      <w:r w:rsidR="009B323F" w:rsidRPr="00F75C47">
        <w:rPr>
          <w:rFonts w:asciiTheme="majorBidi" w:hAnsiTheme="majorBidi" w:cstheme="majorBidi"/>
          <w:sz w:val="20"/>
          <w:szCs w:val="20"/>
        </w:rPr>
        <w:t xml:space="preserve"> received,</w:t>
      </w:r>
      <w:r w:rsidR="004F18D0" w:rsidRPr="00F75C47">
        <w:rPr>
          <w:rFonts w:asciiTheme="majorBidi" w:hAnsiTheme="majorBidi"/>
          <w:sz w:val="20"/>
        </w:rPr>
        <w:t xml:space="preserve"> the Commission adopted </w:t>
      </w:r>
      <w:r w:rsidR="004A1FC7" w:rsidRPr="00F75C47">
        <w:rPr>
          <w:rFonts w:asciiTheme="majorBidi" w:hAnsiTheme="majorBidi"/>
          <w:sz w:val="20"/>
        </w:rPr>
        <w:t xml:space="preserve">a </w:t>
      </w:r>
      <w:r w:rsidR="004F18D0" w:rsidRPr="00F75C47">
        <w:rPr>
          <w:rFonts w:asciiTheme="majorBidi" w:hAnsiTheme="majorBidi"/>
          <w:sz w:val="20"/>
        </w:rPr>
        <w:t xml:space="preserve">decision </w:t>
      </w:r>
      <w:r w:rsidR="001D7273" w:rsidRPr="00F75C47">
        <w:rPr>
          <w:rFonts w:asciiTheme="majorBidi" w:hAnsiTheme="majorBidi" w:cstheme="majorBidi"/>
          <w:sz w:val="20"/>
        </w:rPr>
        <w:t>authori</w:t>
      </w:r>
      <w:r w:rsidR="00D96BF5" w:rsidRPr="00F75C47">
        <w:rPr>
          <w:rFonts w:asciiTheme="majorBidi" w:hAnsiTheme="majorBidi" w:cstheme="majorBidi"/>
          <w:sz w:val="20"/>
        </w:rPr>
        <w:t>s</w:t>
      </w:r>
      <w:r w:rsidR="001D7273" w:rsidRPr="00F75C47">
        <w:rPr>
          <w:rFonts w:asciiTheme="majorBidi" w:hAnsiTheme="majorBidi" w:cstheme="majorBidi"/>
          <w:sz w:val="20"/>
        </w:rPr>
        <w:t>ing</w:t>
      </w:r>
      <w:r w:rsidR="001D7273" w:rsidRPr="00F75C47">
        <w:rPr>
          <w:rFonts w:asciiTheme="majorBidi" w:hAnsiTheme="majorBidi"/>
          <w:sz w:val="20"/>
        </w:rPr>
        <w:t xml:space="preserve"> </w:t>
      </w:r>
      <w:r w:rsidR="004F18D0" w:rsidRPr="00F75C47">
        <w:rPr>
          <w:rFonts w:asciiTheme="majorBidi" w:hAnsiTheme="majorBidi"/>
          <w:sz w:val="20"/>
        </w:rPr>
        <w:t xml:space="preserve">the </w:t>
      </w:r>
      <w:r w:rsidR="00423109" w:rsidRPr="00F75C47">
        <w:rPr>
          <w:rFonts w:asciiTheme="majorBidi" w:hAnsiTheme="majorBidi"/>
          <w:sz w:val="20"/>
        </w:rPr>
        <w:t xml:space="preserve">state </w:t>
      </w:r>
      <w:r w:rsidR="004F18D0" w:rsidRPr="00F75C47">
        <w:rPr>
          <w:rFonts w:asciiTheme="majorBidi" w:hAnsiTheme="majorBidi"/>
          <w:sz w:val="20"/>
        </w:rPr>
        <w:t xml:space="preserve">aid to </w:t>
      </w:r>
      <w:r w:rsidR="004A1FC7" w:rsidRPr="00F75C47">
        <w:rPr>
          <w:rFonts w:asciiTheme="majorBidi" w:hAnsiTheme="majorBidi"/>
          <w:sz w:val="20"/>
        </w:rPr>
        <w:t xml:space="preserve">Hinkley Point C </w:t>
      </w:r>
      <w:r w:rsidR="001D7273" w:rsidRPr="00F75C47">
        <w:rPr>
          <w:rFonts w:asciiTheme="majorBidi" w:hAnsiTheme="majorBidi"/>
          <w:sz w:val="20"/>
        </w:rPr>
        <w:t xml:space="preserve">on the ground that it was </w:t>
      </w:r>
      <w:r w:rsidR="004F18D0" w:rsidRPr="00F75C47">
        <w:rPr>
          <w:rFonts w:asciiTheme="majorBidi" w:hAnsiTheme="majorBidi"/>
          <w:sz w:val="20"/>
        </w:rPr>
        <w:t>compatible with the internal market within the meaning of article 107</w:t>
      </w:r>
      <w:r w:rsidR="0021078E" w:rsidRPr="00F75C47">
        <w:rPr>
          <w:rFonts w:asciiTheme="majorBidi" w:hAnsiTheme="majorBidi"/>
          <w:sz w:val="20"/>
        </w:rPr>
        <w:t>(</w:t>
      </w:r>
      <w:r w:rsidR="004F18D0" w:rsidRPr="00F75C47">
        <w:rPr>
          <w:rFonts w:asciiTheme="majorBidi" w:hAnsiTheme="majorBidi"/>
          <w:sz w:val="20"/>
        </w:rPr>
        <w:t>3</w:t>
      </w:r>
      <w:r w:rsidR="0021078E" w:rsidRPr="00F75C47">
        <w:rPr>
          <w:rFonts w:asciiTheme="majorBidi" w:hAnsiTheme="majorBidi"/>
          <w:sz w:val="20"/>
        </w:rPr>
        <w:t>)</w:t>
      </w:r>
      <w:r w:rsidR="004F18D0" w:rsidRPr="00F75C47">
        <w:rPr>
          <w:rFonts w:asciiTheme="majorBidi" w:hAnsiTheme="majorBidi"/>
          <w:sz w:val="20"/>
        </w:rPr>
        <w:t>(c)</w:t>
      </w:r>
      <w:r w:rsidR="0021078E" w:rsidRPr="00F75C47">
        <w:rPr>
          <w:rFonts w:asciiTheme="majorBidi" w:hAnsiTheme="majorBidi"/>
          <w:sz w:val="20"/>
        </w:rPr>
        <w:t xml:space="preserve"> </w:t>
      </w:r>
      <w:r w:rsidR="004F18D0" w:rsidRPr="00F75C47">
        <w:rPr>
          <w:rFonts w:asciiTheme="majorBidi" w:hAnsiTheme="majorBidi"/>
          <w:sz w:val="20"/>
        </w:rPr>
        <w:t xml:space="preserve">TFEU (the </w:t>
      </w:r>
      <w:r w:rsidR="00E860F2" w:rsidRPr="00F75C47">
        <w:rPr>
          <w:rFonts w:asciiTheme="majorBidi" w:hAnsiTheme="majorBidi"/>
          <w:sz w:val="20"/>
        </w:rPr>
        <w:t xml:space="preserve">2014 </w:t>
      </w:r>
      <w:r w:rsidR="004F18D0" w:rsidRPr="00F75C47">
        <w:rPr>
          <w:rFonts w:asciiTheme="majorBidi" w:hAnsiTheme="majorBidi"/>
          <w:sz w:val="20"/>
        </w:rPr>
        <w:t>Decision).</w:t>
      </w:r>
      <w:r w:rsidR="004F18D0" w:rsidRPr="00F75C47">
        <w:rPr>
          <w:rStyle w:val="FootnoteReference"/>
          <w:rFonts w:asciiTheme="majorBidi" w:hAnsiTheme="majorBidi"/>
        </w:rPr>
        <w:footnoteReference w:id="24"/>
      </w:r>
      <w:r w:rsidR="00423109" w:rsidRPr="00F75C47">
        <w:rPr>
          <w:rFonts w:asciiTheme="majorBidi" w:hAnsiTheme="majorBidi"/>
          <w:sz w:val="20"/>
        </w:rPr>
        <w:t xml:space="preserve"> </w:t>
      </w:r>
      <w:r w:rsidR="00E751BB" w:rsidRPr="00F75C47">
        <w:rPr>
          <w:rFonts w:asciiTheme="majorBidi" w:hAnsiTheme="majorBidi"/>
          <w:sz w:val="20"/>
        </w:rPr>
        <w:t xml:space="preserve">In its decision, the Commission found </w:t>
      </w:r>
      <w:r w:rsidR="00E751BB" w:rsidRPr="00F75C47">
        <w:rPr>
          <w:rFonts w:asciiTheme="majorBidi" w:hAnsiTheme="majorBidi" w:cstheme="majorBidi"/>
          <w:sz w:val="20"/>
        </w:rPr>
        <w:t xml:space="preserve">“that the aid measures aimed at promoting nuclear energy pursue an objective of common interest </w:t>
      </w:r>
      <w:r w:rsidR="004C36C4" w:rsidRPr="00F75C47">
        <w:rPr>
          <w:rFonts w:asciiTheme="majorBidi" w:hAnsiTheme="majorBidi" w:cstheme="majorBidi"/>
          <w:sz w:val="20"/>
        </w:rPr>
        <w:t xml:space="preserve"> </w:t>
      </w:r>
      <w:r w:rsidR="00E751BB" w:rsidRPr="00F75C47">
        <w:rPr>
          <w:rFonts w:asciiTheme="majorBidi" w:hAnsiTheme="majorBidi" w:cstheme="majorBidi"/>
          <w:sz w:val="20"/>
        </w:rPr>
        <w:t>and, at the</w:t>
      </w:r>
      <w:r w:rsidR="00E751BB" w:rsidRPr="00F75C47">
        <w:rPr>
          <w:rFonts w:asciiTheme="majorBidi" w:hAnsiTheme="majorBidi" w:cstheme="majorBidi"/>
          <w:sz w:val="20"/>
          <w:szCs w:val="20"/>
        </w:rPr>
        <w:t xml:space="preserve"> same time, can deliver a contribution to the objectives of diversification and security of supply.”</w:t>
      </w:r>
      <w:r w:rsidR="00E751BB" w:rsidRPr="00F75C47">
        <w:rPr>
          <w:rStyle w:val="FootnoteReference"/>
          <w:rFonts w:asciiTheme="majorBidi" w:hAnsiTheme="majorBidi" w:cstheme="majorBidi"/>
          <w:sz w:val="20"/>
          <w:szCs w:val="20"/>
        </w:rPr>
        <w:t xml:space="preserve"> </w:t>
      </w:r>
      <w:r w:rsidR="00E751BB" w:rsidRPr="00F75C47">
        <w:rPr>
          <w:rStyle w:val="FootnoteReference"/>
          <w:rFonts w:asciiTheme="majorBidi" w:hAnsiTheme="majorBidi" w:cstheme="majorBidi"/>
          <w:sz w:val="20"/>
          <w:szCs w:val="20"/>
        </w:rPr>
        <w:footnoteReference w:id="25"/>
      </w:r>
    </w:p>
    <w:p w14:paraId="5EB19FED" w14:textId="0B288A38" w:rsidR="00E751BB" w:rsidRPr="00F75C47" w:rsidRDefault="007B76E4" w:rsidP="00364BE7">
      <w:pPr>
        <w:pStyle w:val="ListParagraph"/>
        <w:numPr>
          <w:ilvl w:val="0"/>
          <w:numId w:val="2"/>
        </w:numPr>
        <w:tabs>
          <w:tab w:val="left" w:pos="1701"/>
        </w:tabs>
        <w:suppressAutoHyphens/>
        <w:spacing w:after="120" w:line="240" w:lineRule="atLeast"/>
        <w:ind w:left="1134" w:right="522" w:firstLine="0"/>
        <w:contextualSpacing w:val="0"/>
        <w:jc w:val="both"/>
        <w:rPr>
          <w:rFonts w:asciiTheme="majorBidi" w:hAnsiTheme="majorBidi"/>
          <w:sz w:val="20"/>
        </w:rPr>
      </w:pPr>
      <w:r w:rsidRPr="00F75C47">
        <w:rPr>
          <w:rFonts w:asciiTheme="majorBidi" w:hAnsiTheme="majorBidi" w:cstheme="majorBidi"/>
          <w:sz w:val="20"/>
          <w:szCs w:val="20"/>
        </w:rPr>
        <w:t xml:space="preserve">On 10 October 2017, </w:t>
      </w:r>
      <w:r w:rsidR="00B340E0" w:rsidRPr="00F75C47">
        <w:rPr>
          <w:rFonts w:asciiTheme="majorBidi" w:hAnsiTheme="majorBidi" w:cstheme="majorBidi"/>
          <w:sz w:val="20"/>
          <w:szCs w:val="20"/>
        </w:rPr>
        <w:t xml:space="preserve">the Court of Justice in C-640/16 P, </w:t>
      </w:r>
      <w:r w:rsidR="00B340E0" w:rsidRPr="00F75C47">
        <w:rPr>
          <w:rFonts w:asciiTheme="majorBidi" w:hAnsiTheme="majorBidi" w:cstheme="majorBidi"/>
          <w:i/>
          <w:sz w:val="20"/>
        </w:rPr>
        <w:t xml:space="preserve">Greenpeace Energy </w:t>
      </w:r>
      <w:r w:rsidR="00B340E0" w:rsidRPr="00F75C47">
        <w:rPr>
          <w:rFonts w:asciiTheme="majorBidi" w:hAnsiTheme="majorBidi" w:cstheme="majorBidi"/>
          <w:i/>
          <w:iCs/>
          <w:sz w:val="20"/>
          <w:szCs w:val="20"/>
        </w:rPr>
        <w:t>v Commission</w:t>
      </w:r>
      <w:r w:rsidR="00B340E0" w:rsidRPr="00F75C47">
        <w:rPr>
          <w:rFonts w:asciiTheme="majorBidi" w:hAnsiTheme="majorBidi" w:cstheme="majorBidi"/>
          <w:sz w:val="20"/>
          <w:szCs w:val="20"/>
        </w:rPr>
        <w:t xml:space="preserve"> denied Greenpeace Energy, a competing renewable energy producer, </w:t>
      </w:r>
      <w:r w:rsidR="007C18A6" w:rsidRPr="00F75C47">
        <w:rPr>
          <w:rFonts w:asciiTheme="majorBidi" w:hAnsiTheme="majorBidi" w:cstheme="majorBidi"/>
          <w:sz w:val="20"/>
          <w:szCs w:val="20"/>
        </w:rPr>
        <w:t xml:space="preserve">standing to challenge the </w:t>
      </w:r>
      <w:r w:rsidR="00E860F2" w:rsidRPr="00F75C47">
        <w:rPr>
          <w:rFonts w:asciiTheme="majorBidi" w:hAnsiTheme="majorBidi" w:cstheme="majorBidi"/>
          <w:sz w:val="20"/>
          <w:szCs w:val="20"/>
        </w:rPr>
        <w:t xml:space="preserve">2014 </w:t>
      </w:r>
      <w:r w:rsidR="007C18A6" w:rsidRPr="00F75C47">
        <w:rPr>
          <w:rFonts w:asciiTheme="majorBidi" w:hAnsiTheme="majorBidi" w:cstheme="majorBidi"/>
          <w:sz w:val="20"/>
          <w:szCs w:val="20"/>
        </w:rPr>
        <w:t>Decision</w:t>
      </w:r>
      <w:r w:rsidR="007C18A6" w:rsidRPr="00F75C47">
        <w:rPr>
          <w:rFonts w:asciiTheme="majorBidi" w:hAnsiTheme="majorBidi"/>
          <w:sz w:val="20"/>
        </w:rPr>
        <w:t>.</w:t>
      </w:r>
      <w:r w:rsidR="007C18A6" w:rsidRPr="00F75C47">
        <w:rPr>
          <w:rStyle w:val="FootnoteReference"/>
          <w:rFonts w:asciiTheme="majorBidi" w:hAnsiTheme="majorBidi" w:cstheme="majorBidi"/>
          <w:sz w:val="20"/>
          <w:szCs w:val="20"/>
        </w:rPr>
        <w:footnoteReference w:id="26"/>
      </w:r>
      <w:r w:rsidRPr="00F75C47">
        <w:rPr>
          <w:rFonts w:asciiTheme="majorBidi" w:hAnsiTheme="majorBidi"/>
          <w:sz w:val="20"/>
        </w:rPr>
        <w:t xml:space="preserve"> </w:t>
      </w:r>
    </w:p>
    <w:p w14:paraId="538EA524" w14:textId="3B602EAB" w:rsidR="0003037D" w:rsidRPr="00F75C47" w:rsidRDefault="007B76E4" w:rsidP="00364BE7">
      <w:pPr>
        <w:pStyle w:val="ListParagraph"/>
        <w:numPr>
          <w:ilvl w:val="0"/>
          <w:numId w:val="2"/>
        </w:numPr>
        <w:tabs>
          <w:tab w:val="left" w:pos="1701"/>
        </w:tabs>
        <w:suppressAutoHyphens/>
        <w:spacing w:after="120" w:line="240" w:lineRule="atLeast"/>
        <w:ind w:left="1134" w:right="522" w:firstLine="0"/>
        <w:contextualSpacing w:val="0"/>
        <w:jc w:val="both"/>
        <w:rPr>
          <w:rFonts w:asciiTheme="majorBidi" w:hAnsiTheme="majorBidi"/>
          <w:sz w:val="20"/>
        </w:rPr>
      </w:pPr>
      <w:r w:rsidRPr="00F75C47">
        <w:rPr>
          <w:rFonts w:asciiTheme="majorBidi" w:hAnsiTheme="majorBidi"/>
          <w:sz w:val="20"/>
        </w:rPr>
        <w:t xml:space="preserve">On 12 July 2018, the General Court </w:t>
      </w:r>
      <w:r w:rsidR="008D4C2B" w:rsidRPr="00F75C47">
        <w:rPr>
          <w:rFonts w:asciiTheme="majorBidi" w:hAnsiTheme="majorBidi"/>
          <w:sz w:val="20"/>
        </w:rPr>
        <w:t xml:space="preserve">in </w:t>
      </w:r>
      <w:r w:rsidR="009B323F" w:rsidRPr="00F75C47">
        <w:rPr>
          <w:rFonts w:asciiTheme="majorBidi" w:hAnsiTheme="majorBidi" w:cstheme="majorBidi"/>
          <w:sz w:val="20"/>
          <w:szCs w:val="20"/>
        </w:rPr>
        <w:t xml:space="preserve">T-356/15 </w:t>
      </w:r>
      <w:r w:rsidR="008D4C2B" w:rsidRPr="00F75C47">
        <w:rPr>
          <w:rFonts w:asciiTheme="majorBidi" w:hAnsiTheme="majorBidi"/>
          <w:i/>
          <w:sz w:val="20"/>
        </w:rPr>
        <w:t>Austria v Commission</w:t>
      </w:r>
      <w:r w:rsidR="005514BB" w:rsidRPr="00F75C47">
        <w:rPr>
          <w:rFonts w:asciiTheme="majorBidi" w:hAnsiTheme="majorBidi"/>
          <w:i/>
          <w:sz w:val="20"/>
        </w:rPr>
        <w:t xml:space="preserve"> </w:t>
      </w:r>
      <w:r w:rsidR="00E751BB" w:rsidRPr="00F75C47">
        <w:rPr>
          <w:rFonts w:asciiTheme="majorBidi" w:hAnsiTheme="majorBidi"/>
          <w:sz w:val="20"/>
        </w:rPr>
        <w:t>ruled</w:t>
      </w:r>
      <w:r w:rsidRPr="00F75C47">
        <w:rPr>
          <w:rFonts w:asciiTheme="majorBidi" w:hAnsiTheme="majorBidi"/>
          <w:sz w:val="20"/>
        </w:rPr>
        <w:t xml:space="preserve"> that the Commission did not need to consider environmental protection, the precautionary principle or the polluter pays principle in the </w:t>
      </w:r>
      <w:r w:rsidR="0010023D" w:rsidRPr="00F75C47">
        <w:rPr>
          <w:rFonts w:asciiTheme="majorBidi" w:hAnsiTheme="majorBidi"/>
          <w:sz w:val="20"/>
        </w:rPr>
        <w:t xml:space="preserve">2014 </w:t>
      </w:r>
      <w:r w:rsidRPr="00F75C47">
        <w:rPr>
          <w:rFonts w:asciiTheme="majorBidi" w:hAnsiTheme="majorBidi"/>
          <w:sz w:val="20"/>
        </w:rPr>
        <w:t>Decision.</w:t>
      </w:r>
      <w:r w:rsidRPr="00F75C47">
        <w:rPr>
          <w:rStyle w:val="FootnoteReference"/>
          <w:rFonts w:asciiTheme="majorBidi" w:hAnsiTheme="majorBidi" w:cstheme="majorBidi"/>
          <w:sz w:val="20"/>
          <w:szCs w:val="20"/>
        </w:rPr>
        <w:footnoteReference w:id="27"/>
      </w:r>
      <w:r w:rsidR="00D505EC" w:rsidRPr="00F75C47">
        <w:rPr>
          <w:rFonts w:asciiTheme="majorBidi" w:hAnsiTheme="majorBidi" w:cstheme="majorBidi"/>
          <w:sz w:val="20"/>
          <w:szCs w:val="20"/>
        </w:rPr>
        <w:t xml:space="preserve"> </w:t>
      </w:r>
      <w:r w:rsidR="00853A7D" w:rsidRPr="00F75C47">
        <w:rPr>
          <w:rFonts w:asciiTheme="majorBidi" w:hAnsiTheme="majorBidi" w:cstheme="majorBidi"/>
          <w:sz w:val="20"/>
          <w:szCs w:val="20"/>
        </w:rPr>
        <w:t xml:space="preserve">Austria </w:t>
      </w:r>
      <w:r w:rsidR="009B323F" w:rsidRPr="00F75C47">
        <w:rPr>
          <w:rFonts w:asciiTheme="majorBidi" w:hAnsiTheme="majorBidi" w:cstheme="majorBidi"/>
          <w:sz w:val="20"/>
          <w:szCs w:val="20"/>
        </w:rPr>
        <w:t xml:space="preserve">thereafter </w:t>
      </w:r>
      <w:r w:rsidR="00853A7D" w:rsidRPr="00F75C47">
        <w:rPr>
          <w:rFonts w:asciiTheme="majorBidi" w:hAnsiTheme="majorBidi" w:cstheme="majorBidi"/>
          <w:sz w:val="20"/>
          <w:szCs w:val="20"/>
        </w:rPr>
        <w:t>appealed th</w:t>
      </w:r>
      <w:r w:rsidR="009B323F" w:rsidRPr="00F75C47">
        <w:rPr>
          <w:rFonts w:asciiTheme="majorBidi" w:hAnsiTheme="majorBidi" w:cstheme="majorBidi"/>
          <w:sz w:val="20"/>
          <w:szCs w:val="20"/>
        </w:rPr>
        <w:t>e</w:t>
      </w:r>
      <w:r w:rsidR="00853A7D" w:rsidRPr="00F75C47">
        <w:rPr>
          <w:rFonts w:asciiTheme="majorBidi" w:hAnsiTheme="majorBidi" w:cstheme="majorBidi"/>
          <w:sz w:val="20"/>
          <w:szCs w:val="20"/>
        </w:rPr>
        <w:t xml:space="preserve"> judgement to the Court of Justice.</w:t>
      </w:r>
    </w:p>
    <w:p w14:paraId="7A3AFD6E" w14:textId="14CF6974" w:rsidR="00853A7D" w:rsidRPr="00F75C47" w:rsidRDefault="00D505EC" w:rsidP="007D18DC">
      <w:pPr>
        <w:pStyle w:val="ListParagraph"/>
        <w:numPr>
          <w:ilvl w:val="0"/>
          <w:numId w:val="2"/>
        </w:numPr>
        <w:tabs>
          <w:tab w:val="clear" w:pos="1994"/>
          <w:tab w:val="num" w:pos="1701"/>
        </w:tabs>
        <w:suppressAutoHyphens/>
        <w:spacing w:after="120" w:line="240" w:lineRule="atLeast"/>
        <w:ind w:left="1134" w:right="521" w:firstLine="0"/>
        <w:jc w:val="both"/>
        <w:rPr>
          <w:rFonts w:asciiTheme="majorBidi" w:hAnsiTheme="majorBidi" w:cstheme="majorBidi"/>
          <w:sz w:val="20"/>
          <w:szCs w:val="20"/>
        </w:rPr>
      </w:pPr>
      <w:bookmarkStart w:id="18" w:name="_Ref61558188"/>
      <w:r w:rsidRPr="00F75C47">
        <w:rPr>
          <w:rFonts w:asciiTheme="majorBidi" w:hAnsiTheme="majorBidi" w:cstheme="majorBidi"/>
          <w:sz w:val="20"/>
          <w:szCs w:val="20"/>
        </w:rPr>
        <w:t xml:space="preserve">In its judgment of 22 September 2020 in C-594/18 P </w:t>
      </w:r>
      <w:r w:rsidRPr="00F75C47">
        <w:rPr>
          <w:rFonts w:asciiTheme="majorBidi" w:hAnsiTheme="majorBidi" w:cstheme="majorBidi"/>
          <w:i/>
          <w:iCs/>
          <w:sz w:val="20"/>
          <w:szCs w:val="20"/>
        </w:rPr>
        <w:t>Austria v Commission</w:t>
      </w:r>
      <w:r w:rsidRPr="00F75C47">
        <w:rPr>
          <w:rFonts w:asciiTheme="majorBidi" w:hAnsiTheme="majorBidi" w:cstheme="majorBidi"/>
          <w:sz w:val="20"/>
          <w:szCs w:val="20"/>
        </w:rPr>
        <w:t>, the Court of Justice (Grand Chamber) held</w:t>
      </w:r>
      <w:r w:rsidR="00853A7D" w:rsidRPr="00F75C47">
        <w:rPr>
          <w:rFonts w:asciiTheme="majorBidi" w:hAnsiTheme="majorBidi" w:cstheme="majorBidi"/>
          <w:sz w:val="20"/>
          <w:szCs w:val="20"/>
        </w:rPr>
        <w:t>, inter alia,</w:t>
      </w:r>
      <w:r w:rsidRPr="00F75C47">
        <w:rPr>
          <w:rFonts w:asciiTheme="majorBidi" w:hAnsiTheme="majorBidi" w:cstheme="majorBidi"/>
          <w:sz w:val="20"/>
          <w:szCs w:val="20"/>
        </w:rPr>
        <w:t xml:space="preserve"> that</w:t>
      </w:r>
      <w:r w:rsidR="00853A7D" w:rsidRPr="00F75C47">
        <w:rPr>
          <w:rFonts w:asciiTheme="majorBidi" w:hAnsiTheme="majorBidi" w:cstheme="majorBidi"/>
          <w:sz w:val="20"/>
          <w:szCs w:val="20"/>
        </w:rPr>
        <w:t>:</w:t>
      </w:r>
      <w:r w:rsidRPr="00F75C47">
        <w:rPr>
          <w:rStyle w:val="FootnoteReference"/>
          <w:rFonts w:asciiTheme="majorBidi" w:hAnsiTheme="majorBidi" w:cstheme="majorBidi"/>
          <w:szCs w:val="20"/>
        </w:rPr>
        <w:footnoteReference w:id="28"/>
      </w:r>
      <w:bookmarkStart w:id="19" w:name="point42"/>
      <w:bookmarkEnd w:id="18"/>
    </w:p>
    <w:p w14:paraId="1E1404F4" w14:textId="38CA160F" w:rsidR="00853A7D" w:rsidRPr="00F75C47" w:rsidRDefault="00853A7D" w:rsidP="003D5AC3">
      <w:pPr>
        <w:pStyle w:val="ListParagraph"/>
        <w:suppressAutoHyphens/>
        <w:spacing w:after="120" w:line="240" w:lineRule="atLeast"/>
        <w:ind w:left="1701" w:right="521"/>
        <w:jc w:val="both"/>
        <w:rPr>
          <w:rFonts w:asciiTheme="majorBidi" w:hAnsiTheme="majorBidi" w:cstheme="majorBidi"/>
          <w:sz w:val="20"/>
          <w:szCs w:val="20"/>
        </w:rPr>
      </w:pPr>
    </w:p>
    <w:p w14:paraId="3BBD07DB" w14:textId="3F885D6E" w:rsidR="00892CD9" w:rsidRPr="00F75C47" w:rsidRDefault="00892CD9" w:rsidP="007D18DC">
      <w:pPr>
        <w:pStyle w:val="ListParagraph"/>
        <w:suppressAutoHyphens/>
        <w:spacing w:after="120" w:line="240" w:lineRule="atLeast"/>
        <w:ind w:left="1701" w:right="521"/>
        <w:jc w:val="both"/>
        <w:rPr>
          <w:rFonts w:asciiTheme="majorBidi" w:hAnsiTheme="majorBidi" w:cstheme="majorBidi"/>
          <w:sz w:val="20"/>
          <w:szCs w:val="20"/>
        </w:rPr>
      </w:pPr>
      <w:r w:rsidRPr="00F75C47">
        <w:rPr>
          <w:rFonts w:asciiTheme="majorBidi" w:hAnsiTheme="majorBidi" w:cstheme="majorBidi"/>
          <w:sz w:val="20"/>
          <w:szCs w:val="20"/>
        </w:rPr>
        <w:t>100</w:t>
      </w:r>
      <w:r w:rsidR="00946BD0" w:rsidRPr="00F75C47">
        <w:rPr>
          <w:rFonts w:asciiTheme="majorBidi" w:hAnsiTheme="majorBidi" w:cstheme="majorBidi"/>
          <w:sz w:val="20"/>
          <w:szCs w:val="20"/>
        </w:rPr>
        <w:t>.</w:t>
      </w:r>
      <w:r w:rsidRPr="00F75C47">
        <w:rPr>
          <w:rFonts w:asciiTheme="majorBidi" w:hAnsiTheme="majorBidi" w:cstheme="majorBidi"/>
          <w:sz w:val="20"/>
          <w:szCs w:val="20"/>
        </w:rPr>
        <w:t xml:space="preserve"> </w:t>
      </w:r>
      <w:proofErr w:type="gramStart"/>
      <w:r w:rsidRPr="00F75C47">
        <w:rPr>
          <w:rFonts w:asciiTheme="majorBidi" w:hAnsiTheme="majorBidi" w:cstheme="majorBidi"/>
          <w:sz w:val="20"/>
          <w:szCs w:val="20"/>
        </w:rPr>
        <w:t xml:space="preserve">   </w:t>
      </w:r>
      <w:r w:rsidR="00946BD0" w:rsidRPr="00F75C47">
        <w:rPr>
          <w:rFonts w:asciiTheme="majorBidi" w:hAnsiTheme="majorBidi" w:cstheme="majorBidi"/>
          <w:sz w:val="20"/>
          <w:szCs w:val="20"/>
        </w:rPr>
        <w:t>[</w:t>
      </w:r>
      <w:proofErr w:type="gramEnd"/>
      <w:r w:rsidRPr="00F75C47">
        <w:rPr>
          <w:rFonts w:asciiTheme="majorBidi" w:hAnsiTheme="majorBidi" w:cstheme="majorBidi"/>
          <w:sz w:val="20"/>
          <w:szCs w:val="20"/>
        </w:rPr>
        <w:t>…</w:t>
      </w:r>
      <w:r w:rsidR="00946BD0" w:rsidRPr="00F75C47">
        <w:rPr>
          <w:rFonts w:asciiTheme="majorBidi" w:hAnsiTheme="majorBidi" w:cstheme="majorBidi"/>
          <w:sz w:val="20"/>
          <w:szCs w:val="20"/>
        </w:rPr>
        <w:t>]</w:t>
      </w:r>
      <w:r w:rsidRPr="00F75C47">
        <w:rPr>
          <w:rFonts w:asciiTheme="majorBidi" w:hAnsiTheme="majorBidi" w:cstheme="majorBidi"/>
          <w:sz w:val="20"/>
          <w:szCs w:val="20"/>
        </w:rPr>
        <w:t xml:space="preserve"> </w:t>
      </w:r>
      <w:r w:rsidR="00946BD0" w:rsidRPr="00F75C47">
        <w:rPr>
          <w:rFonts w:asciiTheme="majorBidi" w:hAnsiTheme="majorBidi" w:cstheme="majorBidi"/>
          <w:sz w:val="20"/>
          <w:szCs w:val="20"/>
        </w:rPr>
        <w:t>t</w:t>
      </w:r>
      <w:r w:rsidRPr="00F75C47">
        <w:rPr>
          <w:rFonts w:asciiTheme="majorBidi" w:hAnsiTheme="majorBidi" w:cstheme="majorBidi"/>
          <w:sz w:val="20"/>
          <w:szCs w:val="20"/>
        </w:rPr>
        <w:t>he requirement to preserve and improve the environment, expressed inter alia in Article 37 of the Charter and in Articles 11 and 194(1) TFEU, and the rules of EU law on the environment are applicable in the nuclear energy sector. It follows that, when the Commission checks whether State aid for an economic activity falling within that sector meets the first condition laid down in Article 107(3)(c) TFEU,</w:t>
      </w:r>
      <w:r w:rsidR="00946BD0" w:rsidRPr="00F75C47">
        <w:rPr>
          <w:rFonts w:asciiTheme="majorBidi" w:hAnsiTheme="majorBidi" w:cstheme="majorBidi"/>
          <w:sz w:val="20"/>
          <w:szCs w:val="20"/>
        </w:rPr>
        <w:t xml:space="preserve"> [it must] </w:t>
      </w:r>
      <w:r w:rsidRPr="00F75C47">
        <w:rPr>
          <w:rFonts w:asciiTheme="majorBidi" w:hAnsiTheme="majorBidi" w:cstheme="majorBidi"/>
          <w:sz w:val="20"/>
          <w:szCs w:val="20"/>
        </w:rPr>
        <w:t>check that that activity does not infringe rules of EU law on the environment. If it finds an infringement of those rules, it is obliged to declare the aid incompatible with the internal market without any other form of examination.</w:t>
      </w:r>
    </w:p>
    <w:bookmarkEnd w:id="19"/>
    <w:p w14:paraId="26DAF142" w14:textId="1D760209" w:rsidR="004F18D0" w:rsidRPr="00F75C47" w:rsidRDefault="004F18D0" w:rsidP="00364BE7">
      <w:pPr>
        <w:keepNext/>
        <w:keepLines/>
        <w:numPr>
          <w:ilvl w:val="0"/>
          <w:numId w:val="3"/>
        </w:numPr>
        <w:tabs>
          <w:tab w:val="clear" w:pos="1200"/>
          <w:tab w:val="left" w:pos="1701"/>
        </w:tabs>
        <w:suppressAutoHyphens/>
        <w:spacing w:before="360" w:after="120" w:line="270" w:lineRule="exact"/>
        <w:ind w:left="1134" w:right="1134" w:firstLine="0"/>
        <w:rPr>
          <w:rFonts w:asciiTheme="majorBidi" w:hAnsiTheme="majorBidi"/>
          <w:b/>
          <w:sz w:val="24"/>
        </w:rPr>
      </w:pPr>
      <w:r w:rsidRPr="00F75C47">
        <w:rPr>
          <w:rFonts w:asciiTheme="majorBidi" w:hAnsiTheme="majorBidi"/>
          <w:b/>
          <w:sz w:val="24"/>
        </w:rPr>
        <w:t xml:space="preserve">Domestic remedies </w:t>
      </w:r>
    </w:p>
    <w:p w14:paraId="02A12AC4" w14:textId="77777777" w:rsidR="004F18D0" w:rsidRPr="00F75C47" w:rsidRDefault="004F18D0" w:rsidP="00364BE7">
      <w:pPr>
        <w:numPr>
          <w:ilvl w:val="0"/>
          <w:numId w:val="2"/>
        </w:numPr>
        <w:tabs>
          <w:tab w:val="left" w:pos="1701"/>
        </w:tabs>
        <w:suppressAutoHyphens/>
        <w:spacing w:after="120" w:line="240" w:lineRule="atLeast"/>
        <w:ind w:left="1100" w:right="521" w:firstLine="0"/>
        <w:jc w:val="both"/>
        <w:rPr>
          <w:rFonts w:asciiTheme="majorBidi" w:hAnsiTheme="majorBidi"/>
          <w:sz w:val="20"/>
        </w:rPr>
      </w:pPr>
      <w:r w:rsidRPr="00F75C47">
        <w:rPr>
          <w:rFonts w:asciiTheme="majorBidi" w:hAnsiTheme="majorBidi"/>
          <w:sz w:val="20"/>
        </w:rPr>
        <w:t>The Party concerned submits that the communication should be found to be inadmissible for failure to exhaust domestic remedies under paragraph 21 of the annex to decision I/7.</w:t>
      </w:r>
      <w:r w:rsidRPr="00F75C47">
        <w:rPr>
          <w:rStyle w:val="FootnoteReference"/>
          <w:rFonts w:asciiTheme="majorBidi" w:hAnsiTheme="majorBidi"/>
        </w:rPr>
        <w:footnoteReference w:id="29"/>
      </w:r>
      <w:r w:rsidRPr="00F75C47">
        <w:rPr>
          <w:rFonts w:asciiTheme="majorBidi" w:hAnsiTheme="majorBidi"/>
          <w:sz w:val="20"/>
        </w:rPr>
        <w:t xml:space="preserve"> It submits that, contrary to the Committee’s statement in its determination of preliminary admissibility that paragraph 21 does not imply a strict requirement that all domestic remedies must be exhausted, there is no doubt that domestic remedies are to be taken into account at all stages, unless they are unsatisfactory.</w:t>
      </w:r>
      <w:r w:rsidRPr="00F75C47">
        <w:rPr>
          <w:rStyle w:val="FootnoteReference"/>
          <w:rFonts w:asciiTheme="majorBidi" w:hAnsiTheme="majorBidi"/>
        </w:rPr>
        <w:footnoteReference w:id="30"/>
      </w:r>
      <w:r w:rsidRPr="00F75C47">
        <w:rPr>
          <w:rFonts w:asciiTheme="majorBidi" w:hAnsiTheme="majorBidi"/>
          <w:sz w:val="20"/>
        </w:rPr>
        <w:t xml:space="preserve"> </w:t>
      </w:r>
    </w:p>
    <w:p w14:paraId="7BF24B4F" w14:textId="5E4FD1D7" w:rsidR="004F18D0" w:rsidRPr="00F75C47" w:rsidRDefault="004F18D0" w:rsidP="00364BE7">
      <w:pPr>
        <w:numPr>
          <w:ilvl w:val="0"/>
          <w:numId w:val="2"/>
        </w:numPr>
        <w:tabs>
          <w:tab w:val="left" w:pos="1701"/>
        </w:tabs>
        <w:suppressAutoHyphens/>
        <w:spacing w:after="120" w:line="240" w:lineRule="atLeast"/>
        <w:ind w:left="1100" w:right="521" w:firstLine="0"/>
        <w:jc w:val="both"/>
        <w:rPr>
          <w:rFonts w:asciiTheme="majorBidi" w:hAnsiTheme="majorBidi"/>
          <w:sz w:val="20"/>
        </w:rPr>
      </w:pPr>
      <w:r w:rsidRPr="00F75C47">
        <w:rPr>
          <w:rFonts w:asciiTheme="majorBidi" w:hAnsiTheme="majorBidi"/>
          <w:sz w:val="20"/>
        </w:rPr>
        <w:t xml:space="preserve">The Party concerned submits that in the present case remedies </w:t>
      </w:r>
      <w:r w:rsidR="002514AF" w:rsidRPr="00F75C47">
        <w:rPr>
          <w:rFonts w:asciiTheme="majorBidi" w:hAnsiTheme="majorBidi" w:cstheme="majorBidi"/>
          <w:sz w:val="20"/>
        </w:rPr>
        <w:t>were</w:t>
      </w:r>
      <w:r w:rsidR="002514AF" w:rsidRPr="00F75C47">
        <w:rPr>
          <w:rFonts w:asciiTheme="majorBidi" w:hAnsiTheme="majorBidi"/>
          <w:sz w:val="20"/>
        </w:rPr>
        <w:t xml:space="preserve"> available </w:t>
      </w:r>
      <w:r w:rsidR="002514AF" w:rsidRPr="00F75C47">
        <w:rPr>
          <w:rFonts w:asciiTheme="majorBidi" w:hAnsiTheme="majorBidi" w:cstheme="majorBidi"/>
          <w:sz w:val="20"/>
        </w:rPr>
        <w:t xml:space="preserve">under both EU </w:t>
      </w:r>
      <w:r w:rsidR="002514AF" w:rsidRPr="00F75C47">
        <w:rPr>
          <w:rFonts w:asciiTheme="majorBidi" w:hAnsiTheme="majorBidi"/>
          <w:sz w:val="20"/>
        </w:rPr>
        <w:t xml:space="preserve">and </w:t>
      </w:r>
      <w:r w:rsidR="002514AF" w:rsidRPr="00F75C47">
        <w:rPr>
          <w:rFonts w:asciiTheme="majorBidi" w:hAnsiTheme="majorBidi" w:cstheme="majorBidi"/>
          <w:sz w:val="20"/>
        </w:rPr>
        <w:t>national law</w:t>
      </w:r>
      <w:r w:rsidRPr="00F75C47">
        <w:rPr>
          <w:rFonts w:asciiTheme="majorBidi" w:hAnsiTheme="majorBidi"/>
          <w:sz w:val="20"/>
        </w:rPr>
        <w:t xml:space="preserve"> and the communicant</w:t>
      </w:r>
      <w:r w:rsidR="00C8709B" w:rsidRPr="00F75C47">
        <w:rPr>
          <w:rFonts w:asciiTheme="majorBidi" w:hAnsiTheme="majorBidi"/>
          <w:sz w:val="20"/>
        </w:rPr>
        <w:t>s</w:t>
      </w:r>
      <w:r w:rsidRPr="00F75C47">
        <w:rPr>
          <w:rFonts w:asciiTheme="majorBidi" w:hAnsiTheme="majorBidi"/>
          <w:sz w:val="20"/>
        </w:rPr>
        <w:t xml:space="preserve"> should not be allowed to circumvent these remedies by appealing directly to the Committee.</w:t>
      </w:r>
      <w:r w:rsidRPr="00F75C47">
        <w:rPr>
          <w:rStyle w:val="FootnoteReference"/>
          <w:rFonts w:asciiTheme="majorBidi" w:hAnsiTheme="majorBidi"/>
        </w:rPr>
        <w:footnoteReference w:id="31"/>
      </w:r>
      <w:r w:rsidRPr="00F75C47">
        <w:rPr>
          <w:rFonts w:asciiTheme="majorBidi" w:hAnsiTheme="majorBidi"/>
          <w:sz w:val="20"/>
        </w:rPr>
        <w:t xml:space="preserve"> The Party concerned submits that the communicants have failed to demonstrate that they have used these remedies but rather have only argued that remedies would be useless or a waste of financial and </w:t>
      </w:r>
      <w:r w:rsidR="0094604E">
        <w:rPr>
          <w:rFonts w:asciiTheme="majorBidi" w:hAnsiTheme="majorBidi"/>
          <w:sz w:val="20"/>
        </w:rPr>
        <w:t>human</w:t>
      </w:r>
      <w:r w:rsidR="0094604E" w:rsidRPr="00F75C47">
        <w:rPr>
          <w:rFonts w:asciiTheme="majorBidi" w:hAnsiTheme="majorBidi"/>
          <w:sz w:val="20"/>
        </w:rPr>
        <w:t xml:space="preserve"> </w:t>
      </w:r>
      <w:r w:rsidRPr="00F75C47">
        <w:rPr>
          <w:rFonts w:asciiTheme="majorBidi" w:hAnsiTheme="majorBidi"/>
          <w:sz w:val="20"/>
        </w:rPr>
        <w:t>resources.</w:t>
      </w:r>
      <w:r w:rsidRPr="00F75C47">
        <w:rPr>
          <w:rStyle w:val="FootnoteReference"/>
          <w:rFonts w:asciiTheme="majorBidi" w:hAnsiTheme="majorBidi"/>
        </w:rPr>
        <w:footnoteReference w:id="32"/>
      </w:r>
      <w:r w:rsidRPr="00F75C47">
        <w:rPr>
          <w:rFonts w:asciiTheme="majorBidi" w:hAnsiTheme="majorBidi"/>
          <w:sz w:val="20"/>
        </w:rPr>
        <w:t xml:space="preserve"> </w:t>
      </w:r>
    </w:p>
    <w:p w14:paraId="1940190E" w14:textId="5ED9DCF3" w:rsidR="004F18D0" w:rsidRPr="00F75C47" w:rsidRDefault="004F18D0" w:rsidP="00364BE7">
      <w:pPr>
        <w:numPr>
          <w:ilvl w:val="0"/>
          <w:numId w:val="2"/>
        </w:numPr>
        <w:tabs>
          <w:tab w:val="left" w:pos="1701"/>
        </w:tabs>
        <w:suppressAutoHyphens/>
        <w:spacing w:after="120" w:line="240" w:lineRule="atLeast"/>
        <w:ind w:left="1100" w:right="521" w:firstLine="0"/>
        <w:jc w:val="both"/>
        <w:rPr>
          <w:rFonts w:asciiTheme="majorBidi" w:hAnsiTheme="majorBidi"/>
          <w:sz w:val="20"/>
        </w:rPr>
      </w:pPr>
      <w:r w:rsidRPr="00F75C47">
        <w:rPr>
          <w:rFonts w:asciiTheme="majorBidi" w:hAnsiTheme="majorBidi"/>
          <w:sz w:val="20"/>
        </w:rPr>
        <w:t xml:space="preserve">The communicants submit that they have not pursued domestic remedies as they have been effectively blocked to challenge the </w:t>
      </w:r>
      <w:r w:rsidR="00595B1B" w:rsidRPr="00F75C47">
        <w:rPr>
          <w:rFonts w:asciiTheme="majorBidi" w:hAnsiTheme="majorBidi"/>
          <w:sz w:val="20"/>
        </w:rPr>
        <w:t xml:space="preserve">2014 </w:t>
      </w:r>
      <w:r w:rsidRPr="00F75C47">
        <w:rPr>
          <w:rFonts w:asciiTheme="majorBidi" w:hAnsiTheme="majorBidi"/>
          <w:sz w:val="20"/>
        </w:rPr>
        <w:t>Decision.</w:t>
      </w:r>
      <w:r w:rsidRPr="00F75C47">
        <w:rPr>
          <w:rStyle w:val="FootnoteReference"/>
          <w:rFonts w:asciiTheme="majorBidi" w:hAnsiTheme="majorBidi"/>
        </w:rPr>
        <w:footnoteReference w:id="33"/>
      </w:r>
      <w:r w:rsidRPr="00F75C47">
        <w:rPr>
          <w:rFonts w:asciiTheme="majorBidi" w:hAnsiTheme="majorBidi"/>
          <w:sz w:val="20"/>
        </w:rPr>
        <w:t xml:space="preserve"> They allege that any remedy would have been useless and thus a waste of financial and </w:t>
      </w:r>
      <w:r w:rsidR="003E2A2F" w:rsidRPr="00F75C47">
        <w:rPr>
          <w:rFonts w:asciiTheme="majorBidi" w:hAnsiTheme="majorBidi"/>
          <w:sz w:val="20"/>
        </w:rPr>
        <w:t xml:space="preserve">human </w:t>
      </w:r>
      <w:r w:rsidRPr="00F75C47">
        <w:rPr>
          <w:rFonts w:asciiTheme="majorBidi" w:hAnsiTheme="majorBidi"/>
          <w:sz w:val="20"/>
        </w:rPr>
        <w:t>resources. They submit that the application of these remedies is unreasonably prolonged or obviously does not provide an effective and sufficient means of redress.</w:t>
      </w:r>
      <w:r w:rsidRPr="00F75C47">
        <w:rPr>
          <w:rStyle w:val="FootnoteReference"/>
          <w:rFonts w:asciiTheme="majorBidi" w:hAnsiTheme="majorBidi"/>
        </w:rPr>
        <w:footnoteReference w:id="34"/>
      </w:r>
      <w:r w:rsidR="00734331" w:rsidRPr="00F75C47">
        <w:rPr>
          <w:rFonts w:asciiTheme="majorBidi" w:hAnsiTheme="majorBidi"/>
          <w:sz w:val="20"/>
        </w:rPr>
        <w:t xml:space="preserve"> The communicants</w:t>
      </w:r>
      <w:r w:rsidR="00885810" w:rsidRPr="00F75C47">
        <w:rPr>
          <w:rFonts w:asciiTheme="majorBidi" w:hAnsiTheme="majorBidi"/>
          <w:sz w:val="20"/>
        </w:rPr>
        <w:t>’</w:t>
      </w:r>
      <w:r w:rsidR="00734331" w:rsidRPr="00F75C47">
        <w:rPr>
          <w:rFonts w:asciiTheme="majorBidi" w:hAnsiTheme="majorBidi"/>
          <w:sz w:val="20"/>
        </w:rPr>
        <w:t xml:space="preserve"> further arguments as to why no domestic remedies are available are </w:t>
      </w:r>
      <w:r w:rsidR="00891639" w:rsidRPr="00F75C47">
        <w:rPr>
          <w:rFonts w:asciiTheme="majorBidi" w:hAnsiTheme="majorBidi"/>
          <w:sz w:val="20"/>
        </w:rPr>
        <w:t xml:space="preserve">summarized in paragraphs </w:t>
      </w:r>
      <w:r w:rsidR="00C65C39" w:rsidRPr="00F75C47">
        <w:rPr>
          <w:rFonts w:asciiTheme="majorBidi" w:hAnsiTheme="majorBidi" w:cstheme="majorBidi"/>
          <w:sz w:val="20"/>
          <w:szCs w:val="20"/>
        </w:rPr>
        <w:fldChar w:fldCharType="begin"/>
      </w:r>
      <w:r w:rsidR="00C65C39" w:rsidRPr="00F75C47">
        <w:rPr>
          <w:rFonts w:asciiTheme="majorBidi" w:hAnsiTheme="majorBidi" w:cstheme="majorBidi"/>
          <w:sz w:val="20"/>
          <w:szCs w:val="20"/>
        </w:rPr>
        <w:instrText xml:space="preserve"> REF _Ref61553905 \r \h </w:instrText>
      </w:r>
      <w:r w:rsidR="00EA30E3" w:rsidRPr="00F75C47">
        <w:rPr>
          <w:rFonts w:asciiTheme="majorBidi" w:hAnsiTheme="majorBidi" w:cstheme="majorBidi"/>
          <w:sz w:val="20"/>
          <w:szCs w:val="20"/>
        </w:rPr>
        <w:instrText xml:space="preserve"> \* MERGEFORMAT </w:instrText>
      </w:r>
      <w:r w:rsidR="00C65C39" w:rsidRPr="00F75C47">
        <w:rPr>
          <w:rFonts w:asciiTheme="majorBidi" w:hAnsiTheme="majorBidi" w:cstheme="majorBidi"/>
          <w:sz w:val="20"/>
          <w:szCs w:val="20"/>
        </w:rPr>
      </w:r>
      <w:r w:rsidR="00C65C39" w:rsidRPr="00F75C47">
        <w:rPr>
          <w:rFonts w:asciiTheme="majorBidi" w:hAnsiTheme="majorBidi" w:cstheme="majorBidi"/>
          <w:sz w:val="20"/>
          <w:szCs w:val="20"/>
        </w:rPr>
        <w:fldChar w:fldCharType="separate"/>
      </w:r>
      <w:r w:rsidR="00B30651">
        <w:rPr>
          <w:rFonts w:asciiTheme="majorBidi" w:hAnsiTheme="majorBidi" w:cstheme="majorBidi"/>
          <w:sz w:val="20"/>
          <w:szCs w:val="20"/>
          <w:cs/>
        </w:rPr>
        <w:t>‎</w:t>
      </w:r>
      <w:r w:rsidR="00B30651">
        <w:rPr>
          <w:rFonts w:asciiTheme="majorBidi" w:hAnsiTheme="majorBidi" w:cstheme="majorBidi"/>
          <w:sz w:val="20"/>
          <w:szCs w:val="20"/>
        </w:rPr>
        <w:t>72</w:t>
      </w:r>
      <w:r w:rsidR="00C65C39" w:rsidRPr="00F75C47">
        <w:rPr>
          <w:rFonts w:asciiTheme="majorBidi" w:hAnsiTheme="majorBidi" w:cstheme="majorBidi"/>
          <w:sz w:val="20"/>
          <w:szCs w:val="20"/>
        </w:rPr>
        <w:fldChar w:fldCharType="end"/>
      </w:r>
      <w:r w:rsidR="00C65C39" w:rsidRPr="00F75C47">
        <w:rPr>
          <w:rFonts w:asciiTheme="majorBidi" w:hAnsiTheme="majorBidi" w:cstheme="majorBidi"/>
          <w:sz w:val="20"/>
          <w:szCs w:val="20"/>
        </w:rPr>
        <w:t xml:space="preserve"> </w:t>
      </w:r>
      <w:r w:rsidR="00891639" w:rsidRPr="00F75C47">
        <w:rPr>
          <w:rFonts w:asciiTheme="majorBidi" w:hAnsiTheme="majorBidi" w:cstheme="majorBidi"/>
          <w:sz w:val="20"/>
          <w:szCs w:val="20"/>
        </w:rPr>
        <w:t xml:space="preserve">to </w:t>
      </w:r>
      <w:r w:rsidR="00C65C39" w:rsidRPr="00F75C47">
        <w:rPr>
          <w:rFonts w:asciiTheme="majorBidi" w:hAnsiTheme="majorBidi" w:cstheme="majorBidi"/>
          <w:sz w:val="20"/>
          <w:szCs w:val="20"/>
        </w:rPr>
        <w:fldChar w:fldCharType="begin"/>
      </w:r>
      <w:r w:rsidR="00C65C39" w:rsidRPr="00F75C47">
        <w:rPr>
          <w:rFonts w:asciiTheme="majorBidi" w:hAnsiTheme="majorBidi" w:cstheme="majorBidi"/>
          <w:sz w:val="20"/>
          <w:szCs w:val="20"/>
        </w:rPr>
        <w:instrText xml:space="preserve"> REF _Ref61553919 \r \h  \* MERGEFORMAT </w:instrText>
      </w:r>
      <w:r w:rsidR="00C65C39" w:rsidRPr="00F75C47">
        <w:rPr>
          <w:rFonts w:asciiTheme="majorBidi" w:hAnsiTheme="majorBidi" w:cstheme="majorBidi"/>
          <w:sz w:val="20"/>
          <w:szCs w:val="20"/>
        </w:rPr>
      </w:r>
      <w:r w:rsidR="00C65C39" w:rsidRPr="00F75C47">
        <w:rPr>
          <w:rFonts w:asciiTheme="majorBidi" w:hAnsiTheme="majorBidi" w:cstheme="majorBidi"/>
          <w:sz w:val="20"/>
          <w:szCs w:val="20"/>
        </w:rPr>
        <w:fldChar w:fldCharType="separate"/>
      </w:r>
      <w:r w:rsidR="00B30651">
        <w:rPr>
          <w:rFonts w:asciiTheme="majorBidi" w:hAnsiTheme="majorBidi" w:cstheme="majorBidi"/>
          <w:sz w:val="20"/>
          <w:szCs w:val="20"/>
          <w:cs/>
        </w:rPr>
        <w:t>‎</w:t>
      </w:r>
      <w:r w:rsidR="00B30651">
        <w:rPr>
          <w:rFonts w:asciiTheme="majorBidi" w:hAnsiTheme="majorBidi" w:cstheme="majorBidi"/>
          <w:sz w:val="20"/>
          <w:szCs w:val="20"/>
        </w:rPr>
        <w:t>92</w:t>
      </w:r>
      <w:r w:rsidR="00C65C39" w:rsidRPr="00F75C47">
        <w:rPr>
          <w:rFonts w:asciiTheme="majorBidi" w:hAnsiTheme="majorBidi" w:cstheme="majorBidi"/>
          <w:sz w:val="20"/>
          <w:szCs w:val="20"/>
        </w:rPr>
        <w:fldChar w:fldCharType="end"/>
      </w:r>
      <w:r w:rsidR="00891639" w:rsidRPr="00F75C47">
        <w:rPr>
          <w:rFonts w:asciiTheme="majorBidi" w:hAnsiTheme="majorBidi"/>
          <w:sz w:val="20"/>
        </w:rPr>
        <w:t xml:space="preserve"> </w:t>
      </w:r>
      <w:r w:rsidR="00734331" w:rsidRPr="00F75C47">
        <w:rPr>
          <w:rFonts w:asciiTheme="majorBidi" w:hAnsiTheme="majorBidi"/>
          <w:sz w:val="20"/>
        </w:rPr>
        <w:t>below.</w:t>
      </w:r>
    </w:p>
    <w:p w14:paraId="1C340876" w14:textId="77777777" w:rsidR="004F18D0" w:rsidRPr="00F75C47" w:rsidRDefault="004F18D0" w:rsidP="00364BE7">
      <w:pPr>
        <w:keepNext/>
        <w:keepLines/>
        <w:numPr>
          <w:ilvl w:val="0"/>
          <w:numId w:val="3"/>
        </w:numPr>
        <w:tabs>
          <w:tab w:val="right" w:pos="709"/>
          <w:tab w:val="left" w:pos="1701"/>
        </w:tabs>
        <w:suppressAutoHyphens/>
        <w:spacing w:before="360" w:after="120" w:line="270" w:lineRule="exact"/>
        <w:ind w:right="1134" w:firstLine="0"/>
        <w:rPr>
          <w:rFonts w:asciiTheme="majorBidi" w:hAnsiTheme="majorBidi"/>
          <w:b/>
          <w:sz w:val="24"/>
        </w:rPr>
      </w:pPr>
      <w:r w:rsidRPr="00F75C47">
        <w:rPr>
          <w:rFonts w:asciiTheme="majorBidi" w:hAnsiTheme="majorBidi"/>
          <w:b/>
          <w:sz w:val="24"/>
        </w:rPr>
        <w:t>Substantive issues</w:t>
      </w:r>
    </w:p>
    <w:p w14:paraId="7C8FB0B4" w14:textId="74B0EE07" w:rsidR="00E860F2" w:rsidRPr="00F75C47" w:rsidRDefault="00E860F2" w:rsidP="007D18DC">
      <w:pPr>
        <w:tabs>
          <w:tab w:val="left" w:pos="1701"/>
        </w:tabs>
        <w:suppressAutoHyphens/>
        <w:spacing w:after="120" w:line="240" w:lineRule="atLeast"/>
        <w:ind w:left="1134" w:right="521"/>
        <w:jc w:val="both"/>
        <w:rPr>
          <w:rFonts w:asciiTheme="majorBidi" w:hAnsiTheme="majorBidi"/>
          <w:b/>
          <w:sz w:val="20"/>
        </w:rPr>
      </w:pPr>
      <w:r w:rsidRPr="00F75C47">
        <w:rPr>
          <w:rFonts w:asciiTheme="majorBidi" w:hAnsiTheme="majorBidi"/>
          <w:b/>
          <w:sz w:val="20"/>
        </w:rPr>
        <w:t xml:space="preserve">Effect of the declarations </w:t>
      </w:r>
      <w:r w:rsidR="00DD58CF" w:rsidRPr="00F75C47">
        <w:rPr>
          <w:rFonts w:asciiTheme="majorBidi" w:hAnsiTheme="majorBidi"/>
          <w:b/>
          <w:sz w:val="20"/>
        </w:rPr>
        <w:t xml:space="preserve">upon ratification </w:t>
      </w:r>
      <w:r w:rsidR="00F85683" w:rsidRPr="00F75C47">
        <w:rPr>
          <w:rFonts w:asciiTheme="majorBidi" w:hAnsiTheme="majorBidi" w:cstheme="majorBidi"/>
          <w:b/>
          <w:sz w:val="20"/>
          <w:szCs w:val="20"/>
        </w:rPr>
        <w:t>by</w:t>
      </w:r>
      <w:r w:rsidR="00F85683" w:rsidRPr="00F75C47">
        <w:rPr>
          <w:rFonts w:asciiTheme="majorBidi" w:hAnsiTheme="majorBidi"/>
          <w:b/>
          <w:sz w:val="20"/>
        </w:rPr>
        <w:t xml:space="preserve"> </w:t>
      </w:r>
      <w:r w:rsidRPr="00F75C47">
        <w:rPr>
          <w:rFonts w:asciiTheme="majorBidi" w:hAnsiTheme="majorBidi"/>
          <w:b/>
          <w:sz w:val="20"/>
        </w:rPr>
        <w:t xml:space="preserve">the Party concerned </w:t>
      </w:r>
    </w:p>
    <w:p w14:paraId="5D03CAD3" w14:textId="331DB63B" w:rsidR="00543295" w:rsidRPr="00F75C47" w:rsidRDefault="00E860F2" w:rsidP="000F2392">
      <w:pPr>
        <w:numPr>
          <w:ilvl w:val="0"/>
          <w:numId w:val="2"/>
        </w:numPr>
        <w:tabs>
          <w:tab w:val="left" w:pos="1701"/>
        </w:tabs>
        <w:suppressAutoHyphens/>
        <w:spacing w:after="120" w:line="240" w:lineRule="atLeast"/>
        <w:ind w:left="1100" w:right="521" w:firstLine="0"/>
        <w:jc w:val="both"/>
        <w:rPr>
          <w:rFonts w:asciiTheme="majorBidi" w:hAnsiTheme="majorBidi" w:cstheme="majorBidi"/>
          <w:sz w:val="20"/>
          <w:szCs w:val="20"/>
        </w:rPr>
      </w:pPr>
      <w:r w:rsidRPr="00F75C47">
        <w:rPr>
          <w:rFonts w:asciiTheme="majorBidi" w:hAnsiTheme="majorBidi"/>
          <w:sz w:val="20"/>
        </w:rPr>
        <w:t xml:space="preserve">The Party concerned </w:t>
      </w:r>
      <w:r w:rsidRPr="00F75C47">
        <w:rPr>
          <w:rFonts w:asciiTheme="majorBidi" w:hAnsiTheme="majorBidi" w:cstheme="majorBidi"/>
          <w:sz w:val="20"/>
          <w:szCs w:val="20"/>
        </w:rPr>
        <w:t xml:space="preserve">claims the declarations </w:t>
      </w:r>
      <w:r w:rsidR="00543295" w:rsidRPr="00F75C47">
        <w:rPr>
          <w:rFonts w:asciiTheme="majorBidi" w:hAnsiTheme="majorBidi" w:cstheme="majorBidi"/>
          <w:sz w:val="20"/>
          <w:szCs w:val="20"/>
        </w:rPr>
        <w:t xml:space="preserve">it </w:t>
      </w:r>
      <w:r w:rsidRPr="00F75C47">
        <w:rPr>
          <w:rFonts w:asciiTheme="majorBidi" w:hAnsiTheme="majorBidi" w:cstheme="majorBidi"/>
          <w:sz w:val="20"/>
          <w:szCs w:val="20"/>
        </w:rPr>
        <w:t xml:space="preserve">made upon signature and approval of the Convention indicate that </w:t>
      </w:r>
      <w:r w:rsidR="00543295" w:rsidRPr="00F75C47">
        <w:rPr>
          <w:rFonts w:asciiTheme="majorBidi" w:hAnsiTheme="majorBidi" w:cstheme="majorBidi"/>
          <w:sz w:val="20"/>
          <w:szCs w:val="20"/>
        </w:rPr>
        <w:t xml:space="preserve">the </w:t>
      </w:r>
      <w:r w:rsidRPr="00F75C47">
        <w:rPr>
          <w:rFonts w:asciiTheme="majorBidi" w:hAnsiTheme="majorBidi" w:cstheme="majorBidi"/>
          <w:sz w:val="20"/>
          <w:szCs w:val="20"/>
        </w:rPr>
        <w:t xml:space="preserve">institutional and legal context </w:t>
      </w:r>
      <w:r w:rsidR="00BA60D1" w:rsidRPr="00F75C47">
        <w:rPr>
          <w:rFonts w:asciiTheme="majorBidi" w:hAnsiTheme="majorBidi" w:cstheme="majorBidi"/>
          <w:sz w:val="20"/>
          <w:szCs w:val="20"/>
        </w:rPr>
        <w:t xml:space="preserve">of the EU </w:t>
      </w:r>
      <w:r w:rsidRPr="00F75C47">
        <w:rPr>
          <w:rFonts w:asciiTheme="majorBidi" w:hAnsiTheme="majorBidi" w:cstheme="majorBidi"/>
          <w:sz w:val="20"/>
          <w:szCs w:val="20"/>
        </w:rPr>
        <w:t>need</w:t>
      </w:r>
      <w:r w:rsidR="003E2A2F" w:rsidRPr="00F75C47">
        <w:rPr>
          <w:rFonts w:asciiTheme="majorBidi" w:hAnsiTheme="majorBidi" w:cstheme="majorBidi"/>
          <w:sz w:val="20"/>
          <w:szCs w:val="20"/>
        </w:rPr>
        <w:t>s</w:t>
      </w:r>
      <w:r w:rsidRPr="00F75C47">
        <w:rPr>
          <w:rFonts w:asciiTheme="majorBidi" w:hAnsiTheme="majorBidi" w:cstheme="majorBidi"/>
          <w:sz w:val="20"/>
          <w:szCs w:val="20"/>
        </w:rPr>
        <w:t xml:space="preserve"> to be </w:t>
      </w:r>
      <w:proofErr w:type="gramStart"/>
      <w:r w:rsidRPr="00F75C47">
        <w:rPr>
          <w:rFonts w:asciiTheme="majorBidi" w:hAnsiTheme="majorBidi" w:cstheme="majorBidi"/>
          <w:sz w:val="20"/>
          <w:szCs w:val="20"/>
        </w:rPr>
        <w:t>taken into account</w:t>
      </w:r>
      <w:proofErr w:type="gramEnd"/>
      <w:r w:rsidRPr="00F75C47">
        <w:rPr>
          <w:rFonts w:asciiTheme="majorBidi" w:hAnsiTheme="majorBidi" w:cstheme="majorBidi"/>
          <w:sz w:val="20"/>
          <w:szCs w:val="20"/>
        </w:rPr>
        <w:t xml:space="preserve">. </w:t>
      </w:r>
      <w:r w:rsidR="001111B3" w:rsidRPr="00F75C47">
        <w:rPr>
          <w:rFonts w:asciiTheme="majorBidi" w:hAnsiTheme="majorBidi" w:cstheme="majorBidi"/>
          <w:sz w:val="20"/>
          <w:szCs w:val="20"/>
        </w:rPr>
        <w:t>It submits that the Committee has a legal duty by virtue of these declarations to treat the EU differently from other Parties.</w:t>
      </w:r>
      <w:r w:rsidR="001111B3" w:rsidRPr="00F75C47">
        <w:rPr>
          <w:rStyle w:val="FootnoteReference"/>
          <w:rFonts w:asciiTheme="majorBidi" w:hAnsiTheme="majorBidi" w:cstheme="majorBidi"/>
          <w:szCs w:val="20"/>
        </w:rPr>
        <w:footnoteReference w:id="35"/>
      </w:r>
      <w:r w:rsidR="001111B3" w:rsidRPr="00F75C47">
        <w:rPr>
          <w:rFonts w:asciiTheme="majorBidi" w:hAnsiTheme="majorBidi" w:cstheme="majorBidi"/>
          <w:sz w:val="20"/>
          <w:szCs w:val="20"/>
        </w:rPr>
        <w:t xml:space="preserve"> </w:t>
      </w:r>
    </w:p>
    <w:p w14:paraId="2F7AD656" w14:textId="659DF442" w:rsidR="00E860F2" w:rsidRPr="00F75C47" w:rsidRDefault="00543295" w:rsidP="00364BE7">
      <w:pPr>
        <w:numPr>
          <w:ilvl w:val="0"/>
          <w:numId w:val="2"/>
        </w:numPr>
        <w:tabs>
          <w:tab w:val="left" w:pos="1701"/>
        </w:tabs>
        <w:suppressAutoHyphens/>
        <w:spacing w:after="120" w:line="240" w:lineRule="atLeast"/>
        <w:ind w:left="1100" w:right="521" w:firstLine="0"/>
        <w:jc w:val="both"/>
        <w:rPr>
          <w:rFonts w:asciiTheme="majorBidi" w:hAnsiTheme="majorBidi"/>
          <w:sz w:val="20"/>
        </w:rPr>
      </w:pPr>
      <w:r w:rsidRPr="00F75C47">
        <w:rPr>
          <w:rFonts w:asciiTheme="majorBidi" w:hAnsiTheme="majorBidi" w:cstheme="majorBidi"/>
          <w:sz w:val="20"/>
          <w:szCs w:val="20"/>
        </w:rPr>
        <w:t>It</w:t>
      </w:r>
      <w:r w:rsidR="00E860F2" w:rsidRPr="00F75C47">
        <w:rPr>
          <w:rFonts w:asciiTheme="majorBidi" w:hAnsiTheme="majorBidi" w:cstheme="majorBidi"/>
          <w:sz w:val="20"/>
          <w:szCs w:val="20"/>
        </w:rPr>
        <w:t xml:space="preserve"> submits that the role of the Commission to authorize or refuse state aid in the context of the internal market is a unique feature of EU law</w:t>
      </w:r>
      <w:r w:rsidR="00E860F2" w:rsidRPr="00F75C47">
        <w:rPr>
          <w:rStyle w:val="FootnoteReference"/>
          <w:rFonts w:asciiTheme="majorBidi" w:hAnsiTheme="majorBidi" w:cstheme="majorBidi"/>
          <w:sz w:val="20"/>
          <w:szCs w:val="20"/>
        </w:rPr>
        <w:footnoteReference w:id="36"/>
      </w:r>
      <w:r w:rsidR="001111B3" w:rsidRPr="00F75C47">
        <w:rPr>
          <w:rFonts w:asciiTheme="majorBidi" w:hAnsiTheme="majorBidi" w:cstheme="majorBidi"/>
          <w:sz w:val="20"/>
          <w:szCs w:val="20"/>
        </w:rPr>
        <w:t xml:space="preserve"> and</w:t>
      </w:r>
      <w:r w:rsidR="00E860F2" w:rsidRPr="00F75C47">
        <w:rPr>
          <w:rFonts w:asciiTheme="majorBidi" w:hAnsiTheme="majorBidi" w:cstheme="majorBidi"/>
          <w:sz w:val="20"/>
          <w:szCs w:val="20"/>
        </w:rPr>
        <w:t xml:space="preserve"> that the CJEU has held that the concepts in the Convention have to be given a meaning which takes into account the specific features of the EU.</w:t>
      </w:r>
      <w:r w:rsidR="00E860F2" w:rsidRPr="00F75C47">
        <w:rPr>
          <w:rStyle w:val="FootnoteReference"/>
          <w:rFonts w:asciiTheme="majorBidi" w:hAnsiTheme="majorBidi" w:cstheme="majorBidi"/>
          <w:sz w:val="20"/>
          <w:szCs w:val="20"/>
        </w:rPr>
        <w:footnoteReference w:id="37"/>
      </w:r>
      <w:r w:rsidR="00E860F2" w:rsidRPr="00F75C47">
        <w:rPr>
          <w:rFonts w:asciiTheme="majorBidi" w:hAnsiTheme="majorBidi" w:cstheme="majorBidi"/>
          <w:sz w:val="20"/>
          <w:szCs w:val="20"/>
        </w:rPr>
        <w:t xml:space="preserve"> </w:t>
      </w:r>
      <w:r w:rsidR="001111B3" w:rsidRPr="00F75C47">
        <w:rPr>
          <w:rFonts w:asciiTheme="majorBidi" w:hAnsiTheme="majorBidi" w:cstheme="majorBidi"/>
          <w:sz w:val="20"/>
          <w:szCs w:val="20"/>
        </w:rPr>
        <w:t>In this regard, it submits that the view that the Convention applies to state aid decisions entails an interpretation of the Convention that goes against the specific legal and institutional features of the EU.</w:t>
      </w:r>
      <w:r w:rsidR="001111B3" w:rsidRPr="00F75C47">
        <w:rPr>
          <w:rStyle w:val="FootnoteReference"/>
          <w:rFonts w:asciiTheme="majorBidi" w:hAnsiTheme="majorBidi" w:cstheme="majorBidi"/>
          <w:sz w:val="20"/>
          <w:szCs w:val="20"/>
        </w:rPr>
        <w:footnoteReference w:id="38"/>
      </w:r>
    </w:p>
    <w:p w14:paraId="67889F0E" w14:textId="03D7776D" w:rsidR="00E860F2" w:rsidRPr="00F75C47" w:rsidRDefault="00E860F2" w:rsidP="00364BE7">
      <w:pPr>
        <w:numPr>
          <w:ilvl w:val="0"/>
          <w:numId w:val="2"/>
        </w:numPr>
        <w:tabs>
          <w:tab w:val="left" w:pos="1701"/>
        </w:tabs>
        <w:suppressAutoHyphens/>
        <w:spacing w:after="120" w:line="240" w:lineRule="atLeast"/>
        <w:ind w:left="1100" w:right="521" w:firstLine="0"/>
        <w:jc w:val="both"/>
        <w:rPr>
          <w:rFonts w:asciiTheme="majorBidi" w:hAnsiTheme="majorBidi"/>
          <w:sz w:val="20"/>
        </w:rPr>
      </w:pPr>
      <w:r w:rsidRPr="00F75C47">
        <w:rPr>
          <w:rFonts w:asciiTheme="majorBidi" w:hAnsiTheme="majorBidi" w:cstheme="majorBidi"/>
          <w:sz w:val="20"/>
          <w:szCs w:val="20"/>
        </w:rPr>
        <w:t>The Party concerned states that the Committee</w:t>
      </w:r>
      <w:r w:rsidR="00962ACA" w:rsidRPr="00F75C47">
        <w:rPr>
          <w:rFonts w:asciiTheme="majorBidi" w:hAnsiTheme="majorBidi" w:cstheme="majorBidi"/>
          <w:sz w:val="20"/>
          <w:szCs w:val="20"/>
        </w:rPr>
        <w:t>’s previous findings</w:t>
      </w:r>
      <w:r w:rsidRPr="00F75C47">
        <w:rPr>
          <w:rFonts w:asciiTheme="majorBidi" w:hAnsiTheme="majorBidi" w:cstheme="majorBidi"/>
          <w:sz w:val="20"/>
          <w:szCs w:val="20"/>
        </w:rPr>
        <w:t xml:space="preserve"> where the</w:t>
      </w:r>
      <w:r w:rsidR="00962ACA" w:rsidRPr="00F75C47">
        <w:rPr>
          <w:rFonts w:asciiTheme="majorBidi" w:hAnsiTheme="majorBidi" w:cstheme="majorBidi"/>
          <w:sz w:val="20"/>
          <w:szCs w:val="20"/>
        </w:rPr>
        <w:t>se</w:t>
      </w:r>
      <w:r w:rsidRPr="00F75C47">
        <w:rPr>
          <w:rFonts w:asciiTheme="majorBidi" w:hAnsiTheme="majorBidi" w:cstheme="majorBidi"/>
          <w:sz w:val="20"/>
          <w:szCs w:val="20"/>
        </w:rPr>
        <w:t xml:space="preserve"> declarations </w:t>
      </w:r>
      <w:r w:rsidR="00962ACA" w:rsidRPr="00F75C47">
        <w:rPr>
          <w:rFonts w:asciiTheme="majorBidi" w:hAnsiTheme="majorBidi" w:cstheme="majorBidi"/>
          <w:sz w:val="20"/>
          <w:szCs w:val="20"/>
        </w:rPr>
        <w:t xml:space="preserve">were </w:t>
      </w:r>
      <w:r w:rsidRPr="00F75C47">
        <w:rPr>
          <w:rFonts w:asciiTheme="majorBidi" w:hAnsiTheme="majorBidi" w:cstheme="majorBidi"/>
          <w:sz w:val="20"/>
          <w:szCs w:val="20"/>
        </w:rPr>
        <w:t>taken into account is not</w:t>
      </w:r>
      <w:r w:rsidR="00DD58CF" w:rsidRPr="00F75C47">
        <w:rPr>
          <w:rFonts w:asciiTheme="majorBidi" w:hAnsiTheme="majorBidi" w:cstheme="majorBidi"/>
          <w:sz w:val="20"/>
          <w:szCs w:val="20"/>
        </w:rPr>
        <w:t xml:space="preserve"> </w:t>
      </w:r>
      <w:r w:rsidRPr="00F75C47">
        <w:rPr>
          <w:rFonts w:asciiTheme="majorBidi" w:hAnsiTheme="majorBidi" w:cstheme="majorBidi"/>
          <w:sz w:val="20"/>
          <w:szCs w:val="20"/>
        </w:rPr>
        <w:t>conclusive</w:t>
      </w:r>
      <w:r w:rsidR="001111B3" w:rsidRPr="00F75C47">
        <w:rPr>
          <w:rFonts w:asciiTheme="majorBidi" w:hAnsiTheme="majorBidi" w:cstheme="majorBidi"/>
          <w:sz w:val="20"/>
          <w:szCs w:val="20"/>
        </w:rPr>
        <w:t xml:space="preserve"> of their meaning </w:t>
      </w:r>
      <w:r w:rsidR="00C149B3" w:rsidRPr="00F75C47">
        <w:rPr>
          <w:rFonts w:asciiTheme="majorBidi" w:hAnsiTheme="majorBidi" w:cstheme="majorBidi"/>
          <w:sz w:val="20"/>
          <w:szCs w:val="20"/>
        </w:rPr>
        <w:t>in the present case</w:t>
      </w:r>
      <w:r w:rsidRPr="00F75C47">
        <w:rPr>
          <w:rFonts w:asciiTheme="majorBidi" w:hAnsiTheme="majorBidi" w:cstheme="majorBidi"/>
          <w:sz w:val="20"/>
          <w:szCs w:val="20"/>
        </w:rPr>
        <w:t xml:space="preserve">, given that in those </w:t>
      </w:r>
      <w:r w:rsidR="001111B3" w:rsidRPr="00F75C47">
        <w:rPr>
          <w:rFonts w:asciiTheme="majorBidi" w:hAnsiTheme="majorBidi" w:cstheme="majorBidi"/>
          <w:sz w:val="20"/>
          <w:szCs w:val="20"/>
        </w:rPr>
        <w:t xml:space="preserve">findings </w:t>
      </w:r>
      <w:r w:rsidRPr="00F75C47">
        <w:rPr>
          <w:rFonts w:asciiTheme="majorBidi" w:hAnsiTheme="majorBidi" w:cstheme="majorBidi"/>
          <w:sz w:val="20"/>
          <w:szCs w:val="20"/>
        </w:rPr>
        <w:t xml:space="preserve">the Committee </w:t>
      </w:r>
      <w:r w:rsidR="001111B3" w:rsidRPr="00F75C47">
        <w:rPr>
          <w:rFonts w:asciiTheme="majorBidi" w:hAnsiTheme="majorBidi" w:cstheme="majorBidi"/>
          <w:sz w:val="20"/>
          <w:szCs w:val="20"/>
        </w:rPr>
        <w:t xml:space="preserve">was considering </w:t>
      </w:r>
      <w:r w:rsidRPr="00F75C47">
        <w:rPr>
          <w:rFonts w:asciiTheme="majorBidi" w:hAnsiTheme="majorBidi" w:cstheme="majorBidi"/>
          <w:sz w:val="20"/>
          <w:szCs w:val="20"/>
        </w:rPr>
        <w:t xml:space="preserve">the issue of the delimitation of powers between the EU and its member States </w:t>
      </w:r>
      <w:r w:rsidR="00C65C39" w:rsidRPr="00F75C47">
        <w:rPr>
          <w:rFonts w:asciiTheme="majorBidi" w:hAnsiTheme="majorBidi" w:cstheme="majorBidi"/>
          <w:sz w:val="20"/>
          <w:szCs w:val="20"/>
        </w:rPr>
        <w:t>regarding</w:t>
      </w:r>
      <w:r w:rsidRPr="00F75C47">
        <w:rPr>
          <w:rFonts w:asciiTheme="majorBidi" w:hAnsiTheme="majorBidi" w:cstheme="majorBidi"/>
          <w:sz w:val="20"/>
          <w:szCs w:val="20"/>
        </w:rPr>
        <w:t xml:space="preserve"> EU directives</w:t>
      </w:r>
      <w:r w:rsidR="00962ACA" w:rsidRPr="00F75C47">
        <w:rPr>
          <w:rFonts w:asciiTheme="majorBidi" w:hAnsiTheme="majorBidi" w:cstheme="majorBidi"/>
          <w:sz w:val="20"/>
          <w:szCs w:val="20"/>
        </w:rPr>
        <w:t>.</w:t>
      </w:r>
      <w:r w:rsidR="001111B3" w:rsidRPr="00F75C47">
        <w:rPr>
          <w:rStyle w:val="FootnoteReference"/>
          <w:rFonts w:asciiTheme="majorBidi" w:hAnsiTheme="majorBidi" w:cstheme="majorBidi"/>
          <w:szCs w:val="20"/>
        </w:rPr>
        <w:footnoteReference w:id="39"/>
      </w:r>
      <w:r w:rsidR="00962ACA" w:rsidRPr="00F75C47">
        <w:rPr>
          <w:rFonts w:asciiTheme="majorBidi" w:hAnsiTheme="majorBidi" w:cstheme="majorBidi"/>
          <w:sz w:val="20"/>
          <w:szCs w:val="20"/>
        </w:rPr>
        <w:t xml:space="preserve"> </w:t>
      </w:r>
      <w:r w:rsidR="00195DCD" w:rsidRPr="00F75C47">
        <w:rPr>
          <w:rFonts w:asciiTheme="majorBidi" w:hAnsiTheme="majorBidi" w:cstheme="majorBidi"/>
          <w:sz w:val="20"/>
          <w:szCs w:val="20"/>
        </w:rPr>
        <w:t>In contrast</w:t>
      </w:r>
      <w:r w:rsidR="00962ACA" w:rsidRPr="00F75C47">
        <w:rPr>
          <w:rFonts w:asciiTheme="majorBidi" w:hAnsiTheme="majorBidi" w:cstheme="majorBidi"/>
          <w:sz w:val="20"/>
          <w:szCs w:val="20"/>
        </w:rPr>
        <w:t>, in the present case</w:t>
      </w:r>
      <w:r w:rsidRPr="00F75C47">
        <w:rPr>
          <w:rFonts w:asciiTheme="majorBidi" w:hAnsiTheme="majorBidi" w:cstheme="majorBidi"/>
          <w:sz w:val="20"/>
          <w:szCs w:val="20"/>
        </w:rPr>
        <w:t xml:space="preserve">, “no compulsory intervention </w:t>
      </w:r>
      <w:r w:rsidR="003E2A2F" w:rsidRPr="00F75C47">
        <w:rPr>
          <w:rFonts w:asciiTheme="majorBidi" w:hAnsiTheme="majorBidi" w:cstheme="majorBidi"/>
          <w:sz w:val="20"/>
          <w:szCs w:val="20"/>
        </w:rPr>
        <w:t>[</w:t>
      </w:r>
      <w:r w:rsidRPr="00F75C47">
        <w:rPr>
          <w:rFonts w:asciiTheme="majorBidi" w:hAnsiTheme="majorBidi" w:cstheme="majorBidi"/>
          <w:sz w:val="20"/>
          <w:szCs w:val="20"/>
        </w:rPr>
        <w:t>o</w:t>
      </w:r>
      <w:r w:rsidR="003E2A2F" w:rsidRPr="00F75C47">
        <w:rPr>
          <w:rFonts w:asciiTheme="majorBidi" w:hAnsiTheme="majorBidi" w:cstheme="majorBidi"/>
          <w:sz w:val="20"/>
          <w:szCs w:val="20"/>
        </w:rPr>
        <w:t>n]</w:t>
      </w:r>
      <w:r w:rsidRPr="00F75C47">
        <w:rPr>
          <w:rFonts w:asciiTheme="majorBidi" w:hAnsiTheme="majorBidi" w:cstheme="majorBidi"/>
          <w:sz w:val="20"/>
          <w:szCs w:val="20"/>
        </w:rPr>
        <w:t xml:space="preserve"> the Member States can take place after a Commission decision on State aid, the national authority being perfectly free to not implement the Commission decision in the sense of not granting the aid measure”</w:t>
      </w:r>
      <w:r w:rsidR="00973E64" w:rsidRPr="00F75C47">
        <w:rPr>
          <w:rFonts w:asciiTheme="majorBidi" w:hAnsiTheme="majorBidi" w:cstheme="majorBidi"/>
          <w:sz w:val="20"/>
          <w:szCs w:val="20"/>
        </w:rPr>
        <w:t>.</w:t>
      </w:r>
      <w:r w:rsidRPr="00F75C47">
        <w:rPr>
          <w:rStyle w:val="FootnoteReference"/>
          <w:rFonts w:asciiTheme="majorBidi" w:hAnsiTheme="majorBidi" w:cstheme="majorBidi"/>
          <w:sz w:val="20"/>
          <w:szCs w:val="20"/>
        </w:rPr>
        <w:footnoteReference w:id="40"/>
      </w:r>
      <w:r w:rsidR="00ED1D8C" w:rsidRPr="00F75C47">
        <w:rPr>
          <w:rFonts w:asciiTheme="majorBidi" w:hAnsiTheme="majorBidi" w:cstheme="majorBidi"/>
          <w:sz w:val="20"/>
          <w:szCs w:val="20"/>
        </w:rPr>
        <w:t xml:space="preserve"> </w:t>
      </w:r>
      <w:r w:rsidR="007D176B" w:rsidRPr="00F75C47">
        <w:rPr>
          <w:rFonts w:asciiTheme="majorBidi" w:hAnsiTheme="majorBidi" w:cstheme="majorBidi"/>
          <w:sz w:val="20"/>
          <w:szCs w:val="20"/>
        </w:rPr>
        <w:t xml:space="preserve">The </w:t>
      </w:r>
      <w:r w:rsidRPr="00F75C47">
        <w:rPr>
          <w:rFonts w:asciiTheme="majorBidi" w:hAnsiTheme="majorBidi" w:cstheme="majorBidi"/>
          <w:sz w:val="20"/>
          <w:szCs w:val="20"/>
        </w:rPr>
        <w:t xml:space="preserve">Party concerned submits </w:t>
      </w:r>
      <w:r w:rsidR="007D176B" w:rsidRPr="00F75C47">
        <w:rPr>
          <w:rFonts w:asciiTheme="majorBidi" w:hAnsiTheme="majorBidi" w:cstheme="majorBidi"/>
          <w:sz w:val="20"/>
          <w:szCs w:val="20"/>
        </w:rPr>
        <w:t xml:space="preserve">that </w:t>
      </w:r>
      <w:r w:rsidRPr="00F75C47">
        <w:rPr>
          <w:rFonts w:asciiTheme="majorBidi" w:hAnsiTheme="majorBidi" w:cstheme="majorBidi"/>
          <w:sz w:val="20"/>
          <w:szCs w:val="20"/>
        </w:rPr>
        <w:t xml:space="preserve">the communication </w:t>
      </w:r>
      <w:r w:rsidR="007D176B" w:rsidRPr="00F75C47">
        <w:rPr>
          <w:rFonts w:asciiTheme="majorBidi" w:hAnsiTheme="majorBidi" w:cstheme="majorBidi"/>
          <w:sz w:val="20"/>
          <w:szCs w:val="20"/>
        </w:rPr>
        <w:t xml:space="preserve">should therefore be found </w:t>
      </w:r>
      <w:r w:rsidRPr="00F75C47">
        <w:rPr>
          <w:rFonts w:asciiTheme="majorBidi" w:hAnsiTheme="majorBidi" w:cstheme="majorBidi"/>
          <w:sz w:val="20"/>
          <w:szCs w:val="20"/>
        </w:rPr>
        <w:t>inadmissible.</w:t>
      </w:r>
      <w:r w:rsidR="00111F23" w:rsidRPr="00F75C47">
        <w:rPr>
          <w:rStyle w:val="FootnoteReference"/>
        </w:rPr>
        <w:footnoteReference w:id="41"/>
      </w:r>
    </w:p>
    <w:p w14:paraId="7F4ADB3C" w14:textId="3694DBD4" w:rsidR="00E860F2" w:rsidRPr="00F75C47" w:rsidRDefault="00E860F2" w:rsidP="00364BE7">
      <w:pPr>
        <w:numPr>
          <w:ilvl w:val="0"/>
          <w:numId w:val="2"/>
        </w:numPr>
        <w:tabs>
          <w:tab w:val="left" w:pos="1701"/>
        </w:tabs>
        <w:suppressAutoHyphens/>
        <w:spacing w:after="120" w:line="240" w:lineRule="atLeast"/>
        <w:ind w:left="1100" w:right="521" w:firstLine="0"/>
        <w:jc w:val="both"/>
        <w:rPr>
          <w:rFonts w:asciiTheme="majorBidi" w:hAnsiTheme="majorBidi"/>
          <w:sz w:val="20"/>
        </w:rPr>
      </w:pPr>
      <w:r w:rsidRPr="00F75C47">
        <w:rPr>
          <w:rFonts w:asciiTheme="majorBidi" w:hAnsiTheme="majorBidi" w:cstheme="majorBidi"/>
          <w:sz w:val="20"/>
          <w:szCs w:val="20"/>
        </w:rPr>
        <w:t xml:space="preserve">The communicants </w:t>
      </w:r>
      <w:r w:rsidR="007D176B" w:rsidRPr="00F75C47">
        <w:rPr>
          <w:rFonts w:asciiTheme="majorBidi" w:hAnsiTheme="majorBidi" w:cstheme="majorBidi"/>
          <w:sz w:val="20"/>
          <w:szCs w:val="20"/>
        </w:rPr>
        <w:t xml:space="preserve">contend </w:t>
      </w:r>
      <w:r w:rsidRPr="00F75C47">
        <w:rPr>
          <w:rFonts w:asciiTheme="majorBidi" w:hAnsiTheme="majorBidi" w:cstheme="majorBidi"/>
          <w:sz w:val="20"/>
          <w:szCs w:val="20"/>
        </w:rPr>
        <w:t xml:space="preserve">that the </w:t>
      </w:r>
      <w:r w:rsidR="00195DCD" w:rsidRPr="00F75C47">
        <w:rPr>
          <w:rFonts w:asciiTheme="majorBidi" w:hAnsiTheme="majorBidi" w:cstheme="majorBidi"/>
          <w:sz w:val="20"/>
          <w:szCs w:val="20"/>
        </w:rPr>
        <w:t xml:space="preserve">Party </w:t>
      </w:r>
      <w:proofErr w:type="spellStart"/>
      <w:r w:rsidR="00195DCD" w:rsidRPr="00F75C47">
        <w:rPr>
          <w:rFonts w:asciiTheme="majorBidi" w:hAnsiTheme="majorBidi" w:cstheme="majorBidi"/>
          <w:sz w:val="20"/>
          <w:szCs w:val="20"/>
        </w:rPr>
        <w:t>concerned’s</w:t>
      </w:r>
      <w:proofErr w:type="spellEnd"/>
      <w:r w:rsidR="00195DCD" w:rsidRPr="00F75C47">
        <w:rPr>
          <w:rFonts w:asciiTheme="majorBidi" w:hAnsiTheme="majorBidi" w:cstheme="majorBidi"/>
          <w:sz w:val="20"/>
          <w:szCs w:val="20"/>
        </w:rPr>
        <w:t xml:space="preserve"> reliance on the </w:t>
      </w:r>
      <w:r w:rsidRPr="00F75C47">
        <w:rPr>
          <w:rFonts w:asciiTheme="majorBidi" w:hAnsiTheme="majorBidi" w:cstheme="majorBidi"/>
          <w:sz w:val="20"/>
          <w:szCs w:val="20"/>
        </w:rPr>
        <w:t xml:space="preserve">declarations </w:t>
      </w:r>
      <w:r w:rsidR="00195DCD" w:rsidRPr="00F75C47">
        <w:rPr>
          <w:rFonts w:asciiTheme="majorBidi" w:hAnsiTheme="majorBidi" w:cstheme="majorBidi"/>
          <w:sz w:val="20"/>
          <w:szCs w:val="20"/>
        </w:rPr>
        <w:t xml:space="preserve">in </w:t>
      </w:r>
      <w:r w:rsidRPr="00F75C47">
        <w:rPr>
          <w:rFonts w:asciiTheme="majorBidi" w:hAnsiTheme="majorBidi" w:cstheme="majorBidi"/>
          <w:sz w:val="20"/>
          <w:szCs w:val="20"/>
        </w:rPr>
        <w:t xml:space="preserve">the present case </w:t>
      </w:r>
      <w:r w:rsidR="00195DCD" w:rsidRPr="00F75C47">
        <w:rPr>
          <w:rFonts w:asciiTheme="majorBidi" w:hAnsiTheme="majorBidi" w:cstheme="majorBidi"/>
          <w:sz w:val="20"/>
          <w:szCs w:val="20"/>
        </w:rPr>
        <w:t>is misplaced. The case</w:t>
      </w:r>
      <w:r w:rsidR="00195DCD" w:rsidRPr="00F75C47">
        <w:rPr>
          <w:rFonts w:asciiTheme="majorBidi" w:hAnsiTheme="majorBidi"/>
          <w:sz w:val="20"/>
        </w:rPr>
        <w:t xml:space="preserve"> </w:t>
      </w:r>
      <w:r w:rsidRPr="00F75C47">
        <w:rPr>
          <w:rFonts w:asciiTheme="majorBidi" w:hAnsiTheme="majorBidi"/>
          <w:sz w:val="20"/>
        </w:rPr>
        <w:t xml:space="preserve">concerns the ability to challenge acts and omissions of the EU institutions directly and which, under the very terms of the declarations, were made subject to </w:t>
      </w:r>
      <w:r w:rsidR="00973E64" w:rsidRPr="00F75C47">
        <w:rPr>
          <w:rFonts w:asciiTheme="majorBidi" w:hAnsiTheme="majorBidi" w:cstheme="majorBidi"/>
          <w:sz w:val="20"/>
        </w:rPr>
        <w:t>the Convention</w:t>
      </w:r>
      <w:r w:rsidRPr="00F75C47">
        <w:rPr>
          <w:rFonts w:asciiTheme="majorBidi" w:hAnsiTheme="majorBidi" w:cstheme="majorBidi"/>
          <w:sz w:val="20"/>
        </w:rPr>
        <w:t>.</w:t>
      </w:r>
      <w:r w:rsidRPr="00F75C47">
        <w:rPr>
          <w:rFonts w:asciiTheme="majorBidi" w:hAnsiTheme="majorBidi"/>
          <w:sz w:val="20"/>
        </w:rPr>
        <w:t xml:space="preserve"> The </w:t>
      </w:r>
      <w:r w:rsidRPr="00F75C47">
        <w:rPr>
          <w:rFonts w:asciiTheme="majorBidi" w:hAnsiTheme="majorBidi" w:cstheme="majorBidi"/>
          <w:sz w:val="20"/>
        </w:rPr>
        <w:t>communicant</w:t>
      </w:r>
      <w:r w:rsidR="00973E64" w:rsidRPr="00F75C47">
        <w:rPr>
          <w:rFonts w:asciiTheme="majorBidi" w:hAnsiTheme="majorBidi" w:cstheme="majorBidi"/>
          <w:sz w:val="20"/>
        </w:rPr>
        <w:t>s</w:t>
      </w:r>
      <w:r w:rsidRPr="00F75C47">
        <w:rPr>
          <w:rFonts w:asciiTheme="majorBidi" w:hAnsiTheme="majorBidi"/>
          <w:sz w:val="20"/>
        </w:rPr>
        <w:t xml:space="preserve"> thus </w:t>
      </w:r>
      <w:r w:rsidRPr="00F75C47">
        <w:rPr>
          <w:rFonts w:asciiTheme="majorBidi" w:hAnsiTheme="majorBidi" w:cstheme="majorBidi"/>
          <w:sz w:val="20"/>
        </w:rPr>
        <w:t>claim</w:t>
      </w:r>
      <w:r w:rsidRPr="00F75C47">
        <w:rPr>
          <w:rFonts w:asciiTheme="majorBidi" w:hAnsiTheme="majorBidi"/>
          <w:sz w:val="20"/>
        </w:rPr>
        <w:t xml:space="preserve"> that the Party concerned is bound as a matter of EU and international law to uphold its obligations under the Convention.</w:t>
      </w:r>
      <w:r w:rsidRPr="00F75C47">
        <w:rPr>
          <w:rStyle w:val="FootnoteReference"/>
          <w:rFonts w:asciiTheme="majorBidi" w:hAnsiTheme="majorBidi"/>
          <w:sz w:val="20"/>
        </w:rPr>
        <w:footnoteReference w:id="42"/>
      </w:r>
    </w:p>
    <w:p w14:paraId="59E2B862" w14:textId="79EED0B5" w:rsidR="00FA05BD" w:rsidRPr="00F75C47" w:rsidRDefault="00E860F2" w:rsidP="00364BE7">
      <w:pPr>
        <w:numPr>
          <w:ilvl w:val="0"/>
          <w:numId w:val="2"/>
        </w:numPr>
        <w:tabs>
          <w:tab w:val="left" w:pos="1701"/>
        </w:tabs>
        <w:suppressAutoHyphens/>
        <w:spacing w:after="120" w:line="240" w:lineRule="atLeast"/>
        <w:ind w:left="1100" w:right="521" w:firstLine="0"/>
        <w:jc w:val="both"/>
        <w:rPr>
          <w:rFonts w:asciiTheme="majorBidi" w:hAnsiTheme="majorBidi"/>
          <w:sz w:val="20"/>
        </w:rPr>
      </w:pPr>
      <w:r w:rsidRPr="00F75C47">
        <w:rPr>
          <w:rFonts w:asciiTheme="majorBidi" w:hAnsiTheme="majorBidi"/>
          <w:sz w:val="20"/>
        </w:rPr>
        <w:t xml:space="preserve">Observer </w:t>
      </w:r>
      <w:proofErr w:type="spellStart"/>
      <w:r w:rsidRPr="00F75C47">
        <w:rPr>
          <w:rFonts w:asciiTheme="majorBidi" w:hAnsiTheme="majorBidi"/>
          <w:sz w:val="20"/>
        </w:rPr>
        <w:t>ClientEarth</w:t>
      </w:r>
      <w:proofErr w:type="spellEnd"/>
      <w:r w:rsidRPr="00F75C47">
        <w:rPr>
          <w:rFonts w:asciiTheme="majorBidi" w:hAnsiTheme="majorBidi"/>
          <w:sz w:val="20"/>
        </w:rPr>
        <w:t xml:space="preserve"> states that referring to a statement of an institution which forms part of its internal order, namely the CJEU, in order to modify its international law obligations is clearly impermissible.</w:t>
      </w:r>
      <w:r w:rsidRPr="00F75C47">
        <w:rPr>
          <w:rStyle w:val="FootnoteReference"/>
          <w:rFonts w:asciiTheme="majorBidi" w:hAnsiTheme="majorBidi"/>
          <w:sz w:val="20"/>
        </w:rPr>
        <w:footnoteReference w:id="43"/>
      </w:r>
    </w:p>
    <w:p w14:paraId="16E59EE9" w14:textId="3552111E" w:rsidR="00B44AFA" w:rsidRPr="00F75C47" w:rsidRDefault="00B44AFA" w:rsidP="007D18DC">
      <w:pPr>
        <w:tabs>
          <w:tab w:val="left" w:pos="1701"/>
        </w:tabs>
        <w:suppressAutoHyphens/>
        <w:spacing w:after="120" w:line="240" w:lineRule="atLeast"/>
        <w:ind w:left="1134" w:right="521"/>
        <w:jc w:val="both"/>
        <w:rPr>
          <w:rFonts w:asciiTheme="majorBidi" w:hAnsiTheme="majorBidi" w:cstheme="majorBidi"/>
          <w:b/>
          <w:bCs/>
          <w:sz w:val="20"/>
          <w:szCs w:val="20"/>
        </w:rPr>
      </w:pPr>
    </w:p>
    <w:p w14:paraId="4AF9A8B6" w14:textId="179053A5" w:rsidR="00FA05BD" w:rsidRPr="00F75C47" w:rsidRDefault="00D505EC" w:rsidP="007D18DC">
      <w:pPr>
        <w:tabs>
          <w:tab w:val="left" w:pos="1701"/>
        </w:tabs>
        <w:suppressAutoHyphens/>
        <w:spacing w:after="120" w:line="240" w:lineRule="atLeast"/>
        <w:ind w:left="1134" w:right="521"/>
        <w:jc w:val="both"/>
        <w:rPr>
          <w:rFonts w:asciiTheme="majorBidi" w:hAnsiTheme="majorBidi" w:cstheme="majorBidi"/>
          <w:sz w:val="20"/>
          <w:szCs w:val="20"/>
        </w:rPr>
      </w:pPr>
      <w:r w:rsidRPr="00F75C47">
        <w:rPr>
          <w:rFonts w:asciiTheme="majorBidi" w:hAnsiTheme="majorBidi" w:cstheme="majorBidi"/>
          <w:b/>
          <w:bCs/>
          <w:sz w:val="20"/>
          <w:szCs w:val="20"/>
        </w:rPr>
        <w:t>Whether the Commission is a “public authority”</w:t>
      </w:r>
      <w:r w:rsidR="00FA05BD" w:rsidRPr="00F75C47">
        <w:rPr>
          <w:rFonts w:asciiTheme="majorBidi" w:hAnsiTheme="majorBidi" w:cstheme="majorBidi"/>
          <w:b/>
          <w:bCs/>
          <w:sz w:val="20"/>
          <w:szCs w:val="20"/>
        </w:rPr>
        <w:t xml:space="preserve"> – article</w:t>
      </w:r>
      <w:r w:rsidR="00F85683" w:rsidRPr="00F75C47">
        <w:rPr>
          <w:rFonts w:asciiTheme="majorBidi" w:hAnsiTheme="majorBidi" w:cstheme="majorBidi"/>
          <w:b/>
          <w:bCs/>
          <w:sz w:val="20"/>
          <w:szCs w:val="20"/>
        </w:rPr>
        <w:t>s</w:t>
      </w:r>
      <w:r w:rsidR="00FA05BD" w:rsidRPr="00F75C47">
        <w:rPr>
          <w:rFonts w:asciiTheme="majorBidi" w:hAnsiTheme="majorBidi" w:cstheme="majorBidi"/>
          <w:b/>
          <w:bCs/>
          <w:sz w:val="20"/>
          <w:szCs w:val="20"/>
        </w:rPr>
        <w:t xml:space="preserve"> 2(2)</w:t>
      </w:r>
      <w:r w:rsidR="00F85683" w:rsidRPr="00F75C47">
        <w:rPr>
          <w:rFonts w:asciiTheme="majorBidi" w:hAnsiTheme="majorBidi" w:cstheme="majorBidi"/>
          <w:b/>
          <w:bCs/>
          <w:sz w:val="20"/>
          <w:szCs w:val="20"/>
        </w:rPr>
        <w:t xml:space="preserve"> and 9(3)</w:t>
      </w:r>
    </w:p>
    <w:p w14:paraId="4215C785" w14:textId="0A37EAD2" w:rsidR="00FA05BD" w:rsidRPr="00F75C47" w:rsidRDefault="00FA05BD" w:rsidP="000F2392">
      <w:pPr>
        <w:numPr>
          <w:ilvl w:val="0"/>
          <w:numId w:val="2"/>
        </w:numPr>
        <w:tabs>
          <w:tab w:val="left" w:pos="1701"/>
        </w:tabs>
        <w:suppressAutoHyphens/>
        <w:spacing w:after="120" w:line="240" w:lineRule="atLeast"/>
        <w:ind w:left="1100" w:right="521" w:firstLine="0"/>
        <w:jc w:val="both"/>
        <w:rPr>
          <w:rFonts w:asciiTheme="majorBidi" w:hAnsiTheme="majorBidi" w:cstheme="majorBidi"/>
          <w:sz w:val="20"/>
          <w:szCs w:val="20"/>
        </w:rPr>
      </w:pPr>
      <w:r w:rsidRPr="00F75C47">
        <w:rPr>
          <w:rFonts w:asciiTheme="majorBidi" w:hAnsiTheme="majorBidi" w:cstheme="majorBidi"/>
          <w:sz w:val="20"/>
          <w:szCs w:val="20"/>
        </w:rPr>
        <w:t>The Party concerned submits that the European Commission acts as a review body when it takes decisions under article 108(2) TFEU.</w:t>
      </w:r>
      <w:r w:rsidRPr="00F75C47">
        <w:rPr>
          <w:rStyle w:val="FootnoteReference"/>
          <w:rFonts w:asciiTheme="majorBidi" w:hAnsiTheme="majorBidi" w:cstheme="majorBidi"/>
          <w:szCs w:val="20"/>
        </w:rPr>
        <w:footnoteReference w:id="44"/>
      </w:r>
      <w:r w:rsidRPr="00F75C47">
        <w:rPr>
          <w:rFonts w:asciiTheme="majorBidi" w:hAnsiTheme="majorBidi" w:cstheme="majorBidi"/>
          <w:sz w:val="20"/>
          <w:szCs w:val="20"/>
        </w:rPr>
        <w:t xml:space="preserve"> The Commission has specific competence to decide on the compatibility of state aid with the internal market when reviewing existing aid, when taking decisions on new or altered aid, and when taking action regarding non-compliance with its decisions or with the requirement as to notification of such aid.</w:t>
      </w:r>
      <w:r w:rsidRPr="00F75C47">
        <w:rPr>
          <w:rStyle w:val="FootnoteReference"/>
          <w:rFonts w:asciiTheme="majorBidi" w:hAnsiTheme="majorBidi" w:cstheme="majorBidi"/>
          <w:sz w:val="20"/>
          <w:szCs w:val="20"/>
        </w:rPr>
        <w:footnoteReference w:id="45"/>
      </w:r>
      <w:r w:rsidRPr="00F75C47">
        <w:rPr>
          <w:rFonts w:asciiTheme="majorBidi" w:hAnsiTheme="majorBidi" w:cstheme="majorBidi"/>
          <w:sz w:val="20"/>
          <w:szCs w:val="20"/>
        </w:rPr>
        <w:t xml:space="preserve"> </w:t>
      </w:r>
      <w:r w:rsidR="00C01FE1" w:rsidRPr="00F75C47">
        <w:rPr>
          <w:rFonts w:asciiTheme="majorBidi" w:hAnsiTheme="majorBidi" w:cstheme="majorBidi"/>
          <w:sz w:val="20"/>
          <w:szCs w:val="20"/>
        </w:rPr>
        <w:t>The</w:t>
      </w:r>
      <w:r w:rsidRPr="00F75C47">
        <w:rPr>
          <w:rFonts w:asciiTheme="majorBidi" w:hAnsiTheme="majorBidi" w:cstheme="majorBidi"/>
          <w:sz w:val="20"/>
          <w:szCs w:val="20"/>
        </w:rPr>
        <w:t xml:space="preserve"> possibility for the Commission to bring violations of the state aid rules to the CJEU directly, in derogation of the infringement procedures laid out under articles 258 and 259 TFEU, does not modify the nature of the Commission’s review powers.</w:t>
      </w:r>
      <w:r w:rsidRPr="00F75C47">
        <w:rPr>
          <w:rStyle w:val="FootnoteReference"/>
          <w:rFonts w:asciiTheme="majorBidi" w:hAnsiTheme="majorBidi" w:cstheme="majorBidi"/>
          <w:sz w:val="20"/>
          <w:szCs w:val="20"/>
        </w:rPr>
        <w:footnoteReference w:id="46"/>
      </w:r>
      <w:r w:rsidRPr="00F75C47">
        <w:rPr>
          <w:rFonts w:asciiTheme="majorBidi" w:hAnsiTheme="majorBidi" w:cstheme="majorBidi"/>
          <w:sz w:val="20"/>
          <w:szCs w:val="20"/>
        </w:rPr>
        <w:t xml:space="preserve"> </w:t>
      </w:r>
      <w:r w:rsidR="00192965" w:rsidRPr="00F75C47">
        <w:rPr>
          <w:rFonts w:asciiTheme="majorBidi" w:hAnsiTheme="majorBidi" w:cstheme="majorBidi"/>
          <w:sz w:val="20"/>
          <w:szCs w:val="20"/>
        </w:rPr>
        <w:t xml:space="preserve">The Commission's task, under Article 17(1) </w:t>
      </w:r>
      <w:r w:rsidR="00C65C39" w:rsidRPr="00F75C47">
        <w:rPr>
          <w:rFonts w:asciiTheme="majorBidi" w:hAnsiTheme="majorBidi" w:cstheme="majorBidi"/>
          <w:sz w:val="20"/>
          <w:szCs w:val="20"/>
        </w:rPr>
        <w:t>of the Treaty on European Union</w:t>
      </w:r>
      <w:r w:rsidR="00192965" w:rsidRPr="00F75C47">
        <w:rPr>
          <w:rFonts w:asciiTheme="majorBidi" w:hAnsiTheme="majorBidi" w:cstheme="majorBidi"/>
          <w:sz w:val="20"/>
          <w:szCs w:val="20"/>
        </w:rPr>
        <w:t xml:space="preserve">, is to oversee, under the control of the Court, the application of EU law, in order to uncover any failures by member States to fulfil their obligation to transpose the directives concerned and in order to decide, when necessary, to initiate infringement proceedings against those member States which it considers to be in breach of EU law. Therefore, when the Commission adopts decisions under article 108(2) TFEU, it acts as </w:t>
      </w:r>
      <w:r w:rsidR="00F85683" w:rsidRPr="00F75C47">
        <w:rPr>
          <w:rFonts w:asciiTheme="majorBidi" w:hAnsiTheme="majorBidi" w:cstheme="majorBidi"/>
          <w:sz w:val="20"/>
          <w:szCs w:val="20"/>
        </w:rPr>
        <w:t xml:space="preserve">a </w:t>
      </w:r>
      <w:r w:rsidR="00192965" w:rsidRPr="00F75C47">
        <w:rPr>
          <w:rFonts w:asciiTheme="majorBidi" w:hAnsiTheme="majorBidi" w:cstheme="majorBidi"/>
          <w:sz w:val="20"/>
          <w:szCs w:val="20"/>
        </w:rPr>
        <w:t xml:space="preserve">review body and thus it cannot be considered </w:t>
      </w:r>
      <w:r w:rsidR="00C65C39" w:rsidRPr="00F75C47">
        <w:rPr>
          <w:rFonts w:asciiTheme="majorBidi" w:hAnsiTheme="majorBidi" w:cstheme="majorBidi"/>
          <w:sz w:val="20"/>
          <w:szCs w:val="20"/>
        </w:rPr>
        <w:t>to fall</w:t>
      </w:r>
      <w:r w:rsidR="00192965" w:rsidRPr="00F75C47">
        <w:rPr>
          <w:rFonts w:asciiTheme="majorBidi" w:hAnsiTheme="majorBidi" w:cstheme="majorBidi"/>
          <w:sz w:val="20"/>
          <w:szCs w:val="20"/>
        </w:rPr>
        <w:t xml:space="preserve"> within the scope of article 2(2) of the Convention.</w:t>
      </w:r>
      <w:r w:rsidRPr="00F75C47">
        <w:rPr>
          <w:rStyle w:val="FootnoteReference"/>
          <w:rFonts w:asciiTheme="majorBidi" w:hAnsiTheme="majorBidi" w:cstheme="majorBidi"/>
          <w:sz w:val="20"/>
          <w:szCs w:val="20"/>
        </w:rPr>
        <w:footnoteReference w:id="47"/>
      </w:r>
      <w:r w:rsidRPr="00F75C47">
        <w:rPr>
          <w:rFonts w:asciiTheme="majorBidi" w:hAnsiTheme="majorBidi" w:cstheme="majorBidi"/>
          <w:sz w:val="20"/>
          <w:szCs w:val="20"/>
        </w:rPr>
        <w:t xml:space="preserve"> It </w:t>
      </w:r>
      <w:r w:rsidR="007D176B" w:rsidRPr="00F75C47">
        <w:rPr>
          <w:rFonts w:asciiTheme="majorBidi" w:hAnsiTheme="majorBidi" w:cstheme="majorBidi"/>
          <w:sz w:val="20"/>
          <w:szCs w:val="20"/>
        </w:rPr>
        <w:t>claims</w:t>
      </w:r>
      <w:r w:rsidRPr="00F75C47">
        <w:rPr>
          <w:rFonts w:asciiTheme="majorBidi" w:hAnsiTheme="majorBidi" w:cstheme="majorBidi"/>
          <w:sz w:val="20"/>
          <w:szCs w:val="20"/>
        </w:rPr>
        <w:t xml:space="preserve"> therefore </w:t>
      </w:r>
      <w:r w:rsidR="00C65C39" w:rsidRPr="00F75C47">
        <w:rPr>
          <w:rFonts w:asciiTheme="majorBidi" w:hAnsiTheme="majorBidi" w:cstheme="majorBidi"/>
          <w:sz w:val="20"/>
          <w:szCs w:val="20"/>
        </w:rPr>
        <w:t xml:space="preserve">that </w:t>
      </w:r>
      <w:r w:rsidRPr="00F75C47">
        <w:rPr>
          <w:rFonts w:asciiTheme="majorBidi" w:hAnsiTheme="majorBidi" w:cstheme="majorBidi"/>
          <w:sz w:val="20"/>
          <w:szCs w:val="20"/>
        </w:rPr>
        <w:t>the communication should be found inadmissible under paragraph 20(d) of the annex to decision I/7 for being incompatible with the provisions of the Convention.</w:t>
      </w:r>
      <w:r w:rsidRPr="00F75C47">
        <w:rPr>
          <w:rStyle w:val="FootnoteReference"/>
          <w:rFonts w:asciiTheme="majorBidi" w:hAnsiTheme="majorBidi" w:cstheme="majorBidi"/>
          <w:szCs w:val="20"/>
        </w:rPr>
        <w:footnoteReference w:id="48"/>
      </w:r>
    </w:p>
    <w:p w14:paraId="5472CD16" w14:textId="28678105" w:rsidR="00D505EC" w:rsidRPr="00F75C47" w:rsidRDefault="00D505EC" w:rsidP="00364BE7">
      <w:pPr>
        <w:numPr>
          <w:ilvl w:val="0"/>
          <w:numId w:val="2"/>
        </w:numPr>
        <w:tabs>
          <w:tab w:val="left" w:pos="1701"/>
        </w:tabs>
        <w:suppressAutoHyphens/>
        <w:spacing w:after="120" w:line="240" w:lineRule="atLeast"/>
        <w:ind w:left="1100" w:right="521" w:firstLine="0"/>
        <w:jc w:val="both"/>
        <w:rPr>
          <w:rFonts w:asciiTheme="majorBidi" w:hAnsiTheme="majorBidi"/>
          <w:sz w:val="20"/>
        </w:rPr>
      </w:pPr>
      <w:r w:rsidRPr="00F75C47">
        <w:rPr>
          <w:rFonts w:asciiTheme="majorBidi" w:hAnsiTheme="majorBidi" w:cstheme="majorBidi"/>
          <w:sz w:val="20"/>
        </w:rPr>
        <w:t xml:space="preserve">The communicants </w:t>
      </w:r>
      <w:r w:rsidR="007D176B" w:rsidRPr="00F75C47">
        <w:rPr>
          <w:rFonts w:asciiTheme="majorBidi" w:hAnsiTheme="majorBidi" w:cstheme="majorBidi"/>
          <w:sz w:val="20"/>
          <w:szCs w:val="20"/>
        </w:rPr>
        <w:t>submit</w:t>
      </w:r>
      <w:r w:rsidR="00C65C39" w:rsidRPr="00F75C47">
        <w:rPr>
          <w:rFonts w:asciiTheme="majorBidi" w:hAnsiTheme="majorBidi" w:cstheme="majorBidi"/>
          <w:sz w:val="20"/>
        </w:rPr>
        <w:t xml:space="preserve"> </w:t>
      </w:r>
      <w:r w:rsidRPr="00F75C47">
        <w:rPr>
          <w:rFonts w:asciiTheme="majorBidi" w:hAnsiTheme="majorBidi" w:cstheme="majorBidi"/>
          <w:sz w:val="20"/>
        </w:rPr>
        <w:t>that articles 3 and 9 of the Convention</w:t>
      </w:r>
      <w:r w:rsidRPr="00F75C47">
        <w:rPr>
          <w:rFonts w:asciiTheme="majorBidi" w:hAnsiTheme="majorBidi"/>
          <w:sz w:val="20"/>
        </w:rPr>
        <w:t xml:space="preserve"> include </w:t>
      </w:r>
      <w:r w:rsidR="00973E64" w:rsidRPr="00F75C47">
        <w:rPr>
          <w:rFonts w:asciiTheme="majorBidi" w:hAnsiTheme="majorBidi" w:cstheme="majorBidi"/>
          <w:sz w:val="20"/>
        </w:rPr>
        <w:t xml:space="preserve">within their scope </w:t>
      </w:r>
      <w:r w:rsidRPr="00F75C47">
        <w:rPr>
          <w:rFonts w:asciiTheme="majorBidi" w:hAnsiTheme="majorBidi"/>
          <w:sz w:val="20"/>
        </w:rPr>
        <w:t>acts carried out in a judicial capacity, as these two articles place the Convention’s obligations not on public authorities, but upon the Party itself.</w:t>
      </w:r>
      <w:r w:rsidRPr="00F75C47">
        <w:rPr>
          <w:rStyle w:val="FootnoteReference"/>
          <w:rFonts w:asciiTheme="majorBidi" w:hAnsiTheme="majorBidi"/>
          <w:sz w:val="20"/>
        </w:rPr>
        <w:t xml:space="preserve"> </w:t>
      </w:r>
      <w:r w:rsidRPr="00F75C47">
        <w:rPr>
          <w:rStyle w:val="FootnoteReference"/>
          <w:rFonts w:asciiTheme="majorBidi" w:hAnsiTheme="majorBidi"/>
          <w:sz w:val="20"/>
        </w:rPr>
        <w:footnoteReference w:id="49"/>
      </w:r>
      <w:r w:rsidRPr="00F75C47">
        <w:rPr>
          <w:rFonts w:asciiTheme="majorBidi" w:hAnsiTheme="majorBidi"/>
          <w:sz w:val="20"/>
        </w:rPr>
        <w:t xml:space="preserve"> </w:t>
      </w:r>
    </w:p>
    <w:p w14:paraId="5332ADD1" w14:textId="32147C65" w:rsidR="00D505EC" w:rsidRPr="00F75C47" w:rsidRDefault="00D505EC" w:rsidP="00364BE7">
      <w:pPr>
        <w:numPr>
          <w:ilvl w:val="0"/>
          <w:numId w:val="2"/>
        </w:numPr>
        <w:tabs>
          <w:tab w:val="left" w:pos="1701"/>
        </w:tabs>
        <w:suppressAutoHyphens/>
        <w:spacing w:after="120" w:line="240" w:lineRule="atLeast"/>
        <w:ind w:left="1100" w:right="521" w:firstLine="0"/>
        <w:jc w:val="both"/>
        <w:rPr>
          <w:rFonts w:asciiTheme="majorBidi" w:hAnsiTheme="majorBidi"/>
          <w:sz w:val="20"/>
        </w:rPr>
      </w:pPr>
      <w:r w:rsidRPr="00F75C47">
        <w:rPr>
          <w:rFonts w:asciiTheme="majorBidi" w:hAnsiTheme="majorBidi"/>
          <w:sz w:val="20"/>
        </w:rPr>
        <w:t>The communicants claim that</w:t>
      </w:r>
      <w:r w:rsidR="000D4E73" w:rsidRPr="00F75C47">
        <w:rPr>
          <w:rFonts w:asciiTheme="majorBidi" w:hAnsiTheme="majorBidi" w:cstheme="majorBidi"/>
          <w:sz w:val="20"/>
          <w:szCs w:val="20"/>
        </w:rPr>
        <w:t>,</w:t>
      </w:r>
      <w:r w:rsidRPr="00F75C47">
        <w:rPr>
          <w:rFonts w:asciiTheme="majorBidi" w:hAnsiTheme="majorBidi" w:cstheme="majorBidi"/>
          <w:sz w:val="20"/>
          <w:szCs w:val="20"/>
        </w:rPr>
        <w:t xml:space="preserve"> </w:t>
      </w:r>
      <w:r w:rsidR="000D4E73" w:rsidRPr="00F75C47">
        <w:rPr>
          <w:rFonts w:asciiTheme="majorBidi" w:hAnsiTheme="majorBidi" w:cstheme="majorBidi"/>
          <w:sz w:val="20"/>
          <w:szCs w:val="20"/>
        </w:rPr>
        <w:t>in</w:t>
      </w:r>
      <w:r w:rsidR="000D4E73" w:rsidRPr="00F75C47">
        <w:rPr>
          <w:rFonts w:asciiTheme="majorBidi" w:hAnsiTheme="majorBidi"/>
          <w:sz w:val="20"/>
        </w:rPr>
        <w:t xml:space="preserve"> </w:t>
      </w:r>
      <w:r w:rsidRPr="00F75C47">
        <w:rPr>
          <w:rFonts w:asciiTheme="majorBidi" w:hAnsiTheme="majorBidi"/>
          <w:sz w:val="20"/>
        </w:rPr>
        <w:t xml:space="preserve">any event, the exclusion of bodies or institutions acting in a judicial capacity </w:t>
      </w:r>
      <w:r w:rsidR="000D4E73" w:rsidRPr="00F75C47">
        <w:rPr>
          <w:rFonts w:asciiTheme="majorBidi" w:hAnsiTheme="majorBidi" w:cstheme="majorBidi"/>
          <w:sz w:val="20"/>
          <w:szCs w:val="20"/>
        </w:rPr>
        <w:t>in</w:t>
      </w:r>
      <w:r w:rsidR="000D4E73" w:rsidRPr="00F75C47">
        <w:rPr>
          <w:rFonts w:asciiTheme="majorBidi" w:hAnsiTheme="majorBidi"/>
          <w:sz w:val="20"/>
        </w:rPr>
        <w:t xml:space="preserve"> </w:t>
      </w:r>
      <w:r w:rsidRPr="00F75C47">
        <w:rPr>
          <w:rFonts w:asciiTheme="majorBidi" w:hAnsiTheme="majorBidi"/>
          <w:sz w:val="20"/>
        </w:rPr>
        <w:t xml:space="preserve">article 2(2) of the Convention does not include bodies acting as an administrative review body. </w:t>
      </w:r>
      <w:r w:rsidRPr="00F75C47">
        <w:rPr>
          <w:rFonts w:asciiTheme="majorBidi" w:hAnsiTheme="majorBidi" w:cstheme="majorBidi"/>
          <w:sz w:val="20"/>
          <w:szCs w:val="20"/>
        </w:rPr>
        <w:t>The</w:t>
      </w:r>
      <w:r w:rsidRPr="00F75C47">
        <w:rPr>
          <w:rFonts w:asciiTheme="majorBidi" w:hAnsiTheme="majorBidi"/>
          <w:sz w:val="20"/>
        </w:rPr>
        <w:t xml:space="preserve"> distinction between an authority acting in a judicial capacity and</w:t>
      </w:r>
      <w:r w:rsidRPr="00F75C47">
        <w:rPr>
          <w:rFonts w:asciiTheme="majorBidi" w:hAnsiTheme="majorBidi" w:cstheme="majorBidi"/>
          <w:sz w:val="20"/>
          <w:szCs w:val="20"/>
        </w:rPr>
        <w:t xml:space="preserve"> </w:t>
      </w:r>
      <w:r w:rsidR="000D4E73" w:rsidRPr="00F75C47">
        <w:rPr>
          <w:rFonts w:asciiTheme="majorBidi" w:hAnsiTheme="majorBidi" w:cstheme="majorBidi"/>
          <w:sz w:val="20"/>
          <w:szCs w:val="20"/>
        </w:rPr>
        <w:t>as an</w:t>
      </w:r>
      <w:r w:rsidR="000D4E73" w:rsidRPr="00F75C47">
        <w:rPr>
          <w:rFonts w:asciiTheme="majorBidi" w:hAnsiTheme="majorBidi"/>
          <w:sz w:val="20"/>
        </w:rPr>
        <w:t xml:space="preserve"> </w:t>
      </w:r>
      <w:r w:rsidRPr="00F75C47">
        <w:rPr>
          <w:rFonts w:asciiTheme="majorBidi" w:hAnsiTheme="majorBidi"/>
          <w:sz w:val="20"/>
        </w:rPr>
        <w:t xml:space="preserve">administrative review </w:t>
      </w:r>
      <w:r w:rsidR="000D4E73" w:rsidRPr="00F75C47">
        <w:rPr>
          <w:rFonts w:asciiTheme="majorBidi" w:hAnsiTheme="majorBidi" w:cstheme="majorBidi"/>
          <w:sz w:val="20"/>
          <w:szCs w:val="20"/>
        </w:rPr>
        <w:t>body</w:t>
      </w:r>
      <w:r w:rsidRPr="00F75C47">
        <w:rPr>
          <w:rFonts w:asciiTheme="majorBidi" w:hAnsiTheme="majorBidi"/>
          <w:sz w:val="20"/>
        </w:rPr>
        <w:t xml:space="preserve"> is a meaningful one</w:t>
      </w:r>
      <w:r w:rsidR="000D4E73" w:rsidRPr="00F75C47">
        <w:rPr>
          <w:rFonts w:asciiTheme="majorBidi" w:hAnsiTheme="majorBidi" w:cstheme="majorBidi"/>
          <w:sz w:val="20"/>
          <w:szCs w:val="20"/>
        </w:rPr>
        <w:t>. The communicants submit</w:t>
      </w:r>
      <w:r w:rsidR="000D4E73" w:rsidRPr="00F75C47">
        <w:rPr>
          <w:rFonts w:asciiTheme="majorBidi" w:hAnsiTheme="majorBidi"/>
          <w:sz w:val="20"/>
        </w:rPr>
        <w:t xml:space="preserve"> that </w:t>
      </w:r>
      <w:r w:rsidRPr="00F75C47">
        <w:rPr>
          <w:rFonts w:asciiTheme="majorBidi" w:hAnsiTheme="majorBidi"/>
          <w:sz w:val="20"/>
        </w:rPr>
        <w:t xml:space="preserve">the response of the Party concerned illustrates this distinction, as it highlights the Commission’s role </w:t>
      </w:r>
      <w:r w:rsidR="000D4E73" w:rsidRPr="00F75C47">
        <w:rPr>
          <w:rFonts w:asciiTheme="majorBidi" w:hAnsiTheme="majorBidi" w:cstheme="majorBidi"/>
          <w:sz w:val="20"/>
          <w:szCs w:val="20"/>
        </w:rPr>
        <w:t>under</w:t>
      </w:r>
      <w:r w:rsidR="000D4E73" w:rsidRPr="00F75C47">
        <w:rPr>
          <w:rFonts w:asciiTheme="majorBidi" w:hAnsiTheme="majorBidi"/>
          <w:sz w:val="20"/>
        </w:rPr>
        <w:t xml:space="preserve"> </w:t>
      </w:r>
      <w:r w:rsidRPr="00F75C47">
        <w:rPr>
          <w:rFonts w:asciiTheme="majorBidi" w:hAnsiTheme="majorBidi"/>
          <w:sz w:val="20"/>
        </w:rPr>
        <w:t xml:space="preserve">state aid law as an </w:t>
      </w:r>
      <w:r w:rsidRPr="00F75C47">
        <w:rPr>
          <w:rFonts w:asciiTheme="majorBidi" w:hAnsiTheme="majorBidi" w:cstheme="majorBidi"/>
          <w:sz w:val="20"/>
        </w:rPr>
        <w:t>authori</w:t>
      </w:r>
      <w:r w:rsidR="00973E64" w:rsidRPr="00F75C47">
        <w:rPr>
          <w:rFonts w:asciiTheme="majorBidi" w:hAnsiTheme="majorBidi" w:cstheme="majorBidi"/>
          <w:sz w:val="20"/>
        </w:rPr>
        <w:t>s</w:t>
      </w:r>
      <w:r w:rsidRPr="00F75C47">
        <w:rPr>
          <w:rFonts w:asciiTheme="majorBidi" w:hAnsiTheme="majorBidi" w:cstheme="majorBidi"/>
          <w:sz w:val="20"/>
        </w:rPr>
        <w:t>ing</w:t>
      </w:r>
      <w:r w:rsidRPr="00F75C47">
        <w:rPr>
          <w:rFonts w:asciiTheme="majorBidi" w:hAnsiTheme="majorBidi"/>
          <w:sz w:val="20"/>
        </w:rPr>
        <w:t>, or virtual permitting body.</w:t>
      </w:r>
      <w:r w:rsidRPr="00F75C47">
        <w:rPr>
          <w:rStyle w:val="FootnoteReference"/>
          <w:rFonts w:asciiTheme="majorBidi" w:hAnsiTheme="majorBidi"/>
          <w:sz w:val="20"/>
        </w:rPr>
        <w:footnoteReference w:id="50"/>
      </w:r>
      <w:r w:rsidRPr="00F75C47">
        <w:rPr>
          <w:rFonts w:asciiTheme="majorBidi" w:hAnsiTheme="majorBidi"/>
          <w:sz w:val="20"/>
        </w:rPr>
        <w:t xml:space="preserve"> The communicants point out that they </w:t>
      </w:r>
      <w:r w:rsidR="000D4E73" w:rsidRPr="00F75C47">
        <w:rPr>
          <w:rFonts w:asciiTheme="majorBidi" w:hAnsiTheme="majorBidi" w:cstheme="majorBidi"/>
          <w:sz w:val="20"/>
          <w:szCs w:val="20"/>
        </w:rPr>
        <w:t>do not dispute</w:t>
      </w:r>
      <w:r w:rsidR="000D4E73" w:rsidRPr="00F75C47">
        <w:rPr>
          <w:rFonts w:asciiTheme="majorBidi" w:hAnsiTheme="majorBidi"/>
          <w:sz w:val="20"/>
        </w:rPr>
        <w:t xml:space="preserve"> </w:t>
      </w:r>
      <w:r w:rsidRPr="00F75C47">
        <w:rPr>
          <w:rFonts w:asciiTheme="majorBidi" w:hAnsiTheme="majorBidi"/>
          <w:sz w:val="20"/>
        </w:rPr>
        <w:t xml:space="preserve">that the Aarhus Regulation excludes state aid decisions. </w:t>
      </w:r>
      <w:r w:rsidR="000D4E73" w:rsidRPr="00F75C47">
        <w:rPr>
          <w:rFonts w:asciiTheme="majorBidi" w:hAnsiTheme="majorBidi" w:cstheme="majorBidi"/>
          <w:sz w:val="20"/>
          <w:szCs w:val="20"/>
        </w:rPr>
        <w:t>They submit</w:t>
      </w:r>
      <w:r w:rsidR="000D4E73" w:rsidRPr="00F75C47">
        <w:rPr>
          <w:rFonts w:asciiTheme="majorBidi" w:hAnsiTheme="majorBidi"/>
          <w:sz w:val="20"/>
        </w:rPr>
        <w:t xml:space="preserve"> that</w:t>
      </w:r>
      <w:r w:rsidR="000D4E73" w:rsidRPr="00F75C47">
        <w:rPr>
          <w:rFonts w:asciiTheme="majorBidi" w:hAnsiTheme="majorBidi" w:cstheme="majorBidi"/>
          <w:sz w:val="20"/>
          <w:szCs w:val="20"/>
        </w:rPr>
        <w:t>,</w:t>
      </w:r>
      <w:r w:rsidR="000D4E73" w:rsidRPr="00F75C47">
        <w:rPr>
          <w:rFonts w:asciiTheme="majorBidi" w:hAnsiTheme="majorBidi"/>
          <w:sz w:val="20"/>
        </w:rPr>
        <w:t xml:space="preserve"> t</w:t>
      </w:r>
      <w:r w:rsidRPr="00F75C47">
        <w:rPr>
          <w:rFonts w:asciiTheme="majorBidi" w:hAnsiTheme="majorBidi"/>
          <w:sz w:val="20"/>
        </w:rPr>
        <w:t>o the contrary</w:t>
      </w:r>
      <w:r w:rsidR="006D483B" w:rsidRPr="00F75C47">
        <w:rPr>
          <w:rFonts w:asciiTheme="majorBidi" w:hAnsiTheme="majorBidi" w:cstheme="majorBidi"/>
          <w:sz w:val="20"/>
        </w:rPr>
        <w:t xml:space="preserve">, </w:t>
      </w:r>
      <w:r w:rsidR="00973E64" w:rsidRPr="00F75C47">
        <w:rPr>
          <w:rFonts w:asciiTheme="majorBidi" w:hAnsiTheme="majorBidi" w:cstheme="majorBidi"/>
          <w:sz w:val="20"/>
        </w:rPr>
        <w:t>it is</w:t>
      </w:r>
      <w:r w:rsidRPr="00F75C47">
        <w:rPr>
          <w:rFonts w:asciiTheme="majorBidi" w:hAnsiTheme="majorBidi"/>
          <w:sz w:val="20"/>
        </w:rPr>
        <w:t xml:space="preserve"> this</w:t>
      </w:r>
      <w:r w:rsidR="000D4E73" w:rsidRPr="00F75C47">
        <w:rPr>
          <w:rFonts w:asciiTheme="majorBidi" w:hAnsiTheme="majorBidi" w:cstheme="majorBidi"/>
          <w:sz w:val="20"/>
          <w:szCs w:val="20"/>
        </w:rPr>
        <w:t xml:space="preserve"> exclusion</w:t>
      </w:r>
      <w:r w:rsidRPr="00F75C47">
        <w:rPr>
          <w:rFonts w:asciiTheme="majorBidi" w:hAnsiTheme="majorBidi"/>
          <w:sz w:val="20"/>
        </w:rPr>
        <w:t>, taken together with the failure of the Party concerned to provide any other review mechanisms,</w:t>
      </w:r>
      <w:r w:rsidRPr="00F75C47">
        <w:rPr>
          <w:rFonts w:asciiTheme="majorBidi" w:hAnsiTheme="majorBidi" w:cstheme="majorBidi"/>
          <w:sz w:val="20"/>
        </w:rPr>
        <w:t xml:space="preserve"> </w:t>
      </w:r>
      <w:r w:rsidR="00973E64" w:rsidRPr="00F75C47">
        <w:rPr>
          <w:rFonts w:asciiTheme="majorBidi" w:hAnsiTheme="majorBidi" w:cstheme="majorBidi"/>
          <w:sz w:val="20"/>
        </w:rPr>
        <w:t>that</w:t>
      </w:r>
      <w:r w:rsidR="00973E64" w:rsidRPr="00F75C47">
        <w:rPr>
          <w:rFonts w:asciiTheme="majorBidi" w:hAnsiTheme="majorBidi"/>
          <w:sz w:val="20"/>
        </w:rPr>
        <w:t xml:space="preserve"> </w:t>
      </w:r>
      <w:r w:rsidRPr="00F75C47">
        <w:rPr>
          <w:rFonts w:asciiTheme="majorBidi" w:hAnsiTheme="majorBidi"/>
          <w:sz w:val="20"/>
        </w:rPr>
        <w:t>fails to comply with the Convention.</w:t>
      </w:r>
      <w:r w:rsidRPr="00F75C47">
        <w:rPr>
          <w:rStyle w:val="FootnoteReference"/>
          <w:rFonts w:asciiTheme="majorBidi" w:hAnsiTheme="majorBidi"/>
          <w:sz w:val="20"/>
        </w:rPr>
        <w:footnoteReference w:id="51"/>
      </w:r>
      <w:r w:rsidRPr="00F75C47">
        <w:rPr>
          <w:rFonts w:asciiTheme="majorBidi" w:hAnsiTheme="majorBidi"/>
          <w:sz w:val="20"/>
        </w:rPr>
        <w:t xml:space="preserve">  </w:t>
      </w:r>
    </w:p>
    <w:p w14:paraId="5A43092F" w14:textId="3E2107F4" w:rsidR="00D505EC" w:rsidRPr="00F75C47" w:rsidRDefault="00D505EC" w:rsidP="00364BE7">
      <w:pPr>
        <w:numPr>
          <w:ilvl w:val="0"/>
          <w:numId w:val="2"/>
        </w:numPr>
        <w:tabs>
          <w:tab w:val="left" w:pos="1701"/>
        </w:tabs>
        <w:suppressAutoHyphens/>
        <w:spacing w:after="120" w:line="240" w:lineRule="atLeast"/>
        <w:ind w:left="1100" w:right="521" w:firstLine="0"/>
        <w:jc w:val="both"/>
        <w:rPr>
          <w:rFonts w:asciiTheme="majorBidi" w:hAnsiTheme="majorBidi"/>
          <w:sz w:val="20"/>
        </w:rPr>
      </w:pPr>
      <w:r w:rsidRPr="00F75C47">
        <w:rPr>
          <w:rFonts w:asciiTheme="majorBidi" w:hAnsiTheme="majorBidi"/>
          <w:sz w:val="20"/>
        </w:rPr>
        <w:t xml:space="preserve">Finally, the communicants </w:t>
      </w:r>
      <w:r w:rsidR="000D4E73" w:rsidRPr="00F75C47">
        <w:rPr>
          <w:rFonts w:asciiTheme="majorBidi" w:hAnsiTheme="majorBidi" w:cstheme="majorBidi"/>
          <w:sz w:val="20"/>
          <w:szCs w:val="20"/>
        </w:rPr>
        <w:t xml:space="preserve">and observer </w:t>
      </w:r>
      <w:proofErr w:type="spellStart"/>
      <w:r w:rsidR="000D4E73" w:rsidRPr="00F75C47">
        <w:rPr>
          <w:rFonts w:asciiTheme="majorBidi" w:hAnsiTheme="majorBidi" w:cstheme="majorBidi"/>
          <w:sz w:val="20"/>
          <w:szCs w:val="20"/>
        </w:rPr>
        <w:t>ClientEarth</w:t>
      </w:r>
      <w:proofErr w:type="spellEnd"/>
      <w:r w:rsidR="000D4E73" w:rsidRPr="00F75C47">
        <w:rPr>
          <w:rFonts w:asciiTheme="majorBidi" w:hAnsiTheme="majorBidi" w:cstheme="majorBidi"/>
          <w:sz w:val="20"/>
          <w:szCs w:val="20"/>
        </w:rPr>
        <w:t xml:space="preserve"> submit</w:t>
      </w:r>
      <w:r w:rsidR="000D4E73" w:rsidRPr="00F75C47">
        <w:rPr>
          <w:rFonts w:asciiTheme="majorBidi" w:hAnsiTheme="majorBidi"/>
          <w:sz w:val="20"/>
        </w:rPr>
        <w:t xml:space="preserve"> that</w:t>
      </w:r>
      <w:r w:rsidR="000D4E73" w:rsidRPr="00F75C47">
        <w:rPr>
          <w:rFonts w:asciiTheme="majorBidi" w:hAnsiTheme="majorBidi" w:cstheme="majorBidi"/>
          <w:sz w:val="20"/>
          <w:szCs w:val="20"/>
        </w:rPr>
        <w:t xml:space="preserve"> in its findings on communication ACCC/C/2008/32 (European Union) (Part II),</w:t>
      </w:r>
      <w:r w:rsidR="000D4E73" w:rsidRPr="00F75C47">
        <w:rPr>
          <w:rFonts w:asciiTheme="majorBidi" w:hAnsiTheme="majorBidi"/>
          <w:sz w:val="20"/>
        </w:rPr>
        <w:t xml:space="preserve"> </w:t>
      </w:r>
      <w:r w:rsidRPr="00F75C47">
        <w:rPr>
          <w:rFonts w:asciiTheme="majorBidi" w:hAnsiTheme="majorBidi"/>
          <w:sz w:val="20"/>
        </w:rPr>
        <w:t>the Committee has observed that the wording of the Convention provides no support for the proposition that an administrative review is somehow acting in a judicial capacity, but rather the wording of the Convention leads to the opposite conclusion.</w:t>
      </w:r>
      <w:r w:rsidR="00A0503D">
        <w:rPr>
          <w:rStyle w:val="FootnoteReference"/>
        </w:rPr>
        <w:footnoteReference w:id="52"/>
      </w:r>
    </w:p>
    <w:p w14:paraId="04DC1FE4" w14:textId="77777777" w:rsidR="00F16D4E" w:rsidRPr="00F75C47" w:rsidRDefault="003D5AC3" w:rsidP="00364BE7">
      <w:pPr>
        <w:tabs>
          <w:tab w:val="left" w:pos="993"/>
        </w:tabs>
        <w:suppressAutoHyphens/>
        <w:spacing w:after="120" w:line="240" w:lineRule="atLeast"/>
        <w:ind w:right="521"/>
        <w:jc w:val="both"/>
        <w:rPr>
          <w:rFonts w:asciiTheme="majorBidi" w:hAnsiTheme="majorBidi" w:cstheme="majorBidi"/>
          <w:b/>
          <w:bCs/>
          <w:sz w:val="20"/>
          <w:szCs w:val="20"/>
        </w:rPr>
      </w:pPr>
      <w:r w:rsidRPr="00F75C47">
        <w:rPr>
          <w:rFonts w:asciiTheme="majorBidi" w:hAnsiTheme="majorBidi" w:cstheme="majorBidi"/>
          <w:b/>
          <w:bCs/>
          <w:sz w:val="20"/>
          <w:szCs w:val="20"/>
        </w:rPr>
        <w:tab/>
        <w:t xml:space="preserve">  </w:t>
      </w:r>
    </w:p>
    <w:p w14:paraId="6C8B05D0" w14:textId="0BC031D2" w:rsidR="00E860F2" w:rsidRPr="00F75C47" w:rsidRDefault="00F16D4E" w:rsidP="00F16D4E">
      <w:pPr>
        <w:tabs>
          <w:tab w:val="left" w:pos="1134"/>
        </w:tabs>
        <w:suppressAutoHyphens/>
        <w:spacing w:after="120" w:line="240" w:lineRule="atLeast"/>
        <w:ind w:right="521"/>
        <w:jc w:val="both"/>
        <w:rPr>
          <w:rFonts w:asciiTheme="majorBidi" w:hAnsiTheme="majorBidi"/>
          <w:b/>
          <w:sz w:val="20"/>
        </w:rPr>
      </w:pPr>
      <w:r w:rsidRPr="00F75C47">
        <w:rPr>
          <w:rFonts w:asciiTheme="majorBidi" w:hAnsiTheme="majorBidi" w:cstheme="majorBidi"/>
          <w:b/>
          <w:bCs/>
          <w:sz w:val="20"/>
          <w:szCs w:val="20"/>
        </w:rPr>
        <w:tab/>
      </w:r>
      <w:r w:rsidR="00D67F1A" w:rsidRPr="00F75C47">
        <w:rPr>
          <w:rFonts w:asciiTheme="majorBidi" w:hAnsiTheme="majorBidi"/>
          <w:b/>
          <w:sz w:val="20"/>
        </w:rPr>
        <w:t>Whether s</w:t>
      </w:r>
      <w:r w:rsidR="00D705DC" w:rsidRPr="00F75C47">
        <w:rPr>
          <w:rFonts w:asciiTheme="majorBidi" w:hAnsiTheme="majorBidi"/>
          <w:b/>
          <w:sz w:val="20"/>
        </w:rPr>
        <w:t xml:space="preserve">tate aid decisions </w:t>
      </w:r>
      <w:r w:rsidR="00D67F1A" w:rsidRPr="00F75C47">
        <w:rPr>
          <w:rFonts w:asciiTheme="majorBidi" w:hAnsiTheme="majorBidi"/>
          <w:b/>
          <w:sz w:val="20"/>
        </w:rPr>
        <w:t>are</w:t>
      </w:r>
      <w:r w:rsidR="00D705DC" w:rsidRPr="00F75C47">
        <w:rPr>
          <w:rFonts w:asciiTheme="majorBidi" w:hAnsiTheme="majorBidi"/>
          <w:b/>
          <w:sz w:val="20"/>
        </w:rPr>
        <w:t xml:space="preserve"> “acts” under article 9(3) </w:t>
      </w:r>
    </w:p>
    <w:p w14:paraId="75F89AC2" w14:textId="77777777" w:rsidR="0094604E" w:rsidRPr="002C7224" w:rsidRDefault="00F437C8" w:rsidP="00364BE7">
      <w:pPr>
        <w:numPr>
          <w:ilvl w:val="0"/>
          <w:numId w:val="2"/>
        </w:numPr>
        <w:tabs>
          <w:tab w:val="left" w:pos="1701"/>
        </w:tabs>
        <w:suppressAutoHyphens/>
        <w:spacing w:after="120" w:line="240" w:lineRule="atLeast"/>
        <w:ind w:left="1100" w:right="521" w:firstLine="0"/>
        <w:jc w:val="both"/>
        <w:rPr>
          <w:rFonts w:asciiTheme="majorBidi" w:hAnsiTheme="majorBidi"/>
          <w:sz w:val="20"/>
        </w:rPr>
      </w:pPr>
      <w:bookmarkStart w:id="20" w:name="_Ref11408758"/>
      <w:r w:rsidRPr="00F75C47">
        <w:rPr>
          <w:rFonts w:asciiTheme="majorBidi" w:hAnsiTheme="majorBidi"/>
          <w:sz w:val="20"/>
        </w:rPr>
        <w:t xml:space="preserve">The communicants submit that </w:t>
      </w:r>
      <w:r w:rsidRPr="00F75C47">
        <w:rPr>
          <w:rFonts w:asciiTheme="majorBidi" w:hAnsiTheme="majorBidi" w:cstheme="majorBidi"/>
          <w:sz w:val="20"/>
          <w:szCs w:val="20"/>
        </w:rPr>
        <w:t>whilst Parties have some discretion</w:t>
      </w:r>
      <w:r w:rsidRPr="00F75C47">
        <w:rPr>
          <w:rFonts w:asciiTheme="majorBidi" w:hAnsiTheme="majorBidi"/>
          <w:sz w:val="20"/>
        </w:rPr>
        <w:t xml:space="preserve"> under </w:t>
      </w:r>
      <w:r w:rsidRPr="00F75C47">
        <w:rPr>
          <w:rFonts w:asciiTheme="majorBidi" w:hAnsiTheme="majorBidi" w:cstheme="majorBidi"/>
          <w:sz w:val="20"/>
          <w:szCs w:val="20"/>
        </w:rPr>
        <w:t xml:space="preserve">article 9(3) of the Convention as to who may bring a challenge, there is no discretion as to what can be </w:t>
      </w:r>
      <w:bookmarkEnd w:id="20"/>
      <w:r w:rsidRPr="00F75C47">
        <w:rPr>
          <w:rFonts w:asciiTheme="majorBidi" w:hAnsiTheme="majorBidi" w:cstheme="majorBidi"/>
          <w:sz w:val="20"/>
          <w:szCs w:val="20"/>
        </w:rPr>
        <w:t>challenged.</w:t>
      </w:r>
      <w:r w:rsidRPr="00F75C47">
        <w:rPr>
          <w:rStyle w:val="FootnoteReference"/>
          <w:rFonts w:asciiTheme="majorBidi" w:hAnsiTheme="majorBidi" w:cstheme="majorBidi"/>
          <w:szCs w:val="20"/>
        </w:rPr>
        <w:footnoteReference w:id="53"/>
      </w:r>
      <w:r w:rsidRPr="00F75C47">
        <w:rPr>
          <w:rFonts w:asciiTheme="majorBidi" w:hAnsiTheme="majorBidi" w:cstheme="majorBidi"/>
          <w:sz w:val="20"/>
          <w:szCs w:val="20"/>
        </w:rPr>
        <w:t xml:space="preserve"> </w:t>
      </w:r>
    </w:p>
    <w:p w14:paraId="4FD757CB" w14:textId="24FC3DEE" w:rsidR="00E860F2" w:rsidRPr="00F75C47" w:rsidRDefault="00E860F2" w:rsidP="00364BE7">
      <w:pPr>
        <w:numPr>
          <w:ilvl w:val="0"/>
          <w:numId w:val="2"/>
        </w:numPr>
        <w:tabs>
          <w:tab w:val="left" w:pos="1701"/>
        </w:tabs>
        <w:suppressAutoHyphens/>
        <w:spacing w:after="120" w:line="240" w:lineRule="atLeast"/>
        <w:ind w:left="1100" w:right="521" w:firstLine="0"/>
        <w:jc w:val="both"/>
        <w:rPr>
          <w:rFonts w:asciiTheme="majorBidi" w:hAnsiTheme="majorBidi"/>
          <w:sz w:val="20"/>
        </w:rPr>
      </w:pPr>
      <w:r w:rsidRPr="00F75C47">
        <w:rPr>
          <w:rFonts w:asciiTheme="majorBidi" w:hAnsiTheme="majorBidi" w:cstheme="majorBidi"/>
          <w:sz w:val="20"/>
          <w:szCs w:val="20"/>
        </w:rPr>
        <w:t xml:space="preserve">The Party concerned </w:t>
      </w:r>
      <w:r w:rsidR="00F437C8" w:rsidRPr="00F75C47">
        <w:rPr>
          <w:rFonts w:asciiTheme="majorBidi" w:hAnsiTheme="majorBidi" w:cstheme="majorBidi"/>
          <w:sz w:val="20"/>
          <w:szCs w:val="20"/>
        </w:rPr>
        <w:t xml:space="preserve">asserts </w:t>
      </w:r>
      <w:r w:rsidRPr="00F75C47">
        <w:rPr>
          <w:rFonts w:asciiTheme="majorBidi" w:hAnsiTheme="majorBidi" w:cstheme="majorBidi"/>
          <w:sz w:val="20"/>
          <w:szCs w:val="20"/>
        </w:rPr>
        <w:t xml:space="preserve">that </w:t>
      </w:r>
      <w:r w:rsidR="006F1523" w:rsidRPr="00F75C47">
        <w:rPr>
          <w:rFonts w:asciiTheme="majorBidi" w:hAnsiTheme="majorBidi" w:cstheme="majorBidi"/>
          <w:sz w:val="20"/>
          <w:szCs w:val="20"/>
        </w:rPr>
        <w:t>it</w:t>
      </w:r>
      <w:r w:rsidR="006F1523" w:rsidRPr="00F75C47">
        <w:rPr>
          <w:rFonts w:asciiTheme="majorBidi" w:hAnsiTheme="majorBidi"/>
          <w:sz w:val="20"/>
        </w:rPr>
        <w:t xml:space="preserve"> has</w:t>
      </w:r>
      <w:r w:rsidRPr="00F75C47">
        <w:rPr>
          <w:rFonts w:asciiTheme="majorBidi" w:hAnsiTheme="majorBidi"/>
          <w:sz w:val="20"/>
        </w:rPr>
        <w:t xml:space="preserve"> no obligation under the Convention to grant review </w:t>
      </w:r>
      <w:r w:rsidR="00264BDA" w:rsidRPr="00F75C47">
        <w:rPr>
          <w:rFonts w:asciiTheme="majorBidi" w:hAnsiTheme="majorBidi" w:cstheme="majorBidi"/>
          <w:sz w:val="20"/>
          <w:szCs w:val="20"/>
        </w:rPr>
        <w:t xml:space="preserve">of state aid decisions </w:t>
      </w:r>
      <w:r w:rsidRPr="00F75C47">
        <w:rPr>
          <w:rFonts w:asciiTheme="majorBidi" w:hAnsiTheme="majorBidi"/>
          <w:sz w:val="20"/>
        </w:rPr>
        <w:t>to environmental NGOs.</w:t>
      </w:r>
      <w:r w:rsidRPr="00F75C47">
        <w:rPr>
          <w:rStyle w:val="FootnoteReference"/>
          <w:rFonts w:asciiTheme="majorBidi" w:hAnsiTheme="majorBidi"/>
        </w:rPr>
        <w:footnoteReference w:id="54"/>
      </w:r>
      <w:r w:rsidRPr="00F75C47">
        <w:rPr>
          <w:rFonts w:asciiTheme="majorBidi" w:hAnsiTheme="majorBidi"/>
          <w:sz w:val="20"/>
        </w:rPr>
        <w:t xml:space="preserve"> It claims</w:t>
      </w:r>
      <w:r w:rsidR="00F437C8" w:rsidRPr="00F75C47">
        <w:rPr>
          <w:rFonts w:asciiTheme="majorBidi" w:hAnsiTheme="majorBidi" w:cstheme="majorBidi"/>
          <w:sz w:val="20"/>
          <w:szCs w:val="20"/>
        </w:rPr>
        <w:t xml:space="preserve"> that</w:t>
      </w:r>
      <w:r w:rsidRPr="00F75C47">
        <w:rPr>
          <w:rFonts w:asciiTheme="majorBidi" w:hAnsiTheme="majorBidi"/>
          <w:sz w:val="20"/>
        </w:rPr>
        <w:t xml:space="preserve"> this follows from the title of the Convention and its article 1, which show that the objective of the Convention is to ensure the right of every person to live in an environment adequate to his or her health and that access to justice in environmental matters is one of the instruments to reach that aim.</w:t>
      </w:r>
      <w:r w:rsidRPr="00F75C47">
        <w:rPr>
          <w:rStyle w:val="FootnoteReference"/>
          <w:rFonts w:asciiTheme="majorBidi" w:hAnsiTheme="majorBidi"/>
        </w:rPr>
        <w:footnoteReference w:id="55"/>
      </w:r>
      <w:r w:rsidRPr="00F75C47">
        <w:rPr>
          <w:rFonts w:asciiTheme="majorBidi" w:hAnsiTheme="majorBidi"/>
          <w:sz w:val="20"/>
        </w:rPr>
        <w:t xml:space="preserve"> It recalls that the </w:t>
      </w:r>
      <w:r w:rsidR="00365418" w:rsidRPr="00F75C47">
        <w:rPr>
          <w:rFonts w:asciiTheme="majorBidi" w:hAnsiTheme="majorBidi"/>
          <w:sz w:val="20"/>
        </w:rPr>
        <w:t>2014 Decision</w:t>
      </w:r>
      <w:r w:rsidRPr="00F75C47">
        <w:rPr>
          <w:rFonts w:asciiTheme="majorBidi" w:hAnsiTheme="majorBidi"/>
          <w:sz w:val="20"/>
        </w:rPr>
        <w:t xml:space="preserve"> is based on article 108(2) TFEU, which concerns </w:t>
      </w:r>
      <w:r w:rsidR="00264BDA" w:rsidRPr="00F75C47">
        <w:rPr>
          <w:rFonts w:asciiTheme="majorBidi" w:hAnsiTheme="majorBidi" w:cstheme="majorBidi"/>
          <w:sz w:val="20"/>
          <w:szCs w:val="20"/>
        </w:rPr>
        <w:t>EU</w:t>
      </w:r>
      <w:r w:rsidR="00264BDA" w:rsidRPr="00F75C47">
        <w:rPr>
          <w:rFonts w:asciiTheme="majorBidi" w:hAnsiTheme="majorBidi"/>
          <w:sz w:val="20"/>
        </w:rPr>
        <w:t xml:space="preserve"> </w:t>
      </w:r>
      <w:r w:rsidRPr="00F75C47">
        <w:rPr>
          <w:rFonts w:asciiTheme="majorBidi" w:hAnsiTheme="majorBidi"/>
          <w:sz w:val="20"/>
        </w:rPr>
        <w:t>competition rules</w:t>
      </w:r>
      <w:r w:rsidR="00CD51A1" w:rsidRPr="00F75C47">
        <w:rPr>
          <w:rFonts w:asciiTheme="majorBidi" w:hAnsiTheme="majorBidi" w:cstheme="majorBidi"/>
          <w:sz w:val="20"/>
          <w:szCs w:val="20"/>
        </w:rPr>
        <w:t>,</w:t>
      </w:r>
      <w:r w:rsidRPr="00F75C47">
        <w:rPr>
          <w:rFonts w:asciiTheme="majorBidi" w:hAnsiTheme="majorBidi"/>
          <w:sz w:val="20"/>
        </w:rPr>
        <w:t xml:space="preserve"> and claims that article 9(3) does not give NGOs the right to challenge any decision that has some – direct or indirect – impact on the environment, like the promotion of nuclear energy versus wind energy.</w:t>
      </w:r>
      <w:r w:rsidRPr="00F75C47">
        <w:rPr>
          <w:rStyle w:val="FootnoteReference"/>
          <w:rFonts w:asciiTheme="majorBidi" w:hAnsiTheme="majorBidi"/>
        </w:rPr>
        <w:footnoteReference w:id="56"/>
      </w:r>
      <w:r w:rsidRPr="00F75C47">
        <w:rPr>
          <w:rFonts w:asciiTheme="majorBidi" w:hAnsiTheme="majorBidi"/>
          <w:sz w:val="20"/>
        </w:rPr>
        <w:t xml:space="preserve"> It </w:t>
      </w:r>
      <w:r w:rsidR="00CD51A1" w:rsidRPr="00F75C47">
        <w:rPr>
          <w:rFonts w:asciiTheme="majorBidi" w:hAnsiTheme="majorBidi" w:cstheme="majorBidi"/>
          <w:sz w:val="20"/>
          <w:szCs w:val="20"/>
        </w:rPr>
        <w:t>points out</w:t>
      </w:r>
      <w:r w:rsidR="00CD51A1" w:rsidRPr="00F75C47">
        <w:rPr>
          <w:rFonts w:asciiTheme="majorBidi" w:hAnsiTheme="majorBidi"/>
          <w:sz w:val="20"/>
        </w:rPr>
        <w:t xml:space="preserve"> </w:t>
      </w:r>
      <w:r w:rsidRPr="00F75C47">
        <w:rPr>
          <w:rFonts w:asciiTheme="majorBidi" w:hAnsiTheme="majorBidi"/>
          <w:sz w:val="20"/>
        </w:rPr>
        <w:t xml:space="preserve">that there are remedies available </w:t>
      </w:r>
      <w:r w:rsidR="00CD51A1" w:rsidRPr="00F75C47">
        <w:rPr>
          <w:rFonts w:asciiTheme="majorBidi" w:hAnsiTheme="majorBidi" w:cstheme="majorBidi"/>
          <w:sz w:val="20"/>
          <w:szCs w:val="20"/>
        </w:rPr>
        <w:t>regarding</w:t>
      </w:r>
      <w:r w:rsidRPr="00F75C47">
        <w:rPr>
          <w:rFonts w:asciiTheme="majorBidi" w:hAnsiTheme="majorBidi"/>
          <w:sz w:val="20"/>
        </w:rPr>
        <w:t xml:space="preserve"> the environmental decision-making aspects of the </w:t>
      </w:r>
      <w:r w:rsidR="00FD5357" w:rsidRPr="00F75C47">
        <w:rPr>
          <w:rFonts w:asciiTheme="majorBidi" w:hAnsiTheme="majorBidi"/>
          <w:sz w:val="20"/>
        </w:rPr>
        <w:t xml:space="preserve">2014 </w:t>
      </w:r>
      <w:r w:rsidRPr="00F75C47">
        <w:rPr>
          <w:rFonts w:asciiTheme="majorBidi" w:hAnsiTheme="majorBidi"/>
          <w:sz w:val="20"/>
        </w:rPr>
        <w:t xml:space="preserve">Decision, </w:t>
      </w:r>
      <w:r w:rsidR="00CD51A1" w:rsidRPr="00F75C47">
        <w:rPr>
          <w:rFonts w:asciiTheme="majorBidi" w:hAnsiTheme="majorBidi" w:cstheme="majorBidi"/>
          <w:sz w:val="20"/>
          <w:szCs w:val="20"/>
        </w:rPr>
        <w:t>which include</w:t>
      </w:r>
      <w:r w:rsidRPr="00F75C47">
        <w:rPr>
          <w:rFonts w:asciiTheme="majorBidi" w:hAnsiTheme="majorBidi" w:cstheme="majorBidi"/>
          <w:sz w:val="20"/>
          <w:szCs w:val="20"/>
        </w:rPr>
        <w:t xml:space="preserve"> </w:t>
      </w:r>
      <w:r w:rsidR="00CD51A1" w:rsidRPr="00F75C47">
        <w:rPr>
          <w:rFonts w:asciiTheme="majorBidi" w:hAnsiTheme="majorBidi" w:cstheme="majorBidi"/>
          <w:sz w:val="20"/>
          <w:szCs w:val="20"/>
        </w:rPr>
        <w:t>the</w:t>
      </w:r>
      <w:r w:rsidR="00CD51A1" w:rsidRPr="00F75C47">
        <w:rPr>
          <w:rFonts w:asciiTheme="majorBidi" w:hAnsiTheme="majorBidi"/>
          <w:sz w:val="20"/>
        </w:rPr>
        <w:t xml:space="preserve"> </w:t>
      </w:r>
      <w:r w:rsidR="00FD5357" w:rsidRPr="00F75C47">
        <w:rPr>
          <w:rFonts w:asciiTheme="majorBidi" w:hAnsiTheme="majorBidi"/>
          <w:sz w:val="20"/>
        </w:rPr>
        <w:t>environmental impact assessment</w:t>
      </w:r>
      <w:r w:rsidRPr="00F75C47">
        <w:rPr>
          <w:rFonts w:asciiTheme="majorBidi" w:hAnsiTheme="majorBidi" w:cstheme="majorBidi"/>
          <w:sz w:val="20"/>
          <w:szCs w:val="20"/>
        </w:rPr>
        <w:t>,</w:t>
      </w:r>
      <w:r w:rsidRPr="00F75C47">
        <w:rPr>
          <w:rFonts w:asciiTheme="majorBidi" w:hAnsiTheme="majorBidi"/>
          <w:sz w:val="20"/>
        </w:rPr>
        <w:t xml:space="preserve"> </w:t>
      </w:r>
      <w:r w:rsidR="00FD5357" w:rsidRPr="00F75C47">
        <w:rPr>
          <w:rFonts w:asciiTheme="majorBidi" w:hAnsiTheme="majorBidi"/>
          <w:sz w:val="20"/>
        </w:rPr>
        <w:t>strategic environment assessment</w:t>
      </w:r>
      <w:r w:rsidRPr="00F75C47">
        <w:rPr>
          <w:rFonts w:asciiTheme="majorBidi" w:hAnsiTheme="majorBidi" w:cstheme="majorBidi"/>
          <w:sz w:val="20"/>
          <w:szCs w:val="20"/>
        </w:rPr>
        <w:t>,</w:t>
      </w:r>
      <w:r w:rsidRPr="00F75C47">
        <w:rPr>
          <w:rFonts w:asciiTheme="majorBidi" w:hAnsiTheme="majorBidi"/>
          <w:sz w:val="20"/>
        </w:rPr>
        <w:t xml:space="preserve"> habitats and planning and permitting processes</w:t>
      </w:r>
      <w:r w:rsidR="00FD5357" w:rsidRPr="00F75C47">
        <w:rPr>
          <w:rFonts w:asciiTheme="majorBidi" w:hAnsiTheme="majorBidi"/>
          <w:sz w:val="20"/>
        </w:rPr>
        <w:t xml:space="preserve">. It </w:t>
      </w:r>
      <w:r w:rsidR="00CD51A1" w:rsidRPr="00F75C47">
        <w:rPr>
          <w:rFonts w:asciiTheme="majorBidi" w:hAnsiTheme="majorBidi" w:cstheme="majorBidi"/>
          <w:sz w:val="20"/>
          <w:szCs w:val="20"/>
        </w:rPr>
        <w:t>submits</w:t>
      </w:r>
      <w:r w:rsidR="00CD51A1" w:rsidRPr="00F75C47">
        <w:rPr>
          <w:rFonts w:asciiTheme="majorBidi" w:hAnsiTheme="majorBidi"/>
          <w:sz w:val="20"/>
        </w:rPr>
        <w:t xml:space="preserve"> </w:t>
      </w:r>
      <w:r w:rsidRPr="00F75C47">
        <w:rPr>
          <w:rFonts w:asciiTheme="majorBidi" w:hAnsiTheme="majorBidi"/>
          <w:sz w:val="20"/>
        </w:rPr>
        <w:t>that the Convention should not become a vehicle to challenge policy choices by overstretching the interpretation of environmental acts that fall under its ambit.</w:t>
      </w:r>
      <w:r w:rsidRPr="00F75C47">
        <w:rPr>
          <w:rStyle w:val="FootnoteReference"/>
          <w:rFonts w:asciiTheme="majorBidi" w:hAnsiTheme="majorBidi"/>
        </w:rPr>
        <w:footnoteReference w:id="57"/>
      </w:r>
    </w:p>
    <w:p w14:paraId="134FDA98" w14:textId="07614723" w:rsidR="00E860F2" w:rsidRPr="00F75C47" w:rsidRDefault="00CE1533" w:rsidP="00364BE7">
      <w:pPr>
        <w:numPr>
          <w:ilvl w:val="0"/>
          <w:numId w:val="2"/>
        </w:numPr>
        <w:tabs>
          <w:tab w:val="left" w:pos="1701"/>
        </w:tabs>
        <w:suppressAutoHyphens/>
        <w:spacing w:after="120" w:line="240" w:lineRule="atLeast"/>
        <w:ind w:left="1100" w:right="521" w:firstLine="0"/>
        <w:jc w:val="both"/>
        <w:rPr>
          <w:rFonts w:asciiTheme="majorBidi" w:hAnsiTheme="majorBidi"/>
          <w:sz w:val="20"/>
        </w:rPr>
      </w:pPr>
      <w:r w:rsidRPr="00F75C47">
        <w:rPr>
          <w:rFonts w:asciiTheme="majorBidi" w:hAnsiTheme="majorBidi"/>
          <w:sz w:val="20"/>
        </w:rPr>
        <w:t xml:space="preserve">The </w:t>
      </w:r>
      <w:r w:rsidR="00E860F2" w:rsidRPr="00F75C47">
        <w:rPr>
          <w:rFonts w:asciiTheme="majorBidi" w:hAnsiTheme="majorBidi"/>
          <w:sz w:val="20"/>
        </w:rPr>
        <w:t>United Kingdom</w:t>
      </w:r>
      <w:r w:rsidR="00CD51A1" w:rsidRPr="00F75C47">
        <w:rPr>
          <w:rFonts w:asciiTheme="majorBidi" w:hAnsiTheme="majorBidi" w:cstheme="majorBidi"/>
          <w:sz w:val="20"/>
          <w:szCs w:val="20"/>
        </w:rPr>
        <w:t>, as observer,</w:t>
      </w:r>
      <w:r w:rsidR="00CD51A1" w:rsidRPr="00F75C47">
        <w:rPr>
          <w:rFonts w:asciiTheme="majorBidi" w:hAnsiTheme="majorBidi"/>
          <w:sz w:val="20"/>
        </w:rPr>
        <w:t xml:space="preserve"> submits </w:t>
      </w:r>
      <w:r w:rsidR="00E860F2" w:rsidRPr="00F75C47">
        <w:rPr>
          <w:rFonts w:asciiTheme="majorBidi" w:hAnsiTheme="majorBidi"/>
          <w:sz w:val="20"/>
        </w:rPr>
        <w:t xml:space="preserve">that the Commission’s decision-making role </w:t>
      </w:r>
      <w:r w:rsidR="00CD51A1" w:rsidRPr="00F75C47">
        <w:rPr>
          <w:rFonts w:asciiTheme="majorBidi" w:hAnsiTheme="majorBidi" w:cstheme="majorBidi"/>
          <w:sz w:val="20"/>
          <w:szCs w:val="20"/>
        </w:rPr>
        <w:t>regarding</w:t>
      </w:r>
      <w:r w:rsidR="00E860F2" w:rsidRPr="00F75C47">
        <w:rPr>
          <w:rFonts w:asciiTheme="majorBidi" w:hAnsiTheme="majorBidi"/>
          <w:sz w:val="20"/>
        </w:rPr>
        <w:t xml:space="preserve"> the </w:t>
      </w:r>
      <w:r w:rsidR="000B48AE" w:rsidRPr="00F75C47">
        <w:rPr>
          <w:rFonts w:asciiTheme="majorBidi" w:hAnsiTheme="majorBidi"/>
          <w:sz w:val="20"/>
        </w:rPr>
        <w:t xml:space="preserve">2014 </w:t>
      </w:r>
      <w:r w:rsidR="00E860F2" w:rsidRPr="00F75C47">
        <w:rPr>
          <w:rFonts w:asciiTheme="majorBidi" w:hAnsiTheme="majorBidi"/>
          <w:sz w:val="20"/>
        </w:rPr>
        <w:t xml:space="preserve">Decision relates to competition matters rather than environmental matters and aims to avoid distortion of competition rather than </w:t>
      </w:r>
      <w:r w:rsidR="003272B2" w:rsidRPr="00F75C47">
        <w:rPr>
          <w:rFonts w:asciiTheme="majorBidi" w:hAnsiTheme="majorBidi" w:cstheme="majorBidi"/>
          <w:sz w:val="20"/>
        </w:rPr>
        <w:t>considering</w:t>
      </w:r>
      <w:r w:rsidR="00311664" w:rsidRPr="00F75C47">
        <w:rPr>
          <w:rFonts w:asciiTheme="majorBidi" w:hAnsiTheme="majorBidi" w:cstheme="majorBidi"/>
          <w:sz w:val="20"/>
        </w:rPr>
        <w:t xml:space="preserve"> </w:t>
      </w:r>
      <w:r w:rsidR="00E860F2" w:rsidRPr="00F75C47">
        <w:rPr>
          <w:rFonts w:asciiTheme="majorBidi" w:hAnsiTheme="majorBidi"/>
          <w:sz w:val="20"/>
        </w:rPr>
        <w:t>environmental impact.</w:t>
      </w:r>
      <w:r w:rsidR="00E860F2" w:rsidRPr="00F75C47">
        <w:rPr>
          <w:rStyle w:val="FootnoteReference"/>
          <w:rFonts w:asciiTheme="majorBidi" w:hAnsiTheme="majorBidi"/>
        </w:rPr>
        <w:footnoteReference w:id="58"/>
      </w:r>
      <w:r w:rsidR="00E860F2" w:rsidRPr="00F75C47">
        <w:rPr>
          <w:rFonts w:asciiTheme="majorBidi" w:hAnsiTheme="majorBidi"/>
          <w:sz w:val="20"/>
        </w:rPr>
        <w:t xml:space="preserve"> </w:t>
      </w:r>
      <w:r w:rsidR="005967B0" w:rsidRPr="00F75C47">
        <w:rPr>
          <w:rFonts w:asciiTheme="majorBidi" w:hAnsiTheme="majorBidi" w:cstheme="majorBidi"/>
          <w:sz w:val="20"/>
          <w:szCs w:val="20"/>
        </w:rPr>
        <w:t>It</w:t>
      </w:r>
      <w:r w:rsidR="00E860F2" w:rsidRPr="00F75C47">
        <w:rPr>
          <w:rFonts w:asciiTheme="majorBidi" w:hAnsiTheme="majorBidi" w:cstheme="majorBidi"/>
          <w:sz w:val="20"/>
          <w:szCs w:val="20"/>
        </w:rPr>
        <w:t xml:space="preserve"> </w:t>
      </w:r>
      <w:r w:rsidR="005967B0" w:rsidRPr="00F75C47">
        <w:rPr>
          <w:rFonts w:asciiTheme="majorBidi" w:hAnsiTheme="majorBidi" w:cstheme="majorBidi"/>
          <w:sz w:val="20"/>
          <w:szCs w:val="20"/>
        </w:rPr>
        <w:t>asserts</w:t>
      </w:r>
      <w:r w:rsidR="005967B0" w:rsidRPr="00F75C47">
        <w:rPr>
          <w:rFonts w:asciiTheme="majorBidi" w:hAnsiTheme="majorBidi"/>
          <w:sz w:val="20"/>
        </w:rPr>
        <w:t xml:space="preserve"> </w:t>
      </w:r>
      <w:r w:rsidR="00E860F2" w:rsidRPr="00F75C47">
        <w:rPr>
          <w:rFonts w:asciiTheme="majorBidi" w:hAnsiTheme="majorBidi"/>
          <w:sz w:val="20"/>
        </w:rPr>
        <w:t xml:space="preserve">that the communicants allege lack of access to justice in relation to a non-environmental decision </w:t>
      </w:r>
      <w:r w:rsidR="005967B0" w:rsidRPr="00F75C47">
        <w:rPr>
          <w:rFonts w:asciiTheme="majorBidi" w:hAnsiTheme="majorBidi" w:cstheme="majorBidi"/>
          <w:sz w:val="20"/>
          <w:szCs w:val="20"/>
        </w:rPr>
        <w:t>that</w:t>
      </w:r>
      <w:r w:rsidR="005967B0" w:rsidRPr="00F75C47">
        <w:rPr>
          <w:rFonts w:asciiTheme="majorBidi" w:hAnsiTheme="majorBidi"/>
          <w:sz w:val="20"/>
        </w:rPr>
        <w:t xml:space="preserve"> </w:t>
      </w:r>
      <w:r w:rsidR="00E860F2" w:rsidRPr="00F75C47">
        <w:rPr>
          <w:rFonts w:asciiTheme="majorBidi" w:hAnsiTheme="majorBidi"/>
          <w:sz w:val="20"/>
        </w:rPr>
        <w:t>cannot be characterized as a provision of “national law relating to the environment” for the purposes of article 9(3) of the Convention.</w:t>
      </w:r>
      <w:r w:rsidR="00E860F2" w:rsidRPr="00F75C47">
        <w:rPr>
          <w:rStyle w:val="FootnoteReference"/>
          <w:rFonts w:asciiTheme="majorBidi" w:hAnsiTheme="majorBidi"/>
        </w:rPr>
        <w:footnoteReference w:id="59"/>
      </w:r>
      <w:r w:rsidR="00E860F2" w:rsidRPr="00F75C47">
        <w:rPr>
          <w:rFonts w:asciiTheme="majorBidi" w:hAnsiTheme="majorBidi"/>
          <w:sz w:val="20"/>
        </w:rPr>
        <w:t xml:space="preserve"> It submits that the communicants’ reference to </w:t>
      </w:r>
      <w:r w:rsidR="000F77B6" w:rsidRPr="00F75C47">
        <w:rPr>
          <w:rFonts w:asciiTheme="majorBidi" w:hAnsiTheme="majorBidi"/>
          <w:sz w:val="20"/>
        </w:rPr>
        <w:t>the Committee</w:t>
      </w:r>
      <w:r w:rsidR="000B48AE" w:rsidRPr="00F75C47">
        <w:rPr>
          <w:rFonts w:asciiTheme="majorBidi" w:hAnsiTheme="majorBidi"/>
          <w:sz w:val="20"/>
        </w:rPr>
        <w:t>’</w:t>
      </w:r>
      <w:r w:rsidR="000F77B6" w:rsidRPr="00F75C47">
        <w:rPr>
          <w:rFonts w:asciiTheme="majorBidi" w:hAnsiTheme="majorBidi"/>
          <w:sz w:val="20"/>
        </w:rPr>
        <w:t xml:space="preserve">s findings on </w:t>
      </w:r>
      <w:r w:rsidR="00E860F2" w:rsidRPr="00F75C47">
        <w:rPr>
          <w:rFonts w:asciiTheme="majorBidi" w:hAnsiTheme="majorBidi"/>
          <w:sz w:val="20"/>
        </w:rPr>
        <w:t>communications ACCC/C/2005/11 (Belgium) and ACCC/C/2011/58 (Bulgaria) does not assist them as these communications related to planning regimes more obviously related to the environment. It further submits that the communicants have not demonstrated that matters such as the status of Euratom, security of supply offered by nuclear energy and questions of market failure and state intervention in relation to nuclear energy are relevant to the Convention.</w:t>
      </w:r>
      <w:r w:rsidR="00E860F2" w:rsidRPr="00F75C47">
        <w:rPr>
          <w:rStyle w:val="FootnoteReference"/>
          <w:rFonts w:asciiTheme="majorBidi" w:hAnsiTheme="majorBidi"/>
        </w:rPr>
        <w:footnoteReference w:id="60"/>
      </w:r>
      <w:r w:rsidR="00E860F2" w:rsidRPr="00F75C47">
        <w:rPr>
          <w:rFonts w:asciiTheme="majorBidi" w:hAnsiTheme="majorBidi"/>
          <w:sz w:val="20"/>
        </w:rPr>
        <w:t xml:space="preserve"> </w:t>
      </w:r>
    </w:p>
    <w:p w14:paraId="7981B682" w14:textId="3308732D" w:rsidR="00E860F2" w:rsidRPr="00F75C47" w:rsidRDefault="00E860F2" w:rsidP="007D18DC">
      <w:pPr>
        <w:numPr>
          <w:ilvl w:val="0"/>
          <w:numId w:val="2"/>
        </w:numPr>
        <w:tabs>
          <w:tab w:val="left" w:pos="1701"/>
        </w:tabs>
        <w:suppressAutoHyphens/>
        <w:spacing w:after="120" w:line="240" w:lineRule="atLeast"/>
        <w:ind w:left="1134" w:right="521" w:firstLine="0"/>
        <w:jc w:val="both"/>
        <w:rPr>
          <w:rFonts w:asciiTheme="majorBidi" w:hAnsiTheme="majorBidi"/>
          <w:sz w:val="20"/>
        </w:rPr>
      </w:pPr>
      <w:r w:rsidRPr="00F75C47">
        <w:rPr>
          <w:rFonts w:asciiTheme="majorBidi" w:hAnsiTheme="majorBidi"/>
          <w:sz w:val="20"/>
        </w:rPr>
        <w:t xml:space="preserve">Observer </w:t>
      </w:r>
      <w:proofErr w:type="spellStart"/>
      <w:r w:rsidRPr="00F75C47">
        <w:rPr>
          <w:rFonts w:asciiTheme="majorBidi" w:hAnsiTheme="majorBidi"/>
          <w:sz w:val="20"/>
        </w:rPr>
        <w:t>ClientEarth</w:t>
      </w:r>
      <w:proofErr w:type="spellEnd"/>
      <w:r w:rsidRPr="00F75C47">
        <w:rPr>
          <w:rFonts w:asciiTheme="majorBidi" w:hAnsiTheme="majorBidi"/>
          <w:sz w:val="20"/>
        </w:rPr>
        <w:t xml:space="preserve"> reiterates the communicants</w:t>
      </w:r>
      <w:r w:rsidR="000B48AE" w:rsidRPr="00F75C47">
        <w:rPr>
          <w:rFonts w:asciiTheme="majorBidi" w:hAnsiTheme="majorBidi"/>
          <w:sz w:val="20"/>
        </w:rPr>
        <w:t>’</w:t>
      </w:r>
      <w:r w:rsidRPr="00F75C47">
        <w:rPr>
          <w:rFonts w:asciiTheme="majorBidi" w:hAnsiTheme="majorBidi"/>
          <w:sz w:val="20"/>
        </w:rPr>
        <w:t xml:space="preserve"> claim that the only decisive factor for the applicability of article 9(3) is whether the act or omission in question has the potential to contravene national (i.e. EU</w:t>
      </w:r>
      <w:r w:rsidRPr="00F75C47">
        <w:rPr>
          <w:rFonts w:asciiTheme="majorBidi" w:hAnsiTheme="majorBidi" w:cstheme="majorBidi"/>
          <w:sz w:val="20"/>
          <w:szCs w:val="20"/>
        </w:rPr>
        <w:t>)</w:t>
      </w:r>
      <w:r w:rsidR="006F1523" w:rsidRPr="00F75C47">
        <w:rPr>
          <w:rFonts w:asciiTheme="majorBidi" w:hAnsiTheme="majorBidi" w:cstheme="majorBidi"/>
          <w:sz w:val="20"/>
        </w:rPr>
        <w:t xml:space="preserve"> law</w:t>
      </w:r>
      <w:r w:rsidR="00311664" w:rsidRPr="00F75C47">
        <w:rPr>
          <w:rFonts w:asciiTheme="majorBidi" w:hAnsiTheme="majorBidi" w:cstheme="majorBidi"/>
          <w:sz w:val="20"/>
        </w:rPr>
        <w:t xml:space="preserve"> relating to the environment</w:t>
      </w:r>
      <w:r w:rsidRPr="00F75C47">
        <w:rPr>
          <w:rFonts w:asciiTheme="majorBidi" w:hAnsiTheme="majorBidi" w:cstheme="majorBidi"/>
          <w:sz w:val="20"/>
          <w:szCs w:val="20"/>
        </w:rPr>
        <w:t>.</w:t>
      </w:r>
      <w:r w:rsidRPr="00F75C47">
        <w:rPr>
          <w:rStyle w:val="FootnoteReference"/>
          <w:rFonts w:asciiTheme="majorBidi" w:hAnsiTheme="majorBidi"/>
        </w:rPr>
        <w:footnoteReference w:id="61"/>
      </w:r>
    </w:p>
    <w:p w14:paraId="75E8DF23" w14:textId="77777777" w:rsidR="00F16D4E" w:rsidRPr="00F75C47" w:rsidRDefault="00F16D4E" w:rsidP="007D18DC">
      <w:pPr>
        <w:tabs>
          <w:tab w:val="left" w:pos="1701"/>
        </w:tabs>
        <w:suppressAutoHyphens/>
        <w:spacing w:after="120" w:line="240" w:lineRule="atLeast"/>
        <w:ind w:left="1134" w:right="521"/>
        <w:jc w:val="both"/>
        <w:rPr>
          <w:rFonts w:ascii="Times New Roman" w:hAnsi="Times New Roman" w:cs="Times New Roman"/>
          <w:sz w:val="20"/>
          <w:szCs w:val="20"/>
        </w:rPr>
      </w:pPr>
    </w:p>
    <w:p w14:paraId="3AFD05CC" w14:textId="66375EE3" w:rsidR="004F18D0" w:rsidRPr="00F75C47" w:rsidRDefault="00D67F1A" w:rsidP="007D18DC">
      <w:pPr>
        <w:tabs>
          <w:tab w:val="left" w:pos="1701"/>
        </w:tabs>
        <w:suppressAutoHyphens/>
        <w:spacing w:after="120" w:line="240" w:lineRule="atLeast"/>
        <w:ind w:left="1134" w:right="521"/>
        <w:jc w:val="both"/>
        <w:rPr>
          <w:rFonts w:asciiTheme="majorBidi" w:hAnsiTheme="majorBidi"/>
          <w:sz w:val="20"/>
        </w:rPr>
      </w:pPr>
      <w:r w:rsidRPr="00F75C47">
        <w:rPr>
          <w:rFonts w:asciiTheme="majorBidi" w:hAnsiTheme="majorBidi"/>
          <w:b/>
          <w:sz w:val="20"/>
        </w:rPr>
        <w:t>“</w:t>
      </w:r>
      <w:r w:rsidR="00FA05BD" w:rsidRPr="00F75C47">
        <w:rPr>
          <w:rFonts w:asciiTheme="majorBidi" w:hAnsiTheme="majorBidi"/>
          <w:b/>
          <w:sz w:val="20"/>
        </w:rPr>
        <w:t xml:space="preserve">Contravene </w:t>
      </w:r>
      <w:r w:rsidR="004F18D0" w:rsidRPr="00F75C47">
        <w:rPr>
          <w:rFonts w:asciiTheme="majorBidi" w:hAnsiTheme="majorBidi"/>
          <w:b/>
          <w:sz w:val="20"/>
        </w:rPr>
        <w:t>provisions of national law relating to the environment</w:t>
      </w:r>
      <w:r w:rsidRPr="00F75C47">
        <w:rPr>
          <w:rFonts w:asciiTheme="majorBidi" w:hAnsiTheme="majorBidi"/>
          <w:b/>
          <w:sz w:val="20"/>
        </w:rPr>
        <w:t>” – article 9(3)</w:t>
      </w:r>
    </w:p>
    <w:p w14:paraId="18E497B6" w14:textId="3D4DF126" w:rsidR="00F7685F" w:rsidRPr="00F75C47" w:rsidRDefault="00355A51" w:rsidP="000F2392">
      <w:pPr>
        <w:numPr>
          <w:ilvl w:val="0"/>
          <w:numId w:val="2"/>
        </w:numPr>
        <w:tabs>
          <w:tab w:val="left" w:pos="1701"/>
        </w:tabs>
        <w:suppressAutoHyphens/>
        <w:spacing w:after="120" w:line="240" w:lineRule="atLeast"/>
        <w:ind w:left="1134" w:right="521" w:firstLine="0"/>
        <w:jc w:val="both"/>
        <w:rPr>
          <w:rFonts w:asciiTheme="majorBidi" w:hAnsiTheme="majorBidi" w:cstheme="majorBidi"/>
          <w:sz w:val="20"/>
          <w:szCs w:val="20"/>
        </w:rPr>
      </w:pPr>
      <w:bookmarkStart w:id="21" w:name="_Ref11093832"/>
      <w:bookmarkStart w:id="22" w:name="_Ref508105572"/>
      <w:r w:rsidRPr="00F75C47">
        <w:rPr>
          <w:rFonts w:asciiTheme="majorBidi" w:hAnsiTheme="majorBidi" w:cstheme="majorBidi"/>
          <w:sz w:val="20"/>
          <w:szCs w:val="20"/>
        </w:rPr>
        <w:t>The communicant</w:t>
      </w:r>
      <w:r w:rsidR="0036205D" w:rsidRPr="00F75C47">
        <w:rPr>
          <w:rFonts w:asciiTheme="majorBidi" w:hAnsiTheme="majorBidi" w:cstheme="majorBidi"/>
          <w:sz w:val="20"/>
          <w:szCs w:val="20"/>
        </w:rPr>
        <w:t xml:space="preserve"> OEKOBUERO and observer </w:t>
      </w:r>
      <w:proofErr w:type="spellStart"/>
      <w:r w:rsidR="0036205D" w:rsidRPr="00F75C47">
        <w:rPr>
          <w:rFonts w:asciiTheme="majorBidi" w:hAnsiTheme="majorBidi" w:cstheme="majorBidi"/>
          <w:sz w:val="20"/>
          <w:szCs w:val="20"/>
        </w:rPr>
        <w:t>ClientEarth</w:t>
      </w:r>
      <w:proofErr w:type="spellEnd"/>
      <w:r w:rsidRPr="00F75C47">
        <w:rPr>
          <w:rFonts w:asciiTheme="majorBidi" w:hAnsiTheme="majorBidi" w:cstheme="majorBidi"/>
          <w:sz w:val="20"/>
          <w:szCs w:val="20"/>
        </w:rPr>
        <w:t xml:space="preserve"> submit that through its judgment of 22 September 2020</w:t>
      </w:r>
      <w:r w:rsidR="00000DCB" w:rsidRPr="00F75C47">
        <w:rPr>
          <w:rFonts w:asciiTheme="majorBidi" w:hAnsiTheme="majorBidi" w:cstheme="majorBidi"/>
          <w:sz w:val="20"/>
          <w:szCs w:val="20"/>
        </w:rPr>
        <w:t xml:space="preserve"> in </w:t>
      </w:r>
      <w:r w:rsidR="00000DCB" w:rsidRPr="00F75C47">
        <w:rPr>
          <w:rFonts w:asciiTheme="majorBidi" w:hAnsiTheme="majorBidi" w:cstheme="majorBidi"/>
          <w:i/>
          <w:iCs/>
          <w:sz w:val="20"/>
          <w:szCs w:val="20"/>
        </w:rPr>
        <w:t>Austria v Commission</w:t>
      </w:r>
      <w:r w:rsidRPr="00F75C47">
        <w:rPr>
          <w:rFonts w:asciiTheme="majorBidi" w:hAnsiTheme="majorBidi" w:cstheme="majorBidi"/>
          <w:sz w:val="20"/>
          <w:szCs w:val="20"/>
        </w:rPr>
        <w:t>, the Grand Chamber of the CJEU unequivocally confirmed that the Commission’s state aid decisions need to comply with rules of EU law on the environment.</w:t>
      </w:r>
      <w:r w:rsidR="00F7685F" w:rsidRPr="00F75C47">
        <w:rPr>
          <w:rFonts w:asciiTheme="majorBidi" w:hAnsiTheme="majorBidi" w:cstheme="majorBidi"/>
          <w:sz w:val="20"/>
          <w:szCs w:val="20"/>
        </w:rPr>
        <w:t xml:space="preserve"> They assert that the Court’s statements are an almost literal affirmation that the Commission’s state aid decisions can contravene national (i.e. EU) law related to the environment and therefore fall under the scope of article 9(3) of the Convention.</w:t>
      </w:r>
      <w:r w:rsidR="008F6E9A" w:rsidRPr="00F75C47">
        <w:rPr>
          <w:rStyle w:val="FootnoteReference"/>
          <w:rFonts w:asciiTheme="majorBidi" w:hAnsiTheme="majorBidi" w:cstheme="majorBidi"/>
          <w:szCs w:val="20"/>
        </w:rPr>
        <w:footnoteReference w:id="62"/>
      </w:r>
      <w:r w:rsidR="00F7685F" w:rsidRPr="00F75C47">
        <w:rPr>
          <w:rFonts w:asciiTheme="majorBidi" w:hAnsiTheme="majorBidi" w:cstheme="majorBidi"/>
          <w:sz w:val="20"/>
          <w:szCs w:val="20"/>
        </w:rPr>
        <w:t xml:space="preserve"> </w:t>
      </w:r>
    </w:p>
    <w:p w14:paraId="149CE23C" w14:textId="72291FC2" w:rsidR="00F7685F" w:rsidRPr="00F75C47" w:rsidRDefault="00F7685F" w:rsidP="000F2392">
      <w:pPr>
        <w:numPr>
          <w:ilvl w:val="0"/>
          <w:numId w:val="2"/>
        </w:numPr>
        <w:tabs>
          <w:tab w:val="left" w:pos="1701"/>
        </w:tabs>
        <w:suppressAutoHyphens/>
        <w:spacing w:after="120" w:line="240" w:lineRule="atLeast"/>
        <w:ind w:left="1134" w:right="521" w:firstLine="0"/>
        <w:jc w:val="both"/>
        <w:rPr>
          <w:rFonts w:asciiTheme="majorBidi" w:hAnsiTheme="majorBidi" w:cstheme="majorBidi"/>
          <w:sz w:val="20"/>
          <w:szCs w:val="20"/>
        </w:rPr>
      </w:pPr>
      <w:r w:rsidRPr="00F75C47">
        <w:rPr>
          <w:rFonts w:asciiTheme="majorBidi" w:hAnsiTheme="majorBidi" w:cstheme="majorBidi"/>
          <w:sz w:val="20"/>
          <w:szCs w:val="20"/>
        </w:rPr>
        <w:t>The communicant</w:t>
      </w:r>
      <w:r w:rsidR="00296805" w:rsidRPr="00F75C47">
        <w:rPr>
          <w:rFonts w:asciiTheme="majorBidi" w:hAnsiTheme="majorBidi" w:cstheme="majorBidi"/>
          <w:sz w:val="20"/>
          <w:szCs w:val="20"/>
        </w:rPr>
        <w:t xml:space="preserve"> and </w:t>
      </w:r>
      <w:proofErr w:type="spellStart"/>
      <w:r w:rsidR="00296805" w:rsidRPr="00F75C47">
        <w:rPr>
          <w:rFonts w:asciiTheme="majorBidi" w:hAnsiTheme="majorBidi" w:cstheme="majorBidi"/>
          <w:sz w:val="20"/>
          <w:szCs w:val="20"/>
        </w:rPr>
        <w:t>ClientEarth</w:t>
      </w:r>
      <w:proofErr w:type="spellEnd"/>
      <w:r w:rsidRPr="00F75C47">
        <w:rPr>
          <w:rFonts w:asciiTheme="majorBidi" w:hAnsiTheme="majorBidi" w:cstheme="majorBidi"/>
          <w:sz w:val="20"/>
          <w:szCs w:val="20"/>
        </w:rPr>
        <w:t xml:space="preserve"> claim that the judgment</w:t>
      </w:r>
      <w:r w:rsidR="00311664" w:rsidRPr="00F75C47">
        <w:rPr>
          <w:rFonts w:asciiTheme="majorBidi" w:hAnsiTheme="majorBidi" w:cstheme="majorBidi"/>
          <w:sz w:val="20"/>
          <w:szCs w:val="20"/>
        </w:rPr>
        <w:t>’s</w:t>
      </w:r>
      <w:r w:rsidRPr="00F75C47">
        <w:rPr>
          <w:rFonts w:asciiTheme="majorBidi" w:hAnsiTheme="majorBidi" w:cstheme="majorBidi"/>
          <w:sz w:val="20"/>
          <w:szCs w:val="20"/>
        </w:rPr>
        <w:t xml:space="preserve"> refer</w:t>
      </w:r>
      <w:r w:rsidR="00311664" w:rsidRPr="00F75C47">
        <w:rPr>
          <w:rFonts w:asciiTheme="majorBidi" w:hAnsiTheme="majorBidi" w:cstheme="majorBidi"/>
          <w:sz w:val="20"/>
          <w:szCs w:val="20"/>
        </w:rPr>
        <w:t>ence</w:t>
      </w:r>
      <w:r w:rsidRPr="00F75C47">
        <w:rPr>
          <w:rFonts w:asciiTheme="majorBidi" w:hAnsiTheme="majorBidi" w:cstheme="majorBidi"/>
          <w:sz w:val="20"/>
          <w:szCs w:val="20"/>
        </w:rPr>
        <w:t xml:space="preserve"> to “activities in the nuclear energy sector and under the scope of the Euratom Treaty” </w:t>
      </w:r>
      <w:r w:rsidR="008F6E9A" w:rsidRPr="00F75C47">
        <w:rPr>
          <w:rFonts w:asciiTheme="majorBidi" w:hAnsiTheme="majorBidi" w:cstheme="majorBidi"/>
          <w:sz w:val="20"/>
          <w:szCs w:val="20"/>
        </w:rPr>
        <w:t>does not mean</w:t>
      </w:r>
      <w:r w:rsidRPr="00F75C47">
        <w:rPr>
          <w:rFonts w:asciiTheme="majorBidi" w:hAnsiTheme="majorBidi" w:cstheme="majorBidi"/>
          <w:sz w:val="20"/>
          <w:szCs w:val="20"/>
        </w:rPr>
        <w:t xml:space="preserve"> that the Court’s judgment is in any way limited to that sector. Article 37 of the Charter of Fundamental Rights, Article 11 TFEU and general principles of EU law are applicable to all activities of the European Union institutions. Article 194(1) TFEU is applicable to all activities in the energy sector, nuclear or otherwise.</w:t>
      </w:r>
      <w:r w:rsidR="0036205D" w:rsidRPr="00F75C47">
        <w:rPr>
          <w:rStyle w:val="FootnoteReference"/>
          <w:rFonts w:asciiTheme="majorBidi" w:hAnsiTheme="majorBidi" w:cstheme="majorBidi"/>
          <w:szCs w:val="20"/>
        </w:rPr>
        <w:footnoteReference w:id="63"/>
      </w:r>
    </w:p>
    <w:p w14:paraId="619FD0DA" w14:textId="7BE09DF0" w:rsidR="00F7685F" w:rsidRPr="00F75C47" w:rsidRDefault="008F6E9A" w:rsidP="000F2392">
      <w:pPr>
        <w:numPr>
          <w:ilvl w:val="0"/>
          <w:numId w:val="2"/>
        </w:numPr>
        <w:tabs>
          <w:tab w:val="left" w:pos="1701"/>
        </w:tabs>
        <w:suppressAutoHyphens/>
        <w:spacing w:after="120" w:line="240" w:lineRule="atLeast"/>
        <w:ind w:left="1134" w:right="521" w:firstLine="0"/>
        <w:jc w:val="both"/>
        <w:rPr>
          <w:rFonts w:asciiTheme="majorBidi" w:hAnsiTheme="majorBidi" w:cstheme="majorBidi"/>
          <w:sz w:val="20"/>
          <w:szCs w:val="20"/>
        </w:rPr>
      </w:pPr>
      <w:r w:rsidRPr="00F75C47">
        <w:rPr>
          <w:rFonts w:asciiTheme="majorBidi" w:hAnsiTheme="majorBidi" w:cstheme="majorBidi"/>
          <w:sz w:val="20"/>
          <w:szCs w:val="20"/>
        </w:rPr>
        <w:t>The communicant</w:t>
      </w:r>
      <w:r w:rsidR="00296805" w:rsidRPr="00F75C47">
        <w:rPr>
          <w:rFonts w:asciiTheme="majorBidi" w:hAnsiTheme="majorBidi" w:cstheme="majorBidi"/>
          <w:sz w:val="20"/>
          <w:szCs w:val="20"/>
        </w:rPr>
        <w:t xml:space="preserve"> and </w:t>
      </w:r>
      <w:proofErr w:type="spellStart"/>
      <w:r w:rsidR="00296805" w:rsidRPr="00F75C47">
        <w:rPr>
          <w:rFonts w:asciiTheme="majorBidi" w:hAnsiTheme="majorBidi" w:cstheme="majorBidi"/>
          <w:sz w:val="20"/>
          <w:szCs w:val="20"/>
        </w:rPr>
        <w:t>ClientEarth</w:t>
      </w:r>
      <w:proofErr w:type="spellEnd"/>
      <w:r w:rsidRPr="00F75C47">
        <w:rPr>
          <w:rFonts w:asciiTheme="majorBidi" w:hAnsiTheme="majorBidi" w:cstheme="majorBidi"/>
          <w:sz w:val="20"/>
          <w:szCs w:val="20"/>
        </w:rPr>
        <w:t xml:space="preserve"> further submit that t</w:t>
      </w:r>
      <w:r w:rsidR="00F7685F" w:rsidRPr="00F75C47">
        <w:rPr>
          <w:rFonts w:asciiTheme="majorBidi" w:hAnsiTheme="majorBidi" w:cstheme="majorBidi"/>
          <w:sz w:val="20"/>
          <w:szCs w:val="20"/>
        </w:rPr>
        <w:t xml:space="preserve">he CJEU’s ruling is also not limited to aid measures that are directly pursuing an environmental objective (the aid to construct Hinkley Point C was not) or that are assessed under the State aid guidelines for environmental protection and energy (the aid was assessed under </w:t>
      </w:r>
      <w:r w:rsidR="009526ED" w:rsidRPr="00F75C47">
        <w:rPr>
          <w:rFonts w:asciiTheme="majorBidi" w:hAnsiTheme="majorBidi" w:cstheme="majorBidi"/>
          <w:sz w:val="20"/>
          <w:szCs w:val="20"/>
        </w:rPr>
        <w:t>a</w:t>
      </w:r>
      <w:r w:rsidR="00F7685F" w:rsidRPr="00F75C47">
        <w:rPr>
          <w:rFonts w:asciiTheme="majorBidi" w:hAnsiTheme="majorBidi" w:cstheme="majorBidi"/>
          <w:sz w:val="20"/>
          <w:szCs w:val="20"/>
        </w:rPr>
        <w:t xml:space="preserve">rticle 107(3)(c) TFEU directly). </w:t>
      </w:r>
      <w:r w:rsidRPr="00F75C47">
        <w:rPr>
          <w:rFonts w:asciiTheme="majorBidi" w:hAnsiTheme="majorBidi" w:cstheme="majorBidi"/>
          <w:sz w:val="20"/>
          <w:szCs w:val="20"/>
        </w:rPr>
        <w:t>The</w:t>
      </w:r>
      <w:r w:rsidR="002E0E00">
        <w:rPr>
          <w:rFonts w:asciiTheme="majorBidi" w:hAnsiTheme="majorBidi" w:cstheme="majorBidi"/>
          <w:sz w:val="20"/>
          <w:szCs w:val="20"/>
        </w:rPr>
        <w:t>y</w:t>
      </w:r>
      <w:r w:rsidRPr="00F75C47">
        <w:rPr>
          <w:rFonts w:asciiTheme="majorBidi" w:hAnsiTheme="majorBidi" w:cstheme="majorBidi"/>
          <w:sz w:val="20"/>
          <w:szCs w:val="20"/>
        </w:rPr>
        <w:t xml:space="preserve"> claim that t</w:t>
      </w:r>
      <w:r w:rsidR="00F7685F" w:rsidRPr="00F75C47">
        <w:rPr>
          <w:rFonts w:asciiTheme="majorBidi" w:hAnsiTheme="majorBidi" w:cstheme="majorBidi"/>
          <w:sz w:val="20"/>
          <w:szCs w:val="20"/>
        </w:rPr>
        <w:t xml:space="preserve">he judgment therefore confirms </w:t>
      </w:r>
      <w:r w:rsidRPr="00F75C47">
        <w:rPr>
          <w:rFonts w:asciiTheme="majorBidi" w:hAnsiTheme="majorBidi" w:cstheme="majorBidi"/>
          <w:sz w:val="20"/>
          <w:szCs w:val="20"/>
        </w:rPr>
        <w:t xml:space="preserve">that </w:t>
      </w:r>
      <w:r w:rsidR="00F7685F" w:rsidRPr="00F75C47">
        <w:rPr>
          <w:rFonts w:asciiTheme="majorBidi" w:hAnsiTheme="majorBidi" w:cstheme="majorBidi"/>
          <w:sz w:val="20"/>
          <w:szCs w:val="20"/>
        </w:rPr>
        <w:t xml:space="preserve">state aid </w:t>
      </w:r>
      <w:r w:rsidR="00311664" w:rsidRPr="00F75C47">
        <w:rPr>
          <w:rFonts w:asciiTheme="majorBidi" w:hAnsiTheme="majorBidi" w:cstheme="majorBidi"/>
          <w:sz w:val="20"/>
          <w:szCs w:val="20"/>
        </w:rPr>
        <w:t xml:space="preserve">measures </w:t>
      </w:r>
      <w:r w:rsidR="00F7685F" w:rsidRPr="00F75C47">
        <w:rPr>
          <w:rFonts w:asciiTheme="majorBidi" w:hAnsiTheme="majorBidi" w:cstheme="majorBidi"/>
          <w:sz w:val="20"/>
          <w:szCs w:val="20"/>
        </w:rPr>
        <w:t>in other areas, whatever policy objective they pursue, need to comply with EU law related to the environment.</w:t>
      </w:r>
      <w:r w:rsidR="0036205D" w:rsidRPr="00F75C47">
        <w:rPr>
          <w:rStyle w:val="FootnoteReference"/>
          <w:rFonts w:asciiTheme="majorBidi" w:hAnsiTheme="majorBidi" w:cstheme="majorBidi"/>
          <w:szCs w:val="20"/>
        </w:rPr>
        <w:footnoteReference w:id="64"/>
      </w:r>
      <w:r w:rsidR="0036205D" w:rsidRPr="00F75C47">
        <w:rPr>
          <w:rFonts w:asciiTheme="majorBidi" w:hAnsiTheme="majorBidi" w:cstheme="majorBidi"/>
          <w:sz w:val="20"/>
          <w:szCs w:val="20"/>
        </w:rPr>
        <w:t xml:space="preserve"> </w:t>
      </w:r>
      <w:r w:rsidR="00F7685F" w:rsidRPr="00F75C47">
        <w:rPr>
          <w:rFonts w:asciiTheme="majorBidi" w:hAnsiTheme="majorBidi" w:cstheme="majorBidi"/>
          <w:sz w:val="20"/>
          <w:szCs w:val="20"/>
        </w:rPr>
        <w:t xml:space="preserve"> </w:t>
      </w:r>
    </w:p>
    <w:p w14:paraId="4B1C3477" w14:textId="6F7B8CE7" w:rsidR="00F7685F" w:rsidRPr="00F75C47" w:rsidRDefault="00F7685F" w:rsidP="000F2392">
      <w:pPr>
        <w:numPr>
          <w:ilvl w:val="0"/>
          <w:numId w:val="2"/>
        </w:numPr>
        <w:tabs>
          <w:tab w:val="left" w:pos="1701"/>
        </w:tabs>
        <w:suppressAutoHyphens/>
        <w:spacing w:after="120" w:line="240" w:lineRule="atLeast"/>
        <w:ind w:left="1134" w:right="521" w:firstLine="0"/>
        <w:jc w:val="both"/>
        <w:rPr>
          <w:rFonts w:asciiTheme="majorBidi" w:hAnsiTheme="majorBidi" w:cstheme="majorBidi"/>
          <w:sz w:val="20"/>
          <w:szCs w:val="20"/>
        </w:rPr>
      </w:pPr>
      <w:r w:rsidRPr="00F75C47">
        <w:rPr>
          <w:rFonts w:asciiTheme="majorBidi" w:hAnsiTheme="majorBidi" w:cstheme="majorBidi"/>
          <w:sz w:val="20"/>
          <w:szCs w:val="20"/>
        </w:rPr>
        <w:t>Lastly, the communicant</w:t>
      </w:r>
      <w:r w:rsidR="00296805" w:rsidRPr="00F75C47">
        <w:rPr>
          <w:rFonts w:asciiTheme="majorBidi" w:hAnsiTheme="majorBidi" w:cstheme="majorBidi"/>
          <w:sz w:val="20"/>
          <w:szCs w:val="20"/>
        </w:rPr>
        <w:t xml:space="preserve"> and </w:t>
      </w:r>
      <w:proofErr w:type="spellStart"/>
      <w:r w:rsidR="00296805" w:rsidRPr="00F75C47">
        <w:rPr>
          <w:rFonts w:asciiTheme="majorBidi" w:hAnsiTheme="majorBidi" w:cstheme="majorBidi"/>
          <w:sz w:val="20"/>
          <w:szCs w:val="20"/>
        </w:rPr>
        <w:t>ClientEarth</w:t>
      </w:r>
      <w:proofErr w:type="spellEnd"/>
      <w:r w:rsidRPr="00F75C47">
        <w:rPr>
          <w:rFonts w:asciiTheme="majorBidi" w:hAnsiTheme="majorBidi" w:cstheme="majorBidi"/>
          <w:sz w:val="20"/>
          <w:szCs w:val="20"/>
        </w:rPr>
        <w:t xml:space="preserve"> submit that it is immaterial that the CJEU did not find that there had been a violation of </w:t>
      </w:r>
      <w:r w:rsidR="009526ED" w:rsidRPr="00F75C47">
        <w:rPr>
          <w:rFonts w:asciiTheme="majorBidi" w:hAnsiTheme="majorBidi" w:cstheme="majorBidi"/>
          <w:sz w:val="20"/>
          <w:szCs w:val="20"/>
        </w:rPr>
        <w:t>EU law in the case before it</w:t>
      </w:r>
      <w:r w:rsidRPr="00F75C47">
        <w:rPr>
          <w:rFonts w:asciiTheme="majorBidi" w:hAnsiTheme="majorBidi" w:cstheme="majorBidi"/>
          <w:sz w:val="20"/>
          <w:szCs w:val="20"/>
        </w:rPr>
        <w:t>; for the purpose of the Convention the sole question is whether the Commission’s state aid decisions have the potential to contravene rules of national (</w:t>
      </w:r>
      <w:r w:rsidR="009526ED" w:rsidRPr="00F75C47">
        <w:rPr>
          <w:rFonts w:asciiTheme="majorBidi" w:hAnsiTheme="majorBidi" w:cstheme="majorBidi"/>
          <w:sz w:val="20"/>
          <w:szCs w:val="20"/>
        </w:rPr>
        <w:t>i.e.</w:t>
      </w:r>
      <w:r w:rsidRPr="00F75C47">
        <w:rPr>
          <w:rFonts w:asciiTheme="majorBidi" w:hAnsiTheme="majorBidi" w:cstheme="majorBidi"/>
          <w:sz w:val="20"/>
          <w:szCs w:val="20"/>
        </w:rPr>
        <w:t xml:space="preserve"> EU) law relat</w:t>
      </w:r>
      <w:r w:rsidR="009526ED" w:rsidRPr="00F75C47">
        <w:rPr>
          <w:rFonts w:asciiTheme="majorBidi" w:hAnsiTheme="majorBidi" w:cstheme="majorBidi"/>
          <w:sz w:val="20"/>
          <w:szCs w:val="20"/>
        </w:rPr>
        <w:t>ing</w:t>
      </w:r>
      <w:r w:rsidRPr="00F75C47">
        <w:rPr>
          <w:rFonts w:asciiTheme="majorBidi" w:hAnsiTheme="majorBidi" w:cstheme="majorBidi"/>
          <w:sz w:val="20"/>
          <w:szCs w:val="20"/>
        </w:rPr>
        <w:t xml:space="preserve"> to the environment.</w:t>
      </w:r>
      <w:r w:rsidR="0036205D" w:rsidRPr="00F75C47">
        <w:rPr>
          <w:rStyle w:val="FootnoteReference"/>
          <w:rFonts w:asciiTheme="majorBidi" w:hAnsiTheme="majorBidi" w:cstheme="majorBidi"/>
          <w:szCs w:val="20"/>
        </w:rPr>
        <w:footnoteReference w:id="65"/>
      </w:r>
    </w:p>
    <w:p w14:paraId="39ABFBD6" w14:textId="2EB45754" w:rsidR="00A04299" w:rsidRPr="00F75C47" w:rsidRDefault="002C3113" w:rsidP="003D5AC3">
      <w:pPr>
        <w:numPr>
          <w:ilvl w:val="0"/>
          <w:numId w:val="2"/>
        </w:numPr>
        <w:tabs>
          <w:tab w:val="left" w:pos="1701"/>
        </w:tabs>
        <w:suppressAutoHyphens/>
        <w:spacing w:after="120" w:line="240" w:lineRule="atLeast"/>
        <w:ind w:left="1134" w:right="521" w:firstLine="0"/>
        <w:jc w:val="both"/>
        <w:rPr>
          <w:rFonts w:asciiTheme="majorBidi" w:hAnsiTheme="majorBidi" w:cstheme="majorBidi"/>
          <w:sz w:val="20"/>
          <w:szCs w:val="20"/>
        </w:rPr>
      </w:pPr>
      <w:r w:rsidRPr="00F75C47">
        <w:rPr>
          <w:rFonts w:asciiTheme="majorBidi" w:hAnsiTheme="majorBidi" w:cstheme="majorBidi"/>
          <w:sz w:val="20"/>
          <w:szCs w:val="20"/>
        </w:rPr>
        <w:t xml:space="preserve">The Party concerned </w:t>
      </w:r>
      <w:r w:rsidR="00A04299" w:rsidRPr="00F75C47">
        <w:rPr>
          <w:rFonts w:asciiTheme="majorBidi" w:hAnsiTheme="majorBidi" w:cstheme="majorBidi"/>
          <w:sz w:val="20"/>
          <w:szCs w:val="20"/>
        </w:rPr>
        <w:t>submits</w:t>
      </w:r>
      <w:r w:rsidRPr="00F75C47">
        <w:rPr>
          <w:rFonts w:asciiTheme="majorBidi" w:hAnsiTheme="majorBidi" w:cstheme="majorBidi"/>
          <w:sz w:val="20"/>
          <w:szCs w:val="20"/>
        </w:rPr>
        <w:t xml:space="preserve"> that the</w:t>
      </w:r>
      <w:r w:rsidR="00000DCB" w:rsidRPr="00F75C47">
        <w:rPr>
          <w:rFonts w:asciiTheme="majorBidi" w:hAnsiTheme="majorBidi" w:cstheme="majorBidi"/>
          <w:sz w:val="20"/>
          <w:szCs w:val="20"/>
        </w:rPr>
        <w:t xml:space="preserve"> CJEU’s</w:t>
      </w:r>
      <w:r w:rsidRPr="00F75C47">
        <w:rPr>
          <w:rFonts w:asciiTheme="majorBidi" w:hAnsiTheme="majorBidi" w:cstheme="majorBidi"/>
          <w:sz w:val="20"/>
          <w:szCs w:val="20"/>
        </w:rPr>
        <w:t xml:space="preserve"> judgment </w:t>
      </w:r>
      <w:r w:rsidR="00000DCB" w:rsidRPr="00F75C47">
        <w:rPr>
          <w:rFonts w:asciiTheme="majorBidi" w:hAnsiTheme="majorBidi" w:cstheme="majorBidi"/>
          <w:sz w:val="20"/>
          <w:szCs w:val="20"/>
        </w:rPr>
        <w:t xml:space="preserve">in </w:t>
      </w:r>
      <w:r w:rsidR="00000DCB" w:rsidRPr="00F75C47">
        <w:rPr>
          <w:rFonts w:asciiTheme="majorBidi" w:hAnsiTheme="majorBidi" w:cstheme="majorBidi"/>
          <w:i/>
          <w:iCs/>
          <w:sz w:val="20"/>
          <w:szCs w:val="20"/>
        </w:rPr>
        <w:t xml:space="preserve">Austria v Commission </w:t>
      </w:r>
      <w:r w:rsidRPr="00F75C47">
        <w:rPr>
          <w:rFonts w:asciiTheme="majorBidi" w:hAnsiTheme="majorBidi" w:cstheme="majorBidi"/>
          <w:sz w:val="20"/>
          <w:szCs w:val="20"/>
        </w:rPr>
        <w:t xml:space="preserve">is more nuanced than claimed by the communicant. </w:t>
      </w:r>
      <w:r w:rsidR="00355A51" w:rsidRPr="00F75C47">
        <w:rPr>
          <w:rFonts w:asciiTheme="majorBidi" w:hAnsiTheme="majorBidi" w:cstheme="majorBidi"/>
          <w:sz w:val="20"/>
          <w:szCs w:val="20"/>
        </w:rPr>
        <w:t xml:space="preserve">It </w:t>
      </w:r>
      <w:r w:rsidR="00A04299" w:rsidRPr="00F75C47">
        <w:rPr>
          <w:rFonts w:asciiTheme="majorBidi" w:hAnsiTheme="majorBidi" w:cstheme="majorBidi"/>
          <w:sz w:val="20"/>
          <w:szCs w:val="20"/>
        </w:rPr>
        <w:t xml:space="preserve">asserts </w:t>
      </w:r>
      <w:r w:rsidR="00355A51" w:rsidRPr="00F75C47">
        <w:rPr>
          <w:rFonts w:asciiTheme="majorBidi" w:hAnsiTheme="majorBidi" w:cstheme="majorBidi"/>
          <w:sz w:val="20"/>
          <w:szCs w:val="20"/>
        </w:rPr>
        <w:t>that</w:t>
      </w:r>
      <w:r w:rsidRPr="00F75C47">
        <w:rPr>
          <w:rFonts w:asciiTheme="majorBidi" w:hAnsiTheme="majorBidi" w:cstheme="majorBidi"/>
          <w:sz w:val="20"/>
          <w:szCs w:val="20"/>
        </w:rPr>
        <w:t xml:space="preserve"> the Court did not</w:t>
      </w:r>
      <w:r w:rsidR="00355A51" w:rsidRPr="00F75C47">
        <w:rPr>
          <w:rFonts w:asciiTheme="majorBidi" w:hAnsiTheme="majorBidi" w:cstheme="majorBidi"/>
          <w:sz w:val="20"/>
          <w:szCs w:val="20"/>
        </w:rPr>
        <w:t xml:space="preserve"> </w:t>
      </w:r>
      <w:r w:rsidRPr="00F75C47">
        <w:rPr>
          <w:rFonts w:asciiTheme="majorBidi" w:hAnsiTheme="majorBidi" w:cstheme="majorBidi"/>
          <w:sz w:val="20"/>
          <w:szCs w:val="20"/>
        </w:rPr>
        <w:t xml:space="preserve">state that </w:t>
      </w:r>
      <w:r w:rsidR="00000DCB" w:rsidRPr="00F75C47">
        <w:rPr>
          <w:rFonts w:asciiTheme="majorBidi" w:hAnsiTheme="majorBidi" w:cstheme="majorBidi"/>
          <w:sz w:val="20"/>
          <w:szCs w:val="20"/>
        </w:rPr>
        <w:t>s</w:t>
      </w:r>
      <w:r w:rsidRPr="00F75C47">
        <w:rPr>
          <w:rFonts w:asciiTheme="majorBidi" w:hAnsiTheme="majorBidi" w:cstheme="majorBidi"/>
          <w:sz w:val="20"/>
          <w:szCs w:val="20"/>
        </w:rPr>
        <w:t xml:space="preserve">tate aid decisions adopted by the Commission under </w:t>
      </w:r>
      <w:r w:rsidR="006F1523" w:rsidRPr="00F75C47">
        <w:rPr>
          <w:rFonts w:asciiTheme="majorBidi" w:hAnsiTheme="majorBidi" w:cstheme="majorBidi"/>
          <w:sz w:val="20"/>
          <w:szCs w:val="20"/>
        </w:rPr>
        <w:t>a</w:t>
      </w:r>
      <w:r w:rsidRPr="00F75C47">
        <w:rPr>
          <w:rFonts w:asciiTheme="majorBidi" w:hAnsiTheme="majorBidi" w:cstheme="majorBidi"/>
          <w:sz w:val="20"/>
          <w:szCs w:val="20"/>
        </w:rPr>
        <w:t xml:space="preserve">rticle 107(3)(c) TFEU can be in breach of EU environmental law. Instead, what the Court said </w:t>
      </w:r>
      <w:r w:rsidR="00355A51" w:rsidRPr="00F75C47">
        <w:rPr>
          <w:rFonts w:asciiTheme="majorBidi" w:hAnsiTheme="majorBidi" w:cstheme="majorBidi"/>
          <w:sz w:val="20"/>
          <w:szCs w:val="20"/>
        </w:rPr>
        <w:t>was</w:t>
      </w:r>
      <w:r w:rsidRPr="00F75C47">
        <w:rPr>
          <w:rFonts w:asciiTheme="majorBidi" w:hAnsiTheme="majorBidi" w:cstheme="majorBidi"/>
          <w:sz w:val="20"/>
          <w:szCs w:val="20"/>
        </w:rPr>
        <w:t xml:space="preserve"> that where the aided activity violates a rule of EU environmental law, the Commission may not authorize the </w:t>
      </w:r>
      <w:r w:rsidR="00000DCB" w:rsidRPr="00F75C47">
        <w:rPr>
          <w:rFonts w:asciiTheme="majorBidi" w:hAnsiTheme="majorBidi" w:cstheme="majorBidi"/>
          <w:sz w:val="20"/>
          <w:szCs w:val="20"/>
        </w:rPr>
        <w:t>s</w:t>
      </w:r>
      <w:r w:rsidRPr="00F75C47">
        <w:rPr>
          <w:rFonts w:asciiTheme="majorBidi" w:hAnsiTheme="majorBidi" w:cstheme="majorBidi"/>
          <w:sz w:val="20"/>
          <w:szCs w:val="20"/>
        </w:rPr>
        <w:t xml:space="preserve">tate aid in question. This verification of compliance of the aided activity with EU environmental law is not part of the discretionary assessment of the Commission pursuant to </w:t>
      </w:r>
      <w:r w:rsidR="006F1523" w:rsidRPr="00F75C47">
        <w:rPr>
          <w:rFonts w:asciiTheme="majorBidi" w:hAnsiTheme="majorBidi" w:cstheme="majorBidi"/>
          <w:sz w:val="20"/>
          <w:szCs w:val="20"/>
        </w:rPr>
        <w:t>a</w:t>
      </w:r>
      <w:r w:rsidRPr="00F75C47">
        <w:rPr>
          <w:rFonts w:asciiTheme="majorBidi" w:hAnsiTheme="majorBidi" w:cstheme="majorBidi"/>
          <w:sz w:val="20"/>
          <w:szCs w:val="20"/>
        </w:rPr>
        <w:t>rticle 107(3)(c) TFEU. Rather, it is a distinct and preliminary question. The Commission only gets to exercise its discretion if the aided activity complies with EU environmental law. A violation of EU environmental law leads to the automatic prohibition of the ai</w:t>
      </w:r>
      <w:r w:rsidR="006F1523" w:rsidRPr="00F75C47">
        <w:rPr>
          <w:rFonts w:asciiTheme="majorBidi" w:hAnsiTheme="majorBidi" w:cstheme="majorBidi"/>
          <w:sz w:val="20"/>
          <w:szCs w:val="20"/>
        </w:rPr>
        <w:t>d.</w:t>
      </w:r>
      <w:r w:rsidRPr="00F75C47">
        <w:rPr>
          <w:rFonts w:asciiTheme="majorBidi" w:hAnsiTheme="majorBidi" w:cstheme="majorBidi"/>
          <w:sz w:val="20"/>
          <w:szCs w:val="20"/>
          <w:vertAlign w:val="superscript"/>
        </w:rPr>
        <w:footnoteReference w:id="66"/>
      </w:r>
      <w:bookmarkEnd w:id="21"/>
    </w:p>
    <w:p w14:paraId="2612EE54" w14:textId="6191064E" w:rsidR="00A04299" w:rsidRPr="00F75C47" w:rsidRDefault="00A04299" w:rsidP="007D18DC">
      <w:pPr>
        <w:numPr>
          <w:ilvl w:val="0"/>
          <w:numId w:val="2"/>
        </w:numPr>
        <w:tabs>
          <w:tab w:val="left" w:pos="1701"/>
        </w:tabs>
        <w:suppressAutoHyphens/>
        <w:spacing w:after="120" w:line="240" w:lineRule="atLeast"/>
        <w:ind w:left="1134" w:right="521" w:firstLine="0"/>
        <w:jc w:val="both"/>
        <w:rPr>
          <w:rFonts w:asciiTheme="majorBidi" w:hAnsiTheme="majorBidi" w:cstheme="majorBidi"/>
          <w:sz w:val="20"/>
          <w:szCs w:val="20"/>
        </w:rPr>
      </w:pPr>
      <w:r w:rsidRPr="00F75C47">
        <w:rPr>
          <w:rFonts w:asciiTheme="majorBidi" w:hAnsiTheme="majorBidi" w:cstheme="majorBidi"/>
          <w:sz w:val="20"/>
          <w:szCs w:val="20"/>
        </w:rPr>
        <w:t xml:space="preserve">The Party concerned states that the Court furthermore made it clear that when exercising its discretion under article 107(3)(c) TFEU, there is no obligation on the Commission to take general principles (as opposed to binding rules) of EU environmental policy into account in its assessment. It submits that the distinction between compliance with binding rules of EU environmental law on the one hand and general principles of EU environmental policy on the other hand reflects the division of competences between the EU and its </w:t>
      </w:r>
      <w:r w:rsidR="007D18DC" w:rsidRPr="00F75C47">
        <w:rPr>
          <w:rFonts w:asciiTheme="majorBidi" w:hAnsiTheme="majorBidi" w:cstheme="majorBidi"/>
          <w:sz w:val="20"/>
          <w:szCs w:val="20"/>
        </w:rPr>
        <w:t>m</w:t>
      </w:r>
      <w:r w:rsidRPr="00F75C47">
        <w:rPr>
          <w:rFonts w:asciiTheme="majorBidi" w:hAnsiTheme="majorBidi" w:cstheme="majorBidi"/>
          <w:sz w:val="20"/>
          <w:szCs w:val="20"/>
        </w:rPr>
        <w:t xml:space="preserve">ember States in the design of State aid schemes. The decision which economic activities receive State aid is taken at national level and reflects a choice of national policy. The grant of </w:t>
      </w:r>
      <w:r w:rsidR="00000DCB" w:rsidRPr="00F75C47">
        <w:rPr>
          <w:rFonts w:asciiTheme="majorBidi" w:hAnsiTheme="majorBidi" w:cstheme="majorBidi"/>
          <w:sz w:val="20"/>
          <w:szCs w:val="20"/>
        </w:rPr>
        <w:t>s</w:t>
      </w:r>
      <w:r w:rsidRPr="00F75C47">
        <w:rPr>
          <w:rFonts w:asciiTheme="majorBidi" w:hAnsiTheme="majorBidi" w:cstheme="majorBidi"/>
          <w:sz w:val="20"/>
          <w:szCs w:val="20"/>
        </w:rPr>
        <w:t xml:space="preserve">tate aid implements therefore a national policy choice of a </w:t>
      </w:r>
      <w:r w:rsidR="007D18DC" w:rsidRPr="00F75C47">
        <w:rPr>
          <w:rFonts w:asciiTheme="majorBidi" w:hAnsiTheme="majorBidi" w:cstheme="majorBidi"/>
          <w:sz w:val="20"/>
          <w:szCs w:val="20"/>
        </w:rPr>
        <w:t>m</w:t>
      </w:r>
      <w:r w:rsidRPr="00F75C47">
        <w:rPr>
          <w:rFonts w:asciiTheme="majorBidi" w:hAnsiTheme="majorBidi" w:cstheme="majorBidi"/>
          <w:sz w:val="20"/>
          <w:szCs w:val="20"/>
        </w:rPr>
        <w:t xml:space="preserve">ember State. Hence, it is only at national level that policy considerations, such as the protection of the environment, become relevant, when the aids are </w:t>
      </w:r>
      <w:proofErr w:type="gramStart"/>
      <w:r w:rsidRPr="00F75C47">
        <w:rPr>
          <w:rFonts w:asciiTheme="majorBidi" w:hAnsiTheme="majorBidi" w:cstheme="majorBidi"/>
          <w:sz w:val="20"/>
          <w:szCs w:val="20"/>
        </w:rPr>
        <w:t>actually granted</w:t>
      </w:r>
      <w:proofErr w:type="gramEnd"/>
      <w:r w:rsidRPr="00F75C47">
        <w:rPr>
          <w:rFonts w:asciiTheme="majorBidi" w:hAnsiTheme="majorBidi" w:cstheme="majorBidi"/>
          <w:sz w:val="20"/>
          <w:szCs w:val="20"/>
        </w:rPr>
        <w:t xml:space="preserve">. The purpose of </w:t>
      </w:r>
      <w:r w:rsidR="00000DCB" w:rsidRPr="00F75C47">
        <w:rPr>
          <w:rFonts w:asciiTheme="majorBidi" w:hAnsiTheme="majorBidi" w:cstheme="majorBidi"/>
          <w:sz w:val="20"/>
          <w:szCs w:val="20"/>
        </w:rPr>
        <w:t>s</w:t>
      </w:r>
      <w:r w:rsidRPr="00F75C47">
        <w:rPr>
          <w:rFonts w:asciiTheme="majorBidi" w:hAnsiTheme="majorBidi" w:cstheme="majorBidi"/>
          <w:sz w:val="20"/>
          <w:szCs w:val="20"/>
        </w:rPr>
        <w:t xml:space="preserve">tate aid control is limited to protecting the internal market against distortions of competition that may arise from national decisions to grant </w:t>
      </w:r>
      <w:r w:rsidR="00000DCB" w:rsidRPr="00F75C47">
        <w:rPr>
          <w:rFonts w:asciiTheme="majorBidi" w:hAnsiTheme="majorBidi" w:cstheme="majorBidi"/>
          <w:sz w:val="20"/>
          <w:szCs w:val="20"/>
        </w:rPr>
        <w:t>s</w:t>
      </w:r>
      <w:r w:rsidRPr="00F75C47">
        <w:rPr>
          <w:rFonts w:asciiTheme="majorBidi" w:hAnsiTheme="majorBidi" w:cstheme="majorBidi"/>
          <w:sz w:val="20"/>
          <w:szCs w:val="20"/>
        </w:rPr>
        <w:t xml:space="preserve">tate aid for implementing national policy choices. As a result of that division of competences, environmental NGOs that consider that an aided activity is in violation of the Convention can always challenge the national act granting </w:t>
      </w:r>
      <w:r w:rsidR="00000DCB" w:rsidRPr="00F75C47">
        <w:rPr>
          <w:rFonts w:asciiTheme="majorBidi" w:hAnsiTheme="majorBidi" w:cstheme="majorBidi"/>
          <w:sz w:val="20"/>
          <w:szCs w:val="20"/>
        </w:rPr>
        <w:t>s</w:t>
      </w:r>
      <w:r w:rsidRPr="00F75C47">
        <w:rPr>
          <w:rFonts w:asciiTheme="majorBidi" w:hAnsiTheme="majorBidi" w:cstheme="majorBidi"/>
          <w:sz w:val="20"/>
          <w:szCs w:val="20"/>
        </w:rPr>
        <w:t>tate aid, which is the relevant policy decision.</w:t>
      </w:r>
      <w:r w:rsidRPr="00F75C47">
        <w:rPr>
          <w:rFonts w:asciiTheme="majorBidi" w:hAnsiTheme="majorBidi" w:cstheme="majorBidi"/>
          <w:sz w:val="20"/>
          <w:szCs w:val="20"/>
          <w:vertAlign w:val="superscript"/>
        </w:rPr>
        <w:footnoteReference w:id="67"/>
      </w:r>
    </w:p>
    <w:p w14:paraId="44591732" w14:textId="08478758" w:rsidR="009E08A6" w:rsidRPr="00F75C47" w:rsidRDefault="009E08A6" w:rsidP="009E08A6">
      <w:pPr>
        <w:numPr>
          <w:ilvl w:val="0"/>
          <w:numId w:val="2"/>
        </w:numPr>
        <w:tabs>
          <w:tab w:val="left" w:pos="1701"/>
        </w:tabs>
        <w:suppressAutoHyphens/>
        <w:spacing w:after="120" w:line="240" w:lineRule="atLeast"/>
        <w:ind w:left="1134" w:right="521" w:firstLine="0"/>
        <w:jc w:val="both"/>
        <w:rPr>
          <w:rFonts w:asciiTheme="majorBidi" w:hAnsiTheme="majorBidi" w:cstheme="majorBidi"/>
          <w:sz w:val="20"/>
        </w:rPr>
      </w:pPr>
      <w:r w:rsidRPr="00F75C47">
        <w:rPr>
          <w:rFonts w:asciiTheme="majorBidi" w:hAnsiTheme="majorBidi"/>
          <w:sz w:val="20"/>
        </w:rPr>
        <w:t xml:space="preserve">Finally, the Party concerned submits that the Convention does not require access to justice against measures that have “the potential to contravene” but against measures “which contravene” environmental law. </w:t>
      </w:r>
      <w:r w:rsidRPr="00F75C47">
        <w:rPr>
          <w:rFonts w:asciiTheme="majorBidi" w:hAnsiTheme="majorBidi" w:cstheme="majorBidi"/>
          <w:sz w:val="20"/>
        </w:rPr>
        <w:t xml:space="preserve">It claims that the </w:t>
      </w:r>
      <w:r w:rsidRPr="00F75C47">
        <w:rPr>
          <w:rFonts w:asciiTheme="majorBidi" w:hAnsiTheme="majorBidi"/>
          <w:sz w:val="20"/>
        </w:rPr>
        <w:t xml:space="preserve">communicants </w:t>
      </w:r>
      <w:r w:rsidRPr="00F75C47">
        <w:rPr>
          <w:rFonts w:asciiTheme="majorBidi" w:hAnsiTheme="majorBidi" w:cstheme="majorBidi"/>
          <w:sz w:val="20"/>
        </w:rPr>
        <w:t xml:space="preserve">wrongly assume that </w:t>
      </w:r>
      <w:r w:rsidRPr="00F75C47">
        <w:rPr>
          <w:rFonts w:asciiTheme="majorBidi" w:hAnsiTheme="majorBidi"/>
          <w:sz w:val="20"/>
        </w:rPr>
        <w:t xml:space="preserve">state aid decisions </w:t>
      </w:r>
      <w:r w:rsidRPr="00F75C47">
        <w:rPr>
          <w:rFonts w:asciiTheme="majorBidi" w:hAnsiTheme="majorBidi" w:cstheme="majorBidi"/>
          <w:sz w:val="20"/>
        </w:rPr>
        <w:t xml:space="preserve">have direct effect </w:t>
      </w:r>
      <w:r w:rsidR="009E002A" w:rsidRPr="00F75C47">
        <w:rPr>
          <w:rFonts w:asciiTheme="majorBidi" w:hAnsiTheme="majorBidi" w:cstheme="majorBidi"/>
          <w:sz w:val="20"/>
        </w:rPr>
        <w:t xml:space="preserve">even though </w:t>
      </w:r>
      <w:r w:rsidRPr="00F75C47">
        <w:rPr>
          <w:rFonts w:asciiTheme="majorBidi" w:hAnsiTheme="majorBidi" w:cstheme="majorBidi"/>
          <w:sz w:val="20"/>
        </w:rPr>
        <w:t xml:space="preserve">they </w:t>
      </w:r>
      <w:proofErr w:type="gramStart"/>
      <w:r w:rsidRPr="00F75C47">
        <w:rPr>
          <w:rFonts w:asciiTheme="majorBidi" w:hAnsiTheme="majorBidi" w:cstheme="majorBidi"/>
          <w:sz w:val="20"/>
        </w:rPr>
        <w:t>have to</w:t>
      </w:r>
      <w:proofErr w:type="gramEnd"/>
      <w:r w:rsidRPr="00F75C47">
        <w:rPr>
          <w:rFonts w:asciiTheme="majorBidi" w:hAnsiTheme="majorBidi" w:cstheme="majorBidi"/>
          <w:sz w:val="20"/>
        </w:rPr>
        <w:t xml:space="preserve"> be further implemented by the </w:t>
      </w:r>
      <w:r w:rsidRPr="00F75C47">
        <w:rPr>
          <w:rFonts w:asciiTheme="majorBidi" w:hAnsiTheme="majorBidi"/>
          <w:sz w:val="20"/>
        </w:rPr>
        <w:t>member States</w:t>
      </w:r>
      <w:r w:rsidRPr="00F75C47">
        <w:rPr>
          <w:rFonts w:asciiTheme="majorBidi" w:hAnsiTheme="majorBidi" w:cstheme="majorBidi"/>
          <w:sz w:val="20"/>
        </w:rPr>
        <w:t>. It submits that the concrete effect of the Commission’s state aid decision as regards compliance with environmental law will always be contingent upon a further measure</w:t>
      </w:r>
      <w:r w:rsidR="009E002A" w:rsidRPr="00F75C47">
        <w:rPr>
          <w:rFonts w:asciiTheme="majorBidi" w:hAnsiTheme="majorBidi" w:cstheme="majorBidi"/>
          <w:sz w:val="20"/>
        </w:rPr>
        <w:t xml:space="preserve"> </w:t>
      </w:r>
      <w:r w:rsidR="003272B2" w:rsidRPr="00F75C47">
        <w:rPr>
          <w:rFonts w:asciiTheme="majorBidi" w:hAnsiTheme="majorBidi" w:cstheme="majorBidi"/>
          <w:sz w:val="20"/>
        </w:rPr>
        <w:t xml:space="preserve">being </w:t>
      </w:r>
      <w:r w:rsidR="009E002A" w:rsidRPr="00F75C47">
        <w:rPr>
          <w:rFonts w:asciiTheme="majorBidi" w:hAnsiTheme="majorBidi" w:cstheme="majorBidi"/>
          <w:sz w:val="20"/>
        </w:rPr>
        <w:t>taken at national level</w:t>
      </w:r>
      <w:r w:rsidRPr="00F75C47">
        <w:rPr>
          <w:rFonts w:asciiTheme="majorBidi" w:hAnsiTheme="majorBidi" w:cstheme="majorBidi"/>
          <w:sz w:val="20"/>
        </w:rPr>
        <w:t>.</w:t>
      </w:r>
      <w:r w:rsidRPr="00F75C47">
        <w:rPr>
          <w:rStyle w:val="FootnoteReference"/>
          <w:rFonts w:asciiTheme="majorBidi" w:hAnsiTheme="majorBidi"/>
        </w:rPr>
        <w:footnoteReference w:id="68"/>
      </w:r>
    </w:p>
    <w:bookmarkEnd w:id="22"/>
    <w:p w14:paraId="057C1D32" w14:textId="77777777" w:rsidR="00F16D4E" w:rsidRPr="00F75C47" w:rsidRDefault="00F16D4E" w:rsidP="007D18DC">
      <w:pPr>
        <w:tabs>
          <w:tab w:val="left" w:pos="1701"/>
        </w:tabs>
        <w:suppressAutoHyphens/>
        <w:spacing w:after="120" w:line="240" w:lineRule="atLeast"/>
        <w:ind w:left="1134" w:right="521"/>
        <w:jc w:val="both"/>
        <w:rPr>
          <w:rFonts w:asciiTheme="majorBidi" w:hAnsiTheme="majorBidi"/>
          <w:b/>
          <w:sz w:val="20"/>
        </w:rPr>
      </w:pPr>
    </w:p>
    <w:p w14:paraId="4DCF07EB" w14:textId="3B1FF8C9" w:rsidR="004F18D0" w:rsidRPr="00F75C47" w:rsidRDefault="00FA05BD" w:rsidP="007D18DC">
      <w:pPr>
        <w:tabs>
          <w:tab w:val="left" w:pos="1701"/>
        </w:tabs>
        <w:suppressAutoHyphens/>
        <w:spacing w:after="120" w:line="240" w:lineRule="atLeast"/>
        <w:ind w:left="1134" w:right="521"/>
        <w:jc w:val="both"/>
        <w:rPr>
          <w:rFonts w:asciiTheme="majorBidi" w:hAnsiTheme="majorBidi"/>
          <w:b/>
          <w:sz w:val="20"/>
        </w:rPr>
      </w:pPr>
      <w:r w:rsidRPr="00F75C47">
        <w:rPr>
          <w:rFonts w:asciiTheme="majorBidi" w:hAnsiTheme="majorBidi"/>
          <w:b/>
          <w:sz w:val="20"/>
        </w:rPr>
        <w:t>“</w:t>
      </w:r>
      <w:r w:rsidR="004F18D0" w:rsidRPr="00F75C47">
        <w:rPr>
          <w:rFonts w:asciiTheme="majorBidi" w:hAnsiTheme="majorBidi"/>
          <w:b/>
          <w:sz w:val="20"/>
        </w:rPr>
        <w:t xml:space="preserve">Access to administrative or judicial </w:t>
      </w:r>
      <w:r w:rsidR="00D505EC" w:rsidRPr="00F75C47">
        <w:rPr>
          <w:rFonts w:asciiTheme="majorBidi" w:hAnsiTheme="majorBidi" w:cstheme="majorBidi"/>
          <w:b/>
          <w:bCs/>
          <w:sz w:val="20"/>
          <w:szCs w:val="20"/>
        </w:rPr>
        <w:t>procedures</w:t>
      </w:r>
      <w:r w:rsidRPr="00F75C47">
        <w:rPr>
          <w:rFonts w:asciiTheme="majorBidi" w:hAnsiTheme="majorBidi"/>
          <w:b/>
          <w:sz w:val="20"/>
        </w:rPr>
        <w:t>” – article 9(3)</w:t>
      </w:r>
    </w:p>
    <w:p w14:paraId="1A6FADAC" w14:textId="2676FFE9" w:rsidR="004F18D0" w:rsidRPr="00F75C47" w:rsidRDefault="004F18D0" w:rsidP="000F2392">
      <w:pPr>
        <w:numPr>
          <w:ilvl w:val="0"/>
          <w:numId w:val="2"/>
        </w:numPr>
        <w:tabs>
          <w:tab w:val="left" w:pos="1701"/>
        </w:tabs>
        <w:suppressAutoHyphens/>
        <w:spacing w:after="120" w:line="240" w:lineRule="atLeast"/>
        <w:ind w:left="1134" w:right="521" w:firstLine="0"/>
        <w:jc w:val="both"/>
        <w:rPr>
          <w:rFonts w:asciiTheme="majorBidi" w:hAnsiTheme="majorBidi"/>
          <w:sz w:val="20"/>
        </w:rPr>
      </w:pPr>
      <w:bookmarkStart w:id="23" w:name="_Ref61553905"/>
      <w:r w:rsidRPr="00F75C47">
        <w:rPr>
          <w:rFonts w:asciiTheme="majorBidi" w:hAnsiTheme="majorBidi"/>
          <w:sz w:val="20"/>
        </w:rPr>
        <w:t xml:space="preserve">The communicants </w:t>
      </w:r>
      <w:r w:rsidR="007D18DC" w:rsidRPr="00F75C47">
        <w:rPr>
          <w:rFonts w:asciiTheme="majorBidi" w:hAnsiTheme="majorBidi" w:cstheme="majorBidi"/>
          <w:sz w:val="20"/>
          <w:szCs w:val="20"/>
        </w:rPr>
        <w:t>claim</w:t>
      </w:r>
      <w:r w:rsidR="007D18DC" w:rsidRPr="00F75C47">
        <w:rPr>
          <w:rFonts w:asciiTheme="majorBidi" w:hAnsiTheme="majorBidi"/>
          <w:sz w:val="20"/>
        </w:rPr>
        <w:t xml:space="preserve"> </w:t>
      </w:r>
      <w:r w:rsidRPr="00F75C47">
        <w:rPr>
          <w:rFonts w:asciiTheme="majorBidi" w:hAnsiTheme="majorBidi"/>
          <w:sz w:val="20"/>
        </w:rPr>
        <w:t xml:space="preserve">that the public is blocked from access to administrative and judicial procedures to challenge the </w:t>
      </w:r>
      <w:r w:rsidR="00A15F64" w:rsidRPr="00F75C47">
        <w:rPr>
          <w:rFonts w:asciiTheme="majorBidi" w:hAnsiTheme="majorBidi"/>
          <w:sz w:val="20"/>
        </w:rPr>
        <w:t xml:space="preserve">2014 </w:t>
      </w:r>
      <w:r w:rsidRPr="00F75C47">
        <w:rPr>
          <w:rFonts w:asciiTheme="majorBidi" w:hAnsiTheme="majorBidi"/>
          <w:sz w:val="20"/>
        </w:rPr>
        <w:t xml:space="preserve">Decision </w:t>
      </w:r>
      <w:proofErr w:type="gramStart"/>
      <w:r w:rsidRPr="00F75C47">
        <w:rPr>
          <w:rFonts w:asciiTheme="majorBidi" w:hAnsiTheme="majorBidi"/>
          <w:sz w:val="20"/>
        </w:rPr>
        <w:t>on the basis of</w:t>
      </w:r>
      <w:proofErr w:type="gramEnd"/>
      <w:r w:rsidRPr="00F75C47">
        <w:rPr>
          <w:rFonts w:asciiTheme="majorBidi" w:hAnsiTheme="majorBidi"/>
          <w:sz w:val="20"/>
        </w:rPr>
        <w:t xml:space="preserve"> </w:t>
      </w:r>
      <w:r w:rsidR="008C3432" w:rsidRPr="00F75C47">
        <w:rPr>
          <w:rFonts w:asciiTheme="majorBidi" w:hAnsiTheme="majorBidi"/>
          <w:sz w:val="20"/>
        </w:rPr>
        <w:t>the Aarhus Regulation</w:t>
      </w:r>
      <w:r w:rsidRPr="00F75C47">
        <w:rPr>
          <w:rFonts w:asciiTheme="majorBidi" w:hAnsiTheme="majorBidi"/>
          <w:sz w:val="20"/>
        </w:rPr>
        <w:t xml:space="preserve"> and relevant </w:t>
      </w:r>
      <w:r w:rsidRPr="00F75C47">
        <w:rPr>
          <w:rFonts w:asciiTheme="majorBidi" w:hAnsiTheme="majorBidi" w:cstheme="majorBidi"/>
          <w:sz w:val="20"/>
        </w:rPr>
        <w:t>decisions</w:t>
      </w:r>
      <w:r w:rsidR="003272B2" w:rsidRPr="00F75C47">
        <w:rPr>
          <w:rFonts w:asciiTheme="majorBidi" w:hAnsiTheme="majorBidi" w:cstheme="majorBidi"/>
          <w:sz w:val="20"/>
        </w:rPr>
        <w:t xml:space="preserve"> of the CJEU</w:t>
      </w:r>
      <w:r w:rsidRPr="00F75C47">
        <w:rPr>
          <w:rFonts w:asciiTheme="majorBidi" w:hAnsiTheme="majorBidi" w:cstheme="majorBidi"/>
          <w:sz w:val="20"/>
        </w:rPr>
        <w:t>.</w:t>
      </w:r>
      <w:r w:rsidRPr="00F75C47">
        <w:rPr>
          <w:rStyle w:val="FootnoteReference"/>
          <w:rFonts w:asciiTheme="majorBidi" w:hAnsiTheme="majorBidi" w:cstheme="majorBidi"/>
          <w:sz w:val="20"/>
        </w:rPr>
        <w:footnoteReference w:id="69"/>
      </w:r>
      <w:bookmarkEnd w:id="23"/>
      <w:r w:rsidR="00610516" w:rsidRPr="00F75C47">
        <w:rPr>
          <w:rFonts w:asciiTheme="majorBidi" w:hAnsiTheme="majorBidi" w:cstheme="majorBidi"/>
          <w:sz w:val="20"/>
        </w:rPr>
        <w:t xml:space="preserve"> </w:t>
      </w:r>
    </w:p>
    <w:p w14:paraId="41346270" w14:textId="57F859A4" w:rsidR="00E63E33" w:rsidRPr="00F75C47" w:rsidRDefault="00E63E33" w:rsidP="000F2392">
      <w:pPr>
        <w:numPr>
          <w:ilvl w:val="0"/>
          <w:numId w:val="2"/>
        </w:numPr>
        <w:tabs>
          <w:tab w:val="left" w:pos="1701"/>
        </w:tabs>
        <w:suppressAutoHyphens/>
        <w:spacing w:after="120" w:line="240" w:lineRule="atLeast"/>
        <w:ind w:left="1134" w:right="521" w:firstLine="0"/>
        <w:jc w:val="both"/>
        <w:rPr>
          <w:rFonts w:asciiTheme="majorBidi" w:hAnsiTheme="majorBidi"/>
          <w:sz w:val="20"/>
        </w:rPr>
      </w:pPr>
      <w:r w:rsidRPr="00F75C47">
        <w:rPr>
          <w:rFonts w:asciiTheme="majorBidi" w:hAnsiTheme="majorBidi" w:cstheme="majorBidi"/>
          <w:sz w:val="20"/>
          <w:szCs w:val="20"/>
        </w:rPr>
        <w:t xml:space="preserve">The Party concerned reiterates </w:t>
      </w:r>
      <w:r w:rsidR="00F437C8" w:rsidRPr="00F75C47">
        <w:rPr>
          <w:rFonts w:asciiTheme="majorBidi" w:hAnsiTheme="majorBidi" w:cstheme="majorBidi"/>
          <w:sz w:val="20"/>
          <w:szCs w:val="20"/>
        </w:rPr>
        <w:t>its claim</w:t>
      </w:r>
      <w:r w:rsidR="00F437C8" w:rsidRPr="00F75C47">
        <w:rPr>
          <w:rFonts w:asciiTheme="majorBidi" w:hAnsiTheme="majorBidi"/>
          <w:sz w:val="20"/>
        </w:rPr>
        <w:t xml:space="preserve"> </w:t>
      </w:r>
      <w:r w:rsidRPr="00F75C47">
        <w:rPr>
          <w:rFonts w:asciiTheme="majorBidi" w:hAnsiTheme="majorBidi"/>
          <w:sz w:val="20"/>
        </w:rPr>
        <w:t xml:space="preserve">that it has no obligation under the Convention to provide for review of decisions taken by bodies acting in a </w:t>
      </w:r>
      <w:r w:rsidR="000F2392" w:rsidRPr="00F75C47">
        <w:rPr>
          <w:rFonts w:asciiTheme="majorBidi" w:hAnsiTheme="majorBidi" w:cstheme="majorBidi"/>
          <w:sz w:val="20"/>
          <w:szCs w:val="20"/>
        </w:rPr>
        <w:t>“</w:t>
      </w:r>
      <w:r w:rsidRPr="00F75C47">
        <w:rPr>
          <w:rFonts w:asciiTheme="majorBidi" w:hAnsiTheme="majorBidi"/>
          <w:sz w:val="20"/>
        </w:rPr>
        <w:t>judicial</w:t>
      </w:r>
      <w:r w:rsidR="000F2392" w:rsidRPr="00F75C47">
        <w:rPr>
          <w:rFonts w:asciiTheme="majorBidi" w:hAnsiTheme="majorBidi" w:cstheme="majorBidi"/>
          <w:sz w:val="20"/>
          <w:szCs w:val="20"/>
        </w:rPr>
        <w:t>”</w:t>
      </w:r>
      <w:r w:rsidRPr="00F75C47">
        <w:rPr>
          <w:rFonts w:asciiTheme="majorBidi" w:hAnsiTheme="majorBidi"/>
          <w:sz w:val="20"/>
        </w:rPr>
        <w:t xml:space="preserve"> capacity such as state aid decisions</w:t>
      </w:r>
      <w:r w:rsidRPr="00F75C47">
        <w:rPr>
          <w:rFonts w:asciiTheme="majorBidi" w:hAnsiTheme="majorBidi" w:cstheme="majorBidi"/>
          <w:sz w:val="20"/>
          <w:szCs w:val="20"/>
        </w:rPr>
        <w:t>.</w:t>
      </w:r>
      <w:r w:rsidRPr="00F75C47">
        <w:rPr>
          <w:rStyle w:val="FootnoteReference"/>
          <w:rFonts w:asciiTheme="majorBidi" w:hAnsiTheme="majorBidi" w:cstheme="majorBidi"/>
          <w:sz w:val="20"/>
          <w:szCs w:val="20"/>
        </w:rPr>
        <w:footnoteReference w:id="70"/>
      </w:r>
      <w:r w:rsidR="00F437C8" w:rsidRPr="00F75C47">
        <w:rPr>
          <w:rFonts w:asciiTheme="majorBidi" w:hAnsiTheme="majorBidi" w:cstheme="majorBidi"/>
          <w:sz w:val="20"/>
          <w:szCs w:val="20"/>
        </w:rPr>
        <w:t xml:space="preserve"> It submits that, in any event, its system of access of justice </w:t>
      </w:r>
      <w:r w:rsidR="00BB2C3F" w:rsidRPr="00F75C47">
        <w:rPr>
          <w:rFonts w:asciiTheme="majorBidi" w:hAnsiTheme="majorBidi" w:cstheme="majorBidi"/>
          <w:sz w:val="20"/>
          <w:szCs w:val="20"/>
        </w:rPr>
        <w:t xml:space="preserve">regarding state aid decisions </w:t>
      </w:r>
      <w:r w:rsidR="00C53589" w:rsidRPr="00F75C47">
        <w:rPr>
          <w:rFonts w:asciiTheme="majorBidi" w:hAnsiTheme="majorBidi" w:cstheme="majorBidi"/>
          <w:sz w:val="20"/>
          <w:szCs w:val="20"/>
        </w:rPr>
        <w:t>fully complies with the</w:t>
      </w:r>
      <w:r w:rsidR="00F437C8" w:rsidRPr="00F75C47">
        <w:rPr>
          <w:rFonts w:asciiTheme="majorBidi" w:hAnsiTheme="majorBidi" w:cstheme="majorBidi"/>
          <w:sz w:val="20"/>
          <w:szCs w:val="20"/>
        </w:rPr>
        <w:t xml:space="preserve"> Convention</w:t>
      </w:r>
      <w:r w:rsidR="00F437C8" w:rsidRPr="00F75C47">
        <w:rPr>
          <w:rFonts w:asciiTheme="majorBidi" w:hAnsiTheme="majorBidi"/>
          <w:sz w:val="20"/>
        </w:rPr>
        <w:t>.</w:t>
      </w:r>
      <w:r w:rsidR="00F437C8" w:rsidRPr="00F75C47">
        <w:rPr>
          <w:rStyle w:val="FootnoteReference"/>
          <w:rFonts w:asciiTheme="majorBidi" w:hAnsiTheme="majorBidi"/>
          <w:sz w:val="20"/>
        </w:rPr>
        <w:footnoteReference w:id="71"/>
      </w:r>
    </w:p>
    <w:p w14:paraId="3894327C" w14:textId="4EAF35AA" w:rsidR="00734331" w:rsidRPr="00F75C47" w:rsidRDefault="007D18DC">
      <w:pPr>
        <w:tabs>
          <w:tab w:val="left" w:pos="1701"/>
        </w:tabs>
        <w:suppressAutoHyphens/>
        <w:spacing w:after="120" w:line="240" w:lineRule="atLeast"/>
        <w:ind w:left="1134" w:right="521"/>
        <w:jc w:val="both"/>
        <w:rPr>
          <w:rFonts w:asciiTheme="majorBidi" w:hAnsiTheme="majorBidi" w:cstheme="majorBidi"/>
          <w:sz w:val="20"/>
          <w:szCs w:val="20"/>
          <w:u w:val="single"/>
        </w:rPr>
      </w:pPr>
      <w:r w:rsidRPr="00F75C47">
        <w:rPr>
          <w:rFonts w:asciiTheme="majorBidi" w:hAnsiTheme="majorBidi" w:cstheme="majorBidi"/>
          <w:sz w:val="20"/>
          <w:szCs w:val="20"/>
          <w:u w:val="single"/>
        </w:rPr>
        <w:t>Internal review under t</w:t>
      </w:r>
      <w:r w:rsidR="00734331" w:rsidRPr="00F75C47">
        <w:rPr>
          <w:rFonts w:asciiTheme="majorBidi" w:hAnsiTheme="majorBidi" w:cstheme="majorBidi"/>
          <w:sz w:val="20"/>
          <w:szCs w:val="20"/>
          <w:u w:val="single"/>
        </w:rPr>
        <w:t>he Aarhus Regulation</w:t>
      </w:r>
    </w:p>
    <w:p w14:paraId="2C495458" w14:textId="41F79FFF" w:rsidR="000F1B7A" w:rsidRPr="00F75C47" w:rsidRDefault="008C3432" w:rsidP="000F2392">
      <w:pPr>
        <w:numPr>
          <w:ilvl w:val="0"/>
          <w:numId w:val="2"/>
        </w:numPr>
        <w:tabs>
          <w:tab w:val="left" w:pos="1701"/>
        </w:tabs>
        <w:suppressAutoHyphens/>
        <w:spacing w:after="120" w:line="240" w:lineRule="atLeast"/>
        <w:ind w:left="1134" w:right="521" w:firstLine="0"/>
        <w:jc w:val="both"/>
        <w:rPr>
          <w:rFonts w:asciiTheme="majorBidi" w:hAnsiTheme="majorBidi"/>
          <w:sz w:val="20"/>
        </w:rPr>
      </w:pPr>
      <w:bookmarkStart w:id="24" w:name="_Ref508043600"/>
      <w:r w:rsidRPr="00F75C47">
        <w:rPr>
          <w:rFonts w:asciiTheme="majorBidi" w:hAnsiTheme="majorBidi"/>
          <w:sz w:val="20"/>
        </w:rPr>
        <w:t>T</w:t>
      </w:r>
      <w:r w:rsidR="004F18D0" w:rsidRPr="00F75C47">
        <w:rPr>
          <w:rFonts w:asciiTheme="majorBidi" w:hAnsiTheme="majorBidi"/>
          <w:sz w:val="20"/>
        </w:rPr>
        <w:t xml:space="preserve">he communicants </w:t>
      </w:r>
      <w:r w:rsidR="00F437C8" w:rsidRPr="00F75C47">
        <w:rPr>
          <w:rFonts w:asciiTheme="majorBidi" w:hAnsiTheme="majorBidi" w:cstheme="majorBidi"/>
          <w:sz w:val="20"/>
          <w:szCs w:val="20"/>
        </w:rPr>
        <w:t>accept</w:t>
      </w:r>
      <w:r w:rsidR="00734331" w:rsidRPr="00F75C47">
        <w:rPr>
          <w:rFonts w:asciiTheme="majorBidi" w:hAnsiTheme="majorBidi"/>
          <w:sz w:val="20"/>
        </w:rPr>
        <w:t xml:space="preserve"> </w:t>
      </w:r>
      <w:r w:rsidR="004F18D0" w:rsidRPr="00F75C47">
        <w:rPr>
          <w:rFonts w:asciiTheme="majorBidi" w:hAnsiTheme="majorBidi"/>
          <w:sz w:val="20"/>
        </w:rPr>
        <w:t>that article 10</w:t>
      </w:r>
      <w:r w:rsidR="003E0564" w:rsidRPr="00F75C47">
        <w:rPr>
          <w:rFonts w:asciiTheme="majorBidi" w:hAnsiTheme="majorBidi"/>
          <w:sz w:val="20"/>
        </w:rPr>
        <w:t>(</w:t>
      </w:r>
      <w:r w:rsidR="004F18D0" w:rsidRPr="00F75C47">
        <w:rPr>
          <w:rFonts w:asciiTheme="majorBidi" w:hAnsiTheme="majorBidi"/>
          <w:sz w:val="20"/>
        </w:rPr>
        <w:t>1</w:t>
      </w:r>
      <w:r w:rsidR="003E0564" w:rsidRPr="00F75C47">
        <w:rPr>
          <w:rFonts w:asciiTheme="majorBidi" w:hAnsiTheme="majorBidi"/>
          <w:sz w:val="20"/>
        </w:rPr>
        <w:t>)</w:t>
      </w:r>
      <w:r w:rsidR="004F18D0" w:rsidRPr="00F75C47">
        <w:rPr>
          <w:rFonts w:asciiTheme="majorBidi" w:hAnsiTheme="majorBidi"/>
          <w:sz w:val="20"/>
        </w:rPr>
        <w:t xml:space="preserve"> of the Aarhus Regulation gives NGOs meeting certain criteria the possibility to request an internal review of administrative acts under environmental law</w:t>
      </w:r>
      <w:r w:rsidR="004F18D0" w:rsidRPr="00F75C47">
        <w:rPr>
          <w:rFonts w:asciiTheme="majorBidi" w:hAnsiTheme="majorBidi" w:cstheme="majorBidi"/>
          <w:sz w:val="20"/>
          <w:szCs w:val="20"/>
        </w:rPr>
        <w:t xml:space="preserve">. </w:t>
      </w:r>
      <w:r w:rsidR="00F437C8" w:rsidRPr="00F75C47">
        <w:rPr>
          <w:rFonts w:asciiTheme="majorBidi" w:hAnsiTheme="majorBidi" w:cstheme="majorBidi"/>
          <w:sz w:val="20"/>
          <w:szCs w:val="20"/>
        </w:rPr>
        <w:t xml:space="preserve">They claim however </w:t>
      </w:r>
      <w:r w:rsidR="00734331" w:rsidRPr="00F75C47">
        <w:rPr>
          <w:rFonts w:asciiTheme="majorBidi" w:hAnsiTheme="majorBidi" w:cstheme="majorBidi"/>
          <w:sz w:val="20"/>
          <w:szCs w:val="20"/>
        </w:rPr>
        <w:t xml:space="preserve">that </w:t>
      </w:r>
      <w:r w:rsidR="004F18D0" w:rsidRPr="00F75C47">
        <w:rPr>
          <w:rFonts w:asciiTheme="majorBidi" w:hAnsiTheme="majorBidi" w:cstheme="majorBidi"/>
          <w:sz w:val="20"/>
          <w:szCs w:val="20"/>
        </w:rPr>
        <w:t>article 2</w:t>
      </w:r>
      <w:r w:rsidR="003E0564" w:rsidRPr="00F75C47">
        <w:rPr>
          <w:rFonts w:asciiTheme="majorBidi" w:hAnsiTheme="majorBidi" w:cstheme="majorBidi"/>
          <w:sz w:val="20"/>
          <w:szCs w:val="20"/>
        </w:rPr>
        <w:t>(</w:t>
      </w:r>
      <w:r w:rsidR="004F18D0" w:rsidRPr="00F75C47">
        <w:rPr>
          <w:rFonts w:asciiTheme="majorBidi" w:hAnsiTheme="majorBidi" w:cstheme="majorBidi"/>
          <w:sz w:val="20"/>
          <w:szCs w:val="20"/>
        </w:rPr>
        <w:t>2</w:t>
      </w:r>
      <w:r w:rsidR="003E0564" w:rsidRPr="00F75C47">
        <w:rPr>
          <w:rFonts w:asciiTheme="majorBidi" w:hAnsiTheme="majorBidi" w:cstheme="majorBidi"/>
          <w:sz w:val="20"/>
          <w:szCs w:val="20"/>
        </w:rPr>
        <w:t>)</w:t>
      </w:r>
      <w:r w:rsidR="004F18D0" w:rsidRPr="00F75C47">
        <w:rPr>
          <w:rFonts w:asciiTheme="majorBidi" w:hAnsiTheme="majorBidi" w:cstheme="majorBidi"/>
          <w:sz w:val="20"/>
          <w:szCs w:val="20"/>
        </w:rPr>
        <w:t xml:space="preserve"> of the Aarhus Regulation expressly excludes state aid </w:t>
      </w:r>
      <w:r w:rsidR="007D18DC" w:rsidRPr="00F75C47">
        <w:rPr>
          <w:rFonts w:asciiTheme="majorBidi" w:hAnsiTheme="majorBidi" w:cstheme="majorBidi"/>
          <w:sz w:val="20"/>
          <w:szCs w:val="20"/>
        </w:rPr>
        <w:t xml:space="preserve">decisions </w:t>
      </w:r>
      <w:r w:rsidR="004F18D0" w:rsidRPr="00F75C47">
        <w:rPr>
          <w:rFonts w:asciiTheme="majorBidi" w:hAnsiTheme="majorBidi" w:cstheme="majorBidi"/>
          <w:sz w:val="20"/>
          <w:szCs w:val="20"/>
        </w:rPr>
        <w:t xml:space="preserve">from the </w:t>
      </w:r>
      <w:r w:rsidR="00514358" w:rsidRPr="00F75C47">
        <w:rPr>
          <w:rFonts w:asciiTheme="majorBidi" w:hAnsiTheme="majorBidi" w:cstheme="majorBidi"/>
          <w:sz w:val="20"/>
          <w:szCs w:val="20"/>
        </w:rPr>
        <w:t>scope of</w:t>
      </w:r>
      <w:r w:rsidR="004F18D0" w:rsidRPr="00F75C47">
        <w:rPr>
          <w:rFonts w:asciiTheme="majorBidi" w:hAnsiTheme="majorBidi" w:cstheme="majorBidi"/>
          <w:sz w:val="20"/>
          <w:szCs w:val="20"/>
        </w:rPr>
        <w:t xml:space="preserve"> acts that can be subject to </w:t>
      </w:r>
      <w:r w:rsidR="00437241" w:rsidRPr="00F75C47">
        <w:rPr>
          <w:rFonts w:asciiTheme="majorBidi" w:hAnsiTheme="majorBidi" w:cstheme="majorBidi"/>
          <w:sz w:val="20"/>
          <w:szCs w:val="20"/>
        </w:rPr>
        <w:t>review</w:t>
      </w:r>
      <w:r w:rsidR="004F18D0" w:rsidRPr="00F75C47">
        <w:rPr>
          <w:rFonts w:asciiTheme="majorBidi" w:hAnsiTheme="majorBidi" w:cstheme="majorBidi"/>
          <w:sz w:val="20"/>
          <w:szCs w:val="20"/>
        </w:rPr>
        <w:t>.</w:t>
      </w:r>
      <w:r w:rsidR="004F18D0" w:rsidRPr="00F75C47">
        <w:rPr>
          <w:rStyle w:val="FootnoteReference"/>
          <w:rFonts w:asciiTheme="majorBidi" w:hAnsiTheme="majorBidi" w:cstheme="majorBidi"/>
          <w:sz w:val="20"/>
          <w:szCs w:val="20"/>
        </w:rPr>
        <w:footnoteReference w:id="72"/>
      </w:r>
      <w:r w:rsidR="004F18D0" w:rsidRPr="00F75C47">
        <w:rPr>
          <w:rFonts w:asciiTheme="majorBidi" w:hAnsiTheme="majorBidi" w:cstheme="majorBidi"/>
          <w:sz w:val="20"/>
          <w:szCs w:val="20"/>
        </w:rPr>
        <w:t xml:space="preserve"> </w:t>
      </w:r>
      <w:bookmarkEnd w:id="24"/>
    </w:p>
    <w:p w14:paraId="3971DD9B" w14:textId="7E389CB8" w:rsidR="00610516" w:rsidRPr="00F75C47" w:rsidRDefault="00610516" w:rsidP="000F2392">
      <w:pPr>
        <w:numPr>
          <w:ilvl w:val="0"/>
          <w:numId w:val="2"/>
        </w:numPr>
        <w:tabs>
          <w:tab w:val="left" w:pos="1701"/>
        </w:tabs>
        <w:suppressAutoHyphens/>
        <w:spacing w:after="120" w:line="240" w:lineRule="atLeast"/>
        <w:ind w:left="1134" w:right="521" w:firstLine="0"/>
        <w:jc w:val="both"/>
        <w:rPr>
          <w:rFonts w:asciiTheme="majorBidi" w:hAnsiTheme="majorBidi"/>
          <w:sz w:val="20"/>
        </w:rPr>
      </w:pPr>
      <w:r w:rsidRPr="00F75C47">
        <w:rPr>
          <w:rFonts w:asciiTheme="majorBidi" w:hAnsiTheme="majorBidi"/>
          <w:sz w:val="20"/>
        </w:rPr>
        <w:t xml:space="preserve">The Party concerned </w:t>
      </w:r>
      <w:r w:rsidR="00BF2D30" w:rsidRPr="00F75C47">
        <w:rPr>
          <w:rFonts w:asciiTheme="majorBidi" w:hAnsiTheme="majorBidi"/>
          <w:sz w:val="20"/>
        </w:rPr>
        <w:t xml:space="preserve">concurs that </w:t>
      </w:r>
      <w:r w:rsidR="00F85683" w:rsidRPr="00F75C47">
        <w:rPr>
          <w:rFonts w:asciiTheme="majorBidi" w:hAnsiTheme="majorBidi" w:cstheme="majorBidi"/>
          <w:sz w:val="20"/>
          <w:szCs w:val="20"/>
        </w:rPr>
        <w:t xml:space="preserve">article 2(2) of </w:t>
      </w:r>
      <w:r w:rsidR="00BF2D30" w:rsidRPr="00F75C47">
        <w:rPr>
          <w:rFonts w:asciiTheme="majorBidi" w:hAnsiTheme="majorBidi"/>
          <w:sz w:val="20"/>
        </w:rPr>
        <w:t xml:space="preserve">the Aarhus Regulation excludes state aid decisions from </w:t>
      </w:r>
      <w:r w:rsidR="00F85683" w:rsidRPr="00F75C47">
        <w:rPr>
          <w:rFonts w:asciiTheme="majorBidi" w:hAnsiTheme="majorBidi" w:cstheme="majorBidi"/>
          <w:sz w:val="20"/>
          <w:szCs w:val="20"/>
        </w:rPr>
        <w:t xml:space="preserve">the scope of </w:t>
      </w:r>
      <w:r w:rsidR="00437241" w:rsidRPr="00F75C47">
        <w:rPr>
          <w:rFonts w:asciiTheme="majorBidi" w:hAnsiTheme="majorBidi" w:cstheme="majorBidi"/>
          <w:sz w:val="20"/>
          <w:szCs w:val="20"/>
        </w:rPr>
        <w:t>review</w:t>
      </w:r>
      <w:r w:rsidR="00BF2D30" w:rsidRPr="00F75C47">
        <w:rPr>
          <w:rFonts w:asciiTheme="majorBidi" w:hAnsiTheme="majorBidi" w:cstheme="majorBidi"/>
          <w:sz w:val="20"/>
          <w:szCs w:val="20"/>
        </w:rPr>
        <w:t>.</w:t>
      </w:r>
      <w:r w:rsidR="00BF2D30" w:rsidRPr="00F75C47">
        <w:rPr>
          <w:rStyle w:val="FootnoteReference"/>
          <w:rFonts w:asciiTheme="majorBidi" w:hAnsiTheme="majorBidi" w:cstheme="majorBidi"/>
          <w:sz w:val="20"/>
          <w:szCs w:val="20"/>
        </w:rPr>
        <w:footnoteReference w:id="73"/>
      </w:r>
      <w:r w:rsidR="00F437C8" w:rsidRPr="00F75C47">
        <w:rPr>
          <w:rFonts w:asciiTheme="majorBidi" w:hAnsiTheme="majorBidi" w:cstheme="majorBidi"/>
          <w:sz w:val="20"/>
          <w:szCs w:val="20"/>
        </w:rPr>
        <w:t xml:space="preserve"> It submits, however, that the Aarhus Regulation is only one remedy available to individuals for ensuring compliance with EU environmental law.</w:t>
      </w:r>
      <w:r w:rsidR="00F437C8" w:rsidRPr="00F75C47">
        <w:rPr>
          <w:rStyle w:val="FootnoteReference"/>
          <w:rFonts w:asciiTheme="majorBidi" w:hAnsiTheme="majorBidi"/>
          <w:sz w:val="20"/>
        </w:rPr>
        <w:footnoteReference w:id="74"/>
      </w:r>
    </w:p>
    <w:p w14:paraId="03DD77D4" w14:textId="77777777" w:rsidR="00F272DA" w:rsidRPr="00F75C47" w:rsidRDefault="00F272DA" w:rsidP="00F272DA">
      <w:pPr>
        <w:ind w:left="1134"/>
        <w:rPr>
          <w:rFonts w:asciiTheme="majorBidi" w:hAnsiTheme="majorBidi" w:cstheme="majorBidi"/>
          <w:sz w:val="20"/>
          <w:szCs w:val="20"/>
          <w:u w:val="single"/>
        </w:rPr>
      </w:pPr>
      <w:r w:rsidRPr="00F75C47">
        <w:rPr>
          <w:rFonts w:asciiTheme="majorBidi" w:hAnsiTheme="majorBidi" w:cstheme="majorBidi"/>
          <w:sz w:val="20"/>
          <w:szCs w:val="20"/>
          <w:u w:val="single"/>
        </w:rPr>
        <w:t xml:space="preserve">Complaint under articles 1(h) and 20(2) of Regulation 659/1999 </w:t>
      </w:r>
    </w:p>
    <w:p w14:paraId="624AC193" w14:textId="32EC8646" w:rsidR="00F272DA" w:rsidRPr="00F75C47" w:rsidRDefault="00F272DA" w:rsidP="00F272DA">
      <w:pPr>
        <w:numPr>
          <w:ilvl w:val="0"/>
          <w:numId w:val="2"/>
        </w:numPr>
        <w:tabs>
          <w:tab w:val="left" w:pos="1701"/>
        </w:tabs>
        <w:suppressAutoHyphens/>
        <w:spacing w:after="120" w:line="240" w:lineRule="atLeast"/>
        <w:ind w:left="1134" w:right="521" w:firstLine="0"/>
        <w:jc w:val="both"/>
        <w:rPr>
          <w:rFonts w:asciiTheme="majorBidi" w:hAnsiTheme="majorBidi" w:cstheme="majorBidi"/>
          <w:sz w:val="20"/>
          <w:szCs w:val="20"/>
        </w:rPr>
      </w:pPr>
      <w:r w:rsidRPr="00F75C47">
        <w:rPr>
          <w:rFonts w:asciiTheme="majorBidi" w:hAnsiTheme="majorBidi" w:cstheme="majorBidi"/>
          <w:sz w:val="20"/>
          <w:szCs w:val="20"/>
        </w:rPr>
        <w:t xml:space="preserve">With respect to the possibility of “interested parties” to complain to the Commission so as to trigger a formal investigative procedure under article 108(2) TFEU, </w:t>
      </w:r>
      <w:proofErr w:type="spellStart"/>
      <w:r w:rsidRPr="00F75C47">
        <w:rPr>
          <w:rFonts w:asciiTheme="majorBidi" w:hAnsiTheme="majorBidi" w:cstheme="majorBidi"/>
          <w:sz w:val="20"/>
          <w:szCs w:val="20"/>
        </w:rPr>
        <w:t>ClientEarth</w:t>
      </w:r>
      <w:proofErr w:type="spellEnd"/>
      <w:r w:rsidRPr="00F75C47">
        <w:rPr>
          <w:rFonts w:asciiTheme="majorBidi" w:hAnsiTheme="majorBidi" w:cstheme="majorBidi"/>
          <w:sz w:val="20"/>
          <w:szCs w:val="20"/>
        </w:rPr>
        <w:t xml:space="preserve"> notes that the Commission has interpreted “interested parties” under article 1(h) of Regulation 659/1999 to exclude NGOs and to cover only those persons whose market position or the one of their members can be affected. It submits that, even more narrowly, on 3 May 2018, the European Ombudsman held that in order to be considered an “interested party” under article 1(h) of Regulation 659/1999, “one needs to demonstrate that the alleged State aid affects one’s competitive position or that of the persons or firms one represents”</w:t>
      </w:r>
      <w:r w:rsidR="009E002A" w:rsidRPr="00F75C47">
        <w:rPr>
          <w:rFonts w:asciiTheme="majorBidi" w:hAnsiTheme="majorBidi" w:cstheme="majorBidi"/>
          <w:sz w:val="20"/>
          <w:szCs w:val="20"/>
        </w:rPr>
        <w:t>.</w:t>
      </w:r>
      <w:r w:rsidRPr="00F75C47">
        <w:rPr>
          <w:rStyle w:val="FootnoteReference"/>
          <w:rFonts w:asciiTheme="majorBidi" w:hAnsiTheme="majorBidi" w:cstheme="majorBidi"/>
          <w:sz w:val="20"/>
          <w:szCs w:val="20"/>
        </w:rPr>
        <w:footnoteReference w:id="75"/>
      </w:r>
    </w:p>
    <w:p w14:paraId="68F12221" w14:textId="77777777" w:rsidR="00F272DA" w:rsidRPr="00F75C47" w:rsidRDefault="00F272DA" w:rsidP="00F272DA">
      <w:pPr>
        <w:numPr>
          <w:ilvl w:val="0"/>
          <w:numId w:val="2"/>
        </w:numPr>
        <w:tabs>
          <w:tab w:val="left" w:pos="1701"/>
        </w:tabs>
        <w:suppressAutoHyphens/>
        <w:spacing w:after="120" w:line="240" w:lineRule="atLeast"/>
        <w:ind w:left="1134" w:right="521" w:firstLine="0"/>
        <w:jc w:val="both"/>
        <w:rPr>
          <w:rFonts w:asciiTheme="majorBidi" w:hAnsiTheme="majorBidi" w:cstheme="majorBidi"/>
          <w:sz w:val="20"/>
          <w:szCs w:val="20"/>
        </w:rPr>
      </w:pPr>
      <w:r w:rsidRPr="00F75C47">
        <w:rPr>
          <w:rFonts w:asciiTheme="majorBidi" w:hAnsiTheme="majorBidi" w:cstheme="majorBidi"/>
          <w:sz w:val="20"/>
          <w:szCs w:val="20"/>
        </w:rPr>
        <w:t xml:space="preserve">The Party concerned contests that only persons whose market position has been affected can be “interested parties” under article 1(h) of Regulation 659/1999. It gives examples of cases in which the Commission initiated an investigative procedure under article 108(2) TFEU </w:t>
      </w:r>
      <w:proofErr w:type="gramStart"/>
      <w:r w:rsidRPr="00F75C47">
        <w:rPr>
          <w:rFonts w:asciiTheme="majorBidi" w:hAnsiTheme="majorBidi" w:cstheme="majorBidi"/>
          <w:sz w:val="20"/>
          <w:szCs w:val="20"/>
        </w:rPr>
        <w:t>on the basis of</w:t>
      </w:r>
      <w:proofErr w:type="gramEnd"/>
      <w:r w:rsidRPr="00F75C47">
        <w:rPr>
          <w:rFonts w:asciiTheme="majorBidi" w:hAnsiTheme="majorBidi" w:cstheme="majorBidi"/>
          <w:sz w:val="20"/>
          <w:szCs w:val="20"/>
        </w:rPr>
        <w:t xml:space="preserve"> complaints by, among others, an association of tenants, an association of electricity consumers and a local environmental NGO.</w:t>
      </w:r>
      <w:r w:rsidRPr="00F75C47">
        <w:rPr>
          <w:rFonts w:asciiTheme="majorBidi" w:hAnsiTheme="majorBidi" w:cstheme="majorBidi"/>
          <w:sz w:val="20"/>
          <w:vertAlign w:val="superscript"/>
        </w:rPr>
        <w:footnoteReference w:id="76"/>
      </w:r>
    </w:p>
    <w:p w14:paraId="47386719" w14:textId="5CE13527" w:rsidR="00734331" w:rsidRPr="00F75C47" w:rsidRDefault="00734331">
      <w:pPr>
        <w:tabs>
          <w:tab w:val="left" w:pos="1701"/>
        </w:tabs>
        <w:suppressAutoHyphens/>
        <w:spacing w:after="120" w:line="240" w:lineRule="atLeast"/>
        <w:ind w:left="1134" w:right="521"/>
        <w:jc w:val="both"/>
        <w:rPr>
          <w:rFonts w:asciiTheme="majorBidi" w:hAnsiTheme="majorBidi"/>
          <w:sz w:val="20"/>
          <w:u w:val="single"/>
        </w:rPr>
      </w:pPr>
      <w:r w:rsidRPr="00F75C47">
        <w:rPr>
          <w:rFonts w:asciiTheme="majorBidi" w:hAnsiTheme="majorBidi"/>
          <w:sz w:val="20"/>
          <w:u w:val="single"/>
        </w:rPr>
        <w:t xml:space="preserve">Annulment </w:t>
      </w:r>
      <w:r w:rsidRPr="00F75C47">
        <w:rPr>
          <w:rFonts w:asciiTheme="majorBidi" w:hAnsiTheme="majorBidi" w:cstheme="majorBidi"/>
          <w:sz w:val="20"/>
          <w:szCs w:val="20"/>
          <w:u w:val="single"/>
        </w:rPr>
        <w:t>procedure</w:t>
      </w:r>
      <w:r w:rsidRPr="00F75C47">
        <w:rPr>
          <w:rFonts w:asciiTheme="majorBidi" w:hAnsiTheme="majorBidi"/>
          <w:sz w:val="20"/>
          <w:u w:val="single"/>
        </w:rPr>
        <w:t xml:space="preserve"> under article 263(4)</w:t>
      </w:r>
      <w:r w:rsidR="004A21DE" w:rsidRPr="00F75C47">
        <w:rPr>
          <w:rFonts w:asciiTheme="majorBidi" w:hAnsiTheme="majorBidi"/>
          <w:sz w:val="20"/>
          <w:u w:val="single"/>
        </w:rPr>
        <w:t xml:space="preserve"> TFEU</w:t>
      </w:r>
    </w:p>
    <w:p w14:paraId="596BD8D2" w14:textId="3473DF11" w:rsidR="00BB2C3F" w:rsidRPr="00F75C47" w:rsidRDefault="00734331" w:rsidP="003D5AC3">
      <w:pPr>
        <w:numPr>
          <w:ilvl w:val="0"/>
          <w:numId w:val="2"/>
        </w:numPr>
        <w:tabs>
          <w:tab w:val="left" w:pos="1701"/>
        </w:tabs>
        <w:suppressAutoHyphens/>
        <w:spacing w:after="120" w:line="240" w:lineRule="atLeast"/>
        <w:ind w:left="1100" w:right="521" w:firstLine="0"/>
        <w:jc w:val="both"/>
        <w:rPr>
          <w:rFonts w:asciiTheme="majorBidi" w:hAnsiTheme="majorBidi" w:cstheme="majorBidi"/>
          <w:sz w:val="20"/>
          <w:szCs w:val="20"/>
        </w:rPr>
      </w:pPr>
      <w:r w:rsidRPr="00F75C47">
        <w:rPr>
          <w:rFonts w:asciiTheme="majorBidi" w:hAnsiTheme="majorBidi"/>
          <w:sz w:val="20"/>
        </w:rPr>
        <w:t>The communicants submit that</w:t>
      </w:r>
      <w:r w:rsidR="008D6373" w:rsidRPr="00F75C47">
        <w:rPr>
          <w:rFonts w:asciiTheme="majorBidi" w:hAnsiTheme="majorBidi" w:cstheme="majorBidi"/>
          <w:sz w:val="20"/>
          <w:szCs w:val="20"/>
        </w:rPr>
        <w:t>, as environmental NGOs,</w:t>
      </w:r>
      <w:r w:rsidR="008D6373" w:rsidRPr="00F75C47">
        <w:rPr>
          <w:rFonts w:asciiTheme="majorBidi" w:hAnsiTheme="majorBidi"/>
          <w:sz w:val="20"/>
        </w:rPr>
        <w:t xml:space="preserve"> they</w:t>
      </w:r>
      <w:r w:rsidRPr="00F75C47">
        <w:rPr>
          <w:rFonts w:asciiTheme="majorBidi" w:hAnsiTheme="majorBidi"/>
          <w:sz w:val="20"/>
        </w:rPr>
        <w:t xml:space="preserve"> </w:t>
      </w:r>
      <w:r w:rsidR="00437241" w:rsidRPr="00F75C47">
        <w:rPr>
          <w:rFonts w:asciiTheme="majorBidi" w:hAnsiTheme="majorBidi" w:cstheme="majorBidi"/>
          <w:sz w:val="20"/>
          <w:szCs w:val="20"/>
        </w:rPr>
        <w:t>do</w:t>
      </w:r>
      <w:r w:rsidR="00437241" w:rsidRPr="00F75C47">
        <w:rPr>
          <w:rFonts w:asciiTheme="majorBidi" w:hAnsiTheme="majorBidi"/>
          <w:sz w:val="20"/>
        </w:rPr>
        <w:t xml:space="preserve"> not</w:t>
      </w:r>
      <w:r w:rsidRPr="00F75C47">
        <w:rPr>
          <w:rFonts w:asciiTheme="majorBidi" w:hAnsiTheme="majorBidi"/>
          <w:sz w:val="20"/>
        </w:rPr>
        <w:t xml:space="preserve"> have standing before the CJEU under</w:t>
      </w:r>
      <w:r w:rsidR="00A15F64" w:rsidRPr="00F75C47">
        <w:rPr>
          <w:rFonts w:asciiTheme="majorBidi" w:hAnsiTheme="majorBidi"/>
          <w:sz w:val="20"/>
        </w:rPr>
        <w:t xml:space="preserve"> </w:t>
      </w:r>
      <w:r w:rsidRPr="00F75C47">
        <w:rPr>
          <w:rFonts w:asciiTheme="majorBidi" w:hAnsiTheme="majorBidi"/>
          <w:sz w:val="20"/>
        </w:rPr>
        <w:t>article 263 TFE</w:t>
      </w:r>
      <w:r w:rsidR="008D6373" w:rsidRPr="00F75C47">
        <w:rPr>
          <w:rFonts w:asciiTheme="majorBidi" w:hAnsiTheme="majorBidi"/>
          <w:sz w:val="20"/>
        </w:rPr>
        <w:t>U</w:t>
      </w:r>
      <w:r w:rsidR="008D6373" w:rsidRPr="00F75C47">
        <w:rPr>
          <w:rFonts w:asciiTheme="majorBidi" w:hAnsiTheme="majorBidi" w:cstheme="majorBidi"/>
          <w:sz w:val="20"/>
          <w:szCs w:val="20"/>
        </w:rPr>
        <w:t>.</w:t>
      </w:r>
      <w:r w:rsidR="00610516" w:rsidRPr="00F75C47">
        <w:rPr>
          <w:rStyle w:val="FootnoteReference"/>
          <w:rFonts w:asciiTheme="majorBidi" w:hAnsiTheme="majorBidi" w:cstheme="majorBidi"/>
          <w:sz w:val="20"/>
          <w:szCs w:val="20"/>
        </w:rPr>
        <w:footnoteReference w:id="77"/>
      </w:r>
      <w:r w:rsidR="00610516" w:rsidRPr="00F75C47">
        <w:rPr>
          <w:rFonts w:asciiTheme="majorBidi" w:hAnsiTheme="majorBidi" w:cstheme="majorBidi"/>
          <w:sz w:val="20"/>
          <w:szCs w:val="20"/>
        </w:rPr>
        <w:t xml:space="preserve"> </w:t>
      </w:r>
    </w:p>
    <w:p w14:paraId="0585679F" w14:textId="58695E5A" w:rsidR="008D6373" w:rsidRPr="00F75C47" w:rsidRDefault="008D6373" w:rsidP="00364BE7">
      <w:pPr>
        <w:numPr>
          <w:ilvl w:val="0"/>
          <w:numId w:val="2"/>
        </w:numPr>
        <w:tabs>
          <w:tab w:val="left" w:pos="1701"/>
        </w:tabs>
        <w:suppressAutoHyphens/>
        <w:spacing w:after="120" w:line="240" w:lineRule="atLeast"/>
        <w:ind w:left="1100" w:right="521" w:firstLine="0"/>
        <w:jc w:val="both"/>
        <w:rPr>
          <w:rFonts w:asciiTheme="majorBidi" w:hAnsiTheme="majorBidi"/>
          <w:sz w:val="20"/>
        </w:rPr>
      </w:pPr>
      <w:r w:rsidRPr="00F75C47">
        <w:rPr>
          <w:rFonts w:asciiTheme="majorBidi" w:hAnsiTheme="majorBidi"/>
          <w:sz w:val="20"/>
        </w:rPr>
        <w:t xml:space="preserve">The </w:t>
      </w:r>
      <w:r w:rsidR="00610516" w:rsidRPr="00F75C47">
        <w:rPr>
          <w:rFonts w:asciiTheme="majorBidi" w:hAnsiTheme="majorBidi" w:cstheme="majorBidi"/>
          <w:sz w:val="20"/>
          <w:szCs w:val="20"/>
        </w:rPr>
        <w:t xml:space="preserve">Party concerned </w:t>
      </w:r>
      <w:r w:rsidRPr="00F75C47">
        <w:rPr>
          <w:rFonts w:asciiTheme="majorBidi" w:hAnsiTheme="majorBidi" w:cstheme="majorBidi"/>
          <w:sz w:val="20"/>
          <w:szCs w:val="20"/>
        </w:rPr>
        <w:t>concedes</w:t>
      </w:r>
      <w:r w:rsidRPr="00F75C47">
        <w:rPr>
          <w:rFonts w:asciiTheme="majorBidi" w:hAnsiTheme="majorBidi"/>
          <w:sz w:val="20"/>
        </w:rPr>
        <w:t xml:space="preserve"> </w:t>
      </w:r>
      <w:r w:rsidR="00610516" w:rsidRPr="00F75C47">
        <w:rPr>
          <w:rFonts w:asciiTheme="majorBidi" w:hAnsiTheme="majorBidi"/>
          <w:sz w:val="20"/>
        </w:rPr>
        <w:t xml:space="preserve">that environmental NGOs do not have standing to bring an action for annulment on the basis of article 263(4) against </w:t>
      </w:r>
      <w:r w:rsidR="002070D0" w:rsidRPr="00F75C47">
        <w:rPr>
          <w:rFonts w:asciiTheme="majorBidi" w:hAnsiTheme="majorBidi" w:cstheme="majorBidi"/>
          <w:sz w:val="20"/>
          <w:szCs w:val="20"/>
        </w:rPr>
        <w:t xml:space="preserve">state aid </w:t>
      </w:r>
      <w:r w:rsidRPr="00F75C47">
        <w:rPr>
          <w:rFonts w:asciiTheme="majorBidi" w:hAnsiTheme="majorBidi" w:cstheme="majorBidi"/>
          <w:sz w:val="20"/>
          <w:szCs w:val="20"/>
        </w:rPr>
        <w:t xml:space="preserve">decisions such as </w:t>
      </w:r>
      <w:r w:rsidR="00610516" w:rsidRPr="00F75C47">
        <w:rPr>
          <w:rFonts w:asciiTheme="majorBidi" w:hAnsiTheme="majorBidi" w:cstheme="majorBidi"/>
          <w:sz w:val="20"/>
          <w:szCs w:val="20"/>
        </w:rPr>
        <w:t>the 2014 Decision</w:t>
      </w:r>
      <w:r w:rsidR="00C0126B" w:rsidRPr="00F75C47">
        <w:rPr>
          <w:rFonts w:asciiTheme="majorBidi" w:hAnsiTheme="majorBidi" w:cstheme="majorBidi"/>
          <w:sz w:val="20"/>
          <w:szCs w:val="20"/>
        </w:rPr>
        <w:t>, which was adopted after a formal investigation procedure that offered interested parties the opportunity to present their observations</w:t>
      </w:r>
      <w:r w:rsidR="00610516" w:rsidRPr="00F75C47">
        <w:rPr>
          <w:rFonts w:asciiTheme="majorBidi" w:hAnsiTheme="majorBidi" w:cstheme="majorBidi"/>
          <w:sz w:val="20"/>
          <w:szCs w:val="20"/>
        </w:rPr>
        <w:t>.</w:t>
      </w:r>
      <w:r w:rsidR="00610516" w:rsidRPr="00F75C47">
        <w:rPr>
          <w:rStyle w:val="FootnoteReference"/>
          <w:rFonts w:asciiTheme="majorBidi" w:hAnsiTheme="majorBidi" w:cstheme="majorBidi"/>
          <w:sz w:val="20"/>
          <w:szCs w:val="20"/>
        </w:rPr>
        <w:footnoteReference w:id="78"/>
      </w:r>
      <w:r w:rsidR="00610516" w:rsidRPr="00F75C47">
        <w:rPr>
          <w:rFonts w:asciiTheme="majorBidi" w:hAnsiTheme="majorBidi" w:cstheme="majorBidi"/>
          <w:sz w:val="20"/>
          <w:szCs w:val="20"/>
        </w:rPr>
        <w:t xml:space="preserve"> </w:t>
      </w:r>
    </w:p>
    <w:p w14:paraId="3A0B98C6" w14:textId="3F4E5D5F" w:rsidR="00C0126B" w:rsidRPr="00F75C47" w:rsidRDefault="00C0126B" w:rsidP="00EA30F2">
      <w:pPr>
        <w:numPr>
          <w:ilvl w:val="0"/>
          <w:numId w:val="2"/>
        </w:numPr>
        <w:tabs>
          <w:tab w:val="left" w:pos="1701"/>
        </w:tabs>
        <w:suppressAutoHyphens/>
        <w:spacing w:after="120" w:line="240" w:lineRule="atLeast"/>
        <w:ind w:left="1100" w:right="521" w:firstLine="0"/>
        <w:jc w:val="both"/>
        <w:rPr>
          <w:rFonts w:asciiTheme="majorBidi" w:hAnsiTheme="majorBidi" w:cstheme="majorBidi"/>
          <w:sz w:val="20"/>
          <w:szCs w:val="20"/>
        </w:rPr>
      </w:pPr>
      <w:r w:rsidRPr="00F75C47">
        <w:rPr>
          <w:rFonts w:asciiTheme="majorBidi" w:hAnsiTheme="majorBidi" w:cstheme="majorBidi"/>
          <w:sz w:val="20"/>
          <w:szCs w:val="20"/>
        </w:rPr>
        <w:t xml:space="preserve">The Party concerned </w:t>
      </w:r>
      <w:r w:rsidR="00A22613" w:rsidRPr="00F75C47">
        <w:rPr>
          <w:rFonts w:asciiTheme="majorBidi" w:hAnsiTheme="majorBidi" w:cstheme="majorBidi"/>
          <w:sz w:val="20"/>
          <w:szCs w:val="20"/>
        </w:rPr>
        <w:t xml:space="preserve">notes </w:t>
      </w:r>
      <w:r w:rsidRPr="00F75C47">
        <w:rPr>
          <w:rFonts w:asciiTheme="majorBidi" w:hAnsiTheme="majorBidi" w:cstheme="majorBidi"/>
          <w:sz w:val="20"/>
          <w:szCs w:val="20"/>
        </w:rPr>
        <w:t xml:space="preserve">that, in </w:t>
      </w:r>
      <w:r w:rsidR="00A22613" w:rsidRPr="00F75C47">
        <w:rPr>
          <w:rFonts w:asciiTheme="majorBidi" w:hAnsiTheme="majorBidi" w:cstheme="majorBidi"/>
          <w:sz w:val="20"/>
          <w:szCs w:val="20"/>
        </w:rPr>
        <w:t xml:space="preserve">its judgment on the </w:t>
      </w:r>
      <w:proofErr w:type="spellStart"/>
      <w:r w:rsidRPr="00F75C47">
        <w:rPr>
          <w:rFonts w:asciiTheme="majorBidi" w:hAnsiTheme="majorBidi" w:cstheme="majorBidi"/>
          <w:i/>
          <w:iCs/>
          <w:sz w:val="20"/>
          <w:szCs w:val="20"/>
        </w:rPr>
        <w:t>Ja</w:t>
      </w:r>
      <w:proofErr w:type="spellEnd"/>
      <w:r w:rsidRPr="00F75C47">
        <w:rPr>
          <w:rFonts w:asciiTheme="majorBidi" w:hAnsiTheme="majorBidi" w:cstheme="majorBidi"/>
          <w:i/>
          <w:iCs/>
          <w:sz w:val="20"/>
          <w:szCs w:val="20"/>
        </w:rPr>
        <w:t xml:space="preserve"> </w:t>
      </w:r>
      <w:proofErr w:type="spellStart"/>
      <w:r w:rsidRPr="00F75C47">
        <w:rPr>
          <w:rFonts w:asciiTheme="majorBidi" w:hAnsiTheme="majorBidi" w:cstheme="majorBidi"/>
          <w:i/>
          <w:iCs/>
          <w:sz w:val="20"/>
          <w:szCs w:val="20"/>
        </w:rPr>
        <w:t>zum</w:t>
      </w:r>
      <w:proofErr w:type="spellEnd"/>
      <w:r w:rsidRPr="00F75C47">
        <w:rPr>
          <w:rFonts w:asciiTheme="majorBidi" w:hAnsiTheme="majorBidi" w:cstheme="majorBidi"/>
          <w:i/>
          <w:iCs/>
          <w:sz w:val="20"/>
          <w:szCs w:val="20"/>
        </w:rPr>
        <w:t xml:space="preserve"> Nürburg</w:t>
      </w:r>
      <w:r w:rsidR="00541E73" w:rsidRPr="00F75C47">
        <w:rPr>
          <w:rFonts w:asciiTheme="majorBidi" w:hAnsiTheme="majorBidi" w:cstheme="majorBidi"/>
          <w:i/>
          <w:iCs/>
          <w:sz w:val="20"/>
          <w:szCs w:val="20"/>
        </w:rPr>
        <w:t>r</w:t>
      </w:r>
      <w:r w:rsidRPr="00F75C47">
        <w:rPr>
          <w:rFonts w:asciiTheme="majorBidi" w:hAnsiTheme="majorBidi" w:cstheme="majorBidi"/>
          <w:i/>
          <w:iCs/>
          <w:sz w:val="20"/>
          <w:szCs w:val="20"/>
        </w:rPr>
        <w:t>ing</w:t>
      </w:r>
      <w:r w:rsidRPr="00F75C47">
        <w:rPr>
          <w:rFonts w:asciiTheme="majorBidi" w:hAnsiTheme="majorBidi" w:cstheme="majorBidi"/>
          <w:sz w:val="20"/>
          <w:szCs w:val="20"/>
        </w:rPr>
        <w:t xml:space="preserve"> case,</w:t>
      </w:r>
      <w:r w:rsidR="00EA30F2" w:rsidRPr="00F75C47">
        <w:rPr>
          <w:rStyle w:val="FootnoteReference"/>
          <w:rFonts w:asciiTheme="majorBidi" w:hAnsiTheme="majorBidi" w:cstheme="majorBidi"/>
          <w:szCs w:val="20"/>
        </w:rPr>
        <w:footnoteReference w:id="79"/>
      </w:r>
      <w:r w:rsidRPr="00F75C47">
        <w:rPr>
          <w:rFonts w:asciiTheme="majorBidi" w:hAnsiTheme="majorBidi" w:cstheme="majorBidi"/>
          <w:sz w:val="20"/>
          <w:szCs w:val="20"/>
        </w:rPr>
        <w:t xml:space="preserve"> </w:t>
      </w:r>
      <w:r w:rsidR="00EA30F2" w:rsidRPr="00F75C47">
        <w:rPr>
          <w:rFonts w:asciiTheme="majorBidi" w:hAnsiTheme="majorBidi" w:cstheme="majorBidi"/>
          <w:sz w:val="20"/>
          <w:szCs w:val="20"/>
        </w:rPr>
        <w:t xml:space="preserve">the General Court held </w:t>
      </w:r>
      <w:r w:rsidR="00A22613" w:rsidRPr="00F75C47">
        <w:rPr>
          <w:rFonts w:asciiTheme="majorBidi" w:hAnsiTheme="majorBidi" w:cstheme="majorBidi"/>
          <w:sz w:val="20"/>
          <w:szCs w:val="20"/>
        </w:rPr>
        <w:t xml:space="preserve">the </w:t>
      </w:r>
      <w:r w:rsidR="0068458B" w:rsidRPr="00F75C47">
        <w:rPr>
          <w:rFonts w:asciiTheme="majorBidi" w:hAnsiTheme="majorBidi" w:cstheme="majorBidi"/>
          <w:sz w:val="20"/>
          <w:szCs w:val="20"/>
        </w:rPr>
        <w:t xml:space="preserve">NGO </w:t>
      </w:r>
      <w:r w:rsidR="00A22613" w:rsidRPr="00F75C47">
        <w:rPr>
          <w:rFonts w:asciiTheme="majorBidi" w:hAnsiTheme="majorBidi" w:cstheme="majorBidi"/>
          <w:sz w:val="20"/>
          <w:szCs w:val="20"/>
        </w:rPr>
        <w:t>applicant</w:t>
      </w:r>
      <w:r w:rsidR="0068458B" w:rsidRPr="00F75C47">
        <w:rPr>
          <w:rFonts w:asciiTheme="majorBidi" w:hAnsiTheme="majorBidi" w:cstheme="majorBidi"/>
          <w:sz w:val="20"/>
          <w:szCs w:val="20"/>
        </w:rPr>
        <w:t xml:space="preserve"> </w:t>
      </w:r>
      <w:r w:rsidR="00A22613" w:rsidRPr="00F75C47">
        <w:rPr>
          <w:rFonts w:asciiTheme="majorBidi" w:hAnsiTheme="majorBidi" w:cstheme="majorBidi"/>
          <w:sz w:val="20"/>
          <w:szCs w:val="20"/>
        </w:rPr>
        <w:t xml:space="preserve">qualified as </w:t>
      </w:r>
      <w:r w:rsidRPr="00F75C47">
        <w:rPr>
          <w:rFonts w:asciiTheme="majorBidi" w:hAnsiTheme="majorBidi" w:cstheme="majorBidi"/>
          <w:sz w:val="20"/>
          <w:szCs w:val="20"/>
        </w:rPr>
        <w:t xml:space="preserve">an </w:t>
      </w:r>
      <w:r w:rsidR="00A22613" w:rsidRPr="00F75C47">
        <w:rPr>
          <w:rFonts w:asciiTheme="majorBidi" w:hAnsiTheme="majorBidi" w:cstheme="majorBidi"/>
          <w:sz w:val="20"/>
          <w:szCs w:val="20"/>
        </w:rPr>
        <w:t>“</w:t>
      </w:r>
      <w:r w:rsidRPr="00F75C47">
        <w:rPr>
          <w:rFonts w:asciiTheme="majorBidi" w:hAnsiTheme="majorBidi" w:cstheme="majorBidi"/>
          <w:sz w:val="20"/>
          <w:szCs w:val="20"/>
        </w:rPr>
        <w:t>interested party</w:t>
      </w:r>
      <w:r w:rsidR="00A22613" w:rsidRPr="00F75C47">
        <w:rPr>
          <w:rFonts w:asciiTheme="majorBidi" w:hAnsiTheme="majorBidi" w:cstheme="majorBidi"/>
          <w:sz w:val="20"/>
          <w:szCs w:val="20"/>
        </w:rPr>
        <w:t>”</w:t>
      </w:r>
      <w:r w:rsidRPr="00F75C47">
        <w:rPr>
          <w:rFonts w:asciiTheme="majorBidi" w:hAnsiTheme="majorBidi" w:cstheme="majorBidi"/>
          <w:sz w:val="20"/>
          <w:szCs w:val="20"/>
        </w:rPr>
        <w:t xml:space="preserve"> </w:t>
      </w:r>
      <w:r w:rsidR="00A22613" w:rsidRPr="00F75C47">
        <w:rPr>
          <w:rFonts w:asciiTheme="majorBidi" w:hAnsiTheme="majorBidi" w:cstheme="majorBidi"/>
          <w:sz w:val="20"/>
          <w:szCs w:val="20"/>
        </w:rPr>
        <w:t xml:space="preserve">under </w:t>
      </w:r>
      <w:r w:rsidRPr="00F75C47">
        <w:rPr>
          <w:rFonts w:asciiTheme="majorBidi" w:hAnsiTheme="majorBidi" w:cstheme="majorBidi"/>
          <w:sz w:val="20"/>
          <w:szCs w:val="20"/>
        </w:rPr>
        <w:t>article (1)(h) of Council Regulation No. 659/1999</w:t>
      </w:r>
      <w:r w:rsidR="00A22613" w:rsidRPr="00F75C47">
        <w:rPr>
          <w:rFonts w:asciiTheme="majorBidi" w:hAnsiTheme="majorBidi" w:cstheme="majorBidi"/>
          <w:sz w:val="20"/>
          <w:szCs w:val="20"/>
        </w:rPr>
        <w:t xml:space="preserve"> and on that basis </w:t>
      </w:r>
      <w:r w:rsidR="0068458B" w:rsidRPr="00F75C47">
        <w:rPr>
          <w:rFonts w:asciiTheme="majorBidi" w:hAnsiTheme="majorBidi" w:cstheme="majorBidi"/>
          <w:sz w:val="20"/>
          <w:szCs w:val="20"/>
        </w:rPr>
        <w:t xml:space="preserve">the Court </w:t>
      </w:r>
      <w:r w:rsidR="00A22613" w:rsidRPr="00F75C47">
        <w:rPr>
          <w:rFonts w:asciiTheme="majorBidi" w:hAnsiTheme="majorBidi" w:cstheme="majorBidi"/>
          <w:sz w:val="20"/>
          <w:szCs w:val="20"/>
        </w:rPr>
        <w:t>granted it standing under article 263(4) TFEU to challenge the Commission’s decision not to undertake an investigative procedure under article 108(2) TFEU. The Party concerned notes that the case is under appeal before the CJEU</w:t>
      </w:r>
      <w:r w:rsidR="00EA30F2" w:rsidRPr="00F75C47">
        <w:rPr>
          <w:rFonts w:asciiTheme="majorBidi" w:hAnsiTheme="majorBidi" w:cstheme="majorBidi"/>
          <w:sz w:val="20"/>
          <w:szCs w:val="20"/>
        </w:rPr>
        <w:t>, but submits that the judgment shows that an NGO has the possibility to demonstrate that its interests might be affected by the granting of aid, and thus to challenge a decision by the Commission not to open a formal investigation of that aid.</w:t>
      </w:r>
    </w:p>
    <w:p w14:paraId="5085B265" w14:textId="77777777" w:rsidR="00E01B1A" w:rsidRPr="00F75C47" w:rsidRDefault="00E01B1A" w:rsidP="00E01B1A">
      <w:pPr>
        <w:tabs>
          <w:tab w:val="left" w:pos="1701"/>
        </w:tabs>
        <w:suppressAutoHyphens/>
        <w:spacing w:after="120" w:line="240" w:lineRule="atLeast"/>
        <w:ind w:left="1134" w:right="521"/>
        <w:jc w:val="both"/>
        <w:rPr>
          <w:rFonts w:asciiTheme="majorBidi" w:hAnsiTheme="majorBidi"/>
          <w:sz w:val="20"/>
        </w:rPr>
      </w:pPr>
      <w:r w:rsidRPr="00F75C47">
        <w:rPr>
          <w:rFonts w:asciiTheme="majorBidi" w:hAnsiTheme="majorBidi"/>
          <w:sz w:val="20"/>
          <w:u w:val="single"/>
        </w:rPr>
        <w:t>NGOs as interveners</w:t>
      </w:r>
    </w:p>
    <w:p w14:paraId="3419BE22" w14:textId="7BE5D357" w:rsidR="00E01B1A" w:rsidRPr="00F75C47" w:rsidRDefault="00A61F1C" w:rsidP="00E01B1A">
      <w:pPr>
        <w:numPr>
          <w:ilvl w:val="0"/>
          <w:numId w:val="2"/>
        </w:numPr>
        <w:tabs>
          <w:tab w:val="left" w:pos="1701"/>
        </w:tabs>
        <w:suppressAutoHyphens/>
        <w:spacing w:after="120" w:line="240" w:lineRule="atLeast"/>
        <w:ind w:left="1134" w:right="521" w:firstLine="0"/>
        <w:jc w:val="both"/>
        <w:rPr>
          <w:rFonts w:asciiTheme="majorBidi" w:hAnsiTheme="majorBidi" w:cstheme="majorBidi"/>
          <w:sz w:val="20"/>
          <w:szCs w:val="20"/>
        </w:rPr>
      </w:pPr>
      <w:r w:rsidRPr="00F75C47">
        <w:rPr>
          <w:rFonts w:asciiTheme="majorBidi" w:hAnsiTheme="majorBidi" w:cstheme="majorBidi"/>
          <w:sz w:val="20"/>
          <w:szCs w:val="20"/>
        </w:rPr>
        <w:t xml:space="preserve">The Party concerned submits that, while environmental NGOs do not themselves have standing to bring an action for an annulment under article 263(4) </w:t>
      </w:r>
      <w:proofErr w:type="gramStart"/>
      <w:r w:rsidRPr="00F75C47">
        <w:rPr>
          <w:rFonts w:asciiTheme="majorBidi" w:hAnsiTheme="majorBidi" w:cstheme="majorBidi"/>
          <w:sz w:val="20"/>
          <w:szCs w:val="20"/>
        </w:rPr>
        <w:t>TFEU,  they</w:t>
      </w:r>
      <w:proofErr w:type="gramEnd"/>
      <w:r w:rsidRPr="00F75C47">
        <w:rPr>
          <w:rFonts w:asciiTheme="majorBidi" w:hAnsiTheme="majorBidi" w:cstheme="majorBidi"/>
          <w:sz w:val="20"/>
          <w:szCs w:val="20"/>
        </w:rPr>
        <w:t xml:space="preserve"> can be admitted as interveners in an annulment procedure brought by another party. The Party concerned cites </w:t>
      </w:r>
      <w:r w:rsidR="009169CB" w:rsidRPr="00F75C47">
        <w:rPr>
          <w:rFonts w:asciiTheme="majorBidi" w:hAnsiTheme="majorBidi" w:cstheme="majorBidi"/>
          <w:sz w:val="20"/>
          <w:szCs w:val="20"/>
        </w:rPr>
        <w:t xml:space="preserve">the intervention by Greenpeace Spain in </w:t>
      </w:r>
      <w:r w:rsidR="000F2392" w:rsidRPr="00F75C47">
        <w:rPr>
          <w:rFonts w:asciiTheme="majorBidi" w:hAnsiTheme="majorBidi" w:cstheme="majorBidi"/>
          <w:sz w:val="20"/>
          <w:szCs w:val="20"/>
        </w:rPr>
        <w:t xml:space="preserve">case </w:t>
      </w:r>
      <w:r w:rsidRPr="00F75C47">
        <w:rPr>
          <w:rFonts w:asciiTheme="majorBidi" w:hAnsiTheme="majorBidi" w:cstheme="majorBidi"/>
          <w:sz w:val="20"/>
          <w:szCs w:val="20"/>
        </w:rPr>
        <w:t xml:space="preserve">T-57/11 </w:t>
      </w:r>
      <w:proofErr w:type="spellStart"/>
      <w:r w:rsidRPr="00F75C47">
        <w:rPr>
          <w:rFonts w:asciiTheme="majorBidi" w:hAnsiTheme="majorBidi" w:cstheme="majorBidi"/>
          <w:i/>
          <w:iCs/>
          <w:sz w:val="20"/>
          <w:szCs w:val="20"/>
        </w:rPr>
        <w:t>Castelnou</w:t>
      </w:r>
      <w:proofErr w:type="spellEnd"/>
      <w:r w:rsidRPr="00F75C47">
        <w:rPr>
          <w:rFonts w:asciiTheme="majorBidi" w:hAnsiTheme="majorBidi" w:cstheme="majorBidi"/>
          <w:i/>
          <w:iCs/>
          <w:sz w:val="20"/>
          <w:szCs w:val="20"/>
        </w:rPr>
        <w:t xml:space="preserve"> </w:t>
      </w:r>
      <w:proofErr w:type="spellStart"/>
      <w:r w:rsidRPr="00F75C47">
        <w:rPr>
          <w:rFonts w:asciiTheme="majorBidi" w:hAnsiTheme="majorBidi" w:cstheme="majorBidi"/>
          <w:i/>
          <w:iCs/>
          <w:sz w:val="20"/>
          <w:szCs w:val="20"/>
        </w:rPr>
        <w:t>Energía</w:t>
      </w:r>
      <w:proofErr w:type="spellEnd"/>
      <w:r w:rsidRPr="00F75C47">
        <w:rPr>
          <w:rFonts w:asciiTheme="majorBidi" w:hAnsiTheme="majorBidi" w:cstheme="majorBidi"/>
          <w:i/>
          <w:iCs/>
          <w:sz w:val="20"/>
          <w:szCs w:val="20"/>
        </w:rPr>
        <w:t xml:space="preserve"> v Commission</w:t>
      </w:r>
      <w:r w:rsidRPr="00F75C47">
        <w:rPr>
          <w:rFonts w:asciiTheme="majorBidi" w:hAnsiTheme="majorBidi" w:cstheme="majorBidi"/>
          <w:sz w:val="20"/>
          <w:szCs w:val="20"/>
        </w:rPr>
        <w:t xml:space="preserve"> </w:t>
      </w:r>
      <w:r w:rsidR="00155A84" w:rsidRPr="00F75C47">
        <w:rPr>
          <w:rFonts w:asciiTheme="majorBidi" w:hAnsiTheme="majorBidi" w:cstheme="majorBidi"/>
          <w:sz w:val="20"/>
          <w:szCs w:val="20"/>
        </w:rPr>
        <w:t>in support of its submission</w:t>
      </w:r>
      <w:r w:rsidR="00E01B1A" w:rsidRPr="00F75C47">
        <w:rPr>
          <w:rFonts w:asciiTheme="majorBidi" w:hAnsiTheme="majorBidi" w:cstheme="majorBidi"/>
          <w:sz w:val="20"/>
          <w:szCs w:val="20"/>
        </w:rPr>
        <w:t>.</w:t>
      </w:r>
      <w:r w:rsidR="00E01B1A" w:rsidRPr="00F75C47">
        <w:rPr>
          <w:rStyle w:val="FootnoteReference"/>
          <w:rFonts w:asciiTheme="majorBidi" w:hAnsiTheme="majorBidi" w:cstheme="majorBidi"/>
          <w:sz w:val="20"/>
          <w:szCs w:val="20"/>
        </w:rPr>
        <w:footnoteReference w:id="80"/>
      </w:r>
    </w:p>
    <w:p w14:paraId="72BB7535" w14:textId="389B01F1" w:rsidR="00E01B1A" w:rsidRPr="00F75C47" w:rsidRDefault="00E01B1A" w:rsidP="000F2392">
      <w:pPr>
        <w:numPr>
          <w:ilvl w:val="0"/>
          <w:numId w:val="2"/>
        </w:numPr>
        <w:tabs>
          <w:tab w:val="left" w:pos="1701"/>
        </w:tabs>
        <w:suppressAutoHyphens/>
        <w:spacing w:after="120" w:line="240" w:lineRule="atLeast"/>
        <w:ind w:left="1134" w:right="521" w:firstLine="0"/>
        <w:jc w:val="both"/>
        <w:rPr>
          <w:rFonts w:asciiTheme="majorBidi" w:hAnsiTheme="majorBidi" w:cstheme="majorBidi"/>
          <w:sz w:val="20"/>
          <w:szCs w:val="20"/>
        </w:rPr>
      </w:pPr>
      <w:r w:rsidRPr="00F75C47">
        <w:rPr>
          <w:rFonts w:asciiTheme="majorBidi" w:hAnsiTheme="majorBidi" w:cstheme="majorBidi"/>
          <w:sz w:val="20"/>
          <w:szCs w:val="20"/>
        </w:rPr>
        <w:t xml:space="preserve">The communicants </w:t>
      </w:r>
      <w:r w:rsidR="00155A84" w:rsidRPr="00F75C47">
        <w:rPr>
          <w:rFonts w:asciiTheme="majorBidi" w:hAnsiTheme="majorBidi" w:cstheme="majorBidi"/>
          <w:sz w:val="20"/>
          <w:szCs w:val="20"/>
        </w:rPr>
        <w:t xml:space="preserve">and observer </w:t>
      </w:r>
      <w:proofErr w:type="spellStart"/>
      <w:r w:rsidR="00155A84" w:rsidRPr="00F75C47">
        <w:rPr>
          <w:rFonts w:asciiTheme="majorBidi" w:hAnsiTheme="majorBidi" w:cstheme="majorBidi"/>
          <w:sz w:val="20"/>
          <w:szCs w:val="20"/>
        </w:rPr>
        <w:t>ClientEarth</w:t>
      </w:r>
      <w:proofErr w:type="spellEnd"/>
      <w:r w:rsidR="00155A84" w:rsidRPr="00F75C47">
        <w:rPr>
          <w:rFonts w:asciiTheme="majorBidi" w:hAnsiTheme="majorBidi" w:cstheme="majorBidi"/>
          <w:sz w:val="20"/>
          <w:szCs w:val="20"/>
        </w:rPr>
        <w:t xml:space="preserve"> </w:t>
      </w:r>
      <w:r w:rsidRPr="00F75C47">
        <w:rPr>
          <w:rFonts w:asciiTheme="majorBidi" w:hAnsiTheme="majorBidi" w:cstheme="majorBidi"/>
          <w:sz w:val="20"/>
          <w:szCs w:val="20"/>
        </w:rPr>
        <w:t xml:space="preserve">submit that the status of being an intervener in </w:t>
      </w:r>
      <w:r w:rsidR="000F2392" w:rsidRPr="00F75C47">
        <w:rPr>
          <w:rFonts w:asciiTheme="majorBidi" w:hAnsiTheme="majorBidi" w:cstheme="majorBidi"/>
          <w:sz w:val="20"/>
          <w:szCs w:val="20"/>
        </w:rPr>
        <w:t xml:space="preserve">an ongoing annulment procedure in </w:t>
      </w:r>
      <w:r w:rsidRPr="00F75C47">
        <w:rPr>
          <w:rFonts w:asciiTheme="majorBidi" w:hAnsiTheme="majorBidi" w:cstheme="majorBidi"/>
          <w:sz w:val="20"/>
          <w:szCs w:val="20"/>
        </w:rPr>
        <w:t xml:space="preserve">no way meets the requirements of article 9(3) </w:t>
      </w:r>
      <w:r w:rsidR="00155A84" w:rsidRPr="00F75C47">
        <w:rPr>
          <w:rFonts w:asciiTheme="majorBidi" w:hAnsiTheme="majorBidi" w:cstheme="majorBidi"/>
          <w:sz w:val="20"/>
          <w:szCs w:val="20"/>
        </w:rPr>
        <w:t>of the Convention. They submit</w:t>
      </w:r>
      <w:r w:rsidR="006F0E12" w:rsidRPr="00F75C47">
        <w:rPr>
          <w:rFonts w:asciiTheme="majorBidi" w:hAnsiTheme="majorBidi" w:cstheme="majorBidi"/>
          <w:sz w:val="20"/>
          <w:szCs w:val="20"/>
        </w:rPr>
        <w:t>, moreover,</w:t>
      </w:r>
      <w:r w:rsidR="00155A84" w:rsidRPr="00F75C47">
        <w:rPr>
          <w:rFonts w:asciiTheme="majorBidi" w:hAnsiTheme="majorBidi" w:cstheme="majorBidi"/>
          <w:sz w:val="20"/>
          <w:szCs w:val="20"/>
        </w:rPr>
        <w:t xml:space="preserve"> that in </w:t>
      </w:r>
      <w:proofErr w:type="spellStart"/>
      <w:r w:rsidR="00155A84" w:rsidRPr="00F75C47">
        <w:rPr>
          <w:rFonts w:asciiTheme="majorBidi" w:hAnsiTheme="majorBidi" w:cstheme="majorBidi"/>
          <w:i/>
          <w:iCs/>
          <w:sz w:val="20"/>
          <w:szCs w:val="20"/>
        </w:rPr>
        <w:t>Castelnou</w:t>
      </w:r>
      <w:proofErr w:type="spellEnd"/>
      <w:r w:rsidR="00155A84" w:rsidRPr="00F75C47">
        <w:rPr>
          <w:rFonts w:asciiTheme="majorBidi" w:hAnsiTheme="majorBidi" w:cstheme="majorBidi"/>
          <w:sz w:val="20"/>
          <w:szCs w:val="20"/>
        </w:rPr>
        <w:t xml:space="preserve"> </w:t>
      </w:r>
      <w:r w:rsidR="006F0E12" w:rsidRPr="00F75C47">
        <w:rPr>
          <w:rFonts w:asciiTheme="majorBidi" w:hAnsiTheme="majorBidi" w:cstheme="majorBidi"/>
          <w:sz w:val="20"/>
          <w:szCs w:val="20"/>
        </w:rPr>
        <w:t>the General Court adopted a very narrow interpretation of which NGOs were entitled to intervene</w:t>
      </w:r>
      <w:r w:rsidRPr="00F75C47">
        <w:rPr>
          <w:rFonts w:asciiTheme="majorBidi" w:hAnsiTheme="majorBidi" w:cstheme="majorBidi"/>
          <w:sz w:val="20"/>
          <w:szCs w:val="20"/>
        </w:rPr>
        <w:t>.</w:t>
      </w:r>
      <w:r w:rsidRPr="00F75C47">
        <w:rPr>
          <w:rStyle w:val="FootnoteReference"/>
          <w:rFonts w:asciiTheme="majorBidi" w:hAnsiTheme="majorBidi" w:cstheme="majorBidi"/>
          <w:sz w:val="20"/>
          <w:szCs w:val="20"/>
        </w:rPr>
        <w:footnoteReference w:id="81"/>
      </w:r>
      <w:r w:rsidRPr="00F75C47">
        <w:rPr>
          <w:rFonts w:asciiTheme="majorBidi" w:hAnsiTheme="majorBidi" w:cstheme="majorBidi"/>
          <w:sz w:val="20"/>
          <w:szCs w:val="20"/>
        </w:rPr>
        <w:t xml:space="preserve"> </w:t>
      </w:r>
    </w:p>
    <w:p w14:paraId="1A437D6F" w14:textId="3FB905F5" w:rsidR="004A21DE" w:rsidRPr="00F75C47" w:rsidRDefault="004A21DE" w:rsidP="007D18DC">
      <w:pPr>
        <w:tabs>
          <w:tab w:val="left" w:pos="1701"/>
        </w:tabs>
        <w:suppressAutoHyphens/>
        <w:spacing w:after="120" w:line="240" w:lineRule="atLeast"/>
        <w:ind w:left="1134" w:right="521"/>
        <w:jc w:val="both"/>
        <w:rPr>
          <w:rFonts w:asciiTheme="majorBidi" w:hAnsiTheme="majorBidi"/>
          <w:sz w:val="20"/>
        </w:rPr>
      </w:pPr>
      <w:r w:rsidRPr="00F75C47">
        <w:rPr>
          <w:rFonts w:asciiTheme="majorBidi" w:hAnsiTheme="majorBidi"/>
          <w:sz w:val="20"/>
          <w:u w:val="single"/>
        </w:rPr>
        <w:t>Preliminary ruling procedures under article 267 TFEU</w:t>
      </w:r>
    </w:p>
    <w:p w14:paraId="47DA4107" w14:textId="3AE9BAB3" w:rsidR="001704C0" w:rsidRPr="00F75C47" w:rsidRDefault="0006508B" w:rsidP="001704C0">
      <w:pPr>
        <w:numPr>
          <w:ilvl w:val="0"/>
          <w:numId w:val="2"/>
        </w:numPr>
        <w:tabs>
          <w:tab w:val="left" w:pos="1701"/>
        </w:tabs>
        <w:suppressAutoHyphens/>
        <w:spacing w:after="120" w:line="240" w:lineRule="atLeast"/>
        <w:ind w:left="1134" w:right="521" w:firstLine="0"/>
        <w:jc w:val="both"/>
        <w:rPr>
          <w:rFonts w:asciiTheme="majorBidi" w:hAnsiTheme="majorBidi" w:cstheme="majorBidi"/>
          <w:sz w:val="20"/>
          <w:szCs w:val="20"/>
        </w:rPr>
      </w:pPr>
      <w:r w:rsidRPr="00F75C47">
        <w:rPr>
          <w:rFonts w:asciiTheme="majorBidi" w:hAnsiTheme="majorBidi" w:cstheme="majorBidi"/>
          <w:sz w:val="20"/>
          <w:szCs w:val="20"/>
        </w:rPr>
        <w:t>The Party concerned states that natural or legal persons who do not fulfil the conditions for a direct action under article 263(4) TFEU can challenge the validity of the decision before the national courts and ask the latter to request a preliminary ruling from the CJEU under article 267 TFEU.</w:t>
      </w:r>
      <w:r w:rsidRPr="00F75C47">
        <w:rPr>
          <w:rStyle w:val="FootnoteReference"/>
          <w:rFonts w:asciiTheme="majorBidi" w:hAnsiTheme="majorBidi" w:cstheme="majorBidi"/>
          <w:sz w:val="20"/>
          <w:szCs w:val="20"/>
        </w:rPr>
        <w:footnoteReference w:id="82"/>
      </w:r>
      <w:r w:rsidRPr="00F75C47">
        <w:rPr>
          <w:rFonts w:asciiTheme="majorBidi" w:hAnsiTheme="majorBidi" w:cstheme="majorBidi"/>
          <w:sz w:val="20"/>
          <w:szCs w:val="20"/>
        </w:rPr>
        <w:t xml:space="preserve"> </w:t>
      </w:r>
      <w:r w:rsidR="00A679AA" w:rsidRPr="00F75C47">
        <w:rPr>
          <w:rFonts w:asciiTheme="majorBidi" w:hAnsiTheme="majorBidi" w:cstheme="majorBidi"/>
          <w:sz w:val="20"/>
          <w:szCs w:val="20"/>
        </w:rPr>
        <w:t xml:space="preserve">It submits that </w:t>
      </w:r>
      <w:r w:rsidR="001704C0" w:rsidRPr="00F75C47">
        <w:rPr>
          <w:rFonts w:asciiTheme="majorBidi" w:hAnsiTheme="majorBidi" w:cstheme="majorBidi"/>
          <w:sz w:val="20"/>
          <w:szCs w:val="20"/>
        </w:rPr>
        <w:t>this has been confirmed by the CJEU in Case C-640/16 P</w:t>
      </w:r>
      <w:r w:rsidR="00E16B3B" w:rsidRPr="00F75C47">
        <w:rPr>
          <w:rFonts w:asciiTheme="majorBidi" w:hAnsiTheme="majorBidi" w:cstheme="majorBidi"/>
          <w:sz w:val="20"/>
          <w:szCs w:val="20"/>
        </w:rPr>
        <w:t>,</w:t>
      </w:r>
      <w:r w:rsidR="001704C0" w:rsidRPr="00F75C47">
        <w:rPr>
          <w:rFonts w:asciiTheme="majorBidi" w:hAnsiTheme="majorBidi" w:cstheme="majorBidi"/>
          <w:sz w:val="20"/>
          <w:szCs w:val="20"/>
        </w:rPr>
        <w:t xml:space="preserve"> </w:t>
      </w:r>
      <w:r w:rsidR="001704C0" w:rsidRPr="00F75C47">
        <w:rPr>
          <w:rFonts w:asciiTheme="majorBidi" w:hAnsiTheme="majorBidi" w:cstheme="majorBidi"/>
          <w:i/>
          <w:iCs/>
          <w:sz w:val="20"/>
          <w:szCs w:val="20"/>
        </w:rPr>
        <w:t>Greenpeace Energy</w:t>
      </w:r>
      <w:r w:rsidR="00E16B3B" w:rsidRPr="00F75C47">
        <w:rPr>
          <w:rFonts w:asciiTheme="majorBidi" w:hAnsiTheme="majorBidi" w:cstheme="majorBidi"/>
          <w:i/>
          <w:iCs/>
          <w:sz w:val="20"/>
          <w:szCs w:val="20"/>
        </w:rPr>
        <w:t xml:space="preserve"> v European Commission</w:t>
      </w:r>
      <w:r w:rsidR="001704C0" w:rsidRPr="00F75C47">
        <w:rPr>
          <w:rFonts w:asciiTheme="majorBidi" w:hAnsiTheme="majorBidi" w:cstheme="majorBidi"/>
          <w:i/>
          <w:iCs/>
          <w:sz w:val="20"/>
          <w:szCs w:val="20"/>
        </w:rPr>
        <w:t>,</w:t>
      </w:r>
      <w:r w:rsidR="001704C0" w:rsidRPr="00F75C47">
        <w:rPr>
          <w:rFonts w:asciiTheme="majorBidi" w:hAnsiTheme="majorBidi" w:cstheme="majorBidi"/>
          <w:sz w:val="20"/>
          <w:szCs w:val="20"/>
        </w:rPr>
        <w:t xml:space="preserve"> in relation to </w:t>
      </w:r>
      <w:r w:rsidR="00E16B3B" w:rsidRPr="00F75C47">
        <w:rPr>
          <w:rFonts w:asciiTheme="majorBidi" w:hAnsiTheme="majorBidi" w:cstheme="majorBidi"/>
          <w:sz w:val="20"/>
          <w:szCs w:val="20"/>
        </w:rPr>
        <w:t>the 2014 Decision itself</w:t>
      </w:r>
      <w:r w:rsidR="001704C0" w:rsidRPr="00F75C47">
        <w:rPr>
          <w:rFonts w:asciiTheme="majorBidi" w:hAnsiTheme="majorBidi" w:cstheme="majorBidi"/>
          <w:sz w:val="20"/>
          <w:szCs w:val="20"/>
        </w:rPr>
        <w:t>.</w:t>
      </w:r>
      <w:r w:rsidR="001704C0" w:rsidRPr="00F75C47">
        <w:rPr>
          <w:rStyle w:val="FootnoteReference"/>
          <w:rFonts w:asciiTheme="majorBidi" w:hAnsiTheme="majorBidi" w:cstheme="majorBidi"/>
          <w:sz w:val="20"/>
          <w:szCs w:val="20"/>
        </w:rPr>
        <w:footnoteReference w:id="83"/>
      </w:r>
    </w:p>
    <w:p w14:paraId="360F0B9B" w14:textId="62D1EED0" w:rsidR="0006508B" w:rsidRPr="00F75C47" w:rsidRDefault="00E16B3B" w:rsidP="0006508B">
      <w:pPr>
        <w:numPr>
          <w:ilvl w:val="0"/>
          <w:numId w:val="2"/>
        </w:numPr>
        <w:tabs>
          <w:tab w:val="left" w:pos="1701"/>
        </w:tabs>
        <w:suppressAutoHyphens/>
        <w:spacing w:after="120" w:line="240" w:lineRule="atLeast"/>
        <w:ind w:left="1134" w:right="521" w:firstLine="0"/>
        <w:jc w:val="both"/>
        <w:rPr>
          <w:rFonts w:asciiTheme="majorBidi" w:hAnsiTheme="majorBidi" w:cstheme="majorBidi"/>
          <w:sz w:val="20"/>
          <w:szCs w:val="20"/>
        </w:rPr>
      </w:pPr>
      <w:r w:rsidRPr="00F75C47">
        <w:rPr>
          <w:rFonts w:asciiTheme="majorBidi" w:hAnsiTheme="majorBidi" w:cstheme="majorBidi"/>
          <w:sz w:val="20"/>
          <w:szCs w:val="20"/>
        </w:rPr>
        <w:t xml:space="preserve">The Party concerned claims that </w:t>
      </w:r>
      <w:r w:rsidR="00A679AA" w:rsidRPr="00F75C47">
        <w:rPr>
          <w:rFonts w:asciiTheme="majorBidi" w:hAnsiTheme="majorBidi" w:cstheme="majorBidi"/>
          <w:sz w:val="20"/>
          <w:szCs w:val="20"/>
        </w:rPr>
        <w:t xml:space="preserve">NGOs have unlimited access to the national courts and can </w:t>
      </w:r>
      <w:r w:rsidRPr="00F75C47">
        <w:rPr>
          <w:rFonts w:asciiTheme="majorBidi" w:hAnsiTheme="majorBidi" w:cstheme="majorBidi"/>
          <w:sz w:val="20"/>
          <w:szCs w:val="20"/>
        </w:rPr>
        <w:t xml:space="preserve">from there </w:t>
      </w:r>
      <w:r w:rsidR="00A679AA" w:rsidRPr="00F75C47">
        <w:rPr>
          <w:rFonts w:asciiTheme="majorBidi" w:hAnsiTheme="majorBidi" w:cstheme="majorBidi"/>
          <w:sz w:val="20"/>
          <w:szCs w:val="20"/>
        </w:rPr>
        <w:t>ask a national court to refer a matter to the CJEU under article 267 TFEU.</w:t>
      </w:r>
      <w:r w:rsidR="00A679AA" w:rsidRPr="00F75C47">
        <w:rPr>
          <w:rStyle w:val="FootnoteReference"/>
          <w:rFonts w:asciiTheme="majorBidi" w:hAnsiTheme="majorBidi" w:cstheme="majorBidi"/>
          <w:sz w:val="20"/>
          <w:szCs w:val="20"/>
        </w:rPr>
        <w:footnoteReference w:id="84"/>
      </w:r>
      <w:r w:rsidR="00A679AA" w:rsidRPr="00F75C47">
        <w:rPr>
          <w:rFonts w:asciiTheme="majorBidi" w:hAnsiTheme="majorBidi" w:cstheme="majorBidi"/>
          <w:sz w:val="20"/>
          <w:szCs w:val="20"/>
        </w:rPr>
        <w:t xml:space="preserve"> </w:t>
      </w:r>
      <w:r w:rsidR="0006508B" w:rsidRPr="00F75C47">
        <w:rPr>
          <w:rFonts w:asciiTheme="majorBidi" w:hAnsiTheme="majorBidi" w:cstheme="majorBidi"/>
          <w:sz w:val="20"/>
          <w:szCs w:val="20"/>
        </w:rPr>
        <w:t>It provides the Committee with a number of cases in which national courts made a preliminary reference to the CJEU regarding the validity of a Commission state aid decision. It concedes that none of these cases were brought by an environmental NGO.</w:t>
      </w:r>
      <w:r w:rsidR="0006508B" w:rsidRPr="00F75C47">
        <w:rPr>
          <w:rStyle w:val="FootnoteReference"/>
          <w:rFonts w:asciiTheme="majorBidi" w:hAnsiTheme="majorBidi" w:cstheme="majorBidi"/>
          <w:sz w:val="20"/>
          <w:szCs w:val="20"/>
        </w:rPr>
        <w:footnoteReference w:id="85"/>
      </w:r>
      <w:r w:rsidR="0006508B" w:rsidRPr="00F75C47">
        <w:rPr>
          <w:rFonts w:asciiTheme="majorBidi" w:hAnsiTheme="majorBidi" w:cstheme="majorBidi"/>
          <w:sz w:val="20"/>
          <w:szCs w:val="20"/>
        </w:rPr>
        <w:t xml:space="preserve"> </w:t>
      </w:r>
    </w:p>
    <w:p w14:paraId="11FAE2AA" w14:textId="5153E369" w:rsidR="0006508B" w:rsidRPr="00F75C47" w:rsidRDefault="00845D34" w:rsidP="00693422">
      <w:pPr>
        <w:numPr>
          <w:ilvl w:val="0"/>
          <w:numId w:val="2"/>
        </w:numPr>
        <w:tabs>
          <w:tab w:val="left" w:pos="1701"/>
        </w:tabs>
        <w:suppressAutoHyphens/>
        <w:spacing w:after="120" w:line="240" w:lineRule="atLeast"/>
        <w:ind w:left="1134" w:right="521" w:firstLine="0"/>
        <w:jc w:val="both"/>
        <w:rPr>
          <w:rFonts w:asciiTheme="majorBidi" w:hAnsiTheme="majorBidi" w:cstheme="majorBidi"/>
          <w:sz w:val="20"/>
          <w:szCs w:val="20"/>
        </w:rPr>
      </w:pPr>
      <w:r w:rsidRPr="00F75C47">
        <w:rPr>
          <w:rFonts w:asciiTheme="majorBidi" w:hAnsiTheme="majorBidi" w:cstheme="majorBidi"/>
          <w:sz w:val="20"/>
          <w:szCs w:val="20"/>
        </w:rPr>
        <w:t xml:space="preserve">The Party concerned </w:t>
      </w:r>
      <w:r w:rsidR="000352AC" w:rsidRPr="00F75C47">
        <w:rPr>
          <w:rFonts w:asciiTheme="majorBidi" w:hAnsiTheme="majorBidi" w:cstheme="majorBidi"/>
          <w:sz w:val="20"/>
          <w:szCs w:val="20"/>
        </w:rPr>
        <w:t xml:space="preserve">refers </w:t>
      </w:r>
      <w:r w:rsidR="00F55116" w:rsidRPr="00F75C47">
        <w:rPr>
          <w:rFonts w:asciiTheme="majorBidi" w:hAnsiTheme="majorBidi" w:cstheme="majorBidi"/>
          <w:sz w:val="20"/>
          <w:szCs w:val="20"/>
        </w:rPr>
        <w:t xml:space="preserve">in particular </w:t>
      </w:r>
      <w:r w:rsidR="000352AC" w:rsidRPr="00F75C47">
        <w:rPr>
          <w:rFonts w:asciiTheme="majorBidi" w:hAnsiTheme="majorBidi" w:cstheme="majorBidi"/>
          <w:sz w:val="20"/>
          <w:szCs w:val="20"/>
        </w:rPr>
        <w:t>to</w:t>
      </w:r>
      <w:r w:rsidRPr="00F75C47">
        <w:rPr>
          <w:rFonts w:asciiTheme="majorBidi" w:hAnsiTheme="majorBidi" w:cstheme="majorBidi"/>
          <w:sz w:val="20"/>
          <w:szCs w:val="20"/>
        </w:rPr>
        <w:t xml:space="preserve"> the 17 September 2020 </w:t>
      </w:r>
      <w:r w:rsidR="0006508B" w:rsidRPr="00F75C47">
        <w:rPr>
          <w:rFonts w:asciiTheme="majorBidi" w:hAnsiTheme="majorBidi" w:cstheme="majorBidi"/>
          <w:sz w:val="20"/>
          <w:szCs w:val="20"/>
        </w:rPr>
        <w:t xml:space="preserve">judgment in C-212/19, </w:t>
      </w:r>
      <w:r w:rsidR="0006508B" w:rsidRPr="00F75C47">
        <w:rPr>
          <w:rFonts w:asciiTheme="majorBidi" w:hAnsiTheme="majorBidi" w:cstheme="majorBidi"/>
          <w:i/>
          <w:iCs/>
          <w:sz w:val="20"/>
          <w:szCs w:val="20"/>
        </w:rPr>
        <w:t xml:space="preserve">Compagnie des </w:t>
      </w:r>
      <w:proofErr w:type="spellStart"/>
      <w:r w:rsidR="0006508B" w:rsidRPr="00F75C47">
        <w:rPr>
          <w:rFonts w:asciiTheme="majorBidi" w:hAnsiTheme="majorBidi" w:cstheme="majorBidi"/>
          <w:i/>
          <w:iCs/>
          <w:sz w:val="20"/>
          <w:szCs w:val="20"/>
        </w:rPr>
        <w:t>pêches</w:t>
      </w:r>
      <w:proofErr w:type="spellEnd"/>
      <w:r w:rsidR="0006508B" w:rsidRPr="00F75C47">
        <w:rPr>
          <w:rFonts w:asciiTheme="majorBidi" w:hAnsiTheme="majorBidi" w:cstheme="majorBidi"/>
          <w:i/>
          <w:iCs/>
          <w:sz w:val="20"/>
          <w:szCs w:val="20"/>
        </w:rPr>
        <w:t xml:space="preserve"> de Saint-Malo</w:t>
      </w:r>
      <w:r w:rsidR="0006508B" w:rsidRPr="00F75C47">
        <w:rPr>
          <w:rFonts w:asciiTheme="majorBidi" w:hAnsiTheme="majorBidi" w:cstheme="majorBidi"/>
          <w:sz w:val="20"/>
          <w:szCs w:val="20"/>
        </w:rPr>
        <w:t>,</w:t>
      </w:r>
      <w:r w:rsidR="000352AC" w:rsidRPr="00F75C47">
        <w:rPr>
          <w:rFonts w:asciiTheme="majorBidi" w:hAnsiTheme="majorBidi" w:cstheme="majorBidi"/>
          <w:sz w:val="20"/>
          <w:szCs w:val="20"/>
        </w:rPr>
        <w:t xml:space="preserve"> in which the CJEU</w:t>
      </w:r>
      <w:r w:rsidR="0006508B" w:rsidRPr="00F75C47">
        <w:rPr>
          <w:rFonts w:asciiTheme="majorBidi" w:hAnsiTheme="majorBidi" w:cstheme="majorBidi"/>
          <w:sz w:val="20"/>
          <w:szCs w:val="20"/>
        </w:rPr>
        <w:t xml:space="preserve">, following a reference </w:t>
      </w:r>
      <w:r w:rsidR="00A0503D">
        <w:rPr>
          <w:rFonts w:asciiTheme="majorBidi" w:hAnsiTheme="majorBidi" w:cstheme="majorBidi"/>
          <w:sz w:val="20"/>
          <w:szCs w:val="20"/>
        </w:rPr>
        <w:t xml:space="preserve">for a preliminary ruling </w:t>
      </w:r>
      <w:r w:rsidR="0006508B" w:rsidRPr="00F75C47">
        <w:rPr>
          <w:rFonts w:asciiTheme="majorBidi" w:hAnsiTheme="majorBidi" w:cstheme="majorBidi"/>
          <w:sz w:val="20"/>
          <w:szCs w:val="20"/>
        </w:rPr>
        <w:t xml:space="preserve">contesting the validity of a Commission decision on </w:t>
      </w:r>
      <w:r w:rsidRPr="00F75C47">
        <w:rPr>
          <w:rFonts w:asciiTheme="majorBidi" w:hAnsiTheme="majorBidi" w:cstheme="majorBidi"/>
          <w:sz w:val="20"/>
          <w:szCs w:val="20"/>
        </w:rPr>
        <w:t>s</w:t>
      </w:r>
      <w:r w:rsidR="0006508B" w:rsidRPr="00F75C47">
        <w:rPr>
          <w:rFonts w:asciiTheme="majorBidi" w:hAnsiTheme="majorBidi" w:cstheme="majorBidi"/>
          <w:sz w:val="20"/>
          <w:szCs w:val="20"/>
        </w:rPr>
        <w:t>tate aid, declared the Commission decision invalid.</w:t>
      </w:r>
      <w:r w:rsidR="0006508B" w:rsidRPr="00F75C47">
        <w:rPr>
          <w:rStyle w:val="FootnoteReference"/>
          <w:rFonts w:asciiTheme="majorBidi" w:hAnsiTheme="majorBidi" w:cstheme="majorBidi"/>
          <w:sz w:val="20"/>
          <w:szCs w:val="20"/>
        </w:rPr>
        <w:footnoteReference w:id="86"/>
      </w:r>
      <w:r w:rsidR="000352AC" w:rsidRPr="00F75C47">
        <w:rPr>
          <w:rFonts w:asciiTheme="majorBidi" w:hAnsiTheme="majorBidi" w:cstheme="majorBidi"/>
          <w:sz w:val="20"/>
          <w:szCs w:val="20"/>
        </w:rPr>
        <w:t xml:space="preserve"> The Party concerned submits that th</w:t>
      </w:r>
      <w:r w:rsidR="00F55116" w:rsidRPr="00F75C47">
        <w:rPr>
          <w:rFonts w:asciiTheme="majorBidi" w:hAnsiTheme="majorBidi" w:cstheme="majorBidi"/>
          <w:sz w:val="20"/>
          <w:szCs w:val="20"/>
        </w:rPr>
        <w:t>e</w:t>
      </w:r>
      <w:r w:rsidR="000352AC" w:rsidRPr="00F75C47">
        <w:rPr>
          <w:rFonts w:asciiTheme="majorBidi" w:hAnsiTheme="majorBidi" w:cstheme="majorBidi"/>
          <w:sz w:val="20"/>
          <w:szCs w:val="20"/>
        </w:rPr>
        <w:t xml:space="preserve"> case illustrates the effectiveness of challenging the legality of state aid decisions before national courts, which then refer the matter to the CJEU by virtue of a reference </w:t>
      </w:r>
      <w:r w:rsidR="00A0503D">
        <w:rPr>
          <w:rFonts w:asciiTheme="majorBidi" w:hAnsiTheme="majorBidi" w:cstheme="majorBidi"/>
          <w:sz w:val="20"/>
          <w:szCs w:val="20"/>
        </w:rPr>
        <w:t xml:space="preserve">for a preliminary ruling </w:t>
      </w:r>
      <w:r w:rsidR="000352AC" w:rsidRPr="00F75C47">
        <w:rPr>
          <w:rFonts w:asciiTheme="majorBidi" w:hAnsiTheme="majorBidi" w:cstheme="majorBidi"/>
          <w:sz w:val="20"/>
          <w:szCs w:val="20"/>
        </w:rPr>
        <w:t>for validity pursuant to article 267 TFEU.</w:t>
      </w:r>
    </w:p>
    <w:p w14:paraId="303C21C8" w14:textId="7E3D0856" w:rsidR="002B3600" w:rsidRPr="00F75C47" w:rsidRDefault="004A21DE" w:rsidP="000F2392">
      <w:pPr>
        <w:numPr>
          <w:ilvl w:val="0"/>
          <w:numId w:val="2"/>
        </w:numPr>
        <w:tabs>
          <w:tab w:val="left" w:pos="1701"/>
        </w:tabs>
        <w:suppressAutoHyphens/>
        <w:spacing w:after="120" w:line="240" w:lineRule="atLeast"/>
        <w:ind w:left="1134" w:right="521" w:firstLine="0"/>
        <w:jc w:val="both"/>
        <w:rPr>
          <w:rFonts w:asciiTheme="majorBidi" w:hAnsiTheme="majorBidi"/>
          <w:sz w:val="20"/>
        </w:rPr>
      </w:pPr>
      <w:r w:rsidRPr="00F75C47">
        <w:rPr>
          <w:rFonts w:asciiTheme="majorBidi" w:hAnsiTheme="majorBidi"/>
          <w:sz w:val="20"/>
        </w:rPr>
        <w:t>The communicants</w:t>
      </w:r>
      <w:r w:rsidR="00587021" w:rsidRPr="00F75C47">
        <w:rPr>
          <w:rFonts w:asciiTheme="majorBidi" w:hAnsiTheme="majorBidi"/>
          <w:sz w:val="20"/>
        </w:rPr>
        <w:t xml:space="preserve"> point out that </w:t>
      </w:r>
      <w:r w:rsidR="006A3AB9" w:rsidRPr="00F75C47">
        <w:rPr>
          <w:rFonts w:asciiTheme="majorBidi" w:hAnsiTheme="majorBidi"/>
          <w:sz w:val="20"/>
        </w:rPr>
        <w:t xml:space="preserve">in its findings on communication </w:t>
      </w:r>
      <w:r w:rsidR="00587021" w:rsidRPr="00F75C47">
        <w:rPr>
          <w:rFonts w:asciiTheme="majorBidi" w:hAnsiTheme="majorBidi"/>
          <w:sz w:val="20"/>
        </w:rPr>
        <w:t>ACCC/C/2008/32 (Part I)</w:t>
      </w:r>
      <w:r w:rsidR="006A3AB9" w:rsidRPr="00F75C47">
        <w:rPr>
          <w:rFonts w:asciiTheme="majorBidi" w:hAnsiTheme="majorBidi"/>
          <w:sz w:val="20"/>
        </w:rPr>
        <w:t>,</w:t>
      </w:r>
      <w:r w:rsidR="00587021" w:rsidRPr="00F75C47">
        <w:rPr>
          <w:rStyle w:val="FootnoteReference"/>
          <w:rFonts w:asciiTheme="majorBidi" w:hAnsiTheme="majorBidi" w:cstheme="majorBidi"/>
          <w:sz w:val="20"/>
          <w:szCs w:val="20"/>
        </w:rPr>
        <w:footnoteReference w:id="87"/>
      </w:r>
      <w:r w:rsidR="00587021" w:rsidRPr="00F75C47">
        <w:rPr>
          <w:rFonts w:asciiTheme="majorBidi" w:hAnsiTheme="majorBidi"/>
          <w:sz w:val="20"/>
        </w:rPr>
        <w:t xml:space="preserve"> </w:t>
      </w:r>
      <w:r w:rsidR="006A3AB9" w:rsidRPr="00F75C47">
        <w:rPr>
          <w:rFonts w:asciiTheme="majorBidi" w:hAnsiTheme="majorBidi"/>
          <w:sz w:val="20"/>
        </w:rPr>
        <w:t xml:space="preserve">the Committee found </w:t>
      </w:r>
      <w:r w:rsidR="00587021" w:rsidRPr="00F75C47">
        <w:rPr>
          <w:rFonts w:asciiTheme="majorBidi" w:hAnsiTheme="majorBidi"/>
          <w:sz w:val="20"/>
        </w:rPr>
        <w:t>that the preliminary ruling procedure in article 267 TFEU had drawbacks and fails to compensate for the CJEU’s strict jurisprudence regarding standing in annulment procedures</w:t>
      </w:r>
      <w:r w:rsidR="00ED22C4" w:rsidRPr="00F75C47">
        <w:rPr>
          <w:rFonts w:asciiTheme="majorBidi" w:hAnsiTheme="majorBidi" w:cstheme="majorBidi"/>
          <w:sz w:val="20"/>
          <w:szCs w:val="20"/>
        </w:rPr>
        <w:t xml:space="preserve"> under article 263 TFEU</w:t>
      </w:r>
      <w:r w:rsidR="00587021" w:rsidRPr="00F75C47">
        <w:rPr>
          <w:rFonts w:asciiTheme="majorBidi" w:hAnsiTheme="majorBidi"/>
          <w:sz w:val="20"/>
        </w:rPr>
        <w:t>.</w:t>
      </w:r>
      <w:r w:rsidR="00587021" w:rsidRPr="00F75C47">
        <w:rPr>
          <w:rStyle w:val="FootnoteReference"/>
          <w:rFonts w:asciiTheme="majorBidi" w:hAnsiTheme="majorBidi" w:cstheme="majorBidi"/>
          <w:sz w:val="20"/>
          <w:szCs w:val="20"/>
        </w:rPr>
        <w:footnoteReference w:id="88"/>
      </w:r>
      <w:r w:rsidR="00587021" w:rsidRPr="00F75C47">
        <w:rPr>
          <w:rFonts w:asciiTheme="majorBidi" w:hAnsiTheme="majorBidi"/>
          <w:sz w:val="20"/>
        </w:rPr>
        <w:t xml:space="preserve"> They claim further that it is far from clear that NGOs and other members of the public will be granted standing in the national courts and that their complaint would be pursued adequately. </w:t>
      </w:r>
      <w:r w:rsidR="0046028A" w:rsidRPr="00F75C47">
        <w:rPr>
          <w:rFonts w:asciiTheme="majorBidi" w:hAnsiTheme="majorBidi"/>
          <w:sz w:val="20"/>
        </w:rPr>
        <w:t xml:space="preserve">They note also that courts do refuse to refer and even where they do, appeals within the national judicial system </w:t>
      </w:r>
      <w:r w:rsidR="00C60DCB" w:rsidRPr="00F75C47">
        <w:rPr>
          <w:rFonts w:asciiTheme="majorBidi" w:hAnsiTheme="majorBidi"/>
          <w:sz w:val="20"/>
        </w:rPr>
        <w:t>are</w:t>
      </w:r>
      <w:r w:rsidR="0046028A" w:rsidRPr="00F75C47">
        <w:rPr>
          <w:rFonts w:asciiTheme="majorBidi" w:hAnsiTheme="majorBidi"/>
          <w:sz w:val="20"/>
        </w:rPr>
        <w:t xml:space="preserve"> prone to consider</w:t>
      </w:r>
      <w:r w:rsidR="006A3AB9" w:rsidRPr="00F75C47">
        <w:rPr>
          <w:rFonts w:asciiTheme="majorBidi" w:hAnsiTheme="majorBidi"/>
          <w:sz w:val="20"/>
        </w:rPr>
        <w:t>able</w:t>
      </w:r>
      <w:r w:rsidR="0046028A" w:rsidRPr="00F75C47">
        <w:rPr>
          <w:rFonts w:asciiTheme="majorBidi" w:hAnsiTheme="majorBidi"/>
          <w:sz w:val="20"/>
        </w:rPr>
        <w:t xml:space="preserve"> costs and delays. They add that the decision of a member State</w:t>
      </w:r>
      <w:r w:rsidR="006A3AB9" w:rsidRPr="00F75C47">
        <w:rPr>
          <w:rFonts w:asciiTheme="majorBidi" w:hAnsiTheme="majorBidi"/>
          <w:sz w:val="20"/>
        </w:rPr>
        <w:t>’</w:t>
      </w:r>
      <w:r w:rsidR="0046028A" w:rsidRPr="00F75C47">
        <w:rPr>
          <w:rFonts w:asciiTheme="majorBidi" w:hAnsiTheme="majorBidi"/>
          <w:sz w:val="20"/>
        </w:rPr>
        <w:t xml:space="preserve">s national court following a preliminary ruling is generally only applicable within the referring member State, which is of concern to the communicants </w:t>
      </w:r>
      <w:r w:rsidR="00ED22C4" w:rsidRPr="00F75C47">
        <w:rPr>
          <w:rFonts w:asciiTheme="majorBidi" w:hAnsiTheme="majorBidi" w:cstheme="majorBidi"/>
          <w:sz w:val="20"/>
          <w:szCs w:val="20"/>
        </w:rPr>
        <w:t>as</w:t>
      </w:r>
      <w:r w:rsidR="00ED22C4" w:rsidRPr="00F75C47">
        <w:rPr>
          <w:rFonts w:asciiTheme="majorBidi" w:hAnsiTheme="majorBidi"/>
          <w:sz w:val="20"/>
        </w:rPr>
        <w:t xml:space="preserve"> </w:t>
      </w:r>
      <w:r w:rsidR="0046028A" w:rsidRPr="00F75C47">
        <w:rPr>
          <w:rFonts w:asciiTheme="majorBidi" w:hAnsiTheme="majorBidi"/>
          <w:sz w:val="20"/>
        </w:rPr>
        <w:t xml:space="preserve">they view the 2014 Decision as setting a dangerous precedent. They allege that the preliminary ruling procedure is an incomplete and imperfect means of accomplishing what should be accomplished in a direct action to the CJEU, namely the adjudication of claims involving breaches of EU laws by EU actors with EU-level consequences before the </w:t>
      </w:r>
      <w:r w:rsidR="00C60DCB" w:rsidRPr="00F75C47">
        <w:rPr>
          <w:rFonts w:asciiTheme="majorBidi" w:hAnsiTheme="majorBidi"/>
          <w:sz w:val="20"/>
        </w:rPr>
        <w:t>CJEU</w:t>
      </w:r>
      <w:r w:rsidR="0046028A" w:rsidRPr="00F75C47">
        <w:rPr>
          <w:rFonts w:asciiTheme="majorBidi" w:hAnsiTheme="majorBidi"/>
          <w:sz w:val="20"/>
        </w:rPr>
        <w:t>.</w:t>
      </w:r>
      <w:r w:rsidR="0046028A" w:rsidRPr="00F75C47">
        <w:rPr>
          <w:rStyle w:val="FootnoteReference"/>
          <w:rFonts w:asciiTheme="majorBidi" w:hAnsiTheme="majorBidi" w:cstheme="majorBidi"/>
          <w:sz w:val="20"/>
          <w:szCs w:val="20"/>
        </w:rPr>
        <w:t xml:space="preserve"> </w:t>
      </w:r>
      <w:r w:rsidR="0046028A" w:rsidRPr="00F75C47">
        <w:rPr>
          <w:rStyle w:val="FootnoteReference"/>
          <w:rFonts w:asciiTheme="majorBidi" w:hAnsiTheme="majorBidi" w:cstheme="majorBidi"/>
          <w:sz w:val="20"/>
          <w:szCs w:val="20"/>
        </w:rPr>
        <w:footnoteReference w:id="89"/>
      </w:r>
      <w:r w:rsidR="0046028A" w:rsidRPr="00F75C47">
        <w:rPr>
          <w:rFonts w:asciiTheme="majorBidi" w:hAnsiTheme="majorBidi"/>
          <w:sz w:val="20"/>
        </w:rPr>
        <w:t xml:space="preserve"> </w:t>
      </w:r>
    </w:p>
    <w:p w14:paraId="172EC28E" w14:textId="5BDE91EC" w:rsidR="004A21DE" w:rsidRPr="00F75C47" w:rsidRDefault="002B3600" w:rsidP="003D5AC3">
      <w:pPr>
        <w:numPr>
          <w:ilvl w:val="0"/>
          <w:numId w:val="2"/>
        </w:numPr>
        <w:tabs>
          <w:tab w:val="left" w:pos="1701"/>
        </w:tabs>
        <w:suppressAutoHyphens/>
        <w:spacing w:after="120" w:line="240" w:lineRule="atLeast"/>
        <w:ind w:left="1134" w:right="521" w:firstLine="0"/>
        <w:jc w:val="both"/>
        <w:rPr>
          <w:rFonts w:asciiTheme="majorBidi" w:hAnsiTheme="majorBidi"/>
          <w:sz w:val="20"/>
        </w:rPr>
      </w:pPr>
      <w:r w:rsidRPr="00F75C47">
        <w:rPr>
          <w:rFonts w:asciiTheme="majorBidi" w:hAnsiTheme="majorBidi"/>
          <w:sz w:val="20"/>
        </w:rPr>
        <w:t xml:space="preserve">The communicants moreover </w:t>
      </w:r>
      <w:r w:rsidR="004A21DE" w:rsidRPr="00F75C47">
        <w:rPr>
          <w:rFonts w:asciiTheme="majorBidi" w:hAnsiTheme="majorBidi" w:cstheme="majorBidi"/>
          <w:sz w:val="20"/>
          <w:szCs w:val="20"/>
        </w:rPr>
        <w:t>point out that none</w:t>
      </w:r>
      <w:r w:rsidR="004A21DE" w:rsidRPr="00F75C47">
        <w:rPr>
          <w:rFonts w:asciiTheme="majorBidi" w:hAnsiTheme="majorBidi"/>
          <w:sz w:val="20"/>
        </w:rPr>
        <w:t xml:space="preserve"> of the </w:t>
      </w:r>
      <w:r w:rsidR="00ED22C4" w:rsidRPr="00F75C47">
        <w:rPr>
          <w:rFonts w:asciiTheme="majorBidi" w:hAnsiTheme="majorBidi"/>
          <w:sz w:val="20"/>
        </w:rPr>
        <w:t xml:space="preserve">preliminary </w:t>
      </w:r>
      <w:r w:rsidR="00A0503D" w:rsidRPr="00F75C47">
        <w:rPr>
          <w:rFonts w:asciiTheme="majorBidi" w:hAnsiTheme="majorBidi"/>
          <w:sz w:val="20"/>
        </w:rPr>
        <w:t>r</w:t>
      </w:r>
      <w:r w:rsidR="00A0503D">
        <w:rPr>
          <w:rFonts w:asciiTheme="majorBidi" w:hAnsiTheme="majorBidi"/>
          <w:sz w:val="20"/>
        </w:rPr>
        <w:t>uling</w:t>
      </w:r>
      <w:r w:rsidR="00A0503D" w:rsidRPr="00F75C47">
        <w:rPr>
          <w:rFonts w:asciiTheme="majorBidi" w:hAnsiTheme="majorBidi"/>
          <w:sz w:val="20"/>
        </w:rPr>
        <w:t xml:space="preserve"> </w:t>
      </w:r>
      <w:r w:rsidR="004A21DE" w:rsidRPr="00F75C47">
        <w:rPr>
          <w:rFonts w:asciiTheme="majorBidi" w:hAnsiTheme="majorBidi"/>
          <w:sz w:val="20"/>
        </w:rPr>
        <w:t xml:space="preserve">cases </w:t>
      </w:r>
      <w:r w:rsidR="004A21DE" w:rsidRPr="00F75C47">
        <w:rPr>
          <w:rFonts w:asciiTheme="majorBidi" w:hAnsiTheme="majorBidi" w:cstheme="majorBidi"/>
          <w:sz w:val="20"/>
          <w:szCs w:val="20"/>
        </w:rPr>
        <w:t>cited</w:t>
      </w:r>
      <w:r w:rsidR="004A21DE" w:rsidRPr="00F75C47">
        <w:rPr>
          <w:rFonts w:asciiTheme="majorBidi" w:hAnsiTheme="majorBidi"/>
          <w:sz w:val="20"/>
        </w:rPr>
        <w:t xml:space="preserve"> </w:t>
      </w:r>
      <w:r w:rsidR="00ED22C4" w:rsidRPr="00F75C47">
        <w:rPr>
          <w:rFonts w:asciiTheme="majorBidi" w:hAnsiTheme="majorBidi"/>
          <w:sz w:val="20"/>
        </w:rPr>
        <w:t xml:space="preserve">by the Party concerned </w:t>
      </w:r>
      <w:r w:rsidR="004A21DE" w:rsidRPr="00F75C47">
        <w:rPr>
          <w:rFonts w:asciiTheme="majorBidi" w:hAnsiTheme="majorBidi"/>
          <w:sz w:val="20"/>
        </w:rPr>
        <w:t xml:space="preserve">indicate that NGOs or the public concerned have appropriate access to justice to challenge acts or omissions in state aid cases which relate to the environment, which is the thrust of the communication. To the contrary, the communicants claim that the cases underscore that NGOs and others trying to serve the public interest are entirely blocked because the claimants in these cases are almost exclusively competitors, beneficiaries of state aid who disputed the amount of aid owed or complained of having to return such aid, or </w:t>
      </w:r>
      <w:r w:rsidR="006A3AB9" w:rsidRPr="00F75C47">
        <w:rPr>
          <w:rFonts w:asciiTheme="majorBidi" w:hAnsiTheme="majorBidi"/>
          <w:sz w:val="20"/>
        </w:rPr>
        <w:t xml:space="preserve">States </w:t>
      </w:r>
      <w:r w:rsidR="004A21DE" w:rsidRPr="00F75C47">
        <w:rPr>
          <w:rFonts w:asciiTheme="majorBidi" w:hAnsiTheme="majorBidi"/>
          <w:sz w:val="20"/>
        </w:rPr>
        <w:t xml:space="preserve">and their bodies. The communicants submit this is unsurprising considering that for preliminary </w:t>
      </w:r>
      <w:r w:rsidR="00A0503D" w:rsidRPr="00F75C47">
        <w:rPr>
          <w:rFonts w:asciiTheme="majorBidi" w:hAnsiTheme="majorBidi"/>
          <w:sz w:val="20"/>
        </w:rPr>
        <w:t>r</w:t>
      </w:r>
      <w:r w:rsidR="00A0503D">
        <w:rPr>
          <w:rFonts w:asciiTheme="majorBidi" w:hAnsiTheme="majorBidi"/>
          <w:sz w:val="20"/>
        </w:rPr>
        <w:t xml:space="preserve">uling </w:t>
      </w:r>
      <w:r w:rsidR="004A21DE" w:rsidRPr="00F75C47">
        <w:rPr>
          <w:rFonts w:asciiTheme="majorBidi" w:hAnsiTheme="majorBidi"/>
          <w:sz w:val="20"/>
        </w:rPr>
        <w:t>cases there must always be a pending lawsuit at the national level, and standing is generally only accorded to those having an economic interest (or suffering an injury) related to such aid.</w:t>
      </w:r>
      <w:r w:rsidR="004A21DE" w:rsidRPr="00F75C47">
        <w:rPr>
          <w:rStyle w:val="FootnoteReference"/>
          <w:rFonts w:asciiTheme="majorBidi" w:hAnsiTheme="majorBidi"/>
        </w:rPr>
        <w:footnoteReference w:id="90"/>
      </w:r>
    </w:p>
    <w:p w14:paraId="5E5F5872" w14:textId="0BE4FA85" w:rsidR="00E01B1A" w:rsidRPr="00F75C47" w:rsidRDefault="002B3600" w:rsidP="00E01B1A">
      <w:pPr>
        <w:numPr>
          <w:ilvl w:val="0"/>
          <w:numId w:val="2"/>
        </w:numPr>
        <w:tabs>
          <w:tab w:val="left" w:pos="1701"/>
        </w:tabs>
        <w:suppressAutoHyphens/>
        <w:spacing w:after="120" w:line="240" w:lineRule="atLeast"/>
        <w:ind w:left="1134" w:right="521" w:firstLine="0"/>
        <w:jc w:val="both"/>
        <w:rPr>
          <w:rFonts w:asciiTheme="majorBidi" w:hAnsiTheme="majorBidi"/>
          <w:sz w:val="20"/>
          <w:u w:val="single"/>
        </w:rPr>
      </w:pPr>
      <w:r w:rsidRPr="00F75C47">
        <w:rPr>
          <w:rFonts w:asciiTheme="majorBidi" w:hAnsiTheme="majorBidi"/>
          <w:sz w:val="20"/>
        </w:rPr>
        <w:t>With regard to the submission of the Party concerned that the communicants could have challenged the matter before the courts</w:t>
      </w:r>
      <w:r w:rsidR="00C60DCB" w:rsidRPr="00F75C47">
        <w:rPr>
          <w:rFonts w:asciiTheme="majorBidi" w:hAnsiTheme="majorBidi"/>
          <w:sz w:val="20"/>
        </w:rPr>
        <w:t xml:space="preserve"> in the United Kingdom</w:t>
      </w:r>
      <w:r w:rsidRPr="00F75C47">
        <w:rPr>
          <w:rFonts w:asciiTheme="majorBidi" w:hAnsiTheme="majorBidi"/>
          <w:sz w:val="20"/>
        </w:rPr>
        <w:t xml:space="preserve">, observer Friends of the Earth England, </w:t>
      </w:r>
      <w:r w:rsidR="009E002A" w:rsidRPr="00F75C47">
        <w:rPr>
          <w:rFonts w:asciiTheme="majorBidi" w:hAnsiTheme="majorBidi" w:cstheme="majorBidi"/>
          <w:sz w:val="20"/>
        </w:rPr>
        <w:t xml:space="preserve">Wales and </w:t>
      </w:r>
      <w:r w:rsidRPr="00F75C47">
        <w:rPr>
          <w:rFonts w:asciiTheme="majorBidi" w:hAnsiTheme="majorBidi"/>
          <w:sz w:val="20"/>
        </w:rPr>
        <w:t xml:space="preserve">Northern Ireland submits that the Committee has found the United Kingdom to be in non-compliance with article 9(4) of the Convention and that this breach has not been remedied yet. Thus the observer claims that the communicants would be subject </w:t>
      </w:r>
      <w:r w:rsidR="00A0503D">
        <w:rPr>
          <w:rFonts w:asciiTheme="majorBidi" w:hAnsiTheme="majorBidi"/>
          <w:sz w:val="20"/>
        </w:rPr>
        <w:t xml:space="preserve">to </w:t>
      </w:r>
      <w:r w:rsidRPr="00F75C47">
        <w:rPr>
          <w:rFonts w:asciiTheme="majorBidi" w:hAnsiTheme="majorBidi"/>
          <w:sz w:val="20"/>
        </w:rPr>
        <w:t>costs of up to £10,000 if they had brought this case and lost, which would likely be a big deterrent, particularly when it is highly unlikely that the United Kingdom court would consider it had jurisdiction to hear the matter.</w:t>
      </w:r>
      <w:r w:rsidRPr="00F75C47">
        <w:rPr>
          <w:rStyle w:val="FootnoteReference"/>
          <w:rFonts w:asciiTheme="majorBidi" w:hAnsiTheme="majorBidi"/>
          <w:sz w:val="20"/>
        </w:rPr>
        <w:footnoteReference w:id="91"/>
      </w:r>
    </w:p>
    <w:p w14:paraId="0AD1053A" w14:textId="595AAE5F" w:rsidR="00E01B1A" w:rsidRPr="00F75C47" w:rsidRDefault="00E01B1A" w:rsidP="00E36EBA">
      <w:pPr>
        <w:numPr>
          <w:ilvl w:val="0"/>
          <w:numId w:val="2"/>
        </w:numPr>
        <w:tabs>
          <w:tab w:val="left" w:pos="1701"/>
        </w:tabs>
        <w:suppressAutoHyphens/>
        <w:spacing w:after="120" w:line="240" w:lineRule="atLeast"/>
        <w:ind w:left="1134" w:right="521" w:firstLine="0"/>
        <w:jc w:val="both"/>
        <w:rPr>
          <w:rFonts w:asciiTheme="majorBidi" w:hAnsiTheme="majorBidi"/>
          <w:sz w:val="20"/>
        </w:rPr>
      </w:pPr>
      <w:r w:rsidRPr="00F75C47">
        <w:rPr>
          <w:rFonts w:asciiTheme="majorBidi" w:hAnsiTheme="majorBidi" w:cstheme="majorBidi"/>
          <w:sz w:val="20"/>
          <w:szCs w:val="20"/>
        </w:rPr>
        <w:t xml:space="preserve">Observer </w:t>
      </w:r>
      <w:proofErr w:type="spellStart"/>
      <w:r w:rsidRPr="00F75C47">
        <w:rPr>
          <w:rFonts w:asciiTheme="majorBidi" w:hAnsiTheme="majorBidi" w:cstheme="majorBidi"/>
          <w:sz w:val="20"/>
          <w:szCs w:val="20"/>
        </w:rPr>
        <w:t>ClientEarth</w:t>
      </w:r>
      <w:proofErr w:type="spellEnd"/>
      <w:r w:rsidRPr="00F75C47">
        <w:rPr>
          <w:rFonts w:asciiTheme="majorBidi" w:hAnsiTheme="majorBidi" w:cstheme="majorBidi"/>
          <w:sz w:val="20"/>
          <w:szCs w:val="20"/>
        </w:rPr>
        <w:t xml:space="preserve"> submits that NGOs are not systematically admitted to bring cases before a national court, national courts do not have full jurisdiction on state aid matters, and existing caselaw on state aid decisions confirms a lack of access to the CJEU despite article 267 TFEU, in particular as there are extreme difficulties in convincing national courts to refer.</w:t>
      </w:r>
      <w:r w:rsidRPr="00F75C47">
        <w:rPr>
          <w:rStyle w:val="FootnoteReference"/>
          <w:rFonts w:asciiTheme="majorBidi" w:hAnsiTheme="majorBidi" w:cstheme="majorBidi"/>
          <w:sz w:val="20"/>
          <w:szCs w:val="20"/>
        </w:rPr>
        <w:footnoteReference w:id="92"/>
      </w:r>
      <w:r w:rsidRPr="00F75C47">
        <w:rPr>
          <w:rFonts w:asciiTheme="majorBidi" w:hAnsiTheme="majorBidi" w:cstheme="majorBidi"/>
          <w:sz w:val="20"/>
          <w:szCs w:val="20"/>
        </w:rPr>
        <w:t xml:space="preserve"> </w:t>
      </w:r>
      <w:proofErr w:type="spellStart"/>
      <w:r w:rsidRPr="00F75C47">
        <w:rPr>
          <w:rFonts w:asciiTheme="majorBidi" w:hAnsiTheme="majorBidi" w:cstheme="majorBidi"/>
          <w:sz w:val="20"/>
          <w:szCs w:val="20"/>
        </w:rPr>
        <w:t>ClientEarth</w:t>
      </w:r>
      <w:proofErr w:type="spellEnd"/>
      <w:r w:rsidRPr="00F75C47">
        <w:rPr>
          <w:rFonts w:asciiTheme="majorBidi" w:hAnsiTheme="majorBidi" w:cstheme="majorBidi"/>
          <w:sz w:val="20"/>
          <w:szCs w:val="20"/>
        </w:rPr>
        <w:t xml:space="preserve"> provides </w:t>
      </w:r>
      <w:r w:rsidR="00E36EBA" w:rsidRPr="00F75C47">
        <w:rPr>
          <w:rFonts w:asciiTheme="majorBidi" w:hAnsiTheme="majorBidi" w:cstheme="majorBidi"/>
          <w:sz w:val="20"/>
          <w:szCs w:val="20"/>
        </w:rPr>
        <w:t xml:space="preserve">a table of all then-available preliminary rulings on </w:t>
      </w:r>
      <w:r w:rsidR="00E16B3B" w:rsidRPr="00F75C47">
        <w:rPr>
          <w:rFonts w:asciiTheme="majorBidi" w:hAnsiTheme="majorBidi" w:cstheme="majorBidi"/>
          <w:sz w:val="20"/>
          <w:szCs w:val="20"/>
        </w:rPr>
        <w:t>s</w:t>
      </w:r>
      <w:r w:rsidR="00E36EBA" w:rsidRPr="00F75C47">
        <w:rPr>
          <w:rFonts w:asciiTheme="majorBidi" w:hAnsiTheme="majorBidi" w:cstheme="majorBidi"/>
          <w:sz w:val="20"/>
          <w:szCs w:val="20"/>
        </w:rPr>
        <w:t xml:space="preserve">tate aid matters related to energy and environment. It submits that of the sixteen rulings </w:t>
      </w:r>
      <w:r w:rsidRPr="00F75C47">
        <w:rPr>
          <w:rFonts w:asciiTheme="majorBidi" w:hAnsiTheme="majorBidi" w:cstheme="majorBidi"/>
          <w:sz w:val="20"/>
          <w:szCs w:val="20"/>
        </w:rPr>
        <w:t xml:space="preserve">only two cases </w:t>
      </w:r>
      <w:r w:rsidR="00E36EBA" w:rsidRPr="00F75C47">
        <w:rPr>
          <w:rFonts w:asciiTheme="majorBidi" w:hAnsiTheme="majorBidi" w:cstheme="majorBidi"/>
          <w:sz w:val="20"/>
          <w:szCs w:val="20"/>
        </w:rPr>
        <w:t>questioned</w:t>
      </w:r>
      <w:r w:rsidRPr="00F75C47">
        <w:rPr>
          <w:rFonts w:asciiTheme="majorBidi" w:hAnsiTheme="majorBidi" w:cstheme="majorBidi"/>
          <w:sz w:val="20"/>
          <w:szCs w:val="20"/>
        </w:rPr>
        <w:t xml:space="preserve"> the validity of the Commission’s </w:t>
      </w:r>
      <w:r w:rsidR="00E36EBA" w:rsidRPr="00F75C47">
        <w:rPr>
          <w:rFonts w:asciiTheme="majorBidi" w:hAnsiTheme="majorBidi" w:cstheme="majorBidi"/>
          <w:sz w:val="20"/>
          <w:szCs w:val="20"/>
        </w:rPr>
        <w:t xml:space="preserve">state aid </w:t>
      </w:r>
      <w:r w:rsidRPr="00F75C47">
        <w:rPr>
          <w:rFonts w:asciiTheme="majorBidi" w:hAnsiTheme="majorBidi" w:cstheme="majorBidi"/>
          <w:sz w:val="20"/>
          <w:szCs w:val="20"/>
        </w:rPr>
        <w:t>decision and none feature</w:t>
      </w:r>
      <w:r w:rsidR="00E36EBA" w:rsidRPr="00F75C47">
        <w:rPr>
          <w:rFonts w:asciiTheme="majorBidi" w:hAnsiTheme="majorBidi" w:cstheme="majorBidi"/>
          <w:sz w:val="20"/>
          <w:szCs w:val="20"/>
        </w:rPr>
        <w:t>d</w:t>
      </w:r>
      <w:r w:rsidRPr="00F75C47">
        <w:rPr>
          <w:rFonts w:asciiTheme="majorBidi" w:hAnsiTheme="majorBidi" w:cstheme="majorBidi"/>
          <w:sz w:val="20"/>
          <w:szCs w:val="20"/>
        </w:rPr>
        <w:t xml:space="preserve"> an NGO plaintiff.</w:t>
      </w:r>
      <w:r w:rsidRPr="00F75C47">
        <w:rPr>
          <w:rStyle w:val="FootnoteReference"/>
          <w:rFonts w:asciiTheme="majorBidi" w:hAnsiTheme="majorBidi" w:cstheme="majorBidi"/>
          <w:sz w:val="20"/>
          <w:szCs w:val="20"/>
        </w:rPr>
        <w:footnoteReference w:id="93"/>
      </w:r>
    </w:p>
    <w:p w14:paraId="3A1EC687" w14:textId="3852AE85" w:rsidR="0006405C" w:rsidRPr="00F75C47" w:rsidRDefault="0006405C" w:rsidP="0006405C">
      <w:pPr>
        <w:numPr>
          <w:ilvl w:val="0"/>
          <w:numId w:val="2"/>
        </w:numPr>
        <w:tabs>
          <w:tab w:val="left" w:pos="1701"/>
        </w:tabs>
        <w:suppressAutoHyphens/>
        <w:spacing w:after="120" w:line="240" w:lineRule="atLeast"/>
        <w:ind w:left="1134" w:right="521" w:firstLine="0"/>
        <w:jc w:val="both"/>
        <w:rPr>
          <w:rFonts w:asciiTheme="majorBidi" w:hAnsiTheme="majorBidi" w:cstheme="majorBidi"/>
          <w:b/>
          <w:sz w:val="20"/>
          <w:szCs w:val="20"/>
        </w:rPr>
      </w:pPr>
      <w:r w:rsidRPr="00F75C47">
        <w:rPr>
          <w:rFonts w:asciiTheme="majorBidi" w:hAnsiTheme="majorBidi" w:cstheme="majorBidi"/>
          <w:sz w:val="20"/>
          <w:szCs w:val="20"/>
        </w:rPr>
        <w:t xml:space="preserve">Finally, </w:t>
      </w:r>
      <w:proofErr w:type="spellStart"/>
      <w:r w:rsidRPr="00F75C47">
        <w:rPr>
          <w:rFonts w:asciiTheme="majorBidi" w:hAnsiTheme="majorBidi" w:cstheme="majorBidi"/>
          <w:sz w:val="20"/>
          <w:szCs w:val="20"/>
        </w:rPr>
        <w:t>ClientEarth</w:t>
      </w:r>
      <w:proofErr w:type="spellEnd"/>
      <w:r w:rsidRPr="00F75C47">
        <w:rPr>
          <w:rFonts w:asciiTheme="majorBidi" w:hAnsiTheme="majorBidi" w:cstheme="majorBidi"/>
          <w:sz w:val="20"/>
          <w:szCs w:val="20"/>
        </w:rPr>
        <w:t xml:space="preserve"> </w:t>
      </w:r>
      <w:r w:rsidR="003417C6" w:rsidRPr="00F75C47">
        <w:rPr>
          <w:rFonts w:asciiTheme="majorBidi" w:hAnsiTheme="majorBidi" w:cstheme="majorBidi"/>
          <w:sz w:val="20"/>
          <w:szCs w:val="20"/>
        </w:rPr>
        <w:t xml:space="preserve">refers to the 6 November 2018 judgment by the Grand Chamber in C-622/16 </w:t>
      </w:r>
      <w:proofErr w:type="spellStart"/>
      <w:r w:rsidR="003417C6" w:rsidRPr="00F75C47">
        <w:rPr>
          <w:rFonts w:asciiTheme="majorBidi" w:hAnsiTheme="majorBidi" w:cstheme="majorBidi"/>
          <w:i/>
          <w:iCs/>
          <w:sz w:val="20"/>
          <w:szCs w:val="20"/>
        </w:rPr>
        <w:t>Scuola</w:t>
      </w:r>
      <w:proofErr w:type="spellEnd"/>
      <w:r w:rsidR="003417C6" w:rsidRPr="00F75C47">
        <w:rPr>
          <w:rFonts w:asciiTheme="majorBidi" w:hAnsiTheme="majorBidi" w:cstheme="majorBidi"/>
          <w:i/>
          <w:iCs/>
          <w:sz w:val="20"/>
          <w:szCs w:val="20"/>
        </w:rPr>
        <w:t xml:space="preserve"> </w:t>
      </w:r>
      <w:proofErr w:type="spellStart"/>
      <w:r w:rsidR="003417C6" w:rsidRPr="00F75C47">
        <w:rPr>
          <w:rFonts w:asciiTheme="majorBidi" w:hAnsiTheme="majorBidi" w:cstheme="majorBidi"/>
          <w:i/>
          <w:iCs/>
          <w:sz w:val="20"/>
          <w:szCs w:val="20"/>
        </w:rPr>
        <w:t>Elementare</w:t>
      </w:r>
      <w:proofErr w:type="spellEnd"/>
      <w:r w:rsidR="003417C6" w:rsidRPr="00F75C47">
        <w:rPr>
          <w:rFonts w:asciiTheme="majorBidi" w:hAnsiTheme="majorBidi" w:cstheme="majorBidi"/>
          <w:i/>
          <w:iCs/>
          <w:sz w:val="20"/>
          <w:szCs w:val="20"/>
        </w:rPr>
        <w:t xml:space="preserve"> Maria Montessori v Commission</w:t>
      </w:r>
      <w:r w:rsidR="003417C6" w:rsidRPr="00F75C47">
        <w:rPr>
          <w:rFonts w:asciiTheme="majorBidi" w:hAnsiTheme="majorBidi" w:cstheme="majorBidi"/>
          <w:sz w:val="20"/>
          <w:szCs w:val="20"/>
        </w:rPr>
        <w:t xml:space="preserve"> which it submits </w:t>
      </w:r>
      <w:r w:rsidRPr="00F75C47">
        <w:rPr>
          <w:rFonts w:asciiTheme="majorBidi" w:hAnsiTheme="majorBidi" w:cstheme="majorBidi"/>
          <w:sz w:val="20"/>
          <w:szCs w:val="20"/>
        </w:rPr>
        <w:t xml:space="preserve">makes clear that the existence of implementing measures which could be challenged before EU or national courts on the ground of article 267 TFEU must be assessed by reference to the position of the person pleading the right to bring proceedings under the third limb of article 263(4). As NGOs and members of the public are by their nature, not beneficiaries of the aid measure at stake, they cannot be recipients or addressees of implementing measures in that sense. This, </w:t>
      </w:r>
      <w:proofErr w:type="spellStart"/>
      <w:r w:rsidRPr="00F75C47">
        <w:rPr>
          <w:rFonts w:asciiTheme="majorBidi" w:hAnsiTheme="majorBidi" w:cstheme="majorBidi"/>
          <w:sz w:val="20"/>
          <w:szCs w:val="20"/>
        </w:rPr>
        <w:t>ClientEarth</w:t>
      </w:r>
      <w:proofErr w:type="spellEnd"/>
      <w:r w:rsidRPr="00F75C47">
        <w:rPr>
          <w:rFonts w:asciiTheme="majorBidi" w:hAnsiTheme="majorBidi" w:cstheme="majorBidi"/>
          <w:sz w:val="20"/>
          <w:szCs w:val="20"/>
        </w:rPr>
        <w:t xml:space="preserve"> submits, constitutes a formidable hurdle to access national courts and subsequently EU courts using article 267 TFEU.</w:t>
      </w:r>
      <w:r w:rsidRPr="00F75C47">
        <w:rPr>
          <w:rStyle w:val="FootnoteReference"/>
          <w:rFonts w:asciiTheme="majorBidi" w:hAnsiTheme="majorBidi" w:cstheme="majorBidi"/>
          <w:sz w:val="20"/>
          <w:szCs w:val="20"/>
        </w:rPr>
        <w:t xml:space="preserve"> </w:t>
      </w:r>
      <w:r w:rsidRPr="00F75C47">
        <w:rPr>
          <w:rStyle w:val="FootnoteReference"/>
          <w:rFonts w:asciiTheme="majorBidi" w:hAnsiTheme="majorBidi" w:cstheme="majorBidi"/>
          <w:sz w:val="20"/>
          <w:szCs w:val="20"/>
        </w:rPr>
        <w:footnoteReference w:id="94"/>
      </w:r>
    </w:p>
    <w:p w14:paraId="448C9928" w14:textId="16DE0480" w:rsidR="00734331" w:rsidRPr="00F75C47" w:rsidRDefault="00944E34">
      <w:pPr>
        <w:tabs>
          <w:tab w:val="left" w:pos="1701"/>
        </w:tabs>
        <w:suppressAutoHyphens/>
        <w:spacing w:after="120" w:line="240" w:lineRule="atLeast"/>
        <w:ind w:left="1134" w:right="521"/>
        <w:jc w:val="both"/>
        <w:rPr>
          <w:rFonts w:asciiTheme="majorBidi" w:hAnsiTheme="majorBidi"/>
          <w:sz w:val="20"/>
          <w:u w:val="single"/>
        </w:rPr>
      </w:pPr>
      <w:r w:rsidRPr="00F75C47">
        <w:rPr>
          <w:rFonts w:asciiTheme="majorBidi" w:hAnsiTheme="majorBidi"/>
          <w:sz w:val="20"/>
          <w:u w:val="single"/>
        </w:rPr>
        <w:t>Access to justice regarding other procedures</w:t>
      </w:r>
    </w:p>
    <w:p w14:paraId="3C435DA3" w14:textId="709BABD6" w:rsidR="00E233A9" w:rsidRPr="00F75C47" w:rsidRDefault="00E233A9" w:rsidP="000F2392">
      <w:pPr>
        <w:numPr>
          <w:ilvl w:val="0"/>
          <w:numId w:val="2"/>
        </w:numPr>
        <w:tabs>
          <w:tab w:val="left" w:pos="1701"/>
        </w:tabs>
        <w:suppressAutoHyphens/>
        <w:spacing w:after="120" w:line="240" w:lineRule="atLeast"/>
        <w:ind w:left="1134" w:right="521" w:firstLine="0"/>
        <w:jc w:val="both"/>
        <w:rPr>
          <w:rFonts w:asciiTheme="majorBidi" w:hAnsiTheme="majorBidi" w:cstheme="majorBidi"/>
          <w:sz w:val="20"/>
          <w:szCs w:val="20"/>
        </w:rPr>
      </w:pPr>
      <w:bookmarkStart w:id="25" w:name="_Ref508105066"/>
      <w:r w:rsidRPr="00F75C47">
        <w:rPr>
          <w:rFonts w:asciiTheme="majorBidi" w:hAnsiTheme="majorBidi" w:cstheme="majorBidi"/>
          <w:sz w:val="20"/>
          <w:szCs w:val="20"/>
        </w:rPr>
        <w:t xml:space="preserve">The Party concerned submits that, in any event, the communicants had other opportunities for access to justice in relation to the environmental decision-making aspects of </w:t>
      </w:r>
      <w:r w:rsidR="00E36EBA" w:rsidRPr="00F75C47">
        <w:rPr>
          <w:rFonts w:asciiTheme="majorBidi" w:hAnsiTheme="majorBidi" w:cstheme="majorBidi"/>
          <w:sz w:val="20"/>
          <w:szCs w:val="20"/>
        </w:rPr>
        <w:t>Hinkley Point C</w:t>
      </w:r>
      <w:r w:rsidRPr="00F75C47">
        <w:rPr>
          <w:rFonts w:asciiTheme="majorBidi" w:hAnsiTheme="majorBidi" w:cstheme="majorBidi"/>
          <w:sz w:val="20"/>
          <w:szCs w:val="20"/>
        </w:rPr>
        <w:t xml:space="preserve">, such as </w:t>
      </w:r>
      <w:r w:rsidR="00E36EBA" w:rsidRPr="00F75C47">
        <w:rPr>
          <w:rFonts w:asciiTheme="majorBidi" w:hAnsiTheme="majorBidi" w:cstheme="majorBidi"/>
          <w:sz w:val="20"/>
          <w:szCs w:val="20"/>
        </w:rPr>
        <w:t xml:space="preserve">in the context of the procedures on </w:t>
      </w:r>
      <w:r w:rsidRPr="00F75C47">
        <w:rPr>
          <w:rFonts w:asciiTheme="majorBidi" w:hAnsiTheme="majorBidi" w:cstheme="majorBidi"/>
          <w:sz w:val="20"/>
          <w:szCs w:val="20"/>
        </w:rPr>
        <w:t>environmental impact assessment, strategic environmental assessment</w:t>
      </w:r>
      <w:r w:rsidR="00E36EBA" w:rsidRPr="00F75C47">
        <w:rPr>
          <w:rFonts w:asciiTheme="majorBidi" w:hAnsiTheme="majorBidi" w:cstheme="majorBidi"/>
          <w:sz w:val="20"/>
          <w:szCs w:val="20"/>
        </w:rPr>
        <w:t>,</w:t>
      </w:r>
      <w:r w:rsidRPr="00F75C47">
        <w:rPr>
          <w:rFonts w:asciiTheme="majorBidi" w:hAnsiTheme="majorBidi" w:cstheme="majorBidi"/>
          <w:sz w:val="20"/>
          <w:szCs w:val="20"/>
        </w:rPr>
        <w:t xml:space="preserve"> habitats, </w:t>
      </w:r>
      <w:r w:rsidR="00E36EBA" w:rsidRPr="00F75C47">
        <w:rPr>
          <w:rFonts w:asciiTheme="majorBidi" w:hAnsiTheme="majorBidi" w:cstheme="majorBidi"/>
          <w:sz w:val="20"/>
          <w:szCs w:val="20"/>
        </w:rPr>
        <w:t xml:space="preserve">and </w:t>
      </w:r>
      <w:r w:rsidRPr="00F75C47">
        <w:rPr>
          <w:rFonts w:asciiTheme="majorBidi" w:hAnsiTheme="majorBidi" w:cstheme="majorBidi"/>
          <w:sz w:val="20"/>
          <w:szCs w:val="20"/>
        </w:rPr>
        <w:t>planning and permitting.</w:t>
      </w:r>
      <w:r w:rsidRPr="00F75C47">
        <w:rPr>
          <w:rStyle w:val="FootnoteReference"/>
          <w:rFonts w:asciiTheme="majorBidi" w:hAnsiTheme="majorBidi" w:cstheme="majorBidi"/>
          <w:szCs w:val="20"/>
        </w:rPr>
        <w:footnoteReference w:id="95"/>
      </w:r>
    </w:p>
    <w:p w14:paraId="3ED606F3" w14:textId="16DC4DAF" w:rsidR="0027255A" w:rsidRPr="00F75C47" w:rsidRDefault="004F18D0" w:rsidP="003D5AC3">
      <w:pPr>
        <w:numPr>
          <w:ilvl w:val="0"/>
          <w:numId w:val="2"/>
        </w:numPr>
        <w:tabs>
          <w:tab w:val="left" w:pos="1701"/>
        </w:tabs>
        <w:suppressAutoHyphens/>
        <w:spacing w:after="120" w:line="240" w:lineRule="atLeast"/>
        <w:ind w:left="1134" w:right="521" w:firstLine="0"/>
        <w:jc w:val="both"/>
        <w:rPr>
          <w:rFonts w:asciiTheme="majorBidi" w:hAnsiTheme="majorBidi" w:cstheme="majorBidi"/>
          <w:sz w:val="20"/>
          <w:szCs w:val="20"/>
        </w:rPr>
      </w:pPr>
      <w:bookmarkStart w:id="26" w:name="_Ref61553919"/>
      <w:r w:rsidRPr="00F75C47">
        <w:rPr>
          <w:rFonts w:asciiTheme="majorBidi" w:hAnsiTheme="majorBidi" w:cstheme="majorBidi"/>
          <w:sz w:val="20"/>
          <w:szCs w:val="20"/>
        </w:rPr>
        <w:t xml:space="preserve">The communicants </w:t>
      </w:r>
      <w:r w:rsidR="0027255A" w:rsidRPr="00F75C47">
        <w:rPr>
          <w:rFonts w:asciiTheme="majorBidi" w:hAnsiTheme="majorBidi" w:cstheme="majorBidi"/>
          <w:sz w:val="20"/>
          <w:szCs w:val="20"/>
        </w:rPr>
        <w:t>allege that the fact that a decision which authori</w:t>
      </w:r>
      <w:r w:rsidR="008D1B7F" w:rsidRPr="00F75C47">
        <w:rPr>
          <w:rFonts w:asciiTheme="majorBidi" w:hAnsiTheme="majorBidi" w:cstheme="majorBidi"/>
          <w:sz w:val="20"/>
          <w:szCs w:val="20"/>
        </w:rPr>
        <w:t>s</w:t>
      </w:r>
      <w:r w:rsidR="0027255A" w:rsidRPr="00F75C47">
        <w:rPr>
          <w:rFonts w:asciiTheme="majorBidi" w:hAnsiTheme="majorBidi" w:cstheme="majorBidi"/>
          <w:sz w:val="20"/>
          <w:szCs w:val="20"/>
        </w:rPr>
        <w:t>es state aid is independent from and does not entail that the project will be actually reali</w:t>
      </w:r>
      <w:r w:rsidR="008D1B7F" w:rsidRPr="00F75C47">
        <w:rPr>
          <w:rFonts w:asciiTheme="majorBidi" w:hAnsiTheme="majorBidi" w:cstheme="majorBidi"/>
          <w:sz w:val="20"/>
          <w:szCs w:val="20"/>
        </w:rPr>
        <w:t>s</w:t>
      </w:r>
      <w:r w:rsidR="0027255A" w:rsidRPr="00F75C47">
        <w:rPr>
          <w:rFonts w:asciiTheme="majorBidi" w:hAnsiTheme="majorBidi" w:cstheme="majorBidi"/>
          <w:sz w:val="20"/>
          <w:szCs w:val="20"/>
        </w:rPr>
        <w:t xml:space="preserve">ed is immaterial to the question of whether </w:t>
      </w:r>
      <w:r w:rsidR="00E36EBA" w:rsidRPr="00F75C47">
        <w:rPr>
          <w:rFonts w:asciiTheme="majorBidi" w:hAnsiTheme="majorBidi" w:cstheme="majorBidi"/>
          <w:sz w:val="20"/>
          <w:szCs w:val="20"/>
        </w:rPr>
        <w:t xml:space="preserve">environmental NGOs </w:t>
      </w:r>
      <w:r w:rsidR="0027255A" w:rsidRPr="00F75C47">
        <w:rPr>
          <w:rFonts w:asciiTheme="majorBidi" w:hAnsiTheme="majorBidi" w:cstheme="majorBidi"/>
          <w:sz w:val="20"/>
          <w:szCs w:val="20"/>
        </w:rPr>
        <w:t>have access to justice to challenge state aid decisions as such.</w:t>
      </w:r>
      <w:r w:rsidR="0027255A" w:rsidRPr="00F75C47">
        <w:rPr>
          <w:rStyle w:val="FootnoteReference"/>
          <w:rFonts w:asciiTheme="majorBidi" w:hAnsiTheme="majorBidi" w:cstheme="majorBidi"/>
          <w:sz w:val="20"/>
          <w:szCs w:val="20"/>
        </w:rPr>
        <w:footnoteReference w:id="96"/>
      </w:r>
      <w:bookmarkEnd w:id="26"/>
    </w:p>
    <w:bookmarkEnd w:id="25"/>
    <w:p w14:paraId="58C96C14" w14:textId="77777777" w:rsidR="00163096" w:rsidRPr="00F75C47" w:rsidRDefault="00163096" w:rsidP="000F2392">
      <w:pPr>
        <w:tabs>
          <w:tab w:val="left" w:pos="1701"/>
        </w:tabs>
        <w:suppressAutoHyphens/>
        <w:spacing w:after="120" w:line="240" w:lineRule="atLeast"/>
        <w:ind w:left="1134" w:right="521"/>
        <w:jc w:val="both"/>
        <w:rPr>
          <w:rFonts w:asciiTheme="majorBidi" w:hAnsiTheme="majorBidi" w:cstheme="majorBidi"/>
          <w:b/>
          <w:sz w:val="20"/>
          <w:szCs w:val="20"/>
        </w:rPr>
      </w:pPr>
    </w:p>
    <w:p w14:paraId="12B5F901" w14:textId="77912647" w:rsidR="004F18D0" w:rsidRPr="00F75C47" w:rsidRDefault="00944E34">
      <w:pPr>
        <w:tabs>
          <w:tab w:val="left" w:pos="1701"/>
        </w:tabs>
        <w:suppressAutoHyphens/>
        <w:spacing w:after="120" w:line="240" w:lineRule="atLeast"/>
        <w:ind w:left="1134" w:right="521"/>
        <w:jc w:val="both"/>
        <w:rPr>
          <w:rFonts w:asciiTheme="majorBidi" w:hAnsiTheme="majorBidi" w:cstheme="majorBidi"/>
          <w:b/>
          <w:sz w:val="20"/>
          <w:szCs w:val="20"/>
        </w:rPr>
      </w:pPr>
      <w:r w:rsidRPr="00F75C47">
        <w:rPr>
          <w:rFonts w:asciiTheme="majorBidi" w:hAnsiTheme="majorBidi" w:cstheme="majorBidi"/>
          <w:b/>
          <w:sz w:val="20"/>
          <w:szCs w:val="20"/>
        </w:rPr>
        <w:t>“Adequate remedies” - a</w:t>
      </w:r>
      <w:r w:rsidR="004F18D0" w:rsidRPr="00F75C47">
        <w:rPr>
          <w:rFonts w:asciiTheme="majorBidi" w:hAnsiTheme="majorBidi" w:cstheme="majorBidi"/>
          <w:b/>
          <w:sz w:val="20"/>
          <w:szCs w:val="20"/>
        </w:rPr>
        <w:t>rticle 9</w:t>
      </w:r>
      <w:r w:rsidR="00B86B3C" w:rsidRPr="00F75C47">
        <w:rPr>
          <w:rFonts w:asciiTheme="majorBidi" w:hAnsiTheme="majorBidi" w:cstheme="majorBidi"/>
          <w:b/>
          <w:sz w:val="20"/>
          <w:szCs w:val="20"/>
        </w:rPr>
        <w:t>(</w:t>
      </w:r>
      <w:r w:rsidR="004F18D0" w:rsidRPr="00F75C47">
        <w:rPr>
          <w:rFonts w:asciiTheme="majorBidi" w:hAnsiTheme="majorBidi" w:cstheme="majorBidi"/>
          <w:b/>
          <w:sz w:val="20"/>
          <w:szCs w:val="20"/>
        </w:rPr>
        <w:t>4</w:t>
      </w:r>
      <w:r w:rsidR="00B86B3C" w:rsidRPr="00F75C47">
        <w:rPr>
          <w:rFonts w:asciiTheme="majorBidi" w:hAnsiTheme="majorBidi" w:cstheme="majorBidi"/>
          <w:b/>
          <w:sz w:val="20"/>
          <w:szCs w:val="20"/>
        </w:rPr>
        <w:t>)</w:t>
      </w:r>
      <w:r w:rsidR="004F18D0" w:rsidRPr="00F75C47">
        <w:rPr>
          <w:rFonts w:asciiTheme="majorBidi" w:hAnsiTheme="majorBidi" w:cstheme="majorBidi"/>
          <w:b/>
          <w:sz w:val="20"/>
          <w:szCs w:val="20"/>
        </w:rPr>
        <w:t xml:space="preserve"> </w:t>
      </w:r>
    </w:p>
    <w:p w14:paraId="6A1E6278" w14:textId="0E54E370" w:rsidR="004F18D0" w:rsidRPr="00F75C47" w:rsidRDefault="004F18D0" w:rsidP="000F2392">
      <w:pPr>
        <w:numPr>
          <w:ilvl w:val="0"/>
          <w:numId w:val="2"/>
        </w:numPr>
        <w:tabs>
          <w:tab w:val="left" w:pos="1701"/>
        </w:tabs>
        <w:suppressAutoHyphens/>
        <w:spacing w:after="120" w:line="240" w:lineRule="atLeast"/>
        <w:ind w:left="1134" w:right="521" w:firstLine="0"/>
        <w:jc w:val="both"/>
        <w:rPr>
          <w:rFonts w:asciiTheme="majorBidi" w:hAnsiTheme="majorBidi" w:cstheme="majorBidi"/>
          <w:sz w:val="20"/>
          <w:szCs w:val="20"/>
        </w:rPr>
      </w:pPr>
      <w:r w:rsidRPr="00F75C47">
        <w:rPr>
          <w:rFonts w:asciiTheme="majorBidi" w:hAnsiTheme="majorBidi" w:cstheme="majorBidi"/>
          <w:sz w:val="20"/>
          <w:szCs w:val="20"/>
        </w:rPr>
        <w:t>The communicants submit that the Party concerned fails to comply with article 9</w:t>
      </w:r>
      <w:r w:rsidR="00B86B3C" w:rsidRPr="00F75C47">
        <w:rPr>
          <w:rFonts w:asciiTheme="majorBidi" w:hAnsiTheme="majorBidi" w:cstheme="majorBidi"/>
          <w:sz w:val="20"/>
          <w:szCs w:val="20"/>
        </w:rPr>
        <w:t>(</w:t>
      </w:r>
      <w:r w:rsidRPr="00F75C47">
        <w:rPr>
          <w:rFonts w:asciiTheme="majorBidi" w:hAnsiTheme="majorBidi" w:cstheme="majorBidi"/>
          <w:sz w:val="20"/>
          <w:szCs w:val="20"/>
        </w:rPr>
        <w:t>4</w:t>
      </w:r>
      <w:r w:rsidR="00B86B3C" w:rsidRPr="00F75C47">
        <w:rPr>
          <w:rFonts w:asciiTheme="majorBidi" w:hAnsiTheme="majorBidi" w:cstheme="majorBidi"/>
          <w:sz w:val="20"/>
          <w:szCs w:val="20"/>
        </w:rPr>
        <w:t>)</w:t>
      </w:r>
      <w:r w:rsidRPr="00F75C47">
        <w:rPr>
          <w:rFonts w:asciiTheme="majorBidi" w:hAnsiTheme="majorBidi" w:cstheme="majorBidi"/>
          <w:sz w:val="20"/>
          <w:szCs w:val="20"/>
        </w:rPr>
        <w:t xml:space="preserve"> of the Convention because in the absence of any remedy, no “adequate remedy” is provided by the Party concerned.</w:t>
      </w:r>
      <w:r w:rsidRPr="00F75C47">
        <w:rPr>
          <w:rStyle w:val="FootnoteReference"/>
          <w:rFonts w:asciiTheme="majorBidi" w:hAnsiTheme="majorBidi" w:cstheme="majorBidi"/>
          <w:sz w:val="20"/>
          <w:szCs w:val="20"/>
        </w:rPr>
        <w:footnoteReference w:id="97"/>
      </w:r>
    </w:p>
    <w:p w14:paraId="694E8E09" w14:textId="153A305B" w:rsidR="004F18D0" w:rsidRPr="00F75C47" w:rsidRDefault="004F18D0" w:rsidP="000F2392">
      <w:pPr>
        <w:numPr>
          <w:ilvl w:val="0"/>
          <w:numId w:val="2"/>
        </w:numPr>
        <w:tabs>
          <w:tab w:val="left" w:pos="1701"/>
        </w:tabs>
        <w:suppressAutoHyphens/>
        <w:spacing w:after="120" w:line="240" w:lineRule="atLeast"/>
        <w:ind w:left="1134" w:right="521" w:firstLine="0"/>
        <w:jc w:val="both"/>
        <w:rPr>
          <w:rFonts w:asciiTheme="majorBidi" w:hAnsiTheme="majorBidi"/>
          <w:sz w:val="20"/>
        </w:rPr>
      </w:pPr>
      <w:r w:rsidRPr="00F75C47">
        <w:rPr>
          <w:rFonts w:asciiTheme="majorBidi" w:hAnsiTheme="majorBidi" w:cstheme="majorBidi"/>
          <w:sz w:val="20"/>
          <w:szCs w:val="20"/>
        </w:rPr>
        <w:t>The Party concerned submits that</w:t>
      </w:r>
      <w:r w:rsidRPr="00F75C47">
        <w:rPr>
          <w:rFonts w:asciiTheme="majorBidi" w:hAnsiTheme="majorBidi"/>
          <w:sz w:val="20"/>
        </w:rPr>
        <w:t xml:space="preserve"> </w:t>
      </w:r>
      <w:proofErr w:type="gramStart"/>
      <w:r w:rsidRPr="00F75C47">
        <w:rPr>
          <w:rFonts w:asciiTheme="majorBidi" w:hAnsiTheme="majorBidi"/>
          <w:sz w:val="20"/>
        </w:rPr>
        <w:t>on the basis of</w:t>
      </w:r>
      <w:proofErr w:type="gramEnd"/>
      <w:r w:rsidRPr="00F75C47">
        <w:rPr>
          <w:rFonts w:asciiTheme="majorBidi" w:hAnsiTheme="majorBidi"/>
          <w:sz w:val="20"/>
        </w:rPr>
        <w:t xml:space="preserve"> the argument</w:t>
      </w:r>
      <w:r w:rsidR="001D3C17" w:rsidRPr="00F75C47">
        <w:rPr>
          <w:rFonts w:asciiTheme="majorBidi" w:hAnsiTheme="majorBidi"/>
          <w:sz w:val="20"/>
        </w:rPr>
        <w:t>s</w:t>
      </w:r>
      <w:r w:rsidRPr="00F75C47">
        <w:rPr>
          <w:rFonts w:asciiTheme="majorBidi" w:hAnsiTheme="majorBidi"/>
          <w:sz w:val="20"/>
        </w:rPr>
        <w:t xml:space="preserve"> advanced </w:t>
      </w:r>
      <w:bookmarkStart w:id="27" w:name="_Ref507171330"/>
      <w:r w:rsidRPr="00F75C47">
        <w:rPr>
          <w:rFonts w:asciiTheme="majorBidi" w:hAnsiTheme="majorBidi"/>
          <w:sz w:val="20"/>
        </w:rPr>
        <w:t>above,</w:t>
      </w:r>
      <w:bookmarkEnd w:id="27"/>
      <w:r w:rsidRPr="00F75C47">
        <w:rPr>
          <w:rFonts w:asciiTheme="majorBidi" w:hAnsiTheme="majorBidi"/>
          <w:sz w:val="20"/>
        </w:rPr>
        <w:t xml:space="preserve"> it complies also with article 9</w:t>
      </w:r>
      <w:r w:rsidR="008059F1" w:rsidRPr="00F75C47">
        <w:rPr>
          <w:rFonts w:asciiTheme="majorBidi" w:hAnsiTheme="majorBidi"/>
          <w:sz w:val="20"/>
        </w:rPr>
        <w:t>(</w:t>
      </w:r>
      <w:r w:rsidRPr="00F75C47">
        <w:rPr>
          <w:rFonts w:asciiTheme="majorBidi" w:hAnsiTheme="majorBidi"/>
          <w:sz w:val="20"/>
        </w:rPr>
        <w:t>4</w:t>
      </w:r>
      <w:r w:rsidR="008059F1" w:rsidRPr="00F75C47">
        <w:rPr>
          <w:rFonts w:asciiTheme="majorBidi" w:hAnsiTheme="majorBidi"/>
          <w:sz w:val="20"/>
        </w:rPr>
        <w:t>)</w:t>
      </w:r>
      <w:r w:rsidRPr="00F75C47">
        <w:rPr>
          <w:rFonts w:asciiTheme="majorBidi" w:hAnsiTheme="majorBidi"/>
          <w:sz w:val="20"/>
        </w:rPr>
        <w:t xml:space="preserve"> of the Convention.</w:t>
      </w:r>
      <w:r w:rsidRPr="00F75C47">
        <w:rPr>
          <w:rStyle w:val="FootnoteReference"/>
          <w:rFonts w:asciiTheme="majorBidi" w:hAnsiTheme="majorBidi"/>
        </w:rPr>
        <w:footnoteReference w:id="98"/>
      </w:r>
    </w:p>
    <w:p w14:paraId="05ABD2EE" w14:textId="77777777" w:rsidR="004F18D0" w:rsidRPr="00F75C47" w:rsidRDefault="004F18D0">
      <w:pPr>
        <w:keepNext/>
        <w:keepLines/>
        <w:tabs>
          <w:tab w:val="left" w:pos="1134"/>
          <w:tab w:val="left" w:pos="1701"/>
        </w:tabs>
        <w:suppressAutoHyphens/>
        <w:spacing w:before="360" w:after="240" w:line="300" w:lineRule="exact"/>
        <w:ind w:left="709" w:right="1134"/>
        <w:rPr>
          <w:rFonts w:asciiTheme="majorBidi" w:hAnsiTheme="majorBidi"/>
          <w:b/>
          <w:sz w:val="28"/>
        </w:rPr>
      </w:pPr>
      <w:r w:rsidRPr="00F75C47">
        <w:rPr>
          <w:rFonts w:asciiTheme="majorBidi" w:hAnsiTheme="majorBidi"/>
          <w:b/>
          <w:sz w:val="28"/>
        </w:rPr>
        <w:t>III.</w:t>
      </w:r>
      <w:r w:rsidRPr="00F75C47">
        <w:rPr>
          <w:rFonts w:asciiTheme="majorBidi" w:hAnsiTheme="majorBidi"/>
          <w:b/>
          <w:sz w:val="28"/>
        </w:rPr>
        <w:tab/>
        <w:t>Consideration and evaluation by the Committee</w:t>
      </w:r>
    </w:p>
    <w:p w14:paraId="2BC797E7" w14:textId="57C3AE33" w:rsidR="004F18D0" w:rsidRPr="00F75C47" w:rsidRDefault="004F18D0" w:rsidP="000F2392">
      <w:pPr>
        <w:numPr>
          <w:ilvl w:val="0"/>
          <w:numId w:val="2"/>
        </w:numPr>
        <w:tabs>
          <w:tab w:val="num" w:pos="1134"/>
          <w:tab w:val="left" w:pos="1701"/>
        </w:tabs>
        <w:suppressAutoHyphens/>
        <w:spacing w:after="120" w:line="240" w:lineRule="atLeast"/>
        <w:ind w:left="1134" w:right="521" w:firstLine="0"/>
        <w:jc w:val="both"/>
        <w:rPr>
          <w:rFonts w:asciiTheme="majorBidi" w:hAnsiTheme="majorBidi"/>
          <w:sz w:val="20"/>
        </w:rPr>
      </w:pPr>
      <w:r w:rsidRPr="00F75C47">
        <w:rPr>
          <w:rFonts w:asciiTheme="majorBidi" w:hAnsiTheme="majorBidi"/>
          <w:sz w:val="20"/>
        </w:rPr>
        <w:t>The European Union signed the Convention on 25 June 1998 and approved it through Council Decision 2005/370/EC of 17 February 2005. The European Union has been a Party to the Convention since 17 May 2005.</w:t>
      </w:r>
      <w:r w:rsidRPr="00F75C47">
        <w:rPr>
          <w:rFonts w:asciiTheme="majorBidi" w:hAnsiTheme="majorBidi"/>
        </w:rPr>
        <w:t xml:space="preserve"> </w:t>
      </w:r>
    </w:p>
    <w:p w14:paraId="231B4F8A" w14:textId="77777777" w:rsidR="004F18D0" w:rsidRPr="00F75C47" w:rsidRDefault="004F18D0">
      <w:pPr>
        <w:tabs>
          <w:tab w:val="left" w:pos="1701"/>
        </w:tabs>
        <w:suppressAutoHyphens/>
        <w:spacing w:after="120" w:line="240" w:lineRule="atLeast"/>
        <w:ind w:left="1134" w:right="521"/>
        <w:jc w:val="both"/>
        <w:rPr>
          <w:rFonts w:asciiTheme="majorBidi" w:hAnsiTheme="majorBidi"/>
          <w:b/>
          <w:sz w:val="20"/>
        </w:rPr>
      </w:pPr>
      <w:r w:rsidRPr="00F75C47">
        <w:rPr>
          <w:rFonts w:asciiTheme="majorBidi" w:hAnsiTheme="majorBidi"/>
          <w:b/>
          <w:sz w:val="20"/>
        </w:rPr>
        <w:t>Admissibility</w:t>
      </w:r>
    </w:p>
    <w:p w14:paraId="385A464E" w14:textId="69A5F915" w:rsidR="00BD605E" w:rsidRPr="00F75C47" w:rsidRDefault="002A65AE" w:rsidP="000F2392">
      <w:pPr>
        <w:numPr>
          <w:ilvl w:val="0"/>
          <w:numId w:val="2"/>
        </w:numPr>
        <w:tabs>
          <w:tab w:val="num" w:pos="1134"/>
          <w:tab w:val="left" w:pos="1701"/>
          <w:tab w:val="num" w:pos="2136"/>
        </w:tabs>
        <w:suppressAutoHyphens/>
        <w:spacing w:after="120" w:line="240" w:lineRule="atLeast"/>
        <w:ind w:left="1134" w:right="521" w:firstLine="0"/>
        <w:jc w:val="both"/>
        <w:rPr>
          <w:rFonts w:asciiTheme="majorBidi" w:hAnsiTheme="majorBidi"/>
          <w:sz w:val="20"/>
        </w:rPr>
      </w:pPr>
      <w:r w:rsidRPr="00F75C47">
        <w:rPr>
          <w:rFonts w:asciiTheme="majorBidi" w:hAnsiTheme="majorBidi"/>
          <w:sz w:val="20"/>
        </w:rPr>
        <w:t>The Party concerned disputes the admissibility of the communication</w:t>
      </w:r>
      <w:r w:rsidR="00BD605E" w:rsidRPr="00F75C47">
        <w:rPr>
          <w:rFonts w:asciiTheme="majorBidi" w:hAnsiTheme="majorBidi"/>
          <w:sz w:val="20"/>
        </w:rPr>
        <w:t xml:space="preserve"> on </w:t>
      </w:r>
      <w:r w:rsidR="00BD325F" w:rsidRPr="00F75C47">
        <w:rPr>
          <w:rFonts w:asciiTheme="majorBidi" w:hAnsiTheme="majorBidi" w:cstheme="majorBidi"/>
          <w:sz w:val="20"/>
          <w:szCs w:val="20"/>
        </w:rPr>
        <w:t>various</w:t>
      </w:r>
      <w:r w:rsidR="00BD605E" w:rsidRPr="00F75C47">
        <w:rPr>
          <w:rFonts w:asciiTheme="majorBidi" w:hAnsiTheme="majorBidi"/>
          <w:sz w:val="20"/>
        </w:rPr>
        <w:t xml:space="preserve"> grounds, including:</w:t>
      </w:r>
    </w:p>
    <w:p w14:paraId="37FA0250" w14:textId="1F5179B7" w:rsidR="008F50C8" w:rsidRPr="00F75C47" w:rsidRDefault="008F50C8" w:rsidP="00364BE7">
      <w:pPr>
        <w:pStyle w:val="ListParagraph"/>
        <w:numPr>
          <w:ilvl w:val="0"/>
          <w:numId w:val="47"/>
        </w:numPr>
        <w:tabs>
          <w:tab w:val="left" w:pos="1701"/>
        </w:tabs>
        <w:suppressAutoHyphens/>
        <w:spacing w:after="120" w:line="240" w:lineRule="atLeast"/>
        <w:ind w:left="1134" w:right="521" w:firstLine="567"/>
        <w:jc w:val="both"/>
        <w:rPr>
          <w:rFonts w:asciiTheme="majorBidi" w:hAnsiTheme="majorBidi"/>
          <w:sz w:val="20"/>
        </w:rPr>
      </w:pPr>
      <w:r w:rsidRPr="00F75C47">
        <w:rPr>
          <w:rFonts w:asciiTheme="majorBidi" w:hAnsiTheme="majorBidi"/>
          <w:sz w:val="20"/>
        </w:rPr>
        <w:t xml:space="preserve">The </w:t>
      </w:r>
      <w:r w:rsidRPr="00F75C47">
        <w:rPr>
          <w:rFonts w:asciiTheme="majorBidi" w:hAnsiTheme="majorBidi" w:cstheme="majorBidi"/>
          <w:sz w:val="20"/>
          <w:szCs w:val="20"/>
        </w:rPr>
        <w:t>declaration</w:t>
      </w:r>
      <w:r w:rsidR="00251F66" w:rsidRPr="00F75C47">
        <w:rPr>
          <w:rFonts w:asciiTheme="majorBidi" w:hAnsiTheme="majorBidi" w:cstheme="majorBidi"/>
          <w:sz w:val="20"/>
          <w:szCs w:val="20"/>
        </w:rPr>
        <w:t>s</w:t>
      </w:r>
      <w:r w:rsidRPr="00F75C47">
        <w:rPr>
          <w:rFonts w:asciiTheme="majorBidi" w:hAnsiTheme="majorBidi"/>
          <w:sz w:val="20"/>
        </w:rPr>
        <w:t xml:space="preserve"> made by the Party concerned upon signature and approval of the Convention means that the Party concerned has no obligations under the Convention with respect to the matters addressed in the communication;</w:t>
      </w:r>
    </w:p>
    <w:p w14:paraId="4DE9588B" w14:textId="77777777" w:rsidR="008F50C8" w:rsidRPr="00F75C47" w:rsidRDefault="008F50C8" w:rsidP="00364BE7">
      <w:pPr>
        <w:pStyle w:val="ListParagraph"/>
        <w:tabs>
          <w:tab w:val="left" w:pos="1701"/>
        </w:tabs>
        <w:suppressAutoHyphens/>
        <w:spacing w:after="120" w:line="240" w:lineRule="atLeast"/>
        <w:ind w:left="1134" w:right="521" w:firstLine="567"/>
        <w:jc w:val="both"/>
        <w:rPr>
          <w:rFonts w:asciiTheme="majorBidi" w:hAnsiTheme="majorBidi"/>
          <w:sz w:val="20"/>
        </w:rPr>
      </w:pPr>
    </w:p>
    <w:p w14:paraId="3AB89BDD" w14:textId="611D3152" w:rsidR="00BD605E" w:rsidRPr="00F75C47" w:rsidRDefault="00BD605E" w:rsidP="00364BE7">
      <w:pPr>
        <w:pStyle w:val="ListParagraph"/>
        <w:numPr>
          <w:ilvl w:val="0"/>
          <w:numId w:val="47"/>
        </w:numPr>
        <w:tabs>
          <w:tab w:val="left" w:pos="1701"/>
        </w:tabs>
        <w:suppressAutoHyphens/>
        <w:spacing w:after="120" w:line="240" w:lineRule="atLeast"/>
        <w:ind w:left="1134" w:right="521" w:firstLine="567"/>
        <w:jc w:val="both"/>
        <w:rPr>
          <w:rFonts w:asciiTheme="majorBidi" w:hAnsiTheme="majorBidi"/>
          <w:sz w:val="20"/>
        </w:rPr>
      </w:pPr>
      <w:r w:rsidRPr="00F75C47">
        <w:rPr>
          <w:rFonts w:asciiTheme="majorBidi" w:hAnsiTheme="majorBidi"/>
          <w:sz w:val="20"/>
        </w:rPr>
        <w:t>T</w:t>
      </w:r>
      <w:r w:rsidR="002A65AE" w:rsidRPr="00F75C47">
        <w:rPr>
          <w:rFonts w:asciiTheme="majorBidi" w:hAnsiTheme="majorBidi"/>
          <w:sz w:val="20"/>
        </w:rPr>
        <w:t>he communication is outside the scope of the Convention and thus inadmissible under paragraph 20(d) of the annex to decision I/7</w:t>
      </w:r>
      <w:r w:rsidRPr="00F75C47">
        <w:rPr>
          <w:rFonts w:asciiTheme="majorBidi" w:hAnsiTheme="majorBidi"/>
          <w:sz w:val="20"/>
        </w:rPr>
        <w:t>;</w:t>
      </w:r>
    </w:p>
    <w:p w14:paraId="6DFAF319" w14:textId="77777777" w:rsidR="00BD605E" w:rsidRPr="00F75C47" w:rsidRDefault="00BD605E" w:rsidP="00364BE7">
      <w:pPr>
        <w:pStyle w:val="ListParagraph"/>
        <w:tabs>
          <w:tab w:val="left" w:pos="1701"/>
        </w:tabs>
        <w:suppressAutoHyphens/>
        <w:spacing w:after="120" w:line="240" w:lineRule="atLeast"/>
        <w:ind w:left="1134" w:right="521" w:firstLine="567"/>
        <w:jc w:val="both"/>
        <w:rPr>
          <w:rFonts w:asciiTheme="majorBidi" w:hAnsiTheme="majorBidi"/>
          <w:sz w:val="20"/>
        </w:rPr>
      </w:pPr>
    </w:p>
    <w:p w14:paraId="5C02C8C6" w14:textId="45922D97" w:rsidR="00251F66" w:rsidRPr="00F75C47" w:rsidRDefault="00BD605E" w:rsidP="00364BE7">
      <w:pPr>
        <w:pStyle w:val="ListParagraph"/>
        <w:numPr>
          <w:ilvl w:val="0"/>
          <w:numId w:val="47"/>
        </w:numPr>
        <w:tabs>
          <w:tab w:val="left" w:pos="1701"/>
        </w:tabs>
        <w:suppressAutoHyphens/>
        <w:spacing w:after="120" w:line="240" w:lineRule="atLeast"/>
        <w:ind w:left="1134" w:right="521" w:firstLine="567"/>
        <w:jc w:val="both"/>
        <w:rPr>
          <w:rFonts w:asciiTheme="majorBidi" w:hAnsiTheme="majorBidi"/>
          <w:sz w:val="20"/>
        </w:rPr>
      </w:pPr>
      <w:r w:rsidRPr="00F75C47">
        <w:rPr>
          <w:rFonts w:asciiTheme="majorBidi" w:hAnsiTheme="majorBidi"/>
          <w:sz w:val="20"/>
        </w:rPr>
        <w:t xml:space="preserve">The </w:t>
      </w:r>
      <w:r w:rsidR="002A65AE" w:rsidRPr="00F75C47">
        <w:rPr>
          <w:rFonts w:asciiTheme="majorBidi" w:hAnsiTheme="majorBidi"/>
          <w:sz w:val="20"/>
        </w:rPr>
        <w:t>communicant</w:t>
      </w:r>
      <w:r w:rsidR="002E0E00">
        <w:rPr>
          <w:rFonts w:asciiTheme="majorBidi" w:hAnsiTheme="majorBidi"/>
          <w:sz w:val="20"/>
        </w:rPr>
        <w:t>s</w:t>
      </w:r>
      <w:r w:rsidR="002A65AE" w:rsidRPr="00F75C47">
        <w:rPr>
          <w:rFonts w:asciiTheme="majorBidi" w:hAnsiTheme="majorBidi"/>
          <w:sz w:val="20"/>
        </w:rPr>
        <w:t xml:space="preserve"> ha</w:t>
      </w:r>
      <w:r w:rsidR="002E0E00">
        <w:rPr>
          <w:rFonts w:asciiTheme="majorBidi" w:hAnsiTheme="majorBidi"/>
          <w:sz w:val="20"/>
        </w:rPr>
        <w:t>ve</w:t>
      </w:r>
      <w:r w:rsidR="002A65AE" w:rsidRPr="00F75C47">
        <w:rPr>
          <w:rFonts w:asciiTheme="majorBidi" w:hAnsiTheme="majorBidi"/>
          <w:sz w:val="20"/>
        </w:rPr>
        <w:t xml:space="preserve"> failed to exhaust remedies provided </w:t>
      </w:r>
      <w:r w:rsidR="00BA50BA" w:rsidRPr="00F75C47">
        <w:rPr>
          <w:rFonts w:asciiTheme="majorBidi" w:hAnsiTheme="majorBidi" w:cstheme="majorBidi"/>
          <w:sz w:val="20"/>
          <w:szCs w:val="20"/>
        </w:rPr>
        <w:t>under the laws of the Party concerned</w:t>
      </w:r>
      <w:r w:rsidR="00BA50BA" w:rsidRPr="00F75C47">
        <w:rPr>
          <w:rFonts w:asciiTheme="majorBidi" w:hAnsiTheme="majorBidi"/>
          <w:sz w:val="20"/>
        </w:rPr>
        <w:t xml:space="preserve"> and </w:t>
      </w:r>
      <w:r w:rsidR="00BA50BA" w:rsidRPr="00F75C47">
        <w:rPr>
          <w:rFonts w:asciiTheme="majorBidi" w:hAnsiTheme="majorBidi" w:cstheme="majorBidi"/>
          <w:sz w:val="20"/>
          <w:szCs w:val="20"/>
        </w:rPr>
        <w:t>the United Kingdom</w:t>
      </w:r>
      <w:r w:rsidRPr="00F75C47">
        <w:rPr>
          <w:rFonts w:asciiTheme="majorBidi" w:hAnsiTheme="majorBidi"/>
          <w:sz w:val="20"/>
        </w:rPr>
        <w:t xml:space="preserve"> </w:t>
      </w:r>
      <w:r w:rsidR="002A65AE" w:rsidRPr="00F75C47">
        <w:rPr>
          <w:rFonts w:asciiTheme="majorBidi" w:hAnsiTheme="majorBidi"/>
          <w:sz w:val="20"/>
        </w:rPr>
        <w:t xml:space="preserve">and </w:t>
      </w:r>
      <w:r w:rsidR="002E0E00">
        <w:rPr>
          <w:rFonts w:asciiTheme="majorBidi" w:hAnsiTheme="majorBidi"/>
          <w:sz w:val="20"/>
        </w:rPr>
        <w:t>the communication is</w:t>
      </w:r>
      <w:r w:rsidR="002E0E00" w:rsidRPr="00F75C47">
        <w:rPr>
          <w:rFonts w:asciiTheme="majorBidi" w:hAnsiTheme="majorBidi"/>
          <w:sz w:val="20"/>
        </w:rPr>
        <w:t xml:space="preserve"> </w:t>
      </w:r>
      <w:r w:rsidR="002A65AE" w:rsidRPr="00F75C47">
        <w:rPr>
          <w:rFonts w:asciiTheme="majorBidi" w:hAnsiTheme="majorBidi"/>
          <w:sz w:val="20"/>
        </w:rPr>
        <w:t>thus inadmissible under paragraph 21 of the annex to decision I/7.</w:t>
      </w:r>
      <w:r w:rsidR="002A65AE" w:rsidRPr="00F75C47">
        <w:rPr>
          <w:rStyle w:val="FootnoteReference"/>
          <w:rFonts w:asciiTheme="majorBidi" w:hAnsiTheme="majorBidi"/>
        </w:rPr>
        <w:footnoteReference w:id="99"/>
      </w:r>
    </w:p>
    <w:p w14:paraId="075ACBD3" w14:textId="1E2A81C0" w:rsidR="00251F66" w:rsidRPr="00F75C47" w:rsidRDefault="00251F66" w:rsidP="000F2392">
      <w:pPr>
        <w:tabs>
          <w:tab w:val="left" w:pos="1701"/>
        </w:tabs>
        <w:suppressAutoHyphens/>
        <w:spacing w:after="120" w:line="240" w:lineRule="atLeast"/>
        <w:ind w:left="1134" w:right="521"/>
        <w:jc w:val="both"/>
        <w:rPr>
          <w:rFonts w:asciiTheme="majorBidi" w:hAnsiTheme="majorBidi" w:cstheme="majorBidi"/>
          <w:i/>
          <w:iCs/>
          <w:sz w:val="20"/>
          <w:szCs w:val="20"/>
        </w:rPr>
      </w:pPr>
      <w:r w:rsidRPr="00F75C47">
        <w:rPr>
          <w:rFonts w:asciiTheme="majorBidi" w:hAnsiTheme="majorBidi" w:cstheme="majorBidi"/>
          <w:i/>
          <w:iCs/>
          <w:sz w:val="20"/>
          <w:szCs w:val="20"/>
        </w:rPr>
        <w:t>Declarations upon signature and approval</w:t>
      </w:r>
    </w:p>
    <w:p w14:paraId="7F53AB6D" w14:textId="71DD7FB3" w:rsidR="00D70D9C" w:rsidRPr="00F75C47" w:rsidRDefault="002A65AE" w:rsidP="007D18DC">
      <w:pPr>
        <w:numPr>
          <w:ilvl w:val="0"/>
          <w:numId w:val="2"/>
        </w:numPr>
        <w:tabs>
          <w:tab w:val="clear" w:pos="1994"/>
          <w:tab w:val="num" w:pos="1134"/>
          <w:tab w:val="left" w:pos="1701"/>
          <w:tab w:val="num" w:pos="1852"/>
          <w:tab w:val="num" w:pos="2136"/>
        </w:tabs>
        <w:suppressAutoHyphens/>
        <w:spacing w:after="120" w:line="240" w:lineRule="atLeast"/>
        <w:ind w:left="1134" w:right="521" w:firstLine="0"/>
        <w:jc w:val="both"/>
        <w:rPr>
          <w:rFonts w:asciiTheme="majorBidi" w:hAnsiTheme="majorBidi"/>
          <w:sz w:val="20"/>
        </w:rPr>
      </w:pPr>
      <w:r w:rsidRPr="00F75C47">
        <w:rPr>
          <w:rFonts w:asciiTheme="majorBidi" w:hAnsiTheme="majorBidi"/>
          <w:sz w:val="20"/>
        </w:rPr>
        <w:t xml:space="preserve">With respect to the </w:t>
      </w:r>
      <w:r w:rsidR="00CC2291" w:rsidRPr="00F75C47">
        <w:rPr>
          <w:rFonts w:asciiTheme="majorBidi" w:hAnsiTheme="majorBidi"/>
          <w:sz w:val="20"/>
        </w:rPr>
        <w:t xml:space="preserve">Party </w:t>
      </w:r>
      <w:proofErr w:type="spellStart"/>
      <w:r w:rsidR="00CC2291" w:rsidRPr="00F75C47">
        <w:rPr>
          <w:rFonts w:asciiTheme="majorBidi" w:hAnsiTheme="majorBidi"/>
          <w:sz w:val="20"/>
        </w:rPr>
        <w:t>concerned’s</w:t>
      </w:r>
      <w:proofErr w:type="spellEnd"/>
      <w:r w:rsidR="00CC2291" w:rsidRPr="00F75C47">
        <w:rPr>
          <w:rFonts w:asciiTheme="majorBidi" w:hAnsiTheme="majorBidi"/>
          <w:sz w:val="20"/>
        </w:rPr>
        <w:t xml:space="preserve"> first submission, the </w:t>
      </w:r>
      <w:r w:rsidR="00D70D9C" w:rsidRPr="00F75C47">
        <w:rPr>
          <w:rFonts w:asciiTheme="majorBidi" w:hAnsiTheme="majorBidi"/>
          <w:sz w:val="20"/>
        </w:rPr>
        <w:t xml:space="preserve">Committee considers it useful to set out the relevant wording of the declaration made by the Party concerned upon approving the Convention: </w:t>
      </w:r>
    </w:p>
    <w:p w14:paraId="47E47E3E" w14:textId="16EAC87B" w:rsidR="00D70D9C" w:rsidRPr="00F75C47" w:rsidRDefault="00D70D9C" w:rsidP="007D18DC">
      <w:pPr>
        <w:tabs>
          <w:tab w:val="left" w:pos="1701"/>
          <w:tab w:val="num" w:pos="1994"/>
          <w:tab w:val="num" w:pos="2136"/>
        </w:tabs>
        <w:suppressAutoHyphens/>
        <w:spacing w:after="120" w:line="240" w:lineRule="atLeast"/>
        <w:ind w:left="1701" w:right="521"/>
        <w:jc w:val="both"/>
        <w:rPr>
          <w:rFonts w:asciiTheme="majorBidi" w:hAnsiTheme="majorBidi"/>
          <w:sz w:val="20"/>
        </w:rPr>
      </w:pPr>
      <w:r w:rsidRPr="00F75C47">
        <w:rPr>
          <w:rFonts w:asciiTheme="majorBidi" w:hAnsiTheme="majorBidi"/>
          <w:sz w:val="20"/>
        </w:rPr>
        <w:t xml:space="preserve">In particular, the European Community also declares that the legal instruments in force do not cover fully the implementation of the obligations resulting from </w:t>
      </w:r>
      <w:r w:rsidR="00BA50BA" w:rsidRPr="00F75C47">
        <w:rPr>
          <w:rFonts w:asciiTheme="majorBidi" w:hAnsiTheme="majorBidi" w:cstheme="majorBidi"/>
          <w:sz w:val="20"/>
          <w:szCs w:val="20"/>
        </w:rPr>
        <w:t>a</w:t>
      </w:r>
      <w:r w:rsidRPr="00F75C47">
        <w:rPr>
          <w:rFonts w:asciiTheme="majorBidi" w:hAnsiTheme="majorBidi" w:cstheme="majorBidi"/>
          <w:sz w:val="20"/>
          <w:szCs w:val="20"/>
        </w:rPr>
        <w:t>rticle</w:t>
      </w:r>
      <w:r w:rsidRPr="00F75C47">
        <w:rPr>
          <w:rFonts w:asciiTheme="majorBidi" w:hAnsiTheme="majorBidi"/>
          <w:sz w:val="20"/>
        </w:rPr>
        <w:t xml:space="preserve"> 9(3) of the Convention as they relate to administrative and judicial procedures to challenge acts and omissions by private persons and public authorities other than the institutions of the European Community as covered by </w:t>
      </w:r>
      <w:r w:rsidR="00BA50BA" w:rsidRPr="00F75C47">
        <w:rPr>
          <w:rFonts w:asciiTheme="majorBidi" w:hAnsiTheme="majorBidi" w:cstheme="majorBidi"/>
          <w:sz w:val="20"/>
          <w:szCs w:val="20"/>
        </w:rPr>
        <w:t>a</w:t>
      </w:r>
      <w:r w:rsidRPr="00F75C47">
        <w:rPr>
          <w:rFonts w:asciiTheme="majorBidi" w:hAnsiTheme="majorBidi" w:cstheme="majorBidi"/>
          <w:sz w:val="20"/>
          <w:szCs w:val="20"/>
        </w:rPr>
        <w:t>rticle</w:t>
      </w:r>
      <w:r w:rsidRPr="00F75C47">
        <w:rPr>
          <w:rFonts w:asciiTheme="majorBidi" w:hAnsiTheme="majorBidi"/>
          <w:sz w:val="20"/>
        </w:rPr>
        <w:t xml:space="preserve"> 2(2)(d) of the Convention, and that, consequently, its Member States are responsible for the performance of these obligations at the time of approval of the Convention by the European Community and will remain so unless and until the Community, in the exercise of its powers under the EC Treaty, adopts provisions of Community law covering the implementation of those obligations.</w:t>
      </w:r>
      <w:r w:rsidRPr="00F75C47">
        <w:rPr>
          <w:rStyle w:val="FootnoteReference"/>
          <w:rFonts w:asciiTheme="majorBidi" w:hAnsiTheme="majorBidi"/>
        </w:rPr>
        <w:footnoteReference w:id="100"/>
      </w:r>
    </w:p>
    <w:p w14:paraId="48C59CFE" w14:textId="4819E25C" w:rsidR="00587B3D" w:rsidRPr="00F75C47" w:rsidRDefault="00D70D9C" w:rsidP="000F2392">
      <w:pPr>
        <w:numPr>
          <w:ilvl w:val="0"/>
          <w:numId w:val="2"/>
        </w:numPr>
        <w:tabs>
          <w:tab w:val="num" w:pos="1134"/>
          <w:tab w:val="left" w:pos="1701"/>
          <w:tab w:val="num" w:pos="2136"/>
        </w:tabs>
        <w:suppressAutoHyphens/>
        <w:spacing w:after="120" w:line="240" w:lineRule="atLeast"/>
        <w:ind w:left="1134" w:right="521" w:firstLine="0"/>
        <w:jc w:val="both"/>
        <w:rPr>
          <w:rFonts w:asciiTheme="majorBidi" w:hAnsiTheme="majorBidi" w:cstheme="majorBidi"/>
          <w:sz w:val="20"/>
          <w:szCs w:val="20"/>
        </w:rPr>
      </w:pPr>
      <w:r w:rsidRPr="00F75C47">
        <w:rPr>
          <w:rFonts w:asciiTheme="majorBidi" w:hAnsiTheme="majorBidi"/>
          <w:sz w:val="20"/>
        </w:rPr>
        <w:t xml:space="preserve">The </w:t>
      </w:r>
      <w:r w:rsidR="00CC2291" w:rsidRPr="00F75C47">
        <w:rPr>
          <w:rFonts w:asciiTheme="majorBidi" w:hAnsiTheme="majorBidi"/>
          <w:sz w:val="20"/>
        </w:rPr>
        <w:t xml:space="preserve">Committee </w:t>
      </w:r>
      <w:r w:rsidR="00587B3D" w:rsidRPr="00F75C47">
        <w:rPr>
          <w:rFonts w:asciiTheme="majorBidi" w:hAnsiTheme="majorBidi"/>
          <w:sz w:val="20"/>
        </w:rPr>
        <w:t>recalls</w:t>
      </w:r>
      <w:r w:rsidR="008F50C8" w:rsidRPr="00F75C47">
        <w:rPr>
          <w:rFonts w:asciiTheme="majorBidi" w:hAnsiTheme="majorBidi"/>
          <w:sz w:val="20"/>
        </w:rPr>
        <w:t xml:space="preserve"> that it has already considered the effects of the declaration made by the Party concerned on approval of the Convention in its findings </w:t>
      </w:r>
      <w:r w:rsidR="00587B3D" w:rsidRPr="00F75C47">
        <w:rPr>
          <w:rFonts w:asciiTheme="majorBidi" w:hAnsiTheme="majorBidi"/>
          <w:sz w:val="20"/>
        </w:rPr>
        <w:t>on communication ACCC/C/2015/123</w:t>
      </w:r>
      <w:r w:rsidR="00BA50BA" w:rsidRPr="00F75C47">
        <w:rPr>
          <w:rFonts w:asciiTheme="majorBidi" w:hAnsiTheme="majorBidi" w:cstheme="majorBidi"/>
          <w:sz w:val="20"/>
          <w:szCs w:val="20"/>
        </w:rPr>
        <w:t xml:space="preserve"> (European Union)</w:t>
      </w:r>
      <w:r w:rsidR="00587B3D" w:rsidRPr="00F75C47">
        <w:rPr>
          <w:rFonts w:asciiTheme="majorBidi" w:hAnsiTheme="majorBidi" w:cstheme="majorBidi"/>
          <w:sz w:val="20"/>
          <w:szCs w:val="20"/>
        </w:rPr>
        <w:t>.</w:t>
      </w:r>
      <w:r w:rsidR="00587B3D" w:rsidRPr="00F75C47">
        <w:rPr>
          <w:rFonts w:asciiTheme="majorBidi" w:hAnsiTheme="majorBidi"/>
          <w:sz w:val="20"/>
        </w:rPr>
        <w:t xml:space="preserve"> In those findings, </w:t>
      </w:r>
      <w:r w:rsidR="00587B3D" w:rsidRPr="00F75C47">
        <w:rPr>
          <w:rFonts w:asciiTheme="majorBidi" w:hAnsiTheme="majorBidi" w:cstheme="majorBidi"/>
          <w:sz w:val="20"/>
          <w:szCs w:val="20"/>
        </w:rPr>
        <w:t>the Committee held:</w:t>
      </w:r>
    </w:p>
    <w:p w14:paraId="400F34E1" w14:textId="40C326C0" w:rsidR="00587B3D" w:rsidRPr="00F75C47" w:rsidRDefault="00587B3D">
      <w:pPr>
        <w:tabs>
          <w:tab w:val="left" w:pos="1701"/>
          <w:tab w:val="num" w:pos="2136"/>
        </w:tabs>
        <w:suppressAutoHyphens/>
        <w:spacing w:after="120" w:line="240" w:lineRule="atLeast"/>
        <w:ind w:left="1701" w:right="521"/>
        <w:jc w:val="both"/>
        <w:rPr>
          <w:rFonts w:asciiTheme="majorBidi" w:hAnsiTheme="majorBidi" w:cstheme="majorBidi"/>
          <w:sz w:val="20"/>
          <w:szCs w:val="20"/>
        </w:rPr>
      </w:pPr>
      <w:r w:rsidRPr="00F75C47">
        <w:rPr>
          <w:rFonts w:asciiTheme="majorBidi" w:hAnsiTheme="majorBidi" w:cstheme="majorBidi"/>
          <w:sz w:val="20"/>
          <w:szCs w:val="20"/>
        </w:rPr>
        <w:t>the effect of the declaration by the Party concerned is that it assumes obligations to the extent that it has European Union law in force; member States remain responsible for the implementation of obligations that are not covered by European Union law in force.</w:t>
      </w:r>
      <w:r w:rsidRPr="00F75C47">
        <w:rPr>
          <w:rStyle w:val="FootnoteReference"/>
          <w:rFonts w:asciiTheme="majorBidi" w:hAnsiTheme="majorBidi" w:cstheme="majorBidi"/>
          <w:sz w:val="20"/>
          <w:szCs w:val="20"/>
        </w:rPr>
        <w:footnoteReference w:id="101"/>
      </w:r>
    </w:p>
    <w:p w14:paraId="19A9CE7D" w14:textId="64D92B24" w:rsidR="00430688" w:rsidRPr="00F75C47" w:rsidRDefault="00D70D9C" w:rsidP="000F2392">
      <w:pPr>
        <w:numPr>
          <w:ilvl w:val="0"/>
          <w:numId w:val="2"/>
        </w:numPr>
        <w:tabs>
          <w:tab w:val="num" w:pos="1134"/>
          <w:tab w:val="left" w:pos="1701"/>
          <w:tab w:val="num" w:pos="2136"/>
        </w:tabs>
        <w:suppressAutoHyphens/>
        <w:spacing w:after="120" w:line="240" w:lineRule="atLeast"/>
        <w:ind w:left="1134" w:right="521" w:firstLine="0"/>
        <w:jc w:val="both"/>
        <w:rPr>
          <w:rFonts w:asciiTheme="majorBidi" w:hAnsiTheme="majorBidi"/>
          <w:sz w:val="20"/>
        </w:rPr>
      </w:pPr>
      <w:r w:rsidRPr="00F75C47">
        <w:rPr>
          <w:rFonts w:asciiTheme="majorBidi" w:hAnsiTheme="majorBidi" w:cstheme="majorBidi"/>
          <w:sz w:val="20"/>
          <w:szCs w:val="20"/>
        </w:rPr>
        <w:t xml:space="preserve">In this regard, the </w:t>
      </w:r>
      <w:r w:rsidR="00430688" w:rsidRPr="00F75C47">
        <w:rPr>
          <w:rFonts w:asciiTheme="majorBidi" w:hAnsiTheme="majorBidi" w:cstheme="majorBidi"/>
          <w:sz w:val="20"/>
          <w:szCs w:val="20"/>
        </w:rPr>
        <w:t xml:space="preserve">Party </w:t>
      </w:r>
      <w:proofErr w:type="spellStart"/>
      <w:r w:rsidR="00430688" w:rsidRPr="00F75C47">
        <w:rPr>
          <w:rFonts w:asciiTheme="majorBidi" w:hAnsiTheme="majorBidi" w:cstheme="majorBidi"/>
          <w:sz w:val="20"/>
          <w:szCs w:val="20"/>
        </w:rPr>
        <w:t>concerned’s</w:t>
      </w:r>
      <w:proofErr w:type="spellEnd"/>
      <w:r w:rsidR="00430688" w:rsidRPr="00F75C47">
        <w:rPr>
          <w:rFonts w:asciiTheme="majorBidi" w:hAnsiTheme="majorBidi" w:cstheme="majorBidi"/>
          <w:sz w:val="20"/>
          <w:szCs w:val="20"/>
        </w:rPr>
        <w:t xml:space="preserve"> approval </w:t>
      </w:r>
      <w:r w:rsidRPr="00F75C47">
        <w:rPr>
          <w:rFonts w:asciiTheme="majorBidi" w:hAnsiTheme="majorBidi" w:cstheme="majorBidi"/>
          <w:sz w:val="20"/>
          <w:szCs w:val="20"/>
        </w:rPr>
        <w:t xml:space="preserve">states that </w:t>
      </w:r>
      <w:r w:rsidR="00430688" w:rsidRPr="00F75C47">
        <w:rPr>
          <w:rFonts w:asciiTheme="majorBidi" w:hAnsiTheme="majorBidi" w:cstheme="majorBidi"/>
          <w:sz w:val="20"/>
          <w:szCs w:val="20"/>
        </w:rPr>
        <w:t xml:space="preserve">its legal instruments in force do not fully cover the obligations in article 9(3) with respect to acts and omissions by private persons and public authorities “other than the institutions of the European Community as covered by article 2(2)(d) of the Convention”. The Committee points out that the present case concerns decisions on state aid taken by the European Commission, which is unarguably an institution of the Party concerned. </w:t>
      </w:r>
    </w:p>
    <w:p w14:paraId="0C1FEB96" w14:textId="29148837" w:rsidR="006475AF" w:rsidRPr="00F75C47" w:rsidRDefault="00430688" w:rsidP="003D5AC3">
      <w:pPr>
        <w:numPr>
          <w:ilvl w:val="0"/>
          <w:numId w:val="2"/>
        </w:numPr>
        <w:tabs>
          <w:tab w:val="num" w:pos="1134"/>
          <w:tab w:val="left" w:pos="1701"/>
          <w:tab w:val="num" w:pos="2136"/>
        </w:tabs>
        <w:suppressAutoHyphens/>
        <w:spacing w:after="120" w:line="240" w:lineRule="atLeast"/>
        <w:ind w:left="1134" w:right="521" w:firstLine="0"/>
        <w:jc w:val="both"/>
        <w:rPr>
          <w:rFonts w:asciiTheme="majorBidi" w:hAnsiTheme="majorBidi" w:cstheme="majorBidi"/>
          <w:sz w:val="20"/>
          <w:szCs w:val="20"/>
        </w:rPr>
      </w:pPr>
      <w:r w:rsidRPr="00F75C47">
        <w:rPr>
          <w:rFonts w:asciiTheme="majorBidi" w:hAnsiTheme="majorBidi" w:cstheme="majorBidi"/>
          <w:sz w:val="20"/>
          <w:szCs w:val="20"/>
        </w:rPr>
        <w:t>More specifically, a</w:t>
      </w:r>
      <w:r w:rsidR="00587B3D" w:rsidRPr="00F75C47">
        <w:rPr>
          <w:rFonts w:asciiTheme="majorBidi" w:hAnsiTheme="majorBidi" w:cstheme="majorBidi"/>
          <w:sz w:val="20"/>
          <w:szCs w:val="20"/>
        </w:rPr>
        <w:t xml:space="preserve">rticle 108(2) TFEU explicitly requires the European Commission to review the compatibility with the internal market of state aid measures by member States and to decide either that the state aid measure is compatible or otherwise that it should be abolished or altered. The Committee considers that </w:t>
      </w:r>
      <w:r w:rsidR="00A47CDE" w:rsidRPr="00F75C47">
        <w:rPr>
          <w:rFonts w:asciiTheme="majorBidi" w:hAnsiTheme="majorBidi" w:cstheme="majorBidi"/>
          <w:sz w:val="20"/>
          <w:szCs w:val="20"/>
        </w:rPr>
        <w:t xml:space="preserve">the Party concerned thus clearly has law in force with respect to decisions by the European Commission on state aid, and the Party concerned thus has assumed obligations under the Convention in this regard. The Committee </w:t>
      </w:r>
      <w:r w:rsidR="00BA50BA" w:rsidRPr="00F75C47">
        <w:rPr>
          <w:rFonts w:asciiTheme="majorBidi" w:hAnsiTheme="majorBidi" w:cstheme="majorBidi"/>
          <w:sz w:val="20"/>
          <w:szCs w:val="20"/>
        </w:rPr>
        <w:t xml:space="preserve">accordingly </w:t>
      </w:r>
      <w:r w:rsidR="00A47CDE" w:rsidRPr="00F75C47">
        <w:rPr>
          <w:rFonts w:asciiTheme="majorBidi" w:hAnsiTheme="majorBidi" w:cstheme="majorBidi"/>
          <w:sz w:val="20"/>
          <w:szCs w:val="20"/>
        </w:rPr>
        <w:t>does not find the communication inadmissible on this ground.</w:t>
      </w:r>
    </w:p>
    <w:p w14:paraId="71318DB3" w14:textId="3E455074" w:rsidR="00587B3D" w:rsidRPr="00F75C47" w:rsidRDefault="003E59E6" w:rsidP="00364BE7">
      <w:pPr>
        <w:tabs>
          <w:tab w:val="left" w:pos="1701"/>
          <w:tab w:val="num" w:pos="2136"/>
        </w:tabs>
        <w:suppressAutoHyphens/>
        <w:spacing w:after="120" w:line="240" w:lineRule="atLeast"/>
        <w:ind w:left="1134" w:right="521"/>
        <w:jc w:val="both"/>
        <w:rPr>
          <w:rFonts w:asciiTheme="majorBidi" w:hAnsiTheme="majorBidi"/>
          <w:i/>
          <w:sz w:val="20"/>
        </w:rPr>
      </w:pPr>
      <w:r w:rsidRPr="00F75C47">
        <w:rPr>
          <w:rFonts w:asciiTheme="majorBidi" w:hAnsiTheme="majorBidi" w:cstheme="majorBidi"/>
          <w:i/>
          <w:iCs/>
          <w:sz w:val="20"/>
          <w:szCs w:val="20"/>
        </w:rPr>
        <w:t>S</w:t>
      </w:r>
      <w:r w:rsidR="006475AF" w:rsidRPr="00F75C47">
        <w:rPr>
          <w:rFonts w:asciiTheme="majorBidi" w:hAnsiTheme="majorBidi" w:cstheme="majorBidi"/>
          <w:i/>
          <w:iCs/>
          <w:sz w:val="20"/>
          <w:szCs w:val="20"/>
        </w:rPr>
        <w:t>cope of the Convention</w:t>
      </w:r>
      <w:r w:rsidR="00A47CDE" w:rsidRPr="00F75C47">
        <w:rPr>
          <w:rFonts w:asciiTheme="majorBidi" w:hAnsiTheme="majorBidi"/>
          <w:i/>
          <w:sz w:val="20"/>
        </w:rPr>
        <w:t xml:space="preserve"> </w:t>
      </w:r>
    </w:p>
    <w:p w14:paraId="10DAA23E" w14:textId="2D4E3194" w:rsidR="00CC2291" w:rsidRPr="00F75C47" w:rsidRDefault="008F50C8" w:rsidP="00BA50BA">
      <w:pPr>
        <w:numPr>
          <w:ilvl w:val="0"/>
          <w:numId w:val="2"/>
        </w:numPr>
        <w:tabs>
          <w:tab w:val="num" w:pos="1134"/>
          <w:tab w:val="left" w:pos="1701"/>
          <w:tab w:val="num" w:pos="2136"/>
        </w:tabs>
        <w:suppressAutoHyphens/>
        <w:spacing w:after="120" w:line="240" w:lineRule="atLeast"/>
        <w:ind w:left="1134" w:right="521" w:firstLine="0"/>
        <w:jc w:val="both"/>
        <w:rPr>
          <w:rFonts w:asciiTheme="majorBidi" w:hAnsiTheme="majorBidi"/>
          <w:sz w:val="20"/>
        </w:rPr>
      </w:pPr>
      <w:r w:rsidRPr="00F75C47">
        <w:rPr>
          <w:rFonts w:asciiTheme="majorBidi" w:hAnsiTheme="majorBidi" w:cstheme="majorBidi"/>
          <w:sz w:val="20"/>
          <w:szCs w:val="20"/>
        </w:rPr>
        <w:t xml:space="preserve">Concerning the Party </w:t>
      </w:r>
      <w:proofErr w:type="spellStart"/>
      <w:r w:rsidRPr="00F75C47">
        <w:rPr>
          <w:rFonts w:asciiTheme="majorBidi" w:hAnsiTheme="majorBidi" w:cstheme="majorBidi"/>
          <w:sz w:val="20"/>
          <w:szCs w:val="20"/>
        </w:rPr>
        <w:t>concerned’s</w:t>
      </w:r>
      <w:proofErr w:type="spellEnd"/>
      <w:r w:rsidRPr="00F75C47">
        <w:rPr>
          <w:rFonts w:asciiTheme="majorBidi" w:hAnsiTheme="majorBidi" w:cstheme="majorBidi"/>
          <w:sz w:val="20"/>
          <w:szCs w:val="20"/>
        </w:rPr>
        <w:t xml:space="preserve"> second submission, the Committee </w:t>
      </w:r>
      <w:r w:rsidR="00CC2291" w:rsidRPr="00F75C47">
        <w:rPr>
          <w:rFonts w:asciiTheme="majorBidi" w:hAnsiTheme="majorBidi" w:cstheme="majorBidi"/>
          <w:sz w:val="20"/>
          <w:szCs w:val="20"/>
        </w:rPr>
        <w:t>considers that the Party concerned has not demonstrated that</w:t>
      </w:r>
      <w:r w:rsidR="00CC2291" w:rsidRPr="00F75C47">
        <w:rPr>
          <w:rFonts w:asciiTheme="majorBidi" w:hAnsiTheme="majorBidi"/>
          <w:sz w:val="20"/>
        </w:rPr>
        <w:t xml:space="preserve"> the communication is </w:t>
      </w:r>
      <w:r w:rsidR="00BA50BA" w:rsidRPr="00F75C47">
        <w:rPr>
          <w:rFonts w:asciiTheme="majorBidi" w:hAnsiTheme="majorBidi" w:cstheme="majorBidi"/>
          <w:sz w:val="20"/>
          <w:szCs w:val="20"/>
        </w:rPr>
        <w:t xml:space="preserve">so </w:t>
      </w:r>
      <w:r w:rsidR="00CC2291" w:rsidRPr="00F75C47">
        <w:rPr>
          <w:rFonts w:asciiTheme="majorBidi" w:hAnsiTheme="majorBidi"/>
          <w:sz w:val="20"/>
        </w:rPr>
        <w:t xml:space="preserve">clearly outside the Convention </w:t>
      </w:r>
      <w:r w:rsidR="00BA50BA" w:rsidRPr="00F75C47">
        <w:rPr>
          <w:rFonts w:asciiTheme="majorBidi" w:hAnsiTheme="majorBidi" w:cstheme="majorBidi"/>
          <w:sz w:val="20"/>
          <w:szCs w:val="20"/>
        </w:rPr>
        <w:t xml:space="preserve">that it should be declared inadmissible </w:t>
      </w:r>
      <w:r w:rsidR="00CC2291" w:rsidRPr="00F75C47">
        <w:rPr>
          <w:rFonts w:asciiTheme="majorBidi" w:hAnsiTheme="majorBidi"/>
          <w:sz w:val="20"/>
        </w:rPr>
        <w:t>from the outset</w:t>
      </w:r>
      <w:r w:rsidR="002A65AE" w:rsidRPr="00F75C47">
        <w:rPr>
          <w:rFonts w:asciiTheme="majorBidi" w:hAnsiTheme="majorBidi"/>
          <w:sz w:val="20"/>
        </w:rPr>
        <w:t>.</w:t>
      </w:r>
      <w:r w:rsidR="00CC2291" w:rsidRPr="00F75C47">
        <w:rPr>
          <w:rFonts w:asciiTheme="majorBidi" w:hAnsiTheme="majorBidi"/>
          <w:sz w:val="20"/>
        </w:rPr>
        <w:t xml:space="preserve"> T</w:t>
      </w:r>
      <w:r w:rsidR="00877B54" w:rsidRPr="00F75C47">
        <w:rPr>
          <w:rFonts w:asciiTheme="majorBidi" w:hAnsiTheme="majorBidi"/>
          <w:sz w:val="20"/>
        </w:rPr>
        <w:t>hus, t</w:t>
      </w:r>
      <w:r w:rsidR="00CC2291" w:rsidRPr="00F75C47">
        <w:rPr>
          <w:rFonts w:asciiTheme="majorBidi" w:hAnsiTheme="majorBidi"/>
          <w:sz w:val="20"/>
        </w:rPr>
        <w:t xml:space="preserve">he </w:t>
      </w:r>
      <w:r w:rsidR="0098249B" w:rsidRPr="00F75C47">
        <w:rPr>
          <w:rFonts w:asciiTheme="majorBidi" w:hAnsiTheme="majorBidi"/>
          <w:sz w:val="20"/>
        </w:rPr>
        <w:t>communication is not inadmissible on this ground.</w:t>
      </w:r>
    </w:p>
    <w:p w14:paraId="1860420D" w14:textId="130FE268" w:rsidR="006475AF" w:rsidRPr="00F75C47" w:rsidRDefault="003E59E6" w:rsidP="000F2392">
      <w:pPr>
        <w:tabs>
          <w:tab w:val="left" w:pos="1701"/>
          <w:tab w:val="num" w:pos="2136"/>
        </w:tabs>
        <w:suppressAutoHyphens/>
        <w:spacing w:after="120" w:line="240" w:lineRule="atLeast"/>
        <w:ind w:left="1134" w:right="521"/>
        <w:jc w:val="both"/>
        <w:rPr>
          <w:rFonts w:asciiTheme="majorBidi" w:hAnsiTheme="majorBidi" w:cstheme="majorBidi"/>
          <w:i/>
          <w:iCs/>
          <w:sz w:val="20"/>
          <w:szCs w:val="20"/>
        </w:rPr>
      </w:pPr>
      <w:r w:rsidRPr="00F75C47">
        <w:rPr>
          <w:rFonts w:asciiTheme="majorBidi" w:hAnsiTheme="majorBidi" w:cstheme="majorBidi"/>
          <w:i/>
          <w:iCs/>
          <w:sz w:val="20"/>
          <w:szCs w:val="20"/>
        </w:rPr>
        <w:t>Use of</w:t>
      </w:r>
      <w:r w:rsidR="006475AF" w:rsidRPr="00F75C47">
        <w:rPr>
          <w:rFonts w:asciiTheme="majorBidi" w:hAnsiTheme="majorBidi" w:cstheme="majorBidi"/>
          <w:i/>
          <w:iCs/>
          <w:sz w:val="20"/>
          <w:szCs w:val="20"/>
        </w:rPr>
        <w:t xml:space="preserve"> domestic remedies</w:t>
      </w:r>
    </w:p>
    <w:p w14:paraId="5725FAF4" w14:textId="22E75787" w:rsidR="00020D10" w:rsidRPr="00F75C47" w:rsidRDefault="00251F66" w:rsidP="00020D10">
      <w:pPr>
        <w:numPr>
          <w:ilvl w:val="0"/>
          <w:numId w:val="2"/>
        </w:numPr>
        <w:tabs>
          <w:tab w:val="num" w:pos="1134"/>
          <w:tab w:val="left" w:pos="1701"/>
          <w:tab w:val="num" w:pos="2136"/>
        </w:tabs>
        <w:suppressAutoHyphens/>
        <w:spacing w:after="120" w:line="240" w:lineRule="atLeast"/>
        <w:ind w:left="1134" w:right="521" w:firstLine="0"/>
        <w:jc w:val="both"/>
        <w:rPr>
          <w:rFonts w:asciiTheme="majorBidi" w:hAnsiTheme="majorBidi" w:cstheme="majorBidi"/>
          <w:sz w:val="20"/>
          <w:szCs w:val="20"/>
        </w:rPr>
      </w:pPr>
      <w:r w:rsidRPr="00F75C47">
        <w:rPr>
          <w:rFonts w:asciiTheme="majorBidi" w:hAnsiTheme="majorBidi" w:cstheme="majorBidi"/>
          <w:sz w:val="20"/>
          <w:szCs w:val="20"/>
        </w:rPr>
        <w:t>Finally, the Committee examines</w:t>
      </w:r>
      <w:r w:rsidRPr="00F75C47">
        <w:rPr>
          <w:rFonts w:asciiTheme="majorBidi" w:hAnsiTheme="majorBidi"/>
          <w:sz w:val="20"/>
        </w:rPr>
        <w:t xml:space="preserve"> t</w:t>
      </w:r>
      <w:r w:rsidR="0098249B" w:rsidRPr="00F75C47">
        <w:rPr>
          <w:rFonts w:asciiTheme="majorBidi" w:hAnsiTheme="majorBidi"/>
          <w:sz w:val="20"/>
        </w:rPr>
        <w:t xml:space="preserve">he Party </w:t>
      </w:r>
      <w:proofErr w:type="spellStart"/>
      <w:r w:rsidR="0098249B" w:rsidRPr="00F75C47">
        <w:rPr>
          <w:rFonts w:asciiTheme="majorBidi" w:hAnsiTheme="majorBidi"/>
          <w:sz w:val="20"/>
        </w:rPr>
        <w:t>concerned’s</w:t>
      </w:r>
      <w:proofErr w:type="spellEnd"/>
      <w:r w:rsidR="0098249B" w:rsidRPr="00F75C47">
        <w:rPr>
          <w:rFonts w:asciiTheme="majorBidi" w:hAnsiTheme="majorBidi"/>
          <w:sz w:val="20"/>
        </w:rPr>
        <w:t xml:space="preserve"> submission </w:t>
      </w:r>
      <w:r w:rsidR="00BA50BA" w:rsidRPr="00F75C47">
        <w:rPr>
          <w:rFonts w:asciiTheme="majorBidi" w:hAnsiTheme="majorBidi" w:cstheme="majorBidi"/>
          <w:sz w:val="20"/>
          <w:szCs w:val="20"/>
        </w:rPr>
        <w:t xml:space="preserve">that the </w:t>
      </w:r>
      <w:r w:rsidRPr="00F75C47">
        <w:rPr>
          <w:rFonts w:asciiTheme="majorBidi" w:hAnsiTheme="majorBidi" w:cstheme="majorBidi"/>
          <w:sz w:val="20"/>
          <w:szCs w:val="20"/>
        </w:rPr>
        <w:t xml:space="preserve">communication should be determined to be inadmissible because the </w:t>
      </w:r>
      <w:r w:rsidR="00BA50BA" w:rsidRPr="00F75C47">
        <w:rPr>
          <w:rFonts w:asciiTheme="majorBidi" w:hAnsiTheme="majorBidi" w:cstheme="majorBidi"/>
          <w:sz w:val="20"/>
          <w:szCs w:val="20"/>
        </w:rPr>
        <w:t>communicants have failed</w:t>
      </w:r>
      <w:r w:rsidR="00BA50BA" w:rsidRPr="00F75C47">
        <w:rPr>
          <w:rFonts w:asciiTheme="majorBidi" w:hAnsiTheme="majorBidi"/>
          <w:sz w:val="20"/>
        </w:rPr>
        <w:t xml:space="preserve"> </w:t>
      </w:r>
      <w:r w:rsidR="0098249B" w:rsidRPr="00F75C47">
        <w:rPr>
          <w:rFonts w:asciiTheme="majorBidi" w:hAnsiTheme="majorBidi"/>
          <w:sz w:val="20"/>
        </w:rPr>
        <w:t xml:space="preserve">to exhaust </w:t>
      </w:r>
      <w:r w:rsidR="00BA50BA" w:rsidRPr="00F75C47">
        <w:rPr>
          <w:rFonts w:asciiTheme="majorBidi" w:hAnsiTheme="majorBidi" w:cstheme="majorBidi"/>
          <w:sz w:val="20"/>
          <w:szCs w:val="20"/>
        </w:rPr>
        <w:t>the</w:t>
      </w:r>
      <w:r w:rsidR="00BA50BA" w:rsidRPr="00F75C47">
        <w:rPr>
          <w:rFonts w:asciiTheme="majorBidi" w:hAnsiTheme="majorBidi"/>
          <w:sz w:val="20"/>
        </w:rPr>
        <w:t xml:space="preserve"> remedies</w:t>
      </w:r>
      <w:r w:rsidR="00BA50BA" w:rsidRPr="00F75C47">
        <w:rPr>
          <w:rFonts w:asciiTheme="majorBidi" w:hAnsiTheme="majorBidi" w:cstheme="majorBidi"/>
          <w:sz w:val="20"/>
          <w:szCs w:val="20"/>
        </w:rPr>
        <w:t xml:space="preserve"> </w:t>
      </w:r>
      <w:r w:rsidRPr="00F75C47">
        <w:rPr>
          <w:rFonts w:asciiTheme="majorBidi" w:hAnsiTheme="majorBidi" w:cstheme="majorBidi"/>
          <w:sz w:val="20"/>
          <w:szCs w:val="20"/>
        </w:rPr>
        <w:t xml:space="preserve">available to them </w:t>
      </w:r>
      <w:r w:rsidR="00BA50BA" w:rsidRPr="00F75C47">
        <w:rPr>
          <w:rFonts w:asciiTheme="majorBidi" w:hAnsiTheme="majorBidi" w:cstheme="majorBidi"/>
          <w:sz w:val="20"/>
          <w:szCs w:val="20"/>
        </w:rPr>
        <w:t>under</w:t>
      </w:r>
      <w:r w:rsidR="00BA50BA" w:rsidRPr="00F75C47">
        <w:rPr>
          <w:rFonts w:asciiTheme="majorBidi" w:hAnsiTheme="majorBidi"/>
          <w:sz w:val="20"/>
        </w:rPr>
        <w:t xml:space="preserve"> the </w:t>
      </w:r>
      <w:r w:rsidR="00BA50BA" w:rsidRPr="00F75C47">
        <w:rPr>
          <w:rFonts w:asciiTheme="majorBidi" w:hAnsiTheme="majorBidi" w:cstheme="majorBidi"/>
          <w:sz w:val="20"/>
          <w:szCs w:val="20"/>
        </w:rPr>
        <w:t xml:space="preserve">laws of the EU and </w:t>
      </w:r>
      <w:r w:rsidR="002514AF" w:rsidRPr="00F75C47">
        <w:rPr>
          <w:rFonts w:asciiTheme="majorBidi" w:hAnsiTheme="majorBidi" w:cstheme="majorBidi"/>
          <w:sz w:val="20"/>
          <w:szCs w:val="20"/>
        </w:rPr>
        <w:t xml:space="preserve">the </w:t>
      </w:r>
      <w:r w:rsidR="00BA50BA" w:rsidRPr="00F75C47">
        <w:rPr>
          <w:rFonts w:asciiTheme="majorBidi" w:hAnsiTheme="majorBidi" w:cstheme="majorBidi"/>
          <w:sz w:val="20"/>
          <w:szCs w:val="20"/>
        </w:rPr>
        <w:t>United Kingdom</w:t>
      </w:r>
      <w:r w:rsidRPr="00F75C47">
        <w:rPr>
          <w:rFonts w:asciiTheme="majorBidi" w:hAnsiTheme="majorBidi" w:cstheme="majorBidi"/>
          <w:sz w:val="20"/>
          <w:szCs w:val="20"/>
        </w:rPr>
        <w:t>.</w:t>
      </w:r>
      <w:r w:rsidR="002514AF" w:rsidRPr="00F75C47">
        <w:rPr>
          <w:rFonts w:asciiTheme="majorBidi" w:hAnsiTheme="majorBidi" w:cstheme="majorBidi"/>
          <w:sz w:val="20"/>
          <w:szCs w:val="20"/>
        </w:rPr>
        <w:t xml:space="preserve"> </w:t>
      </w:r>
    </w:p>
    <w:p w14:paraId="5370F8E0" w14:textId="086E0200" w:rsidR="00020D10" w:rsidRPr="00F75C47" w:rsidRDefault="00020D10" w:rsidP="00020D10">
      <w:pPr>
        <w:numPr>
          <w:ilvl w:val="0"/>
          <w:numId w:val="2"/>
        </w:numPr>
        <w:tabs>
          <w:tab w:val="num" w:pos="1134"/>
          <w:tab w:val="left" w:pos="1701"/>
          <w:tab w:val="num" w:pos="2136"/>
        </w:tabs>
        <w:suppressAutoHyphens/>
        <w:spacing w:after="120" w:line="240" w:lineRule="atLeast"/>
        <w:ind w:left="1134" w:right="521" w:firstLine="0"/>
        <w:jc w:val="both"/>
        <w:rPr>
          <w:rFonts w:asciiTheme="majorBidi" w:hAnsiTheme="majorBidi"/>
          <w:sz w:val="20"/>
        </w:rPr>
      </w:pPr>
      <w:r w:rsidRPr="00F75C47">
        <w:rPr>
          <w:rFonts w:asciiTheme="majorBidi" w:hAnsiTheme="majorBidi" w:cstheme="majorBidi"/>
          <w:sz w:val="20"/>
          <w:szCs w:val="20"/>
        </w:rPr>
        <w:t xml:space="preserve">The </w:t>
      </w:r>
      <w:r w:rsidRPr="00F75C47">
        <w:rPr>
          <w:rFonts w:asciiTheme="majorBidi" w:hAnsiTheme="majorBidi"/>
          <w:sz w:val="20"/>
        </w:rPr>
        <w:t xml:space="preserve">Party concerned </w:t>
      </w:r>
      <w:r w:rsidRPr="00F75C47">
        <w:rPr>
          <w:rFonts w:asciiTheme="majorBidi" w:hAnsiTheme="majorBidi" w:cstheme="majorBidi"/>
          <w:sz w:val="20"/>
          <w:szCs w:val="20"/>
        </w:rPr>
        <w:t>asserts that</w:t>
      </w:r>
      <w:r w:rsidR="00761157" w:rsidRPr="00F75C47">
        <w:rPr>
          <w:rFonts w:asciiTheme="majorBidi" w:hAnsiTheme="majorBidi"/>
          <w:sz w:val="20"/>
        </w:rPr>
        <w:t xml:space="preserve"> </w:t>
      </w:r>
      <w:r w:rsidRPr="00F75C47">
        <w:rPr>
          <w:rFonts w:asciiTheme="majorBidi" w:hAnsiTheme="majorBidi"/>
          <w:sz w:val="20"/>
        </w:rPr>
        <w:t xml:space="preserve">the </w:t>
      </w:r>
      <w:r w:rsidRPr="00F75C47">
        <w:rPr>
          <w:rFonts w:asciiTheme="majorBidi" w:hAnsiTheme="majorBidi" w:cstheme="majorBidi"/>
          <w:sz w:val="20"/>
          <w:szCs w:val="20"/>
        </w:rPr>
        <w:t>communicants could</w:t>
      </w:r>
      <w:r w:rsidRPr="00F75C47">
        <w:rPr>
          <w:rFonts w:asciiTheme="majorBidi" w:hAnsiTheme="majorBidi"/>
          <w:sz w:val="20"/>
        </w:rPr>
        <w:t xml:space="preserve"> have </w:t>
      </w:r>
      <w:r w:rsidRPr="00F75C47">
        <w:rPr>
          <w:rFonts w:asciiTheme="majorBidi" w:hAnsiTheme="majorBidi" w:cstheme="majorBidi"/>
          <w:sz w:val="20"/>
          <w:szCs w:val="20"/>
        </w:rPr>
        <w:t xml:space="preserve">brought judicial review </w:t>
      </w:r>
      <w:r w:rsidR="00761157" w:rsidRPr="00F75C47">
        <w:rPr>
          <w:rFonts w:asciiTheme="majorBidi" w:hAnsiTheme="majorBidi" w:cstheme="majorBidi"/>
          <w:sz w:val="20"/>
          <w:szCs w:val="20"/>
        </w:rPr>
        <w:t>in</w:t>
      </w:r>
      <w:r w:rsidR="00761157" w:rsidRPr="00F75C47">
        <w:rPr>
          <w:rFonts w:asciiTheme="majorBidi" w:hAnsiTheme="majorBidi"/>
          <w:sz w:val="20"/>
        </w:rPr>
        <w:t xml:space="preserve"> the</w:t>
      </w:r>
      <w:r w:rsidRPr="00F75C47">
        <w:rPr>
          <w:rFonts w:asciiTheme="majorBidi" w:hAnsiTheme="majorBidi"/>
          <w:sz w:val="20"/>
        </w:rPr>
        <w:t xml:space="preserve"> </w:t>
      </w:r>
      <w:r w:rsidRPr="00F75C47">
        <w:rPr>
          <w:rFonts w:asciiTheme="majorBidi" w:hAnsiTheme="majorBidi" w:cstheme="majorBidi"/>
          <w:sz w:val="20"/>
          <w:szCs w:val="20"/>
        </w:rPr>
        <w:t>United Kingdom</w:t>
      </w:r>
      <w:r w:rsidR="00761157" w:rsidRPr="00F75C47">
        <w:rPr>
          <w:rFonts w:asciiTheme="majorBidi" w:hAnsiTheme="majorBidi" w:cstheme="majorBidi"/>
          <w:sz w:val="20"/>
          <w:szCs w:val="20"/>
        </w:rPr>
        <w:t xml:space="preserve"> courts</w:t>
      </w:r>
      <w:r w:rsidRPr="00F75C47">
        <w:rPr>
          <w:rFonts w:asciiTheme="majorBidi" w:hAnsiTheme="majorBidi" w:cstheme="majorBidi"/>
          <w:sz w:val="20"/>
          <w:szCs w:val="20"/>
        </w:rPr>
        <w:t xml:space="preserve"> against</w:t>
      </w:r>
      <w:r w:rsidRPr="00F75C47">
        <w:rPr>
          <w:rFonts w:asciiTheme="majorBidi" w:hAnsiTheme="majorBidi"/>
          <w:sz w:val="20"/>
        </w:rPr>
        <w:t xml:space="preserve"> the </w:t>
      </w:r>
      <w:r w:rsidR="00761157" w:rsidRPr="00F75C47">
        <w:rPr>
          <w:rFonts w:asciiTheme="majorBidi" w:hAnsiTheme="majorBidi" w:cstheme="majorBidi"/>
          <w:sz w:val="20"/>
          <w:szCs w:val="20"/>
        </w:rPr>
        <w:t xml:space="preserve">United Kingdom’s </w:t>
      </w:r>
      <w:r w:rsidRPr="00F75C47">
        <w:rPr>
          <w:rFonts w:asciiTheme="majorBidi" w:hAnsiTheme="majorBidi" w:cstheme="majorBidi"/>
          <w:sz w:val="20"/>
          <w:szCs w:val="20"/>
        </w:rPr>
        <w:t>state</w:t>
      </w:r>
      <w:r w:rsidRPr="00F75C47">
        <w:rPr>
          <w:rFonts w:asciiTheme="majorBidi" w:hAnsiTheme="majorBidi"/>
          <w:sz w:val="20"/>
        </w:rPr>
        <w:t xml:space="preserve"> aid </w:t>
      </w:r>
      <w:r w:rsidRPr="00F75C47">
        <w:rPr>
          <w:rFonts w:asciiTheme="majorBidi" w:hAnsiTheme="majorBidi" w:cstheme="majorBidi"/>
          <w:sz w:val="20"/>
          <w:szCs w:val="20"/>
        </w:rPr>
        <w:t xml:space="preserve">measures, and </w:t>
      </w:r>
      <w:r w:rsidR="00761157" w:rsidRPr="00F75C47">
        <w:rPr>
          <w:rFonts w:asciiTheme="majorBidi" w:hAnsiTheme="majorBidi" w:cstheme="majorBidi"/>
          <w:sz w:val="20"/>
          <w:szCs w:val="20"/>
        </w:rPr>
        <w:t>in those proceedings,</w:t>
      </w:r>
      <w:r w:rsidRPr="00F75C47">
        <w:rPr>
          <w:rFonts w:asciiTheme="majorBidi" w:hAnsiTheme="majorBidi" w:cstheme="majorBidi"/>
          <w:sz w:val="20"/>
          <w:szCs w:val="20"/>
        </w:rPr>
        <w:t xml:space="preserve"> requested a </w:t>
      </w:r>
      <w:r w:rsidR="002E3527" w:rsidRPr="00F75C47">
        <w:rPr>
          <w:rFonts w:asciiTheme="majorBidi" w:hAnsiTheme="majorBidi" w:cstheme="majorBidi"/>
          <w:sz w:val="20"/>
          <w:szCs w:val="20"/>
        </w:rPr>
        <w:t xml:space="preserve">reference for a </w:t>
      </w:r>
      <w:r w:rsidRPr="00F75C47">
        <w:rPr>
          <w:rFonts w:asciiTheme="majorBidi" w:hAnsiTheme="majorBidi" w:cstheme="majorBidi"/>
          <w:sz w:val="20"/>
          <w:szCs w:val="20"/>
        </w:rPr>
        <w:t xml:space="preserve">preliminary </w:t>
      </w:r>
      <w:r w:rsidR="002E3527" w:rsidRPr="00F75C47">
        <w:rPr>
          <w:rFonts w:asciiTheme="majorBidi" w:hAnsiTheme="majorBidi" w:cstheme="majorBidi"/>
          <w:sz w:val="20"/>
          <w:szCs w:val="20"/>
        </w:rPr>
        <w:t xml:space="preserve">ruling </w:t>
      </w:r>
      <w:r w:rsidR="00761157" w:rsidRPr="00F75C47">
        <w:rPr>
          <w:rFonts w:asciiTheme="majorBidi" w:hAnsiTheme="majorBidi" w:cstheme="majorBidi"/>
          <w:sz w:val="20"/>
          <w:szCs w:val="20"/>
        </w:rPr>
        <w:t xml:space="preserve">to the CJEU regarding </w:t>
      </w:r>
      <w:r w:rsidRPr="00F75C47">
        <w:rPr>
          <w:rFonts w:asciiTheme="majorBidi" w:hAnsiTheme="majorBidi" w:cstheme="majorBidi"/>
          <w:sz w:val="20"/>
          <w:szCs w:val="20"/>
        </w:rPr>
        <w:t xml:space="preserve">the validity of the Commission’s </w:t>
      </w:r>
      <w:r w:rsidRPr="00F75C47">
        <w:rPr>
          <w:rFonts w:asciiTheme="majorBidi" w:hAnsiTheme="majorBidi"/>
          <w:sz w:val="20"/>
        </w:rPr>
        <w:t xml:space="preserve">decision </w:t>
      </w:r>
      <w:r w:rsidRPr="00F75C47">
        <w:rPr>
          <w:rFonts w:asciiTheme="majorBidi" w:hAnsiTheme="majorBidi" w:cstheme="majorBidi"/>
          <w:sz w:val="20"/>
          <w:szCs w:val="20"/>
        </w:rPr>
        <w:t>under</w:t>
      </w:r>
      <w:r w:rsidRPr="00F75C47">
        <w:rPr>
          <w:rFonts w:asciiTheme="majorBidi" w:hAnsiTheme="majorBidi"/>
          <w:sz w:val="20"/>
        </w:rPr>
        <w:t xml:space="preserve"> article </w:t>
      </w:r>
      <w:r w:rsidRPr="00F75C47">
        <w:rPr>
          <w:rFonts w:asciiTheme="majorBidi" w:hAnsiTheme="majorBidi" w:cstheme="majorBidi"/>
          <w:sz w:val="20"/>
          <w:szCs w:val="20"/>
        </w:rPr>
        <w:t>108(2) TFEU</w:t>
      </w:r>
      <w:r w:rsidRPr="00F75C47">
        <w:rPr>
          <w:rFonts w:asciiTheme="majorBidi" w:hAnsiTheme="majorBidi"/>
          <w:sz w:val="20"/>
        </w:rPr>
        <w:t>.</w:t>
      </w:r>
      <w:r w:rsidR="00761157" w:rsidRPr="00F75C47">
        <w:rPr>
          <w:rStyle w:val="FootnoteReference"/>
          <w:rFonts w:asciiTheme="majorBidi" w:hAnsiTheme="majorBidi"/>
          <w:sz w:val="20"/>
        </w:rPr>
        <w:footnoteReference w:id="102"/>
      </w:r>
    </w:p>
    <w:p w14:paraId="786E675C" w14:textId="59D23AA3" w:rsidR="006475AF" w:rsidRPr="00F75C47" w:rsidRDefault="00207574" w:rsidP="002249C2">
      <w:pPr>
        <w:numPr>
          <w:ilvl w:val="0"/>
          <w:numId w:val="2"/>
        </w:numPr>
        <w:tabs>
          <w:tab w:val="num" w:pos="1134"/>
          <w:tab w:val="left" w:pos="1701"/>
          <w:tab w:val="num" w:pos="2136"/>
        </w:tabs>
        <w:suppressAutoHyphens/>
        <w:spacing w:after="120" w:line="240" w:lineRule="atLeast"/>
        <w:ind w:left="1134" w:right="521" w:firstLine="0"/>
        <w:jc w:val="both"/>
        <w:rPr>
          <w:rFonts w:asciiTheme="majorBidi" w:hAnsiTheme="majorBidi"/>
          <w:sz w:val="20"/>
        </w:rPr>
      </w:pPr>
      <w:r w:rsidRPr="00F75C47">
        <w:rPr>
          <w:rFonts w:asciiTheme="majorBidi" w:hAnsiTheme="majorBidi" w:cstheme="majorBidi"/>
          <w:sz w:val="20"/>
          <w:szCs w:val="20"/>
        </w:rPr>
        <w:t>On this point</w:t>
      </w:r>
      <w:r w:rsidRPr="00F75C47">
        <w:rPr>
          <w:rFonts w:asciiTheme="majorBidi" w:hAnsiTheme="majorBidi"/>
          <w:sz w:val="20"/>
        </w:rPr>
        <w:t>,</w:t>
      </w:r>
      <w:r w:rsidR="002A65AE" w:rsidRPr="00F75C47">
        <w:rPr>
          <w:rFonts w:asciiTheme="majorBidi" w:hAnsiTheme="majorBidi"/>
          <w:sz w:val="20"/>
        </w:rPr>
        <w:t xml:space="preserve"> </w:t>
      </w:r>
      <w:r w:rsidRPr="00F75C47">
        <w:rPr>
          <w:rFonts w:asciiTheme="majorBidi" w:hAnsiTheme="majorBidi"/>
          <w:sz w:val="20"/>
        </w:rPr>
        <w:t>t</w:t>
      </w:r>
      <w:r w:rsidR="002A65AE" w:rsidRPr="00F75C47">
        <w:rPr>
          <w:rFonts w:asciiTheme="majorBidi" w:hAnsiTheme="majorBidi"/>
          <w:sz w:val="20"/>
        </w:rPr>
        <w:t>he Committee recalls its findings on communication ACCC/C/2008/32 (European Union</w:t>
      </w:r>
      <w:r w:rsidR="002A65AE" w:rsidRPr="00F75C47">
        <w:rPr>
          <w:rFonts w:asciiTheme="majorBidi" w:hAnsiTheme="majorBidi" w:cstheme="majorBidi"/>
          <w:sz w:val="20"/>
          <w:szCs w:val="20"/>
        </w:rPr>
        <w:t>)</w:t>
      </w:r>
      <w:r w:rsidR="00BA50BA" w:rsidRPr="00F75C47">
        <w:rPr>
          <w:rFonts w:asciiTheme="majorBidi" w:hAnsiTheme="majorBidi" w:cstheme="majorBidi"/>
          <w:sz w:val="20"/>
          <w:szCs w:val="20"/>
        </w:rPr>
        <w:t xml:space="preserve"> (P</w:t>
      </w:r>
      <w:r w:rsidR="002A65AE" w:rsidRPr="00F75C47">
        <w:rPr>
          <w:rFonts w:asciiTheme="majorBidi" w:hAnsiTheme="majorBidi" w:cstheme="majorBidi"/>
          <w:sz w:val="20"/>
          <w:szCs w:val="20"/>
        </w:rPr>
        <w:t>art</w:t>
      </w:r>
      <w:r w:rsidR="002A65AE" w:rsidRPr="00F75C47">
        <w:rPr>
          <w:rFonts w:asciiTheme="majorBidi" w:hAnsiTheme="majorBidi"/>
          <w:sz w:val="20"/>
        </w:rPr>
        <w:t xml:space="preserve"> I</w:t>
      </w:r>
      <w:r w:rsidR="00BA50BA" w:rsidRPr="00F75C47">
        <w:rPr>
          <w:rFonts w:asciiTheme="majorBidi" w:hAnsiTheme="majorBidi" w:cstheme="majorBidi"/>
          <w:sz w:val="20"/>
          <w:szCs w:val="20"/>
        </w:rPr>
        <w:t>)</w:t>
      </w:r>
      <w:r w:rsidR="002A65AE" w:rsidRPr="00F75C47">
        <w:rPr>
          <w:rFonts w:asciiTheme="majorBidi" w:hAnsiTheme="majorBidi" w:cstheme="majorBidi"/>
          <w:sz w:val="20"/>
          <w:szCs w:val="20"/>
        </w:rPr>
        <w:t>,</w:t>
      </w:r>
      <w:r w:rsidR="002A65AE" w:rsidRPr="00F75C47">
        <w:rPr>
          <w:rFonts w:asciiTheme="majorBidi" w:hAnsiTheme="majorBidi"/>
          <w:sz w:val="20"/>
        </w:rPr>
        <w:t xml:space="preserve"> in which </w:t>
      </w:r>
      <w:r w:rsidRPr="00F75C47">
        <w:rPr>
          <w:rFonts w:asciiTheme="majorBidi" w:hAnsiTheme="majorBidi"/>
          <w:sz w:val="20"/>
        </w:rPr>
        <w:t>it held that</w:t>
      </w:r>
      <w:r w:rsidRPr="00F75C47">
        <w:rPr>
          <w:rFonts w:asciiTheme="majorBidi" w:hAnsiTheme="majorBidi" w:cstheme="majorBidi"/>
          <w:sz w:val="20"/>
          <w:szCs w:val="20"/>
        </w:rPr>
        <w:t xml:space="preserve">, “with respect to decisions, acts and omissions of EU institutions and bodies, </w:t>
      </w:r>
      <w:r w:rsidRPr="00F75C47">
        <w:rPr>
          <w:rFonts w:asciiTheme="majorBidi" w:hAnsiTheme="majorBidi"/>
          <w:sz w:val="20"/>
        </w:rPr>
        <w:t>the system of preliminary ruling neither in itself meets the requirements of access to justice in article 9 of the Convention nor compensates for the strict jurisprudence of the EU Courts”</w:t>
      </w:r>
      <w:r w:rsidR="002A65AE" w:rsidRPr="00F75C47">
        <w:rPr>
          <w:rFonts w:asciiTheme="majorBidi" w:hAnsiTheme="majorBidi"/>
          <w:sz w:val="20"/>
        </w:rPr>
        <w:t>.</w:t>
      </w:r>
      <w:r w:rsidR="002A65AE" w:rsidRPr="00F75C47">
        <w:rPr>
          <w:rStyle w:val="FootnoteReference"/>
          <w:rFonts w:asciiTheme="majorBidi" w:hAnsiTheme="majorBidi"/>
          <w:sz w:val="20"/>
        </w:rPr>
        <w:footnoteReference w:id="103"/>
      </w:r>
      <w:r w:rsidR="002A65AE" w:rsidRPr="00F75C47">
        <w:rPr>
          <w:rFonts w:asciiTheme="majorBidi" w:hAnsiTheme="majorBidi"/>
          <w:sz w:val="20"/>
        </w:rPr>
        <w:t xml:space="preserve"> The legal system of the Party concerned has not changed in this respect.</w:t>
      </w:r>
    </w:p>
    <w:p w14:paraId="4C11B468" w14:textId="02865005" w:rsidR="0098249B" w:rsidRPr="00F75C47" w:rsidRDefault="002514AF" w:rsidP="003D5AC3">
      <w:pPr>
        <w:numPr>
          <w:ilvl w:val="0"/>
          <w:numId w:val="2"/>
        </w:numPr>
        <w:tabs>
          <w:tab w:val="num" w:pos="1134"/>
          <w:tab w:val="left" w:pos="1701"/>
          <w:tab w:val="num" w:pos="2136"/>
        </w:tabs>
        <w:suppressAutoHyphens/>
        <w:spacing w:after="120" w:line="240" w:lineRule="atLeast"/>
        <w:ind w:left="1134" w:right="521" w:firstLine="0"/>
        <w:jc w:val="both"/>
        <w:rPr>
          <w:rFonts w:asciiTheme="majorBidi" w:hAnsiTheme="majorBidi" w:cstheme="majorBidi"/>
          <w:sz w:val="20"/>
          <w:szCs w:val="20"/>
        </w:rPr>
      </w:pPr>
      <w:r w:rsidRPr="00F75C47">
        <w:rPr>
          <w:rFonts w:asciiTheme="majorBidi" w:hAnsiTheme="majorBidi" w:cstheme="majorBidi"/>
          <w:sz w:val="20"/>
          <w:szCs w:val="20"/>
        </w:rPr>
        <w:t>Given</w:t>
      </w:r>
      <w:r w:rsidR="006475AF" w:rsidRPr="00F75C47">
        <w:rPr>
          <w:rFonts w:asciiTheme="majorBidi" w:hAnsiTheme="majorBidi" w:cstheme="majorBidi"/>
          <w:sz w:val="20"/>
          <w:szCs w:val="20"/>
        </w:rPr>
        <w:t xml:space="preserve"> the above, the Committee does not find the communication to be inadmissible for failure to use domestic remedies.</w:t>
      </w:r>
      <w:r w:rsidR="002A65AE" w:rsidRPr="00F75C47">
        <w:rPr>
          <w:rFonts w:asciiTheme="majorBidi" w:hAnsiTheme="majorBidi" w:cstheme="majorBidi"/>
          <w:sz w:val="20"/>
          <w:szCs w:val="20"/>
        </w:rPr>
        <w:t xml:space="preserve"> </w:t>
      </w:r>
    </w:p>
    <w:p w14:paraId="70B1874C" w14:textId="72FBA4E2" w:rsidR="00251F66" w:rsidRPr="00F75C47" w:rsidRDefault="00251F66" w:rsidP="000F2392">
      <w:pPr>
        <w:tabs>
          <w:tab w:val="left" w:pos="1701"/>
          <w:tab w:val="num" w:pos="2136"/>
        </w:tabs>
        <w:suppressAutoHyphens/>
        <w:spacing w:after="120" w:line="240" w:lineRule="atLeast"/>
        <w:ind w:left="1134" w:right="521"/>
        <w:jc w:val="both"/>
        <w:rPr>
          <w:rFonts w:asciiTheme="majorBidi" w:hAnsiTheme="majorBidi" w:cstheme="majorBidi"/>
          <w:i/>
          <w:iCs/>
          <w:sz w:val="20"/>
          <w:szCs w:val="20"/>
        </w:rPr>
      </w:pPr>
      <w:r w:rsidRPr="00F75C47">
        <w:rPr>
          <w:rFonts w:asciiTheme="majorBidi" w:hAnsiTheme="majorBidi" w:cstheme="majorBidi"/>
          <w:i/>
          <w:iCs/>
          <w:sz w:val="20"/>
          <w:szCs w:val="20"/>
        </w:rPr>
        <w:t>Concluding remarks on admissibility</w:t>
      </w:r>
    </w:p>
    <w:p w14:paraId="23BCD3BA" w14:textId="05692D32" w:rsidR="002A65AE" w:rsidRPr="00F75C47" w:rsidRDefault="0098249B" w:rsidP="000F2392">
      <w:pPr>
        <w:numPr>
          <w:ilvl w:val="0"/>
          <w:numId w:val="2"/>
        </w:numPr>
        <w:tabs>
          <w:tab w:val="num" w:pos="1134"/>
          <w:tab w:val="left" w:pos="1701"/>
          <w:tab w:val="num" w:pos="2136"/>
        </w:tabs>
        <w:suppressAutoHyphens/>
        <w:spacing w:after="120" w:line="240" w:lineRule="atLeast"/>
        <w:ind w:left="1134" w:right="521" w:firstLine="0"/>
        <w:jc w:val="both"/>
        <w:rPr>
          <w:rFonts w:asciiTheme="majorBidi" w:hAnsiTheme="majorBidi"/>
          <w:sz w:val="20"/>
        </w:rPr>
      </w:pPr>
      <w:r w:rsidRPr="00F75C47">
        <w:rPr>
          <w:rFonts w:asciiTheme="majorBidi" w:hAnsiTheme="majorBidi"/>
          <w:sz w:val="20"/>
        </w:rPr>
        <w:t xml:space="preserve">In the light of the foregoing, </w:t>
      </w:r>
      <w:r w:rsidR="002A65AE" w:rsidRPr="00F75C47">
        <w:rPr>
          <w:rFonts w:asciiTheme="majorBidi" w:hAnsiTheme="majorBidi"/>
          <w:sz w:val="20"/>
        </w:rPr>
        <w:t xml:space="preserve">the Committee finds the communication to be admissible. </w:t>
      </w:r>
    </w:p>
    <w:p w14:paraId="66BB9546" w14:textId="77777777" w:rsidR="006475AF" w:rsidRPr="00F75C47" w:rsidRDefault="006475AF" w:rsidP="003D5AC3">
      <w:pPr>
        <w:tabs>
          <w:tab w:val="left" w:pos="1701"/>
          <w:tab w:val="num" w:pos="2136"/>
        </w:tabs>
        <w:suppressAutoHyphens/>
        <w:spacing w:after="120" w:line="240" w:lineRule="atLeast"/>
        <w:ind w:left="1134" w:right="521"/>
        <w:jc w:val="both"/>
        <w:rPr>
          <w:rFonts w:asciiTheme="majorBidi" w:hAnsiTheme="majorBidi" w:cstheme="majorBidi"/>
          <w:b/>
          <w:bCs/>
          <w:sz w:val="20"/>
          <w:szCs w:val="20"/>
        </w:rPr>
      </w:pPr>
    </w:p>
    <w:p w14:paraId="0A368E65" w14:textId="06758D54" w:rsidR="00617C17" w:rsidRPr="00F75C47" w:rsidRDefault="00293B68">
      <w:pPr>
        <w:tabs>
          <w:tab w:val="left" w:pos="1701"/>
          <w:tab w:val="num" w:pos="2136"/>
        </w:tabs>
        <w:suppressAutoHyphens/>
        <w:spacing w:after="120" w:line="240" w:lineRule="atLeast"/>
        <w:ind w:left="1134" w:right="521"/>
        <w:jc w:val="both"/>
        <w:rPr>
          <w:rFonts w:asciiTheme="majorBidi" w:hAnsiTheme="majorBidi"/>
          <w:b/>
          <w:sz w:val="20"/>
        </w:rPr>
      </w:pPr>
      <w:r w:rsidRPr="00F75C47">
        <w:rPr>
          <w:rFonts w:asciiTheme="majorBidi" w:hAnsiTheme="majorBidi"/>
          <w:b/>
          <w:sz w:val="20"/>
        </w:rPr>
        <w:t xml:space="preserve">Article 9 (3) </w:t>
      </w:r>
      <w:r w:rsidR="00AA69C3" w:rsidRPr="00F75C47">
        <w:rPr>
          <w:rFonts w:asciiTheme="majorBidi" w:hAnsiTheme="majorBidi"/>
          <w:b/>
          <w:sz w:val="20"/>
        </w:rPr>
        <w:t>–</w:t>
      </w:r>
      <w:r w:rsidR="00AE439E" w:rsidRPr="00F75C47">
        <w:rPr>
          <w:rFonts w:asciiTheme="majorBidi" w:hAnsiTheme="majorBidi"/>
          <w:b/>
          <w:sz w:val="20"/>
        </w:rPr>
        <w:t xml:space="preserve"> applicability</w:t>
      </w:r>
      <w:r w:rsidR="00AA69C3" w:rsidRPr="00F75C47">
        <w:rPr>
          <w:rFonts w:asciiTheme="majorBidi" w:hAnsiTheme="majorBidi"/>
          <w:b/>
          <w:sz w:val="20"/>
        </w:rPr>
        <w:t xml:space="preserve"> to decisions</w:t>
      </w:r>
      <w:r w:rsidR="00D70D9C" w:rsidRPr="00F75C47">
        <w:rPr>
          <w:rFonts w:asciiTheme="majorBidi" w:hAnsiTheme="majorBidi"/>
          <w:b/>
          <w:sz w:val="20"/>
        </w:rPr>
        <w:t xml:space="preserve"> by the European Commission on state aid</w:t>
      </w:r>
      <w:r w:rsidR="00AA69C3" w:rsidRPr="00F75C47">
        <w:rPr>
          <w:rFonts w:asciiTheme="majorBidi" w:hAnsiTheme="majorBidi"/>
          <w:b/>
          <w:sz w:val="20"/>
        </w:rPr>
        <w:t xml:space="preserve"> </w:t>
      </w:r>
    </w:p>
    <w:p w14:paraId="6CEEA2ED" w14:textId="3F7DC89C" w:rsidR="005A62DD" w:rsidRPr="00F75C47" w:rsidRDefault="005A62DD" w:rsidP="005A62DD">
      <w:pPr>
        <w:tabs>
          <w:tab w:val="left" w:pos="1701"/>
          <w:tab w:val="num" w:pos="2136"/>
        </w:tabs>
        <w:suppressAutoHyphens/>
        <w:spacing w:after="120" w:line="240" w:lineRule="atLeast"/>
        <w:ind w:left="1134" w:right="521"/>
        <w:jc w:val="both"/>
        <w:rPr>
          <w:rFonts w:asciiTheme="majorBidi" w:hAnsiTheme="majorBidi"/>
          <w:i/>
          <w:sz w:val="20"/>
        </w:rPr>
      </w:pPr>
      <w:r w:rsidRPr="00F75C47">
        <w:rPr>
          <w:rFonts w:asciiTheme="majorBidi" w:hAnsiTheme="majorBidi"/>
          <w:i/>
          <w:sz w:val="20"/>
        </w:rPr>
        <w:t>Whether a state aid decision is an “act” under article 9(3)</w:t>
      </w:r>
    </w:p>
    <w:p w14:paraId="19ED53D0" w14:textId="31E0C9C5" w:rsidR="005A62DD" w:rsidRPr="00F75C47" w:rsidRDefault="005A62DD" w:rsidP="005A62DD">
      <w:pPr>
        <w:numPr>
          <w:ilvl w:val="0"/>
          <w:numId w:val="2"/>
        </w:numPr>
        <w:tabs>
          <w:tab w:val="num" w:pos="1134"/>
          <w:tab w:val="left" w:pos="1701"/>
          <w:tab w:val="num" w:pos="2136"/>
        </w:tabs>
        <w:suppressAutoHyphens/>
        <w:spacing w:after="120" w:line="240" w:lineRule="atLeast"/>
        <w:ind w:left="1134" w:right="521" w:firstLine="0"/>
        <w:jc w:val="both"/>
        <w:rPr>
          <w:rFonts w:asciiTheme="majorBidi" w:hAnsiTheme="majorBidi" w:cstheme="majorBidi"/>
          <w:sz w:val="20"/>
          <w:szCs w:val="20"/>
        </w:rPr>
      </w:pPr>
      <w:bookmarkStart w:id="28" w:name="_Ref61593234"/>
      <w:r w:rsidRPr="00F75C47">
        <w:rPr>
          <w:rFonts w:asciiTheme="majorBidi" w:hAnsiTheme="majorBidi" w:cstheme="majorBidi"/>
          <w:sz w:val="20"/>
          <w:szCs w:val="20"/>
        </w:rPr>
        <w:t xml:space="preserve">A decision by the Commission under article 108(2) TFEU has the important legal effect of declaring </w:t>
      </w:r>
      <w:r w:rsidR="004A2533" w:rsidRPr="00F75C47">
        <w:rPr>
          <w:rFonts w:asciiTheme="majorBidi" w:hAnsiTheme="majorBidi" w:cstheme="majorBidi"/>
          <w:sz w:val="20"/>
          <w:szCs w:val="20"/>
        </w:rPr>
        <w:t>that a</w:t>
      </w:r>
      <w:r w:rsidRPr="00F75C47">
        <w:rPr>
          <w:rFonts w:asciiTheme="majorBidi" w:hAnsiTheme="majorBidi" w:cstheme="majorBidi"/>
          <w:sz w:val="20"/>
          <w:szCs w:val="20"/>
        </w:rPr>
        <w:t xml:space="preserve"> state aid</w:t>
      </w:r>
      <w:r w:rsidR="004A2533" w:rsidRPr="00F75C47">
        <w:rPr>
          <w:rFonts w:asciiTheme="majorBidi" w:hAnsiTheme="majorBidi" w:cstheme="majorBidi"/>
          <w:sz w:val="20"/>
          <w:szCs w:val="20"/>
        </w:rPr>
        <w:t xml:space="preserve"> measure is compatible</w:t>
      </w:r>
      <w:r w:rsidRPr="00F75C47">
        <w:rPr>
          <w:rFonts w:asciiTheme="majorBidi" w:hAnsiTheme="majorBidi" w:cstheme="majorBidi"/>
          <w:sz w:val="20"/>
          <w:szCs w:val="20"/>
        </w:rPr>
        <w:t xml:space="preserve"> with EU law</w:t>
      </w:r>
      <w:r w:rsidR="004A2533" w:rsidRPr="00F75C47">
        <w:rPr>
          <w:rFonts w:asciiTheme="majorBidi" w:hAnsiTheme="majorBidi" w:cstheme="majorBidi"/>
          <w:sz w:val="20"/>
          <w:szCs w:val="20"/>
        </w:rPr>
        <w:t xml:space="preserve">. It </w:t>
      </w:r>
      <w:r w:rsidRPr="00F75C47">
        <w:rPr>
          <w:rFonts w:asciiTheme="majorBidi" w:hAnsiTheme="majorBidi" w:cstheme="majorBidi"/>
          <w:sz w:val="20"/>
          <w:szCs w:val="20"/>
        </w:rPr>
        <w:t>is final in that it endows the respective member State with the right to implement the measure. The Committee therefore considers that a decision</w:t>
      </w:r>
      <w:r w:rsidR="000E2B54" w:rsidRPr="00F75C47">
        <w:rPr>
          <w:rFonts w:asciiTheme="majorBidi" w:hAnsiTheme="majorBidi" w:cstheme="majorBidi"/>
          <w:sz w:val="20"/>
          <w:szCs w:val="20"/>
        </w:rPr>
        <w:t xml:space="preserve"> on state aid measures</w:t>
      </w:r>
      <w:r w:rsidRPr="00F75C47">
        <w:rPr>
          <w:rFonts w:asciiTheme="majorBidi" w:hAnsiTheme="majorBidi" w:cstheme="majorBidi"/>
          <w:sz w:val="20"/>
          <w:szCs w:val="20"/>
        </w:rPr>
        <w:t xml:space="preserve"> by the Commission under article 108(2) TFEU is clearly an “act” within the meaning of article 9(3) of the Convention.</w:t>
      </w:r>
      <w:bookmarkEnd w:id="28"/>
      <w:r w:rsidRPr="00F75C47">
        <w:rPr>
          <w:rFonts w:asciiTheme="majorBidi" w:hAnsiTheme="majorBidi" w:cstheme="majorBidi"/>
          <w:sz w:val="20"/>
          <w:szCs w:val="20"/>
        </w:rPr>
        <w:t xml:space="preserve">  </w:t>
      </w:r>
    </w:p>
    <w:p w14:paraId="6CA21836" w14:textId="6FEF6E5F" w:rsidR="00AE439E" w:rsidRPr="00F75C47" w:rsidRDefault="00AE439E">
      <w:pPr>
        <w:tabs>
          <w:tab w:val="left" w:pos="1701"/>
          <w:tab w:val="num" w:pos="2136"/>
        </w:tabs>
        <w:suppressAutoHyphens/>
        <w:spacing w:after="120" w:line="240" w:lineRule="atLeast"/>
        <w:ind w:left="1134" w:right="521"/>
        <w:jc w:val="both"/>
        <w:rPr>
          <w:rFonts w:asciiTheme="majorBidi" w:hAnsiTheme="majorBidi"/>
          <w:i/>
          <w:sz w:val="20"/>
        </w:rPr>
      </w:pPr>
      <w:r w:rsidRPr="00F75C47">
        <w:rPr>
          <w:rFonts w:asciiTheme="majorBidi" w:hAnsiTheme="majorBidi"/>
          <w:i/>
          <w:sz w:val="20"/>
        </w:rPr>
        <w:t xml:space="preserve">Whether, when </w:t>
      </w:r>
      <w:r w:rsidR="005A62DD" w:rsidRPr="00F75C47">
        <w:rPr>
          <w:rFonts w:asciiTheme="majorBidi" w:hAnsiTheme="majorBidi"/>
          <w:i/>
          <w:sz w:val="20"/>
        </w:rPr>
        <w:t xml:space="preserve">acting </w:t>
      </w:r>
      <w:r w:rsidR="005A62DD" w:rsidRPr="00F75C47">
        <w:rPr>
          <w:rFonts w:asciiTheme="majorBidi" w:hAnsiTheme="majorBidi" w:cstheme="majorBidi"/>
          <w:i/>
          <w:iCs/>
          <w:sz w:val="20"/>
          <w:szCs w:val="20"/>
        </w:rPr>
        <w:t xml:space="preserve">under article 108 TFEU, </w:t>
      </w:r>
      <w:r w:rsidRPr="00F75C47">
        <w:rPr>
          <w:rFonts w:asciiTheme="majorBidi" w:hAnsiTheme="majorBidi" w:cstheme="majorBidi"/>
          <w:i/>
          <w:iCs/>
          <w:sz w:val="20"/>
          <w:szCs w:val="20"/>
        </w:rPr>
        <w:t xml:space="preserve">the </w:t>
      </w:r>
      <w:r w:rsidR="005A62DD" w:rsidRPr="00F75C47">
        <w:rPr>
          <w:rFonts w:asciiTheme="majorBidi" w:hAnsiTheme="majorBidi" w:cstheme="majorBidi"/>
          <w:i/>
          <w:iCs/>
          <w:sz w:val="20"/>
          <w:szCs w:val="20"/>
        </w:rPr>
        <w:t xml:space="preserve">Commission </w:t>
      </w:r>
      <w:r w:rsidR="0007374D" w:rsidRPr="00F75C47">
        <w:rPr>
          <w:rFonts w:asciiTheme="majorBidi" w:hAnsiTheme="majorBidi" w:cstheme="majorBidi"/>
          <w:i/>
          <w:iCs/>
          <w:sz w:val="20"/>
          <w:szCs w:val="20"/>
        </w:rPr>
        <w:t xml:space="preserve">acts </w:t>
      </w:r>
      <w:r w:rsidR="0007374D" w:rsidRPr="00F75C47">
        <w:rPr>
          <w:rFonts w:asciiTheme="majorBidi" w:hAnsiTheme="majorBidi"/>
          <w:i/>
          <w:sz w:val="20"/>
        </w:rPr>
        <w:t xml:space="preserve">as </w:t>
      </w:r>
      <w:r w:rsidRPr="00F75C47">
        <w:rPr>
          <w:rFonts w:asciiTheme="majorBidi" w:hAnsiTheme="majorBidi"/>
          <w:i/>
          <w:sz w:val="20"/>
        </w:rPr>
        <w:t>a “public authority”</w:t>
      </w:r>
      <w:r w:rsidR="0007374D" w:rsidRPr="00F75C47">
        <w:rPr>
          <w:rFonts w:asciiTheme="majorBidi" w:hAnsiTheme="majorBidi" w:cstheme="majorBidi"/>
          <w:i/>
          <w:iCs/>
          <w:sz w:val="20"/>
          <w:szCs w:val="20"/>
        </w:rPr>
        <w:t xml:space="preserve"> </w:t>
      </w:r>
    </w:p>
    <w:p w14:paraId="465C91D4" w14:textId="2EFECB0B" w:rsidR="00DC65EA" w:rsidRPr="00F75C47" w:rsidRDefault="00D57EFF" w:rsidP="000F2392">
      <w:pPr>
        <w:numPr>
          <w:ilvl w:val="0"/>
          <w:numId w:val="2"/>
        </w:numPr>
        <w:tabs>
          <w:tab w:val="num" w:pos="1134"/>
          <w:tab w:val="left" w:pos="1701"/>
          <w:tab w:val="num" w:pos="2136"/>
        </w:tabs>
        <w:suppressAutoHyphens/>
        <w:spacing w:after="120" w:line="240" w:lineRule="atLeast"/>
        <w:ind w:left="1134" w:right="521" w:firstLine="0"/>
        <w:jc w:val="both"/>
        <w:rPr>
          <w:rFonts w:asciiTheme="majorBidi" w:hAnsiTheme="majorBidi"/>
          <w:sz w:val="20"/>
        </w:rPr>
      </w:pPr>
      <w:r w:rsidRPr="00F75C47">
        <w:rPr>
          <w:rFonts w:asciiTheme="majorBidi" w:hAnsiTheme="majorBidi" w:cstheme="majorBidi"/>
          <w:sz w:val="20"/>
        </w:rPr>
        <w:t xml:space="preserve">The Party concerned is a Party to the Convention in its capacity as a regional economic integration organization. </w:t>
      </w:r>
      <w:r w:rsidR="003D0AB9" w:rsidRPr="00F75C47">
        <w:rPr>
          <w:rFonts w:asciiTheme="majorBidi" w:hAnsiTheme="majorBidi"/>
          <w:sz w:val="20"/>
        </w:rPr>
        <w:t>The definition of “public authority” in article 2(2) of the Convention includes, in subparagraph (d), “the institutions of any regional economic integration organization referred to in article 17 which is a Party to the Convention”.</w:t>
      </w:r>
      <w:r w:rsidR="00DC65EA" w:rsidRPr="00F75C47">
        <w:rPr>
          <w:rFonts w:asciiTheme="majorBidi" w:hAnsiTheme="majorBidi"/>
          <w:sz w:val="20"/>
        </w:rPr>
        <w:t xml:space="preserve"> Accordingly, </w:t>
      </w:r>
      <w:r w:rsidR="0059787A" w:rsidRPr="00F75C47">
        <w:rPr>
          <w:rFonts w:asciiTheme="majorBidi" w:hAnsiTheme="majorBidi"/>
          <w:sz w:val="20"/>
        </w:rPr>
        <w:t xml:space="preserve">the Commission, as an institution </w:t>
      </w:r>
      <w:r w:rsidR="00DC65EA" w:rsidRPr="00F75C47">
        <w:rPr>
          <w:rFonts w:asciiTheme="majorBidi" w:hAnsiTheme="majorBidi"/>
          <w:sz w:val="20"/>
        </w:rPr>
        <w:t>of the Party concerned</w:t>
      </w:r>
      <w:r w:rsidR="0059787A" w:rsidRPr="00F75C47">
        <w:rPr>
          <w:rFonts w:asciiTheme="majorBidi" w:hAnsiTheme="majorBidi"/>
          <w:sz w:val="20"/>
        </w:rPr>
        <w:t>,</w:t>
      </w:r>
      <w:r w:rsidR="00DC65EA" w:rsidRPr="00F75C47">
        <w:rPr>
          <w:rFonts w:asciiTheme="majorBidi" w:hAnsiTheme="majorBidi"/>
          <w:sz w:val="20"/>
        </w:rPr>
        <w:t xml:space="preserve"> </w:t>
      </w:r>
      <w:r w:rsidR="0059787A" w:rsidRPr="00F75C47">
        <w:rPr>
          <w:rFonts w:asciiTheme="majorBidi" w:hAnsiTheme="majorBidi"/>
          <w:sz w:val="20"/>
        </w:rPr>
        <w:t xml:space="preserve">is a </w:t>
      </w:r>
      <w:r w:rsidR="00DC65EA" w:rsidRPr="00F75C47">
        <w:rPr>
          <w:rFonts w:asciiTheme="majorBidi" w:hAnsiTheme="majorBidi"/>
          <w:sz w:val="20"/>
        </w:rPr>
        <w:t>“public authorit</w:t>
      </w:r>
      <w:r w:rsidR="0059787A" w:rsidRPr="00F75C47">
        <w:rPr>
          <w:rFonts w:asciiTheme="majorBidi" w:hAnsiTheme="majorBidi"/>
          <w:sz w:val="20"/>
        </w:rPr>
        <w:t>y</w:t>
      </w:r>
      <w:r w:rsidR="00DC65EA" w:rsidRPr="00F75C47">
        <w:rPr>
          <w:rFonts w:asciiTheme="majorBidi" w:hAnsiTheme="majorBidi"/>
          <w:sz w:val="20"/>
        </w:rPr>
        <w:t>” under article 2(2) of the Convention, and thereby for the purposes of article 9(3) of the Convention</w:t>
      </w:r>
      <w:r w:rsidR="0059787A" w:rsidRPr="00F75C47">
        <w:rPr>
          <w:rFonts w:asciiTheme="majorBidi" w:hAnsiTheme="majorBidi"/>
          <w:sz w:val="20"/>
        </w:rPr>
        <w:t xml:space="preserve"> also</w:t>
      </w:r>
      <w:r w:rsidR="00DC65EA" w:rsidRPr="00F75C47">
        <w:rPr>
          <w:rFonts w:asciiTheme="majorBidi" w:hAnsiTheme="majorBidi"/>
          <w:sz w:val="20"/>
        </w:rPr>
        <w:t>.</w:t>
      </w:r>
    </w:p>
    <w:p w14:paraId="49799375" w14:textId="7F4F74F7" w:rsidR="001D0A8D" w:rsidRPr="00F75C47" w:rsidRDefault="003D0AB9" w:rsidP="000F2392">
      <w:pPr>
        <w:numPr>
          <w:ilvl w:val="0"/>
          <w:numId w:val="2"/>
        </w:numPr>
        <w:tabs>
          <w:tab w:val="num" w:pos="1134"/>
          <w:tab w:val="left" w:pos="1701"/>
          <w:tab w:val="num" w:pos="2136"/>
        </w:tabs>
        <w:suppressAutoHyphens/>
        <w:spacing w:after="120" w:line="240" w:lineRule="atLeast"/>
        <w:ind w:left="1134" w:right="521" w:firstLine="0"/>
        <w:jc w:val="both"/>
        <w:rPr>
          <w:rFonts w:asciiTheme="majorBidi" w:hAnsiTheme="majorBidi"/>
          <w:sz w:val="20"/>
        </w:rPr>
      </w:pPr>
      <w:r w:rsidRPr="00F75C47">
        <w:rPr>
          <w:rFonts w:asciiTheme="majorBidi" w:hAnsiTheme="majorBidi"/>
          <w:sz w:val="20"/>
        </w:rPr>
        <w:t xml:space="preserve"> </w:t>
      </w:r>
      <w:r w:rsidR="006475AF" w:rsidRPr="00F75C47">
        <w:rPr>
          <w:rFonts w:asciiTheme="majorBidi" w:hAnsiTheme="majorBidi" w:cstheme="majorBidi"/>
          <w:sz w:val="20"/>
          <w:szCs w:val="20"/>
        </w:rPr>
        <w:t>Th</w:t>
      </w:r>
      <w:r w:rsidR="00FC59B1" w:rsidRPr="00F75C47">
        <w:rPr>
          <w:rFonts w:asciiTheme="majorBidi" w:hAnsiTheme="majorBidi" w:cstheme="majorBidi"/>
          <w:sz w:val="20"/>
          <w:szCs w:val="20"/>
        </w:rPr>
        <w:t>e</w:t>
      </w:r>
      <w:r w:rsidR="00FC59B1" w:rsidRPr="00F75C47">
        <w:rPr>
          <w:rFonts w:asciiTheme="majorBidi" w:hAnsiTheme="majorBidi"/>
          <w:sz w:val="20"/>
        </w:rPr>
        <w:t xml:space="preserve"> Party concerned</w:t>
      </w:r>
      <w:r w:rsidR="0007374D" w:rsidRPr="00F75C47">
        <w:rPr>
          <w:rFonts w:asciiTheme="majorBidi" w:hAnsiTheme="majorBidi" w:cstheme="majorBidi"/>
          <w:sz w:val="20"/>
          <w:szCs w:val="20"/>
        </w:rPr>
        <w:t>,</w:t>
      </w:r>
      <w:r w:rsidR="00FC59B1" w:rsidRPr="00F75C47">
        <w:rPr>
          <w:rFonts w:asciiTheme="majorBidi" w:hAnsiTheme="majorBidi" w:cstheme="majorBidi"/>
          <w:sz w:val="20"/>
          <w:szCs w:val="20"/>
        </w:rPr>
        <w:t xml:space="preserve"> </w:t>
      </w:r>
      <w:r w:rsidR="006475AF" w:rsidRPr="00F75C47">
        <w:rPr>
          <w:rFonts w:asciiTheme="majorBidi" w:hAnsiTheme="majorBidi" w:cstheme="majorBidi"/>
          <w:sz w:val="20"/>
          <w:szCs w:val="20"/>
        </w:rPr>
        <w:t>however</w:t>
      </w:r>
      <w:r w:rsidR="0007374D" w:rsidRPr="00F75C47">
        <w:rPr>
          <w:rFonts w:asciiTheme="majorBidi" w:hAnsiTheme="majorBidi" w:cstheme="majorBidi"/>
          <w:sz w:val="20"/>
          <w:szCs w:val="20"/>
        </w:rPr>
        <w:t>,</w:t>
      </w:r>
      <w:r w:rsidR="006475AF" w:rsidRPr="00F75C47">
        <w:rPr>
          <w:rFonts w:asciiTheme="majorBidi" w:hAnsiTheme="majorBidi"/>
          <w:sz w:val="20"/>
        </w:rPr>
        <w:t xml:space="preserve"> </w:t>
      </w:r>
      <w:r w:rsidR="000E2A21" w:rsidRPr="00F75C47">
        <w:rPr>
          <w:rFonts w:asciiTheme="majorBidi" w:hAnsiTheme="majorBidi"/>
          <w:sz w:val="20"/>
        </w:rPr>
        <w:t xml:space="preserve">contends </w:t>
      </w:r>
      <w:r w:rsidR="00FC59B1" w:rsidRPr="00F75C47">
        <w:rPr>
          <w:rFonts w:asciiTheme="majorBidi" w:hAnsiTheme="majorBidi"/>
          <w:sz w:val="20"/>
        </w:rPr>
        <w:t>that</w:t>
      </w:r>
      <w:r w:rsidR="0059787A" w:rsidRPr="00F75C47">
        <w:rPr>
          <w:rFonts w:asciiTheme="majorBidi" w:hAnsiTheme="majorBidi"/>
          <w:sz w:val="20"/>
        </w:rPr>
        <w:t xml:space="preserve"> the Commission, when taking a decision under article 108(2) TFEU is acting as a “review body” within </w:t>
      </w:r>
      <w:r w:rsidR="00EB6C72" w:rsidRPr="00F75C47">
        <w:rPr>
          <w:rFonts w:asciiTheme="majorBidi" w:hAnsiTheme="majorBidi"/>
          <w:sz w:val="20"/>
        </w:rPr>
        <w:t xml:space="preserve">the </w:t>
      </w:r>
      <w:r w:rsidR="000E2A21" w:rsidRPr="00F75C47">
        <w:rPr>
          <w:rFonts w:asciiTheme="majorBidi" w:hAnsiTheme="majorBidi"/>
          <w:sz w:val="20"/>
        </w:rPr>
        <w:t xml:space="preserve">exception in the definition of </w:t>
      </w:r>
      <w:r w:rsidR="002E3527" w:rsidRPr="00F75C47">
        <w:rPr>
          <w:rFonts w:asciiTheme="majorBidi" w:hAnsiTheme="majorBidi"/>
          <w:sz w:val="20"/>
        </w:rPr>
        <w:t>“public authority”</w:t>
      </w:r>
      <w:r w:rsidR="000E2A21" w:rsidRPr="00F75C47">
        <w:rPr>
          <w:rFonts w:asciiTheme="majorBidi" w:hAnsiTheme="majorBidi"/>
          <w:sz w:val="20"/>
        </w:rPr>
        <w:t xml:space="preserve"> in article 2(2) of the Convention </w:t>
      </w:r>
      <w:r w:rsidR="00FB1A40" w:rsidRPr="00F75C47">
        <w:rPr>
          <w:rFonts w:asciiTheme="majorBidi" w:hAnsiTheme="majorBidi"/>
          <w:sz w:val="20"/>
        </w:rPr>
        <w:t xml:space="preserve">for </w:t>
      </w:r>
      <w:r w:rsidR="007B2EA1" w:rsidRPr="00F75C47">
        <w:rPr>
          <w:rFonts w:asciiTheme="majorBidi" w:hAnsiTheme="majorBidi"/>
          <w:sz w:val="20"/>
        </w:rPr>
        <w:t>“bodies or institutions acting in a judicial or legislative capacity</w:t>
      </w:r>
      <w:r w:rsidR="007B2EA1" w:rsidRPr="00F75C47">
        <w:rPr>
          <w:rFonts w:asciiTheme="majorBidi" w:hAnsiTheme="majorBidi" w:cstheme="majorBidi"/>
          <w:sz w:val="20"/>
        </w:rPr>
        <w:t>”</w:t>
      </w:r>
      <w:r w:rsidR="0007374D" w:rsidRPr="00F75C47">
        <w:rPr>
          <w:rFonts w:asciiTheme="majorBidi" w:hAnsiTheme="majorBidi" w:cstheme="majorBidi"/>
          <w:sz w:val="20"/>
          <w:szCs w:val="20"/>
        </w:rPr>
        <w:t>. It submits this is made clear by article 2(2)(a) of the Aarhus Regulation</w:t>
      </w:r>
      <w:r w:rsidR="004A4AAC" w:rsidRPr="00F75C47">
        <w:rPr>
          <w:rFonts w:asciiTheme="majorBidi" w:hAnsiTheme="majorBidi" w:cstheme="majorBidi"/>
          <w:sz w:val="20"/>
          <w:szCs w:val="20"/>
        </w:rPr>
        <w:t xml:space="preserve"> which excludes measures taken by EU institutions</w:t>
      </w:r>
      <w:r w:rsidR="0007374D" w:rsidRPr="00F75C47">
        <w:rPr>
          <w:rFonts w:asciiTheme="majorBidi" w:hAnsiTheme="majorBidi" w:cstheme="majorBidi"/>
          <w:sz w:val="20"/>
          <w:szCs w:val="20"/>
        </w:rPr>
        <w:t xml:space="preserve"> acting as an “administrative review body”. It claims that the Commission</w:t>
      </w:r>
      <w:r w:rsidR="0007374D" w:rsidRPr="00F75C47">
        <w:rPr>
          <w:rFonts w:asciiTheme="majorBidi" w:hAnsiTheme="majorBidi"/>
          <w:sz w:val="20"/>
        </w:rPr>
        <w:t xml:space="preserve"> </w:t>
      </w:r>
      <w:r w:rsidR="00B50680" w:rsidRPr="00F75C47">
        <w:rPr>
          <w:rFonts w:asciiTheme="majorBidi" w:hAnsiTheme="majorBidi"/>
          <w:sz w:val="20"/>
        </w:rPr>
        <w:t>is accordingly</w:t>
      </w:r>
      <w:r w:rsidR="000E2A21" w:rsidRPr="00F75C47">
        <w:rPr>
          <w:rFonts w:asciiTheme="majorBidi" w:hAnsiTheme="majorBidi"/>
          <w:sz w:val="20"/>
        </w:rPr>
        <w:t xml:space="preserve"> not acting as a </w:t>
      </w:r>
      <w:r w:rsidR="00AD6B93" w:rsidRPr="00F75C47">
        <w:rPr>
          <w:rFonts w:asciiTheme="majorBidi" w:hAnsiTheme="majorBidi"/>
          <w:sz w:val="20"/>
        </w:rPr>
        <w:t>“</w:t>
      </w:r>
      <w:r w:rsidR="000E2A21" w:rsidRPr="00F75C47">
        <w:rPr>
          <w:rFonts w:asciiTheme="majorBidi" w:hAnsiTheme="majorBidi"/>
          <w:sz w:val="20"/>
        </w:rPr>
        <w:t>public authority</w:t>
      </w:r>
      <w:r w:rsidR="00AD6B93" w:rsidRPr="00F75C47">
        <w:rPr>
          <w:rFonts w:asciiTheme="majorBidi" w:hAnsiTheme="majorBidi"/>
          <w:sz w:val="20"/>
        </w:rPr>
        <w:t>”</w:t>
      </w:r>
      <w:r w:rsidR="000E2A21" w:rsidRPr="00F75C47">
        <w:rPr>
          <w:rFonts w:asciiTheme="majorBidi" w:hAnsiTheme="majorBidi"/>
          <w:sz w:val="20"/>
        </w:rPr>
        <w:t xml:space="preserve"> for the purposes </w:t>
      </w:r>
      <w:r w:rsidR="0059787A" w:rsidRPr="00F75C47">
        <w:rPr>
          <w:rFonts w:asciiTheme="majorBidi" w:hAnsiTheme="majorBidi"/>
          <w:sz w:val="20"/>
        </w:rPr>
        <w:t xml:space="preserve">of </w:t>
      </w:r>
      <w:r w:rsidR="000E2A21" w:rsidRPr="00F75C47">
        <w:rPr>
          <w:rFonts w:asciiTheme="majorBidi" w:hAnsiTheme="majorBidi"/>
          <w:sz w:val="20"/>
        </w:rPr>
        <w:t>article 9(3)</w:t>
      </w:r>
      <w:r w:rsidR="00B50680" w:rsidRPr="00F75C47">
        <w:rPr>
          <w:rFonts w:asciiTheme="majorBidi" w:hAnsiTheme="majorBidi"/>
          <w:sz w:val="20"/>
        </w:rPr>
        <w:t xml:space="preserve"> of the Convention</w:t>
      </w:r>
      <w:r w:rsidR="00FB1A40" w:rsidRPr="00F75C47">
        <w:rPr>
          <w:rFonts w:asciiTheme="majorBidi" w:hAnsiTheme="majorBidi"/>
          <w:sz w:val="20"/>
        </w:rPr>
        <w:t>.</w:t>
      </w:r>
      <w:r w:rsidR="001D5CB4" w:rsidRPr="00F75C47">
        <w:rPr>
          <w:rStyle w:val="FootnoteReference"/>
          <w:rFonts w:asciiTheme="majorBidi" w:hAnsiTheme="majorBidi"/>
        </w:rPr>
        <w:footnoteReference w:id="104"/>
      </w:r>
      <w:r w:rsidR="00FB1A40" w:rsidRPr="00F75C47">
        <w:rPr>
          <w:rFonts w:asciiTheme="majorBidi" w:hAnsiTheme="majorBidi"/>
          <w:sz w:val="20"/>
        </w:rPr>
        <w:t xml:space="preserve"> </w:t>
      </w:r>
    </w:p>
    <w:p w14:paraId="6AA0EF51" w14:textId="29FCD913" w:rsidR="002E305F" w:rsidRPr="00F75C47" w:rsidRDefault="002E305F" w:rsidP="00E24138">
      <w:pPr>
        <w:numPr>
          <w:ilvl w:val="0"/>
          <w:numId w:val="2"/>
        </w:numPr>
        <w:tabs>
          <w:tab w:val="num" w:pos="1134"/>
          <w:tab w:val="left" w:pos="1701"/>
          <w:tab w:val="num" w:pos="2136"/>
        </w:tabs>
        <w:suppressAutoHyphens/>
        <w:spacing w:after="120" w:line="240" w:lineRule="atLeast"/>
        <w:ind w:left="1134" w:right="521" w:firstLine="0"/>
        <w:jc w:val="both"/>
        <w:rPr>
          <w:rFonts w:asciiTheme="majorBidi" w:hAnsiTheme="majorBidi" w:cstheme="majorBidi"/>
          <w:sz w:val="20"/>
          <w:szCs w:val="20"/>
        </w:rPr>
      </w:pPr>
      <w:r w:rsidRPr="00F75C47">
        <w:rPr>
          <w:rFonts w:asciiTheme="majorBidi" w:hAnsiTheme="majorBidi" w:cstheme="majorBidi"/>
          <w:sz w:val="20"/>
          <w:szCs w:val="20"/>
        </w:rPr>
        <w:t xml:space="preserve">As an initial </w:t>
      </w:r>
      <w:r w:rsidR="00E24138" w:rsidRPr="00F75C47">
        <w:rPr>
          <w:rFonts w:asciiTheme="majorBidi" w:hAnsiTheme="majorBidi" w:cstheme="majorBidi"/>
          <w:sz w:val="20"/>
          <w:szCs w:val="20"/>
        </w:rPr>
        <w:t>remark</w:t>
      </w:r>
      <w:r w:rsidRPr="00F75C47">
        <w:rPr>
          <w:rFonts w:asciiTheme="majorBidi" w:hAnsiTheme="majorBidi" w:cstheme="majorBidi"/>
          <w:sz w:val="20"/>
          <w:szCs w:val="20"/>
        </w:rPr>
        <w:t xml:space="preserve">, </w:t>
      </w:r>
      <w:r w:rsidR="00674816" w:rsidRPr="00F75C47">
        <w:rPr>
          <w:rFonts w:asciiTheme="majorBidi" w:hAnsiTheme="majorBidi" w:cstheme="majorBidi"/>
          <w:sz w:val="20"/>
          <w:szCs w:val="20"/>
        </w:rPr>
        <w:t xml:space="preserve">the Committee </w:t>
      </w:r>
      <w:r w:rsidR="004A4AAC" w:rsidRPr="00F75C47">
        <w:rPr>
          <w:rFonts w:asciiTheme="majorBidi" w:hAnsiTheme="majorBidi" w:cstheme="majorBidi"/>
          <w:sz w:val="20"/>
          <w:szCs w:val="20"/>
        </w:rPr>
        <w:t>is not convinced that</w:t>
      </w:r>
      <w:r w:rsidR="00611ABC" w:rsidRPr="00F75C47">
        <w:rPr>
          <w:rFonts w:asciiTheme="majorBidi" w:hAnsiTheme="majorBidi" w:cstheme="majorBidi"/>
          <w:sz w:val="20"/>
          <w:szCs w:val="20"/>
        </w:rPr>
        <w:t xml:space="preserve"> </w:t>
      </w:r>
      <w:r w:rsidRPr="00F75C47">
        <w:rPr>
          <w:rFonts w:asciiTheme="majorBidi" w:hAnsiTheme="majorBidi" w:cstheme="majorBidi"/>
          <w:sz w:val="20"/>
          <w:szCs w:val="20"/>
        </w:rPr>
        <w:t>the Commission</w:t>
      </w:r>
      <w:r w:rsidR="00611ABC" w:rsidRPr="00F75C47">
        <w:rPr>
          <w:rFonts w:asciiTheme="majorBidi" w:hAnsiTheme="majorBidi" w:cstheme="majorBidi"/>
          <w:sz w:val="20"/>
          <w:szCs w:val="20"/>
        </w:rPr>
        <w:t>, when acting under article 108 TFEU,</w:t>
      </w:r>
      <w:r w:rsidRPr="00F75C47">
        <w:rPr>
          <w:rFonts w:asciiTheme="majorBidi" w:hAnsiTheme="majorBidi" w:cstheme="majorBidi"/>
          <w:sz w:val="20"/>
          <w:szCs w:val="20"/>
        </w:rPr>
        <w:t xml:space="preserve"> is </w:t>
      </w:r>
      <w:r w:rsidR="00C53EF2" w:rsidRPr="00F75C47">
        <w:rPr>
          <w:rFonts w:asciiTheme="majorBidi" w:hAnsiTheme="majorBidi" w:cstheme="majorBidi"/>
          <w:sz w:val="20"/>
          <w:szCs w:val="20"/>
        </w:rPr>
        <w:t>carrying out an</w:t>
      </w:r>
      <w:r w:rsidRPr="00F75C47">
        <w:rPr>
          <w:rFonts w:asciiTheme="majorBidi" w:hAnsiTheme="majorBidi" w:cstheme="majorBidi"/>
          <w:sz w:val="20"/>
          <w:szCs w:val="20"/>
        </w:rPr>
        <w:t xml:space="preserve"> “administrative review</w:t>
      </w:r>
      <w:r w:rsidR="00C53EF2" w:rsidRPr="00F75C47">
        <w:rPr>
          <w:rFonts w:asciiTheme="majorBidi" w:hAnsiTheme="majorBidi" w:cstheme="majorBidi"/>
          <w:sz w:val="20"/>
          <w:szCs w:val="20"/>
        </w:rPr>
        <w:t xml:space="preserve"> procedure</w:t>
      </w:r>
      <w:r w:rsidR="00611ABC" w:rsidRPr="00F75C47">
        <w:rPr>
          <w:rFonts w:asciiTheme="majorBidi" w:hAnsiTheme="majorBidi" w:cstheme="majorBidi"/>
          <w:sz w:val="20"/>
          <w:szCs w:val="20"/>
        </w:rPr>
        <w:t>”</w:t>
      </w:r>
      <w:r w:rsidRPr="00F75C47">
        <w:rPr>
          <w:rFonts w:asciiTheme="majorBidi" w:hAnsiTheme="majorBidi" w:cstheme="majorBidi"/>
          <w:sz w:val="20"/>
          <w:szCs w:val="20"/>
        </w:rPr>
        <w:t xml:space="preserve"> </w:t>
      </w:r>
      <w:r w:rsidR="00C53EF2" w:rsidRPr="00F75C47">
        <w:rPr>
          <w:rFonts w:asciiTheme="majorBidi" w:hAnsiTheme="majorBidi" w:cstheme="majorBidi"/>
          <w:sz w:val="20"/>
          <w:szCs w:val="20"/>
        </w:rPr>
        <w:t xml:space="preserve">in the sense in which that term is used in the </w:t>
      </w:r>
      <w:r w:rsidRPr="00F75C47">
        <w:rPr>
          <w:rFonts w:asciiTheme="majorBidi" w:hAnsiTheme="majorBidi" w:cstheme="majorBidi"/>
          <w:sz w:val="20"/>
          <w:szCs w:val="20"/>
        </w:rPr>
        <w:t xml:space="preserve">Convention. </w:t>
      </w:r>
      <w:r w:rsidR="00E24138" w:rsidRPr="00F75C47">
        <w:rPr>
          <w:rFonts w:asciiTheme="majorBidi" w:hAnsiTheme="majorBidi" w:cstheme="majorBidi"/>
          <w:sz w:val="20"/>
          <w:szCs w:val="20"/>
        </w:rPr>
        <w:t>On this point, t</w:t>
      </w:r>
      <w:r w:rsidR="00C53EF2" w:rsidRPr="00F75C47">
        <w:rPr>
          <w:rFonts w:asciiTheme="majorBidi" w:hAnsiTheme="majorBidi" w:cstheme="majorBidi"/>
          <w:sz w:val="20"/>
          <w:szCs w:val="20"/>
        </w:rPr>
        <w:t xml:space="preserve">he Committee </w:t>
      </w:r>
      <w:r w:rsidR="00E24138" w:rsidRPr="00F75C47">
        <w:rPr>
          <w:rFonts w:asciiTheme="majorBidi" w:hAnsiTheme="majorBidi" w:cstheme="majorBidi"/>
          <w:sz w:val="20"/>
          <w:szCs w:val="20"/>
        </w:rPr>
        <w:t>notes the statement by the Party concerned</w:t>
      </w:r>
      <w:r w:rsidR="00674816" w:rsidRPr="00F75C47">
        <w:rPr>
          <w:rFonts w:asciiTheme="majorBidi" w:hAnsiTheme="majorBidi" w:cstheme="majorBidi"/>
          <w:sz w:val="20"/>
          <w:szCs w:val="20"/>
        </w:rPr>
        <w:t xml:space="preserve"> </w:t>
      </w:r>
      <w:r w:rsidR="00C53EF2" w:rsidRPr="00F75C47">
        <w:rPr>
          <w:rFonts w:asciiTheme="majorBidi" w:hAnsiTheme="majorBidi" w:cstheme="majorBidi"/>
          <w:sz w:val="20"/>
          <w:szCs w:val="20"/>
        </w:rPr>
        <w:t xml:space="preserve">that </w:t>
      </w:r>
      <w:r w:rsidR="00E24138" w:rsidRPr="00F75C47">
        <w:rPr>
          <w:rFonts w:asciiTheme="majorBidi" w:hAnsiTheme="majorBidi" w:cstheme="majorBidi"/>
          <w:sz w:val="20"/>
          <w:szCs w:val="20"/>
        </w:rPr>
        <w:t xml:space="preserve">its </w:t>
      </w:r>
      <w:r w:rsidRPr="00F75C47">
        <w:rPr>
          <w:rFonts w:asciiTheme="majorBidi" w:hAnsiTheme="majorBidi" w:cstheme="majorBidi"/>
          <w:sz w:val="20"/>
          <w:szCs w:val="20"/>
        </w:rPr>
        <w:t>“state aid administrative procedure complies with the requirements of article 6 of the Aarhus Convention”</w:t>
      </w:r>
      <w:r w:rsidR="00E24138" w:rsidRPr="00F75C47">
        <w:rPr>
          <w:rFonts w:asciiTheme="majorBidi" w:hAnsiTheme="majorBidi" w:cstheme="majorBidi"/>
          <w:sz w:val="20"/>
          <w:szCs w:val="20"/>
        </w:rPr>
        <w:t>.</w:t>
      </w:r>
      <w:r w:rsidRPr="00F75C47">
        <w:rPr>
          <w:rStyle w:val="FootnoteReference"/>
          <w:rFonts w:asciiTheme="majorBidi" w:hAnsiTheme="majorBidi" w:cstheme="majorBidi"/>
          <w:szCs w:val="20"/>
        </w:rPr>
        <w:footnoteReference w:id="105"/>
      </w:r>
      <w:r w:rsidRPr="00F75C47">
        <w:rPr>
          <w:rFonts w:asciiTheme="majorBidi" w:hAnsiTheme="majorBidi" w:cstheme="majorBidi"/>
          <w:sz w:val="20"/>
          <w:szCs w:val="20"/>
        </w:rPr>
        <w:t xml:space="preserve"> </w:t>
      </w:r>
      <w:r w:rsidR="00E24138" w:rsidRPr="00F75C47">
        <w:rPr>
          <w:rFonts w:asciiTheme="majorBidi" w:hAnsiTheme="majorBidi" w:cstheme="majorBidi"/>
          <w:sz w:val="20"/>
          <w:szCs w:val="20"/>
        </w:rPr>
        <w:t xml:space="preserve">In the Committee’s </w:t>
      </w:r>
      <w:r w:rsidR="00C53EF2" w:rsidRPr="00F75C47">
        <w:rPr>
          <w:rFonts w:asciiTheme="majorBidi" w:hAnsiTheme="majorBidi" w:cstheme="majorBidi"/>
          <w:sz w:val="20"/>
          <w:szCs w:val="20"/>
        </w:rPr>
        <w:t>view</w:t>
      </w:r>
      <w:r w:rsidR="00E24138" w:rsidRPr="00F75C47">
        <w:rPr>
          <w:rFonts w:asciiTheme="majorBidi" w:hAnsiTheme="majorBidi" w:cstheme="majorBidi"/>
          <w:sz w:val="20"/>
          <w:szCs w:val="20"/>
        </w:rPr>
        <w:t>,</w:t>
      </w:r>
      <w:r w:rsidR="00C53EF2" w:rsidRPr="00F75C47">
        <w:rPr>
          <w:rFonts w:asciiTheme="majorBidi" w:hAnsiTheme="majorBidi" w:cstheme="majorBidi"/>
          <w:sz w:val="20"/>
          <w:szCs w:val="20"/>
        </w:rPr>
        <w:t xml:space="preserve"> </w:t>
      </w:r>
      <w:r w:rsidRPr="00F75C47">
        <w:rPr>
          <w:rFonts w:asciiTheme="majorBidi" w:hAnsiTheme="majorBidi" w:cstheme="majorBidi"/>
          <w:sz w:val="20"/>
          <w:szCs w:val="20"/>
        </w:rPr>
        <w:t>the Commission</w:t>
      </w:r>
      <w:r w:rsidR="00C53EF2" w:rsidRPr="00F75C47">
        <w:rPr>
          <w:rFonts w:asciiTheme="majorBidi" w:hAnsiTheme="majorBidi" w:cstheme="majorBidi"/>
          <w:sz w:val="20"/>
          <w:szCs w:val="20"/>
        </w:rPr>
        <w:t>’s procedure under article 108</w:t>
      </w:r>
      <w:r w:rsidRPr="00F75C47">
        <w:rPr>
          <w:rFonts w:asciiTheme="majorBidi" w:hAnsiTheme="majorBidi" w:cstheme="majorBidi"/>
          <w:sz w:val="20"/>
          <w:szCs w:val="20"/>
        </w:rPr>
        <w:t xml:space="preserve"> is </w:t>
      </w:r>
      <w:r w:rsidR="00C53EF2" w:rsidRPr="00F75C47">
        <w:rPr>
          <w:rFonts w:asciiTheme="majorBidi" w:hAnsiTheme="majorBidi" w:cstheme="majorBidi"/>
          <w:sz w:val="20"/>
          <w:szCs w:val="20"/>
        </w:rPr>
        <w:t xml:space="preserve">indeed </w:t>
      </w:r>
      <w:r w:rsidRPr="00F75C47">
        <w:rPr>
          <w:rFonts w:asciiTheme="majorBidi" w:hAnsiTheme="majorBidi" w:cstheme="majorBidi"/>
          <w:sz w:val="20"/>
          <w:szCs w:val="20"/>
        </w:rPr>
        <w:t xml:space="preserve">more </w:t>
      </w:r>
      <w:r w:rsidR="00E24138" w:rsidRPr="00F75C47">
        <w:rPr>
          <w:rFonts w:asciiTheme="majorBidi" w:hAnsiTheme="majorBidi" w:cstheme="majorBidi"/>
          <w:sz w:val="20"/>
          <w:szCs w:val="20"/>
        </w:rPr>
        <w:t xml:space="preserve">akin to that </w:t>
      </w:r>
      <w:r w:rsidRPr="00F75C47">
        <w:rPr>
          <w:rFonts w:asciiTheme="majorBidi" w:hAnsiTheme="majorBidi" w:cstheme="majorBidi"/>
          <w:sz w:val="20"/>
          <w:szCs w:val="20"/>
        </w:rPr>
        <w:t xml:space="preserve">of a permitting body. However, nothing turns on this point here, because the issue </w:t>
      </w:r>
      <w:r w:rsidR="00C53EF2" w:rsidRPr="00F75C47">
        <w:rPr>
          <w:rFonts w:asciiTheme="majorBidi" w:hAnsiTheme="majorBidi" w:cstheme="majorBidi"/>
          <w:sz w:val="20"/>
          <w:szCs w:val="20"/>
        </w:rPr>
        <w:t>before the Committee is not</w:t>
      </w:r>
      <w:r w:rsidRPr="00F75C47">
        <w:rPr>
          <w:rFonts w:asciiTheme="majorBidi" w:hAnsiTheme="majorBidi" w:cstheme="majorBidi"/>
          <w:sz w:val="20"/>
          <w:szCs w:val="20"/>
        </w:rPr>
        <w:t xml:space="preserve"> whether </w:t>
      </w:r>
      <w:r w:rsidR="00E24138" w:rsidRPr="00F75C47">
        <w:rPr>
          <w:rFonts w:asciiTheme="majorBidi" w:hAnsiTheme="majorBidi" w:cstheme="majorBidi"/>
          <w:sz w:val="20"/>
          <w:szCs w:val="20"/>
        </w:rPr>
        <w:t xml:space="preserve">or not </w:t>
      </w:r>
      <w:r w:rsidRPr="00F75C47">
        <w:rPr>
          <w:rFonts w:asciiTheme="majorBidi" w:hAnsiTheme="majorBidi" w:cstheme="majorBidi"/>
          <w:sz w:val="20"/>
          <w:szCs w:val="20"/>
        </w:rPr>
        <w:t xml:space="preserve">the Commission is acting as an </w:t>
      </w:r>
      <w:r w:rsidR="00C53EF2" w:rsidRPr="00F75C47">
        <w:rPr>
          <w:rFonts w:asciiTheme="majorBidi" w:hAnsiTheme="majorBidi" w:cstheme="majorBidi"/>
          <w:sz w:val="20"/>
          <w:szCs w:val="20"/>
        </w:rPr>
        <w:t>“</w:t>
      </w:r>
      <w:r w:rsidRPr="00F75C47">
        <w:rPr>
          <w:rFonts w:asciiTheme="majorBidi" w:hAnsiTheme="majorBidi" w:cstheme="majorBidi"/>
          <w:sz w:val="20"/>
          <w:szCs w:val="20"/>
        </w:rPr>
        <w:t xml:space="preserve">administrative review body” </w:t>
      </w:r>
      <w:r w:rsidR="00E621F5" w:rsidRPr="00F75C47">
        <w:rPr>
          <w:rFonts w:asciiTheme="majorBidi" w:hAnsiTheme="majorBidi" w:cstheme="majorBidi"/>
          <w:sz w:val="20"/>
          <w:szCs w:val="20"/>
        </w:rPr>
        <w:t xml:space="preserve">when it takes a decision under article 108 TFEU </w:t>
      </w:r>
      <w:r w:rsidRPr="00F75C47">
        <w:rPr>
          <w:rFonts w:asciiTheme="majorBidi" w:hAnsiTheme="majorBidi" w:cstheme="majorBidi"/>
          <w:sz w:val="20"/>
          <w:szCs w:val="20"/>
        </w:rPr>
        <w:t>but rather, whether it is acting</w:t>
      </w:r>
      <w:r w:rsidR="00E621F5" w:rsidRPr="00F75C47">
        <w:rPr>
          <w:rFonts w:asciiTheme="majorBidi" w:hAnsiTheme="majorBidi" w:cstheme="majorBidi"/>
          <w:sz w:val="20"/>
          <w:szCs w:val="20"/>
        </w:rPr>
        <w:t xml:space="preserve"> in</w:t>
      </w:r>
      <w:r w:rsidRPr="00F75C47">
        <w:rPr>
          <w:rFonts w:asciiTheme="majorBidi" w:hAnsiTheme="majorBidi" w:cstheme="majorBidi"/>
          <w:sz w:val="20"/>
          <w:szCs w:val="20"/>
        </w:rPr>
        <w:t xml:space="preserve"> a “judicial or legislative capacity”.</w:t>
      </w:r>
    </w:p>
    <w:p w14:paraId="12988F86" w14:textId="1809DC4D" w:rsidR="00FB1A40" w:rsidRPr="00F75C47" w:rsidRDefault="00E24138" w:rsidP="000F2392">
      <w:pPr>
        <w:numPr>
          <w:ilvl w:val="0"/>
          <w:numId w:val="2"/>
        </w:numPr>
        <w:tabs>
          <w:tab w:val="num" w:pos="1134"/>
          <w:tab w:val="left" w:pos="1701"/>
          <w:tab w:val="num" w:pos="2136"/>
        </w:tabs>
        <w:suppressAutoHyphens/>
        <w:spacing w:after="120" w:line="240" w:lineRule="atLeast"/>
        <w:ind w:left="1134" w:right="521" w:firstLine="0"/>
        <w:jc w:val="both"/>
        <w:rPr>
          <w:rFonts w:asciiTheme="majorBidi" w:hAnsiTheme="majorBidi" w:cstheme="majorBidi"/>
          <w:sz w:val="20"/>
        </w:rPr>
      </w:pPr>
      <w:r w:rsidRPr="00F75C47">
        <w:rPr>
          <w:rFonts w:asciiTheme="majorBidi" w:hAnsiTheme="majorBidi" w:cstheme="majorBidi"/>
          <w:sz w:val="20"/>
          <w:szCs w:val="20"/>
        </w:rPr>
        <w:t xml:space="preserve">Regarding that distinction, </w:t>
      </w:r>
      <w:r w:rsidR="005C7533" w:rsidRPr="00F75C47">
        <w:rPr>
          <w:rFonts w:asciiTheme="majorBidi" w:hAnsiTheme="majorBidi" w:cstheme="majorBidi"/>
          <w:sz w:val="20"/>
          <w:szCs w:val="20"/>
        </w:rPr>
        <w:t>in its findings on communication ACCC/C/2008/32 (European Union)</w:t>
      </w:r>
      <w:r w:rsidR="006475AF" w:rsidRPr="00F75C47">
        <w:rPr>
          <w:rFonts w:asciiTheme="majorBidi" w:hAnsiTheme="majorBidi" w:cstheme="majorBidi"/>
          <w:sz w:val="20"/>
          <w:szCs w:val="20"/>
        </w:rPr>
        <w:t xml:space="preserve"> (Part II)</w:t>
      </w:r>
      <w:r w:rsidR="005C7533" w:rsidRPr="00F75C47">
        <w:rPr>
          <w:rFonts w:asciiTheme="majorBidi" w:hAnsiTheme="majorBidi" w:cstheme="majorBidi"/>
          <w:sz w:val="20"/>
          <w:szCs w:val="20"/>
        </w:rPr>
        <w:t>,</w:t>
      </w:r>
      <w:r w:rsidR="00FB1A40" w:rsidRPr="00F75C47">
        <w:rPr>
          <w:rFonts w:asciiTheme="majorBidi" w:hAnsiTheme="majorBidi" w:cstheme="majorBidi"/>
          <w:sz w:val="20"/>
          <w:szCs w:val="20"/>
        </w:rPr>
        <w:t xml:space="preserve"> </w:t>
      </w:r>
      <w:r w:rsidRPr="00F75C47">
        <w:rPr>
          <w:rFonts w:asciiTheme="majorBidi" w:hAnsiTheme="majorBidi" w:cstheme="majorBidi"/>
          <w:sz w:val="20"/>
          <w:szCs w:val="20"/>
        </w:rPr>
        <w:t>the Committee</w:t>
      </w:r>
      <w:r w:rsidR="00FB1A40" w:rsidRPr="00F75C47">
        <w:rPr>
          <w:rFonts w:asciiTheme="majorBidi" w:hAnsiTheme="majorBidi" w:cstheme="majorBidi"/>
          <w:sz w:val="20"/>
          <w:szCs w:val="20"/>
        </w:rPr>
        <w:t xml:space="preserve"> </w:t>
      </w:r>
      <w:r w:rsidR="00424D11" w:rsidRPr="00F75C47">
        <w:rPr>
          <w:rFonts w:asciiTheme="majorBidi" w:hAnsiTheme="majorBidi" w:cstheme="majorBidi"/>
          <w:sz w:val="20"/>
          <w:szCs w:val="20"/>
        </w:rPr>
        <w:t>unequivocally</w:t>
      </w:r>
      <w:r w:rsidR="00FB1A40" w:rsidRPr="00F75C47">
        <w:rPr>
          <w:rFonts w:asciiTheme="majorBidi" w:hAnsiTheme="majorBidi" w:cstheme="majorBidi"/>
          <w:sz w:val="20"/>
          <w:szCs w:val="20"/>
        </w:rPr>
        <w:t xml:space="preserve"> </w:t>
      </w:r>
      <w:r w:rsidRPr="00F75C47">
        <w:rPr>
          <w:rFonts w:asciiTheme="majorBidi" w:hAnsiTheme="majorBidi" w:cstheme="majorBidi"/>
          <w:sz w:val="20"/>
          <w:szCs w:val="20"/>
        </w:rPr>
        <w:t xml:space="preserve">held </w:t>
      </w:r>
      <w:r w:rsidR="006E5EFE" w:rsidRPr="00F75C47">
        <w:rPr>
          <w:rFonts w:asciiTheme="majorBidi" w:hAnsiTheme="majorBidi" w:cstheme="majorBidi"/>
          <w:sz w:val="20"/>
          <w:szCs w:val="20"/>
        </w:rPr>
        <w:t>that</w:t>
      </w:r>
      <w:r w:rsidR="00FB1A40" w:rsidRPr="00F75C47">
        <w:rPr>
          <w:rFonts w:asciiTheme="majorBidi" w:hAnsiTheme="majorBidi" w:cstheme="majorBidi"/>
          <w:sz w:val="20"/>
          <w:szCs w:val="20"/>
        </w:rPr>
        <w:t>:</w:t>
      </w:r>
      <w:r w:rsidR="00FB1A40" w:rsidRPr="00F75C47">
        <w:rPr>
          <w:rFonts w:asciiTheme="majorBidi" w:hAnsiTheme="majorBidi" w:cstheme="majorBidi"/>
          <w:sz w:val="20"/>
        </w:rPr>
        <w:t xml:space="preserve"> </w:t>
      </w:r>
    </w:p>
    <w:p w14:paraId="27408296" w14:textId="4E355F02" w:rsidR="00FB38DC" w:rsidRPr="00F75C47" w:rsidRDefault="00C00C39">
      <w:pPr>
        <w:tabs>
          <w:tab w:val="left" w:pos="1701"/>
          <w:tab w:val="num" w:pos="2136"/>
        </w:tabs>
        <w:suppressAutoHyphens/>
        <w:spacing w:after="120" w:line="240" w:lineRule="atLeast"/>
        <w:ind w:left="1701" w:right="521"/>
        <w:jc w:val="both"/>
        <w:rPr>
          <w:rFonts w:asciiTheme="majorBidi" w:hAnsiTheme="majorBidi"/>
          <w:sz w:val="20"/>
        </w:rPr>
      </w:pPr>
      <w:r w:rsidRPr="00F75C47">
        <w:rPr>
          <w:rFonts w:asciiTheme="majorBidi" w:hAnsiTheme="majorBidi"/>
          <w:sz w:val="20"/>
        </w:rPr>
        <w:t xml:space="preserve">Article 9, paragraph 3, of the Convention provides for access to administrative or judicial procedures, but the tail to article 2, paragraph 2, of the Convention excludes from the definition of “public authority” “bodies acting in a judicial or legislative capacity”, but not bodies acting in the capacity of an administrative review body. The conclusion that must be drawn is clear: </w:t>
      </w:r>
      <w:proofErr w:type="gramStart"/>
      <w:r w:rsidRPr="00F75C47">
        <w:rPr>
          <w:rFonts w:asciiTheme="majorBidi" w:hAnsiTheme="majorBidi"/>
          <w:sz w:val="20"/>
        </w:rPr>
        <w:t>the</w:t>
      </w:r>
      <w:proofErr w:type="gramEnd"/>
      <w:r w:rsidRPr="00F75C47">
        <w:rPr>
          <w:rFonts w:asciiTheme="majorBidi" w:hAnsiTheme="majorBidi"/>
          <w:sz w:val="20"/>
        </w:rPr>
        <w:t xml:space="preserve"> Convention distinguishes between judicial and administrative procedures, and excludes public authorities only when they act in a judicial capacity, but not when they act by way of administrative review</w:t>
      </w:r>
      <w:r w:rsidRPr="00F75C47">
        <w:rPr>
          <w:rFonts w:asciiTheme="majorBidi" w:hAnsiTheme="majorBidi" w:cstheme="majorBidi"/>
          <w:sz w:val="20"/>
        </w:rPr>
        <w:t>.</w:t>
      </w:r>
      <w:r w:rsidR="00BB5C16" w:rsidRPr="00F75C47">
        <w:rPr>
          <w:rStyle w:val="FootnoteReference"/>
          <w:rFonts w:asciiTheme="majorBidi" w:hAnsiTheme="majorBidi"/>
        </w:rPr>
        <w:footnoteReference w:id="106"/>
      </w:r>
    </w:p>
    <w:p w14:paraId="5AE25713" w14:textId="3B141B70" w:rsidR="00E43DAD" w:rsidRPr="00F75C47" w:rsidRDefault="00C90A3D" w:rsidP="000F2392">
      <w:pPr>
        <w:numPr>
          <w:ilvl w:val="0"/>
          <w:numId w:val="2"/>
        </w:numPr>
        <w:tabs>
          <w:tab w:val="num" w:pos="1134"/>
          <w:tab w:val="left" w:pos="1701"/>
          <w:tab w:val="num" w:pos="2136"/>
        </w:tabs>
        <w:suppressAutoHyphens/>
        <w:spacing w:after="120" w:line="240" w:lineRule="atLeast"/>
        <w:ind w:left="1134" w:right="521" w:firstLine="0"/>
        <w:jc w:val="both"/>
        <w:rPr>
          <w:rFonts w:asciiTheme="majorBidi" w:hAnsiTheme="majorBidi"/>
          <w:sz w:val="20"/>
        </w:rPr>
      </w:pPr>
      <w:r w:rsidRPr="00F75C47">
        <w:rPr>
          <w:rFonts w:asciiTheme="majorBidi" w:hAnsiTheme="majorBidi"/>
          <w:sz w:val="20"/>
        </w:rPr>
        <w:t xml:space="preserve">Accordingly, </w:t>
      </w:r>
      <w:r w:rsidR="007970E9" w:rsidRPr="00F75C47">
        <w:rPr>
          <w:rFonts w:asciiTheme="majorBidi" w:hAnsiTheme="majorBidi"/>
          <w:sz w:val="20"/>
        </w:rPr>
        <w:t>without getting into a detailed examination of whether the acts and omissions of each of the various procedures listed in article 2(2) of the Aarhus Regulation  should be subject to challenge under article 9(3),</w:t>
      </w:r>
      <w:r w:rsidR="00512CBD" w:rsidRPr="00F75C47">
        <w:rPr>
          <w:rStyle w:val="FootnoteReference"/>
          <w:rFonts w:asciiTheme="majorBidi" w:hAnsiTheme="majorBidi"/>
        </w:rPr>
        <w:footnoteReference w:id="107"/>
      </w:r>
      <w:r w:rsidR="003D0AB9" w:rsidRPr="00F75C47">
        <w:rPr>
          <w:rFonts w:asciiTheme="majorBidi" w:hAnsiTheme="majorBidi"/>
          <w:sz w:val="20"/>
        </w:rPr>
        <w:t xml:space="preserve"> the Committee makes clear that</w:t>
      </w:r>
      <w:r w:rsidR="001B330F" w:rsidRPr="00F75C47">
        <w:rPr>
          <w:rFonts w:asciiTheme="majorBidi" w:hAnsiTheme="majorBidi"/>
          <w:sz w:val="20"/>
        </w:rPr>
        <w:t xml:space="preserve"> </w:t>
      </w:r>
      <w:r w:rsidR="009A48E3" w:rsidRPr="00F75C47">
        <w:rPr>
          <w:rFonts w:asciiTheme="majorBidi" w:hAnsiTheme="majorBidi"/>
          <w:sz w:val="20"/>
        </w:rPr>
        <w:t>there</w:t>
      </w:r>
      <w:r w:rsidR="00BC5FF7" w:rsidRPr="00F75C47">
        <w:rPr>
          <w:rFonts w:asciiTheme="majorBidi" w:hAnsiTheme="majorBidi"/>
          <w:sz w:val="20"/>
        </w:rPr>
        <w:t xml:space="preserve"> i</w:t>
      </w:r>
      <w:r w:rsidR="009A48E3" w:rsidRPr="00F75C47">
        <w:rPr>
          <w:rFonts w:asciiTheme="majorBidi" w:hAnsiTheme="majorBidi"/>
          <w:sz w:val="20"/>
        </w:rPr>
        <w:t>s</w:t>
      </w:r>
      <w:r w:rsidR="001D5CB4" w:rsidRPr="00F75C47">
        <w:rPr>
          <w:rFonts w:asciiTheme="majorBidi" w:hAnsiTheme="majorBidi"/>
          <w:sz w:val="20"/>
        </w:rPr>
        <w:t xml:space="preserve">, contrary to </w:t>
      </w:r>
      <w:r w:rsidR="000D65D2" w:rsidRPr="00F75C47">
        <w:rPr>
          <w:rFonts w:asciiTheme="majorBidi" w:hAnsiTheme="majorBidi"/>
          <w:sz w:val="20"/>
        </w:rPr>
        <w:t xml:space="preserve">what </w:t>
      </w:r>
      <w:r w:rsidR="00512CBD" w:rsidRPr="00F75C47">
        <w:rPr>
          <w:rFonts w:asciiTheme="majorBidi" w:hAnsiTheme="majorBidi"/>
          <w:sz w:val="20"/>
        </w:rPr>
        <w:t xml:space="preserve">the </w:t>
      </w:r>
      <w:r w:rsidR="00A82BD1" w:rsidRPr="00F75C47">
        <w:rPr>
          <w:rFonts w:asciiTheme="majorBidi" w:hAnsiTheme="majorBidi"/>
          <w:sz w:val="20"/>
        </w:rPr>
        <w:t>Party concerned</w:t>
      </w:r>
      <w:r w:rsidR="000D65D2" w:rsidRPr="00F75C47">
        <w:rPr>
          <w:rFonts w:asciiTheme="majorBidi" w:hAnsiTheme="majorBidi"/>
          <w:sz w:val="20"/>
        </w:rPr>
        <w:t xml:space="preserve"> </w:t>
      </w:r>
      <w:r w:rsidR="00512CBD" w:rsidRPr="00F75C47">
        <w:rPr>
          <w:rFonts w:asciiTheme="majorBidi" w:hAnsiTheme="majorBidi"/>
          <w:sz w:val="20"/>
        </w:rPr>
        <w:t>claims,</w:t>
      </w:r>
      <w:r w:rsidR="009A48E3" w:rsidRPr="00F75C47">
        <w:rPr>
          <w:rFonts w:asciiTheme="majorBidi" w:hAnsiTheme="majorBidi"/>
          <w:sz w:val="20"/>
        </w:rPr>
        <w:t xml:space="preserve"> </w:t>
      </w:r>
      <w:r w:rsidR="00297CC9" w:rsidRPr="00F75C47">
        <w:rPr>
          <w:rFonts w:asciiTheme="majorBidi" w:hAnsiTheme="majorBidi"/>
          <w:sz w:val="20"/>
        </w:rPr>
        <w:t xml:space="preserve">no general </w:t>
      </w:r>
      <w:r w:rsidR="003D0AB9" w:rsidRPr="00F75C47">
        <w:rPr>
          <w:rFonts w:asciiTheme="majorBidi" w:hAnsiTheme="majorBidi"/>
          <w:sz w:val="20"/>
        </w:rPr>
        <w:t>exception in article 2(2) of the Convention</w:t>
      </w:r>
      <w:r w:rsidR="00A82BD1" w:rsidRPr="00F75C47">
        <w:rPr>
          <w:rFonts w:asciiTheme="majorBidi" w:hAnsiTheme="majorBidi"/>
          <w:sz w:val="20"/>
        </w:rPr>
        <w:t xml:space="preserve"> for </w:t>
      </w:r>
      <w:r w:rsidR="007970E9" w:rsidRPr="00F75C47">
        <w:rPr>
          <w:rFonts w:asciiTheme="majorBidi" w:hAnsiTheme="majorBidi"/>
          <w:sz w:val="20"/>
        </w:rPr>
        <w:t xml:space="preserve">decisions </w:t>
      </w:r>
      <w:r w:rsidR="003D0AB9" w:rsidRPr="00F75C47">
        <w:rPr>
          <w:rFonts w:asciiTheme="majorBidi" w:hAnsiTheme="majorBidi"/>
          <w:sz w:val="20"/>
        </w:rPr>
        <w:t xml:space="preserve">taken </w:t>
      </w:r>
      <w:r w:rsidR="007970E9" w:rsidRPr="00F75C47">
        <w:rPr>
          <w:rFonts w:asciiTheme="majorBidi" w:hAnsiTheme="majorBidi"/>
          <w:sz w:val="20"/>
        </w:rPr>
        <w:t>by administrative review bodies</w:t>
      </w:r>
      <w:r w:rsidR="00BC5FF7" w:rsidRPr="00F75C47">
        <w:rPr>
          <w:rFonts w:asciiTheme="majorBidi" w:hAnsiTheme="majorBidi"/>
          <w:sz w:val="20"/>
        </w:rPr>
        <w:t xml:space="preserve">. </w:t>
      </w:r>
      <w:r w:rsidR="00E43DAD" w:rsidRPr="00F75C47">
        <w:rPr>
          <w:rFonts w:asciiTheme="majorBidi" w:hAnsiTheme="majorBidi"/>
          <w:sz w:val="20"/>
        </w:rPr>
        <w:t>The Committee accordingly concludes that,</w:t>
      </w:r>
      <w:r w:rsidR="003D0AB9" w:rsidRPr="00F75C47">
        <w:rPr>
          <w:rFonts w:asciiTheme="majorBidi" w:hAnsiTheme="majorBidi"/>
          <w:sz w:val="20"/>
        </w:rPr>
        <w:t xml:space="preserve"> when</w:t>
      </w:r>
      <w:r w:rsidR="00E621F5" w:rsidRPr="00F75C47">
        <w:rPr>
          <w:rFonts w:asciiTheme="majorBidi" w:hAnsiTheme="majorBidi"/>
          <w:sz w:val="20"/>
        </w:rPr>
        <w:t xml:space="preserve"> </w:t>
      </w:r>
      <w:r w:rsidR="00E621F5" w:rsidRPr="00F75C47">
        <w:rPr>
          <w:rFonts w:asciiTheme="majorBidi" w:hAnsiTheme="majorBidi" w:cstheme="majorBidi"/>
          <w:sz w:val="20"/>
          <w:szCs w:val="20"/>
        </w:rPr>
        <w:t>acting pursuant to article 108 TFEU</w:t>
      </w:r>
      <w:r w:rsidR="003D0AB9" w:rsidRPr="00F75C47">
        <w:rPr>
          <w:rFonts w:asciiTheme="majorBidi" w:hAnsiTheme="majorBidi" w:cstheme="majorBidi"/>
          <w:sz w:val="20"/>
          <w:szCs w:val="20"/>
        </w:rPr>
        <w:t>,</w:t>
      </w:r>
      <w:r w:rsidR="003D0AB9" w:rsidRPr="00F75C47">
        <w:rPr>
          <w:rFonts w:asciiTheme="majorBidi" w:hAnsiTheme="majorBidi"/>
          <w:sz w:val="20"/>
        </w:rPr>
        <w:t xml:space="preserve"> </w:t>
      </w:r>
      <w:r w:rsidR="00E43DAD" w:rsidRPr="00F75C47">
        <w:rPr>
          <w:rFonts w:asciiTheme="majorBidi" w:hAnsiTheme="majorBidi"/>
          <w:sz w:val="20"/>
        </w:rPr>
        <w:t>the Commission is indeed a public authority under article 2(2) of the Convention, and thus</w:t>
      </w:r>
      <w:r w:rsidR="00E43DAD" w:rsidRPr="00F75C47">
        <w:rPr>
          <w:rFonts w:asciiTheme="majorBidi" w:hAnsiTheme="majorBidi" w:cstheme="majorBidi"/>
          <w:sz w:val="20"/>
          <w:szCs w:val="20"/>
        </w:rPr>
        <w:t xml:space="preserve"> </w:t>
      </w:r>
      <w:r w:rsidR="006475AF" w:rsidRPr="00F75C47">
        <w:rPr>
          <w:rFonts w:asciiTheme="majorBidi" w:hAnsiTheme="majorBidi" w:cstheme="majorBidi"/>
          <w:sz w:val="20"/>
          <w:szCs w:val="20"/>
        </w:rPr>
        <w:t>is likewise a public authority</w:t>
      </w:r>
      <w:r w:rsidR="006475AF" w:rsidRPr="00F75C47">
        <w:rPr>
          <w:rFonts w:asciiTheme="majorBidi" w:hAnsiTheme="majorBidi"/>
          <w:sz w:val="20"/>
        </w:rPr>
        <w:t xml:space="preserve"> </w:t>
      </w:r>
      <w:r w:rsidR="00E43DAD" w:rsidRPr="00F75C47">
        <w:rPr>
          <w:rFonts w:asciiTheme="majorBidi" w:hAnsiTheme="majorBidi"/>
          <w:sz w:val="20"/>
        </w:rPr>
        <w:t>for the purposes of article 9(3).</w:t>
      </w:r>
    </w:p>
    <w:p w14:paraId="24E241A8" w14:textId="679A48B0" w:rsidR="008802A6" w:rsidRPr="00F75C47" w:rsidRDefault="008802A6" w:rsidP="00EA30E3">
      <w:pPr>
        <w:tabs>
          <w:tab w:val="left" w:pos="1701"/>
          <w:tab w:val="num" w:pos="2136"/>
        </w:tabs>
        <w:suppressAutoHyphens/>
        <w:spacing w:after="120" w:line="240" w:lineRule="atLeast"/>
        <w:ind w:left="1134" w:right="521"/>
        <w:jc w:val="both"/>
        <w:rPr>
          <w:rFonts w:asciiTheme="majorBidi" w:hAnsiTheme="majorBidi" w:cstheme="majorBidi"/>
          <w:i/>
          <w:sz w:val="20"/>
        </w:rPr>
      </w:pPr>
    </w:p>
    <w:p w14:paraId="65A35EF5" w14:textId="7E74DB92" w:rsidR="00D52AF3" w:rsidRPr="00F75C47" w:rsidRDefault="00D52AF3">
      <w:pPr>
        <w:tabs>
          <w:tab w:val="left" w:pos="1701"/>
          <w:tab w:val="num" w:pos="1994"/>
          <w:tab w:val="num" w:pos="2136"/>
        </w:tabs>
        <w:suppressAutoHyphens/>
        <w:spacing w:after="120" w:line="240" w:lineRule="atLeast"/>
        <w:ind w:left="1134" w:right="521"/>
        <w:jc w:val="both"/>
        <w:rPr>
          <w:rFonts w:asciiTheme="majorBidi" w:hAnsiTheme="majorBidi"/>
          <w:i/>
          <w:sz w:val="20"/>
        </w:rPr>
      </w:pPr>
      <w:r w:rsidRPr="00F75C47">
        <w:rPr>
          <w:rFonts w:asciiTheme="majorBidi" w:hAnsiTheme="majorBidi"/>
          <w:i/>
          <w:sz w:val="20"/>
        </w:rPr>
        <w:t>Whether a state aid decision can “contravene national law relating to the environment”</w:t>
      </w:r>
    </w:p>
    <w:p w14:paraId="6F35AAD3" w14:textId="048A5ECD" w:rsidR="00AF04A7" w:rsidRPr="00F75C47" w:rsidRDefault="00E4577F" w:rsidP="000F2392">
      <w:pPr>
        <w:numPr>
          <w:ilvl w:val="0"/>
          <w:numId w:val="2"/>
        </w:numPr>
        <w:tabs>
          <w:tab w:val="num" w:pos="1134"/>
          <w:tab w:val="left" w:pos="1701"/>
          <w:tab w:val="num" w:pos="2136"/>
        </w:tabs>
        <w:suppressAutoHyphens/>
        <w:spacing w:after="120" w:line="240" w:lineRule="atLeast"/>
        <w:ind w:left="1134" w:right="521" w:firstLine="0"/>
        <w:jc w:val="both"/>
        <w:rPr>
          <w:rFonts w:asciiTheme="majorBidi" w:hAnsiTheme="majorBidi"/>
          <w:sz w:val="20"/>
        </w:rPr>
      </w:pPr>
      <w:r w:rsidRPr="00F75C47">
        <w:rPr>
          <w:rFonts w:asciiTheme="majorBidi" w:hAnsiTheme="majorBidi"/>
          <w:sz w:val="20"/>
        </w:rPr>
        <w:t xml:space="preserve">Regarding </w:t>
      </w:r>
      <w:r w:rsidR="00BD36AB" w:rsidRPr="00F75C47">
        <w:rPr>
          <w:rFonts w:asciiTheme="majorBidi" w:hAnsiTheme="majorBidi"/>
          <w:sz w:val="20"/>
        </w:rPr>
        <w:t xml:space="preserve">whether the </w:t>
      </w:r>
      <w:r w:rsidR="00E621F5" w:rsidRPr="00F75C47">
        <w:rPr>
          <w:rFonts w:asciiTheme="majorBidi" w:hAnsiTheme="majorBidi" w:cstheme="majorBidi"/>
          <w:sz w:val="20"/>
          <w:szCs w:val="20"/>
        </w:rPr>
        <w:t>2014 Decision</w:t>
      </w:r>
      <w:r w:rsidR="00757949" w:rsidRPr="00F75C47">
        <w:rPr>
          <w:rFonts w:asciiTheme="majorBidi" w:hAnsiTheme="majorBidi"/>
          <w:sz w:val="20"/>
        </w:rPr>
        <w:t xml:space="preserve">, and state aid decisions more generally, can potentially </w:t>
      </w:r>
      <w:r w:rsidR="00D213E0" w:rsidRPr="00F75C47">
        <w:rPr>
          <w:rFonts w:asciiTheme="majorBidi" w:hAnsiTheme="majorBidi"/>
          <w:sz w:val="20"/>
        </w:rPr>
        <w:t xml:space="preserve">contravene </w:t>
      </w:r>
      <w:r w:rsidR="009313F0" w:rsidRPr="00F75C47">
        <w:rPr>
          <w:rFonts w:asciiTheme="majorBidi" w:hAnsiTheme="majorBidi" w:cstheme="majorBidi"/>
          <w:sz w:val="20"/>
          <w:szCs w:val="20"/>
        </w:rPr>
        <w:t>“</w:t>
      </w:r>
      <w:r w:rsidR="00D213E0" w:rsidRPr="00F75C47">
        <w:rPr>
          <w:rFonts w:asciiTheme="majorBidi" w:hAnsiTheme="majorBidi"/>
          <w:sz w:val="20"/>
        </w:rPr>
        <w:t>national law relating to the environment”</w:t>
      </w:r>
      <w:r w:rsidR="00F214D5" w:rsidRPr="00F75C47">
        <w:rPr>
          <w:rFonts w:asciiTheme="majorBidi" w:hAnsiTheme="majorBidi"/>
          <w:sz w:val="20"/>
        </w:rPr>
        <w:t xml:space="preserve">, the </w:t>
      </w:r>
      <w:r w:rsidR="009313F0" w:rsidRPr="00F75C47">
        <w:rPr>
          <w:rFonts w:asciiTheme="majorBidi" w:hAnsiTheme="majorBidi" w:cstheme="majorBidi"/>
          <w:sz w:val="20"/>
          <w:szCs w:val="20"/>
        </w:rPr>
        <w:t xml:space="preserve">Committee considers that the </w:t>
      </w:r>
      <w:r w:rsidR="002D7F97" w:rsidRPr="00F75C47">
        <w:rPr>
          <w:rFonts w:asciiTheme="majorBidi" w:hAnsiTheme="majorBidi"/>
          <w:sz w:val="20"/>
        </w:rPr>
        <w:t xml:space="preserve">judgment of </w:t>
      </w:r>
      <w:r w:rsidR="000E0BEE" w:rsidRPr="00F75C47">
        <w:rPr>
          <w:rFonts w:asciiTheme="majorBidi" w:hAnsiTheme="majorBidi" w:cstheme="majorBidi"/>
          <w:sz w:val="20"/>
          <w:szCs w:val="20"/>
        </w:rPr>
        <w:t xml:space="preserve">22 September 2020 by </w:t>
      </w:r>
      <w:r w:rsidR="002D7F97" w:rsidRPr="00F75C47">
        <w:rPr>
          <w:rFonts w:asciiTheme="majorBidi" w:hAnsiTheme="majorBidi"/>
          <w:sz w:val="20"/>
        </w:rPr>
        <w:t xml:space="preserve">the </w:t>
      </w:r>
      <w:r w:rsidR="00EE5071">
        <w:rPr>
          <w:rFonts w:asciiTheme="majorBidi" w:hAnsiTheme="majorBidi" w:cstheme="majorBidi"/>
          <w:sz w:val="20"/>
          <w:szCs w:val="20"/>
        </w:rPr>
        <w:t>Court of Justice</w:t>
      </w:r>
      <w:r w:rsidR="000E0BEE" w:rsidRPr="00F75C47">
        <w:rPr>
          <w:rFonts w:asciiTheme="majorBidi" w:hAnsiTheme="majorBidi" w:cstheme="majorBidi"/>
          <w:sz w:val="20"/>
          <w:szCs w:val="20"/>
        </w:rPr>
        <w:t xml:space="preserve"> (</w:t>
      </w:r>
      <w:r w:rsidR="002D7F97" w:rsidRPr="00F75C47">
        <w:rPr>
          <w:rFonts w:asciiTheme="majorBidi" w:hAnsiTheme="majorBidi"/>
          <w:sz w:val="20"/>
        </w:rPr>
        <w:t>Grand Chamber</w:t>
      </w:r>
      <w:r w:rsidR="000E0BEE" w:rsidRPr="00F75C47">
        <w:rPr>
          <w:rFonts w:asciiTheme="majorBidi" w:hAnsiTheme="majorBidi" w:cstheme="majorBidi"/>
          <w:sz w:val="20"/>
          <w:szCs w:val="20"/>
        </w:rPr>
        <w:t>)</w:t>
      </w:r>
      <w:r w:rsidR="00F214D5" w:rsidRPr="00F75C47">
        <w:rPr>
          <w:rFonts w:asciiTheme="majorBidi" w:hAnsiTheme="majorBidi"/>
          <w:sz w:val="20"/>
        </w:rPr>
        <w:t xml:space="preserve"> </w:t>
      </w:r>
      <w:r w:rsidR="004950BA" w:rsidRPr="00F75C47">
        <w:rPr>
          <w:rFonts w:asciiTheme="majorBidi" w:hAnsiTheme="majorBidi"/>
          <w:sz w:val="20"/>
        </w:rPr>
        <w:t xml:space="preserve">in </w:t>
      </w:r>
      <w:r w:rsidR="00270F74" w:rsidRPr="00F75C47">
        <w:rPr>
          <w:rFonts w:asciiTheme="majorBidi" w:hAnsiTheme="majorBidi"/>
          <w:sz w:val="20"/>
        </w:rPr>
        <w:t>C</w:t>
      </w:r>
      <w:r w:rsidR="002E3527" w:rsidRPr="00F75C47">
        <w:rPr>
          <w:rFonts w:asciiTheme="majorBidi" w:hAnsiTheme="majorBidi"/>
          <w:sz w:val="20"/>
        </w:rPr>
        <w:t>-</w:t>
      </w:r>
      <w:r w:rsidR="00270F74" w:rsidRPr="00F75C47">
        <w:rPr>
          <w:rFonts w:asciiTheme="majorBidi" w:hAnsiTheme="majorBidi"/>
          <w:sz w:val="20"/>
        </w:rPr>
        <w:t xml:space="preserve">594/18 P </w:t>
      </w:r>
      <w:r w:rsidR="004950BA" w:rsidRPr="00F75C47">
        <w:rPr>
          <w:rFonts w:asciiTheme="majorBidi" w:hAnsiTheme="majorBidi"/>
          <w:i/>
          <w:sz w:val="20"/>
        </w:rPr>
        <w:t>Austria v Commission</w:t>
      </w:r>
      <w:r w:rsidR="004950BA" w:rsidRPr="00F75C47">
        <w:rPr>
          <w:rFonts w:asciiTheme="majorBidi" w:hAnsiTheme="majorBidi"/>
          <w:sz w:val="20"/>
        </w:rPr>
        <w:t xml:space="preserve"> provides </w:t>
      </w:r>
      <w:r w:rsidR="004A2EC1" w:rsidRPr="00F75C47">
        <w:rPr>
          <w:rFonts w:asciiTheme="majorBidi" w:hAnsiTheme="majorBidi"/>
          <w:sz w:val="20"/>
        </w:rPr>
        <w:t>useful clarity on this point</w:t>
      </w:r>
      <w:r w:rsidR="00110364" w:rsidRPr="00F75C47">
        <w:rPr>
          <w:rFonts w:asciiTheme="majorBidi" w:hAnsiTheme="majorBidi"/>
          <w:sz w:val="20"/>
        </w:rPr>
        <w:t>.</w:t>
      </w:r>
      <w:r w:rsidR="00107646" w:rsidRPr="00F75C47">
        <w:rPr>
          <w:rFonts w:asciiTheme="majorBidi" w:hAnsiTheme="majorBidi"/>
          <w:sz w:val="20"/>
        </w:rPr>
        <w:t xml:space="preserve"> </w:t>
      </w:r>
    </w:p>
    <w:p w14:paraId="532282E3" w14:textId="224B592C" w:rsidR="002D7F97" w:rsidRPr="00F75C47" w:rsidRDefault="002C29C7" w:rsidP="002249C2">
      <w:pPr>
        <w:numPr>
          <w:ilvl w:val="0"/>
          <w:numId w:val="2"/>
        </w:numPr>
        <w:tabs>
          <w:tab w:val="num" w:pos="1134"/>
          <w:tab w:val="left" w:pos="1701"/>
          <w:tab w:val="num" w:pos="2136"/>
        </w:tabs>
        <w:suppressAutoHyphens/>
        <w:spacing w:after="120" w:line="240" w:lineRule="atLeast"/>
        <w:ind w:left="1134" w:right="521" w:firstLine="0"/>
        <w:jc w:val="both"/>
        <w:rPr>
          <w:rFonts w:asciiTheme="majorBidi" w:hAnsiTheme="majorBidi"/>
          <w:sz w:val="20"/>
        </w:rPr>
      </w:pPr>
      <w:r w:rsidRPr="00F75C47">
        <w:rPr>
          <w:rFonts w:asciiTheme="majorBidi" w:hAnsiTheme="majorBidi"/>
          <w:sz w:val="20"/>
        </w:rPr>
        <w:t xml:space="preserve">In </w:t>
      </w:r>
      <w:r w:rsidRPr="00F75C47">
        <w:rPr>
          <w:rFonts w:asciiTheme="majorBidi" w:hAnsiTheme="majorBidi" w:cstheme="majorBidi"/>
          <w:sz w:val="20"/>
          <w:szCs w:val="20"/>
        </w:rPr>
        <w:t>that</w:t>
      </w:r>
      <w:r w:rsidRPr="00F75C47">
        <w:rPr>
          <w:rFonts w:asciiTheme="majorBidi" w:hAnsiTheme="majorBidi"/>
          <w:sz w:val="20"/>
        </w:rPr>
        <w:t xml:space="preserve"> judgment</w:t>
      </w:r>
      <w:r w:rsidR="000E0BEE" w:rsidRPr="00F75C47">
        <w:rPr>
          <w:rFonts w:asciiTheme="majorBidi" w:hAnsiTheme="majorBidi" w:cstheme="majorBidi"/>
          <w:sz w:val="20"/>
          <w:szCs w:val="20"/>
        </w:rPr>
        <w:t>,</w:t>
      </w:r>
      <w:r w:rsidR="000E0BEE" w:rsidRPr="00F75C47">
        <w:rPr>
          <w:rFonts w:asciiTheme="majorBidi" w:hAnsiTheme="majorBidi"/>
          <w:sz w:val="20"/>
        </w:rPr>
        <w:t xml:space="preserve"> </w:t>
      </w:r>
      <w:r w:rsidR="002D7F97" w:rsidRPr="00F75C47">
        <w:rPr>
          <w:rFonts w:asciiTheme="majorBidi" w:hAnsiTheme="majorBidi"/>
          <w:sz w:val="20"/>
        </w:rPr>
        <w:t xml:space="preserve">the </w:t>
      </w:r>
      <w:r w:rsidR="00EE5071">
        <w:rPr>
          <w:rFonts w:asciiTheme="majorBidi" w:hAnsiTheme="majorBidi"/>
          <w:sz w:val="20"/>
        </w:rPr>
        <w:t>Court of Justice</w:t>
      </w:r>
      <w:r w:rsidR="002D7F97" w:rsidRPr="00F75C47">
        <w:rPr>
          <w:rFonts w:asciiTheme="majorBidi" w:hAnsiTheme="majorBidi"/>
          <w:sz w:val="20"/>
        </w:rPr>
        <w:t xml:space="preserve"> </w:t>
      </w:r>
      <w:r w:rsidR="002249C2" w:rsidRPr="00F75C47">
        <w:rPr>
          <w:rFonts w:asciiTheme="majorBidi" w:hAnsiTheme="majorBidi"/>
          <w:sz w:val="20"/>
        </w:rPr>
        <w:t>inter alia</w:t>
      </w:r>
      <w:r w:rsidR="002249C2" w:rsidRPr="00F75C47">
        <w:rPr>
          <w:rFonts w:asciiTheme="majorBidi" w:hAnsiTheme="majorBidi" w:cstheme="majorBidi"/>
          <w:sz w:val="20"/>
        </w:rPr>
        <w:t xml:space="preserve"> </w:t>
      </w:r>
      <w:r w:rsidR="000E0BEE" w:rsidRPr="00F75C47">
        <w:rPr>
          <w:rFonts w:asciiTheme="majorBidi" w:hAnsiTheme="majorBidi" w:cstheme="majorBidi"/>
          <w:sz w:val="20"/>
          <w:szCs w:val="20"/>
        </w:rPr>
        <w:t>held</w:t>
      </w:r>
      <w:r w:rsidR="000E0BEE" w:rsidRPr="00F75C47">
        <w:rPr>
          <w:rFonts w:asciiTheme="majorBidi" w:hAnsiTheme="majorBidi"/>
          <w:sz w:val="20"/>
        </w:rPr>
        <w:t>:</w:t>
      </w:r>
    </w:p>
    <w:p w14:paraId="2575371E" w14:textId="05675291" w:rsidR="002D7F97" w:rsidRPr="00F75C47" w:rsidRDefault="002249C2">
      <w:pPr>
        <w:tabs>
          <w:tab w:val="left" w:pos="1701"/>
          <w:tab w:val="num" w:pos="2136"/>
        </w:tabs>
        <w:suppressAutoHyphens/>
        <w:spacing w:after="120" w:line="240" w:lineRule="atLeast"/>
        <w:ind w:left="1701" w:right="521"/>
        <w:jc w:val="both"/>
        <w:rPr>
          <w:rFonts w:asciiTheme="majorBidi" w:hAnsiTheme="majorBidi"/>
          <w:sz w:val="20"/>
        </w:rPr>
      </w:pPr>
      <w:r w:rsidRPr="00F75C47">
        <w:rPr>
          <w:rFonts w:asciiTheme="majorBidi" w:hAnsiTheme="majorBidi" w:cstheme="majorBidi"/>
          <w:sz w:val="20"/>
        </w:rPr>
        <w:t xml:space="preserve">42. … </w:t>
      </w:r>
      <w:r w:rsidR="002D7F97" w:rsidRPr="00F75C47">
        <w:rPr>
          <w:rFonts w:asciiTheme="majorBidi" w:hAnsiTheme="majorBidi"/>
          <w:sz w:val="20"/>
        </w:rPr>
        <w:t xml:space="preserve">Article 106a(3) of the Euratom Treaty cannot oust the application of, inter alia, Article 37 of the Charter, which states that ‘a high level of environmental protection and the improvement of the quality of the environment must be integrated into the policies of the Union and ensured in accordance with the principle of sustainable development’, Article 11 TFEU, according to which environmental protection requirements must be integrated into the definition and implementation of the Union’s policies and activities, in particular with a view to promoting sustainable development, and Article 194(1) TFEU, according to which Union policy on energy must have regard for the need to preserve and improve the environment. Accordingly, the requirement to preserve and improve the environment, expressed in both the Charter and the FEU Treaty, as well as the principles relied on by the Republic of Austria, which flow from it, are applicable in the nuclear energy sector (see, by analogy, judgment of 27 October 2009, </w:t>
      </w:r>
      <w:r w:rsidR="002D7F97" w:rsidRPr="00F75C47">
        <w:rPr>
          <w:rFonts w:asciiTheme="majorBidi" w:hAnsiTheme="majorBidi"/>
          <w:i/>
          <w:iCs/>
          <w:sz w:val="20"/>
        </w:rPr>
        <w:t>ČEZ</w:t>
      </w:r>
      <w:r w:rsidR="002D7F97" w:rsidRPr="00F75C47">
        <w:rPr>
          <w:rFonts w:asciiTheme="majorBidi" w:hAnsiTheme="majorBidi"/>
          <w:sz w:val="20"/>
        </w:rPr>
        <w:t xml:space="preserve">, C‑115/08, EU:C:2009:660, paragraphs 87 to 91). </w:t>
      </w:r>
    </w:p>
    <w:p w14:paraId="4023DB74" w14:textId="371DEAAE" w:rsidR="002D7F97" w:rsidRPr="00F75C47" w:rsidRDefault="00930B03">
      <w:pPr>
        <w:tabs>
          <w:tab w:val="left" w:pos="1701"/>
          <w:tab w:val="num" w:pos="2136"/>
        </w:tabs>
        <w:suppressAutoHyphens/>
        <w:spacing w:after="120" w:line="240" w:lineRule="atLeast"/>
        <w:ind w:left="1701" w:right="521"/>
        <w:jc w:val="both"/>
        <w:rPr>
          <w:rFonts w:asciiTheme="majorBidi" w:hAnsiTheme="majorBidi"/>
          <w:sz w:val="20"/>
        </w:rPr>
      </w:pPr>
      <w:r w:rsidRPr="00F75C47">
        <w:rPr>
          <w:rFonts w:asciiTheme="majorBidi" w:hAnsiTheme="majorBidi" w:cstheme="majorBidi"/>
          <w:sz w:val="20"/>
        </w:rPr>
        <w:t xml:space="preserve">43. </w:t>
      </w:r>
      <w:r w:rsidR="002C29C7" w:rsidRPr="00F75C47">
        <w:rPr>
          <w:rFonts w:asciiTheme="majorBidi" w:hAnsiTheme="majorBidi" w:cstheme="majorBidi"/>
          <w:sz w:val="20"/>
        </w:rPr>
        <w:tab/>
      </w:r>
      <w:r w:rsidR="002D7F97" w:rsidRPr="00F75C47">
        <w:rPr>
          <w:rFonts w:asciiTheme="majorBidi" w:hAnsiTheme="majorBidi"/>
          <w:sz w:val="20"/>
        </w:rPr>
        <w:t xml:space="preserve">The same is true of provisions of secondary EU law on the environment. Thus, Directive 2011/92/EU of the European Parliament and of the Council of 13 December 2011 on the assessment of the effects of certain public and private projects on the environment (OJ 2012 L 26, p. 1), under which certain projects are subject to an environmental impact assessment, applies to nuclear power stations and other nuclear reactors (see, to that effect, judgment of 29 July 2019, </w:t>
      </w:r>
      <w:r w:rsidR="002D7F97" w:rsidRPr="00F75C47">
        <w:rPr>
          <w:rFonts w:asciiTheme="majorBidi" w:hAnsiTheme="majorBidi"/>
          <w:i/>
          <w:iCs/>
          <w:sz w:val="20"/>
        </w:rPr>
        <w:t>Inter-</w:t>
      </w:r>
      <w:proofErr w:type="spellStart"/>
      <w:r w:rsidR="002D7F97" w:rsidRPr="00F75C47">
        <w:rPr>
          <w:rFonts w:asciiTheme="majorBidi" w:hAnsiTheme="majorBidi"/>
          <w:i/>
          <w:iCs/>
          <w:sz w:val="20"/>
        </w:rPr>
        <w:t>Environnement</w:t>
      </w:r>
      <w:proofErr w:type="spellEnd"/>
      <w:r w:rsidR="002D7F97" w:rsidRPr="00F75C47">
        <w:rPr>
          <w:rFonts w:asciiTheme="majorBidi" w:hAnsiTheme="majorBidi"/>
          <w:i/>
          <w:iCs/>
          <w:sz w:val="20"/>
        </w:rPr>
        <w:t xml:space="preserve"> </w:t>
      </w:r>
      <w:proofErr w:type="spellStart"/>
      <w:r w:rsidR="002D7F97" w:rsidRPr="00F75C47">
        <w:rPr>
          <w:rFonts w:asciiTheme="majorBidi" w:hAnsiTheme="majorBidi"/>
          <w:i/>
          <w:iCs/>
          <w:sz w:val="20"/>
        </w:rPr>
        <w:t>Wallonie</w:t>
      </w:r>
      <w:proofErr w:type="spellEnd"/>
      <w:r w:rsidR="002D7F97" w:rsidRPr="00F75C47">
        <w:rPr>
          <w:rFonts w:asciiTheme="majorBidi" w:hAnsiTheme="majorBidi"/>
          <w:i/>
          <w:iCs/>
          <w:sz w:val="20"/>
        </w:rPr>
        <w:t xml:space="preserve"> and Bond </w:t>
      </w:r>
      <w:proofErr w:type="spellStart"/>
      <w:r w:rsidR="002D7F97" w:rsidRPr="00F75C47">
        <w:rPr>
          <w:rFonts w:asciiTheme="majorBidi" w:hAnsiTheme="majorBidi"/>
          <w:i/>
          <w:iCs/>
          <w:sz w:val="20"/>
        </w:rPr>
        <w:t>Beter</w:t>
      </w:r>
      <w:proofErr w:type="spellEnd"/>
      <w:r w:rsidR="002D7F97" w:rsidRPr="00F75C47">
        <w:rPr>
          <w:rFonts w:asciiTheme="majorBidi" w:hAnsiTheme="majorBidi"/>
          <w:i/>
          <w:iCs/>
          <w:sz w:val="20"/>
        </w:rPr>
        <w:t xml:space="preserve"> </w:t>
      </w:r>
      <w:proofErr w:type="spellStart"/>
      <w:r w:rsidR="002D7F97" w:rsidRPr="00F75C47">
        <w:rPr>
          <w:rFonts w:asciiTheme="majorBidi" w:hAnsiTheme="majorBidi"/>
          <w:i/>
          <w:iCs/>
          <w:sz w:val="20"/>
        </w:rPr>
        <w:t>Leefmilieu</w:t>
      </w:r>
      <w:proofErr w:type="spellEnd"/>
      <w:r w:rsidR="002D7F97" w:rsidRPr="00F75C47">
        <w:rPr>
          <w:rFonts w:asciiTheme="majorBidi" w:hAnsiTheme="majorBidi"/>
          <w:i/>
          <w:iCs/>
          <w:sz w:val="20"/>
        </w:rPr>
        <w:t xml:space="preserve"> </w:t>
      </w:r>
      <w:proofErr w:type="spellStart"/>
      <w:r w:rsidR="002D7F97" w:rsidRPr="00F75C47">
        <w:rPr>
          <w:rFonts w:asciiTheme="majorBidi" w:hAnsiTheme="majorBidi"/>
          <w:i/>
          <w:iCs/>
          <w:sz w:val="20"/>
        </w:rPr>
        <w:t>Vlaanderen</w:t>
      </w:r>
      <w:proofErr w:type="spellEnd"/>
      <w:r w:rsidR="002D7F97" w:rsidRPr="00F75C47">
        <w:rPr>
          <w:rFonts w:asciiTheme="majorBidi" w:hAnsiTheme="majorBidi"/>
          <w:sz w:val="20"/>
        </w:rPr>
        <w:t xml:space="preserve">, C‑411/17, EU:C:2019:622, paragraph 76). </w:t>
      </w:r>
    </w:p>
    <w:p w14:paraId="3C9474CB" w14:textId="11C0E0AB" w:rsidR="002D7F97" w:rsidRPr="00F75C47" w:rsidRDefault="00930B03">
      <w:pPr>
        <w:tabs>
          <w:tab w:val="left" w:pos="1701"/>
          <w:tab w:val="num" w:pos="2136"/>
        </w:tabs>
        <w:suppressAutoHyphens/>
        <w:spacing w:after="120" w:line="240" w:lineRule="atLeast"/>
        <w:ind w:left="1701" w:right="521"/>
        <w:jc w:val="both"/>
        <w:rPr>
          <w:rFonts w:asciiTheme="majorBidi" w:hAnsiTheme="majorBidi"/>
          <w:sz w:val="20"/>
        </w:rPr>
      </w:pPr>
      <w:r w:rsidRPr="00F75C47">
        <w:rPr>
          <w:rFonts w:asciiTheme="majorBidi" w:hAnsiTheme="majorBidi" w:cstheme="majorBidi"/>
          <w:sz w:val="20"/>
        </w:rPr>
        <w:t xml:space="preserve">44. </w:t>
      </w:r>
      <w:r w:rsidR="002C29C7" w:rsidRPr="00F75C47">
        <w:rPr>
          <w:rFonts w:asciiTheme="majorBidi" w:hAnsiTheme="majorBidi" w:cstheme="majorBidi"/>
          <w:sz w:val="20"/>
        </w:rPr>
        <w:tab/>
      </w:r>
      <w:r w:rsidR="002D7F97" w:rsidRPr="00F75C47">
        <w:rPr>
          <w:rFonts w:asciiTheme="majorBidi" w:hAnsiTheme="majorBidi"/>
          <w:sz w:val="20"/>
        </w:rPr>
        <w:t xml:space="preserve">Furthermore, the Court has already held that State aid which contravenes provisions or general principles of EU law cannot be declared compatible with the internal market (see, to that effect, judgment of 15 April 2008, </w:t>
      </w:r>
      <w:r w:rsidR="002D7F97" w:rsidRPr="00F75C47">
        <w:rPr>
          <w:rFonts w:asciiTheme="majorBidi" w:hAnsiTheme="majorBidi"/>
          <w:i/>
          <w:iCs/>
          <w:sz w:val="20"/>
        </w:rPr>
        <w:t xml:space="preserve">Nuova </w:t>
      </w:r>
      <w:proofErr w:type="spellStart"/>
      <w:r w:rsidR="002D7F97" w:rsidRPr="00F75C47">
        <w:rPr>
          <w:rFonts w:asciiTheme="majorBidi" w:hAnsiTheme="majorBidi"/>
          <w:i/>
          <w:iCs/>
          <w:sz w:val="20"/>
        </w:rPr>
        <w:t>Agricast</w:t>
      </w:r>
      <w:proofErr w:type="spellEnd"/>
      <w:r w:rsidR="002D7F97" w:rsidRPr="00F75C47">
        <w:rPr>
          <w:rFonts w:asciiTheme="majorBidi" w:hAnsiTheme="majorBidi"/>
          <w:i/>
          <w:iCs/>
          <w:sz w:val="20"/>
        </w:rPr>
        <w:t>,</w:t>
      </w:r>
      <w:r w:rsidR="002D7F97" w:rsidRPr="00F75C47">
        <w:rPr>
          <w:rFonts w:asciiTheme="majorBidi" w:hAnsiTheme="majorBidi"/>
          <w:sz w:val="20"/>
        </w:rPr>
        <w:t xml:space="preserve"> C‑390/06, EU:C:2008:224, paragraphs 50 and 51). </w:t>
      </w:r>
    </w:p>
    <w:p w14:paraId="3366ACD7" w14:textId="5B8C49A9" w:rsidR="002D7F97" w:rsidRPr="00F75C47" w:rsidRDefault="00930B03">
      <w:pPr>
        <w:tabs>
          <w:tab w:val="left" w:pos="1701"/>
          <w:tab w:val="num" w:pos="2136"/>
        </w:tabs>
        <w:suppressAutoHyphens/>
        <w:spacing w:after="120" w:line="240" w:lineRule="atLeast"/>
        <w:ind w:left="1701" w:right="521"/>
        <w:jc w:val="both"/>
        <w:rPr>
          <w:rFonts w:asciiTheme="majorBidi" w:hAnsiTheme="majorBidi"/>
          <w:sz w:val="20"/>
        </w:rPr>
      </w:pPr>
      <w:r w:rsidRPr="00F75C47">
        <w:rPr>
          <w:rFonts w:asciiTheme="majorBidi" w:hAnsiTheme="majorBidi" w:cstheme="majorBidi"/>
          <w:sz w:val="20"/>
        </w:rPr>
        <w:t xml:space="preserve">45. </w:t>
      </w:r>
      <w:r w:rsidR="002C29C7" w:rsidRPr="00F75C47">
        <w:rPr>
          <w:rFonts w:asciiTheme="majorBidi" w:hAnsiTheme="majorBidi" w:cstheme="majorBidi"/>
          <w:sz w:val="20"/>
        </w:rPr>
        <w:tab/>
      </w:r>
      <w:r w:rsidR="002D7F97" w:rsidRPr="00F75C47">
        <w:rPr>
          <w:rFonts w:asciiTheme="majorBidi" w:hAnsiTheme="majorBidi"/>
          <w:sz w:val="20"/>
        </w:rPr>
        <w:t>It follows that, since Article 107(3)(c) TFEU applies to State aid in the nuclear energy sector covered by the Euratom Treaty, State aid for an economic activity falling within that sector that is shown upon examination to contravene rules of EU law on the environment cannot be declared compatible with the internal market pursuant to that provision</w:t>
      </w:r>
      <w:r w:rsidR="002D7F97" w:rsidRPr="00F75C47">
        <w:rPr>
          <w:rFonts w:asciiTheme="majorBidi" w:hAnsiTheme="majorBidi" w:cstheme="majorBidi"/>
          <w:sz w:val="20"/>
        </w:rPr>
        <w:t>.</w:t>
      </w:r>
      <w:r w:rsidR="002D7F97" w:rsidRPr="00F75C47">
        <w:rPr>
          <w:rFonts w:asciiTheme="majorBidi" w:hAnsiTheme="majorBidi"/>
          <w:sz w:val="20"/>
        </w:rPr>
        <w:t xml:space="preserve"> </w:t>
      </w:r>
    </w:p>
    <w:p w14:paraId="69E6C8FC" w14:textId="3C5A3A2E" w:rsidR="000D65D2" w:rsidRPr="00F75C47" w:rsidRDefault="000E0BEE" w:rsidP="000F2392">
      <w:pPr>
        <w:numPr>
          <w:ilvl w:val="0"/>
          <w:numId w:val="2"/>
        </w:numPr>
        <w:tabs>
          <w:tab w:val="num" w:pos="1134"/>
          <w:tab w:val="left" w:pos="1701"/>
          <w:tab w:val="num" w:pos="2136"/>
        </w:tabs>
        <w:suppressAutoHyphens/>
        <w:spacing w:after="120" w:line="240" w:lineRule="atLeast"/>
        <w:ind w:left="1134" w:right="521" w:firstLine="0"/>
        <w:jc w:val="both"/>
        <w:rPr>
          <w:rFonts w:asciiTheme="majorBidi" w:hAnsiTheme="majorBidi"/>
          <w:sz w:val="20"/>
        </w:rPr>
      </w:pPr>
      <w:r w:rsidRPr="00F75C47">
        <w:rPr>
          <w:rFonts w:asciiTheme="majorBidi" w:hAnsiTheme="majorBidi" w:cstheme="majorBidi"/>
          <w:sz w:val="20"/>
          <w:szCs w:val="20"/>
        </w:rPr>
        <w:t>T</w:t>
      </w:r>
      <w:r w:rsidR="00AE439E" w:rsidRPr="00F75C47">
        <w:rPr>
          <w:rFonts w:asciiTheme="majorBidi" w:hAnsiTheme="majorBidi" w:cstheme="majorBidi"/>
          <w:sz w:val="20"/>
          <w:szCs w:val="20"/>
        </w:rPr>
        <w:t>he</w:t>
      </w:r>
      <w:r w:rsidR="00AE439E" w:rsidRPr="00F75C47">
        <w:rPr>
          <w:rFonts w:asciiTheme="majorBidi" w:hAnsiTheme="majorBidi"/>
          <w:sz w:val="20"/>
        </w:rPr>
        <w:t xml:space="preserve"> </w:t>
      </w:r>
      <w:r w:rsidR="00EE5071">
        <w:rPr>
          <w:rFonts w:asciiTheme="majorBidi" w:hAnsiTheme="majorBidi"/>
          <w:sz w:val="20"/>
        </w:rPr>
        <w:t>Court of Justice</w:t>
      </w:r>
      <w:r w:rsidR="00AE439E" w:rsidRPr="00F75C47">
        <w:rPr>
          <w:rFonts w:asciiTheme="majorBidi" w:hAnsiTheme="majorBidi"/>
          <w:sz w:val="20"/>
        </w:rPr>
        <w:t xml:space="preserve"> </w:t>
      </w:r>
      <w:r w:rsidR="00D94058" w:rsidRPr="00F75C47">
        <w:rPr>
          <w:rFonts w:asciiTheme="majorBidi" w:hAnsiTheme="majorBidi"/>
          <w:sz w:val="20"/>
        </w:rPr>
        <w:t xml:space="preserve">further </w:t>
      </w:r>
      <w:r w:rsidR="00AE439E" w:rsidRPr="00F75C47">
        <w:rPr>
          <w:rFonts w:asciiTheme="majorBidi" w:hAnsiTheme="majorBidi"/>
          <w:sz w:val="20"/>
        </w:rPr>
        <w:t xml:space="preserve">specified </w:t>
      </w:r>
      <w:r w:rsidR="001E5494" w:rsidRPr="00F75C47">
        <w:rPr>
          <w:rFonts w:asciiTheme="majorBidi" w:hAnsiTheme="majorBidi"/>
          <w:sz w:val="20"/>
        </w:rPr>
        <w:t>that</w:t>
      </w:r>
      <w:r w:rsidR="00AF04A7" w:rsidRPr="00F75C47">
        <w:rPr>
          <w:rFonts w:asciiTheme="majorBidi" w:hAnsiTheme="majorBidi"/>
          <w:sz w:val="20"/>
        </w:rPr>
        <w:t xml:space="preserve">: </w:t>
      </w:r>
    </w:p>
    <w:p w14:paraId="1CF59C8A" w14:textId="2FF2B23C" w:rsidR="00107646" w:rsidRPr="00F75C47" w:rsidRDefault="00930B03">
      <w:pPr>
        <w:tabs>
          <w:tab w:val="left" w:pos="1701"/>
          <w:tab w:val="num" w:pos="2136"/>
        </w:tabs>
        <w:suppressAutoHyphens/>
        <w:spacing w:after="120" w:line="240" w:lineRule="atLeast"/>
        <w:ind w:left="1701" w:right="521"/>
        <w:jc w:val="both"/>
        <w:rPr>
          <w:rFonts w:asciiTheme="majorBidi" w:hAnsiTheme="majorBidi"/>
          <w:sz w:val="20"/>
        </w:rPr>
      </w:pPr>
      <w:r w:rsidRPr="00F75C47">
        <w:rPr>
          <w:rFonts w:asciiTheme="majorBidi" w:hAnsiTheme="majorBidi" w:cstheme="majorBidi"/>
          <w:sz w:val="20"/>
        </w:rPr>
        <w:t xml:space="preserve">100. … </w:t>
      </w:r>
      <w:r w:rsidR="001E5494" w:rsidRPr="00F75C47">
        <w:rPr>
          <w:rFonts w:asciiTheme="majorBidi" w:hAnsiTheme="majorBidi"/>
          <w:sz w:val="20"/>
        </w:rPr>
        <w:t xml:space="preserve">the requirement to preserve and improve the environment, expressed inter alia in Article 37 of the Charter and in Articles 11 and 194(1) TFEU, and the rules of EU law on the environment are applicable in the nuclear energy sector. It follows that, when the Commission checks whether State aid for an economic activity falling within that sector meets the first condition laid down in Article 107(3)(c) TFEU, </w:t>
      </w:r>
      <w:r w:rsidR="00477131" w:rsidRPr="00F75C47">
        <w:rPr>
          <w:rFonts w:asciiTheme="majorBidi" w:hAnsiTheme="majorBidi" w:cstheme="majorBidi"/>
          <w:sz w:val="20"/>
        </w:rPr>
        <w:t>[</w:t>
      </w:r>
      <w:r w:rsidR="002C29C7" w:rsidRPr="00F75C47">
        <w:rPr>
          <w:rFonts w:asciiTheme="majorBidi" w:hAnsiTheme="majorBidi"/>
          <w:sz w:val="20"/>
        </w:rPr>
        <w:t>it must</w:t>
      </w:r>
      <w:r w:rsidR="00477131" w:rsidRPr="00F75C47">
        <w:rPr>
          <w:rFonts w:asciiTheme="majorBidi" w:hAnsiTheme="majorBidi" w:cstheme="majorBidi"/>
          <w:sz w:val="20"/>
        </w:rPr>
        <w:t>]</w:t>
      </w:r>
      <w:r w:rsidR="001E5494" w:rsidRPr="00F75C47">
        <w:rPr>
          <w:rFonts w:asciiTheme="majorBidi" w:hAnsiTheme="majorBidi"/>
          <w:sz w:val="20"/>
        </w:rPr>
        <w:t xml:space="preserve"> check that that activity does not infringe rules of EU law on the environment. If it finds an infringement of those rules, it is obliged to declare the aid incompatible with the internal market without any other form of examination.</w:t>
      </w:r>
    </w:p>
    <w:p w14:paraId="0C19C40F" w14:textId="0FF5E228" w:rsidR="00986922" w:rsidRPr="00F75C47" w:rsidRDefault="00FE1E07" w:rsidP="000F2392">
      <w:pPr>
        <w:numPr>
          <w:ilvl w:val="0"/>
          <w:numId w:val="2"/>
        </w:numPr>
        <w:tabs>
          <w:tab w:val="num" w:pos="1134"/>
          <w:tab w:val="left" w:pos="1701"/>
          <w:tab w:val="num" w:pos="2136"/>
        </w:tabs>
        <w:suppressAutoHyphens/>
        <w:spacing w:after="120" w:line="240" w:lineRule="atLeast"/>
        <w:ind w:left="1134" w:right="521" w:firstLine="0"/>
        <w:jc w:val="both"/>
        <w:rPr>
          <w:rFonts w:asciiTheme="majorBidi" w:hAnsiTheme="majorBidi"/>
          <w:sz w:val="20"/>
        </w:rPr>
      </w:pPr>
      <w:bookmarkStart w:id="29" w:name="_Ref61593245"/>
      <w:r w:rsidRPr="00F75C47">
        <w:rPr>
          <w:rFonts w:asciiTheme="majorBidi" w:hAnsiTheme="majorBidi" w:cstheme="majorBidi"/>
          <w:sz w:val="20"/>
          <w:szCs w:val="20"/>
        </w:rPr>
        <w:t xml:space="preserve">It is clear </w:t>
      </w:r>
      <w:r w:rsidR="00044575" w:rsidRPr="00F75C47">
        <w:rPr>
          <w:rFonts w:asciiTheme="majorBidi" w:hAnsiTheme="majorBidi" w:cstheme="majorBidi"/>
          <w:sz w:val="20"/>
          <w:szCs w:val="20"/>
        </w:rPr>
        <w:t>from</w:t>
      </w:r>
      <w:r w:rsidR="00044575" w:rsidRPr="00F75C47">
        <w:rPr>
          <w:rFonts w:asciiTheme="majorBidi" w:hAnsiTheme="majorBidi"/>
          <w:sz w:val="20"/>
        </w:rPr>
        <w:t xml:space="preserve"> the</w:t>
      </w:r>
      <w:r w:rsidR="00A62E39" w:rsidRPr="00F75C47">
        <w:rPr>
          <w:rFonts w:asciiTheme="majorBidi" w:hAnsiTheme="majorBidi"/>
          <w:sz w:val="20"/>
        </w:rPr>
        <w:t xml:space="preserve"> </w:t>
      </w:r>
      <w:r w:rsidR="00044575" w:rsidRPr="00F75C47">
        <w:rPr>
          <w:rFonts w:asciiTheme="majorBidi" w:hAnsiTheme="majorBidi" w:cstheme="majorBidi"/>
          <w:sz w:val="20"/>
        </w:rPr>
        <w:t>judgment</w:t>
      </w:r>
      <w:r w:rsidR="00676CE7">
        <w:rPr>
          <w:rFonts w:asciiTheme="majorBidi" w:hAnsiTheme="majorBidi" w:cstheme="majorBidi"/>
          <w:sz w:val="20"/>
        </w:rPr>
        <w:t xml:space="preserve"> of the Court of Justice</w:t>
      </w:r>
      <w:r w:rsidR="00044575" w:rsidRPr="00F75C47">
        <w:rPr>
          <w:rFonts w:asciiTheme="majorBidi" w:hAnsiTheme="majorBidi" w:cstheme="majorBidi"/>
          <w:sz w:val="20"/>
        </w:rPr>
        <w:t xml:space="preserve"> </w:t>
      </w:r>
      <w:r w:rsidR="00412031" w:rsidRPr="00F75C47">
        <w:rPr>
          <w:rFonts w:asciiTheme="majorBidi" w:hAnsiTheme="majorBidi" w:cstheme="majorBidi"/>
          <w:sz w:val="20"/>
          <w:szCs w:val="20"/>
        </w:rPr>
        <w:t xml:space="preserve">that </w:t>
      </w:r>
      <w:r w:rsidR="00044575" w:rsidRPr="00F75C47">
        <w:rPr>
          <w:rFonts w:asciiTheme="majorBidi" w:hAnsiTheme="majorBidi" w:cstheme="majorBidi"/>
          <w:sz w:val="20"/>
          <w:szCs w:val="20"/>
        </w:rPr>
        <w:t xml:space="preserve">a </w:t>
      </w:r>
      <w:r w:rsidR="00412031" w:rsidRPr="00F75C47">
        <w:rPr>
          <w:rFonts w:asciiTheme="majorBidi" w:hAnsiTheme="majorBidi" w:cstheme="majorBidi"/>
          <w:sz w:val="20"/>
          <w:szCs w:val="20"/>
        </w:rPr>
        <w:t xml:space="preserve">decision on state aid measures by the </w:t>
      </w:r>
      <w:r w:rsidR="001A1D05" w:rsidRPr="00F75C47">
        <w:rPr>
          <w:rFonts w:asciiTheme="majorBidi" w:hAnsiTheme="majorBidi" w:cstheme="majorBidi"/>
          <w:sz w:val="20"/>
          <w:szCs w:val="20"/>
        </w:rPr>
        <w:t xml:space="preserve">Commission </w:t>
      </w:r>
      <w:r w:rsidR="00412031" w:rsidRPr="00F75C47">
        <w:rPr>
          <w:rFonts w:asciiTheme="majorBidi" w:hAnsiTheme="majorBidi" w:cstheme="majorBidi"/>
          <w:sz w:val="20"/>
          <w:szCs w:val="20"/>
        </w:rPr>
        <w:t>may contravene</w:t>
      </w:r>
      <w:r w:rsidR="00412031" w:rsidRPr="00F75C47">
        <w:rPr>
          <w:rFonts w:asciiTheme="majorBidi" w:hAnsiTheme="majorBidi"/>
          <w:sz w:val="20"/>
        </w:rPr>
        <w:t xml:space="preserve"> EU environmental law</w:t>
      </w:r>
      <w:r w:rsidR="00930B03" w:rsidRPr="00F75C47">
        <w:rPr>
          <w:rFonts w:asciiTheme="majorBidi" w:hAnsiTheme="majorBidi" w:cstheme="majorBidi"/>
          <w:sz w:val="20"/>
        </w:rPr>
        <w:t>, and that this is</w:t>
      </w:r>
      <w:r w:rsidR="00412031" w:rsidRPr="00F75C47">
        <w:rPr>
          <w:rFonts w:asciiTheme="majorBidi" w:hAnsiTheme="majorBidi"/>
          <w:sz w:val="20"/>
        </w:rPr>
        <w:t xml:space="preserve"> </w:t>
      </w:r>
      <w:r w:rsidR="00E713F1" w:rsidRPr="00F75C47">
        <w:rPr>
          <w:rFonts w:asciiTheme="majorBidi" w:hAnsiTheme="majorBidi"/>
          <w:sz w:val="20"/>
        </w:rPr>
        <w:t xml:space="preserve">the case </w:t>
      </w:r>
      <w:r w:rsidR="00A62E39" w:rsidRPr="00F75C47">
        <w:rPr>
          <w:rFonts w:asciiTheme="majorBidi" w:hAnsiTheme="majorBidi"/>
          <w:sz w:val="20"/>
        </w:rPr>
        <w:t xml:space="preserve">regardless of the justification given for the </w:t>
      </w:r>
      <w:r w:rsidR="00412031" w:rsidRPr="00F75C47">
        <w:rPr>
          <w:rFonts w:asciiTheme="majorBidi" w:hAnsiTheme="majorBidi"/>
          <w:sz w:val="20"/>
        </w:rPr>
        <w:t xml:space="preserve">aid </w:t>
      </w:r>
      <w:r w:rsidR="00A62E39" w:rsidRPr="00F75C47">
        <w:rPr>
          <w:rFonts w:asciiTheme="majorBidi" w:hAnsiTheme="majorBidi"/>
          <w:sz w:val="20"/>
        </w:rPr>
        <w:t xml:space="preserve">provided by the </w:t>
      </w:r>
      <w:r w:rsidR="002F3AC8" w:rsidRPr="00F75C47">
        <w:rPr>
          <w:rFonts w:asciiTheme="majorBidi" w:hAnsiTheme="majorBidi"/>
          <w:sz w:val="20"/>
        </w:rPr>
        <w:t>m</w:t>
      </w:r>
      <w:r w:rsidR="00A62E39" w:rsidRPr="00F75C47">
        <w:rPr>
          <w:rFonts w:asciiTheme="majorBidi" w:hAnsiTheme="majorBidi"/>
          <w:sz w:val="20"/>
        </w:rPr>
        <w:t xml:space="preserve">ember </w:t>
      </w:r>
      <w:r w:rsidR="002F3AC8" w:rsidRPr="00F75C47">
        <w:rPr>
          <w:rFonts w:asciiTheme="majorBidi" w:hAnsiTheme="majorBidi"/>
          <w:sz w:val="20"/>
        </w:rPr>
        <w:t>S</w:t>
      </w:r>
      <w:r w:rsidR="00A62E39" w:rsidRPr="00F75C47">
        <w:rPr>
          <w:rFonts w:asciiTheme="majorBidi" w:hAnsiTheme="majorBidi"/>
          <w:sz w:val="20"/>
        </w:rPr>
        <w:t xml:space="preserve">tate. </w:t>
      </w:r>
      <w:proofErr w:type="gramStart"/>
      <w:r w:rsidR="00A62E39" w:rsidRPr="00F75C47">
        <w:rPr>
          <w:rFonts w:asciiTheme="majorBidi" w:hAnsiTheme="majorBidi"/>
          <w:sz w:val="20"/>
        </w:rPr>
        <w:t>As a consequence</w:t>
      </w:r>
      <w:proofErr w:type="gramEnd"/>
      <w:r w:rsidR="00A62E39" w:rsidRPr="00F75C47">
        <w:rPr>
          <w:rFonts w:asciiTheme="majorBidi" w:hAnsiTheme="majorBidi"/>
          <w:sz w:val="20"/>
        </w:rPr>
        <w:t>, i</w:t>
      </w:r>
      <w:r w:rsidR="00460B5A" w:rsidRPr="00F75C47">
        <w:rPr>
          <w:rFonts w:asciiTheme="majorBidi" w:hAnsiTheme="majorBidi"/>
          <w:sz w:val="20"/>
        </w:rPr>
        <w:t xml:space="preserve">n </w:t>
      </w:r>
      <w:r w:rsidR="00AE439E" w:rsidRPr="00F75C47">
        <w:rPr>
          <w:rFonts w:asciiTheme="majorBidi" w:hAnsiTheme="majorBidi"/>
          <w:sz w:val="20"/>
        </w:rPr>
        <w:t>the light of</w:t>
      </w:r>
      <w:r w:rsidR="00460B5A" w:rsidRPr="00F75C47">
        <w:rPr>
          <w:rFonts w:asciiTheme="majorBidi" w:hAnsiTheme="majorBidi"/>
          <w:sz w:val="20"/>
        </w:rPr>
        <w:t xml:space="preserve"> the </w:t>
      </w:r>
      <w:r w:rsidR="00676CE7">
        <w:rPr>
          <w:rFonts w:asciiTheme="majorBidi" w:hAnsiTheme="majorBidi"/>
          <w:sz w:val="20"/>
        </w:rPr>
        <w:t xml:space="preserve">Court of Justice’s </w:t>
      </w:r>
      <w:r w:rsidR="00AE439E" w:rsidRPr="00F75C47">
        <w:rPr>
          <w:rFonts w:asciiTheme="majorBidi" w:hAnsiTheme="majorBidi"/>
          <w:sz w:val="20"/>
        </w:rPr>
        <w:t>judgment</w:t>
      </w:r>
      <w:r w:rsidR="00A62E39" w:rsidRPr="00F75C47">
        <w:rPr>
          <w:rFonts w:asciiTheme="majorBidi" w:hAnsiTheme="majorBidi"/>
          <w:sz w:val="20"/>
        </w:rPr>
        <w:t>,</w:t>
      </w:r>
      <w:r w:rsidR="00460B5A" w:rsidRPr="00F75C47">
        <w:rPr>
          <w:rFonts w:asciiTheme="majorBidi" w:hAnsiTheme="majorBidi"/>
          <w:sz w:val="20"/>
        </w:rPr>
        <w:t xml:space="preserve"> the Committee </w:t>
      </w:r>
      <w:r w:rsidR="00AE439E" w:rsidRPr="00F75C47">
        <w:rPr>
          <w:rFonts w:asciiTheme="majorBidi" w:hAnsiTheme="majorBidi"/>
          <w:sz w:val="20"/>
        </w:rPr>
        <w:t xml:space="preserve">considers it beyond argument that </w:t>
      </w:r>
      <w:r w:rsidR="00BD43A2" w:rsidRPr="00F75C47">
        <w:rPr>
          <w:rFonts w:asciiTheme="majorBidi" w:hAnsiTheme="majorBidi"/>
          <w:sz w:val="20"/>
        </w:rPr>
        <w:t>state</w:t>
      </w:r>
      <w:r w:rsidR="00460B5A" w:rsidRPr="00F75C47">
        <w:rPr>
          <w:rFonts w:asciiTheme="majorBidi" w:hAnsiTheme="majorBidi"/>
          <w:sz w:val="20"/>
        </w:rPr>
        <w:t xml:space="preserve"> aid decisions </w:t>
      </w:r>
      <w:r w:rsidR="00B76C1E" w:rsidRPr="00F75C47">
        <w:rPr>
          <w:rFonts w:asciiTheme="majorBidi" w:hAnsiTheme="majorBidi"/>
          <w:sz w:val="20"/>
        </w:rPr>
        <w:t xml:space="preserve">can </w:t>
      </w:r>
      <w:r w:rsidR="00984246" w:rsidRPr="00F75C47">
        <w:rPr>
          <w:rFonts w:asciiTheme="majorBidi" w:hAnsiTheme="majorBidi"/>
          <w:sz w:val="20"/>
        </w:rPr>
        <w:t xml:space="preserve">potentially </w:t>
      </w:r>
      <w:r w:rsidR="003C587E" w:rsidRPr="00F75C47">
        <w:rPr>
          <w:rFonts w:asciiTheme="majorBidi" w:hAnsiTheme="majorBidi"/>
          <w:sz w:val="20"/>
        </w:rPr>
        <w:t xml:space="preserve">contravene </w:t>
      </w:r>
      <w:r w:rsidRPr="00F75C47">
        <w:rPr>
          <w:rFonts w:asciiTheme="majorBidi" w:hAnsiTheme="majorBidi" w:cstheme="majorBidi"/>
          <w:sz w:val="20"/>
          <w:szCs w:val="20"/>
        </w:rPr>
        <w:t>EU</w:t>
      </w:r>
      <w:r w:rsidR="003C587E" w:rsidRPr="00F75C47">
        <w:rPr>
          <w:rFonts w:asciiTheme="majorBidi" w:hAnsiTheme="majorBidi"/>
          <w:sz w:val="20"/>
        </w:rPr>
        <w:t xml:space="preserve"> </w:t>
      </w:r>
      <w:r w:rsidR="00D94058" w:rsidRPr="00F75C47">
        <w:rPr>
          <w:rFonts w:asciiTheme="majorBidi" w:hAnsiTheme="majorBidi"/>
          <w:sz w:val="20"/>
        </w:rPr>
        <w:t>“</w:t>
      </w:r>
      <w:r w:rsidR="003C587E" w:rsidRPr="00F75C47">
        <w:rPr>
          <w:rFonts w:asciiTheme="majorBidi" w:hAnsiTheme="majorBidi"/>
          <w:sz w:val="20"/>
        </w:rPr>
        <w:t>law relating to the environment</w:t>
      </w:r>
      <w:r w:rsidR="00D94058" w:rsidRPr="00F75C47">
        <w:rPr>
          <w:rFonts w:asciiTheme="majorBidi" w:hAnsiTheme="majorBidi"/>
          <w:sz w:val="20"/>
        </w:rPr>
        <w:t>”, within the meaning of article 9(3) of the Convention</w:t>
      </w:r>
      <w:r w:rsidR="003C587E" w:rsidRPr="00F75C47">
        <w:rPr>
          <w:rFonts w:asciiTheme="majorBidi" w:hAnsiTheme="majorBidi"/>
          <w:sz w:val="20"/>
        </w:rPr>
        <w:t>.</w:t>
      </w:r>
      <w:bookmarkEnd w:id="29"/>
      <w:r w:rsidR="003C587E" w:rsidRPr="00F75C47">
        <w:rPr>
          <w:rFonts w:asciiTheme="majorBidi" w:hAnsiTheme="majorBidi"/>
          <w:sz w:val="20"/>
        </w:rPr>
        <w:t xml:space="preserve"> </w:t>
      </w:r>
    </w:p>
    <w:p w14:paraId="12160CB3" w14:textId="712D5484" w:rsidR="00112048" w:rsidRPr="00F75C47" w:rsidRDefault="00112048">
      <w:pPr>
        <w:tabs>
          <w:tab w:val="left" w:pos="1701"/>
          <w:tab w:val="num" w:pos="2136"/>
        </w:tabs>
        <w:suppressAutoHyphens/>
        <w:spacing w:after="120" w:line="240" w:lineRule="atLeast"/>
        <w:ind w:left="1134" w:right="521"/>
        <w:jc w:val="both"/>
        <w:rPr>
          <w:rFonts w:asciiTheme="majorBidi" w:hAnsiTheme="majorBidi" w:cstheme="majorBidi"/>
          <w:b/>
          <w:bCs/>
          <w:sz w:val="20"/>
          <w:szCs w:val="20"/>
        </w:rPr>
      </w:pPr>
      <w:r w:rsidRPr="00F75C47">
        <w:rPr>
          <w:rFonts w:asciiTheme="majorBidi" w:hAnsiTheme="majorBidi"/>
          <w:b/>
          <w:sz w:val="20"/>
        </w:rPr>
        <w:t xml:space="preserve">Article 9 (3) </w:t>
      </w:r>
      <w:r w:rsidR="00947DED" w:rsidRPr="00F75C47">
        <w:rPr>
          <w:rFonts w:asciiTheme="majorBidi" w:hAnsiTheme="majorBidi"/>
          <w:b/>
          <w:sz w:val="20"/>
        </w:rPr>
        <w:t>–</w:t>
      </w:r>
      <w:r w:rsidRPr="00F75C47">
        <w:rPr>
          <w:rFonts w:asciiTheme="majorBidi" w:hAnsiTheme="majorBidi"/>
          <w:b/>
          <w:sz w:val="20"/>
        </w:rPr>
        <w:t xml:space="preserve"> </w:t>
      </w:r>
      <w:r w:rsidR="00947DED" w:rsidRPr="00F75C47">
        <w:rPr>
          <w:rFonts w:asciiTheme="majorBidi" w:hAnsiTheme="majorBidi"/>
          <w:b/>
          <w:sz w:val="20"/>
        </w:rPr>
        <w:t xml:space="preserve">access to </w:t>
      </w:r>
      <w:r w:rsidR="009E69FB" w:rsidRPr="00F75C47">
        <w:rPr>
          <w:rFonts w:asciiTheme="majorBidi" w:hAnsiTheme="majorBidi" w:cstheme="majorBidi"/>
          <w:b/>
          <w:bCs/>
          <w:sz w:val="20"/>
          <w:szCs w:val="20"/>
        </w:rPr>
        <w:t>administrative or judicial procedures</w:t>
      </w:r>
    </w:p>
    <w:p w14:paraId="35B96FCD" w14:textId="7FCBD7B1" w:rsidR="00F272DA" w:rsidRPr="00F75C47" w:rsidRDefault="00CC7047" w:rsidP="00F272DA">
      <w:pPr>
        <w:numPr>
          <w:ilvl w:val="0"/>
          <w:numId w:val="2"/>
        </w:numPr>
        <w:tabs>
          <w:tab w:val="num" w:pos="1134"/>
          <w:tab w:val="left" w:pos="1701"/>
          <w:tab w:val="num" w:pos="2136"/>
        </w:tabs>
        <w:suppressAutoHyphens/>
        <w:spacing w:after="120" w:line="240" w:lineRule="atLeast"/>
        <w:ind w:left="1134" w:right="521" w:firstLine="0"/>
        <w:jc w:val="both"/>
        <w:rPr>
          <w:rFonts w:asciiTheme="majorBidi" w:hAnsiTheme="majorBidi" w:cstheme="majorBidi"/>
          <w:sz w:val="20"/>
          <w:szCs w:val="20"/>
        </w:rPr>
      </w:pPr>
      <w:r w:rsidRPr="00F75C47">
        <w:rPr>
          <w:rFonts w:asciiTheme="majorBidi" w:hAnsiTheme="majorBidi" w:cstheme="majorBidi"/>
          <w:sz w:val="20"/>
          <w:szCs w:val="20"/>
        </w:rPr>
        <w:t>The</w:t>
      </w:r>
      <w:r w:rsidR="00F272DA" w:rsidRPr="00F75C47">
        <w:rPr>
          <w:rFonts w:asciiTheme="majorBidi" w:hAnsiTheme="majorBidi" w:cstheme="majorBidi"/>
          <w:sz w:val="20"/>
          <w:szCs w:val="20"/>
        </w:rPr>
        <w:t xml:space="preserve"> Committee </w:t>
      </w:r>
      <w:r w:rsidRPr="00F75C47">
        <w:rPr>
          <w:rFonts w:asciiTheme="majorBidi" w:hAnsiTheme="majorBidi" w:cstheme="majorBidi"/>
          <w:sz w:val="20"/>
          <w:szCs w:val="20"/>
        </w:rPr>
        <w:t xml:space="preserve">next </w:t>
      </w:r>
      <w:r w:rsidR="00F272DA" w:rsidRPr="00F75C47">
        <w:rPr>
          <w:rFonts w:asciiTheme="majorBidi" w:hAnsiTheme="majorBidi" w:cstheme="majorBidi"/>
          <w:sz w:val="20"/>
          <w:szCs w:val="20"/>
        </w:rPr>
        <w:t>examines whether environmental NGOs have access to administrative or judicial procedures</w:t>
      </w:r>
      <w:r w:rsidR="00F272DA" w:rsidRPr="00F75C47">
        <w:rPr>
          <w:rFonts w:asciiTheme="majorBidi" w:hAnsiTheme="majorBidi"/>
          <w:sz w:val="20"/>
        </w:rPr>
        <w:t xml:space="preserve"> to challenge </w:t>
      </w:r>
      <w:r w:rsidR="00F272DA" w:rsidRPr="00F75C47">
        <w:rPr>
          <w:rFonts w:asciiTheme="majorBidi" w:hAnsiTheme="majorBidi" w:cstheme="majorBidi"/>
          <w:sz w:val="20"/>
          <w:szCs w:val="20"/>
        </w:rPr>
        <w:t xml:space="preserve">decisions </w:t>
      </w:r>
      <w:r w:rsidRPr="00F75C47">
        <w:rPr>
          <w:rFonts w:asciiTheme="majorBidi" w:hAnsiTheme="majorBidi" w:cstheme="majorBidi"/>
          <w:sz w:val="20"/>
          <w:szCs w:val="20"/>
        </w:rPr>
        <w:t xml:space="preserve">on </w:t>
      </w:r>
      <w:r w:rsidRPr="00F75C47">
        <w:rPr>
          <w:rFonts w:asciiTheme="majorBidi" w:hAnsiTheme="majorBidi"/>
          <w:sz w:val="20"/>
        </w:rPr>
        <w:t xml:space="preserve">state aid </w:t>
      </w:r>
      <w:r w:rsidRPr="00F75C47">
        <w:rPr>
          <w:rFonts w:asciiTheme="majorBidi" w:hAnsiTheme="majorBidi" w:cstheme="majorBidi"/>
          <w:sz w:val="20"/>
          <w:szCs w:val="20"/>
        </w:rPr>
        <w:t>measures by</w:t>
      </w:r>
      <w:r w:rsidRPr="00F75C47">
        <w:rPr>
          <w:rFonts w:asciiTheme="majorBidi" w:hAnsiTheme="majorBidi"/>
          <w:sz w:val="20"/>
        </w:rPr>
        <w:t xml:space="preserve"> the </w:t>
      </w:r>
      <w:r w:rsidRPr="00F75C47">
        <w:rPr>
          <w:rFonts w:asciiTheme="majorBidi" w:hAnsiTheme="majorBidi" w:cstheme="majorBidi"/>
          <w:sz w:val="20"/>
          <w:szCs w:val="20"/>
        </w:rPr>
        <w:t xml:space="preserve">Commission under article 108(2) TFEU which </w:t>
      </w:r>
      <w:r w:rsidR="00F272DA" w:rsidRPr="00F75C47">
        <w:rPr>
          <w:rFonts w:asciiTheme="majorBidi" w:hAnsiTheme="majorBidi" w:cstheme="majorBidi"/>
          <w:sz w:val="20"/>
          <w:szCs w:val="20"/>
        </w:rPr>
        <w:t>contravene EU law relating to the environment.</w:t>
      </w:r>
      <w:r w:rsidR="009E69FB" w:rsidRPr="00F75C47">
        <w:rPr>
          <w:rFonts w:asciiTheme="majorBidi" w:hAnsiTheme="majorBidi" w:cstheme="majorBidi"/>
          <w:sz w:val="20"/>
          <w:szCs w:val="20"/>
        </w:rPr>
        <w:t xml:space="preserve"> </w:t>
      </w:r>
    </w:p>
    <w:p w14:paraId="24DFD5A2" w14:textId="4A1E8ED8" w:rsidR="00430688" w:rsidRPr="00F75C47" w:rsidRDefault="009E69FB" w:rsidP="00F272DA">
      <w:pPr>
        <w:numPr>
          <w:ilvl w:val="0"/>
          <w:numId w:val="2"/>
        </w:numPr>
        <w:tabs>
          <w:tab w:val="num" w:pos="1134"/>
          <w:tab w:val="left" w:pos="1701"/>
          <w:tab w:val="num" w:pos="2136"/>
        </w:tabs>
        <w:suppressAutoHyphens/>
        <w:spacing w:after="120" w:line="240" w:lineRule="atLeast"/>
        <w:ind w:left="1134" w:right="521" w:firstLine="0"/>
        <w:jc w:val="both"/>
        <w:rPr>
          <w:rFonts w:asciiTheme="majorBidi" w:hAnsiTheme="majorBidi"/>
          <w:sz w:val="20"/>
        </w:rPr>
      </w:pPr>
      <w:r w:rsidRPr="00F75C47">
        <w:rPr>
          <w:rFonts w:asciiTheme="majorBidi" w:hAnsiTheme="majorBidi" w:cstheme="majorBidi"/>
          <w:sz w:val="20"/>
          <w:szCs w:val="20"/>
        </w:rPr>
        <w:t xml:space="preserve">The Committee has received submissions </w:t>
      </w:r>
      <w:r w:rsidR="008F3B6F" w:rsidRPr="00F75C47">
        <w:rPr>
          <w:rFonts w:asciiTheme="majorBidi" w:hAnsiTheme="majorBidi" w:cstheme="majorBidi"/>
          <w:sz w:val="20"/>
          <w:szCs w:val="20"/>
        </w:rPr>
        <w:t>in the present case</w:t>
      </w:r>
      <w:r w:rsidRPr="00F75C47">
        <w:rPr>
          <w:rFonts w:asciiTheme="majorBidi" w:hAnsiTheme="majorBidi" w:cstheme="majorBidi"/>
          <w:sz w:val="20"/>
          <w:szCs w:val="20"/>
        </w:rPr>
        <w:t xml:space="preserve"> </w:t>
      </w:r>
      <w:r w:rsidR="008F3B6F" w:rsidRPr="00F75C47">
        <w:rPr>
          <w:rFonts w:asciiTheme="majorBidi" w:hAnsiTheme="majorBidi" w:cstheme="majorBidi"/>
          <w:sz w:val="20"/>
          <w:szCs w:val="20"/>
        </w:rPr>
        <w:t>regarding the possibilit</w:t>
      </w:r>
      <w:r w:rsidR="00293CC5" w:rsidRPr="00F75C47">
        <w:rPr>
          <w:rFonts w:asciiTheme="majorBidi" w:hAnsiTheme="majorBidi" w:cstheme="majorBidi"/>
          <w:sz w:val="20"/>
          <w:szCs w:val="20"/>
        </w:rPr>
        <w:t>ies</w:t>
      </w:r>
      <w:r w:rsidR="008F3B6F" w:rsidRPr="00F75C47">
        <w:rPr>
          <w:rFonts w:asciiTheme="majorBidi" w:hAnsiTheme="majorBidi"/>
          <w:sz w:val="20"/>
        </w:rPr>
        <w:t xml:space="preserve"> to challenge state aid decisions</w:t>
      </w:r>
      <w:r w:rsidR="008F3B6F" w:rsidRPr="00F75C47">
        <w:rPr>
          <w:rFonts w:asciiTheme="majorBidi" w:hAnsiTheme="majorBidi" w:cstheme="majorBidi"/>
          <w:sz w:val="20"/>
          <w:szCs w:val="20"/>
        </w:rPr>
        <w:t xml:space="preserve"> through the following procedures</w:t>
      </w:r>
      <w:r w:rsidR="00430688" w:rsidRPr="00F75C47">
        <w:rPr>
          <w:rFonts w:asciiTheme="majorBidi" w:hAnsiTheme="majorBidi"/>
          <w:sz w:val="20"/>
        </w:rPr>
        <w:t>:</w:t>
      </w:r>
    </w:p>
    <w:p w14:paraId="2CAD6089" w14:textId="115AE3E4" w:rsidR="009E69FB" w:rsidRPr="00F75C47" w:rsidRDefault="009E69FB" w:rsidP="00EA30E3">
      <w:pPr>
        <w:pStyle w:val="ListParagraph"/>
        <w:numPr>
          <w:ilvl w:val="0"/>
          <w:numId w:val="48"/>
        </w:numPr>
        <w:tabs>
          <w:tab w:val="left" w:pos="1701"/>
        </w:tabs>
        <w:suppressAutoHyphens/>
        <w:spacing w:after="120" w:line="240" w:lineRule="atLeast"/>
        <w:ind w:left="1134" w:right="521" w:firstLine="567"/>
        <w:jc w:val="both"/>
        <w:rPr>
          <w:rFonts w:asciiTheme="majorBidi" w:hAnsiTheme="majorBidi" w:cstheme="majorBidi"/>
          <w:sz w:val="20"/>
          <w:szCs w:val="20"/>
        </w:rPr>
      </w:pPr>
      <w:r w:rsidRPr="00F75C47">
        <w:rPr>
          <w:rFonts w:asciiTheme="majorBidi" w:hAnsiTheme="majorBidi" w:cstheme="majorBidi"/>
          <w:sz w:val="20"/>
          <w:szCs w:val="20"/>
        </w:rPr>
        <w:t>Internal review under the Aarhus Regulation;</w:t>
      </w:r>
    </w:p>
    <w:p w14:paraId="1F9E12A9" w14:textId="3809BAEE" w:rsidR="009E69FB" w:rsidRPr="00F75C47" w:rsidRDefault="008F3B6F" w:rsidP="00EA30E3">
      <w:pPr>
        <w:pStyle w:val="ListParagraph"/>
        <w:numPr>
          <w:ilvl w:val="0"/>
          <w:numId w:val="48"/>
        </w:numPr>
        <w:tabs>
          <w:tab w:val="left" w:pos="1701"/>
        </w:tabs>
        <w:suppressAutoHyphens/>
        <w:spacing w:after="120" w:line="240" w:lineRule="atLeast"/>
        <w:ind w:left="1134" w:right="521" w:firstLine="567"/>
        <w:jc w:val="both"/>
        <w:rPr>
          <w:rFonts w:asciiTheme="majorBidi" w:hAnsiTheme="majorBidi" w:cstheme="majorBidi"/>
          <w:sz w:val="20"/>
          <w:szCs w:val="20"/>
        </w:rPr>
      </w:pPr>
      <w:r w:rsidRPr="00F75C47">
        <w:rPr>
          <w:rFonts w:asciiTheme="majorBidi" w:hAnsiTheme="majorBidi" w:cstheme="majorBidi"/>
          <w:sz w:val="20"/>
          <w:szCs w:val="20"/>
        </w:rPr>
        <w:t>C</w:t>
      </w:r>
      <w:r w:rsidR="009E69FB" w:rsidRPr="00F75C47">
        <w:rPr>
          <w:rFonts w:asciiTheme="majorBidi" w:hAnsiTheme="majorBidi" w:cstheme="majorBidi"/>
          <w:sz w:val="20"/>
          <w:szCs w:val="20"/>
        </w:rPr>
        <w:t xml:space="preserve">omplaint to the Commission under articles 1(h) and 20(2) of Regulation </w:t>
      </w:r>
      <w:r w:rsidR="00CC7047" w:rsidRPr="00F75C47">
        <w:rPr>
          <w:rFonts w:asciiTheme="majorBidi" w:hAnsiTheme="majorBidi" w:cstheme="majorBidi"/>
          <w:sz w:val="20"/>
          <w:szCs w:val="20"/>
        </w:rPr>
        <w:tab/>
      </w:r>
      <w:r w:rsidR="00CC7047" w:rsidRPr="00F75C47">
        <w:rPr>
          <w:rFonts w:asciiTheme="majorBidi" w:hAnsiTheme="majorBidi" w:cstheme="majorBidi"/>
          <w:sz w:val="20"/>
          <w:szCs w:val="20"/>
        </w:rPr>
        <w:tab/>
      </w:r>
      <w:r w:rsidR="00CC7047" w:rsidRPr="00F75C47">
        <w:rPr>
          <w:rFonts w:asciiTheme="majorBidi" w:hAnsiTheme="majorBidi" w:cstheme="majorBidi"/>
          <w:sz w:val="20"/>
          <w:szCs w:val="20"/>
        </w:rPr>
        <w:tab/>
      </w:r>
      <w:r w:rsidR="009E69FB" w:rsidRPr="00F75C47">
        <w:rPr>
          <w:rFonts w:asciiTheme="majorBidi" w:hAnsiTheme="majorBidi" w:cstheme="majorBidi"/>
          <w:sz w:val="20"/>
          <w:szCs w:val="20"/>
        </w:rPr>
        <w:t>659/1999</w:t>
      </w:r>
      <w:r w:rsidR="00CC7047" w:rsidRPr="00F75C47">
        <w:rPr>
          <w:rFonts w:asciiTheme="majorBidi" w:hAnsiTheme="majorBidi" w:cstheme="majorBidi"/>
          <w:sz w:val="20"/>
          <w:szCs w:val="20"/>
        </w:rPr>
        <w:t>;</w:t>
      </w:r>
    </w:p>
    <w:p w14:paraId="6C02195A" w14:textId="5CFF1904" w:rsidR="00430688" w:rsidRPr="00F75C47" w:rsidRDefault="008F3B6F" w:rsidP="00364BE7">
      <w:pPr>
        <w:pStyle w:val="ListParagraph"/>
        <w:numPr>
          <w:ilvl w:val="0"/>
          <w:numId w:val="48"/>
        </w:numPr>
        <w:tabs>
          <w:tab w:val="left" w:pos="1701"/>
        </w:tabs>
        <w:suppressAutoHyphens/>
        <w:spacing w:after="120" w:line="240" w:lineRule="atLeast"/>
        <w:ind w:left="1134" w:right="521" w:firstLine="567"/>
        <w:jc w:val="both"/>
        <w:rPr>
          <w:rFonts w:asciiTheme="majorBidi" w:hAnsiTheme="majorBidi"/>
          <w:sz w:val="20"/>
        </w:rPr>
      </w:pPr>
      <w:r w:rsidRPr="00F75C47">
        <w:rPr>
          <w:rFonts w:asciiTheme="majorBidi" w:hAnsiTheme="majorBidi" w:cstheme="majorBidi"/>
          <w:sz w:val="20"/>
          <w:szCs w:val="20"/>
        </w:rPr>
        <w:t>A</w:t>
      </w:r>
      <w:r w:rsidR="00AA5333" w:rsidRPr="00F75C47">
        <w:rPr>
          <w:rFonts w:asciiTheme="majorBidi" w:hAnsiTheme="majorBidi" w:cstheme="majorBidi"/>
          <w:sz w:val="20"/>
          <w:szCs w:val="20"/>
        </w:rPr>
        <w:t>nnulment</w:t>
      </w:r>
      <w:r w:rsidR="00AA5333" w:rsidRPr="00F75C47">
        <w:rPr>
          <w:rFonts w:asciiTheme="majorBidi" w:hAnsiTheme="majorBidi"/>
          <w:sz w:val="20"/>
        </w:rPr>
        <w:t xml:space="preserve"> procedure under article 263(4) TFEU;</w:t>
      </w:r>
    </w:p>
    <w:p w14:paraId="3B4A209D" w14:textId="77777777" w:rsidR="009E69FB" w:rsidRPr="00F75C47" w:rsidRDefault="009E69FB" w:rsidP="00364BE7">
      <w:pPr>
        <w:pStyle w:val="ListParagraph"/>
        <w:numPr>
          <w:ilvl w:val="0"/>
          <w:numId w:val="48"/>
        </w:numPr>
        <w:tabs>
          <w:tab w:val="left" w:pos="1701"/>
        </w:tabs>
        <w:suppressAutoHyphens/>
        <w:spacing w:after="120" w:line="240" w:lineRule="atLeast"/>
        <w:ind w:left="1134" w:right="521" w:firstLine="567"/>
        <w:jc w:val="both"/>
        <w:rPr>
          <w:rFonts w:asciiTheme="majorBidi" w:hAnsiTheme="majorBidi"/>
          <w:sz w:val="20"/>
        </w:rPr>
      </w:pPr>
      <w:r w:rsidRPr="00F75C47">
        <w:rPr>
          <w:rFonts w:asciiTheme="majorBidi" w:hAnsiTheme="majorBidi"/>
          <w:sz w:val="20"/>
        </w:rPr>
        <w:t>Intervening in an ongoing annulment procedure under article 263(4) TFEU.</w:t>
      </w:r>
    </w:p>
    <w:p w14:paraId="7316CCE5" w14:textId="6380981D" w:rsidR="00AA5333" w:rsidRPr="00F75C47" w:rsidRDefault="00E713F1" w:rsidP="00EA30E3">
      <w:pPr>
        <w:pStyle w:val="ListParagraph"/>
        <w:numPr>
          <w:ilvl w:val="0"/>
          <w:numId w:val="48"/>
        </w:numPr>
        <w:tabs>
          <w:tab w:val="left" w:pos="1701"/>
        </w:tabs>
        <w:suppressAutoHyphens/>
        <w:spacing w:after="120" w:line="240" w:lineRule="atLeast"/>
        <w:ind w:left="1134" w:right="521" w:firstLine="567"/>
        <w:jc w:val="both"/>
        <w:rPr>
          <w:rFonts w:asciiTheme="majorBidi" w:hAnsiTheme="majorBidi" w:cstheme="majorBidi"/>
          <w:sz w:val="20"/>
          <w:szCs w:val="20"/>
        </w:rPr>
      </w:pPr>
      <w:r w:rsidRPr="00F75C47">
        <w:rPr>
          <w:rFonts w:asciiTheme="majorBidi" w:hAnsiTheme="majorBidi" w:cstheme="majorBidi"/>
          <w:sz w:val="20"/>
          <w:szCs w:val="20"/>
        </w:rPr>
        <w:t>Reference for a p</w:t>
      </w:r>
      <w:r w:rsidR="00AA5333" w:rsidRPr="00F75C47">
        <w:rPr>
          <w:rFonts w:asciiTheme="majorBidi" w:hAnsiTheme="majorBidi" w:cstheme="majorBidi"/>
          <w:sz w:val="20"/>
          <w:szCs w:val="20"/>
        </w:rPr>
        <w:t xml:space="preserve">reliminary </w:t>
      </w:r>
      <w:r w:rsidRPr="00F75C47">
        <w:rPr>
          <w:rFonts w:asciiTheme="majorBidi" w:hAnsiTheme="majorBidi" w:cstheme="majorBidi"/>
          <w:sz w:val="20"/>
          <w:szCs w:val="20"/>
        </w:rPr>
        <w:t xml:space="preserve">ruling </w:t>
      </w:r>
      <w:r w:rsidR="00AA5333" w:rsidRPr="00F75C47">
        <w:rPr>
          <w:rFonts w:asciiTheme="majorBidi" w:hAnsiTheme="majorBidi" w:cstheme="majorBidi"/>
          <w:sz w:val="20"/>
          <w:szCs w:val="20"/>
        </w:rPr>
        <w:t>under article 267 TFEU;</w:t>
      </w:r>
    </w:p>
    <w:p w14:paraId="7A3C44A8" w14:textId="3F032673" w:rsidR="00AA5333" w:rsidRPr="00F75C47" w:rsidRDefault="00AA5333" w:rsidP="00EA30E3">
      <w:pPr>
        <w:pStyle w:val="ListParagraph"/>
        <w:numPr>
          <w:ilvl w:val="0"/>
          <w:numId w:val="48"/>
        </w:numPr>
        <w:tabs>
          <w:tab w:val="left" w:pos="1701"/>
        </w:tabs>
        <w:suppressAutoHyphens/>
        <w:spacing w:after="120" w:line="240" w:lineRule="atLeast"/>
        <w:ind w:left="1134" w:right="521" w:firstLine="567"/>
        <w:jc w:val="both"/>
        <w:rPr>
          <w:rFonts w:asciiTheme="majorBidi" w:hAnsiTheme="majorBidi" w:cstheme="majorBidi"/>
          <w:sz w:val="20"/>
          <w:szCs w:val="20"/>
        </w:rPr>
      </w:pPr>
      <w:r w:rsidRPr="00F75C47">
        <w:rPr>
          <w:rFonts w:asciiTheme="majorBidi" w:hAnsiTheme="majorBidi" w:cstheme="majorBidi"/>
          <w:sz w:val="20"/>
          <w:szCs w:val="20"/>
        </w:rPr>
        <w:t xml:space="preserve">Access to justice regarding subsequent decisions at the </w:t>
      </w:r>
      <w:r w:rsidR="008F3B6F" w:rsidRPr="00F75C47">
        <w:rPr>
          <w:rFonts w:asciiTheme="majorBidi" w:hAnsiTheme="majorBidi" w:cstheme="majorBidi"/>
          <w:sz w:val="20"/>
          <w:szCs w:val="20"/>
        </w:rPr>
        <w:t xml:space="preserve">Member State </w:t>
      </w:r>
      <w:r w:rsidRPr="00F75C47">
        <w:rPr>
          <w:rFonts w:asciiTheme="majorBidi" w:hAnsiTheme="majorBidi" w:cstheme="majorBidi"/>
          <w:sz w:val="20"/>
          <w:szCs w:val="20"/>
        </w:rPr>
        <w:t>level</w:t>
      </w:r>
      <w:r w:rsidR="008F3B6F" w:rsidRPr="00F75C47">
        <w:rPr>
          <w:rFonts w:asciiTheme="majorBidi" w:hAnsiTheme="majorBidi" w:cstheme="majorBidi"/>
          <w:sz w:val="20"/>
          <w:szCs w:val="20"/>
        </w:rPr>
        <w:t>.</w:t>
      </w:r>
    </w:p>
    <w:p w14:paraId="10AE7190" w14:textId="416F9D7F" w:rsidR="007F38E0" w:rsidRPr="00F75C47" w:rsidRDefault="009E69FB" w:rsidP="00364BE7">
      <w:pPr>
        <w:numPr>
          <w:ilvl w:val="0"/>
          <w:numId w:val="2"/>
        </w:numPr>
        <w:tabs>
          <w:tab w:val="num" w:pos="1134"/>
          <w:tab w:val="left" w:pos="1701"/>
          <w:tab w:val="num" w:pos="2136"/>
        </w:tabs>
        <w:suppressAutoHyphens/>
        <w:spacing w:after="120" w:line="240" w:lineRule="atLeast"/>
        <w:ind w:left="1134" w:right="521" w:firstLine="0"/>
        <w:jc w:val="both"/>
        <w:rPr>
          <w:rFonts w:asciiTheme="majorBidi" w:hAnsiTheme="majorBidi"/>
          <w:sz w:val="20"/>
        </w:rPr>
      </w:pPr>
      <w:r w:rsidRPr="00F75C47">
        <w:rPr>
          <w:rFonts w:asciiTheme="majorBidi" w:hAnsiTheme="majorBidi"/>
          <w:sz w:val="20"/>
        </w:rPr>
        <w:t>The Committee examines each of these below.</w:t>
      </w:r>
    </w:p>
    <w:p w14:paraId="3EA4DCCF" w14:textId="76E6D65A" w:rsidR="0089105F" w:rsidRPr="00F75C47" w:rsidRDefault="0089105F" w:rsidP="0089105F">
      <w:pPr>
        <w:tabs>
          <w:tab w:val="left" w:pos="1701"/>
        </w:tabs>
        <w:suppressAutoHyphens/>
        <w:spacing w:after="120" w:line="240" w:lineRule="atLeast"/>
        <w:ind w:left="1134" w:right="521"/>
        <w:jc w:val="both"/>
        <w:rPr>
          <w:rFonts w:asciiTheme="majorBidi" w:hAnsiTheme="majorBidi" w:cstheme="majorBidi"/>
          <w:sz w:val="20"/>
          <w:szCs w:val="20"/>
          <w:u w:val="single"/>
        </w:rPr>
      </w:pPr>
      <w:r w:rsidRPr="00F75C47">
        <w:rPr>
          <w:rFonts w:asciiTheme="majorBidi" w:hAnsiTheme="majorBidi" w:cstheme="majorBidi"/>
          <w:sz w:val="20"/>
          <w:szCs w:val="20"/>
          <w:u w:val="single"/>
        </w:rPr>
        <w:t>Internal review under the Aarhus Regulation</w:t>
      </w:r>
    </w:p>
    <w:p w14:paraId="0E8D32BD" w14:textId="052FB196" w:rsidR="0089105F" w:rsidRPr="00F75C47" w:rsidRDefault="0089105F" w:rsidP="0089105F">
      <w:pPr>
        <w:numPr>
          <w:ilvl w:val="0"/>
          <w:numId w:val="2"/>
        </w:numPr>
        <w:tabs>
          <w:tab w:val="num" w:pos="1134"/>
          <w:tab w:val="left" w:pos="1701"/>
          <w:tab w:val="num" w:pos="2136"/>
        </w:tabs>
        <w:suppressAutoHyphens/>
        <w:spacing w:after="120" w:line="240" w:lineRule="atLeast"/>
        <w:ind w:left="1134" w:right="521" w:firstLine="0"/>
        <w:jc w:val="both"/>
        <w:rPr>
          <w:rFonts w:asciiTheme="majorBidi" w:hAnsiTheme="majorBidi" w:cstheme="majorBidi"/>
          <w:sz w:val="20"/>
          <w:szCs w:val="20"/>
        </w:rPr>
      </w:pPr>
      <w:r w:rsidRPr="00F75C47">
        <w:rPr>
          <w:rFonts w:asciiTheme="majorBidi" w:hAnsiTheme="majorBidi" w:cstheme="majorBidi"/>
          <w:sz w:val="20"/>
          <w:szCs w:val="20"/>
        </w:rPr>
        <w:t xml:space="preserve">It is common ground between the parties that article 2(2)(a) of the Aarhus Regulation excludes decisions </w:t>
      </w:r>
      <w:r w:rsidR="00293CC5" w:rsidRPr="00F75C47">
        <w:rPr>
          <w:rFonts w:asciiTheme="majorBidi" w:hAnsiTheme="majorBidi" w:cstheme="majorBidi"/>
          <w:sz w:val="20"/>
          <w:szCs w:val="20"/>
        </w:rPr>
        <w:t xml:space="preserve">on state aid </w:t>
      </w:r>
      <w:r w:rsidRPr="00F75C47">
        <w:rPr>
          <w:rFonts w:asciiTheme="majorBidi" w:hAnsiTheme="majorBidi" w:cstheme="majorBidi"/>
          <w:sz w:val="20"/>
          <w:szCs w:val="20"/>
        </w:rPr>
        <w:t xml:space="preserve">taken by the Commission under article 108(2) TFEU from the </w:t>
      </w:r>
      <w:r w:rsidR="00836A57" w:rsidRPr="00F75C47">
        <w:rPr>
          <w:rFonts w:asciiTheme="majorBidi" w:hAnsiTheme="majorBidi" w:cstheme="majorBidi"/>
          <w:sz w:val="20"/>
          <w:szCs w:val="20"/>
        </w:rPr>
        <w:t>definition of acts and omissions which may be subject to a request for review</w:t>
      </w:r>
      <w:r w:rsidRPr="00F75C47">
        <w:rPr>
          <w:rFonts w:asciiTheme="majorBidi" w:hAnsiTheme="majorBidi" w:cstheme="majorBidi"/>
          <w:sz w:val="20"/>
          <w:szCs w:val="20"/>
        </w:rPr>
        <w:t xml:space="preserve"> </w:t>
      </w:r>
      <w:r w:rsidR="00836A57" w:rsidRPr="00F75C47">
        <w:rPr>
          <w:rFonts w:asciiTheme="majorBidi" w:hAnsiTheme="majorBidi" w:cstheme="majorBidi"/>
          <w:sz w:val="20"/>
          <w:szCs w:val="20"/>
        </w:rPr>
        <w:t xml:space="preserve">by an NGO </w:t>
      </w:r>
      <w:r w:rsidRPr="00F75C47">
        <w:rPr>
          <w:rFonts w:asciiTheme="majorBidi" w:hAnsiTheme="majorBidi" w:cstheme="majorBidi"/>
          <w:sz w:val="20"/>
          <w:szCs w:val="20"/>
        </w:rPr>
        <w:t>under articles 10-12 of the Aarhus Regulation.</w:t>
      </w:r>
    </w:p>
    <w:p w14:paraId="7B538B5B" w14:textId="476DCC56" w:rsidR="0089105F" w:rsidRPr="00F75C47" w:rsidRDefault="008F3B6F" w:rsidP="005B43DE">
      <w:pPr>
        <w:tabs>
          <w:tab w:val="left" w:pos="1134"/>
        </w:tabs>
        <w:suppressAutoHyphens/>
        <w:spacing w:after="120" w:line="240" w:lineRule="atLeast"/>
        <w:ind w:left="1134" w:right="521"/>
        <w:jc w:val="both"/>
        <w:rPr>
          <w:rFonts w:asciiTheme="majorBidi" w:hAnsiTheme="majorBidi" w:cstheme="majorBidi"/>
          <w:sz w:val="20"/>
          <w:szCs w:val="20"/>
          <w:u w:val="single"/>
        </w:rPr>
      </w:pPr>
      <w:r w:rsidRPr="00F75C47">
        <w:rPr>
          <w:rFonts w:asciiTheme="majorBidi" w:hAnsiTheme="majorBidi" w:cstheme="majorBidi"/>
          <w:sz w:val="20"/>
          <w:szCs w:val="20"/>
          <w:u w:val="single"/>
        </w:rPr>
        <w:t>C</w:t>
      </w:r>
      <w:r w:rsidR="0089105F" w:rsidRPr="00F75C47">
        <w:rPr>
          <w:rFonts w:asciiTheme="majorBidi" w:hAnsiTheme="majorBidi" w:cstheme="majorBidi"/>
          <w:sz w:val="20"/>
          <w:szCs w:val="20"/>
          <w:u w:val="single"/>
        </w:rPr>
        <w:t>omplaint to the Commission under articles 1(h) and 20(2) of Regulation 659/1999</w:t>
      </w:r>
    </w:p>
    <w:p w14:paraId="168EF5E0" w14:textId="07CD2ADA" w:rsidR="00E62844" w:rsidRPr="00F75C47" w:rsidRDefault="00836A57" w:rsidP="0089105F">
      <w:pPr>
        <w:numPr>
          <w:ilvl w:val="0"/>
          <w:numId w:val="2"/>
        </w:numPr>
        <w:tabs>
          <w:tab w:val="num" w:pos="1134"/>
          <w:tab w:val="left" w:pos="1701"/>
          <w:tab w:val="num" w:pos="2136"/>
        </w:tabs>
        <w:suppressAutoHyphens/>
        <w:spacing w:after="120" w:line="240" w:lineRule="atLeast"/>
        <w:ind w:left="1134" w:right="521" w:firstLine="0"/>
        <w:jc w:val="both"/>
        <w:rPr>
          <w:rFonts w:asciiTheme="majorBidi" w:hAnsiTheme="majorBidi" w:cstheme="majorBidi"/>
          <w:sz w:val="20"/>
          <w:szCs w:val="20"/>
        </w:rPr>
      </w:pPr>
      <w:r w:rsidRPr="00F75C47">
        <w:rPr>
          <w:rFonts w:asciiTheme="majorBidi" w:hAnsiTheme="majorBidi" w:cstheme="majorBidi"/>
          <w:sz w:val="20"/>
          <w:szCs w:val="20"/>
        </w:rPr>
        <w:t xml:space="preserve">The Party concerned has cited several examples in which environmental NGOs have been </w:t>
      </w:r>
      <w:r w:rsidR="00044575" w:rsidRPr="00F75C47">
        <w:rPr>
          <w:rFonts w:asciiTheme="majorBidi" w:hAnsiTheme="majorBidi" w:cstheme="majorBidi"/>
          <w:sz w:val="20"/>
          <w:szCs w:val="20"/>
        </w:rPr>
        <w:t>recognized as</w:t>
      </w:r>
      <w:r w:rsidRPr="00F75C47">
        <w:rPr>
          <w:rFonts w:asciiTheme="majorBidi" w:hAnsiTheme="majorBidi" w:cstheme="majorBidi"/>
          <w:sz w:val="20"/>
          <w:szCs w:val="20"/>
        </w:rPr>
        <w:t xml:space="preserve"> “interested parties” under article 1(h) of Regulation 659/1999 and thus entitled to inform the Commission, pursuant to article 20(2) of that Regulation, about allegedly unlawful aid. </w:t>
      </w:r>
      <w:r w:rsidR="00930B03" w:rsidRPr="00F75C47">
        <w:rPr>
          <w:rFonts w:asciiTheme="majorBidi" w:hAnsiTheme="majorBidi" w:cstheme="majorBidi"/>
          <w:sz w:val="20"/>
          <w:szCs w:val="20"/>
        </w:rPr>
        <w:t>However, t</w:t>
      </w:r>
      <w:r w:rsidR="00E62844" w:rsidRPr="00F75C47">
        <w:rPr>
          <w:rFonts w:asciiTheme="majorBidi" w:hAnsiTheme="majorBidi" w:cstheme="majorBidi"/>
          <w:sz w:val="20"/>
          <w:szCs w:val="20"/>
        </w:rPr>
        <w:t xml:space="preserve">he decision </w:t>
      </w:r>
      <w:r w:rsidRPr="00F75C47">
        <w:rPr>
          <w:rFonts w:asciiTheme="majorBidi" w:hAnsiTheme="majorBidi" w:cstheme="majorBidi"/>
          <w:sz w:val="20"/>
          <w:szCs w:val="20"/>
        </w:rPr>
        <w:t xml:space="preserve">whether to commence a formal investigative procedure under article 108(2) </w:t>
      </w:r>
      <w:r w:rsidR="00E62844" w:rsidRPr="00F75C47">
        <w:rPr>
          <w:rFonts w:asciiTheme="majorBidi" w:hAnsiTheme="majorBidi" w:cstheme="majorBidi"/>
          <w:sz w:val="20"/>
          <w:szCs w:val="20"/>
        </w:rPr>
        <w:t xml:space="preserve">as a result of that information rests at the discretion of the Commission. In this regard, the Committee recalls its findings on </w:t>
      </w:r>
      <w:bookmarkStart w:id="30" w:name="_Hlk61609411"/>
      <w:r w:rsidR="00E62844" w:rsidRPr="00F75C47">
        <w:rPr>
          <w:rFonts w:asciiTheme="majorBidi" w:hAnsiTheme="majorBidi" w:cstheme="majorBidi"/>
          <w:sz w:val="20"/>
          <w:szCs w:val="20"/>
        </w:rPr>
        <w:t xml:space="preserve">communications ACCC/C/2013/85 and ACCC/C/2013/86 (United Kingdom), in which it held: </w:t>
      </w:r>
    </w:p>
    <w:p w14:paraId="5C8BD412" w14:textId="0535474B" w:rsidR="0089105F" w:rsidRPr="00F75C47" w:rsidRDefault="00E62844" w:rsidP="005B43DE">
      <w:pPr>
        <w:tabs>
          <w:tab w:val="left" w:pos="1701"/>
          <w:tab w:val="num" w:pos="2136"/>
        </w:tabs>
        <w:suppressAutoHyphens/>
        <w:spacing w:after="120" w:line="240" w:lineRule="atLeast"/>
        <w:ind w:left="1701" w:right="521"/>
        <w:jc w:val="both"/>
        <w:rPr>
          <w:rFonts w:asciiTheme="majorBidi" w:hAnsiTheme="majorBidi" w:cstheme="majorBidi"/>
          <w:sz w:val="20"/>
          <w:szCs w:val="20"/>
        </w:rPr>
      </w:pPr>
      <w:r w:rsidRPr="00F75C47">
        <w:rPr>
          <w:rFonts w:asciiTheme="majorBidi" w:hAnsiTheme="majorBidi" w:cstheme="majorBidi"/>
          <w:sz w:val="20"/>
          <w:szCs w:val="20"/>
        </w:rPr>
        <w:t xml:space="preserve">The right to ask a public authority to </w:t>
      </w:r>
      <w:proofErr w:type="gramStart"/>
      <w:r w:rsidRPr="00F75C47">
        <w:rPr>
          <w:rFonts w:asciiTheme="majorBidi" w:hAnsiTheme="majorBidi" w:cstheme="majorBidi"/>
          <w:sz w:val="20"/>
          <w:szCs w:val="20"/>
        </w:rPr>
        <w:t>take action</w:t>
      </w:r>
      <w:proofErr w:type="gramEnd"/>
      <w:r w:rsidRPr="00F75C47">
        <w:rPr>
          <w:rFonts w:asciiTheme="majorBidi" w:hAnsiTheme="majorBidi" w:cstheme="majorBidi"/>
          <w:sz w:val="20"/>
          <w:szCs w:val="20"/>
        </w:rPr>
        <w:t xml:space="preserve"> does not amount to a “challenge” in the sense of article 9, paragraph, 3, and especially not if the commencement of action is at the discretion of the authority.</w:t>
      </w:r>
      <w:r w:rsidRPr="00F75C47">
        <w:rPr>
          <w:rFonts w:asciiTheme="majorBidi" w:hAnsiTheme="majorBidi" w:cstheme="majorBidi"/>
          <w:sz w:val="20"/>
          <w:szCs w:val="20"/>
          <w:vertAlign w:val="superscript"/>
        </w:rPr>
        <w:footnoteReference w:id="108"/>
      </w:r>
    </w:p>
    <w:bookmarkEnd w:id="30"/>
    <w:p w14:paraId="4B4B7823" w14:textId="78F8409C" w:rsidR="00931DB7" w:rsidRPr="00F75C47" w:rsidRDefault="00E62844" w:rsidP="00931DB7">
      <w:pPr>
        <w:numPr>
          <w:ilvl w:val="0"/>
          <w:numId w:val="2"/>
        </w:numPr>
        <w:tabs>
          <w:tab w:val="num" w:pos="1134"/>
          <w:tab w:val="left" w:pos="1701"/>
          <w:tab w:val="num" w:pos="2136"/>
        </w:tabs>
        <w:suppressAutoHyphens/>
        <w:spacing w:after="120" w:line="240" w:lineRule="atLeast"/>
        <w:ind w:left="1134" w:right="521" w:firstLine="0"/>
        <w:jc w:val="both"/>
        <w:rPr>
          <w:rFonts w:asciiTheme="majorBidi" w:hAnsiTheme="majorBidi" w:cstheme="majorBidi"/>
          <w:sz w:val="20"/>
          <w:szCs w:val="20"/>
        </w:rPr>
      </w:pPr>
      <w:r w:rsidRPr="00F75C47">
        <w:rPr>
          <w:rFonts w:asciiTheme="majorBidi" w:hAnsiTheme="majorBidi" w:cstheme="majorBidi"/>
          <w:sz w:val="20"/>
          <w:szCs w:val="20"/>
        </w:rPr>
        <w:t xml:space="preserve">Accordingly, </w:t>
      </w:r>
      <w:r w:rsidR="00293CC5" w:rsidRPr="00F75C47">
        <w:rPr>
          <w:rFonts w:asciiTheme="majorBidi" w:hAnsiTheme="majorBidi" w:cstheme="majorBidi"/>
          <w:sz w:val="20"/>
          <w:szCs w:val="20"/>
        </w:rPr>
        <w:t xml:space="preserve">even if </w:t>
      </w:r>
      <w:r w:rsidRPr="00F75C47">
        <w:rPr>
          <w:rFonts w:asciiTheme="majorBidi" w:hAnsiTheme="majorBidi" w:cstheme="majorBidi"/>
          <w:sz w:val="20"/>
          <w:szCs w:val="20"/>
        </w:rPr>
        <w:t xml:space="preserve">an environmental NGO is indeed recognized to be an “interested party” under article 1(h) of Regulation 659/1999, </w:t>
      </w:r>
      <w:r w:rsidR="00543B13" w:rsidRPr="00F75C47">
        <w:rPr>
          <w:rFonts w:asciiTheme="majorBidi" w:hAnsiTheme="majorBidi" w:cstheme="majorBidi"/>
          <w:sz w:val="20"/>
          <w:szCs w:val="20"/>
        </w:rPr>
        <w:t xml:space="preserve">a </w:t>
      </w:r>
      <w:r w:rsidR="000A157C" w:rsidRPr="00F75C47">
        <w:rPr>
          <w:rFonts w:asciiTheme="majorBidi" w:hAnsiTheme="majorBidi" w:cstheme="majorBidi"/>
          <w:sz w:val="20"/>
          <w:szCs w:val="20"/>
        </w:rPr>
        <w:t>mere</w:t>
      </w:r>
      <w:r w:rsidRPr="00F75C47">
        <w:rPr>
          <w:rFonts w:asciiTheme="majorBidi" w:hAnsiTheme="majorBidi" w:cstheme="majorBidi"/>
          <w:sz w:val="20"/>
          <w:szCs w:val="20"/>
        </w:rPr>
        <w:t xml:space="preserve"> right to ask</w:t>
      </w:r>
      <w:r w:rsidR="000A157C" w:rsidRPr="00F75C47">
        <w:rPr>
          <w:rFonts w:asciiTheme="majorBidi" w:hAnsiTheme="majorBidi" w:cstheme="majorBidi"/>
          <w:sz w:val="20"/>
          <w:szCs w:val="20"/>
        </w:rPr>
        <w:t xml:space="preserve"> for</w:t>
      </w:r>
      <w:r w:rsidRPr="00F75C47">
        <w:rPr>
          <w:rFonts w:asciiTheme="majorBidi" w:hAnsiTheme="majorBidi" w:cstheme="majorBidi"/>
          <w:sz w:val="20"/>
          <w:szCs w:val="20"/>
        </w:rPr>
        <w:t xml:space="preserve"> a formal investigative procedure </w:t>
      </w:r>
      <w:r w:rsidR="000A157C" w:rsidRPr="00F75C47">
        <w:rPr>
          <w:rFonts w:asciiTheme="majorBidi" w:hAnsiTheme="majorBidi" w:cstheme="majorBidi"/>
          <w:sz w:val="20"/>
          <w:szCs w:val="20"/>
        </w:rPr>
        <w:t xml:space="preserve">by the Commission </w:t>
      </w:r>
      <w:r w:rsidRPr="00F75C47">
        <w:rPr>
          <w:rFonts w:asciiTheme="majorBidi" w:hAnsiTheme="majorBidi" w:cstheme="majorBidi"/>
          <w:sz w:val="20"/>
          <w:szCs w:val="20"/>
        </w:rPr>
        <w:t xml:space="preserve">under article 108(2) TFEU does not </w:t>
      </w:r>
      <w:r w:rsidR="005B43DE" w:rsidRPr="00F75C47">
        <w:rPr>
          <w:rFonts w:asciiTheme="majorBidi" w:hAnsiTheme="majorBidi" w:cstheme="majorBidi"/>
          <w:sz w:val="20"/>
          <w:szCs w:val="20"/>
        </w:rPr>
        <w:t>meet the requirements of article 9(3) of the Convention.</w:t>
      </w:r>
      <w:r w:rsidRPr="00F75C47">
        <w:rPr>
          <w:rFonts w:asciiTheme="majorBidi" w:hAnsiTheme="majorBidi" w:cstheme="majorBidi"/>
          <w:sz w:val="20"/>
          <w:szCs w:val="20"/>
        </w:rPr>
        <w:t xml:space="preserve"> </w:t>
      </w:r>
      <w:r w:rsidR="00543B13" w:rsidRPr="00F75C47">
        <w:rPr>
          <w:rFonts w:asciiTheme="majorBidi" w:hAnsiTheme="majorBidi" w:cstheme="majorBidi"/>
          <w:sz w:val="20"/>
          <w:szCs w:val="20"/>
        </w:rPr>
        <w:t xml:space="preserve">Moreover, a right to ask the Commission to carry out an investigative procedure under article 108(2) TFEU is </w:t>
      </w:r>
      <w:r w:rsidR="00A520EA" w:rsidRPr="00F75C47">
        <w:rPr>
          <w:rFonts w:asciiTheme="majorBidi" w:hAnsiTheme="majorBidi" w:cstheme="majorBidi"/>
          <w:sz w:val="20"/>
          <w:szCs w:val="20"/>
        </w:rPr>
        <w:t>far from</w:t>
      </w:r>
      <w:r w:rsidR="00543B13" w:rsidRPr="00F75C47">
        <w:rPr>
          <w:rFonts w:asciiTheme="majorBidi" w:hAnsiTheme="majorBidi" w:cstheme="majorBidi"/>
          <w:sz w:val="20"/>
          <w:szCs w:val="20"/>
        </w:rPr>
        <w:t xml:space="preserve"> a right to challenge the decision consequently taken by the Commission under article 108(2) as a result of that investigative procedure. </w:t>
      </w:r>
    </w:p>
    <w:p w14:paraId="67FCA923" w14:textId="076D3E64" w:rsidR="00E62844" w:rsidRPr="00F75C47" w:rsidRDefault="00543B13" w:rsidP="00931DB7">
      <w:pPr>
        <w:numPr>
          <w:ilvl w:val="0"/>
          <w:numId w:val="2"/>
        </w:numPr>
        <w:tabs>
          <w:tab w:val="num" w:pos="1134"/>
          <w:tab w:val="left" w:pos="1701"/>
          <w:tab w:val="num" w:pos="2136"/>
        </w:tabs>
        <w:suppressAutoHyphens/>
        <w:spacing w:after="120" w:line="240" w:lineRule="atLeast"/>
        <w:ind w:left="1134" w:right="521" w:firstLine="0"/>
        <w:jc w:val="both"/>
        <w:rPr>
          <w:rFonts w:asciiTheme="majorBidi" w:hAnsiTheme="majorBidi" w:cstheme="majorBidi"/>
          <w:sz w:val="20"/>
          <w:szCs w:val="20"/>
        </w:rPr>
      </w:pPr>
      <w:r w:rsidRPr="00F75C47">
        <w:rPr>
          <w:rFonts w:asciiTheme="majorBidi" w:hAnsiTheme="majorBidi" w:cstheme="majorBidi"/>
          <w:sz w:val="20"/>
          <w:szCs w:val="20"/>
        </w:rPr>
        <w:t xml:space="preserve">Based on the foregoing, </w:t>
      </w:r>
      <w:r w:rsidR="00931DB7" w:rsidRPr="00F75C47">
        <w:rPr>
          <w:rFonts w:asciiTheme="majorBidi" w:hAnsiTheme="majorBidi" w:cstheme="majorBidi"/>
          <w:sz w:val="20"/>
          <w:szCs w:val="20"/>
        </w:rPr>
        <w:t xml:space="preserve">it is clear to the Committee that </w:t>
      </w:r>
      <w:r w:rsidRPr="00F75C47">
        <w:rPr>
          <w:rFonts w:asciiTheme="majorBidi" w:hAnsiTheme="majorBidi" w:cstheme="majorBidi"/>
          <w:sz w:val="20"/>
          <w:szCs w:val="20"/>
        </w:rPr>
        <w:t xml:space="preserve">a complaint to the Commission under articles 1(h) and 20(2) of Regulation 659/1999 </w:t>
      </w:r>
      <w:r w:rsidR="00931DB7" w:rsidRPr="00F75C47">
        <w:rPr>
          <w:rFonts w:asciiTheme="majorBidi" w:hAnsiTheme="majorBidi" w:cstheme="majorBidi"/>
          <w:sz w:val="20"/>
          <w:szCs w:val="20"/>
        </w:rPr>
        <w:t xml:space="preserve">does </w:t>
      </w:r>
      <w:r w:rsidRPr="00F75C47">
        <w:rPr>
          <w:rFonts w:asciiTheme="majorBidi" w:hAnsiTheme="majorBidi" w:cstheme="majorBidi"/>
          <w:sz w:val="20"/>
          <w:szCs w:val="20"/>
        </w:rPr>
        <w:t xml:space="preserve">not </w:t>
      </w:r>
      <w:r w:rsidR="00917211" w:rsidRPr="00F75C47">
        <w:rPr>
          <w:rFonts w:asciiTheme="majorBidi" w:hAnsiTheme="majorBidi" w:cstheme="majorBidi"/>
          <w:sz w:val="20"/>
          <w:szCs w:val="20"/>
        </w:rPr>
        <w:t>provide</w:t>
      </w:r>
      <w:r w:rsidR="00931DB7" w:rsidRPr="00F75C47">
        <w:rPr>
          <w:rFonts w:asciiTheme="majorBidi" w:hAnsiTheme="majorBidi" w:cstheme="majorBidi"/>
          <w:sz w:val="20"/>
          <w:szCs w:val="20"/>
        </w:rPr>
        <w:t xml:space="preserve"> access to </w:t>
      </w:r>
      <w:r w:rsidR="00917211" w:rsidRPr="00F75C47">
        <w:rPr>
          <w:rFonts w:asciiTheme="majorBidi" w:hAnsiTheme="majorBidi" w:cstheme="majorBidi"/>
          <w:sz w:val="20"/>
          <w:szCs w:val="20"/>
        </w:rPr>
        <w:t xml:space="preserve">an </w:t>
      </w:r>
      <w:r w:rsidR="00931DB7" w:rsidRPr="00F75C47">
        <w:rPr>
          <w:rFonts w:asciiTheme="majorBidi" w:hAnsiTheme="majorBidi" w:cstheme="majorBidi"/>
          <w:sz w:val="20"/>
          <w:szCs w:val="20"/>
        </w:rPr>
        <w:t>administrative or judicial procedure to challenge a decision on state aid measures by the Commission under article 108(2) TFEU.</w:t>
      </w:r>
    </w:p>
    <w:p w14:paraId="6750D8AA" w14:textId="77777777" w:rsidR="00543B13" w:rsidRPr="00F75C47" w:rsidRDefault="00543B13" w:rsidP="002249C2">
      <w:pPr>
        <w:tabs>
          <w:tab w:val="left" w:pos="1701"/>
          <w:tab w:val="num" w:pos="2136"/>
        </w:tabs>
        <w:suppressAutoHyphens/>
        <w:spacing w:after="120" w:line="240" w:lineRule="atLeast"/>
        <w:ind w:left="1134" w:right="521"/>
        <w:jc w:val="both"/>
        <w:rPr>
          <w:rFonts w:asciiTheme="majorBidi" w:hAnsiTheme="majorBidi" w:cstheme="majorBidi"/>
          <w:sz w:val="20"/>
          <w:szCs w:val="20"/>
        </w:rPr>
      </w:pPr>
    </w:p>
    <w:p w14:paraId="0C77D9FC" w14:textId="22973510" w:rsidR="00AA5333" w:rsidRPr="00F75C47" w:rsidRDefault="00AA5333" w:rsidP="00364BE7">
      <w:pPr>
        <w:ind w:left="1134"/>
        <w:rPr>
          <w:rFonts w:asciiTheme="majorBidi" w:hAnsiTheme="majorBidi"/>
          <w:sz w:val="20"/>
          <w:u w:val="single"/>
        </w:rPr>
      </w:pPr>
      <w:r w:rsidRPr="00F75C47">
        <w:rPr>
          <w:rFonts w:asciiTheme="majorBidi" w:hAnsiTheme="majorBidi"/>
          <w:sz w:val="20"/>
          <w:u w:val="single"/>
        </w:rPr>
        <w:t>Annulment procedure under article 263(4) TFEU</w:t>
      </w:r>
    </w:p>
    <w:p w14:paraId="54A099CA" w14:textId="6A05E19D" w:rsidR="0068016E" w:rsidRPr="00F75C47" w:rsidRDefault="00AA5333" w:rsidP="007D18DC">
      <w:pPr>
        <w:numPr>
          <w:ilvl w:val="0"/>
          <w:numId w:val="2"/>
        </w:numPr>
        <w:tabs>
          <w:tab w:val="num" w:pos="1134"/>
          <w:tab w:val="left" w:pos="1701"/>
          <w:tab w:val="num" w:pos="2136"/>
        </w:tabs>
        <w:suppressAutoHyphens/>
        <w:spacing w:after="120" w:line="240" w:lineRule="atLeast"/>
        <w:ind w:left="1134" w:right="521" w:firstLine="0"/>
        <w:jc w:val="both"/>
        <w:rPr>
          <w:rFonts w:asciiTheme="majorBidi" w:hAnsiTheme="majorBidi"/>
          <w:sz w:val="20"/>
        </w:rPr>
      </w:pPr>
      <w:r w:rsidRPr="00F75C47">
        <w:rPr>
          <w:rFonts w:asciiTheme="majorBidi" w:hAnsiTheme="majorBidi"/>
          <w:sz w:val="20"/>
        </w:rPr>
        <w:t>The</w:t>
      </w:r>
      <w:r w:rsidR="000F0FC3" w:rsidRPr="00F75C47">
        <w:rPr>
          <w:rFonts w:asciiTheme="majorBidi" w:hAnsiTheme="majorBidi"/>
          <w:sz w:val="20"/>
        </w:rPr>
        <w:t xml:space="preserve"> Committee recalls that </w:t>
      </w:r>
      <w:r w:rsidRPr="00F75C47">
        <w:rPr>
          <w:rFonts w:asciiTheme="majorBidi" w:hAnsiTheme="majorBidi"/>
          <w:sz w:val="20"/>
        </w:rPr>
        <w:t xml:space="preserve">in its findings on communication ACCC/C/2008/32 (Part II), it examined at some length the possibilities for members of the public to bring </w:t>
      </w:r>
      <w:r w:rsidR="005B1F6F" w:rsidRPr="00F75C47">
        <w:rPr>
          <w:rFonts w:asciiTheme="majorBidi" w:hAnsiTheme="majorBidi"/>
          <w:sz w:val="20"/>
        </w:rPr>
        <w:t xml:space="preserve">an </w:t>
      </w:r>
      <w:r w:rsidRPr="00F75C47">
        <w:rPr>
          <w:rFonts w:asciiTheme="majorBidi" w:hAnsiTheme="majorBidi"/>
          <w:sz w:val="20"/>
        </w:rPr>
        <w:t xml:space="preserve">annulment procedure </w:t>
      </w:r>
      <w:r w:rsidR="00822AE2" w:rsidRPr="00F75C47">
        <w:rPr>
          <w:rFonts w:asciiTheme="majorBidi" w:hAnsiTheme="majorBidi"/>
          <w:sz w:val="20"/>
        </w:rPr>
        <w:t>under article 263(4) TFEU</w:t>
      </w:r>
      <w:r w:rsidR="005B1F6F" w:rsidRPr="00F75C47">
        <w:rPr>
          <w:rFonts w:asciiTheme="majorBidi" w:hAnsiTheme="majorBidi"/>
          <w:sz w:val="20"/>
        </w:rPr>
        <w:t xml:space="preserve"> and concluded that article 263(4), as currently interpreted by the CJEU, is </w:t>
      </w:r>
      <w:r w:rsidR="00711364" w:rsidRPr="00F75C47">
        <w:rPr>
          <w:rFonts w:asciiTheme="majorBidi" w:hAnsiTheme="majorBidi"/>
          <w:sz w:val="20"/>
        </w:rPr>
        <w:t>in</w:t>
      </w:r>
      <w:r w:rsidR="00CF1D60" w:rsidRPr="00F75C47">
        <w:rPr>
          <w:rFonts w:asciiTheme="majorBidi" w:hAnsiTheme="majorBidi"/>
          <w:sz w:val="20"/>
        </w:rPr>
        <w:t>sufficient to meet the requirement</w:t>
      </w:r>
      <w:r w:rsidR="00711364" w:rsidRPr="00F75C47">
        <w:rPr>
          <w:rFonts w:asciiTheme="majorBidi" w:hAnsiTheme="majorBidi"/>
          <w:sz w:val="20"/>
        </w:rPr>
        <w:t xml:space="preserve">s </w:t>
      </w:r>
      <w:r w:rsidR="005B1F6F" w:rsidRPr="00F75C47">
        <w:rPr>
          <w:rFonts w:asciiTheme="majorBidi" w:hAnsiTheme="majorBidi"/>
          <w:sz w:val="20"/>
        </w:rPr>
        <w:t xml:space="preserve">of </w:t>
      </w:r>
      <w:r w:rsidR="00CF1D60" w:rsidRPr="00F75C47">
        <w:rPr>
          <w:rFonts w:asciiTheme="majorBidi" w:hAnsiTheme="majorBidi"/>
          <w:sz w:val="20"/>
        </w:rPr>
        <w:t>article 9(3) of the Convention.</w:t>
      </w:r>
      <w:r w:rsidR="005B1F6F" w:rsidRPr="00F75C47">
        <w:rPr>
          <w:rStyle w:val="FootnoteReference"/>
          <w:rFonts w:asciiTheme="majorBidi" w:hAnsiTheme="majorBidi"/>
        </w:rPr>
        <w:footnoteReference w:id="109"/>
      </w:r>
      <w:r w:rsidR="005B1F6F" w:rsidRPr="00F75C47">
        <w:rPr>
          <w:rFonts w:asciiTheme="majorBidi" w:hAnsiTheme="majorBidi"/>
          <w:sz w:val="20"/>
        </w:rPr>
        <w:t xml:space="preserve"> </w:t>
      </w:r>
    </w:p>
    <w:p w14:paraId="687F7533" w14:textId="69C75EAE" w:rsidR="005B43DE" w:rsidRPr="00F75C47" w:rsidRDefault="005B43DE" w:rsidP="00EA30E3">
      <w:pPr>
        <w:numPr>
          <w:ilvl w:val="0"/>
          <w:numId w:val="2"/>
        </w:numPr>
        <w:tabs>
          <w:tab w:val="num" w:pos="1134"/>
          <w:tab w:val="left" w:pos="1701"/>
          <w:tab w:val="num" w:pos="2136"/>
        </w:tabs>
        <w:suppressAutoHyphens/>
        <w:spacing w:after="120" w:line="240" w:lineRule="atLeast"/>
        <w:ind w:left="1134" w:right="521" w:firstLine="0"/>
        <w:jc w:val="both"/>
        <w:rPr>
          <w:rFonts w:asciiTheme="majorBidi" w:hAnsiTheme="majorBidi" w:cstheme="majorBidi"/>
          <w:sz w:val="20"/>
          <w:szCs w:val="20"/>
        </w:rPr>
      </w:pPr>
      <w:r w:rsidRPr="00F75C47">
        <w:rPr>
          <w:rFonts w:asciiTheme="majorBidi" w:hAnsiTheme="majorBidi" w:cstheme="majorBidi"/>
          <w:sz w:val="20"/>
          <w:szCs w:val="20"/>
        </w:rPr>
        <w:t xml:space="preserve">In the present case, the Party concerned cites the </w:t>
      </w:r>
      <w:r w:rsidR="00541E73" w:rsidRPr="00F75C47">
        <w:rPr>
          <w:rFonts w:asciiTheme="majorBidi" w:hAnsiTheme="majorBidi" w:cstheme="majorBidi"/>
          <w:sz w:val="20"/>
          <w:szCs w:val="20"/>
        </w:rPr>
        <w:t xml:space="preserve">General Court’s </w:t>
      </w:r>
      <w:r w:rsidRPr="00F75C47">
        <w:rPr>
          <w:rFonts w:asciiTheme="majorBidi" w:hAnsiTheme="majorBidi" w:cstheme="majorBidi"/>
          <w:sz w:val="20"/>
          <w:szCs w:val="20"/>
        </w:rPr>
        <w:t xml:space="preserve">judgment </w:t>
      </w:r>
      <w:r w:rsidR="00541E73" w:rsidRPr="00F75C47">
        <w:rPr>
          <w:rFonts w:asciiTheme="majorBidi" w:hAnsiTheme="majorBidi" w:cstheme="majorBidi"/>
          <w:sz w:val="20"/>
          <w:szCs w:val="20"/>
        </w:rPr>
        <w:t xml:space="preserve">in </w:t>
      </w:r>
      <w:proofErr w:type="spellStart"/>
      <w:r w:rsidR="00541E73" w:rsidRPr="00F75C47">
        <w:rPr>
          <w:rFonts w:asciiTheme="majorBidi" w:hAnsiTheme="majorBidi" w:cstheme="majorBidi"/>
          <w:i/>
          <w:iCs/>
          <w:sz w:val="20"/>
          <w:szCs w:val="20"/>
        </w:rPr>
        <w:t>Ja</w:t>
      </w:r>
      <w:proofErr w:type="spellEnd"/>
      <w:r w:rsidR="00541E73" w:rsidRPr="00F75C47">
        <w:rPr>
          <w:rFonts w:asciiTheme="majorBidi" w:hAnsiTheme="majorBidi" w:cstheme="majorBidi"/>
          <w:i/>
          <w:iCs/>
          <w:sz w:val="20"/>
          <w:szCs w:val="20"/>
        </w:rPr>
        <w:t xml:space="preserve"> </w:t>
      </w:r>
      <w:proofErr w:type="spellStart"/>
      <w:r w:rsidR="00541E73" w:rsidRPr="00F75C47">
        <w:rPr>
          <w:rFonts w:asciiTheme="majorBidi" w:hAnsiTheme="majorBidi" w:cstheme="majorBidi"/>
          <w:i/>
          <w:iCs/>
          <w:sz w:val="20"/>
          <w:szCs w:val="20"/>
        </w:rPr>
        <w:t>zum</w:t>
      </w:r>
      <w:proofErr w:type="spellEnd"/>
      <w:r w:rsidR="00541E73" w:rsidRPr="00F75C47">
        <w:rPr>
          <w:rFonts w:asciiTheme="majorBidi" w:hAnsiTheme="majorBidi" w:cstheme="majorBidi"/>
          <w:i/>
          <w:iCs/>
          <w:sz w:val="20"/>
          <w:szCs w:val="20"/>
        </w:rPr>
        <w:t xml:space="preserve"> Nürburgring </w:t>
      </w:r>
      <w:r w:rsidRPr="00F75C47">
        <w:rPr>
          <w:rFonts w:asciiTheme="majorBidi" w:hAnsiTheme="majorBidi" w:cstheme="majorBidi"/>
          <w:sz w:val="20"/>
          <w:szCs w:val="20"/>
        </w:rPr>
        <w:t>as an example of a case in which a</w:t>
      </w:r>
      <w:r w:rsidR="00A400B0" w:rsidRPr="00F75C47">
        <w:rPr>
          <w:rFonts w:asciiTheme="majorBidi" w:hAnsiTheme="majorBidi" w:cstheme="majorBidi"/>
          <w:sz w:val="20"/>
          <w:szCs w:val="20"/>
        </w:rPr>
        <w:t xml:space="preserve">n </w:t>
      </w:r>
      <w:r w:rsidRPr="00F75C47">
        <w:rPr>
          <w:rFonts w:asciiTheme="majorBidi" w:hAnsiTheme="majorBidi" w:cstheme="majorBidi"/>
          <w:sz w:val="20"/>
          <w:szCs w:val="20"/>
        </w:rPr>
        <w:t>NGO</w:t>
      </w:r>
      <w:r w:rsidR="00A400B0" w:rsidRPr="00F75C47">
        <w:rPr>
          <w:rFonts w:asciiTheme="majorBidi" w:hAnsiTheme="majorBidi" w:cstheme="majorBidi"/>
          <w:sz w:val="20"/>
          <w:szCs w:val="20"/>
        </w:rPr>
        <w:t>, albeit not an environmental NGO,</w:t>
      </w:r>
      <w:r w:rsidRPr="00F75C47">
        <w:rPr>
          <w:rFonts w:asciiTheme="majorBidi" w:hAnsiTheme="majorBidi" w:cstheme="majorBidi"/>
          <w:sz w:val="20"/>
          <w:szCs w:val="20"/>
        </w:rPr>
        <w:t xml:space="preserve"> was recognized to have a direct and individual concern under article 263(4) TFEU to challenge a decision by </w:t>
      </w:r>
      <w:r w:rsidR="00E713F1" w:rsidRPr="00F75C47">
        <w:rPr>
          <w:rFonts w:asciiTheme="majorBidi" w:hAnsiTheme="majorBidi" w:cstheme="majorBidi"/>
          <w:sz w:val="20"/>
          <w:szCs w:val="20"/>
        </w:rPr>
        <w:t xml:space="preserve">the </w:t>
      </w:r>
      <w:r w:rsidRPr="00F75C47">
        <w:rPr>
          <w:rFonts w:asciiTheme="majorBidi" w:hAnsiTheme="majorBidi" w:cstheme="majorBidi"/>
          <w:sz w:val="20"/>
          <w:szCs w:val="20"/>
        </w:rPr>
        <w:t>Commission not to commence a formal investigative procedure under article 108(2)</w:t>
      </w:r>
      <w:r w:rsidR="00397FAA" w:rsidRPr="00F75C47">
        <w:rPr>
          <w:rFonts w:asciiTheme="majorBidi" w:hAnsiTheme="majorBidi" w:cstheme="majorBidi"/>
          <w:sz w:val="20"/>
          <w:szCs w:val="20"/>
        </w:rPr>
        <w:t xml:space="preserve"> TFEU</w:t>
      </w:r>
      <w:r w:rsidRPr="00F75C47">
        <w:rPr>
          <w:rFonts w:asciiTheme="majorBidi" w:hAnsiTheme="majorBidi" w:cstheme="majorBidi"/>
          <w:sz w:val="20"/>
          <w:szCs w:val="20"/>
        </w:rPr>
        <w:t xml:space="preserve">. The Committee notes that </w:t>
      </w:r>
      <w:r w:rsidR="00A400B0" w:rsidRPr="00F75C47">
        <w:rPr>
          <w:rFonts w:asciiTheme="majorBidi" w:hAnsiTheme="majorBidi" w:cstheme="majorBidi"/>
          <w:sz w:val="20"/>
          <w:szCs w:val="20"/>
        </w:rPr>
        <w:t>th</w:t>
      </w:r>
      <w:r w:rsidR="00E713F1" w:rsidRPr="00F75C47">
        <w:rPr>
          <w:rFonts w:asciiTheme="majorBidi" w:hAnsiTheme="majorBidi" w:cstheme="majorBidi"/>
          <w:sz w:val="20"/>
          <w:szCs w:val="20"/>
        </w:rPr>
        <w:t>is</w:t>
      </w:r>
      <w:r w:rsidR="00A400B0" w:rsidRPr="00F75C47">
        <w:rPr>
          <w:rFonts w:asciiTheme="majorBidi" w:hAnsiTheme="majorBidi" w:cstheme="majorBidi"/>
          <w:sz w:val="20"/>
          <w:szCs w:val="20"/>
        </w:rPr>
        <w:t xml:space="preserve"> judgment is currently under appeal and it </w:t>
      </w:r>
      <w:r w:rsidR="006542FF" w:rsidRPr="00F75C47">
        <w:rPr>
          <w:rFonts w:asciiTheme="majorBidi" w:hAnsiTheme="majorBidi" w:cstheme="majorBidi"/>
          <w:sz w:val="20"/>
          <w:szCs w:val="20"/>
        </w:rPr>
        <w:t xml:space="preserve">cannot be </w:t>
      </w:r>
      <w:r w:rsidR="000A157C" w:rsidRPr="00F75C47">
        <w:rPr>
          <w:rFonts w:asciiTheme="majorBidi" w:hAnsiTheme="majorBidi" w:cstheme="majorBidi"/>
          <w:sz w:val="20"/>
          <w:szCs w:val="20"/>
        </w:rPr>
        <w:t xml:space="preserve">known </w:t>
      </w:r>
      <w:r w:rsidR="00A400B0" w:rsidRPr="00F75C47">
        <w:rPr>
          <w:rFonts w:asciiTheme="majorBidi" w:hAnsiTheme="majorBidi" w:cstheme="majorBidi"/>
          <w:sz w:val="20"/>
          <w:szCs w:val="20"/>
        </w:rPr>
        <w:t xml:space="preserve">at this point what the outcome will be. The Committee considers that, if </w:t>
      </w:r>
      <w:r w:rsidR="00E713F1" w:rsidRPr="00F75C47">
        <w:rPr>
          <w:rFonts w:asciiTheme="majorBidi" w:hAnsiTheme="majorBidi" w:cstheme="majorBidi"/>
          <w:sz w:val="20"/>
          <w:szCs w:val="20"/>
        </w:rPr>
        <w:t xml:space="preserve">this judgment is </w:t>
      </w:r>
      <w:r w:rsidR="00A400B0" w:rsidRPr="00F75C47">
        <w:rPr>
          <w:rFonts w:asciiTheme="majorBidi" w:hAnsiTheme="majorBidi" w:cstheme="majorBidi"/>
          <w:sz w:val="20"/>
          <w:szCs w:val="20"/>
        </w:rPr>
        <w:t xml:space="preserve">upheld on appeal, and </w:t>
      </w:r>
      <w:r w:rsidR="00E713F1" w:rsidRPr="00F75C47">
        <w:rPr>
          <w:rFonts w:asciiTheme="majorBidi" w:hAnsiTheme="majorBidi" w:cstheme="majorBidi"/>
          <w:sz w:val="20"/>
          <w:szCs w:val="20"/>
        </w:rPr>
        <w:t xml:space="preserve">is </w:t>
      </w:r>
      <w:r w:rsidR="00A400B0" w:rsidRPr="00F75C47">
        <w:rPr>
          <w:rFonts w:asciiTheme="majorBidi" w:hAnsiTheme="majorBidi" w:cstheme="majorBidi"/>
          <w:sz w:val="20"/>
          <w:szCs w:val="20"/>
        </w:rPr>
        <w:t xml:space="preserve">interpreted </w:t>
      </w:r>
      <w:r w:rsidR="00F02F78" w:rsidRPr="00F75C47">
        <w:rPr>
          <w:rFonts w:asciiTheme="majorBidi" w:hAnsiTheme="majorBidi" w:cstheme="majorBidi"/>
          <w:sz w:val="20"/>
          <w:szCs w:val="20"/>
        </w:rPr>
        <w:t xml:space="preserve">and </w:t>
      </w:r>
      <w:r w:rsidR="00B07F30" w:rsidRPr="00F75C47">
        <w:rPr>
          <w:rFonts w:asciiTheme="majorBidi" w:hAnsiTheme="majorBidi" w:cstheme="majorBidi"/>
          <w:sz w:val="20"/>
          <w:szCs w:val="20"/>
        </w:rPr>
        <w:t>followed</w:t>
      </w:r>
      <w:r w:rsidR="00F02F78" w:rsidRPr="00F75C47">
        <w:rPr>
          <w:rFonts w:asciiTheme="majorBidi" w:hAnsiTheme="majorBidi" w:cstheme="majorBidi"/>
          <w:sz w:val="20"/>
          <w:szCs w:val="20"/>
        </w:rPr>
        <w:t xml:space="preserve"> </w:t>
      </w:r>
      <w:r w:rsidR="00A400B0" w:rsidRPr="00F75C47">
        <w:rPr>
          <w:rFonts w:asciiTheme="majorBidi" w:hAnsiTheme="majorBidi" w:cstheme="majorBidi"/>
          <w:sz w:val="20"/>
          <w:szCs w:val="20"/>
        </w:rPr>
        <w:t>in the future to recogni</w:t>
      </w:r>
      <w:r w:rsidR="00A0503D">
        <w:rPr>
          <w:rFonts w:asciiTheme="majorBidi" w:hAnsiTheme="majorBidi" w:cstheme="majorBidi"/>
          <w:sz w:val="20"/>
          <w:szCs w:val="20"/>
        </w:rPr>
        <w:t>s</w:t>
      </w:r>
      <w:r w:rsidR="00A400B0" w:rsidRPr="00F75C47">
        <w:rPr>
          <w:rFonts w:asciiTheme="majorBidi" w:hAnsiTheme="majorBidi" w:cstheme="majorBidi"/>
          <w:sz w:val="20"/>
          <w:szCs w:val="20"/>
        </w:rPr>
        <w:t xml:space="preserve">e environmental NGOs as </w:t>
      </w:r>
      <w:r w:rsidR="00397FAA" w:rsidRPr="00F75C47">
        <w:rPr>
          <w:rFonts w:asciiTheme="majorBidi" w:hAnsiTheme="majorBidi" w:cstheme="majorBidi"/>
          <w:sz w:val="20"/>
          <w:szCs w:val="20"/>
        </w:rPr>
        <w:t>having a direct and individual concern under article 263(4) TFEU</w:t>
      </w:r>
      <w:r w:rsidR="00044575" w:rsidRPr="00F75C47">
        <w:rPr>
          <w:rFonts w:asciiTheme="majorBidi" w:hAnsiTheme="majorBidi" w:cstheme="majorBidi"/>
          <w:sz w:val="20"/>
          <w:szCs w:val="20"/>
        </w:rPr>
        <w:t xml:space="preserve"> so as</w:t>
      </w:r>
      <w:r w:rsidR="00397FAA" w:rsidRPr="00F75C47">
        <w:rPr>
          <w:rFonts w:asciiTheme="majorBidi" w:hAnsiTheme="majorBidi" w:cstheme="majorBidi"/>
          <w:sz w:val="20"/>
          <w:szCs w:val="20"/>
        </w:rPr>
        <w:t xml:space="preserve"> to </w:t>
      </w:r>
      <w:r w:rsidR="00044575" w:rsidRPr="00F75C47">
        <w:rPr>
          <w:rFonts w:asciiTheme="majorBidi" w:hAnsiTheme="majorBidi" w:cstheme="majorBidi"/>
          <w:sz w:val="20"/>
          <w:szCs w:val="20"/>
        </w:rPr>
        <w:t xml:space="preserve">be able to </w:t>
      </w:r>
      <w:r w:rsidR="00397FAA" w:rsidRPr="00F75C47">
        <w:rPr>
          <w:rFonts w:asciiTheme="majorBidi" w:hAnsiTheme="majorBidi" w:cstheme="majorBidi"/>
          <w:sz w:val="20"/>
          <w:szCs w:val="20"/>
        </w:rPr>
        <w:t xml:space="preserve">challenge decisions </w:t>
      </w:r>
      <w:r w:rsidR="000A157C" w:rsidRPr="00F75C47">
        <w:rPr>
          <w:rFonts w:asciiTheme="majorBidi" w:hAnsiTheme="majorBidi" w:cstheme="majorBidi"/>
          <w:sz w:val="20"/>
          <w:szCs w:val="20"/>
        </w:rPr>
        <w:t xml:space="preserve">on state aid </w:t>
      </w:r>
      <w:r w:rsidR="00397FAA" w:rsidRPr="00F75C47">
        <w:rPr>
          <w:rFonts w:asciiTheme="majorBidi" w:hAnsiTheme="majorBidi" w:cstheme="majorBidi"/>
          <w:sz w:val="20"/>
          <w:szCs w:val="20"/>
        </w:rPr>
        <w:t xml:space="preserve">by the Commission under article 108(2) TFEU, then this </w:t>
      </w:r>
      <w:r w:rsidR="000A157C" w:rsidRPr="00F75C47">
        <w:rPr>
          <w:rFonts w:asciiTheme="majorBidi" w:hAnsiTheme="majorBidi" w:cstheme="majorBidi"/>
          <w:sz w:val="20"/>
          <w:szCs w:val="20"/>
        </w:rPr>
        <w:t xml:space="preserve">could potentially </w:t>
      </w:r>
      <w:r w:rsidR="00397FAA" w:rsidRPr="00F75C47">
        <w:rPr>
          <w:rFonts w:asciiTheme="majorBidi" w:hAnsiTheme="majorBidi" w:cstheme="majorBidi"/>
          <w:sz w:val="20"/>
          <w:szCs w:val="20"/>
        </w:rPr>
        <w:t xml:space="preserve">meet the requirements of article 9(3) of the Convention. However, since the judgment itself did not concern an environmental NGO nor a </w:t>
      </w:r>
      <w:r w:rsidR="000A157C" w:rsidRPr="00F75C47">
        <w:rPr>
          <w:rFonts w:asciiTheme="majorBidi" w:hAnsiTheme="majorBidi" w:cstheme="majorBidi"/>
          <w:sz w:val="20"/>
          <w:szCs w:val="20"/>
        </w:rPr>
        <w:t xml:space="preserve">challenge to a </w:t>
      </w:r>
      <w:r w:rsidR="00397FAA" w:rsidRPr="00F75C47">
        <w:rPr>
          <w:rFonts w:asciiTheme="majorBidi" w:hAnsiTheme="majorBidi" w:cstheme="majorBidi"/>
          <w:sz w:val="20"/>
          <w:szCs w:val="20"/>
        </w:rPr>
        <w:t xml:space="preserve">decision taken by the Commission under article 108(2) TFEU, the Committee </w:t>
      </w:r>
      <w:r w:rsidR="00FC4CA7" w:rsidRPr="00F75C47">
        <w:rPr>
          <w:rFonts w:asciiTheme="majorBidi" w:hAnsiTheme="majorBidi" w:cstheme="majorBidi"/>
          <w:sz w:val="20"/>
          <w:szCs w:val="20"/>
        </w:rPr>
        <w:t>considers</w:t>
      </w:r>
      <w:r w:rsidR="00397FAA" w:rsidRPr="00F75C47">
        <w:rPr>
          <w:rFonts w:asciiTheme="majorBidi" w:hAnsiTheme="majorBidi" w:cstheme="majorBidi"/>
          <w:sz w:val="20"/>
          <w:szCs w:val="20"/>
        </w:rPr>
        <w:t xml:space="preserve"> </w:t>
      </w:r>
      <w:r w:rsidR="000A157C" w:rsidRPr="00F75C47">
        <w:rPr>
          <w:rFonts w:asciiTheme="majorBidi" w:hAnsiTheme="majorBidi" w:cstheme="majorBidi"/>
          <w:sz w:val="20"/>
          <w:szCs w:val="20"/>
        </w:rPr>
        <w:t xml:space="preserve">that the judgment </w:t>
      </w:r>
      <w:r w:rsidR="00FC4CA7" w:rsidRPr="00F75C47">
        <w:rPr>
          <w:rFonts w:asciiTheme="majorBidi" w:hAnsiTheme="majorBidi" w:cstheme="majorBidi"/>
          <w:sz w:val="20"/>
          <w:szCs w:val="20"/>
        </w:rPr>
        <w:t xml:space="preserve">in </w:t>
      </w:r>
      <w:proofErr w:type="spellStart"/>
      <w:r w:rsidR="00FC4CA7" w:rsidRPr="00F75C47">
        <w:rPr>
          <w:rFonts w:asciiTheme="majorBidi" w:hAnsiTheme="majorBidi" w:cstheme="majorBidi"/>
          <w:i/>
          <w:iCs/>
          <w:sz w:val="20"/>
          <w:szCs w:val="20"/>
        </w:rPr>
        <w:t>Ja</w:t>
      </w:r>
      <w:proofErr w:type="spellEnd"/>
      <w:r w:rsidR="00FC4CA7" w:rsidRPr="00F75C47">
        <w:rPr>
          <w:rFonts w:asciiTheme="majorBidi" w:hAnsiTheme="majorBidi" w:cstheme="majorBidi"/>
          <w:i/>
          <w:iCs/>
          <w:sz w:val="20"/>
          <w:szCs w:val="20"/>
        </w:rPr>
        <w:t xml:space="preserve"> </w:t>
      </w:r>
      <w:proofErr w:type="spellStart"/>
      <w:r w:rsidR="00FC4CA7" w:rsidRPr="00F75C47">
        <w:rPr>
          <w:rFonts w:asciiTheme="majorBidi" w:hAnsiTheme="majorBidi" w:cstheme="majorBidi"/>
          <w:i/>
          <w:iCs/>
          <w:sz w:val="20"/>
          <w:szCs w:val="20"/>
        </w:rPr>
        <w:t>zum</w:t>
      </w:r>
      <w:proofErr w:type="spellEnd"/>
      <w:r w:rsidR="00FC4CA7" w:rsidRPr="00F75C47">
        <w:rPr>
          <w:rFonts w:asciiTheme="majorBidi" w:hAnsiTheme="majorBidi" w:cstheme="majorBidi"/>
          <w:i/>
          <w:iCs/>
          <w:sz w:val="20"/>
          <w:szCs w:val="20"/>
        </w:rPr>
        <w:t xml:space="preserve"> Nürburgring </w:t>
      </w:r>
      <w:r w:rsidR="00FC4CA7" w:rsidRPr="00F75C47">
        <w:rPr>
          <w:rFonts w:asciiTheme="majorBidi" w:hAnsiTheme="majorBidi" w:cstheme="majorBidi"/>
          <w:sz w:val="20"/>
          <w:szCs w:val="20"/>
        </w:rPr>
        <w:t xml:space="preserve">does not in itself demonstrate that environmental NGOs have standing under article 263(4) to challenge a decision on state aid </w:t>
      </w:r>
      <w:r w:rsidR="00931DB7" w:rsidRPr="00F75C47">
        <w:rPr>
          <w:rFonts w:asciiTheme="majorBidi" w:hAnsiTheme="majorBidi" w:cstheme="majorBidi"/>
          <w:sz w:val="20"/>
          <w:szCs w:val="20"/>
        </w:rPr>
        <w:t xml:space="preserve">measures </w:t>
      </w:r>
      <w:r w:rsidR="00FC4CA7" w:rsidRPr="00F75C47">
        <w:rPr>
          <w:rFonts w:asciiTheme="majorBidi" w:hAnsiTheme="majorBidi" w:cstheme="majorBidi"/>
          <w:sz w:val="20"/>
          <w:szCs w:val="20"/>
        </w:rPr>
        <w:t>by the Commission under article 108(2) TFEU</w:t>
      </w:r>
      <w:r w:rsidR="00397FAA" w:rsidRPr="00F75C47">
        <w:rPr>
          <w:rFonts w:asciiTheme="majorBidi" w:hAnsiTheme="majorBidi" w:cstheme="majorBidi"/>
          <w:sz w:val="20"/>
          <w:szCs w:val="20"/>
        </w:rPr>
        <w:t xml:space="preserve">. </w:t>
      </w:r>
    </w:p>
    <w:p w14:paraId="1A142A02" w14:textId="77777777" w:rsidR="008F3B6F" w:rsidRPr="00F75C47" w:rsidRDefault="008F3B6F" w:rsidP="00364BE7">
      <w:pPr>
        <w:tabs>
          <w:tab w:val="left" w:pos="1701"/>
        </w:tabs>
        <w:suppressAutoHyphens/>
        <w:spacing w:after="120" w:line="240" w:lineRule="atLeast"/>
        <w:ind w:left="1134" w:right="521"/>
        <w:jc w:val="both"/>
        <w:rPr>
          <w:rFonts w:asciiTheme="majorBidi" w:hAnsiTheme="majorBidi"/>
          <w:sz w:val="20"/>
          <w:u w:val="single"/>
        </w:rPr>
      </w:pPr>
      <w:r w:rsidRPr="00F75C47">
        <w:rPr>
          <w:rFonts w:asciiTheme="majorBidi" w:hAnsiTheme="majorBidi"/>
          <w:sz w:val="20"/>
          <w:u w:val="single"/>
        </w:rPr>
        <w:t>Intervening in an ongoing annulment procedure under article 263(4) TFEU</w:t>
      </w:r>
    </w:p>
    <w:p w14:paraId="129C480D" w14:textId="770BEF43" w:rsidR="008F3B6F" w:rsidRPr="00F75C47" w:rsidRDefault="008F3B6F" w:rsidP="008F3B6F">
      <w:pPr>
        <w:numPr>
          <w:ilvl w:val="0"/>
          <w:numId w:val="2"/>
        </w:numPr>
        <w:tabs>
          <w:tab w:val="num" w:pos="1134"/>
          <w:tab w:val="left" w:pos="1701"/>
          <w:tab w:val="num" w:pos="2136"/>
        </w:tabs>
        <w:suppressAutoHyphens/>
        <w:spacing w:after="120" w:line="240" w:lineRule="atLeast"/>
        <w:ind w:left="1134" w:right="521" w:firstLine="0"/>
        <w:jc w:val="both"/>
        <w:rPr>
          <w:rFonts w:asciiTheme="majorBidi" w:hAnsiTheme="majorBidi" w:cstheme="majorBidi"/>
          <w:sz w:val="20"/>
          <w:szCs w:val="20"/>
        </w:rPr>
      </w:pPr>
      <w:r w:rsidRPr="00F75C47">
        <w:rPr>
          <w:rFonts w:asciiTheme="majorBidi" w:hAnsiTheme="majorBidi" w:cstheme="majorBidi"/>
          <w:sz w:val="20"/>
          <w:szCs w:val="20"/>
        </w:rPr>
        <w:t xml:space="preserve">The Party concerned refers to the possibility for NGOs </w:t>
      </w:r>
      <w:r w:rsidR="009169CB" w:rsidRPr="00F75C47">
        <w:rPr>
          <w:rFonts w:asciiTheme="majorBidi" w:hAnsiTheme="majorBidi" w:cstheme="majorBidi"/>
          <w:sz w:val="20"/>
          <w:szCs w:val="20"/>
        </w:rPr>
        <w:t>that</w:t>
      </w:r>
      <w:r w:rsidRPr="00F75C47">
        <w:rPr>
          <w:rFonts w:asciiTheme="majorBidi" w:hAnsiTheme="majorBidi" w:cstheme="majorBidi"/>
          <w:sz w:val="20"/>
          <w:szCs w:val="20"/>
        </w:rPr>
        <w:t xml:space="preserve"> can establish an interest in a case before the CJEU to intervene in judicial proceedings in support of one of the parties to a case in accordance with article 40(2) of the Statute of the CJEU.</w:t>
      </w:r>
      <w:r w:rsidRPr="00F75C47">
        <w:rPr>
          <w:rStyle w:val="FootnoteReference"/>
          <w:rFonts w:asciiTheme="majorBidi" w:hAnsiTheme="majorBidi" w:cstheme="majorBidi"/>
          <w:szCs w:val="20"/>
        </w:rPr>
        <w:footnoteReference w:id="110"/>
      </w:r>
      <w:r w:rsidRPr="00F75C47">
        <w:rPr>
          <w:rFonts w:asciiTheme="majorBidi" w:hAnsiTheme="majorBidi" w:cstheme="majorBidi"/>
          <w:sz w:val="20"/>
          <w:szCs w:val="20"/>
        </w:rPr>
        <w:t xml:space="preserve"> </w:t>
      </w:r>
      <w:r w:rsidR="00570715" w:rsidRPr="00F75C47">
        <w:rPr>
          <w:rFonts w:asciiTheme="majorBidi" w:hAnsiTheme="majorBidi" w:cstheme="majorBidi"/>
          <w:sz w:val="20"/>
          <w:szCs w:val="20"/>
        </w:rPr>
        <w:t>T</w:t>
      </w:r>
      <w:r w:rsidRPr="00F75C47">
        <w:rPr>
          <w:rFonts w:asciiTheme="majorBidi" w:hAnsiTheme="majorBidi" w:cstheme="majorBidi"/>
          <w:sz w:val="20"/>
          <w:szCs w:val="20"/>
        </w:rPr>
        <w:t xml:space="preserve">he Committee </w:t>
      </w:r>
      <w:r w:rsidR="006F299F" w:rsidRPr="00F75C47">
        <w:rPr>
          <w:rFonts w:asciiTheme="majorBidi" w:hAnsiTheme="majorBidi" w:cstheme="majorBidi"/>
          <w:sz w:val="20"/>
          <w:szCs w:val="20"/>
        </w:rPr>
        <w:t xml:space="preserve">notes </w:t>
      </w:r>
      <w:r w:rsidR="00570715" w:rsidRPr="00F75C47">
        <w:rPr>
          <w:rFonts w:asciiTheme="majorBidi" w:hAnsiTheme="majorBidi" w:cstheme="majorBidi"/>
          <w:sz w:val="20"/>
          <w:szCs w:val="20"/>
        </w:rPr>
        <w:t xml:space="preserve">however </w:t>
      </w:r>
      <w:r w:rsidR="00E713F1" w:rsidRPr="00F75C47">
        <w:rPr>
          <w:rFonts w:asciiTheme="majorBidi" w:hAnsiTheme="majorBidi" w:cstheme="majorBidi"/>
          <w:sz w:val="20"/>
          <w:szCs w:val="20"/>
        </w:rPr>
        <w:t xml:space="preserve">that </w:t>
      </w:r>
      <w:r w:rsidR="00044575" w:rsidRPr="00F75C47">
        <w:rPr>
          <w:rFonts w:asciiTheme="majorBidi" w:hAnsiTheme="majorBidi" w:cstheme="majorBidi"/>
          <w:sz w:val="20"/>
          <w:szCs w:val="20"/>
        </w:rPr>
        <w:t>this possibility can under no circumstances replace an NGO’s right to independently initiate a challenge to an act or omission that contravenes EU law relating to the environment, since it is entirely dependent on a third party deciding to bring proceedings under article 263(4) TFEU</w:t>
      </w:r>
      <w:r w:rsidRPr="00F75C47">
        <w:rPr>
          <w:rFonts w:asciiTheme="majorBidi" w:hAnsiTheme="majorBidi" w:cstheme="majorBidi"/>
          <w:sz w:val="20"/>
          <w:szCs w:val="20"/>
        </w:rPr>
        <w:t>.</w:t>
      </w:r>
    </w:p>
    <w:p w14:paraId="3DF45CBD" w14:textId="5647B00C" w:rsidR="005B1F6F" w:rsidRPr="00F75C47" w:rsidRDefault="00E713F1" w:rsidP="00364BE7">
      <w:pPr>
        <w:tabs>
          <w:tab w:val="left" w:pos="1701"/>
        </w:tabs>
        <w:suppressAutoHyphens/>
        <w:spacing w:after="120" w:line="240" w:lineRule="atLeast"/>
        <w:ind w:left="1134" w:right="521"/>
        <w:jc w:val="both"/>
        <w:rPr>
          <w:rFonts w:asciiTheme="majorBidi" w:hAnsiTheme="majorBidi"/>
          <w:sz w:val="20"/>
          <w:u w:val="single"/>
        </w:rPr>
      </w:pPr>
      <w:r w:rsidRPr="00F75C47">
        <w:rPr>
          <w:rFonts w:asciiTheme="majorBidi" w:hAnsiTheme="majorBidi"/>
          <w:sz w:val="20"/>
          <w:u w:val="single"/>
        </w:rPr>
        <w:t>Reference for a p</w:t>
      </w:r>
      <w:r w:rsidR="005B1F6F" w:rsidRPr="00F75C47">
        <w:rPr>
          <w:rFonts w:asciiTheme="majorBidi" w:hAnsiTheme="majorBidi"/>
          <w:sz w:val="20"/>
          <w:u w:val="single"/>
        </w:rPr>
        <w:t xml:space="preserve">reliminary </w:t>
      </w:r>
      <w:r w:rsidRPr="00F75C47">
        <w:rPr>
          <w:rFonts w:asciiTheme="majorBidi" w:hAnsiTheme="majorBidi"/>
          <w:sz w:val="20"/>
          <w:u w:val="single"/>
        </w:rPr>
        <w:t>ruling</w:t>
      </w:r>
      <w:r w:rsidR="005B1F6F" w:rsidRPr="00F75C47">
        <w:rPr>
          <w:rFonts w:asciiTheme="majorBidi" w:hAnsiTheme="majorBidi"/>
          <w:sz w:val="20"/>
          <w:u w:val="single"/>
        </w:rPr>
        <w:t xml:space="preserve"> under article 267 TFEU</w:t>
      </w:r>
    </w:p>
    <w:p w14:paraId="6A62B64D" w14:textId="1739ABB5" w:rsidR="00AB220E" w:rsidRPr="00F75C47" w:rsidRDefault="005B1F6F" w:rsidP="007D18DC">
      <w:pPr>
        <w:numPr>
          <w:ilvl w:val="0"/>
          <w:numId w:val="2"/>
        </w:numPr>
        <w:tabs>
          <w:tab w:val="num" w:pos="1134"/>
          <w:tab w:val="left" w:pos="1701"/>
          <w:tab w:val="num" w:pos="2136"/>
        </w:tabs>
        <w:suppressAutoHyphens/>
        <w:spacing w:after="120" w:line="240" w:lineRule="atLeast"/>
        <w:ind w:left="1134" w:right="521" w:firstLine="0"/>
        <w:jc w:val="both"/>
        <w:rPr>
          <w:rFonts w:asciiTheme="majorBidi" w:hAnsiTheme="majorBidi"/>
          <w:sz w:val="20"/>
        </w:rPr>
      </w:pPr>
      <w:r w:rsidRPr="00F75C47">
        <w:rPr>
          <w:rFonts w:asciiTheme="majorBidi" w:hAnsiTheme="majorBidi"/>
          <w:sz w:val="20"/>
        </w:rPr>
        <w:t xml:space="preserve">With respect to the preliminary </w:t>
      </w:r>
      <w:r w:rsidR="00E713F1" w:rsidRPr="00F75C47">
        <w:rPr>
          <w:rFonts w:asciiTheme="majorBidi" w:hAnsiTheme="majorBidi"/>
          <w:sz w:val="20"/>
        </w:rPr>
        <w:t xml:space="preserve">ruling </w:t>
      </w:r>
      <w:r w:rsidRPr="00F75C47">
        <w:rPr>
          <w:rFonts w:asciiTheme="majorBidi" w:hAnsiTheme="majorBidi"/>
          <w:sz w:val="20"/>
        </w:rPr>
        <w:t xml:space="preserve">procedure in article 267 TFEU, </w:t>
      </w:r>
      <w:r w:rsidR="00BA0769" w:rsidRPr="00F75C47">
        <w:rPr>
          <w:rFonts w:asciiTheme="majorBidi" w:hAnsiTheme="majorBidi"/>
          <w:sz w:val="20"/>
        </w:rPr>
        <w:t xml:space="preserve">in its findings on communication </w:t>
      </w:r>
      <w:r w:rsidR="00BA0769" w:rsidRPr="00F75C47">
        <w:rPr>
          <w:rFonts w:asciiTheme="majorBidi" w:hAnsiTheme="majorBidi" w:cstheme="majorBidi"/>
          <w:sz w:val="20"/>
          <w:szCs w:val="20"/>
        </w:rPr>
        <w:t>ACCC/C/2008/32 (Part I)</w:t>
      </w:r>
      <w:r w:rsidRPr="00F75C47">
        <w:rPr>
          <w:rFonts w:asciiTheme="majorBidi" w:hAnsiTheme="majorBidi" w:cstheme="majorBidi"/>
          <w:sz w:val="20"/>
          <w:szCs w:val="20"/>
        </w:rPr>
        <w:t xml:space="preserve">, </w:t>
      </w:r>
      <w:r w:rsidR="00AB220E" w:rsidRPr="00F75C47">
        <w:rPr>
          <w:rFonts w:asciiTheme="majorBidi" w:hAnsiTheme="majorBidi" w:cstheme="majorBidi"/>
          <w:sz w:val="20"/>
          <w:szCs w:val="20"/>
        </w:rPr>
        <w:t>the Committee noted that:</w:t>
      </w:r>
    </w:p>
    <w:p w14:paraId="4D1721AB" w14:textId="15B78B0E" w:rsidR="00AB220E" w:rsidRPr="00F75C47" w:rsidRDefault="00AB220E" w:rsidP="00EA30E3">
      <w:pPr>
        <w:tabs>
          <w:tab w:val="left" w:pos="1701"/>
          <w:tab w:val="num" w:pos="2136"/>
        </w:tabs>
        <w:suppressAutoHyphens/>
        <w:spacing w:after="120" w:line="240" w:lineRule="atLeast"/>
        <w:ind w:left="1701" w:right="521"/>
        <w:jc w:val="both"/>
        <w:rPr>
          <w:rFonts w:asciiTheme="majorBidi" w:hAnsiTheme="majorBidi" w:cstheme="majorBidi"/>
          <w:sz w:val="20"/>
          <w:szCs w:val="20"/>
        </w:rPr>
      </w:pPr>
      <w:r w:rsidRPr="00F75C47">
        <w:rPr>
          <w:rFonts w:asciiTheme="majorBidi" w:hAnsiTheme="majorBidi" w:cstheme="majorBidi"/>
          <w:sz w:val="20"/>
          <w:szCs w:val="20"/>
        </w:rPr>
        <w:t>While it is not possible to contest directly an EU act before the courts of the member States, individuals and NGOs may in some States be able to challenge an implementing measure, and thus pursue the annulment by asking the national court to request a preliminary ruling of the ECJ. Yet, such a procedure requires that the NGO is granted standing in the EU member State concerned. It also requires that the national court decides to bring the case to the ECJ under the conditions set out in [the Treaty].</w:t>
      </w:r>
      <w:r w:rsidRPr="00F75C47">
        <w:rPr>
          <w:rStyle w:val="FootnoteReference"/>
          <w:rFonts w:asciiTheme="majorBidi" w:hAnsiTheme="majorBidi" w:cstheme="majorBidi"/>
          <w:szCs w:val="20"/>
        </w:rPr>
        <w:t xml:space="preserve"> </w:t>
      </w:r>
      <w:r w:rsidRPr="00F75C47">
        <w:rPr>
          <w:rStyle w:val="FootnoteReference"/>
          <w:rFonts w:asciiTheme="majorBidi" w:hAnsiTheme="majorBidi" w:cstheme="majorBidi"/>
          <w:szCs w:val="20"/>
        </w:rPr>
        <w:footnoteReference w:id="111"/>
      </w:r>
    </w:p>
    <w:p w14:paraId="060C5791" w14:textId="65009167" w:rsidR="00832750" w:rsidRPr="00F75C47" w:rsidRDefault="00AB220E" w:rsidP="00EA30E3">
      <w:pPr>
        <w:numPr>
          <w:ilvl w:val="0"/>
          <w:numId w:val="2"/>
        </w:numPr>
        <w:tabs>
          <w:tab w:val="num" w:pos="1134"/>
          <w:tab w:val="left" w:pos="1701"/>
          <w:tab w:val="num" w:pos="2136"/>
        </w:tabs>
        <w:suppressAutoHyphens/>
        <w:spacing w:after="120" w:line="240" w:lineRule="atLeast"/>
        <w:ind w:left="1134" w:right="521" w:firstLine="0"/>
        <w:jc w:val="both"/>
        <w:rPr>
          <w:rFonts w:asciiTheme="majorBidi" w:hAnsiTheme="majorBidi" w:cstheme="majorBidi"/>
          <w:sz w:val="20"/>
        </w:rPr>
      </w:pPr>
      <w:r w:rsidRPr="00F75C47">
        <w:rPr>
          <w:rFonts w:asciiTheme="majorBidi" w:hAnsiTheme="majorBidi" w:cstheme="majorBidi"/>
          <w:sz w:val="20"/>
          <w:szCs w:val="20"/>
        </w:rPr>
        <w:t xml:space="preserve">In those findings, after </w:t>
      </w:r>
      <w:proofErr w:type="gramStart"/>
      <w:r w:rsidRPr="00F75C47">
        <w:rPr>
          <w:rFonts w:asciiTheme="majorBidi" w:hAnsiTheme="majorBidi" w:cstheme="majorBidi"/>
          <w:sz w:val="20"/>
          <w:szCs w:val="20"/>
        </w:rPr>
        <w:t>taking into account</w:t>
      </w:r>
      <w:proofErr w:type="gramEnd"/>
      <w:r w:rsidRPr="00F75C47">
        <w:rPr>
          <w:rFonts w:asciiTheme="majorBidi" w:hAnsiTheme="majorBidi" w:cstheme="majorBidi"/>
          <w:sz w:val="20"/>
          <w:szCs w:val="20"/>
        </w:rPr>
        <w:t xml:space="preserve"> the above, </w:t>
      </w:r>
      <w:r w:rsidR="005B1F6F" w:rsidRPr="00F75C47">
        <w:rPr>
          <w:rFonts w:asciiTheme="majorBidi" w:hAnsiTheme="majorBidi" w:cstheme="majorBidi"/>
          <w:sz w:val="20"/>
          <w:szCs w:val="20"/>
        </w:rPr>
        <w:t>the Committee made clear that</w:t>
      </w:r>
      <w:r w:rsidR="00BA0769" w:rsidRPr="00F75C47">
        <w:rPr>
          <w:rFonts w:asciiTheme="majorBidi" w:hAnsiTheme="majorBidi" w:cstheme="majorBidi"/>
          <w:sz w:val="20"/>
          <w:szCs w:val="20"/>
        </w:rPr>
        <w:t>:</w:t>
      </w:r>
    </w:p>
    <w:p w14:paraId="2E99F93A" w14:textId="045F5FE0" w:rsidR="00BA0769" w:rsidRPr="00F75C47" w:rsidRDefault="00CF2786" w:rsidP="007D18DC">
      <w:pPr>
        <w:tabs>
          <w:tab w:val="left" w:pos="1701"/>
          <w:tab w:val="num" w:pos="2136"/>
        </w:tabs>
        <w:suppressAutoHyphens/>
        <w:spacing w:after="120" w:line="240" w:lineRule="atLeast"/>
        <w:ind w:left="1701" w:right="521"/>
        <w:jc w:val="both"/>
        <w:rPr>
          <w:rFonts w:asciiTheme="majorBidi" w:hAnsiTheme="majorBidi"/>
          <w:sz w:val="20"/>
        </w:rPr>
      </w:pPr>
      <w:r w:rsidRPr="00F75C47">
        <w:rPr>
          <w:rFonts w:asciiTheme="majorBidi" w:hAnsiTheme="majorBidi"/>
          <w:sz w:val="20"/>
        </w:rPr>
        <w:t xml:space="preserve">While the system of judicial review in the national courts of the EU member States, including the possibility to request a preliminary ruling, is a significant element for ensuring consistent application and proper implementation of EU law in its member States, it cannot be a basis for generally denying members of the public access to the EU Courts to challenge decisions, acts and omissions by EU institutions and bodies; nor does the system of preliminary review amount to an appellate system with regard to decisions, acts and omissions by the EU institutions and bodies. Thus, with respect to decisions, acts and omissions of EU institutions and bodies, the system of preliminary ruling neither </w:t>
      </w:r>
      <w:proofErr w:type="gramStart"/>
      <w:r w:rsidRPr="00F75C47">
        <w:rPr>
          <w:rFonts w:asciiTheme="majorBidi" w:hAnsiTheme="majorBidi"/>
          <w:sz w:val="20"/>
        </w:rPr>
        <w:t>in itself meets</w:t>
      </w:r>
      <w:proofErr w:type="gramEnd"/>
      <w:r w:rsidRPr="00F75C47">
        <w:rPr>
          <w:rFonts w:asciiTheme="majorBidi" w:hAnsiTheme="majorBidi"/>
          <w:sz w:val="20"/>
        </w:rPr>
        <w:t xml:space="preserve"> the requirements of access to justice in article 9 of the Convention, nor compensates for the strict jurisprudence of the EU Courts</w:t>
      </w:r>
      <w:r w:rsidR="005B1F6F" w:rsidRPr="00F75C47">
        <w:rPr>
          <w:rFonts w:asciiTheme="majorBidi" w:hAnsiTheme="majorBidi" w:cstheme="majorBidi"/>
          <w:sz w:val="20"/>
          <w:szCs w:val="20"/>
        </w:rPr>
        <w:t>.</w:t>
      </w:r>
      <w:r w:rsidRPr="00F75C47">
        <w:rPr>
          <w:rStyle w:val="FootnoteReference"/>
          <w:rFonts w:asciiTheme="majorBidi" w:hAnsiTheme="majorBidi"/>
        </w:rPr>
        <w:footnoteReference w:id="112"/>
      </w:r>
    </w:p>
    <w:p w14:paraId="00E2F457" w14:textId="1A7CEF16" w:rsidR="00867CA4" w:rsidRPr="00F75C47" w:rsidRDefault="00570715" w:rsidP="000F2392">
      <w:pPr>
        <w:numPr>
          <w:ilvl w:val="0"/>
          <w:numId w:val="2"/>
        </w:numPr>
        <w:tabs>
          <w:tab w:val="num" w:pos="1134"/>
          <w:tab w:val="left" w:pos="1701"/>
          <w:tab w:val="num" w:pos="2136"/>
        </w:tabs>
        <w:suppressAutoHyphens/>
        <w:spacing w:after="120" w:line="240" w:lineRule="atLeast"/>
        <w:ind w:left="1134" w:right="521" w:firstLine="0"/>
        <w:jc w:val="both"/>
        <w:rPr>
          <w:rFonts w:asciiTheme="majorBidi" w:hAnsiTheme="majorBidi"/>
          <w:sz w:val="20"/>
        </w:rPr>
      </w:pPr>
      <w:r w:rsidRPr="00F75C47">
        <w:rPr>
          <w:rFonts w:asciiTheme="majorBidi" w:hAnsiTheme="majorBidi"/>
          <w:sz w:val="20"/>
        </w:rPr>
        <w:t xml:space="preserve">The </w:t>
      </w:r>
      <w:r w:rsidRPr="00F75C47">
        <w:rPr>
          <w:rFonts w:asciiTheme="majorBidi" w:hAnsiTheme="majorBidi" w:cstheme="majorBidi"/>
          <w:sz w:val="20"/>
          <w:szCs w:val="20"/>
        </w:rPr>
        <w:t xml:space="preserve">caselaw cited by the Party concerned in the present case does not address the </w:t>
      </w:r>
      <w:r w:rsidR="00AB220E" w:rsidRPr="00F75C47">
        <w:rPr>
          <w:rFonts w:asciiTheme="majorBidi" w:hAnsiTheme="majorBidi" w:cstheme="majorBidi"/>
          <w:sz w:val="20"/>
          <w:szCs w:val="20"/>
        </w:rPr>
        <w:t xml:space="preserve">concerns regarding the preliminary </w:t>
      </w:r>
      <w:r w:rsidR="0027609D" w:rsidRPr="00F75C47">
        <w:rPr>
          <w:rFonts w:asciiTheme="majorBidi" w:hAnsiTheme="majorBidi" w:cstheme="majorBidi"/>
          <w:sz w:val="20"/>
          <w:szCs w:val="20"/>
        </w:rPr>
        <w:t xml:space="preserve">ruling </w:t>
      </w:r>
      <w:r w:rsidR="00AB220E" w:rsidRPr="00F75C47">
        <w:rPr>
          <w:rFonts w:asciiTheme="majorBidi" w:hAnsiTheme="majorBidi" w:cstheme="majorBidi"/>
          <w:sz w:val="20"/>
          <w:szCs w:val="20"/>
        </w:rPr>
        <w:t xml:space="preserve">procedure identified by the </w:t>
      </w:r>
      <w:r w:rsidR="00AB220E" w:rsidRPr="00F75C47">
        <w:rPr>
          <w:rFonts w:asciiTheme="majorBidi" w:hAnsiTheme="majorBidi"/>
          <w:sz w:val="20"/>
        </w:rPr>
        <w:t xml:space="preserve">Committee </w:t>
      </w:r>
      <w:r w:rsidR="00AB220E" w:rsidRPr="00F75C47">
        <w:rPr>
          <w:rFonts w:asciiTheme="majorBidi" w:hAnsiTheme="majorBidi" w:cstheme="majorBidi"/>
          <w:sz w:val="20"/>
          <w:szCs w:val="20"/>
        </w:rPr>
        <w:t xml:space="preserve">in its findings on communication ACCC/C/2008/32 (Part I). </w:t>
      </w:r>
      <w:r w:rsidR="00867CA4" w:rsidRPr="00F75C47">
        <w:rPr>
          <w:rFonts w:asciiTheme="majorBidi" w:hAnsiTheme="majorBidi" w:cstheme="majorBidi"/>
          <w:sz w:val="20"/>
          <w:szCs w:val="20"/>
        </w:rPr>
        <w:t xml:space="preserve">The Committee </w:t>
      </w:r>
      <w:r w:rsidRPr="00F75C47">
        <w:rPr>
          <w:rFonts w:asciiTheme="majorBidi" w:hAnsiTheme="majorBidi" w:cstheme="majorBidi"/>
          <w:sz w:val="20"/>
          <w:szCs w:val="20"/>
        </w:rPr>
        <w:t xml:space="preserve">accordingly </w:t>
      </w:r>
      <w:r w:rsidR="00867CA4" w:rsidRPr="00F75C47">
        <w:rPr>
          <w:rFonts w:asciiTheme="majorBidi" w:hAnsiTheme="majorBidi"/>
          <w:sz w:val="20"/>
        </w:rPr>
        <w:t xml:space="preserve">considers </w:t>
      </w:r>
      <w:r w:rsidR="00AB220E" w:rsidRPr="00F75C47">
        <w:rPr>
          <w:rFonts w:asciiTheme="majorBidi" w:hAnsiTheme="majorBidi" w:cstheme="majorBidi"/>
          <w:sz w:val="20"/>
          <w:szCs w:val="20"/>
        </w:rPr>
        <w:t>th</w:t>
      </w:r>
      <w:r w:rsidR="00B57074" w:rsidRPr="00F75C47">
        <w:rPr>
          <w:rFonts w:asciiTheme="majorBidi" w:hAnsiTheme="majorBidi" w:cstheme="majorBidi"/>
          <w:sz w:val="20"/>
          <w:szCs w:val="20"/>
        </w:rPr>
        <w:t>e</w:t>
      </w:r>
      <w:r w:rsidR="00AB220E" w:rsidRPr="00F75C47">
        <w:rPr>
          <w:rFonts w:asciiTheme="majorBidi" w:hAnsiTheme="majorBidi" w:cstheme="majorBidi"/>
          <w:sz w:val="20"/>
          <w:szCs w:val="20"/>
        </w:rPr>
        <w:t>se</w:t>
      </w:r>
      <w:r w:rsidR="00867CA4" w:rsidRPr="00F75C47">
        <w:rPr>
          <w:rFonts w:asciiTheme="majorBidi" w:hAnsiTheme="majorBidi" w:cstheme="majorBidi"/>
          <w:sz w:val="20"/>
          <w:szCs w:val="20"/>
        </w:rPr>
        <w:t xml:space="preserve"> finding</w:t>
      </w:r>
      <w:r w:rsidR="00AB220E" w:rsidRPr="00F75C47">
        <w:rPr>
          <w:rFonts w:asciiTheme="majorBidi" w:hAnsiTheme="majorBidi" w:cstheme="majorBidi"/>
          <w:sz w:val="20"/>
          <w:szCs w:val="20"/>
        </w:rPr>
        <w:t>s</w:t>
      </w:r>
      <w:r w:rsidR="00867CA4" w:rsidRPr="00F75C47">
        <w:rPr>
          <w:rFonts w:asciiTheme="majorBidi" w:hAnsiTheme="majorBidi"/>
          <w:sz w:val="20"/>
        </w:rPr>
        <w:t xml:space="preserve"> to be equally applicable to the present case.</w:t>
      </w:r>
      <w:r w:rsidRPr="00F75C47">
        <w:rPr>
          <w:rFonts w:asciiTheme="majorBidi" w:hAnsiTheme="majorBidi" w:cstheme="majorBidi"/>
          <w:sz w:val="20"/>
          <w:szCs w:val="20"/>
        </w:rPr>
        <w:t xml:space="preserve"> </w:t>
      </w:r>
    </w:p>
    <w:p w14:paraId="772DF94A" w14:textId="565EAA94" w:rsidR="005B1F6F" w:rsidRPr="00F75C47" w:rsidRDefault="005B1F6F" w:rsidP="00364BE7">
      <w:pPr>
        <w:tabs>
          <w:tab w:val="left" w:pos="1134"/>
        </w:tabs>
        <w:suppressAutoHyphens/>
        <w:spacing w:after="120" w:line="240" w:lineRule="atLeast"/>
        <w:ind w:left="1134" w:right="521"/>
        <w:jc w:val="both"/>
        <w:rPr>
          <w:rFonts w:asciiTheme="majorBidi" w:hAnsiTheme="majorBidi"/>
          <w:sz w:val="20"/>
          <w:u w:val="single"/>
        </w:rPr>
      </w:pPr>
      <w:r w:rsidRPr="00F75C47">
        <w:rPr>
          <w:rFonts w:asciiTheme="majorBidi" w:hAnsiTheme="majorBidi"/>
          <w:sz w:val="20"/>
          <w:u w:val="single"/>
        </w:rPr>
        <w:t xml:space="preserve">Access to justice regarding </w:t>
      </w:r>
      <w:r w:rsidR="00DA295E" w:rsidRPr="00F75C47">
        <w:rPr>
          <w:rFonts w:asciiTheme="majorBidi" w:hAnsiTheme="majorBidi"/>
          <w:sz w:val="20"/>
          <w:u w:val="single"/>
        </w:rPr>
        <w:t>other decision-making procedures</w:t>
      </w:r>
      <w:r w:rsidRPr="00F75C47">
        <w:rPr>
          <w:rFonts w:asciiTheme="majorBidi" w:hAnsiTheme="majorBidi"/>
          <w:sz w:val="20"/>
          <w:u w:val="single"/>
        </w:rPr>
        <w:t xml:space="preserve"> at the national level</w:t>
      </w:r>
    </w:p>
    <w:p w14:paraId="2CDF760C" w14:textId="54407ADC" w:rsidR="00DA295E" w:rsidRPr="00F75C47" w:rsidRDefault="00DA295E" w:rsidP="007D18DC">
      <w:pPr>
        <w:numPr>
          <w:ilvl w:val="0"/>
          <w:numId w:val="2"/>
        </w:numPr>
        <w:tabs>
          <w:tab w:val="num" w:pos="1134"/>
          <w:tab w:val="left" w:pos="1701"/>
          <w:tab w:val="num" w:pos="2136"/>
        </w:tabs>
        <w:suppressAutoHyphens/>
        <w:spacing w:after="120" w:line="240" w:lineRule="atLeast"/>
        <w:ind w:left="1134" w:right="521" w:firstLine="0"/>
        <w:jc w:val="both"/>
        <w:rPr>
          <w:rFonts w:asciiTheme="majorBidi" w:hAnsiTheme="majorBidi"/>
          <w:sz w:val="20"/>
        </w:rPr>
      </w:pPr>
      <w:r w:rsidRPr="00F75C47">
        <w:rPr>
          <w:rFonts w:asciiTheme="majorBidi" w:hAnsiTheme="majorBidi"/>
          <w:sz w:val="20"/>
        </w:rPr>
        <w:t>The Party concerned submits that the communicants had other opportunities for access to justice with respect to the environmental decision-making on Hinkley Point C at various stages, including the stages of environmental impact assessment, strategic environmental assessment and habitats, planning and permitting processes.</w:t>
      </w:r>
    </w:p>
    <w:p w14:paraId="48B61C45" w14:textId="6746CB5E" w:rsidR="00DA295E" w:rsidRPr="00F75C47" w:rsidRDefault="00DA295E" w:rsidP="007D18DC">
      <w:pPr>
        <w:numPr>
          <w:ilvl w:val="0"/>
          <w:numId w:val="2"/>
        </w:numPr>
        <w:tabs>
          <w:tab w:val="num" w:pos="1134"/>
          <w:tab w:val="left" w:pos="1701"/>
          <w:tab w:val="num" w:pos="2136"/>
        </w:tabs>
        <w:suppressAutoHyphens/>
        <w:spacing w:after="120" w:line="240" w:lineRule="atLeast"/>
        <w:ind w:left="1134" w:right="521" w:firstLine="0"/>
        <w:jc w:val="both"/>
        <w:rPr>
          <w:rFonts w:asciiTheme="majorBidi" w:hAnsiTheme="majorBidi"/>
          <w:sz w:val="20"/>
        </w:rPr>
      </w:pPr>
      <w:r w:rsidRPr="00F75C47">
        <w:rPr>
          <w:rFonts w:asciiTheme="majorBidi" w:hAnsiTheme="majorBidi"/>
          <w:sz w:val="20"/>
        </w:rPr>
        <w:t xml:space="preserve">The Committee points out that at none of the procedures or stages identified by the Party concerned would the communicants have been able to challenge the decision taken by the European Commission under article 108(2) TFEU. The possibilities for members of the public to have access to justice with respect to these other procedures are thus irrelevant to the present case.  </w:t>
      </w:r>
    </w:p>
    <w:p w14:paraId="692AF77E" w14:textId="31215E77" w:rsidR="005B1F6F" w:rsidRPr="00F75C47" w:rsidRDefault="005B1F6F" w:rsidP="007D18DC">
      <w:pPr>
        <w:tabs>
          <w:tab w:val="left" w:pos="1701"/>
          <w:tab w:val="num" w:pos="2136"/>
        </w:tabs>
        <w:suppressAutoHyphens/>
        <w:spacing w:after="120" w:line="240" w:lineRule="atLeast"/>
        <w:ind w:left="1134" w:right="521"/>
        <w:jc w:val="both"/>
        <w:rPr>
          <w:rFonts w:asciiTheme="majorBidi" w:hAnsiTheme="majorBidi"/>
          <w:i/>
          <w:sz w:val="20"/>
        </w:rPr>
      </w:pPr>
      <w:r w:rsidRPr="00F75C47">
        <w:rPr>
          <w:rFonts w:asciiTheme="majorBidi" w:hAnsiTheme="majorBidi"/>
          <w:i/>
          <w:sz w:val="20"/>
        </w:rPr>
        <w:t>Concluding remarks</w:t>
      </w:r>
    </w:p>
    <w:p w14:paraId="55295D54" w14:textId="07428A7F" w:rsidR="00186D4E" w:rsidRPr="00F75C47" w:rsidRDefault="000E7523" w:rsidP="000F2392">
      <w:pPr>
        <w:numPr>
          <w:ilvl w:val="0"/>
          <w:numId w:val="2"/>
        </w:numPr>
        <w:tabs>
          <w:tab w:val="num" w:pos="1134"/>
          <w:tab w:val="left" w:pos="1701"/>
          <w:tab w:val="num" w:pos="2136"/>
        </w:tabs>
        <w:suppressAutoHyphens/>
        <w:spacing w:after="120" w:line="240" w:lineRule="atLeast"/>
        <w:ind w:left="1134" w:right="521" w:firstLine="0"/>
        <w:jc w:val="both"/>
        <w:rPr>
          <w:rFonts w:asciiTheme="majorBidi" w:hAnsiTheme="majorBidi"/>
          <w:sz w:val="20"/>
        </w:rPr>
      </w:pPr>
      <w:bookmarkStart w:id="31" w:name="_Ref57817010"/>
      <w:r w:rsidRPr="00F75C47">
        <w:rPr>
          <w:rFonts w:asciiTheme="majorBidi" w:hAnsiTheme="majorBidi"/>
          <w:sz w:val="20"/>
        </w:rPr>
        <w:t>In light of the above, the Committee finds that</w:t>
      </w:r>
      <w:r w:rsidR="000F683E" w:rsidRPr="00F75C47">
        <w:rPr>
          <w:rFonts w:asciiTheme="majorBidi" w:hAnsiTheme="majorBidi"/>
          <w:sz w:val="20"/>
        </w:rPr>
        <w:t xml:space="preserve">, by failing to provide access to administrative or judicial procedures for members of the public to challenge decisions on state aid measures taken by the European Commission under article 108(2) TFEU which contravene EU law relating to the environment, </w:t>
      </w:r>
      <w:r w:rsidRPr="00F75C47">
        <w:rPr>
          <w:rFonts w:asciiTheme="majorBidi" w:hAnsiTheme="majorBidi"/>
          <w:sz w:val="20"/>
        </w:rPr>
        <w:t>the Party concerned</w:t>
      </w:r>
      <w:r w:rsidR="00CC49F7" w:rsidRPr="00F75C47">
        <w:rPr>
          <w:rFonts w:asciiTheme="majorBidi" w:hAnsiTheme="majorBidi"/>
          <w:sz w:val="20"/>
        </w:rPr>
        <w:t xml:space="preserve"> fails to comply with article 9(3) of the Convention.</w:t>
      </w:r>
      <w:bookmarkEnd w:id="31"/>
      <w:r w:rsidR="00CC49F7" w:rsidRPr="00F75C47">
        <w:rPr>
          <w:rFonts w:asciiTheme="majorBidi" w:hAnsiTheme="majorBidi"/>
          <w:sz w:val="20"/>
        </w:rPr>
        <w:t xml:space="preserve"> </w:t>
      </w:r>
    </w:p>
    <w:p w14:paraId="1CCF899B" w14:textId="77777777" w:rsidR="00730504" w:rsidRPr="00F75C47" w:rsidRDefault="00730504">
      <w:pPr>
        <w:tabs>
          <w:tab w:val="left" w:pos="1701"/>
          <w:tab w:val="num" w:pos="2136"/>
        </w:tabs>
        <w:suppressAutoHyphens/>
        <w:spacing w:after="120" w:line="240" w:lineRule="atLeast"/>
        <w:ind w:left="1134" w:right="521"/>
        <w:jc w:val="both"/>
        <w:rPr>
          <w:rFonts w:asciiTheme="majorBidi" w:hAnsiTheme="majorBidi"/>
          <w:b/>
          <w:sz w:val="20"/>
        </w:rPr>
      </w:pPr>
    </w:p>
    <w:p w14:paraId="18C1C72D" w14:textId="65E47B47" w:rsidR="008543AE" w:rsidRPr="00F75C47" w:rsidRDefault="008543AE">
      <w:pPr>
        <w:tabs>
          <w:tab w:val="left" w:pos="1701"/>
          <w:tab w:val="num" w:pos="2136"/>
        </w:tabs>
        <w:suppressAutoHyphens/>
        <w:spacing w:after="120" w:line="240" w:lineRule="atLeast"/>
        <w:ind w:left="1134" w:right="521"/>
        <w:jc w:val="both"/>
        <w:rPr>
          <w:rFonts w:asciiTheme="majorBidi" w:hAnsiTheme="majorBidi"/>
          <w:b/>
          <w:sz w:val="20"/>
        </w:rPr>
      </w:pPr>
      <w:r w:rsidRPr="00F75C47">
        <w:rPr>
          <w:rFonts w:asciiTheme="majorBidi" w:hAnsiTheme="majorBidi"/>
          <w:b/>
          <w:sz w:val="20"/>
        </w:rPr>
        <w:t xml:space="preserve">Article 9(4) </w:t>
      </w:r>
      <w:r w:rsidR="00E764B1" w:rsidRPr="00F75C47">
        <w:rPr>
          <w:rFonts w:asciiTheme="majorBidi" w:hAnsiTheme="majorBidi" w:cstheme="majorBidi"/>
          <w:b/>
          <w:bCs/>
          <w:sz w:val="20"/>
          <w:szCs w:val="20"/>
        </w:rPr>
        <w:t>– adequate and effective remedies</w:t>
      </w:r>
    </w:p>
    <w:p w14:paraId="67B2BB2E" w14:textId="41467809" w:rsidR="00871902" w:rsidRPr="00F75C47" w:rsidRDefault="00AB61E5" w:rsidP="000F2392">
      <w:pPr>
        <w:numPr>
          <w:ilvl w:val="0"/>
          <w:numId w:val="2"/>
        </w:numPr>
        <w:tabs>
          <w:tab w:val="clear" w:pos="1994"/>
          <w:tab w:val="num" w:pos="1134"/>
          <w:tab w:val="left" w:pos="1701"/>
          <w:tab w:val="num" w:pos="2136"/>
        </w:tabs>
        <w:suppressAutoHyphens/>
        <w:spacing w:after="120" w:line="240" w:lineRule="atLeast"/>
        <w:ind w:left="1134" w:right="521" w:firstLine="0"/>
        <w:jc w:val="both"/>
        <w:rPr>
          <w:rFonts w:asciiTheme="majorBidi" w:hAnsiTheme="majorBidi"/>
          <w:sz w:val="20"/>
        </w:rPr>
      </w:pPr>
      <w:r w:rsidRPr="00F75C47">
        <w:rPr>
          <w:rFonts w:asciiTheme="majorBidi" w:hAnsiTheme="majorBidi"/>
          <w:sz w:val="20"/>
        </w:rPr>
        <w:t xml:space="preserve">In the light of its finding in </w:t>
      </w:r>
      <w:r w:rsidR="00871902" w:rsidRPr="00F75C47">
        <w:rPr>
          <w:rFonts w:asciiTheme="majorBidi" w:hAnsiTheme="majorBidi"/>
          <w:sz w:val="20"/>
        </w:rPr>
        <w:t xml:space="preserve">paragraph </w:t>
      </w:r>
      <w:r w:rsidR="00871902" w:rsidRPr="00F75C47">
        <w:rPr>
          <w:rFonts w:asciiTheme="majorBidi" w:hAnsiTheme="majorBidi" w:cstheme="majorBidi"/>
          <w:sz w:val="20"/>
          <w:szCs w:val="20"/>
        </w:rPr>
        <w:fldChar w:fldCharType="begin"/>
      </w:r>
      <w:r w:rsidR="00871902" w:rsidRPr="00F75C47">
        <w:rPr>
          <w:rFonts w:asciiTheme="majorBidi" w:hAnsiTheme="majorBidi" w:cstheme="majorBidi"/>
          <w:sz w:val="20"/>
          <w:szCs w:val="20"/>
        </w:rPr>
        <w:instrText xml:space="preserve"> REF _Ref57817010 \r \h </w:instrText>
      </w:r>
      <w:r w:rsidR="005967B0" w:rsidRPr="00F75C47">
        <w:rPr>
          <w:rFonts w:asciiTheme="majorBidi" w:hAnsiTheme="majorBidi" w:cstheme="majorBidi"/>
          <w:sz w:val="20"/>
          <w:szCs w:val="20"/>
        </w:rPr>
        <w:instrText xml:space="preserve"> \* MERGEFORMAT </w:instrText>
      </w:r>
      <w:r w:rsidR="00871902" w:rsidRPr="00F75C47">
        <w:rPr>
          <w:rFonts w:asciiTheme="majorBidi" w:hAnsiTheme="majorBidi" w:cstheme="majorBidi"/>
          <w:sz w:val="20"/>
          <w:szCs w:val="20"/>
        </w:rPr>
      </w:r>
      <w:r w:rsidR="00871902" w:rsidRPr="00F75C47">
        <w:rPr>
          <w:rFonts w:asciiTheme="majorBidi" w:hAnsiTheme="majorBidi" w:cstheme="majorBidi"/>
          <w:sz w:val="20"/>
          <w:szCs w:val="20"/>
        </w:rPr>
        <w:fldChar w:fldCharType="separate"/>
      </w:r>
      <w:r w:rsidR="00B30651">
        <w:rPr>
          <w:rFonts w:asciiTheme="majorBidi" w:hAnsiTheme="majorBidi" w:cstheme="majorBidi"/>
          <w:sz w:val="20"/>
          <w:szCs w:val="20"/>
          <w:cs/>
        </w:rPr>
        <w:t>‎</w:t>
      </w:r>
      <w:r w:rsidR="00B30651">
        <w:rPr>
          <w:rFonts w:asciiTheme="majorBidi" w:hAnsiTheme="majorBidi" w:cstheme="majorBidi"/>
          <w:sz w:val="20"/>
          <w:szCs w:val="20"/>
        </w:rPr>
        <w:t>132</w:t>
      </w:r>
      <w:r w:rsidR="00871902" w:rsidRPr="00F75C47">
        <w:rPr>
          <w:rFonts w:asciiTheme="majorBidi" w:hAnsiTheme="majorBidi" w:cstheme="majorBidi"/>
          <w:sz w:val="20"/>
          <w:szCs w:val="20"/>
        </w:rPr>
        <w:fldChar w:fldCharType="end"/>
      </w:r>
      <w:r w:rsidR="00871902" w:rsidRPr="00F75C47">
        <w:rPr>
          <w:rFonts w:asciiTheme="majorBidi" w:hAnsiTheme="majorBidi"/>
          <w:sz w:val="20"/>
        </w:rPr>
        <w:t xml:space="preserve"> above</w:t>
      </w:r>
      <w:r w:rsidRPr="00F75C47">
        <w:rPr>
          <w:rFonts w:asciiTheme="majorBidi" w:hAnsiTheme="majorBidi"/>
          <w:sz w:val="20"/>
        </w:rPr>
        <w:t xml:space="preserve">, the Committee finds that, by failing to provide </w:t>
      </w:r>
      <w:r w:rsidR="00DE77A7" w:rsidRPr="00F75C47">
        <w:rPr>
          <w:rFonts w:asciiTheme="majorBidi" w:hAnsiTheme="majorBidi"/>
          <w:sz w:val="20"/>
        </w:rPr>
        <w:t>a</w:t>
      </w:r>
      <w:r w:rsidRPr="00F75C47">
        <w:rPr>
          <w:rFonts w:asciiTheme="majorBidi" w:hAnsiTheme="majorBidi"/>
          <w:sz w:val="20"/>
        </w:rPr>
        <w:t>ny procedure under article 9(3) of the Convention</w:t>
      </w:r>
      <w:r w:rsidR="00871902" w:rsidRPr="00F75C47">
        <w:rPr>
          <w:rFonts w:asciiTheme="majorBidi" w:hAnsiTheme="majorBidi"/>
          <w:sz w:val="20"/>
        </w:rPr>
        <w:t xml:space="preserve"> through which members of the public </w:t>
      </w:r>
      <w:r w:rsidRPr="00F75C47">
        <w:rPr>
          <w:rFonts w:asciiTheme="majorBidi" w:hAnsiTheme="majorBidi"/>
          <w:sz w:val="20"/>
        </w:rPr>
        <w:t>are able to</w:t>
      </w:r>
      <w:r w:rsidR="00871902" w:rsidRPr="00F75C47">
        <w:rPr>
          <w:rFonts w:asciiTheme="majorBidi" w:hAnsiTheme="majorBidi"/>
          <w:sz w:val="20"/>
        </w:rPr>
        <w:t xml:space="preserve"> challenge decisions on state aid measures by the European Commission under article 108(2) TFEU which contravene EU law relating to the environment, the </w:t>
      </w:r>
      <w:r w:rsidRPr="00F75C47">
        <w:rPr>
          <w:rFonts w:asciiTheme="majorBidi" w:hAnsiTheme="majorBidi"/>
          <w:sz w:val="20"/>
        </w:rPr>
        <w:t xml:space="preserve">Party concerned </w:t>
      </w:r>
      <w:r w:rsidR="00BA59FA" w:rsidRPr="00F75C47">
        <w:rPr>
          <w:rFonts w:asciiTheme="majorBidi" w:hAnsiTheme="majorBidi"/>
          <w:sz w:val="20"/>
        </w:rPr>
        <w:t xml:space="preserve">also </w:t>
      </w:r>
      <w:r w:rsidRPr="00F75C47">
        <w:rPr>
          <w:rFonts w:asciiTheme="majorBidi" w:hAnsiTheme="majorBidi"/>
          <w:sz w:val="20"/>
        </w:rPr>
        <w:t xml:space="preserve">fails to provide an adequate and effective remedy </w:t>
      </w:r>
      <w:r w:rsidR="008A297C" w:rsidRPr="00F75C47">
        <w:rPr>
          <w:rFonts w:asciiTheme="majorBidi" w:hAnsiTheme="majorBidi" w:cstheme="majorBidi"/>
          <w:sz w:val="20"/>
          <w:szCs w:val="20"/>
        </w:rPr>
        <w:t>regarding</w:t>
      </w:r>
      <w:r w:rsidRPr="00F75C47">
        <w:rPr>
          <w:rFonts w:asciiTheme="majorBidi" w:hAnsiTheme="majorBidi"/>
          <w:sz w:val="20"/>
        </w:rPr>
        <w:t xml:space="preserve"> such decisions as required by article 9(4) of the Convention.</w:t>
      </w:r>
      <w:r w:rsidR="00871902" w:rsidRPr="00F75C47">
        <w:rPr>
          <w:rFonts w:asciiTheme="majorBidi" w:hAnsiTheme="majorBidi"/>
          <w:sz w:val="20"/>
        </w:rPr>
        <w:t xml:space="preserve"> </w:t>
      </w:r>
    </w:p>
    <w:p w14:paraId="68B42024" w14:textId="77777777" w:rsidR="00A20BF4" w:rsidRPr="00F75C47" w:rsidRDefault="00A20BF4">
      <w:pPr>
        <w:tabs>
          <w:tab w:val="left" w:pos="1701"/>
          <w:tab w:val="num" w:pos="2136"/>
        </w:tabs>
        <w:suppressAutoHyphens/>
        <w:spacing w:after="120" w:line="240" w:lineRule="atLeast"/>
        <w:ind w:right="521"/>
        <w:jc w:val="both"/>
        <w:rPr>
          <w:rFonts w:asciiTheme="majorBidi" w:hAnsiTheme="majorBidi"/>
          <w:sz w:val="20"/>
        </w:rPr>
      </w:pPr>
    </w:p>
    <w:p w14:paraId="2F0C231B" w14:textId="4461B19D" w:rsidR="004F18D0" w:rsidRPr="00F75C47" w:rsidRDefault="004F18D0" w:rsidP="00364BE7">
      <w:pPr>
        <w:keepNext/>
        <w:keepLines/>
        <w:tabs>
          <w:tab w:val="right" w:pos="851"/>
          <w:tab w:val="left" w:pos="1701"/>
        </w:tabs>
        <w:suppressAutoHyphens/>
        <w:spacing w:before="360" w:after="240" w:line="300" w:lineRule="exact"/>
        <w:ind w:left="1134" w:right="1134"/>
        <w:rPr>
          <w:rFonts w:asciiTheme="majorBidi" w:hAnsiTheme="majorBidi"/>
          <w:b/>
          <w:sz w:val="28"/>
        </w:rPr>
      </w:pPr>
      <w:r w:rsidRPr="00F75C47">
        <w:rPr>
          <w:rFonts w:asciiTheme="majorBidi" w:hAnsiTheme="majorBidi"/>
          <w:b/>
          <w:sz w:val="28"/>
        </w:rPr>
        <w:t>IV.</w:t>
      </w:r>
      <w:r w:rsidRPr="00F75C47">
        <w:rPr>
          <w:rFonts w:asciiTheme="majorBidi" w:hAnsiTheme="majorBidi"/>
          <w:b/>
          <w:sz w:val="28"/>
        </w:rPr>
        <w:tab/>
        <w:t xml:space="preserve">Conclusions and recommendations </w:t>
      </w:r>
    </w:p>
    <w:p w14:paraId="7FAB8125" w14:textId="77777777" w:rsidR="004F18D0" w:rsidRPr="00F75C47" w:rsidRDefault="004F18D0" w:rsidP="007D18DC">
      <w:pPr>
        <w:numPr>
          <w:ilvl w:val="0"/>
          <w:numId w:val="2"/>
        </w:numPr>
        <w:tabs>
          <w:tab w:val="num" w:pos="1134"/>
          <w:tab w:val="left" w:pos="1701"/>
        </w:tabs>
        <w:suppressAutoHyphens/>
        <w:spacing w:after="120" w:line="240" w:lineRule="atLeast"/>
        <w:ind w:left="1134" w:right="521" w:firstLine="0"/>
        <w:jc w:val="both"/>
        <w:rPr>
          <w:rFonts w:asciiTheme="majorBidi" w:hAnsiTheme="majorBidi"/>
          <w:sz w:val="20"/>
        </w:rPr>
      </w:pPr>
      <w:r w:rsidRPr="00F75C47">
        <w:rPr>
          <w:rFonts w:asciiTheme="majorBidi" w:hAnsiTheme="majorBidi"/>
          <w:sz w:val="20"/>
        </w:rPr>
        <w:t>Having considered the above, the Committee adopts the findings and recommendations set out in the following paragraphs.</w:t>
      </w:r>
    </w:p>
    <w:p w14:paraId="71866D70" w14:textId="77777777" w:rsidR="004F18D0" w:rsidRPr="00F75C47" w:rsidRDefault="004F18D0" w:rsidP="00364BE7">
      <w:pPr>
        <w:keepNext/>
        <w:keepLines/>
        <w:numPr>
          <w:ilvl w:val="0"/>
          <w:numId w:val="4"/>
        </w:numPr>
        <w:tabs>
          <w:tab w:val="right" w:pos="851"/>
          <w:tab w:val="left" w:pos="1701"/>
        </w:tabs>
        <w:suppressAutoHyphens/>
        <w:spacing w:before="360" w:after="240" w:line="270" w:lineRule="exact"/>
        <w:ind w:right="1134" w:firstLine="0"/>
        <w:rPr>
          <w:rFonts w:asciiTheme="majorBidi" w:hAnsiTheme="majorBidi"/>
          <w:b/>
          <w:sz w:val="24"/>
        </w:rPr>
      </w:pPr>
      <w:r w:rsidRPr="00F75C47">
        <w:rPr>
          <w:rFonts w:asciiTheme="majorBidi" w:hAnsiTheme="majorBidi"/>
          <w:b/>
          <w:sz w:val="24"/>
        </w:rPr>
        <w:t xml:space="preserve">Main findings </w:t>
      </w:r>
      <w:proofErr w:type="gramStart"/>
      <w:r w:rsidRPr="00F75C47">
        <w:rPr>
          <w:rFonts w:asciiTheme="majorBidi" w:hAnsiTheme="majorBidi"/>
          <w:b/>
          <w:sz w:val="24"/>
        </w:rPr>
        <w:t>with regard to</w:t>
      </w:r>
      <w:proofErr w:type="gramEnd"/>
      <w:r w:rsidRPr="00F75C47">
        <w:rPr>
          <w:rFonts w:asciiTheme="majorBidi" w:hAnsiTheme="majorBidi"/>
          <w:b/>
          <w:sz w:val="24"/>
        </w:rPr>
        <w:t xml:space="preserve"> non-compliance</w:t>
      </w:r>
    </w:p>
    <w:p w14:paraId="013D670C" w14:textId="4E4F385C" w:rsidR="00871902" w:rsidRPr="00F75C47" w:rsidRDefault="00871902" w:rsidP="007D18DC">
      <w:pPr>
        <w:numPr>
          <w:ilvl w:val="0"/>
          <w:numId w:val="2"/>
        </w:numPr>
        <w:tabs>
          <w:tab w:val="num" w:pos="1134"/>
          <w:tab w:val="left" w:pos="1701"/>
        </w:tabs>
        <w:suppressAutoHyphens/>
        <w:spacing w:after="120" w:line="240" w:lineRule="atLeast"/>
        <w:ind w:left="1134" w:right="521" w:firstLine="0"/>
        <w:jc w:val="both"/>
        <w:rPr>
          <w:rFonts w:asciiTheme="majorBidi" w:hAnsiTheme="majorBidi"/>
          <w:sz w:val="20"/>
        </w:rPr>
      </w:pPr>
      <w:r w:rsidRPr="00F75C47">
        <w:rPr>
          <w:rFonts w:asciiTheme="majorBidi" w:hAnsiTheme="majorBidi"/>
          <w:sz w:val="20"/>
        </w:rPr>
        <w:t>The Committee finds that:</w:t>
      </w:r>
    </w:p>
    <w:p w14:paraId="5DB27A60" w14:textId="72E7A987" w:rsidR="00871902" w:rsidRPr="00F75C47" w:rsidRDefault="00871902" w:rsidP="00364BE7">
      <w:pPr>
        <w:pStyle w:val="ListParagraph"/>
        <w:numPr>
          <w:ilvl w:val="0"/>
          <w:numId w:val="46"/>
        </w:numPr>
        <w:tabs>
          <w:tab w:val="left" w:pos="1701"/>
        </w:tabs>
        <w:suppressAutoHyphens/>
        <w:spacing w:after="120" w:line="240" w:lineRule="atLeast"/>
        <w:ind w:left="1134" w:right="521" w:firstLine="567"/>
        <w:jc w:val="both"/>
        <w:rPr>
          <w:rFonts w:asciiTheme="majorBidi" w:hAnsiTheme="majorBidi"/>
          <w:sz w:val="20"/>
        </w:rPr>
      </w:pPr>
      <w:r w:rsidRPr="00F75C47">
        <w:rPr>
          <w:rFonts w:asciiTheme="majorBidi" w:hAnsiTheme="majorBidi"/>
          <w:sz w:val="20"/>
        </w:rPr>
        <w:t xml:space="preserve">By failing to provide access to administrative or judicial procedures for members of the public to challenge decisions on state aid measures taken by the European Commission under article 108(2) TFEU which contravene EU law relating to the environment, the Party concerned fails to comply with article 9 (3) of the Convention; </w:t>
      </w:r>
    </w:p>
    <w:p w14:paraId="18F5515A" w14:textId="77777777" w:rsidR="008231B4" w:rsidRPr="00F75C47" w:rsidRDefault="008231B4" w:rsidP="00364BE7">
      <w:pPr>
        <w:pStyle w:val="ListParagraph"/>
        <w:tabs>
          <w:tab w:val="left" w:pos="1701"/>
        </w:tabs>
        <w:suppressAutoHyphens/>
        <w:spacing w:after="120" w:line="240" w:lineRule="atLeast"/>
        <w:ind w:left="1134" w:right="521"/>
        <w:jc w:val="both"/>
        <w:rPr>
          <w:rFonts w:asciiTheme="majorBidi" w:hAnsiTheme="majorBidi"/>
          <w:sz w:val="20"/>
        </w:rPr>
      </w:pPr>
    </w:p>
    <w:p w14:paraId="3C8D8F6B" w14:textId="37467417" w:rsidR="00BA59FA" w:rsidRPr="00F75C47" w:rsidRDefault="00BA59FA" w:rsidP="00364BE7">
      <w:pPr>
        <w:pStyle w:val="ListParagraph"/>
        <w:numPr>
          <w:ilvl w:val="0"/>
          <w:numId w:val="46"/>
        </w:numPr>
        <w:tabs>
          <w:tab w:val="left" w:pos="1701"/>
        </w:tabs>
        <w:suppressAutoHyphens/>
        <w:spacing w:after="120" w:line="240" w:lineRule="atLeast"/>
        <w:ind w:left="1134" w:right="521" w:firstLine="567"/>
        <w:jc w:val="both"/>
        <w:rPr>
          <w:rFonts w:asciiTheme="majorBidi" w:hAnsiTheme="majorBidi"/>
          <w:sz w:val="20"/>
        </w:rPr>
      </w:pPr>
      <w:r w:rsidRPr="00F75C47">
        <w:rPr>
          <w:rFonts w:asciiTheme="majorBidi" w:hAnsiTheme="majorBidi"/>
          <w:sz w:val="20"/>
        </w:rPr>
        <w:t xml:space="preserve">By failing to provide any procedure under article 9(3) of the Convention through which members of the public are able to challenge decisions on state aid measures taken by the European Commission under article 108(2) TFEU which contravene EU law relating to the environment, the Party concerned also fails to provide an adequate and effective remedy </w:t>
      </w:r>
      <w:r w:rsidR="008A297C" w:rsidRPr="00F75C47">
        <w:rPr>
          <w:rFonts w:asciiTheme="majorBidi" w:hAnsiTheme="majorBidi" w:cstheme="majorBidi"/>
          <w:sz w:val="20"/>
          <w:szCs w:val="20"/>
        </w:rPr>
        <w:t>regarding</w:t>
      </w:r>
      <w:r w:rsidRPr="00F75C47">
        <w:rPr>
          <w:rFonts w:asciiTheme="majorBidi" w:hAnsiTheme="majorBidi"/>
          <w:sz w:val="20"/>
        </w:rPr>
        <w:t xml:space="preserve"> such decisions as required by article 9(4) of the Convention.</w:t>
      </w:r>
    </w:p>
    <w:p w14:paraId="79896F5F" w14:textId="24E07537" w:rsidR="00B174AF" w:rsidRPr="00F75C47" w:rsidRDefault="004F18D0" w:rsidP="00364BE7">
      <w:pPr>
        <w:keepNext/>
        <w:keepLines/>
        <w:tabs>
          <w:tab w:val="right" w:pos="851"/>
          <w:tab w:val="left" w:pos="1134"/>
        </w:tabs>
        <w:suppressAutoHyphens/>
        <w:spacing w:before="360" w:after="240" w:line="270" w:lineRule="exact"/>
        <w:ind w:left="1134" w:right="1134"/>
        <w:rPr>
          <w:rFonts w:asciiTheme="majorBidi" w:hAnsiTheme="majorBidi"/>
          <w:sz w:val="20"/>
        </w:rPr>
      </w:pPr>
      <w:r w:rsidRPr="00F75C47">
        <w:rPr>
          <w:rFonts w:asciiTheme="majorBidi" w:hAnsiTheme="majorBidi"/>
          <w:b/>
          <w:sz w:val="24"/>
        </w:rPr>
        <w:t>B.</w:t>
      </w:r>
      <w:r w:rsidRPr="00F75C47">
        <w:rPr>
          <w:rFonts w:asciiTheme="majorBidi" w:hAnsiTheme="majorBidi"/>
          <w:b/>
          <w:sz w:val="24"/>
        </w:rPr>
        <w:tab/>
        <w:t>Recommendations</w:t>
      </w:r>
    </w:p>
    <w:p w14:paraId="0438F249" w14:textId="45ECD889" w:rsidR="00EA164E" w:rsidRPr="00F75C47" w:rsidRDefault="004F18D0" w:rsidP="007D18DC">
      <w:pPr>
        <w:numPr>
          <w:ilvl w:val="0"/>
          <w:numId w:val="2"/>
        </w:numPr>
        <w:tabs>
          <w:tab w:val="num" w:pos="1134"/>
          <w:tab w:val="left" w:pos="1701"/>
        </w:tabs>
        <w:suppressAutoHyphens/>
        <w:spacing w:after="120" w:line="240" w:lineRule="atLeast"/>
        <w:ind w:left="1134" w:right="521" w:firstLine="0"/>
        <w:jc w:val="both"/>
        <w:rPr>
          <w:rFonts w:asciiTheme="majorBidi" w:hAnsiTheme="majorBidi"/>
          <w:sz w:val="20"/>
        </w:rPr>
      </w:pPr>
      <w:r w:rsidRPr="00F75C47">
        <w:rPr>
          <w:rFonts w:asciiTheme="majorBidi" w:hAnsiTheme="majorBidi"/>
          <w:sz w:val="20"/>
        </w:rPr>
        <w:t xml:space="preserve">The Committee, pursuant to paragraph 36 (b) of the annex to decision I/7[, and noting the agreement of the Party concerned that the Committee take the measures requested in paragraph 37 (b) of the annex to decision I/7,] recommends that the Party concerned </w:t>
      </w:r>
      <w:r w:rsidR="00EA164E" w:rsidRPr="00F75C47">
        <w:rPr>
          <w:rFonts w:asciiTheme="majorBidi" w:hAnsiTheme="majorBidi"/>
          <w:sz w:val="20"/>
        </w:rPr>
        <w:t>take the necessary legislative, regulatory and other measures to</w:t>
      </w:r>
      <w:r w:rsidRPr="00F75C47">
        <w:rPr>
          <w:rFonts w:asciiTheme="majorBidi" w:hAnsiTheme="majorBidi"/>
          <w:sz w:val="20"/>
        </w:rPr>
        <w:t xml:space="preserve"> ensure that</w:t>
      </w:r>
      <w:r w:rsidR="00BE1438" w:rsidRPr="00F75C47">
        <w:rPr>
          <w:rFonts w:asciiTheme="majorBidi" w:hAnsiTheme="majorBidi"/>
          <w:sz w:val="20"/>
        </w:rPr>
        <w:t xml:space="preserve"> the</w:t>
      </w:r>
      <w:r w:rsidR="00EA164E" w:rsidRPr="00F75C47">
        <w:rPr>
          <w:rFonts w:asciiTheme="majorBidi" w:hAnsiTheme="majorBidi"/>
          <w:sz w:val="20"/>
        </w:rPr>
        <w:t xml:space="preserve"> Aarhus Regulation is amended, or new European Union legislation is </w:t>
      </w:r>
      <w:r w:rsidR="0027609D" w:rsidRPr="00F75C47">
        <w:rPr>
          <w:rFonts w:asciiTheme="majorBidi" w:hAnsiTheme="majorBidi"/>
          <w:sz w:val="20"/>
        </w:rPr>
        <w:t>adopted</w:t>
      </w:r>
      <w:r w:rsidR="00EA164E" w:rsidRPr="00F75C47">
        <w:rPr>
          <w:rFonts w:asciiTheme="majorBidi" w:hAnsiTheme="majorBidi"/>
          <w:sz w:val="20"/>
        </w:rPr>
        <w:t xml:space="preserve">, to clearly provide members of the public with access to administrative or judicial procedures to challenge </w:t>
      </w:r>
      <w:r w:rsidR="00BE1438" w:rsidRPr="00F75C47">
        <w:rPr>
          <w:rFonts w:asciiTheme="majorBidi" w:hAnsiTheme="majorBidi"/>
          <w:sz w:val="20"/>
        </w:rPr>
        <w:t xml:space="preserve">decisions on state aid measures taken by the European Commission under article 108(2) TFEU which contravene EU law relating to the environment, </w:t>
      </w:r>
      <w:r w:rsidR="00EA164E" w:rsidRPr="00F75C47">
        <w:rPr>
          <w:rFonts w:asciiTheme="majorBidi" w:hAnsiTheme="majorBidi"/>
          <w:sz w:val="20"/>
        </w:rPr>
        <w:t>in accordance with article 9(3) and (4) of the Convention.</w:t>
      </w:r>
    </w:p>
    <w:p w14:paraId="795AA23D" w14:textId="77777777" w:rsidR="004F18D0" w:rsidRPr="00364BE7" w:rsidRDefault="004F18D0" w:rsidP="007D18DC">
      <w:pPr>
        <w:pStyle w:val="ListParagraph"/>
        <w:tabs>
          <w:tab w:val="left" w:pos="1701"/>
        </w:tabs>
        <w:suppressAutoHyphens/>
        <w:spacing w:after="120" w:line="240" w:lineRule="atLeast"/>
        <w:ind w:left="1843" w:right="521"/>
        <w:jc w:val="center"/>
        <w:rPr>
          <w:rFonts w:asciiTheme="majorBidi" w:hAnsiTheme="majorBidi"/>
          <w:sz w:val="20"/>
        </w:rPr>
      </w:pPr>
      <w:r w:rsidRPr="00F75C47">
        <w:rPr>
          <w:rFonts w:asciiTheme="majorBidi" w:hAnsiTheme="majorBidi"/>
          <w:sz w:val="20"/>
        </w:rPr>
        <w:t>____________________</w:t>
      </w:r>
      <w:bookmarkEnd w:id="0"/>
    </w:p>
    <w:sectPr w:rsidR="004F18D0" w:rsidRPr="00364BE7" w:rsidSect="002F702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2C4D7" w14:textId="77777777" w:rsidR="00AC74AD" w:rsidRDefault="00AC74AD" w:rsidP="00D14D7D">
      <w:pPr>
        <w:spacing w:after="0" w:line="240" w:lineRule="auto"/>
      </w:pPr>
      <w:r>
        <w:separator/>
      </w:r>
    </w:p>
  </w:endnote>
  <w:endnote w:type="continuationSeparator" w:id="0">
    <w:p w14:paraId="6A642AAA" w14:textId="77777777" w:rsidR="00AC74AD" w:rsidRDefault="00AC74AD" w:rsidP="00D14D7D">
      <w:pPr>
        <w:spacing w:after="0" w:line="240" w:lineRule="auto"/>
      </w:pPr>
      <w:r>
        <w:continuationSeparator/>
      </w:r>
    </w:p>
  </w:endnote>
  <w:endnote w:type="continuationNotice" w:id="1">
    <w:p w14:paraId="7F8C40C0" w14:textId="77777777" w:rsidR="00AC74AD" w:rsidRDefault="00AC74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195F3" w14:textId="77777777" w:rsidR="00AC74AD" w:rsidRDefault="00AC74AD" w:rsidP="00D14D7D">
      <w:pPr>
        <w:spacing w:after="0" w:line="240" w:lineRule="auto"/>
      </w:pPr>
      <w:r>
        <w:separator/>
      </w:r>
    </w:p>
  </w:footnote>
  <w:footnote w:type="continuationSeparator" w:id="0">
    <w:p w14:paraId="01A1536C" w14:textId="77777777" w:rsidR="00AC74AD" w:rsidRDefault="00AC74AD" w:rsidP="00D14D7D">
      <w:pPr>
        <w:spacing w:after="0" w:line="240" w:lineRule="auto"/>
      </w:pPr>
      <w:r>
        <w:continuationSeparator/>
      </w:r>
    </w:p>
  </w:footnote>
  <w:footnote w:type="continuationNotice" w:id="1">
    <w:p w14:paraId="0C0F6935" w14:textId="77777777" w:rsidR="00AC74AD" w:rsidRDefault="00AC74AD">
      <w:pPr>
        <w:spacing w:after="0" w:line="240" w:lineRule="auto"/>
      </w:pPr>
    </w:p>
  </w:footnote>
  <w:footnote w:id="2">
    <w:p w14:paraId="2705B7B0" w14:textId="77777777" w:rsidR="004E7C4D" w:rsidRPr="00FE2D73" w:rsidRDefault="004E7C4D" w:rsidP="0006508B">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This section summarizes only the main facts, evidence and issues considered to be relevant to the question of compliance, as presented to and considered by the Committee.</w:t>
      </w:r>
    </w:p>
  </w:footnote>
  <w:footnote w:id="3">
    <w:p w14:paraId="26FA73BD" w14:textId="09A5D095" w:rsidR="004E7C4D" w:rsidRPr="00FE2D73" w:rsidRDefault="004E7C4D" w:rsidP="0006508B">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Party’s reply to the Committee’s questions, 26 June 2018, para. 17.</w:t>
      </w:r>
    </w:p>
  </w:footnote>
  <w:footnote w:id="4">
    <w:p w14:paraId="2F31AAC7" w14:textId="14657A2A" w:rsidR="004E7C4D" w:rsidRPr="00FE2D73" w:rsidRDefault="004E7C4D" w:rsidP="0006508B">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Party’s reply to the Committee’s questions, 26 June 2018, para. 17, and Party’s comments on the communicant’s comments of 21 July 2018, 26 October 2018, p. 6.</w:t>
      </w:r>
    </w:p>
  </w:footnote>
  <w:footnote w:id="5">
    <w:p w14:paraId="0B92F970" w14:textId="7A3D442A" w:rsidR="004E7C4D" w:rsidRPr="00364BE7" w:rsidRDefault="004E7C4D" w:rsidP="0006508B">
      <w:pPr>
        <w:pStyle w:val="FootnoteText"/>
        <w:ind w:left="1134"/>
        <w:rPr>
          <w:rFonts w:asciiTheme="majorBidi" w:hAnsiTheme="majorBidi"/>
          <w:sz w:val="18"/>
        </w:rPr>
      </w:pPr>
      <w:r w:rsidRPr="00FE2D73">
        <w:rPr>
          <w:rStyle w:val="FootnoteReference"/>
          <w:rFonts w:asciiTheme="majorBidi" w:hAnsiTheme="majorBidi" w:cstheme="majorBidi"/>
          <w:szCs w:val="18"/>
        </w:rPr>
        <w:footnoteRef/>
      </w:r>
      <w:r w:rsidRPr="00364BE7">
        <w:rPr>
          <w:rFonts w:asciiTheme="majorBidi" w:hAnsiTheme="majorBidi"/>
          <w:sz w:val="18"/>
        </w:rPr>
        <w:t xml:space="preserve"> Communication, annex 1, p. 82.</w:t>
      </w:r>
    </w:p>
  </w:footnote>
  <w:footnote w:id="6">
    <w:p w14:paraId="649611C5" w14:textId="3AD70D45" w:rsidR="004E7C4D" w:rsidRPr="00FE2D73" w:rsidRDefault="004E7C4D" w:rsidP="0006508B">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Party’s response to the communication, para. 14.</w:t>
      </w:r>
    </w:p>
  </w:footnote>
  <w:footnote w:id="7">
    <w:p w14:paraId="011BAC77" w14:textId="189D96C6" w:rsidR="004E7C4D" w:rsidRPr="00FE2D73" w:rsidRDefault="004E7C4D" w:rsidP="0006508B">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w:t>
      </w:r>
      <w:r>
        <w:rPr>
          <w:rFonts w:asciiTheme="majorBidi" w:hAnsiTheme="majorBidi" w:cstheme="majorBidi"/>
          <w:sz w:val="18"/>
          <w:szCs w:val="18"/>
        </w:rPr>
        <w:t>Ibid.</w:t>
      </w:r>
    </w:p>
  </w:footnote>
  <w:footnote w:id="8">
    <w:p w14:paraId="3BF417E7" w14:textId="5CB7068D" w:rsidR="004E7C4D" w:rsidRPr="00FE2D73" w:rsidRDefault="004E7C4D" w:rsidP="0006508B">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w:t>
      </w:r>
      <w:r>
        <w:rPr>
          <w:rFonts w:asciiTheme="majorBidi" w:hAnsiTheme="majorBidi" w:cstheme="majorBidi"/>
          <w:sz w:val="18"/>
          <w:szCs w:val="18"/>
        </w:rPr>
        <w:t>Ibid.</w:t>
      </w:r>
    </w:p>
  </w:footnote>
  <w:footnote w:id="9">
    <w:p w14:paraId="74C85979" w14:textId="67DF1011" w:rsidR="004E7C4D" w:rsidRPr="00FE2D73" w:rsidRDefault="004E7C4D" w:rsidP="0006508B">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w:t>
      </w:r>
      <w:r>
        <w:rPr>
          <w:rFonts w:asciiTheme="majorBidi" w:hAnsiTheme="majorBidi" w:cstheme="majorBidi"/>
          <w:sz w:val="18"/>
          <w:szCs w:val="18"/>
        </w:rPr>
        <w:t>Ibid.</w:t>
      </w:r>
    </w:p>
  </w:footnote>
  <w:footnote w:id="10">
    <w:p w14:paraId="247099E1" w14:textId="77777777" w:rsidR="004E7C4D" w:rsidRPr="00FE2D73" w:rsidRDefault="004E7C4D" w:rsidP="00F85683">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Council Regulation (EC) No 659/1999 of 22 March 1999 laying down detailed rules for the application of Article 93 of the EC Treaty.</w:t>
      </w:r>
    </w:p>
  </w:footnote>
  <w:footnote w:id="11">
    <w:p w14:paraId="0ECC102D" w14:textId="161D5A43" w:rsidR="004E7C4D" w:rsidRPr="00FE2D73" w:rsidRDefault="004E7C4D" w:rsidP="00F85683">
      <w:pPr>
        <w:pStyle w:val="FootnoteText"/>
        <w:ind w:left="1134"/>
        <w:rPr>
          <w:rFonts w:asciiTheme="majorBidi" w:hAnsiTheme="majorBidi" w:cstheme="majorBidi"/>
          <w:sz w:val="18"/>
          <w:szCs w:val="18"/>
          <w:lang w:val="en-US"/>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At the time of the adoption of Regulation 659/1999, article 108 TFEU was article 93 of the Treaty establishing the European Community. It later became article 88 of that Treaty, and since the Lisbon Treaty, is now article 108 TFEU.</w:t>
      </w:r>
    </w:p>
  </w:footnote>
  <w:footnote w:id="12">
    <w:p w14:paraId="753CE2E9" w14:textId="31A9D5FE" w:rsidR="004E7C4D" w:rsidRPr="00FE2D73" w:rsidRDefault="004E7C4D">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Additional information from the communicant</w:t>
      </w:r>
      <w:r>
        <w:rPr>
          <w:rFonts w:asciiTheme="majorBidi" w:hAnsiTheme="majorBidi" w:cstheme="majorBidi"/>
          <w:sz w:val="18"/>
          <w:szCs w:val="18"/>
        </w:rPr>
        <w:t>s</w:t>
      </w:r>
      <w:r w:rsidRPr="00FE2D73">
        <w:rPr>
          <w:rFonts w:asciiTheme="majorBidi" w:hAnsiTheme="majorBidi" w:cstheme="majorBidi"/>
          <w:sz w:val="18"/>
          <w:szCs w:val="18"/>
        </w:rPr>
        <w:t>, 20 May 2015, p 3.</w:t>
      </w:r>
    </w:p>
  </w:footnote>
  <w:footnote w:id="13">
    <w:p w14:paraId="64592B31" w14:textId="77777777" w:rsidR="004E7C4D" w:rsidRPr="00364BE7" w:rsidRDefault="004E7C4D">
      <w:pPr>
        <w:pStyle w:val="FootnoteText"/>
        <w:ind w:left="1134"/>
        <w:rPr>
          <w:rFonts w:asciiTheme="majorBidi" w:hAnsiTheme="majorBidi"/>
          <w:sz w:val="18"/>
          <w:lang w:val="fr-CH"/>
        </w:rPr>
      </w:pPr>
      <w:r w:rsidRPr="00FE2D73">
        <w:rPr>
          <w:rStyle w:val="FootnoteReference"/>
          <w:rFonts w:asciiTheme="majorBidi" w:hAnsiTheme="majorBidi" w:cstheme="majorBidi"/>
          <w:szCs w:val="18"/>
        </w:rPr>
        <w:footnoteRef/>
      </w:r>
      <w:r w:rsidRPr="00364BE7">
        <w:rPr>
          <w:rFonts w:asciiTheme="majorBidi" w:hAnsiTheme="majorBidi"/>
          <w:sz w:val="18"/>
          <w:lang w:val="fr-CH"/>
        </w:rPr>
        <w:t xml:space="preserve"> Communication, p. 2.</w:t>
      </w:r>
    </w:p>
  </w:footnote>
  <w:footnote w:id="14">
    <w:p w14:paraId="2DACB0A5" w14:textId="140C633E" w:rsidR="004E7C4D" w:rsidRPr="00364BE7" w:rsidRDefault="004E7C4D">
      <w:pPr>
        <w:pStyle w:val="FootnoteText"/>
        <w:ind w:left="1134"/>
        <w:rPr>
          <w:rFonts w:asciiTheme="majorBidi" w:hAnsiTheme="majorBidi"/>
          <w:sz w:val="18"/>
          <w:lang w:val="fr-CH"/>
        </w:rPr>
      </w:pPr>
      <w:r w:rsidRPr="00FE2D73">
        <w:rPr>
          <w:rStyle w:val="FootnoteReference"/>
          <w:rFonts w:asciiTheme="majorBidi" w:hAnsiTheme="majorBidi" w:cstheme="majorBidi"/>
          <w:szCs w:val="18"/>
        </w:rPr>
        <w:footnoteRef/>
      </w:r>
      <w:r w:rsidRPr="00364BE7">
        <w:rPr>
          <w:rFonts w:asciiTheme="majorBidi" w:hAnsiTheme="majorBidi"/>
          <w:sz w:val="18"/>
          <w:lang w:val="fr-CH"/>
        </w:rPr>
        <w:t xml:space="preserve"> Communication, </w:t>
      </w:r>
      <w:proofErr w:type="spellStart"/>
      <w:r w:rsidRPr="00364BE7">
        <w:rPr>
          <w:rFonts w:asciiTheme="majorBidi" w:hAnsiTheme="majorBidi"/>
          <w:sz w:val="18"/>
          <w:lang w:val="fr-CH"/>
        </w:rPr>
        <w:t>annex</w:t>
      </w:r>
      <w:proofErr w:type="spellEnd"/>
      <w:r w:rsidRPr="00364BE7">
        <w:rPr>
          <w:rFonts w:asciiTheme="majorBidi" w:hAnsiTheme="majorBidi"/>
          <w:sz w:val="18"/>
          <w:lang w:val="fr-CH"/>
        </w:rPr>
        <w:t xml:space="preserve"> 1, </w:t>
      </w:r>
      <w:r w:rsidRPr="00FE2D73">
        <w:rPr>
          <w:rFonts w:asciiTheme="majorBidi" w:hAnsiTheme="majorBidi" w:cstheme="majorBidi"/>
          <w:sz w:val="18"/>
          <w:szCs w:val="18"/>
          <w:lang w:val="fr-CH"/>
        </w:rPr>
        <w:t>p. 64</w:t>
      </w:r>
      <w:r w:rsidRPr="00364BE7">
        <w:rPr>
          <w:rFonts w:asciiTheme="majorBidi" w:hAnsiTheme="majorBidi"/>
          <w:sz w:val="18"/>
          <w:lang w:val="fr-CH"/>
        </w:rPr>
        <w:t>.</w:t>
      </w:r>
    </w:p>
  </w:footnote>
  <w:footnote w:id="15">
    <w:p w14:paraId="499B8338" w14:textId="73785016" w:rsidR="004E7C4D" w:rsidRPr="00FE2D73" w:rsidRDefault="004E7C4D" w:rsidP="00367AC2">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2249C2">
        <w:rPr>
          <w:rFonts w:asciiTheme="majorBidi" w:hAnsiTheme="majorBidi" w:cstheme="majorBidi"/>
          <w:sz w:val="18"/>
          <w:szCs w:val="18"/>
        </w:rPr>
        <w:t xml:space="preserve"> </w:t>
      </w:r>
      <w:r>
        <w:rPr>
          <w:rFonts w:asciiTheme="majorBidi" w:hAnsiTheme="majorBidi" w:cstheme="majorBidi"/>
          <w:sz w:val="18"/>
          <w:szCs w:val="18"/>
        </w:rPr>
        <w:t>Ibid.</w:t>
      </w:r>
      <w:r w:rsidRPr="002249C2">
        <w:rPr>
          <w:rFonts w:asciiTheme="majorBidi" w:hAnsiTheme="majorBidi" w:cstheme="majorBidi"/>
          <w:sz w:val="18"/>
          <w:szCs w:val="18"/>
        </w:rPr>
        <w:t xml:space="preserve">, </w:t>
      </w:r>
      <w:r w:rsidRPr="00FE2D73">
        <w:rPr>
          <w:rFonts w:asciiTheme="majorBidi" w:hAnsiTheme="majorBidi" w:cstheme="majorBidi"/>
          <w:sz w:val="18"/>
          <w:szCs w:val="18"/>
        </w:rPr>
        <w:t>p. 83.</w:t>
      </w:r>
    </w:p>
  </w:footnote>
  <w:footnote w:id="16">
    <w:p w14:paraId="6E05D9AD" w14:textId="6313115A" w:rsidR="004E7C4D" w:rsidRPr="00FE2D73" w:rsidRDefault="004E7C4D" w:rsidP="003914AC">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Directive 2003/87/EC of the European Parliament and of the Council of 13 October 2003 establishing a scheme for greenhouse gas emission allowance trading within the Community and amending council Directive 96/61/EC.</w:t>
      </w:r>
    </w:p>
  </w:footnote>
  <w:footnote w:id="17">
    <w:p w14:paraId="717CB5FC" w14:textId="6D8DA866" w:rsidR="004E7C4D" w:rsidRPr="00FE2D73" w:rsidRDefault="004E7C4D" w:rsidP="003914AC">
      <w:pPr>
        <w:pStyle w:val="FootnoteText"/>
        <w:ind w:left="1134"/>
        <w:rPr>
          <w:rFonts w:asciiTheme="majorBidi" w:hAnsiTheme="majorBidi" w:cstheme="majorBidi"/>
          <w:sz w:val="18"/>
          <w:szCs w:val="18"/>
          <w:lang w:val="fr-CH"/>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lang w:val="fr-CH"/>
        </w:rPr>
        <w:t xml:space="preserve"> Communication, </w:t>
      </w:r>
      <w:proofErr w:type="spellStart"/>
      <w:r w:rsidRPr="00FE2D73">
        <w:rPr>
          <w:rFonts w:asciiTheme="majorBidi" w:hAnsiTheme="majorBidi" w:cstheme="majorBidi"/>
          <w:sz w:val="18"/>
          <w:szCs w:val="18"/>
          <w:lang w:val="fr-CH"/>
        </w:rPr>
        <w:t>annex</w:t>
      </w:r>
      <w:proofErr w:type="spellEnd"/>
      <w:r w:rsidRPr="00FE2D73">
        <w:rPr>
          <w:rFonts w:asciiTheme="majorBidi" w:hAnsiTheme="majorBidi" w:cstheme="majorBidi"/>
          <w:sz w:val="18"/>
          <w:szCs w:val="18"/>
          <w:lang w:val="fr-CH"/>
        </w:rPr>
        <w:t xml:space="preserve"> 1, p. 83.</w:t>
      </w:r>
    </w:p>
  </w:footnote>
  <w:footnote w:id="18">
    <w:p w14:paraId="753D3125" w14:textId="69A55C1E" w:rsidR="004E7C4D" w:rsidRPr="00FE2D73" w:rsidRDefault="004E7C4D" w:rsidP="00C149B3">
      <w:pPr>
        <w:pStyle w:val="FootnoteText"/>
        <w:ind w:left="1134"/>
        <w:rPr>
          <w:rFonts w:asciiTheme="majorBidi" w:hAnsiTheme="majorBidi" w:cstheme="majorBidi"/>
          <w:sz w:val="18"/>
          <w:szCs w:val="18"/>
          <w:lang w:val="fr-CH"/>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lang w:val="fr-CH"/>
        </w:rPr>
        <w:t xml:space="preserve"> </w:t>
      </w:r>
      <w:r>
        <w:rPr>
          <w:rFonts w:asciiTheme="majorBidi" w:hAnsiTheme="majorBidi" w:cstheme="majorBidi"/>
          <w:sz w:val="18"/>
          <w:szCs w:val="18"/>
          <w:lang w:val="fr-CH"/>
        </w:rPr>
        <w:t>Ibid.</w:t>
      </w:r>
      <w:r w:rsidRPr="00FE2D73">
        <w:rPr>
          <w:rFonts w:asciiTheme="majorBidi" w:hAnsiTheme="majorBidi" w:cstheme="majorBidi"/>
          <w:sz w:val="18"/>
          <w:szCs w:val="18"/>
          <w:lang w:val="fr-CH"/>
        </w:rPr>
        <w:t>, p. 62.</w:t>
      </w:r>
    </w:p>
  </w:footnote>
  <w:footnote w:id="19">
    <w:p w14:paraId="407B4416" w14:textId="07CBDC1E" w:rsidR="004E7C4D" w:rsidRPr="00FE2D73" w:rsidRDefault="004E7C4D">
      <w:pPr>
        <w:pStyle w:val="FootnoteText"/>
        <w:ind w:left="1134"/>
        <w:rPr>
          <w:rFonts w:asciiTheme="majorBidi" w:hAnsiTheme="majorBidi" w:cstheme="majorBidi"/>
          <w:sz w:val="18"/>
          <w:szCs w:val="18"/>
          <w:lang w:val="fr-CH"/>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lang w:val="fr-CH"/>
        </w:rPr>
        <w:t xml:space="preserve"> </w:t>
      </w:r>
      <w:r>
        <w:rPr>
          <w:rFonts w:asciiTheme="majorBidi" w:hAnsiTheme="majorBidi" w:cstheme="majorBidi"/>
          <w:sz w:val="18"/>
          <w:szCs w:val="18"/>
          <w:lang w:val="fr-CH"/>
        </w:rPr>
        <w:t>Ibid.</w:t>
      </w:r>
      <w:r w:rsidRPr="00FE2D73">
        <w:rPr>
          <w:rFonts w:asciiTheme="majorBidi" w:hAnsiTheme="majorBidi" w:cstheme="majorBidi"/>
          <w:sz w:val="18"/>
          <w:szCs w:val="18"/>
          <w:lang w:val="fr-CH"/>
        </w:rPr>
        <w:t xml:space="preserve">, p. 83. </w:t>
      </w:r>
    </w:p>
  </w:footnote>
  <w:footnote w:id="20">
    <w:p w14:paraId="5F21DF8B" w14:textId="354EB8DB" w:rsidR="004E7C4D" w:rsidRPr="00FE2D73" w:rsidRDefault="004E7C4D">
      <w:pPr>
        <w:pStyle w:val="FootnoteText"/>
        <w:ind w:left="1134"/>
        <w:rPr>
          <w:rFonts w:asciiTheme="majorBidi" w:hAnsiTheme="majorBidi" w:cstheme="majorBidi"/>
          <w:sz w:val="18"/>
          <w:szCs w:val="18"/>
          <w:lang w:val="fr-CH"/>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lang w:val="fr-CH"/>
        </w:rPr>
        <w:t xml:space="preserve"> Ibid.</w:t>
      </w:r>
    </w:p>
  </w:footnote>
  <w:footnote w:id="21">
    <w:p w14:paraId="3189AEA4" w14:textId="28166DBF" w:rsidR="004E7C4D" w:rsidRPr="00FE2D73" w:rsidRDefault="004E7C4D">
      <w:pPr>
        <w:pStyle w:val="FootnoteText"/>
        <w:ind w:left="1134"/>
        <w:rPr>
          <w:rFonts w:asciiTheme="majorBidi" w:hAnsiTheme="majorBidi" w:cstheme="majorBidi"/>
          <w:sz w:val="18"/>
          <w:szCs w:val="18"/>
          <w:lang w:val="fr-CH"/>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lang w:val="fr-CH"/>
        </w:rPr>
        <w:t xml:space="preserve"> Ibid.</w:t>
      </w:r>
    </w:p>
  </w:footnote>
  <w:footnote w:id="22">
    <w:p w14:paraId="5D5C2EB8" w14:textId="32C82FFC" w:rsidR="004E7C4D" w:rsidRPr="00FE2D73" w:rsidRDefault="004E7C4D">
      <w:pPr>
        <w:pStyle w:val="FootnoteText"/>
        <w:ind w:left="1134"/>
        <w:rPr>
          <w:rFonts w:asciiTheme="majorBidi" w:hAnsiTheme="majorBidi" w:cstheme="majorBidi"/>
          <w:sz w:val="18"/>
          <w:szCs w:val="18"/>
          <w:lang w:val="fr-CH"/>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lang w:val="fr-CH"/>
        </w:rPr>
        <w:t xml:space="preserve"> </w:t>
      </w:r>
      <w:r>
        <w:rPr>
          <w:rFonts w:asciiTheme="majorBidi" w:hAnsiTheme="majorBidi" w:cstheme="majorBidi"/>
          <w:sz w:val="18"/>
          <w:szCs w:val="18"/>
          <w:lang w:val="fr-CH"/>
        </w:rPr>
        <w:t>Ibid.</w:t>
      </w:r>
      <w:r w:rsidRPr="00FE2D73">
        <w:rPr>
          <w:rFonts w:asciiTheme="majorBidi" w:hAnsiTheme="majorBidi" w:cstheme="majorBidi"/>
          <w:sz w:val="18"/>
          <w:szCs w:val="18"/>
          <w:lang w:val="fr-CH"/>
        </w:rPr>
        <w:t>, p. 95.</w:t>
      </w:r>
    </w:p>
  </w:footnote>
  <w:footnote w:id="23">
    <w:p w14:paraId="5B2F612E" w14:textId="3CED7ECE" w:rsidR="004E7C4D" w:rsidRPr="004516F1" w:rsidRDefault="004E7C4D">
      <w:pPr>
        <w:pStyle w:val="FootnoteText"/>
        <w:ind w:left="1134"/>
        <w:rPr>
          <w:rFonts w:asciiTheme="majorBidi" w:hAnsiTheme="majorBidi" w:cstheme="majorBidi"/>
          <w:sz w:val="18"/>
          <w:szCs w:val="18"/>
          <w:lang w:val="fr-CH"/>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lang w:val="fr-CH"/>
        </w:rPr>
        <w:t xml:space="preserve"> Communication, </w:t>
      </w:r>
      <w:proofErr w:type="spellStart"/>
      <w:r w:rsidRPr="00FE2D73">
        <w:rPr>
          <w:rFonts w:asciiTheme="majorBidi" w:hAnsiTheme="majorBidi" w:cstheme="majorBidi"/>
          <w:sz w:val="18"/>
          <w:szCs w:val="18"/>
          <w:lang w:val="fr-CH"/>
        </w:rPr>
        <w:t>annex</w:t>
      </w:r>
      <w:proofErr w:type="spellEnd"/>
      <w:r w:rsidRPr="00FE2D73">
        <w:rPr>
          <w:rFonts w:asciiTheme="majorBidi" w:hAnsiTheme="majorBidi" w:cstheme="majorBidi"/>
          <w:sz w:val="18"/>
          <w:szCs w:val="18"/>
          <w:lang w:val="fr-CH"/>
        </w:rPr>
        <w:t xml:space="preserve"> 2, para. </w:t>
      </w:r>
      <w:r w:rsidRPr="004516F1">
        <w:rPr>
          <w:rFonts w:asciiTheme="majorBidi" w:hAnsiTheme="majorBidi" w:cstheme="majorBidi"/>
          <w:sz w:val="18"/>
          <w:szCs w:val="18"/>
          <w:lang w:val="fr-CH"/>
        </w:rPr>
        <w:t>172.</w:t>
      </w:r>
    </w:p>
  </w:footnote>
  <w:footnote w:id="24">
    <w:p w14:paraId="5CD42283" w14:textId="01499443" w:rsidR="004E7C4D" w:rsidRPr="00EE5071" w:rsidRDefault="004E7C4D">
      <w:pPr>
        <w:pStyle w:val="FootnoteText"/>
        <w:ind w:left="1134"/>
        <w:rPr>
          <w:rFonts w:asciiTheme="majorBidi" w:hAnsiTheme="majorBidi"/>
          <w:sz w:val="18"/>
        </w:rPr>
      </w:pPr>
      <w:r w:rsidRPr="00FE2D73">
        <w:rPr>
          <w:rStyle w:val="FootnoteReference"/>
          <w:rFonts w:asciiTheme="majorBidi" w:hAnsiTheme="majorBidi" w:cstheme="majorBidi"/>
          <w:szCs w:val="18"/>
        </w:rPr>
        <w:footnoteRef/>
      </w:r>
      <w:r w:rsidRPr="00EE5071">
        <w:rPr>
          <w:rFonts w:asciiTheme="majorBidi" w:hAnsiTheme="majorBidi"/>
          <w:sz w:val="18"/>
        </w:rPr>
        <w:t xml:space="preserve"> Communication, p. 3 and annex 2, pp. 2 and 76.</w:t>
      </w:r>
    </w:p>
  </w:footnote>
  <w:footnote w:id="25">
    <w:p w14:paraId="1B074F93" w14:textId="78207B8E" w:rsidR="004E7C4D" w:rsidRPr="00FE2D73" w:rsidRDefault="004E7C4D">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Communication, annex 2, paras. 373-374.</w:t>
      </w:r>
    </w:p>
  </w:footnote>
  <w:footnote w:id="26">
    <w:p w14:paraId="5576588E" w14:textId="4C86F8FE" w:rsidR="004E7C4D" w:rsidRPr="00FE2D73" w:rsidRDefault="004E7C4D">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Update from the communicants, 26 February 2018, p. 1, and Party’s reply to the Committee’s questions, 26 June 2018, para. 44.</w:t>
      </w:r>
    </w:p>
  </w:footnote>
  <w:footnote w:id="27">
    <w:p w14:paraId="2B30C5DD" w14:textId="7D99098F" w:rsidR="004E7C4D" w:rsidRPr="002249C2" w:rsidRDefault="004E7C4D">
      <w:pPr>
        <w:pStyle w:val="FootnoteText"/>
        <w:ind w:left="1134"/>
        <w:rPr>
          <w:rFonts w:asciiTheme="majorBidi" w:hAnsiTheme="majorBidi"/>
          <w:sz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Party’s comments on the communicants’ comments of 21 July 2007, para. </w:t>
      </w:r>
      <w:r w:rsidRPr="002249C2">
        <w:rPr>
          <w:rFonts w:asciiTheme="majorBidi" w:hAnsiTheme="majorBidi"/>
          <w:sz w:val="18"/>
        </w:rPr>
        <w:t>16.</w:t>
      </w:r>
    </w:p>
  </w:footnote>
  <w:footnote w:id="28">
    <w:p w14:paraId="3D1A22CC" w14:textId="7430B56D" w:rsidR="004E7C4D" w:rsidRPr="00FE2D73" w:rsidRDefault="004E7C4D" w:rsidP="000F2392">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2249C2">
        <w:rPr>
          <w:rFonts w:asciiTheme="majorBidi" w:hAnsiTheme="majorBidi"/>
          <w:sz w:val="18"/>
        </w:rPr>
        <w:t xml:space="preserve"> </w:t>
      </w:r>
      <w:r w:rsidRPr="002249C2">
        <w:rPr>
          <w:rFonts w:asciiTheme="majorBidi" w:hAnsiTheme="majorBidi" w:cstheme="majorBidi"/>
          <w:sz w:val="18"/>
          <w:szCs w:val="18"/>
        </w:rPr>
        <w:t>Paras.</w:t>
      </w:r>
      <w:r w:rsidRPr="002249C2">
        <w:rPr>
          <w:rFonts w:asciiTheme="majorBidi" w:hAnsiTheme="majorBidi"/>
          <w:sz w:val="18"/>
        </w:rPr>
        <w:t xml:space="preserve"> </w:t>
      </w:r>
      <w:r w:rsidRPr="00FE2D73">
        <w:rPr>
          <w:rFonts w:asciiTheme="majorBidi" w:hAnsiTheme="majorBidi" w:cstheme="majorBidi"/>
          <w:sz w:val="18"/>
          <w:szCs w:val="18"/>
        </w:rPr>
        <w:t>42-47 and 100.</w:t>
      </w:r>
    </w:p>
  </w:footnote>
  <w:footnote w:id="29">
    <w:p w14:paraId="67D02ED6" w14:textId="096C4CFA" w:rsidR="004E7C4D" w:rsidRPr="00FE2D73" w:rsidRDefault="004E7C4D">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Party’s response to the communication, paras. 19 and 26.</w:t>
      </w:r>
    </w:p>
  </w:footnote>
  <w:footnote w:id="30">
    <w:p w14:paraId="38A1C134" w14:textId="44E59C28" w:rsidR="004E7C4D" w:rsidRPr="00FE2D73" w:rsidRDefault="004E7C4D">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w:t>
      </w:r>
      <w:r>
        <w:rPr>
          <w:rFonts w:asciiTheme="majorBidi" w:hAnsiTheme="majorBidi" w:cstheme="majorBidi"/>
          <w:sz w:val="18"/>
          <w:szCs w:val="18"/>
        </w:rPr>
        <w:t>Ibid.</w:t>
      </w:r>
      <w:r w:rsidRPr="00FE2D73">
        <w:rPr>
          <w:rFonts w:asciiTheme="majorBidi" w:hAnsiTheme="majorBidi" w:cstheme="majorBidi"/>
          <w:sz w:val="18"/>
          <w:szCs w:val="18"/>
        </w:rPr>
        <w:t>, paras. 21-22.</w:t>
      </w:r>
    </w:p>
  </w:footnote>
  <w:footnote w:id="31">
    <w:p w14:paraId="307DAC3A" w14:textId="2B936ECA" w:rsidR="004E7C4D" w:rsidRPr="00FE2D73" w:rsidRDefault="004E7C4D">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w:t>
      </w:r>
      <w:r>
        <w:rPr>
          <w:rFonts w:asciiTheme="majorBidi" w:hAnsiTheme="majorBidi" w:cstheme="majorBidi"/>
          <w:sz w:val="18"/>
          <w:szCs w:val="18"/>
        </w:rPr>
        <w:t>Ibid.</w:t>
      </w:r>
      <w:r w:rsidRPr="00FE2D73">
        <w:rPr>
          <w:rFonts w:asciiTheme="majorBidi" w:hAnsiTheme="majorBidi" w:cstheme="majorBidi"/>
          <w:sz w:val="18"/>
          <w:szCs w:val="18"/>
        </w:rPr>
        <w:t>, paras. 19 and 24.</w:t>
      </w:r>
    </w:p>
  </w:footnote>
  <w:footnote w:id="32">
    <w:p w14:paraId="6044F9B8" w14:textId="520DFEE4" w:rsidR="004E7C4D" w:rsidRPr="00FE2D73" w:rsidRDefault="004E7C4D">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w:t>
      </w:r>
      <w:r>
        <w:rPr>
          <w:rFonts w:asciiTheme="majorBidi" w:hAnsiTheme="majorBidi" w:cstheme="majorBidi"/>
          <w:sz w:val="18"/>
          <w:szCs w:val="18"/>
        </w:rPr>
        <w:t>Ibid.</w:t>
      </w:r>
      <w:r w:rsidRPr="00FE2D73">
        <w:rPr>
          <w:rFonts w:asciiTheme="majorBidi" w:hAnsiTheme="majorBidi" w:cstheme="majorBidi"/>
          <w:sz w:val="18"/>
          <w:szCs w:val="18"/>
        </w:rPr>
        <w:t>, para. 23.</w:t>
      </w:r>
    </w:p>
  </w:footnote>
  <w:footnote w:id="33">
    <w:p w14:paraId="512D0114" w14:textId="553DD42E" w:rsidR="004E7C4D" w:rsidRPr="00FE2D73" w:rsidRDefault="004E7C4D">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Communication, p. 19, additional information from the communicants, 20 May 2015, p. 1, and communicants’ comments on the Party’s response to the communication, 7 September 2016, para. 14.</w:t>
      </w:r>
    </w:p>
  </w:footnote>
  <w:footnote w:id="34">
    <w:p w14:paraId="468F320F" w14:textId="77777777" w:rsidR="004E7C4D" w:rsidRPr="00FE2D73" w:rsidRDefault="004E7C4D">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Additional information from the communicants, 20 May 2015, p. 1.</w:t>
      </w:r>
    </w:p>
  </w:footnote>
  <w:footnote w:id="35">
    <w:p w14:paraId="37CDAB51" w14:textId="60EDC2D7" w:rsidR="004E7C4D" w:rsidRPr="00FE2D73" w:rsidRDefault="004E7C4D" w:rsidP="005514BB">
      <w:pPr>
        <w:pStyle w:val="FootnoteText"/>
        <w:ind w:left="414" w:firstLine="720"/>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Party’s reply to the Committee’s questions, 26 June 2018, para. 11. </w:t>
      </w:r>
    </w:p>
  </w:footnote>
  <w:footnote w:id="36">
    <w:p w14:paraId="19CE3F2B" w14:textId="7DF863EA" w:rsidR="004E7C4D" w:rsidRPr="00FE2D73" w:rsidRDefault="004E7C4D">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w:t>
      </w:r>
      <w:r>
        <w:rPr>
          <w:rFonts w:asciiTheme="majorBidi" w:hAnsiTheme="majorBidi" w:cstheme="majorBidi"/>
          <w:sz w:val="18"/>
          <w:szCs w:val="18"/>
        </w:rPr>
        <w:t>Ibid.</w:t>
      </w:r>
    </w:p>
  </w:footnote>
  <w:footnote w:id="37">
    <w:p w14:paraId="185A02DB" w14:textId="77777777" w:rsidR="004E7C4D" w:rsidRPr="00FE2D73" w:rsidRDefault="004E7C4D">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Party’s reply to the Committee’s questions, 26 June 2018, para. 12.</w:t>
      </w:r>
    </w:p>
  </w:footnote>
  <w:footnote w:id="38">
    <w:p w14:paraId="41335A7D" w14:textId="77777777" w:rsidR="004E7C4D" w:rsidRPr="00FE2D73" w:rsidRDefault="004E7C4D" w:rsidP="001111B3">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Party’s comments on the communicants’ comments of 21 July 2018, 26 October 2018, para. 7.</w:t>
      </w:r>
    </w:p>
  </w:footnote>
  <w:footnote w:id="39">
    <w:p w14:paraId="0F678823" w14:textId="3D1E0836" w:rsidR="004E7C4D" w:rsidRPr="00FE2D73" w:rsidRDefault="004E7C4D" w:rsidP="005514BB">
      <w:pPr>
        <w:pStyle w:val="FootnoteText"/>
        <w:ind w:left="414" w:firstLine="720"/>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w:t>
      </w:r>
      <w:r>
        <w:rPr>
          <w:rFonts w:asciiTheme="majorBidi" w:hAnsiTheme="majorBidi" w:cstheme="majorBidi"/>
          <w:sz w:val="18"/>
          <w:szCs w:val="18"/>
        </w:rPr>
        <w:t>Ibid.</w:t>
      </w:r>
      <w:r w:rsidRPr="00FE2D73">
        <w:rPr>
          <w:rFonts w:asciiTheme="majorBidi" w:hAnsiTheme="majorBidi" w:cstheme="majorBidi"/>
          <w:sz w:val="18"/>
          <w:szCs w:val="18"/>
        </w:rPr>
        <w:t xml:space="preserve">, para. 11. </w:t>
      </w:r>
    </w:p>
  </w:footnote>
  <w:footnote w:id="40">
    <w:p w14:paraId="52BC1647" w14:textId="2CC5BD25" w:rsidR="004E7C4D" w:rsidRPr="00111F23" w:rsidRDefault="004E7C4D">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w:t>
      </w:r>
      <w:r>
        <w:rPr>
          <w:rFonts w:asciiTheme="majorBidi" w:hAnsiTheme="majorBidi" w:cstheme="majorBidi"/>
          <w:sz w:val="18"/>
          <w:szCs w:val="18"/>
        </w:rPr>
        <w:t>Ibid.</w:t>
      </w:r>
    </w:p>
  </w:footnote>
  <w:footnote w:id="41">
    <w:p w14:paraId="7AF30F53" w14:textId="50330CFC" w:rsidR="004E7C4D" w:rsidRPr="00877B54" w:rsidRDefault="004E7C4D" w:rsidP="00877B54">
      <w:pPr>
        <w:pStyle w:val="FootnoteText"/>
        <w:ind w:left="414" w:firstLine="720"/>
      </w:pPr>
      <w:r w:rsidRPr="00111F23">
        <w:rPr>
          <w:rStyle w:val="FootnoteReference"/>
          <w:rFonts w:asciiTheme="majorBidi" w:hAnsiTheme="majorBidi" w:cstheme="majorBidi"/>
          <w:szCs w:val="18"/>
        </w:rPr>
        <w:footnoteRef/>
      </w:r>
      <w:r w:rsidRPr="00111F23">
        <w:rPr>
          <w:rFonts w:asciiTheme="majorBidi" w:hAnsiTheme="majorBidi" w:cstheme="majorBidi"/>
          <w:sz w:val="18"/>
          <w:szCs w:val="18"/>
        </w:rPr>
        <w:t xml:space="preserve"> </w:t>
      </w:r>
      <w:r>
        <w:rPr>
          <w:rFonts w:asciiTheme="majorBidi" w:hAnsiTheme="majorBidi" w:cstheme="majorBidi"/>
          <w:sz w:val="18"/>
          <w:szCs w:val="18"/>
        </w:rPr>
        <w:t>Ibid.</w:t>
      </w:r>
      <w:r w:rsidRPr="00111F23">
        <w:rPr>
          <w:rFonts w:asciiTheme="majorBidi" w:hAnsiTheme="majorBidi" w:cstheme="majorBidi"/>
          <w:sz w:val="18"/>
          <w:szCs w:val="18"/>
        </w:rPr>
        <w:t>, para. 12.</w:t>
      </w:r>
      <w:r>
        <w:t xml:space="preserve"> </w:t>
      </w:r>
    </w:p>
  </w:footnote>
  <w:footnote w:id="42">
    <w:p w14:paraId="2C8297E0" w14:textId="51860E5D" w:rsidR="004E7C4D" w:rsidRPr="00FE2D73" w:rsidRDefault="004E7C4D">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Pr>
          <w:rFonts w:asciiTheme="majorBidi" w:hAnsiTheme="majorBidi" w:cstheme="majorBidi"/>
          <w:sz w:val="18"/>
          <w:szCs w:val="18"/>
        </w:rPr>
        <w:t xml:space="preserve"> </w:t>
      </w:r>
      <w:r w:rsidRPr="00FE2D73">
        <w:rPr>
          <w:rFonts w:asciiTheme="majorBidi" w:hAnsiTheme="majorBidi" w:cstheme="majorBidi"/>
          <w:sz w:val="18"/>
          <w:szCs w:val="18"/>
        </w:rPr>
        <w:t>Communicants’ comments on the Party’s reply to the Committee’s questions, 21 July 2018, para. 4.</w:t>
      </w:r>
    </w:p>
  </w:footnote>
  <w:footnote w:id="43">
    <w:p w14:paraId="290945D7" w14:textId="1EE1F86E" w:rsidR="004E7C4D" w:rsidRPr="00FE2D73" w:rsidRDefault="004E7C4D">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Observer </w:t>
      </w:r>
      <w:r w:rsidR="002835E5">
        <w:rPr>
          <w:rFonts w:asciiTheme="majorBidi" w:hAnsiTheme="majorBidi" w:cstheme="majorBidi"/>
          <w:sz w:val="18"/>
          <w:szCs w:val="18"/>
        </w:rPr>
        <w:t>(</w:t>
      </w:r>
      <w:proofErr w:type="spellStart"/>
      <w:r w:rsidRPr="00FE2D73">
        <w:rPr>
          <w:rFonts w:asciiTheme="majorBidi" w:hAnsiTheme="majorBidi" w:cstheme="majorBidi"/>
          <w:sz w:val="18"/>
          <w:szCs w:val="18"/>
        </w:rPr>
        <w:t>ClientEarth</w:t>
      </w:r>
      <w:proofErr w:type="spellEnd"/>
      <w:r w:rsidR="002835E5">
        <w:rPr>
          <w:rFonts w:asciiTheme="majorBidi" w:hAnsiTheme="majorBidi" w:cstheme="majorBidi"/>
          <w:sz w:val="18"/>
          <w:szCs w:val="18"/>
        </w:rPr>
        <w:t>)</w:t>
      </w:r>
      <w:r w:rsidRPr="00FE2D73">
        <w:rPr>
          <w:rFonts w:asciiTheme="majorBidi" w:hAnsiTheme="majorBidi" w:cstheme="majorBidi"/>
          <w:sz w:val="18"/>
          <w:szCs w:val="18"/>
        </w:rPr>
        <w:t xml:space="preserve"> comments on the Party’s reply to the Committee’s questions, 20 July 2018, </w:t>
      </w:r>
      <w:r w:rsidRPr="00FE2D73">
        <w:rPr>
          <w:rFonts w:asciiTheme="majorBidi" w:hAnsiTheme="majorBidi" w:cstheme="majorBidi"/>
          <w:sz w:val="18"/>
          <w:szCs w:val="18"/>
        </w:rPr>
        <w:br/>
        <w:t>para. 7.</w:t>
      </w:r>
    </w:p>
  </w:footnote>
  <w:footnote w:id="44">
    <w:p w14:paraId="76B80984" w14:textId="77777777" w:rsidR="004E7C4D" w:rsidRPr="00FE2D73" w:rsidRDefault="004E7C4D">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Party’s response to the communication, paras. 13-16.</w:t>
      </w:r>
    </w:p>
  </w:footnote>
  <w:footnote w:id="45">
    <w:p w14:paraId="0D5206F1" w14:textId="1DB23A5C" w:rsidR="004E7C4D" w:rsidRPr="00FE2D73" w:rsidRDefault="004E7C4D">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w:t>
      </w:r>
      <w:r>
        <w:rPr>
          <w:rFonts w:asciiTheme="majorBidi" w:hAnsiTheme="majorBidi" w:cstheme="majorBidi"/>
          <w:sz w:val="18"/>
          <w:szCs w:val="18"/>
        </w:rPr>
        <w:t>Ibid.</w:t>
      </w:r>
      <w:r w:rsidRPr="00FE2D73">
        <w:rPr>
          <w:rFonts w:asciiTheme="majorBidi" w:hAnsiTheme="majorBidi" w:cstheme="majorBidi"/>
          <w:sz w:val="18"/>
          <w:szCs w:val="18"/>
        </w:rPr>
        <w:t>, para. 14.</w:t>
      </w:r>
    </w:p>
  </w:footnote>
  <w:footnote w:id="46">
    <w:p w14:paraId="1EE0F3F1" w14:textId="21071373" w:rsidR="004E7C4D" w:rsidRPr="00FE2D73" w:rsidRDefault="004E7C4D">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w:t>
      </w:r>
      <w:r>
        <w:rPr>
          <w:rFonts w:asciiTheme="majorBidi" w:hAnsiTheme="majorBidi" w:cstheme="majorBidi"/>
          <w:sz w:val="18"/>
          <w:szCs w:val="18"/>
        </w:rPr>
        <w:t>Ibid.</w:t>
      </w:r>
      <w:r w:rsidRPr="00FE2D73">
        <w:rPr>
          <w:rFonts w:asciiTheme="majorBidi" w:hAnsiTheme="majorBidi" w:cstheme="majorBidi"/>
          <w:sz w:val="18"/>
          <w:szCs w:val="18"/>
        </w:rPr>
        <w:t>, para. 15.</w:t>
      </w:r>
    </w:p>
  </w:footnote>
  <w:footnote w:id="47">
    <w:p w14:paraId="36FB145B" w14:textId="2E91C4A1" w:rsidR="004E7C4D" w:rsidRPr="00FE2D73" w:rsidRDefault="004E7C4D">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w:t>
      </w:r>
      <w:r>
        <w:rPr>
          <w:rFonts w:asciiTheme="majorBidi" w:hAnsiTheme="majorBidi" w:cstheme="majorBidi"/>
          <w:sz w:val="18"/>
          <w:szCs w:val="18"/>
        </w:rPr>
        <w:t>Ibid.</w:t>
      </w:r>
      <w:r w:rsidRPr="00FE2D73">
        <w:rPr>
          <w:rFonts w:asciiTheme="majorBidi" w:hAnsiTheme="majorBidi" w:cstheme="majorBidi"/>
          <w:sz w:val="18"/>
          <w:szCs w:val="18"/>
        </w:rPr>
        <w:t>, para. 13 and 16.</w:t>
      </w:r>
    </w:p>
  </w:footnote>
  <w:footnote w:id="48">
    <w:p w14:paraId="1982ED36" w14:textId="773643C9" w:rsidR="004E7C4D" w:rsidRPr="00FE2D73" w:rsidRDefault="004E7C4D">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w:t>
      </w:r>
      <w:r>
        <w:rPr>
          <w:rFonts w:asciiTheme="majorBidi" w:hAnsiTheme="majorBidi" w:cstheme="majorBidi"/>
          <w:sz w:val="18"/>
          <w:szCs w:val="18"/>
        </w:rPr>
        <w:t>Ibid.</w:t>
      </w:r>
      <w:r w:rsidRPr="00FE2D73">
        <w:rPr>
          <w:rFonts w:asciiTheme="majorBidi" w:hAnsiTheme="majorBidi" w:cstheme="majorBidi"/>
          <w:sz w:val="18"/>
          <w:szCs w:val="18"/>
        </w:rPr>
        <w:t>, paras. 17-18.</w:t>
      </w:r>
    </w:p>
  </w:footnote>
  <w:footnote w:id="49">
    <w:p w14:paraId="58C43D3E" w14:textId="64B12B4E" w:rsidR="004E7C4D" w:rsidRPr="00FE2D73" w:rsidRDefault="004E7C4D">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Communication, p. 16.</w:t>
      </w:r>
    </w:p>
  </w:footnote>
  <w:footnote w:id="50">
    <w:p w14:paraId="7B6E664F" w14:textId="428DE4E2" w:rsidR="004E7C4D" w:rsidRPr="00FE2D73" w:rsidRDefault="004E7C4D">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Communicants’ comments on the Party’s response to the communication, 7 September 2016, p. 2.</w:t>
      </w:r>
    </w:p>
  </w:footnote>
  <w:footnote w:id="51">
    <w:p w14:paraId="55B399CF" w14:textId="0DABB777" w:rsidR="004E7C4D" w:rsidRPr="00FE2D73" w:rsidRDefault="004E7C4D">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w:t>
      </w:r>
      <w:r w:rsidR="00FF07AC">
        <w:rPr>
          <w:rFonts w:asciiTheme="majorBidi" w:hAnsiTheme="majorBidi" w:cstheme="majorBidi"/>
          <w:sz w:val="18"/>
          <w:szCs w:val="18"/>
        </w:rPr>
        <w:t>Ibid.</w:t>
      </w:r>
      <w:r w:rsidRPr="00FE2D73">
        <w:rPr>
          <w:rFonts w:asciiTheme="majorBidi" w:hAnsiTheme="majorBidi" w:cstheme="majorBidi"/>
          <w:sz w:val="18"/>
          <w:szCs w:val="18"/>
        </w:rPr>
        <w:t>, pp. 2-3.</w:t>
      </w:r>
    </w:p>
  </w:footnote>
  <w:footnote w:id="52">
    <w:p w14:paraId="143B01C5" w14:textId="704B4EDB" w:rsidR="004E7C4D" w:rsidRPr="00A0503D" w:rsidRDefault="004E7C4D" w:rsidP="00A0503D">
      <w:pPr>
        <w:pStyle w:val="FootnoteText"/>
        <w:ind w:left="1134"/>
        <w:rPr>
          <w:lang w:val="en-US"/>
        </w:rPr>
      </w:pPr>
      <w:r>
        <w:rPr>
          <w:rStyle w:val="FootnoteReference"/>
        </w:rPr>
        <w:footnoteRef/>
      </w:r>
      <w:r>
        <w:t xml:space="preserve"> </w:t>
      </w:r>
      <w:r w:rsidRPr="00FE2D73">
        <w:rPr>
          <w:rFonts w:asciiTheme="majorBidi" w:hAnsiTheme="majorBidi" w:cstheme="majorBidi"/>
          <w:sz w:val="18"/>
          <w:szCs w:val="18"/>
        </w:rPr>
        <w:t>Communicants’ opening statement</w:t>
      </w:r>
      <w:r>
        <w:rPr>
          <w:rFonts w:asciiTheme="majorBidi" w:hAnsiTheme="majorBidi" w:cstheme="majorBidi"/>
          <w:sz w:val="18"/>
          <w:szCs w:val="18"/>
        </w:rPr>
        <w:t xml:space="preserve"> for the hearing</w:t>
      </w:r>
      <w:r w:rsidRPr="00FE2D73">
        <w:rPr>
          <w:rFonts w:asciiTheme="majorBidi" w:hAnsiTheme="majorBidi" w:cstheme="majorBidi"/>
          <w:sz w:val="18"/>
          <w:szCs w:val="18"/>
        </w:rPr>
        <w:t xml:space="preserve"> at the Committee’s sixt</w:t>
      </w:r>
      <w:r>
        <w:rPr>
          <w:rFonts w:asciiTheme="majorBidi" w:hAnsiTheme="majorBidi" w:cstheme="majorBidi"/>
          <w:sz w:val="18"/>
          <w:szCs w:val="18"/>
        </w:rPr>
        <w:t>ieth</w:t>
      </w:r>
      <w:r w:rsidRPr="00FE2D73">
        <w:rPr>
          <w:rFonts w:asciiTheme="majorBidi" w:hAnsiTheme="majorBidi" w:cstheme="majorBidi"/>
          <w:sz w:val="18"/>
          <w:szCs w:val="18"/>
        </w:rPr>
        <w:t xml:space="preserve"> meeting, 14 March 2018, para. 8, and observer </w:t>
      </w:r>
      <w:r w:rsidR="002835E5">
        <w:rPr>
          <w:rFonts w:asciiTheme="majorBidi" w:hAnsiTheme="majorBidi" w:cstheme="majorBidi"/>
          <w:sz w:val="18"/>
          <w:szCs w:val="18"/>
        </w:rPr>
        <w:t>(</w:t>
      </w:r>
      <w:proofErr w:type="spellStart"/>
      <w:r w:rsidRPr="00FE2D73">
        <w:rPr>
          <w:rFonts w:asciiTheme="majorBidi" w:hAnsiTheme="majorBidi" w:cstheme="majorBidi"/>
          <w:sz w:val="18"/>
          <w:szCs w:val="18"/>
        </w:rPr>
        <w:t>ClientEarth</w:t>
      </w:r>
      <w:proofErr w:type="spellEnd"/>
      <w:r w:rsidR="002835E5">
        <w:rPr>
          <w:rFonts w:asciiTheme="majorBidi" w:hAnsiTheme="majorBidi" w:cstheme="majorBidi"/>
          <w:sz w:val="18"/>
          <w:szCs w:val="18"/>
        </w:rPr>
        <w:t>)</w:t>
      </w:r>
      <w:r w:rsidRPr="00FE2D73">
        <w:rPr>
          <w:rFonts w:asciiTheme="majorBidi" w:hAnsiTheme="majorBidi" w:cstheme="majorBidi"/>
          <w:sz w:val="18"/>
          <w:szCs w:val="18"/>
        </w:rPr>
        <w:t xml:space="preserve"> comments on the Party’s reply to the Committee’s questions, 20 July 2018, para. 7</w:t>
      </w:r>
    </w:p>
  </w:footnote>
  <w:footnote w:id="53">
    <w:p w14:paraId="42DAA271" w14:textId="77777777" w:rsidR="004E7C4D" w:rsidRPr="00FE2D73" w:rsidRDefault="004E7C4D">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Communication, pp. 17-18.</w:t>
      </w:r>
    </w:p>
  </w:footnote>
  <w:footnote w:id="54">
    <w:p w14:paraId="078F884E" w14:textId="77777777" w:rsidR="004E7C4D" w:rsidRPr="00FE2D73" w:rsidRDefault="004E7C4D">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Party’s response to the communication, para. 10.</w:t>
      </w:r>
    </w:p>
  </w:footnote>
  <w:footnote w:id="55">
    <w:p w14:paraId="286CD807" w14:textId="141D278A" w:rsidR="004E7C4D" w:rsidRPr="00FE2D73" w:rsidRDefault="004E7C4D">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w:t>
      </w:r>
      <w:r w:rsidR="00FF07AC">
        <w:rPr>
          <w:rFonts w:asciiTheme="majorBidi" w:hAnsiTheme="majorBidi" w:cstheme="majorBidi"/>
          <w:sz w:val="18"/>
          <w:szCs w:val="18"/>
        </w:rPr>
        <w:t>Ibid.</w:t>
      </w:r>
      <w:r w:rsidRPr="00FE2D73">
        <w:rPr>
          <w:rFonts w:asciiTheme="majorBidi" w:hAnsiTheme="majorBidi" w:cstheme="majorBidi"/>
          <w:sz w:val="18"/>
          <w:szCs w:val="18"/>
        </w:rPr>
        <w:t>, para. 11.</w:t>
      </w:r>
    </w:p>
  </w:footnote>
  <w:footnote w:id="56">
    <w:p w14:paraId="72A84727" w14:textId="3D8295E6" w:rsidR="004E7C4D" w:rsidRPr="00FE2D73" w:rsidRDefault="004E7C4D">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w:t>
      </w:r>
      <w:r w:rsidR="00FF07AC">
        <w:rPr>
          <w:rFonts w:asciiTheme="majorBidi" w:hAnsiTheme="majorBidi" w:cstheme="majorBidi"/>
          <w:sz w:val="18"/>
          <w:szCs w:val="18"/>
        </w:rPr>
        <w:t>Ibid.</w:t>
      </w:r>
      <w:r w:rsidRPr="00FE2D73">
        <w:rPr>
          <w:rFonts w:asciiTheme="majorBidi" w:hAnsiTheme="majorBidi" w:cstheme="majorBidi"/>
          <w:sz w:val="18"/>
          <w:szCs w:val="18"/>
        </w:rPr>
        <w:t>, para. 12, and Party’s reply to the Committee’s questions, 26 June 2018, paras. 9-10.</w:t>
      </w:r>
    </w:p>
  </w:footnote>
  <w:footnote w:id="57">
    <w:p w14:paraId="3CBE8F5D" w14:textId="77777777" w:rsidR="004E7C4D" w:rsidRPr="00FE2D73" w:rsidRDefault="004E7C4D">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Party’s response to the communication, para. 12, and Party’s reply to the Committee’s questions, 26 June 2018, para. 10.</w:t>
      </w:r>
    </w:p>
  </w:footnote>
  <w:footnote w:id="58">
    <w:p w14:paraId="758EC7B6" w14:textId="77777777" w:rsidR="004E7C4D" w:rsidRPr="00FE2D73" w:rsidRDefault="004E7C4D">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Observer (United Kingdom) statement, 29 June 2015, paras. 2-3.</w:t>
      </w:r>
    </w:p>
  </w:footnote>
  <w:footnote w:id="59">
    <w:p w14:paraId="019084A9" w14:textId="77777777" w:rsidR="004E7C4D" w:rsidRPr="00FE2D73" w:rsidRDefault="004E7C4D">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Observer (United Kingdom) statement, 29 June 2015, paras. 4-5.</w:t>
      </w:r>
    </w:p>
  </w:footnote>
  <w:footnote w:id="60">
    <w:p w14:paraId="1D4A0F38" w14:textId="6E0B19D3" w:rsidR="004E7C4D" w:rsidRPr="00FE2D73" w:rsidRDefault="004E7C4D">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00FF07AC">
        <w:rPr>
          <w:rFonts w:asciiTheme="majorBidi" w:hAnsiTheme="majorBidi" w:cstheme="majorBidi"/>
          <w:sz w:val="18"/>
          <w:szCs w:val="18"/>
        </w:rPr>
        <w:t xml:space="preserve"> Ibid.</w:t>
      </w:r>
      <w:r w:rsidRPr="00FE2D73">
        <w:rPr>
          <w:rFonts w:asciiTheme="majorBidi" w:hAnsiTheme="majorBidi" w:cstheme="majorBidi"/>
          <w:sz w:val="18"/>
          <w:szCs w:val="18"/>
        </w:rPr>
        <w:t>, paras. 6-8.</w:t>
      </w:r>
    </w:p>
  </w:footnote>
  <w:footnote w:id="61">
    <w:p w14:paraId="3D369FD6" w14:textId="181BCB26" w:rsidR="004E7C4D" w:rsidRPr="00FE2D73" w:rsidRDefault="004E7C4D">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Observer (</w:t>
      </w:r>
      <w:proofErr w:type="spellStart"/>
      <w:r w:rsidRPr="00FE2D73">
        <w:rPr>
          <w:rFonts w:asciiTheme="majorBidi" w:hAnsiTheme="majorBidi" w:cstheme="majorBidi"/>
          <w:sz w:val="18"/>
          <w:szCs w:val="18"/>
        </w:rPr>
        <w:t>ClientEarth</w:t>
      </w:r>
      <w:proofErr w:type="spellEnd"/>
      <w:r w:rsidRPr="00FE2D73">
        <w:rPr>
          <w:rFonts w:asciiTheme="majorBidi" w:hAnsiTheme="majorBidi" w:cstheme="majorBidi"/>
          <w:sz w:val="18"/>
          <w:szCs w:val="18"/>
        </w:rPr>
        <w:t xml:space="preserve">) comments on the Party </w:t>
      </w:r>
      <w:proofErr w:type="spellStart"/>
      <w:r w:rsidRPr="00FE2D73">
        <w:rPr>
          <w:rFonts w:asciiTheme="majorBidi" w:hAnsiTheme="majorBidi" w:cstheme="majorBidi"/>
          <w:sz w:val="18"/>
          <w:szCs w:val="18"/>
        </w:rPr>
        <w:t>concerned’s</w:t>
      </w:r>
      <w:proofErr w:type="spellEnd"/>
      <w:r w:rsidRPr="00FE2D73">
        <w:rPr>
          <w:rFonts w:asciiTheme="majorBidi" w:hAnsiTheme="majorBidi" w:cstheme="majorBidi"/>
          <w:sz w:val="18"/>
          <w:szCs w:val="18"/>
        </w:rPr>
        <w:t xml:space="preserve"> reply to the Committee’s questions, 20 July 2018, para. 4.</w:t>
      </w:r>
    </w:p>
  </w:footnote>
  <w:footnote w:id="62">
    <w:p w14:paraId="70B7B458" w14:textId="040CF988" w:rsidR="004E7C4D" w:rsidRPr="00FE2D73" w:rsidRDefault="004E7C4D" w:rsidP="000F2392">
      <w:pPr>
        <w:pStyle w:val="FootnoteText"/>
        <w:ind w:left="1134"/>
        <w:rPr>
          <w:rFonts w:asciiTheme="majorBidi" w:hAnsiTheme="majorBidi" w:cstheme="majorBidi"/>
          <w:sz w:val="18"/>
          <w:szCs w:val="18"/>
          <w:lang w:val="en-US"/>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Update from communicant </w:t>
      </w:r>
      <w:r w:rsidR="002E0E00">
        <w:rPr>
          <w:rFonts w:asciiTheme="majorBidi" w:hAnsiTheme="majorBidi" w:cstheme="majorBidi"/>
          <w:sz w:val="18"/>
          <w:szCs w:val="18"/>
        </w:rPr>
        <w:t>(</w:t>
      </w:r>
      <w:proofErr w:type="spellStart"/>
      <w:r w:rsidRPr="00FE2D73">
        <w:rPr>
          <w:rFonts w:asciiTheme="majorBidi" w:hAnsiTheme="majorBidi" w:cstheme="majorBidi"/>
          <w:sz w:val="18"/>
          <w:szCs w:val="18"/>
        </w:rPr>
        <w:t>Oekobuero</w:t>
      </w:r>
      <w:proofErr w:type="spellEnd"/>
      <w:r w:rsidR="002E0E00">
        <w:rPr>
          <w:rFonts w:asciiTheme="majorBidi" w:hAnsiTheme="majorBidi" w:cstheme="majorBidi"/>
          <w:sz w:val="18"/>
          <w:szCs w:val="18"/>
        </w:rPr>
        <w:t>)</w:t>
      </w:r>
      <w:r w:rsidRPr="00FE2D73">
        <w:rPr>
          <w:rFonts w:asciiTheme="majorBidi" w:hAnsiTheme="majorBidi" w:cstheme="majorBidi"/>
          <w:sz w:val="18"/>
          <w:szCs w:val="18"/>
        </w:rPr>
        <w:t xml:space="preserve"> and observer </w:t>
      </w:r>
      <w:r w:rsidR="002E0E00">
        <w:rPr>
          <w:rFonts w:asciiTheme="majorBidi" w:hAnsiTheme="majorBidi" w:cstheme="majorBidi"/>
          <w:sz w:val="18"/>
          <w:szCs w:val="18"/>
        </w:rPr>
        <w:t>(</w:t>
      </w:r>
      <w:proofErr w:type="spellStart"/>
      <w:r w:rsidRPr="00FE2D73">
        <w:rPr>
          <w:rFonts w:asciiTheme="majorBidi" w:hAnsiTheme="majorBidi" w:cstheme="majorBidi"/>
          <w:sz w:val="18"/>
          <w:szCs w:val="18"/>
        </w:rPr>
        <w:t>ClientEarth</w:t>
      </w:r>
      <w:proofErr w:type="spellEnd"/>
      <w:r w:rsidR="002E0E00">
        <w:rPr>
          <w:rFonts w:asciiTheme="majorBidi" w:hAnsiTheme="majorBidi" w:cstheme="majorBidi"/>
          <w:sz w:val="18"/>
          <w:szCs w:val="18"/>
        </w:rPr>
        <w:t>)</w:t>
      </w:r>
      <w:r w:rsidRPr="00FE2D73">
        <w:rPr>
          <w:rFonts w:asciiTheme="majorBidi" w:hAnsiTheme="majorBidi" w:cstheme="majorBidi"/>
          <w:sz w:val="18"/>
          <w:szCs w:val="18"/>
        </w:rPr>
        <w:t>, 6 November 2020, paras. 2 and 8.</w:t>
      </w:r>
    </w:p>
  </w:footnote>
  <w:footnote w:id="63">
    <w:p w14:paraId="18E2AC57" w14:textId="7A7C1027" w:rsidR="004E7C4D" w:rsidRPr="00A0503D" w:rsidRDefault="004E7C4D" w:rsidP="000F2392">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A0503D">
        <w:rPr>
          <w:rFonts w:asciiTheme="majorBidi" w:hAnsiTheme="majorBidi" w:cstheme="majorBidi"/>
          <w:sz w:val="18"/>
          <w:szCs w:val="18"/>
        </w:rPr>
        <w:t xml:space="preserve"> Ibid., para. 9.</w:t>
      </w:r>
    </w:p>
  </w:footnote>
  <w:footnote w:id="64">
    <w:p w14:paraId="48B30862" w14:textId="6D9E5477" w:rsidR="004E7C4D" w:rsidRPr="00A0503D" w:rsidRDefault="004E7C4D" w:rsidP="000F2392">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A0503D">
        <w:rPr>
          <w:rFonts w:asciiTheme="majorBidi" w:hAnsiTheme="majorBidi" w:cstheme="majorBidi"/>
          <w:sz w:val="18"/>
          <w:szCs w:val="18"/>
        </w:rPr>
        <w:t xml:space="preserve"> Ibid., para. 10.</w:t>
      </w:r>
    </w:p>
  </w:footnote>
  <w:footnote w:id="65">
    <w:p w14:paraId="54F6CDC7" w14:textId="6E1B41AE" w:rsidR="004E7C4D" w:rsidRPr="00FE2D73" w:rsidRDefault="004E7C4D" w:rsidP="000F2392">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A0503D">
        <w:rPr>
          <w:rFonts w:asciiTheme="majorBidi" w:hAnsiTheme="majorBidi" w:cstheme="majorBidi"/>
          <w:sz w:val="18"/>
          <w:szCs w:val="18"/>
        </w:rPr>
        <w:t xml:space="preserve"> Ibid., para. </w:t>
      </w:r>
      <w:r w:rsidRPr="00FE2D73">
        <w:rPr>
          <w:rFonts w:asciiTheme="majorBidi" w:hAnsiTheme="majorBidi" w:cstheme="majorBidi"/>
          <w:sz w:val="18"/>
          <w:szCs w:val="18"/>
        </w:rPr>
        <w:t>11.</w:t>
      </w:r>
    </w:p>
  </w:footnote>
  <w:footnote w:id="66">
    <w:p w14:paraId="5AB238CF" w14:textId="527ED4B5" w:rsidR="004E7C4D" w:rsidRPr="00FE2D73" w:rsidRDefault="004E7C4D" w:rsidP="000F2392">
      <w:pPr>
        <w:pStyle w:val="FootnoteText"/>
        <w:ind w:left="1134"/>
        <w:rPr>
          <w:rFonts w:asciiTheme="majorBidi" w:hAnsiTheme="majorBidi" w:cstheme="majorBidi"/>
          <w:sz w:val="18"/>
          <w:szCs w:val="18"/>
          <w:lang w:val="en-US"/>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Comments from the Party concerned, 7 December 2020, paras. 8 and 9.</w:t>
      </w:r>
    </w:p>
  </w:footnote>
  <w:footnote w:id="67">
    <w:p w14:paraId="714C5F72" w14:textId="54A19CBE" w:rsidR="004E7C4D" w:rsidRPr="00FE2D73" w:rsidRDefault="004E7C4D">
      <w:pPr>
        <w:pStyle w:val="FootnoteText"/>
        <w:ind w:left="1134"/>
        <w:rPr>
          <w:rFonts w:asciiTheme="majorBidi" w:hAnsiTheme="majorBidi" w:cstheme="majorBidi"/>
          <w:sz w:val="18"/>
          <w:szCs w:val="18"/>
          <w:lang w:val="en-US"/>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w:t>
      </w:r>
      <w:r w:rsidR="00FF07AC">
        <w:rPr>
          <w:rFonts w:asciiTheme="majorBidi" w:hAnsiTheme="majorBidi" w:cstheme="majorBidi"/>
          <w:sz w:val="18"/>
          <w:szCs w:val="18"/>
        </w:rPr>
        <w:t>Ibid.</w:t>
      </w:r>
      <w:r w:rsidRPr="00FE2D73">
        <w:rPr>
          <w:rFonts w:asciiTheme="majorBidi" w:hAnsiTheme="majorBidi" w:cstheme="majorBidi"/>
          <w:sz w:val="18"/>
          <w:szCs w:val="18"/>
        </w:rPr>
        <w:t>, paras. 10-13.</w:t>
      </w:r>
    </w:p>
  </w:footnote>
  <w:footnote w:id="68">
    <w:p w14:paraId="28DBA837" w14:textId="57070156" w:rsidR="004E7C4D" w:rsidRPr="00FE2D73" w:rsidRDefault="004E7C4D">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Party’s comments on the communicant’s comments of 21 July 2018, 26 October 201</w:t>
      </w:r>
      <w:r>
        <w:rPr>
          <w:rFonts w:asciiTheme="majorBidi" w:hAnsiTheme="majorBidi" w:cstheme="majorBidi"/>
          <w:sz w:val="18"/>
          <w:szCs w:val="18"/>
        </w:rPr>
        <w:t>8</w:t>
      </w:r>
      <w:r w:rsidRPr="00FE2D73">
        <w:rPr>
          <w:rFonts w:asciiTheme="majorBidi" w:hAnsiTheme="majorBidi" w:cstheme="majorBidi"/>
          <w:sz w:val="18"/>
          <w:szCs w:val="18"/>
        </w:rPr>
        <w:t>, para. 29.</w:t>
      </w:r>
    </w:p>
  </w:footnote>
  <w:footnote w:id="69">
    <w:p w14:paraId="45136F81" w14:textId="51839265" w:rsidR="004E7C4D" w:rsidRPr="00FE2D73" w:rsidRDefault="004E7C4D">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Communication, p. 15, and additional information from the communicants, 20 May 2015, pp. 2-10.</w:t>
      </w:r>
    </w:p>
  </w:footnote>
  <w:footnote w:id="70">
    <w:p w14:paraId="3418C72F" w14:textId="77777777" w:rsidR="004E7C4D" w:rsidRPr="00FE2D73" w:rsidRDefault="004E7C4D">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Party’s response to the communication, para. 34.</w:t>
      </w:r>
    </w:p>
  </w:footnote>
  <w:footnote w:id="71">
    <w:p w14:paraId="261D028D" w14:textId="42CB11B0" w:rsidR="004E7C4D" w:rsidRPr="00FE2D73" w:rsidRDefault="004E7C4D">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w:t>
      </w:r>
      <w:r w:rsidR="00FF07AC">
        <w:rPr>
          <w:rFonts w:asciiTheme="majorBidi" w:hAnsiTheme="majorBidi" w:cstheme="majorBidi"/>
          <w:sz w:val="18"/>
          <w:szCs w:val="18"/>
        </w:rPr>
        <w:t>Ibid.</w:t>
      </w:r>
      <w:r w:rsidRPr="00FE2D73">
        <w:rPr>
          <w:rFonts w:asciiTheme="majorBidi" w:hAnsiTheme="majorBidi" w:cstheme="majorBidi"/>
          <w:sz w:val="18"/>
          <w:szCs w:val="18"/>
        </w:rPr>
        <w:t>, para. 35, and Party’s comments on the communicants’ comments of 21 July 2018, 26 October 2018, para. 20.</w:t>
      </w:r>
    </w:p>
  </w:footnote>
  <w:footnote w:id="72">
    <w:p w14:paraId="15A97245" w14:textId="77777777" w:rsidR="004E7C4D" w:rsidRPr="002249C2" w:rsidRDefault="004E7C4D">
      <w:pPr>
        <w:pStyle w:val="FootnoteText"/>
        <w:ind w:left="1134"/>
        <w:rPr>
          <w:rFonts w:asciiTheme="majorBidi" w:hAnsiTheme="majorBidi"/>
          <w:sz w:val="18"/>
        </w:rPr>
      </w:pPr>
      <w:r w:rsidRPr="00FE2D73">
        <w:rPr>
          <w:rStyle w:val="FootnoteReference"/>
          <w:rFonts w:asciiTheme="majorBidi" w:hAnsiTheme="majorBidi" w:cstheme="majorBidi"/>
          <w:szCs w:val="18"/>
        </w:rPr>
        <w:footnoteRef/>
      </w:r>
      <w:r w:rsidRPr="002249C2">
        <w:rPr>
          <w:rFonts w:asciiTheme="majorBidi" w:hAnsiTheme="majorBidi"/>
          <w:sz w:val="18"/>
        </w:rPr>
        <w:t xml:space="preserve"> Communication, p. 15.</w:t>
      </w:r>
    </w:p>
  </w:footnote>
  <w:footnote w:id="73">
    <w:p w14:paraId="64CC4617" w14:textId="217FBF6C" w:rsidR="004E7C4D" w:rsidRPr="00FE2D73" w:rsidRDefault="004E7C4D">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Party’s response to the communication, para. 13.</w:t>
      </w:r>
    </w:p>
  </w:footnote>
  <w:footnote w:id="74">
    <w:p w14:paraId="231368B5" w14:textId="5A710F4D" w:rsidR="004E7C4D" w:rsidRPr="00FE2D73" w:rsidRDefault="004E7C4D">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364BE7">
        <w:rPr>
          <w:rFonts w:asciiTheme="majorBidi" w:hAnsiTheme="majorBidi"/>
          <w:sz w:val="18"/>
        </w:rPr>
        <w:t xml:space="preserve"> </w:t>
      </w:r>
      <w:r w:rsidR="00FF07AC">
        <w:rPr>
          <w:rFonts w:asciiTheme="majorBidi" w:hAnsiTheme="majorBidi"/>
          <w:sz w:val="18"/>
        </w:rPr>
        <w:t>Ibid.</w:t>
      </w:r>
      <w:r w:rsidRPr="00364BE7">
        <w:rPr>
          <w:rFonts w:asciiTheme="majorBidi" w:hAnsiTheme="majorBidi"/>
          <w:sz w:val="18"/>
        </w:rPr>
        <w:t xml:space="preserve">, para. </w:t>
      </w:r>
      <w:r w:rsidRPr="00FE2D73">
        <w:rPr>
          <w:rFonts w:asciiTheme="majorBidi" w:hAnsiTheme="majorBidi" w:cstheme="majorBidi"/>
          <w:sz w:val="18"/>
          <w:szCs w:val="18"/>
        </w:rPr>
        <w:t>33.</w:t>
      </w:r>
    </w:p>
  </w:footnote>
  <w:footnote w:id="75">
    <w:p w14:paraId="05B74441" w14:textId="77777777" w:rsidR="004E7C4D" w:rsidRPr="00FE2D73" w:rsidRDefault="004E7C4D" w:rsidP="00F272DA">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Observer (</w:t>
      </w:r>
      <w:proofErr w:type="spellStart"/>
      <w:r w:rsidRPr="00FE2D73">
        <w:rPr>
          <w:rFonts w:asciiTheme="majorBidi" w:hAnsiTheme="majorBidi" w:cstheme="majorBidi"/>
          <w:sz w:val="18"/>
          <w:szCs w:val="18"/>
        </w:rPr>
        <w:t>ClientEarth</w:t>
      </w:r>
      <w:proofErr w:type="spellEnd"/>
      <w:r w:rsidRPr="00FE2D73">
        <w:rPr>
          <w:rFonts w:asciiTheme="majorBidi" w:hAnsiTheme="majorBidi" w:cstheme="majorBidi"/>
          <w:sz w:val="18"/>
          <w:szCs w:val="18"/>
        </w:rPr>
        <w:t>) comments on the Party’s reply to Committee’s questions, 20 July 2018, para. 30.</w:t>
      </w:r>
    </w:p>
  </w:footnote>
  <w:footnote w:id="76">
    <w:p w14:paraId="62C2132E" w14:textId="3E64D384" w:rsidR="004E7C4D" w:rsidRPr="00FE2D73" w:rsidRDefault="004E7C4D" w:rsidP="002C7224">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Party’s comments on the communicants’ comments of 21 July 2018, 26 October 2018, footnote 19.</w:t>
      </w:r>
    </w:p>
  </w:footnote>
  <w:footnote w:id="77">
    <w:p w14:paraId="2536E967" w14:textId="49B49EA1" w:rsidR="004E7C4D" w:rsidRPr="00FE2D73" w:rsidRDefault="004E7C4D">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Additional information from the communicants, 20 May 2015, pp. 2-9.</w:t>
      </w:r>
    </w:p>
  </w:footnote>
  <w:footnote w:id="78">
    <w:p w14:paraId="516F545A" w14:textId="0484252E" w:rsidR="004E7C4D" w:rsidRPr="00A0503D" w:rsidRDefault="004E7C4D">
      <w:pPr>
        <w:pStyle w:val="FootnoteText"/>
        <w:ind w:left="1134"/>
        <w:rPr>
          <w:rFonts w:asciiTheme="majorBidi" w:hAnsiTheme="majorBidi" w:cstheme="majorBidi"/>
          <w:sz w:val="18"/>
          <w:szCs w:val="18"/>
          <w:lang w:val="fr-CH"/>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Party’s comments on the communicants’ comments of 21 July 2018, 26 October 2018, paras. </w:t>
      </w:r>
      <w:r w:rsidRPr="00A0503D">
        <w:rPr>
          <w:rFonts w:asciiTheme="majorBidi" w:hAnsiTheme="majorBidi" w:cstheme="majorBidi"/>
          <w:sz w:val="18"/>
          <w:szCs w:val="18"/>
          <w:lang w:val="fr-CH"/>
        </w:rPr>
        <w:t>21-22.</w:t>
      </w:r>
    </w:p>
  </w:footnote>
  <w:footnote w:id="79">
    <w:p w14:paraId="76880E23" w14:textId="64B3FBC3" w:rsidR="004E7C4D" w:rsidRPr="002C7224" w:rsidRDefault="004E7C4D" w:rsidP="00EA30E3">
      <w:pPr>
        <w:pStyle w:val="FootnoteText"/>
        <w:ind w:left="414" w:firstLine="720"/>
        <w:rPr>
          <w:rFonts w:asciiTheme="majorBidi" w:hAnsiTheme="majorBidi" w:cstheme="majorBidi"/>
          <w:sz w:val="18"/>
          <w:szCs w:val="18"/>
          <w:lang w:val="de-DE"/>
        </w:rPr>
      </w:pPr>
      <w:r w:rsidRPr="00FE2D73">
        <w:rPr>
          <w:rStyle w:val="FootnoteReference"/>
          <w:rFonts w:asciiTheme="majorBidi" w:hAnsiTheme="majorBidi" w:cstheme="majorBidi"/>
          <w:szCs w:val="18"/>
        </w:rPr>
        <w:footnoteRef/>
      </w:r>
      <w:r w:rsidRPr="002C7224">
        <w:rPr>
          <w:rFonts w:asciiTheme="majorBidi" w:hAnsiTheme="majorBidi" w:cstheme="majorBidi"/>
          <w:sz w:val="18"/>
          <w:szCs w:val="18"/>
          <w:lang w:val="de-DE"/>
        </w:rPr>
        <w:t xml:space="preserve"> </w:t>
      </w:r>
      <w:r>
        <w:rPr>
          <w:rFonts w:asciiTheme="majorBidi" w:hAnsiTheme="majorBidi" w:cstheme="majorBidi"/>
          <w:sz w:val="18"/>
          <w:szCs w:val="18"/>
          <w:lang w:val="de-DE"/>
        </w:rPr>
        <w:t xml:space="preserve">CJEU, </w:t>
      </w:r>
      <w:r w:rsidRPr="001D54C7">
        <w:rPr>
          <w:rFonts w:asciiTheme="majorBidi" w:hAnsiTheme="majorBidi" w:cstheme="majorBidi"/>
          <w:i/>
          <w:iCs/>
          <w:sz w:val="18"/>
          <w:szCs w:val="18"/>
          <w:lang w:val="de-DE"/>
        </w:rPr>
        <w:t xml:space="preserve">Ja zum Nürburgring v European </w:t>
      </w:r>
      <w:proofErr w:type="spellStart"/>
      <w:r w:rsidRPr="001D54C7">
        <w:rPr>
          <w:rFonts w:asciiTheme="majorBidi" w:hAnsiTheme="majorBidi" w:cstheme="majorBidi"/>
          <w:i/>
          <w:iCs/>
          <w:sz w:val="18"/>
          <w:szCs w:val="18"/>
          <w:lang w:val="de-DE"/>
        </w:rPr>
        <w:t>Commission</w:t>
      </w:r>
      <w:proofErr w:type="spellEnd"/>
      <w:r>
        <w:rPr>
          <w:rFonts w:asciiTheme="majorBidi" w:hAnsiTheme="majorBidi" w:cstheme="majorBidi"/>
          <w:iCs/>
          <w:sz w:val="18"/>
          <w:szCs w:val="18"/>
          <w:lang w:val="de-DE"/>
        </w:rPr>
        <w:t>,</w:t>
      </w:r>
      <w:r w:rsidRPr="002C7224">
        <w:rPr>
          <w:rFonts w:asciiTheme="majorBidi" w:hAnsiTheme="majorBidi" w:cstheme="majorBidi"/>
          <w:sz w:val="18"/>
          <w:szCs w:val="18"/>
          <w:lang w:val="de-DE"/>
        </w:rPr>
        <w:t xml:space="preserve"> </w:t>
      </w:r>
      <w:r>
        <w:rPr>
          <w:rFonts w:asciiTheme="majorBidi" w:hAnsiTheme="majorBidi" w:cstheme="majorBidi"/>
          <w:sz w:val="18"/>
          <w:szCs w:val="18"/>
          <w:lang w:val="de-DE"/>
        </w:rPr>
        <w:t xml:space="preserve">19 June 2019, </w:t>
      </w:r>
      <w:r w:rsidRPr="002C7224">
        <w:rPr>
          <w:rFonts w:asciiTheme="majorBidi" w:hAnsiTheme="majorBidi" w:cstheme="majorBidi"/>
          <w:sz w:val="18"/>
          <w:szCs w:val="18"/>
          <w:lang w:val="de-DE"/>
        </w:rPr>
        <w:t>Case T-373/15</w:t>
      </w:r>
      <w:r>
        <w:rPr>
          <w:rFonts w:asciiTheme="majorBidi" w:hAnsiTheme="majorBidi" w:cstheme="majorBidi"/>
          <w:sz w:val="18"/>
          <w:szCs w:val="18"/>
          <w:lang w:val="de-DE"/>
        </w:rPr>
        <w:t>.</w:t>
      </w:r>
    </w:p>
  </w:footnote>
  <w:footnote w:id="80">
    <w:p w14:paraId="46070137" w14:textId="77777777" w:rsidR="004E7C4D" w:rsidRPr="00FE2D73" w:rsidRDefault="004E7C4D">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Party’s reply to the Committee’s questions, 26 June 2018, para. 43.</w:t>
      </w:r>
    </w:p>
  </w:footnote>
  <w:footnote w:id="81">
    <w:p w14:paraId="15C66C21" w14:textId="030EA156" w:rsidR="004E7C4D" w:rsidRPr="00FE2D73" w:rsidRDefault="004E7C4D">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Communicants’ comments on the Party’s reply to the Committee’s questions, 21 July 2018, para. 6 and Observer (</w:t>
      </w:r>
      <w:proofErr w:type="spellStart"/>
      <w:r w:rsidRPr="00FE2D73">
        <w:rPr>
          <w:rFonts w:asciiTheme="majorBidi" w:hAnsiTheme="majorBidi" w:cstheme="majorBidi"/>
          <w:sz w:val="18"/>
          <w:szCs w:val="18"/>
        </w:rPr>
        <w:t>ClientEarth</w:t>
      </w:r>
      <w:proofErr w:type="spellEnd"/>
      <w:r w:rsidRPr="00FE2D73">
        <w:rPr>
          <w:rFonts w:asciiTheme="majorBidi" w:hAnsiTheme="majorBidi" w:cstheme="majorBidi"/>
          <w:sz w:val="18"/>
          <w:szCs w:val="18"/>
        </w:rPr>
        <w:t>) comments on the Party’s reply to Committee’s questions,</w:t>
      </w:r>
      <w:r>
        <w:rPr>
          <w:rFonts w:asciiTheme="majorBidi" w:hAnsiTheme="majorBidi" w:cstheme="majorBidi"/>
          <w:sz w:val="18"/>
          <w:szCs w:val="18"/>
        </w:rPr>
        <w:t xml:space="preserve"> </w:t>
      </w:r>
      <w:r w:rsidRPr="00FE2D73">
        <w:rPr>
          <w:rFonts w:asciiTheme="majorBidi" w:hAnsiTheme="majorBidi" w:cstheme="majorBidi"/>
          <w:sz w:val="18"/>
          <w:szCs w:val="18"/>
        </w:rPr>
        <w:t>20 July 2018</w:t>
      </w:r>
      <w:r>
        <w:rPr>
          <w:rFonts w:asciiTheme="majorBidi" w:hAnsiTheme="majorBidi" w:cstheme="majorBidi"/>
          <w:sz w:val="18"/>
          <w:szCs w:val="18"/>
        </w:rPr>
        <w:t>,</w:t>
      </w:r>
      <w:r w:rsidRPr="00FE2D73">
        <w:rPr>
          <w:rFonts w:asciiTheme="majorBidi" w:hAnsiTheme="majorBidi" w:cstheme="majorBidi"/>
          <w:sz w:val="18"/>
          <w:szCs w:val="18"/>
        </w:rPr>
        <w:t xml:space="preserve"> para. 21.</w:t>
      </w:r>
    </w:p>
  </w:footnote>
  <w:footnote w:id="82">
    <w:p w14:paraId="1D6E529D" w14:textId="77777777" w:rsidR="004E7C4D" w:rsidRPr="00FE2D73" w:rsidRDefault="004E7C4D">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Party’s response to the communication, para. 39, and Party’s reply to the Committee’s questions, 26 June 2018, para. 45.</w:t>
      </w:r>
    </w:p>
  </w:footnote>
  <w:footnote w:id="83">
    <w:p w14:paraId="635AB681" w14:textId="698BAB0B" w:rsidR="004E7C4D" w:rsidRPr="00FE2D73" w:rsidRDefault="004E7C4D" w:rsidP="001704C0">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Party’s reply to the Committee’s questions, 26 June 2018, para. 44.</w:t>
      </w:r>
    </w:p>
  </w:footnote>
  <w:footnote w:id="84">
    <w:p w14:paraId="112A64E8" w14:textId="67CE43DA" w:rsidR="004E7C4D" w:rsidRPr="00FE2D73" w:rsidRDefault="004E7C4D" w:rsidP="00A679AA">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w:t>
      </w:r>
      <w:r w:rsidR="00FF07AC">
        <w:rPr>
          <w:rFonts w:asciiTheme="majorBidi" w:hAnsiTheme="majorBidi" w:cstheme="majorBidi"/>
          <w:sz w:val="18"/>
          <w:szCs w:val="18"/>
        </w:rPr>
        <w:t>Ibid.</w:t>
      </w:r>
      <w:r w:rsidRPr="00FE2D73">
        <w:rPr>
          <w:rFonts w:asciiTheme="majorBidi" w:hAnsiTheme="majorBidi" w:cstheme="majorBidi"/>
          <w:sz w:val="18"/>
          <w:szCs w:val="18"/>
        </w:rPr>
        <w:t>, para. 45.</w:t>
      </w:r>
    </w:p>
  </w:footnote>
  <w:footnote w:id="85">
    <w:p w14:paraId="2C6407E2" w14:textId="020F9353" w:rsidR="004E7C4D" w:rsidRPr="00FE2D73" w:rsidRDefault="004E7C4D" w:rsidP="000F2392">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w:t>
      </w:r>
      <w:r w:rsidR="00FF07AC">
        <w:rPr>
          <w:rFonts w:asciiTheme="majorBidi" w:hAnsiTheme="majorBidi" w:cstheme="majorBidi"/>
          <w:sz w:val="18"/>
          <w:szCs w:val="18"/>
        </w:rPr>
        <w:t>Ibid.</w:t>
      </w:r>
      <w:r w:rsidRPr="00FE2D73">
        <w:rPr>
          <w:rFonts w:asciiTheme="majorBidi" w:hAnsiTheme="majorBidi" w:cstheme="majorBidi"/>
          <w:sz w:val="18"/>
          <w:szCs w:val="18"/>
        </w:rPr>
        <w:t>, para. 36.</w:t>
      </w:r>
    </w:p>
  </w:footnote>
  <w:footnote w:id="86">
    <w:p w14:paraId="23F6AFFE" w14:textId="77777777" w:rsidR="004E7C4D" w:rsidRPr="00FE2D73" w:rsidRDefault="004E7C4D" w:rsidP="000F2392">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Party’s comments on the communicant’s and observer’s update of 6 November 2020, 7 December 2020, paras.  33-35.</w:t>
      </w:r>
    </w:p>
  </w:footnote>
  <w:footnote w:id="87">
    <w:p w14:paraId="26EBF0B6" w14:textId="48ABE99B" w:rsidR="004E7C4D" w:rsidRPr="00FE2D73" w:rsidRDefault="004E7C4D">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ECE/MP/C.1/2011/4/Add.2, para. 68.</w:t>
      </w:r>
    </w:p>
  </w:footnote>
  <w:footnote w:id="88">
    <w:p w14:paraId="6366ACC6" w14:textId="34B03B1D" w:rsidR="004E7C4D" w:rsidRPr="00FE2D73" w:rsidRDefault="004E7C4D">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Communicants’ additional information, 20 May 2015, p. 9.</w:t>
      </w:r>
    </w:p>
  </w:footnote>
  <w:footnote w:id="89">
    <w:p w14:paraId="540B7A16" w14:textId="79231532" w:rsidR="004E7C4D" w:rsidRPr="00FE2D73" w:rsidRDefault="004E7C4D">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w:t>
      </w:r>
      <w:r w:rsidR="00FF07AC">
        <w:rPr>
          <w:rFonts w:asciiTheme="majorBidi" w:hAnsiTheme="majorBidi" w:cstheme="majorBidi"/>
          <w:sz w:val="18"/>
          <w:szCs w:val="18"/>
        </w:rPr>
        <w:t>Ibid</w:t>
      </w:r>
      <w:r w:rsidRPr="00FE2D73">
        <w:rPr>
          <w:rFonts w:asciiTheme="majorBidi" w:hAnsiTheme="majorBidi" w:cstheme="majorBidi"/>
          <w:sz w:val="18"/>
          <w:szCs w:val="18"/>
        </w:rPr>
        <w:t>, p. 10.</w:t>
      </w:r>
    </w:p>
  </w:footnote>
  <w:footnote w:id="90">
    <w:p w14:paraId="78299D86" w14:textId="77777777" w:rsidR="004E7C4D" w:rsidRPr="00FE2D73" w:rsidRDefault="004E7C4D">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Communicants’ comments on the Party’s reply to the Committee’s questions, 21 July 2018, paras. 35-38.</w:t>
      </w:r>
    </w:p>
  </w:footnote>
  <w:footnote w:id="91">
    <w:p w14:paraId="2DF69BF8" w14:textId="51F10A29" w:rsidR="004E7C4D" w:rsidRPr="00FE2D73" w:rsidRDefault="004E7C4D">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w:t>
      </w:r>
      <w:r w:rsidR="00985536">
        <w:rPr>
          <w:rFonts w:asciiTheme="majorBidi" w:hAnsiTheme="majorBidi" w:cstheme="majorBidi"/>
          <w:sz w:val="18"/>
          <w:szCs w:val="18"/>
        </w:rPr>
        <w:t>Observer</w:t>
      </w:r>
      <w:r w:rsidRPr="00FE2D73">
        <w:rPr>
          <w:rFonts w:asciiTheme="majorBidi" w:hAnsiTheme="majorBidi" w:cstheme="majorBidi"/>
          <w:sz w:val="18"/>
          <w:szCs w:val="18"/>
        </w:rPr>
        <w:t xml:space="preserve"> </w:t>
      </w:r>
      <w:r w:rsidR="00985536">
        <w:rPr>
          <w:rFonts w:asciiTheme="majorBidi" w:hAnsiTheme="majorBidi" w:cstheme="majorBidi"/>
          <w:sz w:val="18"/>
          <w:szCs w:val="18"/>
        </w:rPr>
        <w:t>(</w:t>
      </w:r>
      <w:r w:rsidRPr="00FE2D73">
        <w:rPr>
          <w:rFonts w:asciiTheme="majorBidi" w:hAnsiTheme="majorBidi" w:cstheme="majorBidi"/>
          <w:sz w:val="18"/>
          <w:szCs w:val="18"/>
        </w:rPr>
        <w:t>Friends of the Earth England, Northern Ireland and Wales</w:t>
      </w:r>
      <w:r w:rsidR="00985536">
        <w:rPr>
          <w:rFonts w:asciiTheme="majorBidi" w:hAnsiTheme="majorBidi" w:cstheme="majorBidi"/>
          <w:sz w:val="18"/>
          <w:szCs w:val="18"/>
        </w:rPr>
        <w:t>) statement</w:t>
      </w:r>
      <w:r w:rsidRPr="00FE2D73">
        <w:rPr>
          <w:rFonts w:asciiTheme="majorBidi" w:hAnsiTheme="majorBidi" w:cstheme="majorBidi"/>
          <w:sz w:val="18"/>
          <w:szCs w:val="18"/>
        </w:rPr>
        <w:t>, 19 July 2016, p. 3.</w:t>
      </w:r>
    </w:p>
  </w:footnote>
  <w:footnote w:id="92">
    <w:p w14:paraId="0FC2468F" w14:textId="77777777" w:rsidR="004E7C4D" w:rsidRPr="00FE2D73" w:rsidRDefault="004E7C4D">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Observer (</w:t>
      </w:r>
      <w:proofErr w:type="spellStart"/>
      <w:r w:rsidRPr="00FE2D73">
        <w:rPr>
          <w:rFonts w:asciiTheme="majorBidi" w:hAnsiTheme="majorBidi" w:cstheme="majorBidi"/>
          <w:sz w:val="18"/>
          <w:szCs w:val="18"/>
        </w:rPr>
        <w:t>ClientEarth</w:t>
      </w:r>
      <w:proofErr w:type="spellEnd"/>
      <w:r w:rsidRPr="00FE2D73">
        <w:rPr>
          <w:rFonts w:asciiTheme="majorBidi" w:hAnsiTheme="majorBidi" w:cstheme="majorBidi"/>
          <w:sz w:val="18"/>
          <w:szCs w:val="18"/>
        </w:rPr>
        <w:t>) comments on the Party’s reply to Committee’s questions, 20 July 2018, paras. 22-26.</w:t>
      </w:r>
    </w:p>
  </w:footnote>
  <w:footnote w:id="93">
    <w:p w14:paraId="2B19902D" w14:textId="059984A0" w:rsidR="004E7C4D" w:rsidRPr="00FE2D73" w:rsidRDefault="004E7C4D">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w:t>
      </w:r>
      <w:r w:rsidR="00FF07AC">
        <w:rPr>
          <w:rFonts w:asciiTheme="majorBidi" w:hAnsiTheme="majorBidi" w:cstheme="majorBidi"/>
          <w:sz w:val="18"/>
          <w:szCs w:val="18"/>
        </w:rPr>
        <w:t>Ibid.</w:t>
      </w:r>
      <w:r w:rsidRPr="00FE2D73">
        <w:rPr>
          <w:rFonts w:asciiTheme="majorBidi" w:hAnsiTheme="majorBidi" w:cstheme="majorBidi"/>
          <w:sz w:val="18"/>
          <w:szCs w:val="18"/>
        </w:rPr>
        <w:t>, para. 29 and annex.</w:t>
      </w:r>
    </w:p>
  </w:footnote>
  <w:footnote w:id="94">
    <w:p w14:paraId="6D8756E1" w14:textId="6D819F0D" w:rsidR="004E7C4D" w:rsidRPr="00FE2D73" w:rsidRDefault="004E7C4D" w:rsidP="0006405C">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w:t>
      </w:r>
      <w:r>
        <w:rPr>
          <w:rFonts w:asciiTheme="majorBidi" w:hAnsiTheme="majorBidi" w:cstheme="majorBidi"/>
          <w:sz w:val="18"/>
          <w:szCs w:val="18"/>
        </w:rPr>
        <w:t>Observer (</w:t>
      </w:r>
      <w:proofErr w:type="spellStart"/>
      <w:r>
        <w:rPr>
          <w:rFonts w:asciiTheme="majorBidi" w:hAnsiTheme="majorBidi" w:cstheme="majorBidi"/>
          <w:sz w:val="18"/>
          <w:szCs w:val="18"/>
        </w:rPr>
        <w:t>ClientEarth</w:t>
      </w:r>
      <w:proofErr w:type="spellEnd"/>
      <w:r>
        <w:rPr>
          <w:rFonts w:asciiTheme="majorBidi" w:hAnsiTheme="majorBidi" w:cstheme="majorBidi"/>
          <w:sz w:val="18"/>
          <w:szCs w:val="18"/>
        </w:rPr>
        <w:t>) c</w:t>
      </w:r>
      <w:r w:rsidRPr="00FE2D73">
        <w:rPr>
          <w:rFonts w:asciiTheme="majorBidi" w:hAnsiTheme="majorBidi" w:cstheme="majorBidi"/>
          <w:sz w:val="18"/>
          <w:szCs w:val="18"/>
        </w:rPr>
        <w:t xml:space="preserve">omments on the Party </w:t>
      </w:r>
      <w:proofErr w:type="spellStart"/>
      <w:r w:rsidRPr="00FE2D73">
        <w:rPr>
          <w:rFonts w:asciiTheme="majorBidi" w:hAnsiTheme="majorBidi" w:cstheme="majorBidi"/>
          <w:sz w:val="18"/>
          <w:szCs w:val="18"/>
        </w:rPr>
        <w:t>concerned’s</w:t>
      </w:r>
      <w:proofErr w:type="spellEnd"/>
      <w:r w:rsidRPr="00FE2D73">
        <w:rPr>
          <w:rFonts w:asciiTheme="majorBidi" w:hAnsiTheme="majorBidi" w:cstheme="majorBidi"/>
          <w:sz w:val="18"/>
          <w:szCs w:val="18"/>
        </w:rPr>
        <w:t xml:space="preserve"> comments of 26 October 2018, 1 February 2019, paras. 21-22.</w:t>
      </w:r>
    </w:p>
  </w:footnote>
  <w:footnote w:id="95">
    <w:p w14:paraId="71768967" w14:textId="77777777" w:rsidR="004E7C4D" w:rsidRPr="00FE2D73" w:rsidRDefault="004E7C4D">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Party’s response to the communication, para. 43.</w:t>
      </w:r>
    </w:p>
  </w:footnote>
  <w:footnote w:id="96">
    <w:p w14:paraId="0150C8E5" w14:textId="73771081" w:rsidR="004E7C4D" w:rsidRPr="00FE2D73" w:rsidRDefault="004E7C4D">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Communicants’ opening statement </w:t>
      </w:r>
      <w:r>
        <w:rPr>
          <w:rFonts w:asciiTheme="majorBidi" w:hAnsiTheme="majorBidi" w:cstheme="majorBidi"/>
          <w:sz w:val="18"/>
          <w:szCs w:val="18"/>
        </w:rPr>
        <w:t xml:space="preserve">for the hearing </w:t>
      </w:r>
      <w:r w:rsidRPr="00FE2D73">
        <w:rPr>
          <w:rFonts w:asciiTheme="majorBidi" w:hAnsiTheme="majorBidi" w:cstheme="majorBidi"/>
          <w:sz w:val="18"/>
          <w:szCs w:val="18"/>
        </w:rPr>
        <w:t>at the Committee’s sixt</w:t>
      </w:r>
      <w:r>
        <w:rPr>
          <w:rFonts w:asciiTheme="majorBidi" w:hAnsiTheme="majorBidi" w:cstheme="majorBidi"/>
          <w:sz w:val="18"/>
          <w:szCs w:val="18"/>
        </w:rPr>
        <w:t xml:space="preserve">ieth </w:t>
      </w:r>
      <w:r w:rsidRPr="00FE2D73">
        <w:rPr>
          <w:rFonts w:asciiTheme="majorBidi" w:hAnsiTheme="majorBidi" w:cstheme="majorBidi"/>
          <w:sz w:val="18"/>
          <w:szCs w:val="18"/>
        </w:rPr>
        <w:t>meeting, 14 March 2018, para. 19, and comments on the Party’s reply to the Committee’s questions, 21 July 2018, para. 7.</w:t>
      </w:r>
    </w:p>
  </w:footnote>
  <w:footnote w:id="97">
    <w:p w14:paraId="7C2A29E6" w14:textId="77777777" w:rsidR="004E7C4D" w:rsidRPr="00FE2D73" w:rsidRDefault="004E7C4D">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Communication, p. 4.</w:t>
      </w:r>
    </w:p>
  </w:footnote>
  <w:footnote w:id="98">
    <w:p w14:paraId="789659AF" w14:textId="468E8E9D" w:rsidR="004E7C4D" w:rsidRPr="00FE2D73" w:rsidRDefault="004E7C4D">
      <w:pPr>
        <w:pStyle w:val="FootnoteText"/>
        <w:tabs>
          <w:tab w:val="left" w:pos="1134"/>
        </w:tabs>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Party’s response to the communication, para. 44.</w:t>
      </w:r>
    </w:p>
  </w:footnote>
  <w:footnote w:id="99">
    <w:p w14:paraId="1E134955" w14:textId="77777777" w:rsidR="004E7C4D" w:rsidRPr="00364BE7" w:rsidRDefault="004E7C4D">
      <w:pPr>
        <w:pStyle w:val="FootnoteText"/>
        <w:tabs>
          <w:tab w:val="left" w:pos="1134"/>
        </w:tabs>
        <w:ind w:left="1134"/>
        <w:rPr>
          <w:rFonts w:asciiTheme="majorBidi" w:hAnsiTheme="majorBidi"/>
          <w:sz w:val="18"/>
        </w:rPr>
      </w:pPr>
      <w:r w:rsidRPr="00364BE7">
        <w:rPr>
          <w:rStyle w:val="FootnoteReference"/>
          <w:rFonts w:asciiTheme="majorBidi" w:hAnsiTheme="majorBidi"/>
        </w:rPr>
        <w:footnoteRef/>
      </w:r>
      <w:r w:rsidRPr="00364BE7">
        <w:rPr>
          <w:rFonts w:asciiTheme="majorBidi" w:hAnsiTheme="majorBidi"/>
          <w:sz w:val="18"/>
        </w:rPr>
        <w:t xml:space="preserve"> Party’s response to the communication, paras. 18-26, 36-43.</w:t>
      </w:r>
    </w:p>
  </w:footnote>
  <w:footnote w:id="100">
    <w:p w14:paraId="27B08F0C" w14:textId="77777777" w:rsidR="004E7C4D" w:rsidRPr="00364BE7" w:rsidRDefault="004E7C4D">
      <w:pPr>
        <w:pStyle w:val="FootnoteText"/>
        <w:tabs>
          <w:tab w:val="left" w:pos="1134"/>
        </w:tabs>
        <w:ind w:left="1134"/>
        <w:rPr>
          <w:rFonts w:asciiTheme="majorBidi" w:hAnsiTheme="majorBidi"/>
          <w:sz w:val="18"/>
        </w:rPr>
      </w:pPr>
      <w:r w:rsidRPr="00FE2D73">
        <w:rPr>
          <w:rStyle w:val="FootnoteReference"/>
          <w:rFonts w:asciiTheme="majorBidi" w:hAnsiTheme="majorBidi" w:cstheme="majorBidi"/>
          <w:szCs w:val="18"/>
        </w:rPr>
        <w:footnoteRef/>
      </w:r>
      <w:r w:rsidRPr="00364BE7">
        <w:rPr>
          <w:rFonts w:asciiTheme="majorBidi" w:hAnsiTheme="majorBidi"/>
          <w:sz w:val="18"/>
        </w:rPr>
        <w:t xml:space="preserve"> </w:t>
      </w:r>
      <w:r w:rsidRPr="00FE2D73">
        <w:rPr>
          <w:rFonts w:asciiTheme="majorBidi" w:hAnsiTheme="majorBidi" w:cstheme="majorBidi"/>
          <w:sz w:val="18"/>
          <w:szCs w:val="18"/>
        </w:rPr>
        <w:t>Party’s reply to the Committee’s questions, 26 June 2018, footnote 3.</w:t>
      </w:r>
    </w:p>
  </w:footnote>
  <w:footnote w:id="101">
    <w:p w14:paraId="627F3403" w14:textId="21436D82" w:rsidR="004E7C4D" w:rsidRPr="00364BE7" w:rsidRDefault="004E7C4D">
      <w:pPr>
        <w:pStyle w:val="FootnoteText"/>
        <w:tabs>
          <w:tab w:val="left" w:pos="1134"/>
        </w:tabs>
        <w:ind w:left="1134"/>
        <w:rPr>
          <w:rFonts w:asciiTheme="majorBidi" w:hAnsiTheme="majorBidi"/>
          <w:sz w:val="18"/>
        </w:rPr>
      </w:pPr>
      <w:r w:rsidRPr="00364BE7">
        <w:rPr>
          <w:rStyle w:val="FootnoteReference"/>
          <w:rFonts w:asciiTheme="majorBidi" w:hAnsiTheme="majorBidi"/>
        </w:rPr>
        <w:footnoteRef/>
      </w:r>
      <w:r w:rsidRPr="00364BE7">
        <w:rPr>
          <w:rFonts w:asciiTheme="majorBidi" w:hAnsiTheme="majorBidi"/>
          <w:sz w:val="18"/>
          <w:lang w:val="es-ES"/>
        </w:rPr>
        <w:t xml:space="preserve"> ECE/</w:t>
      </w:r>
      <w:proofErr w:type="gramStart"/>
      <w:r w:rsidRPr="00364BE7">
        <w:rPr>
          <w:rFonts w:asciiTheme="majorBidi" w:hAnsiTheme="majorBidi"/>
          <w:sz w:val="18"/>
          <w:lang w:val="es-ES"/>
        </w:rPr>
        <w:t>MP.PP</w:t>
      </w:r>
      <w:proofErr w:type="gramEnd"/>
      <w:r w:rsidRPr="00364BE7">
        <w:rPr>
          <w:rFonts w:asciiTheme="majorBidi" w:hAnsiTheme="majorBidi"/>
          <w:sz w:val="18"/>
          <w:lang w:val="es-ES"/>
        </w:rPr>
        <w:t xml:space="preserve">/C.1/2017/21, para. </w:t>
      </w:r>
      <w:r w:rsidRPr="00364BE7">
        <w:rPr>
          <w:rFonts w:asciiTheme="majorBidi" w:hAnsiTheme="majorBidi"/>
          <w:sz w:val="18"/>
        </w:rPr>
        <w:t>89.</w:t>
      </w:r>
    </w:p>
  </w:footnote>
  <w:footnote w:id="102">
    <w:p w14:paraId="12647DAA" w14:textId="48F5F3B0" w:rsidR="004E7C4D" w:rsidRPr="00364BE7" w:rsidRDefault="004E7C4D" w:rsidP="00364BE7">
      <w:pPr>
        <w:pStyle w:val="FootnoteText"/>
        <w:ind w:left="414" w:firstLine="720"/>
        <w:rPr>
          <w:rFonts w:asciiTheme="majorBidi" w:hAnsiTheme="majorBidi"/>
          <w:sz w:val="18"/>
          <w:lang w:val="en-US"/>
        </w:rPr>
      </w:pPr>
      <w:r w:rsidRPr="00364BE7">
        <w:rPr>
          <w:rStyle w:val="FootnoteReference"/>
          <w:rFonts w:asciiTheme="majorBidi" w:hAnsiTheme="majorBidi"/>
        </w:rPr>
        <w:footnoteRef/>
      </w:r>
      <w:r w:rsidRPr="002249C2">
        <w:rPr>
          <w:rFonts w:asciiTheme="majorBidi" w:hAnsiTheme="majorBidi" w:cstheme="majorBidi"/>
          <w:sz w:val="18"/>
          <w:szCs w:val="18"/>
        </w:rPr>
        <w:t xml:space="preserve"> </w:t>
      </w:r>
      <w:r w:rsidRPr="00FE2D73">
        <w:rPr>
          <w:rFonts w:asciiTheme="majorBidi" w:hAnsiTheme="majorBidi" w:cstheme="majorBidi"/>
          <w:sz w:val="18"/>
          <w:szCs w:val="18"/>
        </w:rPr>
        <w:t>Party’s comments on the communicants’ comments of 21 July 2018, 26 October 2018, para. 25.</w:t>
      </w:r>
    </w:p>
  </w:footnote>
  <w:footnote w:id="103">
    <w:p w14:paraId="64F115A6" w14:textId="2009E846" w:rsidR="004E7C4D" w:rsidRPr="00364BE7" w:rsidRDefault="004E7C4D">
      <w:pPr>
        <w:pStyle w:val="FootnoteText"/>
        <w:tabs>
          <w:tab w:val="left" w:pos="1134"/>
        </w:tabs>
        <w:ind w:left="1134"/>
        <w:rPr>
          <w:rFonts w:asciiTheme="majorBidi" w:hAnsiTheme="majorBidi"/>
          <w:sz w:val="18"/>
        </w:rPr>
      </w:pPr>
      <w:r w:rsidRPr="00364BE7">
        <w:rPr>
          <w:rStyle w:val="FootnoteReference"/>
          <w:rFonts w:asciiTheme="majorBidi" w:hAnsiTheme="majorBidi"/>
        </w:rPr>
        <w:footnoteRef/>
      </w:r>
      <w:r w:rsidRPr="00867FB1">
        <w:rPr>
          <w:rFonts w:asciiTheme="majorBidi" w:hAnsiTheme="majorBidi"/>
          <w:sz w:val="18"/>
        </w:rPr>
        <w:t xml:space="preserve"> </w:t>
      </w:r>
      <w:r w:rsidRPr="00867FB1">
        <w:rPr>
          <w:rFonts w:asciiTheme="majorBidi" w:hAnsiTheme="majorBidi"/>
        </w:rPr>
        <w:t>ECE/</w:t>
      </w:r>
      <w:proofErr w:type="gramStart"/>
      <w:r w:rsidRPr="00867FB1">
        <w:rPr>
          <w:rFonts w:asciiTheme="majorBidi" w:hAnsiTheme="majorBidi"/>
        </w:rPr>
        <w:t>MP.PP</w:t>
      </w:r>
      <w:proofErr w:type="gramEnd"/>
      <w:r w:rsidRPr="00867FB1">
        <w:rPr>
          <w:rFonts w:asciiTheme="majorBidi" w:hAnsiTheme="majorBidi"/>
        </w:rPr>
        <w:t xml:space="preserve">/C.1/2011/4/Add.1, </w:t>
      </w:r>
      <w:r w:rsidRPr="00867FB1">
        <w:rPr>
          <w:rFonts w:asciiTheme="majorBidi" w:hAnsiTheme="majorBidi"/>
          <w:sz w:val="18"/>
        </w:rPr>
        <w:t xml:space="preserve">para. </w:t>
      </w:r>
      <w:r w:rsidRPr="00FE2D73">
        <w:rPr>
          <w:rFonts w:asciiTheme="majorBidi" w:hAnsiTheme="majorBidi" w:cstheme="majorBidi"/>
          <w:sz w:val="18"/>
          <w:szCs w:val="18"/>
        </w:rPr>
        <w:t>90.</w:t>
      </w:r>
    </w:p>
  </w:footnote>
  <w:footnote w:id="104">
    <w:p w14:paraId="15CE09B1" w14:textId="3A9799DB" w:rsidR="004E7C4D" w:rsidRPr="00364BE7" w:rsidRDefault="004E7C4D">
      <w:pPr>
        <w:pStyle w:val="FootnoteText"/>
        <w:tabs>
          <w:tab w:val="left" w:pos="1134"/>
        </w:tabs>
        <w:ind w:left="1134"/>
        <w:rPr>
          <w:rFonts w:asciiTheme="majorBidi" w:hAnsiTheme="majorBidi"/>
          <w:sz w:val="18"/>
        </w:rPr>
      </w:pPr>
      <w:r w:rsidRPr="00FE2D73">
        <w:rPr>
          <w:rStyle w:val="FootnoteReference"/>
          <w:rFonts w:asciiTheme="majorBidi" w:hAnsiTheme="majorBidi" w:cstheme="majorBidi"/>
          <w:szCs w:val="18"/>
        </w:rPr>
        <w:footnoteRef/>
      </w:r>
      <w:r w:rsidRPr="00364BE7">
        <w:rPr>
          <w:rFonts w:asciiTheme="majorBidi" w:hAnsiTheme="majorBidi"/>
          <w:sz w:val="18"/>
        </w:rPr>
        <w:t xml:space="preserve"> </w:t>
      </w:r>
      <w:r w:rsidRPr="00FE2D73">
        <w:rPr>
          <w:rFonts w:asciiTheme="majorBidi" w:hAnsiTheme="majorBidi" w:cstheme="majorBidi"/>
          <w:sz w:val="18"/>
          <w:szCs w:val="18"/>
        </w:rPr>
        <w:t xml:space="preserve">Party’s response to the communication, para. 13, and the Party’s opening statement for the hearing at the Committee’s sixtieth meeting, </w:t>
      </w:r>
      <w:r>
        <w:rPr>
          <w:rFonts w:asciiTheme="majorBidi" w:hAnsiTheme="majorBidi" w:cstheme="majorBidi"/>
          <w:sz w:val="18"/>
          <w:szCs w:val="18"/>
        </w:rPr>
        <w:t xml:space="preserve">15 March 2018, </w:t>
      </w:r>
      <w:r w:rsidRPr="00FE2D73">
        <w:rPr>
          <w:rFonts w:asciiTheme="majorBidi" w:hAnsiTheme="majorBidi" w:cstheme="majorBidi"/>
          <w:sz w:val="18"/>
          <w:szCs w:val="18"/>
        </w:rPr>
        <w:t>para. 11.</w:t>
      </w:r>
    </w:p>
  </w:footnote>
  <w:footnote w:id="105">
    <w:p w14:paraId="0DC69064" w14:textId="0F0335E9" w:rsidR="004E7C4D" w:rsidRPr="00FE2D73" w:rsidRDefault="004E7C4D" w:rsidP="00611ABC">
      <w:pPr>
        <w:pStyle w:val="FootnoteText"/>
        <w:ind w:left="414" w:firstLine="720"/>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Party’s reply to Committee’s questions, 26 June 2018, para. 33.</w:t>
      </w:r>
    </w:p>
  </w:footnote>
  <w:footnote w:id="106">
    <w:p w14:paraId="07430E36" w14:textId="3E119907" w:rsidR="004E7C4D" w:rsidRPr="00FE2D73" w:rsidRDefault="004E7C4D">
      <w:pPr>
        <w:pStyle w:val="FootnoteText"/>
        <w:tabs>
          <w:tab w:val="left" w:pos="1134"/>
        </w:tabs>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EE5071">
        <w:rPr>
          <w:rFonts w:asciiTheme="majorBidi" w:hAnsiTheme="majorBidi" w:cstheme="majorBidi"/>
          <w:sz w:val="18"/>
          <w:szCs w:val="18"/>
          <w:lang w:val="es-ES"/>
        </w:rPr>
        <w:t xml:space="preserve"> ECE/</w:t>
      </w:r>
      <w:proofErr w:type="gramStart"/>
      <w:r w:rsidRPr="00EE5071">
        <w:rPr>
          <w:rFonts w:asciiTheme="majorBidi" w:hAnsiTheme="majorBidi" w:cstheme="majorBidi"/>
          <w:sz w:val="18"/>
          <w:szCs w:val="18"/>
          <w:lang w:val="es-ES"/>
        </w:rPr>
        <w:t>MP.PP</w:t>
      </w:r>
      <w:proofErr w:type="gramEnd"/>
      <w:r w:rsidRPr="00EE5071">
        <w:rPr>
          <w:rFonts w:asciiTheme="majorBidi" w:hAnsiTheme="majorBidi" w:cstheme="majorBidi"/>
          <w:sz w:val="18"/>
          <w:szCs w:val="18"/>
          <w:lang w:val="es-ES"/>
        </w:rPr>
        <w:t xml:space="preserve">/C.1/2017/7, para. </w:t>
      </w:r>
      <w:r w:rsidRPr="00FE2D73">
        <w:rPr>
          <w:rFonts w:asciiTheme="majorBidi" w:hAnsiTheme="majorBidi" w:cstheme="majorBidi"/>
          <w:sz w:val="18"/>
          <w:szCs w:val="18"/>
        </w:rPr>
        <w:t>110.</w:t>
      </w:r>
    </w:p>
  </w:footnote>
  <w:footnote w:id="107">
    <w:p w14:paraId="0C57700F" w14:textId="61963ED0" w:rsidR="004E7C4D" w:rsidRPr="00C76A5C" w:rsidRDefault="004E7C4D">
      <w:pPr>
        <w:pStyle w:val="FootnoteText"/>
        <w:tabs>
          <w:tab w:val="left" w:pos="1134"/>
        </w:tabs>
        <w:ind w:left="1134"/>
        <w:rPr>
          <w:rFonts w:asciiTheme="majorBidi" w:hAnsiTheme="majorBidi"/>
          <w:sz w:val="18"/>
        </w:rPr>
      </w:pPr>
      <w:r w:rsidRPr="00FE2D73">
        <w:rPr>
          <w:rStyle w:val="FootnoteReference"/>
          <w:rFonts w:asciiTheme="majorBidi" w:hAnsiTheme="majorBidi" w:cstheme="majorBidi"/>
          <w:szCs w:val="18"/>
        </w:rPr>
        <w:footnoteRef/>
      </w:r>
      <w:r w:rsidRPr="00364BE7">
        <w:rPr>
          <w:rFonts w:asciiTheme="majorBidi" w:hAnsiTheme="majorBidi"/>
          <w:sz w:val="18"/>
        </w:rPr>
        <w:t xml:space="preserve"> </w:t>
      </w:r>
      <w:r>
        <w:rPr>
          <w:rFonts w:asciiTheme="majorBidi" w:hAnsiTheme="majorBidi"/>
          <w:sz w:val="18"/>
        </w:rPr>
        <w:t>Ibid.</w:t>
      </w:r>
      <w:r w:rsidRPr="00FE2D73">
        <w:rPr>
          <w:rFonts w:asciiTheme="majorBidi" w:hAnsiTheme="majorBidi" w:cstheme="majorBidi"/>
          <w:sz w:val="18"/>
          <w:szCs w:val="18"/>
        </w:rPr>
        <w:t xml:space="preserve">, para. </w:t>
      </w:r>
      <w:r w:rsidRPr="00C76A5C">
        <w:rPr>
          <w:rFonts w:asciiTheme="majorBidi" w:hAnsiTheme="majorBidi" w:cstheme="majorBidi"/>
          <w:sz w:val="18"/>
          <w:szCs w:val="18"/>
        </w:rPr>
        <w:t>111.</w:t>
      </w:r>
    </w:p>
  </w:footnote>
  <w:footnote w:id="108">
    <w:p w14:paraId="002587AF" w14:textId="627A344D" w:rsidR="004E7C4D" w:rsidRPr="002249C2" w:rsidRDefault="004E7C4D" w:rsidP="00EA30E3">
      <w:pPr>
        <w:pStyle w:val="FootnoteText"/>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lang w:val="es-ES"/>
        </w:rPr>
        <w:t xml:space="preserve"> ECE/</w:t>
      </w:r>
      <w:proofErr w:type="gramStart"/>
      <w:r w:rsidRPr="00FE2D73">
        <w:rPr>
          <w:rFonts w:asciiTheme="majorBidi" w:hAnsiTheme="majorBidi" w:cstheme="majorBidi"/>
          <w:sz w:val="18"/>
          <w:szCs w:val="18"/>
          <w:lang w:val="es-ES"/>
        </w:rPr>
        <w:t>MP.PP</w:t>
      </w:r>
      <w:proofErr w:type="gramEnd"/>
      <w:r w:rsidRPr="00FE2D73">
        <w:rPr>
          <w:rFonts w:asciiTheme="majorBidi" w:hAnsiTheme="majorBidi" w:cstheme="majorBidi"/>
          <w:sz w:val="18"/>
          <w:szCs w:val="18"/>
          <w:lang w:val="es-ES"/>
        </w:rPr>
        <w:t xml:space="preserve">/C.1/2016/10, para. </w:t>
      </w:r>
      <w:r w:rsidRPr="002249C2">
        <w:rPr>
          <w:rFonts w:asciiTheme="majorBidi" w:hAnsiTheme="majorBidi" w:cstheme="majorBidi"/>
          <w:sz w:val="18"/>
          <w:szCs w:val="18"/>
        </w:rPr>
        <w:t>84.</w:t>
      </w:r>
    </w:p>
  </w:footnote>
  <w:footnote w:id="109">
    <w:p w14:paraId="5169AFC5" w14:textId="52607FE3" w:rsidR="004E7C4D" w:rsidRPr="00364BE7" w:rsidRDefault="004E7C4D">
      <w:pPr>
        <w:pStyle w:val="FootnoteText"/>
        <w:tabs>
          <w:tab w:val="left" w:pos="1134"/>
        </w:tabs>
        <w:ind w:left="1134"/>
        <w:rPr>
          <w:rFonts w:asciiTheme="majorBidi" w:hAnsiTheme="majorBidi"/>
          <w:sz w:val="18"/>
        </w:rPr>
      </w:pPr>
      <w:r w:rsidRPr="00FE2D73">
        <w:rPr>
          <w:rStyle w:val="FootnoteReference"/>
          <w:rFonts w:asciiTheme="majorBidi" w:hAnsiTheme="majorBidi" w:cstheme="majorBidi"/>
          <w:szCs w:val="18"/>
        </w:rPr>
        <w:footnoteRef/>
      </w:r>
      <w:r w:rsidRPr="00EE5071">
        <w:rPr>
          <w:rFonts w:asciiTheme="majorBidi" w:hAnsiTheme="majorBidi" w:cstheme="majorBidi"/>
          <w:sz w:val="18"/>
          <w:szCs w:val="18"/>
          <w:lang w:val="es-ES"/>
        </w:rPr>
        <w:t xml:space="preserve"> ECE/</w:t>
      </w:r>
      <w:proofErr w:type="gramStart"/>
      <w:r w:rsidRPr="00EE5071">
        <w:rPr>
          <w:rFonts w:asciiTheme="majorBidi" w:hAnsiTheme="majorBidi" w:cstheme="majorBidi"/>
          <w:sz w:val="18"/>
          <w:szCs w:val="18"/>
          <w:lang w:val="es-ES"/>
        </w:rPr>
        <w:t>MP.PP</w:t>
      </w:r>
      <w:proofErr w:type="gramEnd"/>
      <w:r w:rsidRPr="00EE5071">
        <w:rPr>
          <w:rFonts w:asciiTheme="majorBidi" w:hAnsiTheme="majorBidi" w:cstheme="majorBidi"/>
          <w:sz w:val="18"/>
          <w:szCs w:val="18"/>
          <w:lang w:val="es-ES"/>
        </w:rPr>
        <w:t xml:space="preserve">/C.1/2017/7, paras. </w:t>
      </w:r>
      <w:r w:rsidRPr="00FE2D73">
        <w:rPr>
          <w:rFonts w:asciiTheme="majorBidi" w:hAnsiTheme="majorBidi" w:cstheme="majorBidi"/>
          <w:sz w:val="18"/>
          <w:szCs w:val="18"/>
        </w:rPr>
        <w:t>58-78.</w:t>
      </w:r>
    </w:p>
  </w:footnote>
  <w:footnote w:id="110">
    <w:p w14:paraId="1084CC7A" w14:textId="77777777" w:rsidR="004E7C4D" w:rsidRPr="00FE2D73" w:rsidRDefault="004E7C4D" w:rsidP="008F3B6F">
      <w:pPr>
        <w:pStyle w:val="FootnoteText"/>
        <w:tabs>
          <w:tab w:val="left" w:pos="1134"/>
        </w:tabs>
        <w:ind w:left="1134"/>
        <w:rPr>
          <w:rFonts w:asciiTheme="majorBidi" w:hAnsiTheme="majorBidi" w:cstheme="majorBidi"/>
          <w:sz w:val="18"/>
          <w:szCs w:val="18"/>
        </w:rPr>
      </w:pPr>
      <w:r w:rsidRPr="00FE2D73">
        <w:rPr>
          <w:rStyle w:val="FootnoteReference"/>
          <w:rFonts w:asciiTheme="majorBidi" w:hAnsiTheme="majorBidi" w:cstheme="majorBidi"/>
          <w:szCs w:val="18"/>
        </w:rPr>
        <w:footnoteRef/>
      </w:r>
      <w:r w:rsidRPr="00FE2D73">
        <w:rPr>
          <w:rFonts w:asciiTheme="majorBidi" w:hAnsiTheme="majorBidi" w:cstheme="majorBidi"/>
          <w:sz w:val="18"/>
          <w:szCs w:val="18"/>
        </w:rPr>
        <w:t xml:space="preserve"> Party’s reply to the Committee’s questions, 26 June 2018, para. 43.</w:t>
      </w:r>
    </w:p>
  </w:footnote>
  <w:footnote w:id="111">
    <w:p w14:paraId="4768ACBC" w14:textId="5B170A85" w:rsidR="004E7C4D" w:rsidRPr="00EE5071" w:rsidRDefault="004E7C4D" w:rsidP="00AB220E">
      <w:pPr>
        <w:pStyle w:val="FootnoteText"/>
        <w:tabs>
          <w:tab w:val="left" w:pos="1134"/>
        </w:tabs>
        <w:ind w:left="1134"/>
        <w:rPr>
          <w:rFonts w:asciiTheme="majorBidi" w:hAnsiTheme="majorBidi" w:cstheme="majorBidi"/>
          <w:sz w:val="18"/>
          <w:szCs w:val="18"/>
          <w:lang w:val="es-ES"/>
        </w:rPr>
      </w:pPr>
      <w:r w:rsidRPr="00FE2D73">
        <w:rPr>
          <w:rStyle w:val="FootnoteReference"/>
          <w:rFonts w:asciiTheme="majorBidi" w:hAnsiTheme="majorBidi" w:cstheme="majorBidi"/>
          <w:szCs w:val="18"/>
        </w:rPr>
        <w:footnoteRef/>
      </w:r>
      <w:r w:rsidRPr="00EE5071">
        <w:rPr>
          <w:rFonts w:asciiTheme="majorBidi" w:hAnsiTheme="majorBidi" w:cstheme="majorBidi"/>
          <w:sz w:val="18"/>
          <w:szCs w:val="18"/>
          <w:lang w:val="es-ES"/>
        </w:rPr>
        <w:t xml:space="preserve"> ECE/</w:t>
      </w:r>
      <w:proofErr w:type="gramStart"/>
      <w:r w:rsidRPr="00EE5071">
        <w:rPr>
          <w:rFonts w:asciiTheme="majorBidi" w:hAnsiTheme="majorBidi" w:cstheme="majorBidi"/>
          <w:sz w:val="18"/>
          <w:szCs w:val="18"/>
          <w:lang w:val="es-ES"/>
        </w:rPr>
        <w:t>MP.PP</w:t>
      </w:r>
      <w:proofErr w:type="gramEnd"/>
      <w:r w:rsidRPr="00EE5071">
        <w:rPr>
          <w:rFonts w:asciiTheme="majorBidi" w:hAnsiTheme="majorBidi" w:cstheme="majorBidi"/>
          <w:sz w:val="18"/>
          <w:szCs w:val="18"/>
          <w:lang w:val="es-ES"/>
        </w:rPr>
        <w:t>/C.1/2011/4/Add.1, para. 89.</w:t>
      </w:r>
    </w:p>
  </w:footnote>
  <w:footnote w:id="112">
    <w:p w14:paraId="547B9D11" w14:textId="06E1258B" w:rsidR="004E7C4D" w:rsidRPr="00EE5071" w:rsidRDefault="004E7C4D">
      <w:pPr>
        <w:pStyle w:val="FootnoteText"/>
        <w:tabs>
          <w:tab w:val="left" w:pos="1134"/>
        </w:tabs>
        <w:ind w:left="1134"/>
        <w:rPr>
          <w:rFonts w:asciiTheme="majorBidi" w:hAnsiTheme="majorBidi"/>
          <w:sz w:val="18"/>
          <w:lang w:val="es-ES"/>
        </w:rPr>
      </w:pPr>
      <w:r w:rsidRPr="00FE2D73">
        <w:rPr>
          <w:rStyle w:val="FootnoteReference"/>
          <w:rFonts w:asciiTheme="majorBidi" w:hAnsiTheme="majorBidi" w:cstheme="majorBidi"/>
          <w:szCs w:val="18"/>
        </w:rPr>
        <w:footnoteRef/>
      </w:r>
      <w:r w:rsidRPr="00EE5071">
        <w:rPr>
          <w:rFonts w:asciiTheme="majorBidi" w:hAnsiTheme="majorBidi" w:cstheme="majorBidi"/>
          <w:sz w:val="18"/>
          <w:szCs w:val="18"/>
          <w:lang w:val="es-ES"/>
        </w:rPr>
        <w:t xml:space="preserve"> Ibid., para. 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0D4D1" w14:textId="539A3A88" w:rsidR="004E7C4D" w:rsidRPr="006A6955" w:rsidRDefault="004E7C4D" w:rsidP="002F702B">
    <w:pPr>
      <w:pStyle w:val="Header"/>
      <w:jc w:val="right"/>
    </w:pPr>
    <w:r>
      <w:t xml:space="preserve">ACCC/C/2015/128 (European Union)  </w:t>
    </w:r>
  </w:p>
  <w:p w14:paraId="75714AF6" w14:textId="0BC6DACC" w:rsidR="004E7C4D" w:rsidRPr="006A6955" w:rsidRDefault="004E7C4D" w:rsidP="002F702B">
    <w:pPr>
      <w:pStyle w:val="Header"/>
      <w:jc w:val="right"/>
    </w:pPr>
    <w:r>
      <w:t>Draft findings for parties’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6A916E"/>
    <w:multiLevelType w:val="hybridMultilevel"/>
    <w:tmpl w:val="DAA75C72"/>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833D3A"/>
    <w:multiLevelType w:val="hybridMultilevel"/>
    <w:tmpl w:val="7E9A65D0"/>
    <w:lvl w:ilvl="0" w:tplc="2A92AFB8">
      <w:start w:val="1"/>
      <w:numFmt w:val="decimal"/>
      <w:lvlText w:val="%1."/>
      <w:lvlJc w:val="left"/>
      <w:pPr>
        <w:tabs>
          <w:tab w:val="num" w:pos="1710"/>
        </w:tabs>
        <w:ind w:left="1710" w:hanging="576"/>
      </w:pPr>
      <w:rPr>
        <w:rFonts w:cs="Times New Roman"/>
        <w:color w:val="auto"/>
      </w:rPr>
    </w:lvl>
    <w:lvl w:ilvl="1" w:tplc="0B1C8860">
      <w:start w:val="1"/>
      <w:numFmt w:val="decimal"/>
      <w:lvlText w:val="(%2)"/>
      <w:lvlJc w:val="left"/>
      <w:pPr>
        <w:tabs>
          <w:tab w:val="num" w:pos="2574"/>
        </w:tabs>
        <w:ind w:left="2574" w:hanging="720"/>
      </w:pPr>
      <w:rPr>
        <w:rFonts w:cs="Times New Roman"/>
        <w:sz w:val="20"/>
        <w:szCs w:val="20"/>
      </w:rPr>
    </w:lvl>
    <w:lvl w:ilvl="2" w:tplc="0409001B">
      <w:start w:val="1"/>
      <w:numFmt w:val="lowerRoman"/>
      <w:lvlText w:val="%3."/>
      <w:lvlJc w:val="right"/>
      <w:pPr>
        <w:tabs>
          <w:tab w:val="num" w:pos="2934"/>
        </w:tabs>
        <w:ind w:left="2934" w:hanging="180"/>
      </w:pPr>
      <w:rPr>
        <w:rFonts w:cs="Times New Roman"/>
      </w:rPr>
    </w:lvl>
    <w:lvl w:ilvl="3" w:tplc="0409000F">
      <w:start w:val="1"/>
      <w:numFmt w:val="decimal"/>
      <w:lvlText w:val="%4."/>
      <w:lvlJc w:val="left"/>
      <w:pPr>
        <w:tabs>
          <w:tab w:val="num" w:pos="3654"/>
        </w:tabs>
        <w:ind w:left="3654" w:hanging="360"/>
      </w:pPr>
      <w:rPr>
        <w:rFonts w:cs="Times New Roman"/>
      </w:rPr>
    </w:lvl>
    <w:lvl w:ilvl="4" w:tplc="04090019">
      <w:start w:val="1"/>
      <w:numFmt w:val="lowerLetter"/>
      <w:lvlText w:val="%5."/>
      <w:lvlJc w:val="left"/>
      <w:pPr>
        <w:tabs>
          <w:tab w:val="num" w:pos="4374"/>
        </w:tabs>
        <w:ind w:left="4374" w:hanging="360"/>
      </w:pPr>
      <w:rPr>
        <w:rFonts w:cs="Times New Roman"/>
      </w:rPr>
    </w:lvl>
    <w:lvl w:ilvl="5" w:tplc="0409001B">
      <w:start w:val="1"/>
      <w:numFmt w:val="lowerRoman"/>
      <w:lvlText w:val="%6."/>
      <w:lvlJc w:val="right"/>
      <w:pPr>
        <w:tabs>
          <w:tab w:val="num" w:pos="5094"/>
        </w:tabs>
        <w:ind w:left="5094" w:hanging="180"/>
      </w:pPr>
      <w:rPr>
        <w:rFonts w:cs="Times New Roman"/>
      </w:rPr>
    </w:lvl>
    <w:lvl w:ilvl="6" w:tplc="0409000F">
      <w:start w:val="1"/>
      <w:numFmt w:val="decimal"/>
      <w:lvlText w:val="%7."/>
      <w:lvlJc w:val="left"/>
      <w:pPr>
        <w:tabs>
          <w:tab w:val="num" w:pos="5814"/>
        </w:tabs>
        <w:ind w:left="5814" w:hanging="360"/>
      </w:pPr>
      <w:rPr>
        <w:rFonts w:cs="Times New Roman"/>
      </w:rPr>
    </w:lvl>
    <w:lvl w:ilvl="7" w:tplc="04090019">
      <w:start w:val="1"/>
      <w:numFmt w:val="lowerLetter"/>
      <w:lvlText w:val="%8."/>
      <w:lvlJc w:val="left"/>
      <w:pPr>
        <w:tabs>
          <w:tab w:val="num" w:pos="6534"/>
        </w:tabs>
        <w:ind w:left="6534" w:hanging="360"/>
      </w:pPr>
      <w:rPr>
        <w:rFonts w:cs="Times New Roman"/>
      </w:rPr>
    </w:lvl>
    <w:lvl w:ilvl="8" w:tplc="0409001B">
      <w:start w:val="1"/>
      <w:numFmt w:val="lowerRoman"/>
      <w:lvlText w:val="%9."/>
      <w:lvlJc w:val="right"/>
      <w:pPr>
        <w:tabs>
          <w:tab w:val="num" w:pos="7254"/>
        </w:tabs>
        <w:ind w:left="7254" w:hanging="180"/>
      </w:pPr>
      <w:rPr>
        <w:rFonts w:cs="Times New Roman"/>
      </w:rPr>
    </w:lvl>
  </w:abstractNum>
  <w:abstractNum w:abstractNumId="2" w15:restartNumberingAfterBreak="0">
    <w:nsid w:val="09EA18DB"/>
    <w:multiLevelType w:val="hybridMultilevel"/>
    <w:tmpl w:val="7E9A65D0"/>
    <w:lvl w:ilvl="0" w:tplc="2A92AFB8">
      <w:start w:val="1"/>
      <w:numFmt w:val="decimal"/>
      <w:lvlText w:val="%1."/>
      <w:lvlJc w:val="left"/>
      <w:pPr>
        <w:tabs>
          <w:tab w:val="num" w:pos="1710"/>
        </w:tabs>
        <w:ind w:left="1710" w:hanging="576"/>
      </w:pPr>
      <w:rPr>
        <w:rFonts w:cs="Times New Roman"/>
        <w:color w:val="auto"/>
      </w:rPr>
    </w:lvl>
    <w:lvl w:ilvl="1" w:tplc="0B1C8860">
      <w:start w:val="1"/>
      <w:numFmt w:val="decimal"/>
      <w:lvlText w:val="(%2)"/>
      <w:lvlJc w:val="left"/>
      <w:pPr>
        <w:tabs>
          <w:tab w:val="num" w:pos="2574"/>
        </w:tabs>
        <w:ind w:left="2574" w:hanging="720"/>
      </w:pPr>
      <w:rPr>
        <w:rFonts w:cs="Times New Roman"/>
        <w:sz w:val="20"/>
        <w:szCs w:val="20"/>
      </w:rPr>
    </w:lvl>
    <w:lvl w:ilvl="2" w:tplc="0409001B">
      <w:start w:val="1"/>
      <w:numFmt w:val="lowerRoman"/>
      <w:lvlText w:val="%3."/>
      <w:lvlJc w:val="right"/>
      <w:pPr>
        <w:tabs>
          <w:tab w:val="num" w:pos="2934"/>
        </w:tabs>
        <w:ind w:left="2934" w:hanging="180"/>
      </w:pPr>
      <w:rPr>
        <w:rFonts w:cs="Times New Roman"/>
      </w:rPr>
    </w:lvl>
    <w:lvl w:ilvl="3" w:tplc="0409000F">
      <w:start w:val="1"/>
      <w:numFmt w:val="decimal"/>
      <w:lvlText w:val="%4."/>
      <w:lvlJc w:val="left"/>
      <w:pPr>
        <w:tabs>
          <w:tab w:val="num" w:pos="3654"/>
        </w:tabs>
        <w:ind w:left="3654" w:hanging="360"/>
      </w:pPr>
      <w:rPr>
        <w:rFonts w:cs="Times New Roman"/>
      </w:rPr>
    </w:lvl>
    <w:lvl w:ilvl="4" w:tplc="04090019">
      <w:start w:val="1"/>
      <w:numFmt w:val="lowerLetter"/>
      <w:lvlText w:val="%5."/>
      <w:lvlJc w:val="left"/>
      <w:pPr>
        <w:tabs>
          <w:tab w:val="num" w:pos="4374"/>
        </w:tabs>
        <w:ind w:left="4374" w:hanging="360"/>
      </w:pPr>
      <w:rPr>
        <w:rFonts w:cs="Times New Roman"/>
      </w:rPr>
    </w:lvl>
    <w:lvl w:ilvl="5" w:tplc="0409001B">
      <w:start w:val="1"/>
      <w:numFmt w:val="lowerRoman"/>
      <w:lvlText w:val="%6."/>
      <w:lvlJc w:val="right"/>
      <w:pPr>
        <w:tabs>
          <w:tab w:val="num" w:pos="5094"/>
        </w:tabs>
        <w:ind w:left="5094" w:hanging="180"/>
      </w:pPr>
      <w:rPr>
        <w:rFonts w:cs="Times New Roman"/>
      </w:rPr>
    </w:lvl>
    <w:lvl w:ilvl="6" w:tplc="0409000F">
      <w:start w:val="1"/>
      <w:numFmt w:val="decimal"/>
      <w:lvlText w:val="%7."/>
      <w:lvlJc w:val="left"/>
      <w:pPr>
        <w:tabs>
          <w:tab w:val="num" w:pos="5814"/>
        </w:tabs>
        <w:ind w:left="5814" w:hanging="360"/>
      </w:pPr>
      <w:rPr>
        <w:rFonts w:cs="Times New Roman"/>
      </w:rPr>
    </w:lvl>
    <w:lvl w:ilvl="7" w:tplc="04090019">
      <w:start w:val="1"/>
      <w:numFmt w:val="lowerLetter"/>
      <w:lvlText w:val="%8."/>
      <w:lvlJc w:val="left"/>
      <w:pPr>
        <w:tabs>
          <w:tab w:val="num" w:pos="6534"/>
        </w:tabs>
        <w:ind w:left="6534" w:hanging="360"/>
      </w:pPr>
      <w:rPr>
        <w:rFonts w:cs="Times New Roman"/>
      </w:rPr>
    </w:lvl>
    <w:lvl w:ilvl="8" w:tplc="0409001B">
      <w:start w:val="1"/>
      <w:numFmt w:val="lowerRoman"/>
      <w:lvlText w:val="%9."/>
      <w:lvlJc w:val="right"/>
      <w:pPr>
        <w:tabs>
          <w:tab w:val="num" w:pos="7254"/>
        </w:tabs>
        <w:ind w:left="7254" w:hanging="180"/>
      </w:pPr>
      <w:rPr>
        <w:rFonts w:cs="Times New Roman"/>
      </w:rPr>
    </w:lvl>
  </w:abstractNum>
  <w:abstractNum w:abstractNumId="3" w15:restartNumberingAfterBreak="0">
    <w:nsid w:val="0C1A0600"/>
    <w:multiLevelType w:val="hybridMultilevel"/>
    <w:tmpl w:val="B8E0DDD2"/>
    <w:lvl w:ilvl="0" w:tplc="3C2CEE46">
      <w:start w:val="1"/>
      <w:numFmt w:val="lowerLetter"/>
      <w:lvlText w:val="(%1)"/>
      <w:lvlJc w:val="left"/>
      <w:pPr>
        <w:ind w:left="1794" w:hanging="360"/>
      </w:pPr>
      <w:rPr>
        <w:rFonts w:cs="Times New Roman" w:hint="default"/>
      </w:rPr>
    </w:lvl>
    <w:lvl w:ilvl="1" w:tplc="08090019" w:tentative="1">
      <w:start w:val="1"/>
      <w:numFmt w:val="lowerLetter"/>
      <w:lvlText w:val="%2."/>
      <w:lvlJc w:val="left"/>
      <w:pPr>
        <w:ind w:left="2514" w:hanging="360"/>
      </w:pPr>
      <w:rPr>
        <w:rFonts w:cs="Times New Roman"/>
      </w:rPr>
    </w:lvl>
    <w:lvl w:ilvl="2" w:tplc="0809001B" w:tentative="1">
      <w:start w:val="1"/>
      <w:numFmt w:val="lowerRoman"/>
      <w:lvlText w:val="%3."/>
      <w:lvlJc w:val="right"/>
      <w:pPr>
        <w:ind w:left="3234" w:hanging="180"/>
      </w:pPr>
      <w:rPr>
        <w:rFonts w:cs="Times New Roman"/>
      </w:rPr>
    </w:lvl>
    <w:lvl w:ilvl="3" w:tplc="0809000F" w:tentative="1">
      <w:start w:val="1"/>
      <w:numFmt w:val="decimal"/>
      <w:lvlText w:val="%4."/>
      <w:lvlJc w:val="left"/>
      <w:pPr>
        <w:ind w:left="3954" w:hanging="360"/>
      </w:pPr>
      <w:rPr>
        <w:rFonts w:cs="Times New Roman"/>
      </w:rPr>
    </w:lvl>
    <w:lvl w:ilvl="4" w:tplc="08090019" w:tentative="1">
      <w:start w:val="1"/>
      <w:numFmt w:val="lowerLetter"/>
      <w:lvlText w:val="%5."/>
      <w:lvlJc w:val="left"/>
      <w:pPr>
        <w:ind w:left="4674" w:hanging="360"/>
      </w:pPr>
      <w:rPr>
        <w:rFonts w:cs="Times New Roman"/>
      </w:rPr>
    </w:lvl>
    <w:lvl w:ilvl="5" w:tplc="0809001B" w:tentative="1">
      <w:start w:val="1"/>
      <w:numFmt w:val="lowerRoman"/>
      <w:lvlText w:val="%6."/>
      <w:lvlJc w:val="right"/>
      <w:pPr>
        <w:ind w:left="5394" w:hanging="180"/>
      </w:pPr>
      <w:rPr>
        <w:rFonts w:cs="Times New Roman"/>
      </w:rPr>
    </w:lvl>
    <w:lvl w:ilvl="6" w:tplc="0809000F" w:tentative="1">
      <w:start w:val="1"/>
      <w:numFmt w:val="decimal"/>
      <w:lvlText w:val="%7."/>
      <w:lvlJc w:val="left"/>
      <w:pPr>
        <w:ind w:left="6114" w:hanging="360"/>
      </w:pPr>
      <w:rPr>
        <w:rFonts w:cs="Times New Roman"/>
      </w:rPr>
    </w:lvl>
    <w:lvl w:ilvl="7" w:tplc="08090019" w:tentative="1">
      <w:start w:val="1"/>
      <w:numFmt w:val="lowerLetter"/>
      <w:lvlText w:val="%8."/>
      <w:lvlJc w:val="left"/>
      <w:pPr>
        <w:ind w:left="6834" w:hanging="360"/>
      </w:pPr>
      <w:rPr>
        <w:rFonts w:cs="Times New Roman"/>
      </w:rPr>
    </w:lvl>
    <w:lvl w:ilvl="8" w:tplc="0809001B" w:tentative="1">
      <w:start w:val="1"/>
      <w:numFmt w:val="lowerRoman"/>
      <w:lvlText w:val="%9."/>
      <w:lvlJc w:val="right"/>
      <w:pPr>
        <w:ind w:left="7554" w:hanging="180"/>
      </w:pPr>
      <w:rPr>
        <w:rFonts w:cs="Times New Roman"/>
      </w:rPr>
    </w:lvl>
  </w:abstractNum>
  <w:abstractNum w:abstractNumId="4" w15:restartNumberingAfterBreak="0">
    <w:nsid w:val="11B16565"/>
    <w:multiLevelType w:val="hybridMultilevel"/>
    <w:tmpl w:val="07860C5E"/>
    <w:lvl w:ilvl="0" w:tplc="142A0820">
      <w:start w:val="98"/>
      <w:numFmt w:val="decimal"/>
      <w:lvlText w:val="%1"/>
      <w:lvlJc w:val="left"/>
      <w:pPr>
        <w:ind w:left="1460" w:hanging="360"/>
      </w:pPr>
      <w:rPr>
        <w:rFonts w:cs="Times New Roman" w:hint="default"/>
      </w:rPr>
    </w:lvl>
    <w:lvl w:ilvl="1" w:tplc="04150019" w:tentative="1">
      <w:start w:val="1"/>
      <w:numFmt w:val="lowerLetter"/>
      <w:lvlText w:val="%2."/>
      <w:lvlJc w:val="left"/>
      <w:pPr>
        <w:ind w:left="2180" w:hanging="360"/>
      </w:pPr>
      <w:rPr>
        <w:rFonts w:cs="Times New Roman"/>
      </w:rPr>
    </w:lvl>
    <w:lvl w:ilvl="2" w:tplc="0415001B" w:tentative="1">
      <w:start w:val="1"/>
      <w:numFmt w:val="lowerRoman"/>
      <w:lvlText w:val="%3."/>
      <w:lvlJc w:val="right"/>
      <w:pPr>
        <w:ind w:left="2900" w:hanging="180"/>
      </w:pPr>
      <w:rPr>
        <w:rFonts w:cs="Times New Roman"/>
      </w:rPr>
    </w:lvl>
    <w:lvl w:ilvl="3" w:tplc="0415000F" w:tentative="1">
      <w:start w:val="1"/>
      <w:numFmt w:val="decimal"/>
      <w:lvlText w:val="%4."/>
      <w:lvlJc w:val="left"/>
      <w:pPr>
        <w:ind w:left="3620" w:hanging="360"/>
      </w:pPr>
      <w:rPr>
        <w:rFonts w:cs="Times New Roman"/>
      </w:rPr>
    </w:lvl>
    <w:lvl w:ilvl="4" w:tplc="04150019" w:tentative="1">
      <w:start w:val="1"/>
      <w:numFmt w:val="lowerLetter"/>
      <w:lvlText w:val="%5."/>
      <w:lvlJc w:val="left"/>
      <w:pPr>
        <w:ind w:left="4340" w:hanging="360"/>
      </w:pPr>
      <w:rPr>
        <w:rFonts w:cs="Times New Roman"/>
      </w:rPr>
    </w:lvl>
    <w:lvl w:ilvl="5" w:tplc="0415001B" w:tentative="1">
      <w:start w:val="1"/>
      <w:numFmt w:val="lowerRoman"/>
      <w:lvlText w:val="%6."/>
      <w:lvlJc w:val="right"/>
      <w:pPr>
        <w:ind w:left="5060" w:hanging="180"/>
      </w:pPr>
      <w:rPr>
        <w:rFonts w:cs="Times New Roman"/>
      </w:rPr>
    </w:lvl>
    <w:lvl w:ilvl="6" w:tplc="0415000F" w:tentative="1">
      <w:start w:val="1"/>
      <w:numFmt w:val="decimal"/>
      <w:lvlText w:val="%7."/>
      <w:lvlJc w:val="left"/>
      <w:pPr>
        <w:ind w:left="5780" w:hanging="360"/>
      </w:pPr>
      <w:rPr>
        <w:rFonts w:cs="Times New Roman"/>
      </w:rPr>
    </w:lvl>
    <w:lvl w:ilvl="7" w:tplc="04150019" w:tentative="1">
      <w:start w:val="1"/>
      <w:numFmt w:val="lowerLetter"/>
      <w:lvlText w:val="%8."/>
      <w:lvlJc w:val="left"/>
      <w:pPr>
        <w:ind w:left="6500" w:hanging="360"/>
      </w:pPr>
      <w:rPr>
        <w:rFonts w:cs="Times New Roman"/>
      </w:rPr>
    </w:lvl>
    <w:lvl w:ilvl="8" w:tplc="0415001B" w:tentative="1">
      <w:start w:val="1"/>
      <w:numFmt w:val="lowerRoman"/>
      <w:lvlText w:val="%9."/>
      <w:lvlJc w:val="right"/>
      <w:pPr>
        <w:ind w:left="7220" w:hanging="180"/>
      </w:pPr>
      <w:rPr>
        <w:rFonts w:cs="Times New Roman"/>
      </w:rPr>
    </w:lvl>
  </w:abstractNum>
  <w:abstractNum w:abstractNumId="5" w15:restartNumberingAfterBreak="0">
    <w:nsid w:val="133F1DC8"/>
    <w:multiLevelType w:val="hybridMultilevel"/>
    <w:tmpl w:val="6ABE9D68"/>
    <w:lvl w:ilvl="0" w:tplc="137CE04C">
      <w:start w:val="1"/>
      <w:numFmt w:val="decimal"/>
      <w:lvlText w:val="(%1)"/>
      <w:lvlJc w:val="left"/>
      <w:pPr>
        <w:tabs>
          <w:tab w:val="num" w:pos="2574"/>
        </w:tabs>
        <w:ind w:left="2574" w:hanging="720"/>
      </w:pPr>
      <w:rPr>
        <w:rFonts w:cs="Times New Roman" w:hint="default"/>
        <w:sz w:val="20"/>
        <w:szCs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1E75BD3"/>
    <w:multiLevelType w:val="hybridMultilevel"/>
    <w:tmpl w:val="E394628C"/>
    <w:lvl w:ilvl="0" w:tplc="C1EABD7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30D5CCE"/>
    <w:multiLevelType w:val="hybridMultilevel"/>
    <w:tmpl w:val="68588DAA"/>
    <w:lvl w:ilvl="0" w:tplc="C07291D6">
      <w:start w:val="1"/>
      <w:numFmt w:val="decimal"/>
      <w:lvlText w:val="%1."/>
      <w:lvlJc w:val="left"/>
      <w:pPr>
        <w:tabs>
          <w:tab w:val="num" w:pos="1994"/>
        </w:tabs>
        <w:ind w:left="1994" w:hanging="576"/>
      </w:pPr>
      <w:rPr>
        <w:rFonts w:ascii="Times New Roman" w:hAnsi="Times New Roman" w:cs="Times New Roman" w:hint="default"/>
        <w:b w:val="0"/>
        <w:color w:val="auto"/>
      </w:rPr>
    </w:lvl>
    <w:lvl w:ilvl="1" w:tplc="C00AFB3E">
      <w:start w:val="1"/>
      <w:numFmt w:val="lowerRoman"/>
      <w:lvlText w:val="(%2)"/>
      <w:lvlJc w:val="left"/>
      <w:pPr>
        <w:tabs>
          <w:tab w:val="num" w:pos="2717"/>
        </w:tabs>
        <w:ind w:left="2717" w:hanging="720"/>
      </w:pPr>
      <w:rPr>
        <w:rFonts w:cs="Times New Roman" w:hint="default"/>
        <w:sz w:val="20"/>
        <w:szCs w:val="20"/>
      </w:rPr>
    </w:lvl>
    <w:lvl w:ilvl="2" w:tplc="08090019">
      <w:start w:val="1"/>
      <w:numFmt w:val="lowerLetter"/>
      <w:lvlText w:val="%3."/>
      <w:lvlJc w:val="left"/>
      <w:pPr>
        <w:tabs>
          <w:tab w:val="num" w:pos="3077"/>
        </w:tabs>
        <w:ind w:left="3077" w:hanging="180"/>
      </w:pPr>
      <w:rPr>
        <w:rFonts w:cs="Times New Roman"/>
      </w:rPr>
    </w:lvl>
    <w:lvl w:ilvl="3" w:tplc="0409000F">
      <w:start w:val="1"/>
      <w:numFmt w:val="decimal"/>
      <w:lvlText w:val="%4."/>
      <w:lvlJc w:val="left"/>
      <w:pPr>
        <w:tabs>
          <w:tab w:val="num" w:pos="3797"/>
        </w:tabs>
        <w:ind w:left="3797" w:hanging="360"/>
      </w:pPr>
      <w:rPr>
        <w:rFonts w:cs="Times New Roman"/>
      </w:rPr>
    </w:lvl>
    <w:lvl w:ilvl="4" w:tplc="04090019">
      <w:start w:val="1"/>
      <w:numFmt w:val="lowerLetter"/>
      <w:lvlText w:val="%5."/>
      <w:lvlJc w:val="left"/>
      <w:pPr>
        <w:tabs>
          <w:tab w:val="num" w:pos="4517"/>
        </w:tabs>
        <w:ind w:left="4517" w:hanging="360"/>
      </w:pPr>
      <w:rPr>
        <w:rFonts w:cs="Times New Roman"/>
      </w:rPr>
    </w:lvl>
    <w:lvl w:ilvl="5" w:tplc="0409001B">
      <w:start w:val="1"/>
      <w:numFmt w:val="lowerRoman"/>
      <w:lvlText w:val="%6."/>
      <w:lvlJc w:val="right"/>
      <w:pPr>
        <w:tabs>
          <w:tab w:val="num" w:pos="5237"/>
        </w:tabs>
        <w:ind w:left="5237" w:hanging="180"/>
      </w:pPr>
      <w:rPr>
        <w:rFonts w:cs="Times New Roman"/>
      </w:rPr>
    </w:lvl>
    <w:lvl w:ilvl="6" w:tplc="0409000F">
      <w:start w:val="1"/>
      <w:numFmt w:val="decimal"/>
      <w:lvlText w:val="%7."/>
      <w:lvlJc w:val="left"/>
      <w:pPr>
        <w:tabs>
          <w:tab w:val="num" w:pos="5957"/>
        </w:tabs>
        <w:ind w:left="5957" w:hanging="360"/>
      </w:pPr>
      <w:rPr>
        <w:rFonts w:cs="Times New Roman"/>
      </w:rPr>
    </w:lvl>
    <w:lvl w:ilvl="7" w:tplc="04090019">
      <w:start w:val="1"/>
      <w:numFmt w:val="lowerLetter"/>
      <w:lvlText w:val="%8."/>
      <w:lvlJc w:val="left"/>
      <w:pPr>
        <w:tabs>
          <w:tab w:val="num" w:pos="6677"/>
        </w:tabs>
        <w:ind w:left="6677" w:hanging="360"/>
      </w:pPr>
      <w:rPr>
        <w:rFonts w:cs="Times New Roman"/>
      </w:rPr>
    </w:lvl>
    <w:lvl w:ilvl="8" w:tplc="0409001B">
      <w:start w:val="1"/>
      <w:numFmt w:val="lowerRoman"/>
      <w:lvlText w:val="%9."/>
      <w:lvlJc w:val="right"/>
      <w:pPr>
        <w:tabs>
          <w:tab w:val="num" w:pos="7397"/>
        </w:tabs>
        <w:ind w:left="7397" w:hanging="180"/>
      </w:pPr>
      <w:rPr>
        <w:rFonts w:cs="Times New Roman"/>
      </w:rPr>
    </w:lvl>
  </w:abstractNum>
  <w:abstractNum w:abstractNumId="8" w15:restartNumberingAfterBreak="0">
    <w:nsid w:val="237B67F7"/>
    <w:multiLevelType w:val="hybridMultilevel"/>
    <w:tmpl w:val="37C295D4"/>
    <w:lvl w:ilvl="0" w:tplc="2A92AFB8">
      <w:start w:val="1"/>
      <w:numFmt w:val="decimal"/>
      <w:lvlText w:val="%1."/>
      <w:lvlJc w:val="left"/>
      <w:pPr>
        <w:tabs>
          <w:tab w:val="num" w:pos="1710"/>
        </w:tabs>
        <w:ind w:left="1710" w:hanging="576"/>
      </w:pPr>
      <w:rPr>
        <w:rFonts w:cs="Times New Roman"/>
        <w:color w:val="auto"/>
      </w:rPr>
    </w:lvl>
    <w:lvl w:ilvl="1" w:tplc="0B1C8860">
      <w:start w:val="1"/>
      <w:numFmt w:val="decimal"/>
      <w:lvlText w:val="(%2)"/>
      <w:lvlJc w:val="left"/>
      <w:pPr>
        <w:tabs>
          <w:tab w:val="num" w:pos="2574"/>
        </w:tabs>
        <w:ind w:left="2574" w:hanging="720"/>
      </w:pPr>
      <w:rPr>
        <w:rFonts w:cs="Times New Roman"/>
        <w:sz w:val="20"/>
        <w:szCs w:val="20"/>
      </w:rPr>
    </w:lvl>
    <w:lvl w:ilvl="2" w:tplc="0409001B">
      <w:start w:val="1"/>
      <w:numFmt w:val="lowerRoman"/>
      <w:lvlText w:val="%3."/>
      <w:lvlJc w:val="right"/>
      <w:pPr>
        <w:tabs>
          <w:tab w:val="num" w:pos="2934"/>
        </w:tabs>
        <w:ind w:left="2934" w:hanging="180"/>
      </w:pPr>
      <w:rPr>
        <w:rFonts w:cs="Times New Roman"/>
      </w:rPr>
    </w:lvl>
    <w:lvl w:ilvl="3" w:tplc="0409000F">
      <w:start w:val="1"/>
      <w:numFmt w:val="decimal"/>
      <w:lvlText w:val="%4."/>
      <w:lvlJc w:val="left"/>
      <w:pPr>
        <w:tabs>
          <w:tab w:val="num" w:pos="3654"/>
        </w:tabs>
        <w:ind w:left="3654" w:hanging="360"/>
      </w:pPr>
      <w:rPr>
        <w:rFonts w:cs="Times New Roman"/>
      </w:rPr>
    </w:lvl>
    <w:lvl w:ilvl="4" w:tplc="04090019">
      <w:start w:val="1"/>
      <w:numFmt w:val="lowerLetter"/>
      <w:lvlText w:val="%5."/>
      <w:lvlJc w:val="left"/>
      <w:pPr>
        <w:tabs>
          <w:tab w:val="num" w:pos="4374"/>
        </w:tabs>
        <w:ind w:left="4374" w:hanging="360"/>
      </w:pPr>
      <w:rPr>
        <w:rFonts w:cs="Times New Roman"/>
      </w:rPr>
    </w:lvl>
    <w:lvl w:ilvl="5" w:tplc="0409001B">
      <w:start w:val="1"/>
      <w:numFmt w:val="lowerRoman"/>
      <w:lvlText w:val="%6."/>
      <w:lvlJc w:val="right"/>
      <w:pPr>
        <w:tabs>
          <w:tab w:val="num" w:pos="5094"/>
        </w:tabs>
        <w:ind w:left="5094" w:hanging="180"/>
      </w:pPr>
      <w:rPr>
        <w:rFonts w:cs="Times New Roman"/>
      </w:rPr>
    </w:lvl>
    <w:lvl w:ilvl="6" w:tplc="0409000F">
      <w:start w:val="1"/>
      <w:numFmt w:val="decimal"/>
      <w:lvlText w:val="%7."/>
      <w:lvlJc w:val="left"/>
      <w:pPr>
        <w:tabs>
          <w:tab w:val="num" w:pos="5814"/>
        </w:tabs>
        <w:ind w:left="5814" w:hanging="360"/>
      </w:pPr>
      <w:rPr>
        <w:rFonts w:cs="Times New Roman"/>
      </w:rPr>
    </w:lvl>
    <w:lvl w:ilvl="7" w:tplc="04090019">
      <w:start w:val="1"/>
      <w:numFmt w:val="lowerLetter"/>
      <w:lvlText w:val="%8."/>
      <w:lvlJc w:val="left"/>
      <w:pPr>
        <w:tabs>
          <w:tab w:val="num" w:pos="6534"/>
        </w:tabs>
        <w:ind w:left="6534" w:hanging="360"/>
      </w:pPr>
      <w:rPr>
        <w:rFonts w:cs="Times New Roman"/>
      </w:rPr>
    </w:lvl>
    <w:lvl w:ilvl="8" w:tplc="0409001B">
      <w:start w:val="1"/>
      <w:numFmt w:val="lowerRoman"/>
      <w:lvlText w:val="%9."/>
      <w:lvlJc w:val="right"/>
      <w:pPr>
        <w:tabs>
          <w:tab w:val="num" w:pos="7254"/>
        </w:tabs>
        <w:ind w:left="7254" w:hanging="180"/>
      </w:pPr>
      <w:rPr>
        <w:rFonts w:cs="Times New Roman"/>
      </w:rPr>
    </w:lvl>
  </w:abstractNum>
  <w:abstractNum w:abstractNumId="9" w15:restartNumberingAfterBreak="0">
    <w:nsid w:val="2425456E"/>
    <w:multiLevelType w:val="hybridMultilevel"/>
    <w:tmpl w:val="BBF63DC2"/>
    <w:lvl w:ilvl="0" w:tplc="2A92AFB8">
      <w:start w:val="1"/>
      <w:numFmt w:val="decimal"/>
      <w:lvlText w:val="%1."/>
      <w:lvlJc w:val="left"/>
      <w:pPr>
        <w:tabs>
          <w:tab w:val="num" w:pos="1711"/>
        </w:tabs>
        <w:ind w:left="1711" w:hanging="576"/>
      </w:pPr>
      <w:rPr>
        <w:rFonts w:cs="Times New Roman"/>
        <w:color w:val="auto"/>
      </w:rPr>
    </w:lvl>
    <w:lvl w:ilvl="1" w:tplc="C1EABD7C">
      <w:start w:val="1"/>
      <w:numFmt w:val="lowerLetter"/>
      <w:lvlText w:val="(%2)"/>
      <w:lvlJc w:val="left"/>
      <w:pPr>
        <w:tabs>
          <w:tab w:val="num" w:pos="2717"/>
        </w:tabs>
        <w:ind w:left="2717" w:hanging="720"/>
      </w:pPr>
      <w:rPr>
        <w:rFonts w:cs="Times New Roman" w:hint="default"/>
        <w:sz w:val="20"/>
        <w:szCs w:val="20"/>
      </w:rPr>
    </w:lvl>
    <w:lvl w:ilvl="2" w:tplc="0409001B">
      <w:start w:val="1"/>
      <w:numFmt w:val="lowerRoman"/>
      <w:lvlText w:val="%3."/>
      <w:lvlJc w:val="right"/>
      <w:pPr>
        <w:tabs>
          <w:tab w:val="num" w:pos="3077"/>
        </w:tabs>
        <w:ind w:left="3077" w:hanging="180"/>
      </w:pPr>
      <w:rPr>
        <w:rFonts w:cs="Times New Roman"/>
      </w:rPr>
    </w:lvl>
    <w:lvl w:ilvl="3" w:tplc="0409000F">
      <w:start w:val="1"/>
      <w:numFmt w:val="decimal"/>
      <w:lvlText w:val="%4."/>
      <w:lvlJc w:val="left"/>
      <w:pPr>
        <w:tabs>
          <w:tab w:val="num" w:pos="3797"/>
        </w:tabs>
        <w:ind w:left="3797" w:hanging="360"/>
      </w:pPr>
      <w:rPr>
        <w:rFonts w:cs="Times New Roman"/>
      </w:rPr>
    </w:lvl>
    <w:lvl w:ilvl="4" w:tplc="04090019">
      <w:start w:val="1"/>
      <w:numFmt w:val="lowerLetter"/>
      <w:lvlText w:val="%5."/>
      <w:lvlJc w:val="left"/>
      <w:pPr>
        <w:tabs>
          <w:tab w:val="num" w:pos="4517"/>
        </w:tabs>
        <w:ind w:left="4517" w:hanging="360"/>
      </w:pPr>
      <w:rPr>
        <w:rFonts w:cs="Times New Roman"/>
      </w:rPr>
    </w:lvl>
    <w:lvl w:ilvl="5" w:tplc="0409001B">
      <w:start w:val="1"/>
      <w:numFmt w:val="lowerRoman"/>
      <w:lvlText w:val="%6."/>
      <w:lvlJc w:val="right"/>
      <w:pPr>
        <w:tabs>
          <w:tab w:val="num" w:pos="5237"/>
        </w:tabs>
        <w:ind w:left="5237" w:hanging="180"/>
      </w:pPr>
      <w:rPr>
        <w:rFonts w:cs="Times New Roman"/>
      </w:rPr>
    </w:lvl>
    <w:lvl w:ilvl="6" w:tplc="0409000F">
      <w:start w:val="1"/>
      <w:numFmt w:val="decimal"/>
      <w:lvlText w:val="%7."/>
      <w:lvlJc w:val="left"/>
      <w:pPr>
        <w:tabs>
          <w:tab w:val="num" w:pos="5957"/>
        </w:tabs>
        <w:ind w:left="5957" w:hanging="360"/>
      </w:pPr>
      <w:rPr>
        <w:rFonts w:cs="Times New Roman"/>
      </w:rPr>
    </w:lvl>
    <w:lvl w:ilvl="7" w:tplc="04090019">
      <w:start w:val="1"/>
      <w:numFmt w:val="lowerLetter"/>
      <w:lvlText w:val="%8."/>
      <w:lvlJc w:val="left"/>
      <w:pPr>
        <w:tabs>
          <w:tab w:val="num" w:pos="6677"/>
        </w:tabs>
        <w:ind w:left="6677" w:hanging="360"/>
      </w:pPr>
      <w:rPr>
        <w:rFonts w:cs="Times New Roman"/>
      </w:rPr>
    </w:lvl>
    <w:lvl w:ilvl="8" w:tplc="0409001B">
      <w:start w:val="1"/>
      <w:numFmt w:val="lowerRoman"/>
      <w:lvlText w:val="%9."/>
      <w:lvlJc w:val="right"/>
      <w:pPr>
        <w:tabs>
          <w:tab w:val="num" w:pos="7397"/>
        </w:tabs>
        <w:ind w:left="7397" w:hanging="180"/>
      </w:pPr>
      <w:rPr>
        <w:rFonts w:cs="Times New Roman"/>
      </w:rPr>
    </w:lvl>
  </w:abstractNum>
  <w:abstractNum w:abstractNumId="10" w15:restartNumberingAfterBreak="0">
    <w:nsid w:val="24837B51"/>
    <w:multiLevelType w:val="hybridMultilevel"/>
    <w:tmpl w:val="577224EC"/>
    <w:lvl w:ilvl="0" w:tplc="2A92AFB8">
      <w:start w:val="1"/>
      <w:numFmt w:val="decimal"/>
      <w:lvlText w:val="%1."/>
      <w:lvlJc w:val="left"/>
      <w:pPr>
        <w:tabs>
          <w:tab w:val="num" w:pos="1711"/>
        </w:tabs>
        <w:ind w:left="1711" w:hanging="576"/>
      </w:pPr>
      <w:rPr>
        <w:rFonts w:cs="Times New Roman"/>
        <w:color w:val="auto"/>
      </w:rPr>
    </w:lvl>
    <w:lvl w:ilvl="1" w:tplc="C1EABD7C">
      <w:start w:val="1"/>
      <w:numFmt w:val="lowerLetter"/>
      <w:lvlText w:val="(%2)"/>
      <w:lvlJc w:val="left"/>
      <w:pPr>
        <w:tabs>
          <w:tab w:val="num" w:pos="2717"/>
        </w:tabs>
        <w:ind w:left="2717" w:hanging="720"/>
      </w:pPr>
      <w:rPr>
        <w:rFonts w:cs="Times New Roman" w:hint="default"/>
        <w:sz w:val="20"/>
        <w:szCs w:val="20"/>
      </w:rPr>
    </w:lvl>
    <w:lvl w:ilvl="2" w:tplc="0409001B">
      <w:start w:val="1"/>
      <w:numFmt w:val="lowerRoman"/>
      <w:lvlText w:val="%3."/>
      <w:lvlJc w:val="right"/>
      <w:pPr>
        <w:tabs>
          <w:tab w:val="num" w:pos="3077"/>
        </w:tabs>
        <w:ind w:left="3077" w:hanging="180"/>
      </w:pPr>
      <w:rPr>
        <w:rFonts w:cs="Times New Roman"/>
      </w:rPr>
    </w:lvl>
    <w:lvl w:ilvl="3" w:tplc="0409000F">
      <w:start w:val="1"/>
      <w:numFmt w:val="decimal"/>
      <w:lvlText w:val="%4."/>
      <w:lvlJc w:val="left"/>
      <w:pPr>
        <w:tabs>
          <w:tab w:val="num" w:pos="3797"/>
        </w:tabs>
        <w:ind w:left="3797" w:hanging="360"/>
      </w:pPr>
      <w:rPr>
        <w:rFonts w:cs="Times New Roman"/>
      </w:rPr>
    </w:lvl>
    <w:lvl w:ilvl="4" w:tplc="04090019">
      <w:start w:val="1"/>
      <w:numFmt w:val="lowerLetter"/>
      <w:lvlText w:val="%5."/>
      <w:lvlJc w:val="left"/>
      <w:pPr>
        <w:tabs>
          <w:tab w:val="num" w:pos="4517"/>
        </w:tabs>
        <w:ind w:left="4517" w:hanging="360"/>
      </w:pPr>
      <w:rPr>
        <w:rFonts w:cs="Times New Roman"/>
      </w:rPr>
    </w:lvl>
    <w:lvl w:ilvl="5" w:tplc="0409001B">
      <w:start w:val="1"/>
      <w:numFmt w:val="lowerRoman"/>
      <w:lvlText w:val="%6."/>
      <w:lvlJc w:val="right"/>
      <w:pPr>
        <w:tabs>
          <w:tab w:val="num" w:pos="5237"/>
        </w:tabs>
        <w:ind w:left="5237" w:hanging="180"/>
      </w:pPr>
      <w:rPr>
        <w:rFonts w:cs="Times New Roman"/>
      </w:rPr>
    </w:lvl>
    <w:lvl w:ilvl="6" w:tplc="0409000F">
      <w:start w:val="1"/>
      <w:numFmt w:val="decimal"/>
      <w:lvlText w:val="%7."/>
      <w:lvlJc w:val="left"/>
      <w:pPr>
        <w:tabs>
          <w:tab w:val="num" w:pos="5957"/>
        </w:tabs>
        <w:ind w:left="5957" w:hanging="360"/>
      </w:pPr>
      <w:rPr>
        <w:rFonts w:cs="Times New Roman"/>
      </w:rPr>
    </w:lvl>
    <w:lvl w:ilvl="7" w:tplc="04090019">
      <w:start w:val="1"/>
      <w:numFmt w:val="lowerLetter"/>
      <w:lvlText w:val="%8."/>
      <w:lvlJc w:val="left"/>
      <w:pPr>
        <w:tabs>
          <w:tab w:val="num" w:pos="6677"/>
        </w:tabs>
        <w:ind w:left="6677" w:hanging="360"/>
      </w:pPr>
      <w:rPr>
        <w:rFonts w:cs="Times New Roman"/>
      </w:rPr>
    </w:lvl>
    <w:lvl w:ilvl="8" w:tplc="0409001B">
      <w:start w:val="1"/>
      <w:numFmt w:val="lowerRoman"/>
      <w:lvlText w:val="%9."/>
      <w:lvlJc w:val="right"/>
      <w:pPr>
        <w:tabs>
          <w:tab w:val="num" w:pos="7397"/>
        </w:tabs>
        <w:ind w:left="7397" w:hanging="180"/>
      </w:pPr>
      <w:rPr>
        <w:rFonts w:cs="Times New Roman"/>
      </w:rPr>
    </w:lvl>
  </w:abstractNum>
  <w:abstractNum w:abstractNumId="11" w15:restartNumberingAfterBreak="0">
    <w:nsid w:val="279239A5"/>
    <w:multiLevelType w:val="hybridMultilevel"/>
    <w:tmpl w:val="55CE433C"/>
    <w:lvl w:ilvl="0" w:tplc="319EE232">
      <w:numFmt w:val="bullet"/>
      <w:lvlText w:val="–"/>
      <w:lvlJc w:val="left"/>
      <w:pPr>
        <w:ind w:left="2061" w:hanging="360"/>
      </w:pPr>
      <w:rPr>
        <w:rFonts w:ascii="Times New Roman" w:eastAsia="Times New Roman" w:hAnsi="Times New Roman" w:hint="default"/>
      </w:rPr>
    </w:lvl>
    <w:lvl w:ilvl="1" w:tplc="08090003" w:tentative="1">
      <w:start w:val="1"/>
      <w:numFmt w:val="bullet"/>
      <w:lvlText w:val="o"/>
      <w:lvlJc w:val="left"/>
      <w:pPr>
        <w:ind w:left="2781" w:hanging="360"/>
      </w:pPr>
      <w:rPr>
        <w:rFonts w:ascii="Courier New" w:hAnsi="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 w15:restartNumberingAfterBreak="0">
    <w:nsid w:val="2C9752FD"/>
    <w:multiLevelType w:val="hybridMultilevel"/>
    <w:tmpl w:val="6D8E5240"/>
    <w:lvl w:ilvl="0" w:tplc="5B36AAD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2F494B8D"/>
    <w:multiLevelType w:val="hybridMultilevel"/>
    <w:tmpl w:val="96C8E988"/>
    <w:lvl w:ilvl="0" w:tplc="4A867066">
      <w:start w:val="3"/>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03798A"/>
    <w:multiLevelType w:val="hybridMultilevel"/>
    <w:tmpl w:val="C6F41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96A5F"/>
    <w:multiLevelType w:val="hybridMultilevel"/>
    <w:tmpl w:val="B3A8D728"/>
    <w:lvl w:ilvl="0" w:tplc="95C66E12">
      <w:start w:val="1"/>
      <w:numFmt w:val="lowerLetter"/>
      <w:lvlText w:val="(%1)"/>
      <w:lvlJc w:val="left"/>
      <w:pPr>
        <w:ind w:left="2421" w:hanging="360"/>
      </w:pPr>
      <w:rPr>
        <w:rFonts w:cs="Times New Roman" w:hint="default"/>
        <w:b w:val="0"/>
      </w:rPr>
    </w:lvl>
    <w:lvl w:ilvl="1" w:tplc="08090019" w:tentative="1">
      <w:start w:val="1"/>
      <w:numFmt w:val="lowerLetter"/>
      <w:lvlText w:val="%2."/>
      <w:lvlJc w:val="left"/>
      <w:pPr>
        <w:ind w:left="3141" w:hanging="360"/>
      </w:pPr>
      <w:rPr>
        <w:rFonts w:cs="Times New Roman"/>
      </w:rPr>
    </w:lvl>
    <w:lvl w:ilvl="2" w:tplc="0809001B" w:tentative="1">
      <w:start w:val="1"/>
      <w:numFmt w:val="lowerRoman"/>
      <w:lvlText w:val="%3."/>
      <w:lvlJc w:val="right"/>
      <w:pPr>
        <w:ind w:left="3861" w:hanging="180"/>
      </w:pPr>
      <w:rPr>
        <w:rFonts w:cs="Times New Roman"/>
      </w:rPr>
    </w:lvl>
    <w:lvl w:ilvl="3" w:tplc="0809000F" w:tentative="1">
      <w:start w:val="1"/>
      <w:numFmt w:val="decimal"/>
      <w:lvlText w:val="%4."/>
      <w:lvlJc w:val="left"/>
      <w:pPr>
        <w:ind w:left="4581" w:hanging="360"/>
      </w:pPr>
      <w:rPr>
        <w:rFonts w:cs="Times New Roman"/>
      </w:rPr>
    </w:lvl>
    <w:lvl w:ilvl="4" w:tplc="08090019" w:tentative="1">
      <w:start w:val="1"/>
      <w:numFmt w:val="lowerLetter"/>
      <w:lvlText w:val="%5."/>
      <w:lvlJc w:val="left"/>
      <w:pPr>
        <w:ind w:left="5301" w:hanging="360"/>
      </w:pPr>
      <w:rPr>
        <w:rFonts w:cs="Times New Roman"/>
      </w:rPr>
    </w:lvl>
    <w:lvl w:ilvl="5" w:tplc="0809001B" w:tentative="1">
      <w:start w:val="1"/>
      <w:numFmt w:val="lowerRoman"/>
      <w:lvlText w:val="%6."/>
      <w:lvlJc w:val="right"/>
      <w:pPr>
        <w:ind w:left="6021" w:hanging="180"/>
      </w:pPr>
      <w:rPr>
        <w:rFonts w:cs="Times New Roman"/>
      </w:rPr>
    </w:lvl>
    <w:lvl w:ilvl="6" w:tplc="0809000F" w:tentative="1">
      <w:start w:val="1"/>
      <w:numFmt w:val="decimal"/>
      <w:lvlText w:val="%7."/>
      <w:lvlJc w:val="left"/>
      <w:pPr>
        <w:ind w:left="6741" w:hanging="360"/>
      </w:pPr>
      <w:rPr>
        <w:rFonts w:cs="Times New Roman"/>
      </w:rPr>
    </w:lvl>
    <w:lvl w:ilvl="7" w:tplc="08090019" w:tentative="1">
      <w:start w:val="1"/>
      <w:numFmt w:val="lowerLetter"/>
      <w:lvlText w:val="%8."/>
      <w:lvlJc w:val="left"/>
      <w:pPr>
        <w:ind w:left="7461" w:hanging="360"/>
      </w:pPr>
      <w:rPr>
        <w:rFonts w:cs="Times New Roman"/>
      </w:rPr>
    </w:lvl>
    <w:lvl w:ilvl="8" w:tplc="0809001B" w:tentative="1">
      <w:start w:val="1"/>
      <w:numFmt w:val="lowerRoman"/>
      <w:lvlText w:val="%9."/>
      <w:lvlJc w:val="right"/>
      <w:pPr>
        <w:ind w:left="8181" w:hanging="180"/>
      </w:pPr>
      <w:rPr>
        <w:rFonts w:cs="Times New Roman"/>
      </w:rPr>
    </w:lvl>
  </w:abstractNum>
  <w:abstractNum w:abstractNumId="16" w15:restartNumberingAfterBreak="0">
    <w:nsid w:val="32ED6F4E"/>
    <w:multiLevelType w:val="hybridMultilevel"/>
    <w:tmpl w:val="F64C6BA0"/>
    <w:lvl w:ilvl="0" w:tplc="E38638BC">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15:restartNumberingAfterBreak="0">
    <w:nsid w:val="341A118B"/>
    <w:multiLevelType w:val="hybridMultilevel"/>
    <w:tmpl w:val="4DCE3B80"/>
    <w:lvl w:ilvl="0" w:tplc="88E4FE6A">
      <w:start w:val="1"/>
      <w:numFmt w:val="lowerLetter"/>
      <w:lvlText w:val="(%1)"/>
      <w:lvlJc w:val="left"/>
      <w:pPr>
        <w:ind w:left="2628" w:hanging="360"/>
      </w:pPr>
      <w:rPr>
        <w:rFonts w:cs="Times New Roman" w:hint="default"/>
        <w:sz w:val="20"/>
        <w:szCs w:val="20"/>
      </w:rPr>
    </w:lvl>
    <w:lvl w:ilvl="1" w:tplc="08090019" w:tentative="1">
      <w:start w:val="1"/>
      <w:numFmt w:val="lowerLetter"/>
      <w:lvlText w:val="%2."/>
      <w:lvlJc w:val="left"/>
      <w:pPr>
        <w:ind w:left="3348" w:hanging="360"/>
      </w:pPr>
      <w:rPr>
        <w:rFonts w:cs="Times New Roman"/>
      </w:rPr>
    </w:lvl>
    <w:lvl w:ilvl="2" w:tplc="0809001B" w:tentative="1">
      <w:start w:val="1"/>
      <w:numFmt w:val="lowerRoman"/>
      <w:lvlText w:val="%3."/>
      <w:lvlJc w:val="right"/>
      <w:pPr>
        <w:ind w:left="4068" w:hanging="180"/>
      </w:pPr>
      <w:rPr>
        <w:rFonts w:cs="Times New Roman"/>
      </w:rPr>
    </w:lvl>
    <w:lvl w:ilvl="3" w:tplc="0809000F" w:tentative="1">
      <w:start w:val="1"/>
      <w:numFmt w:val="decimal"/>
      <w:lvlText w:val="%4."/>
      <w:lvlJc w:val="left"/>
      <w:pPr>
        <w:ind w:left="4788" w:hanging="360"/>
      </w:pPr>
      <w:rPr>
        <w:rFonts w:cs="Times New Roman"/>
      </w:rPr>
    </w:lvl>
    <w:lvl w:ilvl="4" w:tplc="08090019" w:tentative="1">
      <w:start w:val="1"/>
      <w:numFmt w:val="lowerLetter"/>
      <w:lvlText w:val="%5."/>
      <w:lvlJc w:val="left"/>
      <w:pPr>
        <w:ind w:left="5508" w:hanging="360"/>
      </w:pPr>
      <w:rPr>
        <w:rFonts w:cs="Times New Roman"/>
      </w:rPr>
    </w:lvl>
    <w:lvl w:ilvl="5" w:tplc="0809001B" w:tentative="1">
      <w:start w:val="1"/>
      <w:numFmt w:val="lowerRoman"/>
      <w:lvlText w:val="%6."/>
      <w:lvlJc w:val="right"/>
      <w:pPr>
        <w:ind w:left="6228" w:hanging="180"/>
      </w:pPr>
      <w:rPr>
        <w:rFonts w:cs="Times New Roman"/>
      </w:rPr>
    </w:lvl>
    <w:lvl w:ilvl="6" w:tplc="0809000F" w:tentative="1">
      <w:start w:val="1"/>
      <w:numFmt w:val="decimal"/>
      <w:lvlText w:val="%7."/>
      <w:lvlJc w:val="left"/>
      <w:pPr>
        <w:ind w:left="6948" w:hanging="360"/>
      </w:pPr>
      <w:rPr>
        <w:rFonts w:cs="Times New Roman"/>
      </w:rPr>
    </w:lvl>
    <w:lvl w:ilvl="7" w:tplc="08090019" w:tentative="1">
      <w:start w:val="1"/>
      <w:numFmt w:val="lowerLetter"/>
      <w:lvlText w:val="%8."/>
      <w:lvlJc w:val="left"/>
      <w:pPr>
        <w:ind w:left="7668" w:hanging="360"/>
      </w:pPr>
      <w:rPr>
        <w:rFonts w:cs="Times New Roman"/>
      </w:rPr>
    </w:lvl>
    <w:lvl w:ilvl="8" w:tplc="0809001B" w:tentative="1">
      <w:start w:val="1"/>
      <w:numFmt w:val="lowerRoman"/>
      <w:lvlText w:val="%9."/>
      <w:lvlJc w:val="right"/>
      <w:pPr>
        <w:ind w:left="8388" w:hanging="180"/>
      </w:pPr>
      <w:rPr>
        <w:rFonts w:cs="Times New Roman"/>
      </w:rPr>
    </w:lvl>
  </w:abstractNum>
  <w:abstractNum w:abstractNumId="18" w15:restartNumberingAfterBreak="0">
    <w:nsid w:val="369C4FBA"/>
    <w:multiLevelType w:val="hybridMultilevel"/>
    <w:tmpl w:val="1F905C74"/>
    <w:lvl w:ilvl="0" w:tplc="F664146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73F1AA8"/>
    <w:multiLevelType w:val="hybridMultilevel"/>
    <w:tmpl w:val="7E9A65D0"/>
    <w:lvl w:ilvl="0" w:tplc="2A92AFB8">
      <w:start w:val="1"/>
      <w:numFmt w:val="decimal"/>
      <w:lvlText w:val="%1."/>
      <w:lvlJc w:val="left"/>
      <w:pPr>
        <w:tabs>
          <w:tab w:val="num" w:pos="1710"/>
        </w:tabs>
        <w:ind w:left="1710" w:hanging="576"/>
      </w:pPr>
      <w:rPr>
        <w:rFonts w:cs="Times New Roman"/>
        <w:color w:val="auto"/>
      </w:rPr>
    </w:lvl>
    <w:lvl w:ilvl="1" w:tplc="0B1C8860">
      <w:start w:val="1"/>
      <w:numFmt w:val="decimal"/>
      <w:lvlText w:val="(%2)"/>
      <w:lvlJc w:val="left"/>
      <w:pPr>
        <w:tabs>
          <w:tab w:val="num" w:pos="2574"/>
        </w:tabs>
        <w:ind w:left="2574" w:hanging="720"/>
      </w:pPr>
      <w:rPr>
        <w:rFonts w:cs="Times New Roman"/>
        <w:sz w:val="20"/>
        <w:szCs w:val="20"/>
      </w:rPr>
    </w:lvl>
    <w:lvl w:ilvl="2" w:tplc="0409001B">
      <w:start w:val="1"/>
      <w:numFmt w:val="lowerRoman"/>
      <w:lvlText w:val="%3."/>
      <w:lvlJc w:val="right"/>
      <w:pPr>
        <w:tabs>
          <w:tab w:val="num" w:pos="2934"/>
        </w:tabs>
        <w:ind w:left="2934" w:hanging="180"/>
      </w:pPr>
      <w:rPr>
        <w:rFonts w:cs="Times New Roman"/>
      </w:rPr>
    </w:lvl>
    <w:lvl w:ilvl="3" w:tplc="0409000F">
      <w:start w:val="1"/>
      <w:numFmt w:val="decimal"/>
      <w:lvlText w:val="%4."/>
      <w:lvlJc w:val="left"/>
      <w:pPr>
        <w:tabs>
          <w:tab w:val="num" w:pos="3654"/>
        </w:tabs>
        <w:ind w:left="3654" w:hanging="360"/>
      </w:pPr>
      <w:rPr>
        <w:rFonts w:cs="Times New Roman"/>
      </w:rPr>
    </w:lvl>
    <w:lvl w:ilvl="4" w:tplc="04090019">
      <w:start w:val="1"/>
      <w:numFmt w:val="lowerLetter"/>
      <w:lvlText w:val="%5."/>
      <w:lvlJc w:val="left"/>
      <w:pPr>
        <w:tabs>
          <w:tab w:val="num" w:pos="4374"/>
        </w:tabs>
        <w:ind w:left="4374" w:hanging="360"/>
      </w:pPr>
      <w:rPr>
        <w:rFonts w:cs="Times New Roman"/>
      </w:rPr>
    </w:lvl>
    <w:lvl w:ilvl="5" w:tplc="0409001B">
      <w:start w:val="1"/>
      <w:numFmt w:val="lowerRoman"/>
      <w:lvlText w:val="%6."/>
      <w:lvlJc w:val="right"/>
      <w:pPr>
        <w:tabs>
          <w:tab w:val="num" w:pos="5094"/>
        </w:tabs>
        <w:ind w:left="5094" w:hanging="180"/>
      </w:pPr>
      <w:rPr>
        <w:rFonts w:cs="Times New Roman"/>
      </w:rPr>
    </w:lvl>
    <w:lvl w:ilvl="6" w:tplc="0409000F">
      <w:start w:val="1"/>
      <w:numFmt w:val="decimal"/>
      <w:lvlText w:val="%7."/>
      <w:lvlJc w:val="left"/>
      <w:pPr>
        <w:tabs>
          <w:tab w:val="num" w:pos="5814"/>
        </w:tabs>
        <w:ind w:left="5814" w:hanging="360"/>
      </w:pPr>
      <w:rPr>
        <w:rFonts w:cs="Times New Roman"/>
      </w:rPr>
    </w:lvl>
    <w:lvl w:ilvl="7" w:tplc="04090019">
      <w:start w:val="1"/>
      <w:numFmt w:val="lowerLetter"/>
      <w:lvlText w:val="%8."/>
      <w:lvlJc w:val="left"/>
      <w:pPr>
        <w:tabs>
          <w:tab w:val="num" w:pos="6534"/>
        </w:tabs>
        <w:ind w:left="6534" w:hanging="360"/>
      </w:pPr>
      <w:rPr>
        <w:rFonts w:cs="Times New Roman"/>
      </w:rPr>
    </w:lvl>
    <w:lvl w:ilvl="8" w:tplc="0409001B">
      <w:start w:val="1"/>
      <w:numFmt w:val="lowerRoman"/>
      <w:lvlText w:val="%9."/>
      <w:lvlJc w:val="right"/>
      <w:pPr>
        <w:tabs>
          <w:tab w:val="num" w:pos="7254"/>
        </w:tabs>
        <w:ind w:left="7254" w:hanging="180"/>
      </w:pPr>
      <w:rPr>
        <w:rFonts w:cs="Times New Roman"/>
      </w:rPr>
    </w:lvl>
  </w:abstractNum>
  <w:abstractNum w:abstractNumId="20" w15:restartNumberingAfterBreak="0">
    <w:nsid w:val="386E1414"/>
    <w:multiLevelType w:val="hybridMultilevel"/>
    <w:tmpl w:val="5B08DE46"/>
    <w:lvl w:ilvl="0" w:tplc="C73E0F46">
      <w:start w:val="1"/>
      <w:numFmt w:val="upperLetter"/>
      <w:lvlText w:val="%1."/>
      <w:lvlJc w:val="left"/>
      <w:pPr>
        <w:ind w:left="1128" w:hanging="504"/>
      </w:pPr>
      <w:rPr>
        <w:rFonts w:cs="Times New Roman"/>
      </w:rPr>
    </w:lvl>
    <w:lvl w:ilvl="1" w:tplc="08090019">
      <w:start w:val="1"/>
      <w:numFmt w:val="lowerLetter"/>
      <w:lvlText w:val="%2."/>
      <w:lvlJc w:val="left"/>
      <w:pPr>
        <w:ind w:left="1704" w:hanging="360"/>
      </w:pPr>
      <w:rPr>
        <w:rFonts w:cs="Times New Roman"/>
      </w:rPr>
    </w:lvl>
    <w:lvl w:ilvl="2" w:tplc="0809001B">
      <w:start w:val="1"/>
      <w:numFmt w:val="lowerRoman"/>
      <w:lvlText w:val="%3."/>
      <w:lvlJc w:val="right"/>
      <w:pPr>
        <w:ind w:left="2424" w:hanging="180"/>
      </w:pPr>
      <w:rPr>
        <w:rFonts w:cs="Times New Roman"/>
      </w:rPr>
    </w:lvl>
    <w:lvl w:ilvl="3" w:tplc="0809000F">
      <w:start w:val="1"/>
      <w:numFmt w:val="decimal"/>
      <w:lvlText w:val="%4."/>
      <w:lvlJc w:val="left"/>
      <w:pPr>
        <w:ind w:left="3144" w:hanging="360"/>
      </w:pPr>
      <w:rPr>
        <w:rFonts w:cs="Times New Roman"/>
      </w:rPr>
    </w:lvl>
    <w:lvl w:ilvl="4" w:tplc="08090019">
      <w:start w:val="1"/>
      <w:numFmt w:val="lowerLetter"/>
      <w:lvlText w:val="%5."/>
      <w:lvlJc w:val="left"/>
      <w:pPr>
        <w:ind w:left="3864" w:hanging="360"/>
      </w:pPr>
      <w:rPr>
        <w:rFonts w:cs="Times New Roman"/>
      </w:rPr>
    </w:lvl>
    <w:lvl w:ilvl="5" w:tplc="0809001B">
      <w:start w:val="1"/>
      <w:numFmt w:val="lowerRoman"/>
      <w:lvlText w:val="%6."/>
      <w:lvlJc w:val="right"/>
      <w:pPr>
        <w:ind w:left="4584" w:hanging="180"/>
      </w:pPr>
      <w:rPr>
        <w:rFonts w:cs="Times New Roman"/>
      </w:rPr>
    </w:lvl>
    <w:lvl w:ilvl="6" w:tplc="0809000F">
      <w:start w:val="1"/>
      <w:numFmt w:val="decimal"/>
      <w:lvlText w:val="%7."/>
      <w:lvlJc w:val="left"/>
      <w:pPr>
        <w:ind w:left="5304" w:hanging="360"/>
      </w:pPr>
      <w:rPr>
        <w:rFonts w:cs="Times New Roman"/>
      </w:rPr>
    </w:lvl>
    <w:lvl w:ilvl="7" w:tplc="08090019">
      <w:start w:val="1"/>
      <w:numFmt w:val="lowerLetter"/>
      <w:lvlText w:val="%8."/>
      <w:lvlJc w:val="left"/>
      <w:pPr>
        <w:ind w:left="6024" w:hanging="360"/>
      </w:pPr>
      <w:rPr>
        <w:rFonts w:cs="Times New Roman"/>
      </w:rPr>
    </w:lvl>
    <w:lvl w:ilvl="8" w:tplc="0809001B">
      <w:start w:val="1"/>
      <w:numFmt w:val="lowerRoman"/>
      <w:lvlText w:val="%9."/>
      <w:lvlJc w:val="right"/>
      <w:pPr>
        <w:ind w:left="6744" w:hanging="180"/>
      </w:pPr>
      <w:rPr>
        <w:rFonts w:cs="Times New Roman"/>
      </w:rPr>
    </w:lvl>
  </w:abstractNum>
  <w:abstractNum w:abstractNumId="21" w15:restartNumberingAfterBreak="0">
    <w:nsid w:val="3D8423EF"/>
    <w:multiLevelType w:val="hybridMultilevel"/>
    <w:tmpl w:val="349E2074"/>
    <w:lvl w:ilvl="0" w:tplc="6ABAC800">
      <w:numFmt w:val="bullet"/>
      <w:lvlText w:val="-"/>
      <w:lvlJc w:val="left"/>
      <w:pPr>
        <w:ind w:left="2061" w:hanging="360"/>
      </w:pPr>
      <w:rPr>
        <w:rFonts w:ascii="Times New Roman" w:eastAsia="Times New Roman" w:hAnsi="Times New Roman" w:hint="default"/>
      </w:rPr>
    </w:lvl>
    <w:lvl w:ilvl="1" w:tplc="08090003" w:tentative="1">
      <w:start w:val="1"/>
      <w:numFmt w:val="bullet"/>
      <w:lvlText w:val="o"/>
      <w:lvlJc w:val="left"/>
      <w:pPr>
        <w:ind w:left="2781" w:hanging="360"/>
      </w:pPr>
      <w:rPr>
        <w:rFonts w:ascii="Courier New" w:hAnsi="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15:restartNumberingAfterBreak="0">
    <w:nsid w:val="3F9C0048"/>
    <w:multiLevelType w:val="hybridMultilevel"/>
    <w:tmpl w:val="46BE3E20"/>
    <w:lvl w:ilvl="0" w:tplc="2A92AFB8">
      <w:start w:val="1"/>
      <w:numFmt w:val="decimal"/>
      <w:lvlText w:val="%1."/>
      <w:lvlJc w:val="left"/>
      <w:pPr>
        <w:tabs>
          <w:tab w:val="num" w:pos="1710"/>
        </w:tabs>
        <w:ind w:left="1710" w:hanging="576"/>
      </w:pPr>
      <w:rPr>
        <w:rFonts w:cs="Times New Roman"/>
        <w:color w:val="auto"/>
      </w:rPr>
    </w:lvl>
    <w:lvl w:ilvl="1" w:tplc="0B1C8860">
      <w:start w:val="1"/>
      <w:numFmt w:val="decimal"/>
      <w:lvlText w:val="(%2)"/>
      <w:lvlJc w:val="left"/>
      <w:pPr>
        <w:tabs>
          <w:tab w:val="num" w:pos="2574"/>
        </w:tabs>
        <w:ind w:left="2574" w:hanging="720"/>
      </w:pPr>
      <w:rPr>
        <w:rFonts w:cs="Times New Roman"/>
        <w:sz w:val="20"/>
        <w:szCs w:val="20"/>
      </w:rPr>
    </w:lvl>
    <w:lvl w:ilvl="2" w:tplc="0409001B">
      <w:start w:val="1"/>
      <w:numFmt w:val="lowerRoman"/>
      <w:lvlText w:val="%3."/>
      <w:lvlJc w:val="right"/>
      <w:pPr>
        <w:tabs>
          <w:tab w:val="num" w:pos="2934"/>
        </w:tabs>
        <w:ind w:left="2934" w:hanging="180"/>
      </w:pPr>
      <w:rPr>
        <w:rFonts w:cs="Times New Roman"/>
      </w:rPr>
    </w:lvl>
    <w:lvl w:ilvl="3" w:tplc="0409000F">
      <w:start w:val="1"/>
      <w:numFmt w:val="decimal"/>
      <w:lvlText w:val="%4."/>
      <w:lvlJc w:val="left"/>
      <w:pPr>
        <w:tabs>
          <w:tab w:val="num" w:pos="3654"/>
        </w:tabs>
        <w:ind w:left="3654" w:hanging="360"/>
      </w:pPr>
      <w:rPr>
        <w:rFonts w:cs="Times New Roman"/>
      </w:rPr>
    </w:lvl>
    <w:lvl w:ilvl="4" w:tplc="04090019">
      <w:start w:val="1"/>
      <w:numFmt w:val="lowerLetter"/>
      <w:lvlText w:val="%5."/>
      <w:lvlJc w:val="left"/>
      <w:pPr>
        <w:tabs>
          <w:tab w:val="num" w:pos="4374"/>
        </w:tabs>
        <w:ind w:left="4374" w:hanging="360"/>
      </w:pPr>
      <w:rPr>
        <w:rFonts w:cs="Times New Roman"/>
      </w:rPr>
    </w:lvl>
    <w:lvl w:ilvl="5" w:tplc="0409001B">
      <w:start w:val="1"/>
      <w:numFmt w:val="lowerRoman"/>
      <w:lvlText w:val="%6."/>
      <w:lvlJc w:val="right"/>
      <w:pPr>
        <w:tabs>
          <w:tab w:val="num" w:pos="5094"/>
        </w:tabs>
        <w:ind w:left="5094" w:hanging="180"/>
      </w:pPr>
      <w:rPr>
        <w:rFonts w:cs="Times New Roman"/>
      </w:rPr>
    </w:lvl>
    <w:lvl w:ilvl="6" w:tplc="0409000F">
      <w:start w:val="1"/>
      <w:numFmt w:val="decimal"/>
      <w:lvlText w:val="%7."/>
      <w:lvlJc w:val="left"/>
      <w:pPr>
        <w:tabs>
          <w:tab w:val="num" w:pos="5814"/>
        </w:tabs>
        <w:ind w:left="5814" w:hanging="360"/>
      </w:pPr>
      <w:rPr>
        <w:rFonts w:cs="Times New Roman"/>
      </w:rPr>
    </w:lvl>
    <w:lvl w:ilvl="7" w:tplc="04090019">
      <w:start w:val="1"/>
      <w:numFmt w:val="lowerLetter"/>
      <w:lvlText w:val="%8."/>
      <w:lvlJc w:val="left"/>
      <w:pPr>
        <w:tabs>
          <w:tab w:val="num" w:pos="6534"/>
        </w:tabs>
        <w:ind w:left="6534" w:hanging="360"/>
      </w:pPr>
      <w:rPr>
        <w:rFonts w:cs="Times New Roman"/>
      </w:rPr>
    </w:lvl>
    <w:lvl w:ilvl="8" w:tplc="0409001B">
      <w:start w:val="1"/>
      <w:numFmt w:val="lowerRoman"/>
      <w:lvlText w:val="%9."/>
      <w:lvlJc w:val="right"/>
      <w:pPr>
        <w:tabs>
          <w:tab w:val="num" w:pos="7254"/>
        </w:tabs>
        <w:ind w:left="7254" w:hanging="180"/>
      </w:pPr>
      <w:rPr>
        <w:rFonts w:cs="Times New Roman"/>
      </w:rPr>
    </w:lvl>
  </w:abstractNum>
  <w:abstractNum w:abstractNumId="23" w15:restartNumberingAfterBreak="0">
    <w:nsid w:val="453C4DE2"/>
    <w:multiLevelType w:val="hybridMultilevel"/>
    <w:tmpl w:val="6D4A26B6"/>
    <w:lvl w:ilvl="0" w:tplc="8CA65B56">
      <w:start w:val="1"/>
      <w:numFmt w:val="lowerLetter"/>
      <w:lvlText w:val="(%1)"/>
      <w:lvlJc w:val="left"/>
      <w:pPr>
        <w:tabs>
          <w:tab w:val="num" w:pos="2203"/>
        </w:tabs>
        <w:ind w:left="2203" w:hanging="360"/>
      </w:pPr>
      <w:rPr>
        <w:rFonts w:cs="Times New Roman" w:hint="default"/>
      </w:rPr>
    </w:lvl>
    <w:lvl w:ilvl="1" w:tplc="040C0019">
      <w:start w:val="1"/>
      <w:numFmt w:val="lowerLetter"/>
      <w:lvlText w:val="%2."/>
      <w:lvlJc w:val="left"/>
      <w:pPr>
        <w:tabs>
          <w:tab w:val="num" w:pos="2923"/>
        </w:tabs>
        <w:ind w:left="2923" w:hanging="360"/>
      </w:pPr>
      <w:rPr>
        <w:rFonts w:cs="Times New Roman"/>
      </w:rPr>
    </w:lvl>
    <w:lvl w:ilvl="2" w:tplc="040C001B" w:tentative="1">
      <w:start w:val="1"/>
      <w:numFmt w:val="lowerRoman"/>
      <w:lvlText w:val="%3."/>
      <w:lvlJc w:val="right"/>
      <w:pPr>
        <w:tabs>
          <w:tab w:val="num" w:pos="3643"/>
        </w:tabs>
        <w:ind w:left="3643" w:hanging="180"/>
      </w:pPr>
      <w:rPr>
        <w:rFonts w:cs="Times New Roman"/>
      </w:rPr>
    </w:lvl>
    <w:lvl w:ilvl="3" w:tplc="040C000F" w:tentative="1">
      <w:start w:val="1"/>
      <w:numFmt w:val="decimal"/>
      <w:lvlText w:val="%4."/>
      <w:lvlJc w:val="left"/>
      <w:pPr>
        <w:tabs>
          <w:tab w:val="num" w:pos="4363"/>
        </w:tabs>
        <w:ind w:left="4363" w:hanging="360"/>
      </w:pPr>
      <w:rPr>
        <w:rFonts w:cs="Times New Roman"/>
      </w:rPr>
    </w:lvl>
    <w:lvl w:ilvl="4" w:tplc="040C0019" w:tentative="1">
      <w:start w:val="1"/>
      <w:numFmt w:val="lowerLetter"/>
      <w:lvlText w:val="%5."/>
      <w:lvlJc w:val="left"/>
      <w:pPr>
        <w:tabs>
          <w:tab w:val="num" w:pos="5083"/>
        </w:tabs>
        <w:ind w:left="5083" w:hanging="360"/>
      </w:pPr>
      <w:rPr>
        <w:rFonts w:cs="Times New Roman"/>
      </w:rPr>
    </w:lvl>
    <w:lvl w:ilvl="5" w:tplc="040C001B" w:tentative="1">
      <w:start w:val="1"/>
      <w:numFmt w:val="lowerRoman"/>
      <w:lvlText w:val="%6."/>
      <w:lvlJc w:val="right"/>
      <w:pPr>
        <w:tabs>
          <w:tab w:val="num" w:pos="5803"/>
        </w:tabs>
        <w:ind w:left="5803" w:hanging="180"/>
      </w:pPr>
      <w:rPr>
        <w:rFonts w:cs="Times New Roman"/>
      </w:rPr>
    </w:lvl>
    <w:lvl w:ilvl="6" w:tplc="040C000F" w:tentative="1">
      <w:start w:val="1"/>
      <w:numFmt w:val="decimal"/>
      <w:lvlText w:val="%7."/>
      <w:lvlJc w:val="left"/>
      <w:pPr>
        <w:tabs>
          <w:tab w:val="num" w:pos="6523"/>
        </w:tabs>
        <w:ind w:left="6523" w:hanging="360"/>
      </w:pPr>
      <w:rPr>
        <w:rFonts w:cs="Times New Roman"/>
      </w:rPr>
    </w:lvl>
    <w:lvl w:ilvl="7" w:tplc="040C0019" w:tentative="1">
      <w:start w:val="1"/>
      <w:numFmt w:val="lowerLetter"/>
      <w:lvlText w:val="%8."/>
      <w:lvlJc w:val="left"/>
      <w:pPr>
        <w:tabs>
          <w:tab w:val="num" w:pos="7243"/>
        </w:tabs>
        <w:ind w:left="7243" w:hanging="360"/>
      </w:pPr>
      <w:rPr>
        <w:rFonts w:cs="Times New Roman"/>
      </w:rPr>
    </w:lvl>
    <w:lvl w:ilvl="8" w:tplc="040C001B" w:tentative="1">
      <w:start w:val="1"/>
      <w:numFmt w:val="lowerRoman"/>
      <w:lvlText w:val="%9."/>
      <w:lvlJc w:val="right"/>
      <w:pPr>
        <w:tabs>
          <w:tab w:val="num" w:pos="7963"/>
        </w:tabs>
        <w:ind w:left="7963" w:hanging="180"/>
      </w:pPr>
      <w:rPr>
        <w:rFonts w:cs="Times New Roman"/>
      </w:rPr>
    </w:lvl>
  </w:abstractNum>
  <w:abstractNum w:abstractNumId="24" w15:restartNumberingAfterBreak="0">
    <w:nsid w:val="49EA688C"/>
    <w:multiLevelType w:val="hybridMultilevel"/>
    <w:tmpl w:val="E15ADCE4"/>
    <w:lvl w:ilvl="0" w:tplc="4C9A1CB0">
      <w:start w:val="24"/>
      <w:numFmt w:val="decimal"/>
      <w:lvlText w:val="%1"/>
      <w:lvlJc w:val="left"/>
      <w:pPr>
        <w:ind w:left="1460" w:hanging="360"/>
      </w:pPr>
      <w:rPr>
        <w:rFonts w:cs="Times New Roman" w:hint="default"/>
      </w:rPr>
    </w:lvl>
    <w:lvl w:ilvl="1" w:tplc="04150019" w:tentative="1">
      <w:start w:val="1"/>
      <w:numFmt w:val="lowerLetter"/>
      <w:lvlText w:val="%2."/>
      <w:lvlJc w:val="left"/>
      <w:pPr>
        <w:ind w:left="2180" w:hanging="360"/>
      </w:pPr>
      <w:rPr>
        <w:rFonts w:cs="Times New Roman"/>
      </w:rPr>
    </w:lvl>
    <w:lvl w:ilvl="2" w:tplc="0415001B" w:tentative="1">
      <w:start w:val="1"/>
      <w:numFmt w:val="lowerRoman"/>
      <w:lvlText w:val="%3."/>
      <w:lvlJc w:val="right"/>
      <w:pPr>
        <w:ind w:left="2900" w:hanging="180"/>
      </w:pPr>
      <w:rPr>
        <w:rFonts w:cs="Times New Roman"/>
      </w:rPr>
    </w:lvl>
    <w:lvl w:ilvl="3" w:tplc="0415000F" w:tentative="1">
      <w:start w:val="1"/>
      <w:numFmt w:val="decimal"/>
      <w:lvlText w:val="%4."/>
      <w:lvlJc w:val="left"/>
      <w:pPr>
        <w:ind w:left="3620" w:hanging="360"/>
      </w:pPr>
      <w:rPr>
        <w:rFonts w:cs="Times New Roman"/>
      </w:rPr>
    </w:lvl>
    <w:lvl w:ilvl="4" w:tplc="04150019" w:tentative="1">
      <w:start w:val="1"/>
      <w:numFmt w:val="lowerLetter"/>
      <w:lvlText w:val="%5."/>
      <w:lvlJc w:val="left"/>
      <w:pPr>
        <w:ind w:left="4340" w:hanging="360"/>
      </w:pPr>
      <w:rPr>
        <w:rFonts w:cs="Times New Roman"/>
      </w:rPr>
    </w:lvl>
    <w:lvl w:ilvl="5" w:tplc="0415001B" w:tentative="1">
      <w:start w:val="1"/>
      <w:numFmt w:val="lowerRoman"/>
      <w:lvlText w:val="%6."/>
      <w:lvlJc w:val="right"/>
      <w:pPr>
        <w:ind w:left="5060" w:hanging="180"/>
      </w:pPr>
      <w:rPr>
        <w:rFonts w:cs="Times New Roman"/>
      </w:rPr>
    </w:lvl>
    <w:lvl w:ilvl="6" w:tplc="0415000F" w:tentative="1">
      <w:start w:val="1"/>
      <w:numFmt w:val="decimal"/>
      <w:lvlText w:val="%7."/>
      <w:lvlJc w:val="left"/>
      <w:pPr>
        <w:ind w:left="5780" w:hanging="360"/>
      </w:pPr>
      <w:rPr>
        <w:rFonts w:cs="Times New Roman"/>
      </w:rPr>
    </w:lvl>
    <w:lvl w:ilvl="7" w:tplc="04150019" w:tentative="1">
      <w:start w:val="1"/>
      <w:numFmt w:val="lowerLetter"/>
      <w:lvlText w:val="%8."/>
      <w:lvlJc w:val="left"/>
      <w:pPr>
        <w:ind w:left="6500" w:hanging="360"/>
      </w:pPr>
      <w:rPr>
        <w:rFonts w:cs="Times New Roman"/>
      </w:rPr>
    </w:lvl>
    <w:lvl w:ilvl="8" w:tplc="0415001B" w:tentative="1">
      <w:start w:val="1"/>
      <w:numFmt w:val="lowerRoman"/>
      <w:lvlText w:val="%9."/>
      <w:lvlJc w:val="right"/>
      <w:pPr>
        <w:ind w:left="7220" w:hanging="180"/>
      </w:pPr>
      <w:rPr>
        <w:rFonts w:cs="Times New Roman"/>
      </w:rPr>
    </w:lvl>
  </w:abstractNum>
  <w:abstractNum w:abstractNumId="25" w15:restartNumberingAfterBreak="0">
    <w:nsid w:val="4A5A144C"/>
    <w:multiLevelType w:val="hybridMultilevel"/>
    <w:tmpl w:val="C7B4F156"/>
    <w:lvl w:ilvl="0" w:tplc="A6383BF0">
      <w:start w:val="3"/>
      <w:numFmt w:val="lowerRoman"/>
      <w:lvlText w:val="(%1)"/>
      <w:lvlJc w:val="left"/>
      <w:pPr>
        <w:ind w:left="2415" w:hanging="720"/>
      </w:pPr>
      <w:rPr>
        <w:rFonts w:hint="default"/>
      </w:rPr>
    </w:lvl>
    <w:lvl w:ilvl="1" w:tplc="08090019">
      <w:start w:val="1"/>
      <w:numFmt w:val="lowerLetter"/>
      <w:lvlText w:val="%2."/>
      <w:lvlJc w:val="left"/>
      <w:pPr>
        <w:ind w:left="2775" w:hanging="360"/>
      </w:pPr>
    </w:lvl>
    <w:lvl w:ilvl="2" w:tplc="0809001B">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6" w15:restartNumberingAfterBreak="0">
    <w:nsid w:val="504412BD"/>
    <w:multiLevelType w:val="hybridMultilevel"/>
    <w:tmpl w:val="E10ADD06"/>
    <w:lvl w:ilvl="0" w:tplc="699AABDE">
      <w:start w:val="1"/>
      <w:numFmt w:val="lowerLetter"/>
      <w:lvlText w:val="(%1)"/>
      <w:lvlJc w:val="left"/>
      <w:pPr>
        <w:ind w:left="2496" w:hanging="360"/>
      </w:pPr>
      <w:rPr>
        <w:rFonts w:hint="default"/>
      </w:rPr>
    </w:lvl>
    <w:lvl w:ilvl="1" w:tplc="04090019">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27" w15:restartNumberingAfterBreak="0">
    <w:nsid w:val="523173D3"/>
    <w:multiLevelType w:val="hybridMultilevel"/>
    <w:tmpl w:val="B8E0DDD2"/>
    <w:lvl w:ilvl="0" w:tplc="3C2CEE46">
      <w:start w:val="1"/>
      <w:numFmt w:val="lowerLetter"/>
      <w:lvlText w:val="(%1)"/>
      <w:lvlJc w:val="left"/>
      <w:pPr>
        <w:ind w:left="1794" w:hanging="360"/>
      </w:pPr>
      <w:rPr>
        <w:rFonts w:cs="Times New Roman" w:hint="default"/>
      </w:rPr>
    </w:lvl>
    <w:lvl w:ilvl="1" w:tplc="08090019" w:tentative="1">
      <w:start w:val="1"/>
      <w:numFmt w:val="lowerLetter"/>
      <w:lvlText w:val="%2."/>
      <w:lvlJc w:val="left"/>
      <w:pPr>
        <w:ind w:left="2514" w:hanging="360"/>
      </w:pPr>
      <w:rPr>
        <w:rFonts w:cs="Times New Roman"/>
      </w:rPr>
    </w:lvl>
    <w:lvl w:ilvl="2" w:tplc="0809001B" w:tentative="1">
      <w:start w:val="1"/>
      <w:numFmt w:val="lowerRoman"/>
      <w:lvlText w:val="%3."/>
      <w:lvlJc w:val="right"/>
      <w:pPr>
        <w:ind w:left="3234" w:hanging="180"/>
      </w:pPr>
      <w:rPr>
        <w:rFonts w:cs="Times New Roman"/>
      </w:rPr>
    </w:lvl>
    <w:lvl w:ilvl="3" w:tplc="0809000F" w:tentative="1">
      <w:start w:val="1"/>
      <w:numFmt w:val="decimal"/>
      <w:lvlText w:val="%4."/>
      <w:lvlJc w:val="left"/>
      <w:pPr>
        <w:ind w:left="3954" w:hanging="360"/>
      </w:pPr>
      <w:rPr>
        <w:rFonts w:cs="Times New Roman"/>
      </w:rPr>
    </w:lvl>
    <w:lvl w:ilvl="4" w:tplc="08090019" w:tentative="1">
      <w:start w:val="1"/>
      <w:numFmt w:val="lowerLetter"/>
      <w:lvlText w:val="%5."/>
      <w:lvlJc w:val="left"/>
      <w:pPr>
        <w:ind w:left="4674" w:hanging="360"/>
      </w:pPr>
      <w:rPr>
        <w:rFonts w:cs="Times New Roman"/>
      </w:rPr>
    </w:lvl>
    <w:lvl w:ilvl="5" w:tplc="0809001B" w:tentative="1">
      <w:start w:val="1"/>
      <w:numFmt w:val="lowerRoman"/>
      <w:lvlText w:val="%6."/>
      <w:lvlJc w:val="right"/>
      <w:pPr>
        <w:ind w:left="5394" w:hanging="180"/>
      </w:pPr>
      <w:rPr>
        <w:rFonts w:cs="Times New Roman"/>
      </w:rPr>
    </w:lvl>
    <w:lvl w:ilvl="6" w:tplc="0809000F" w:tentative="1">
      <w:start w:val="1"/>
      <w:numFmt w:val="decimal"/>
      <w:lvlText w:val="%7."/>
      <w:lvlJc w:val="left"/>
      <w:pPr>
        <w:ind w:left="6114" w:hanging="360"/>
      </w:pPr>
      <w:rPr>
        <w:rFonts w:cs="Times New Roman"/>
      </w:rPr>
    </w:lvl>
    <w:lvl w:ilvl="7" w:tplc="08090019" w:tentative="1">
      <w:start w:val="1"/>
      <w:numFmt w:val="lowerLetter"/>
      <w:lvlText w:val="%8."/>
      <w:lvlJc w:val="left"/>
      <w:pPr>
        <w:ind w:left="6834" w:hanging="360"/>
      </w:pPr>
      <w:rPr>
        <w:rFonts w:cs="Times New Roman"/>
      </w:rPr>
    </w:lvl>
    <w:lvl w:ilvl="8" w:tplc="0809001B" w:tentative="1">
      <w:start w:val="1"/>
      <w:numFmt w:val="lowerRoman"/>
      <w:lvlText w:val="%9."/>
      <w:lvlJc w:val="right"/>
      <w:pPr>
        <w:ind w:left="7554" w:hanging="180"/>
      </w:pPr>
      <w:rPr>
        <w:rFonts w:cs="Times New Roman"/>
      </w:rPr>
    </w:lvl>
  </w:abstractNum>
  <w:abstractNum w:abstractNumId="28" w15:restartNumberingAfterBreak="0">
    <w:nsid w:val="52902D1C"/>
    <w:multiLevelType w:val="hybridMultilevel"/>
    <w:tmpl w:val="7E9A65D0"/>
    <w:lvl w:ilvl="0" w:tplc="2A92AFB8">
      <w:start w:val="1"/>
      <w:numFmt w:val="decimal"/>
      <w:lvlText w:val="%1."/>
      <w:lvlJc w:val="left"/>
      <w:pPr>
        <w:tabs>
          <w:tab w:val="num" w:pos="1710"/>
        </w:tabs>
        <w:ind w:left="1710" w:hanging="576"/>
      </w:pPr>
      <w:rPr>
        <w:rFonts w:cs="Times New Roman"/>
        <w:color w:val="auto"/>
      </w:rPr>
    </w:lvl>
    <w:lvl w:ilvl="1" w:tplc="0B1C8860">
      <w:start w:val="1"/>
      <w:numFmt w:val="decimal"/>
      <w:lvlText w:val="(%2)"/>
      <w:lvlJc w:val="left"/>
      <w:pPr>
        <w:tabs>
          <w:tab w:val="num" w:pos="2574"/>
        </w:tabs>
        <w:ind w:left="2574" w:hanging="720"/>
      </w:pPr>
      <w:rPr>
        <w:rFonts w:cs="Times New Roman"/>
        <w:sz w:val="20"/>
        <w:szCs w:val="20"/>
      </w:rPr>
    </w:lvl>
    <w:lvl w:ilvl="2" w:tplc="0409001B">
      <w:start w:val="1"/>
      <w:numFmt w:val="lowerRoman"/>
      <w:lvlText w:val="%3."/>
      <w:lvlJc w:val="right"/>
      <w:pPr>
        <w:tabs>
          <w:tab w:val="num" w:pos="2934"/>
        </w:tabs>
        <w:ind w:left="2934" w:hanging="180"/>
      </w:pPr>
      <w:rPr>
        <w:rFonts w:cs="Times New Roman"/>
      </w:rPr>
    </w:lvl>
    <w:lvl w:ilvl="3" w:tplc="0409000F">
      <w:start w:val="1"/>
      <w:numFmt w:val="decimal"/>
      <w:lvlText w:val="%4."/>
      <w:lvlJc w:val="left"/>
      <w:pPr>
        <w:tabs>
          <w:tab w:val="num" w:pos="3654"/>
        </w:tabs>
        <w:ind w:left="3654" w:hanging="360"/>
      </w:pPr>
      <w:rPr>
        <w:rFonts w:cs="Times New Roman"/>
      </w:rPr>
    </w:lvl>
    <w:lvl w:ilvl="4" w:tplc="04090019">
      <w:start w:val="1"/>
      <w:numFmt w:val="lowerLetter"/>
      <w:lvlText w:val="%5."/>
      <w:lvlJc w:val="left"/>
      <w:pPr>
        <w:tabs>
          <w:tab w:val="num" w:pos="4374"/>
        </w:tabs>
        <w:ind w:left="4374" w:hanging="360"/>
      </w:pPr>
      <w:rPr>
        <w:rFonts w:cs="Times New Roman"/>
      </w:rPr>
    </w:lvl>
    <w:lvl w:ilvl="5" w:tplc="0409001B">
      <w:start w:val="1"/>
      <w:numFmt w:val="lowerRoman"/>
      <w:lvlText w:val="%6."/>
      <w:lvlJc w:val="right"/>
      <w:pPr>
        <w:tabs>
          <w:tab w:val="num" w:pos="5094"/>
        </w:tabs>
        <w:ind w:left="5094" w:hanging="180"/>
      </w:pPr>
      <w:rPr>
        <w:rFonts w:cs="Times New Roman"/>
      </w:rPr>
    </w:lvl>
    <w:lvl w:ilvl="6" w:tplc="0409000F">
      <w:start w:val="1"/>
      <w:numFmt w:val="decimal"/>
      <w:lvlText w:val="%7."/>
      <w:lvlJc w:val="left"/>
      <w:pPr>
        <w:tabs>
          <w:tab w:val="num" w:pos="5814"/>
        </w:tabs>
        <w:ind w:left="5814" w:hanging="360"/>
      </w:pPr>
      <w:rPr>
        <w:rFonts w:cs="Times New Roman"/>
      </w:rPr>
    </w:lvl>
    <w:lvl w:ilvl="7" w:tplc="04090019">
      <w:start w:val="1"/>
      <w:numFmt w:val="lowerLetter"/>
      <w:lvlText w:val="%8."/>
      <w:lvlJc w:val="left"/>
      <w:pPr>
        <w:tabs>
          <w:tab w:val="num" w:pos="6534"/>
        </w:tabs>
        <w:ind w:left="6534" w:hanging="360"/>
      </w:pPr>
      <w:rPr>
        <w:rFonts w:cs="Times New Roman"/>
      </w:rPr>
    </w:lvl>
    <w:lvl w:ilvl="8" w:tplc="0409001B">
      <w:start w:val="1"/>
      <w:numFmt w:val="lowerRoman"/>
      <w:lvlText w:val="%9."/>
      <w:lvlJc w:val="right"/>
      <w:pPr>
        <w:tabs>
          <w:tab w:val="num" w:pos="7254"/>
        </w:tabs>
        <w:ind w:left="7254" w:hanging="180"/>
      </w:pPr>
      <w:rPr>
        <w:rFonts w:cs="Times New Roman"/>
      </w:rPr>
    </w:lvl>
  </w:abstractNum>
  <w:abstractNum w:abstractNumId="29" w15:restartNumberingAfterBreak="0">
    <w:nsid w:val="52A25DD7"/>
    <w:multiLevelType w:val="hybridMultilevel"/>
    <w:tmpl w:val="C856175E"/>
    <w:lvl w:ilvl="0" w:tplc="2A92AFB8">
      <w:start w:val="1"/>
      <w:numFmt w:val="decimal"/>
      <w:lvlText w:val="%1."/>
      <w:lvlJc w:val="left"/>
      <w:pPr>
        <w:tabs>
          <w:tab w:val="num" w:pos="1710"/>
        </w:tabs>
        <w:ind w:left="1710" w:hanging="576"/>
      </w:pPr>
      <w:rPr>
        <w:rFonts w:cs="Times New Roman"/>
        <w:color w:val="auto"/>
      </w:rPr>
    </w:lvl>
    <w:lvl w:ilvl="1" w:tplc="C1EABD7C">
      <w:start w:val="1"/>
      <w:numFmt w:val="lowerLetter"/>
      <w:lvlText w:val="(%2)"/>
      <w:lvlJc w:val="left"/>
      <w:pPr>
        <w:tabs>
          <w:tab w:val="num" w:pos="2574"/>
        </w:tabs>
        <w:ind w:left="2574" w:hanging="720"/>
      </w:pPr>
      <w:rPr>
        <w:rFonts w:cs="Times New Roman" w:hint="default"/>
        <w:sz w:val="20"/>
        <w:szCs w:val="20"/>
      </w:rPr>
    </w:lvl>
    <w:lvl w:ilvl="2" w:tplc="0409001B">
      <w:start w:val="1"/>
      <w:numFmt w:val="lowerRoman"/>
      <w:lvlText w:val="%3."/>
      <w:lvlJc w:val="right"/>
      <w:pPr>
        <w:tabs>
          <w:tab w:val="num" w:pos="2934"/>
        </w:tabs>
        <w:ind w:left="2934" w:hanging="180"/>
      </w:pPr>
      <w:rPr>
        <w:rFonts w:cs="Times New Roman"/>
      </w:rPr>
    </w:lvl>
    <w:lvl w:ilvl="3" w:tplc="0409000F">
      <w:start w:val="1"/>
      <w:numFmt w:val="decimal"/>
      <w:lvlText w:val="%4."/>
      <w:lvlJc w:val="left"/>
      <w:pPr>
        <w:tabs>
          <w:tab w:val="num" w:pos="3654"/>
        </w:tabs>
        <w:ind w:left="3654" w:hanging="360"/>
      </w:pPr>
      <w:rPr>
        <w:rFonts w:cs="Times New Roman"/>
      </w:rPr>
    </w:lvl>
    <w:lvl w:ilvl="4" w:tplc="04090019">
      <w:start w:val="1"/>
      <w:numFmt w:val="lowerLetter"/>
      <w:lvlText w:val="%5."/>
      <w:lvlJc w:val="left"/>
      <w:pPr>
        <w:tabs>
          <w:tab w:val="num" w:pos="4374"/>
        </w:tabs>
        <w:ind w:left="4374" w:hanging="360"/>
      </w:pPr>
      <w:rPr>
        <w:rFonts w:cs="Times New Roman"/>
      </w:rPr>
    </w:lvl>
    <w:lvl w:ilvl="5" w:tplc="0409001B">
      <w:start w:val="1"/>
      <w:numFmt w:val="lowerRoman"/>
      <w:lvlText w:val="%6."/>
      <w:lvlJc w:val="right"/>
      <w:pPr>
        <w:tabs>
          <w:tab w:val="num" w:pos="5094"/>
        </w:tabs>
        <w:ind w:left="5094" w:hanging="180"/>
      </w:pPr>
      <w:rPr>
        <w:rFonts w:cs="Times New Roman"/>
      </w:rPr>
    </w:lvl>
    <w:lvl w:ilvl="6" w:tplc="0409000F">
      <w:start w:val="1"/>
      <w:numFmt w:val="decimal"/>
      <w:lvlText w:val="%7."/>
      <w:lvlJc w:val="left"/>
      <w:pPr>
        <w:tabs>
          <w:tab w:val="num" w:pos="5814"/>
        </w:tabs>
        <w:ind w:left="5814" w:hanging="360"/>
      </w:pPr>
      <w:rPr>
        <w:rFonts w:cs="Times New Roman"/>
      </w:rPr>
    </w:lvl>
    <w:lvl w:ilvl="7" w:tplc="04090019">
      <w:start w:val="1"/>
      <w:numFmt w:val="lowerLetter"/>
      <w:lvlText w:val="%8."/>
      <w:lvlJc w:val="left"/>
      <w:pPr>
        <w:tabs>
          <w:tab w:val="num" w:pos="6534"/>
        </w:tabs>
        <w:ind w:left="6534" w:hanging="360"/>
      </w:pPr>
      <w:rPr>
        <w:rFonts w:cs="Times New Roman"/>
      </w:rPr>
    </w:lvl>
    <w:lvl w:ilvl="8" w:tplc="0409001B">
      <w:start w:val="1"/>
      <w:numFmt w:val="lowerRoman"/>
      <w:lvlText w:val="%9."/>
      <w:lvlJc w:val="right"/>
      <w:pPr>
        <w:tabs>
          <w:tab w:val="num" w:pos="7254"/>
        </w:tabs>
        <w:ind w:left="7254" w:hanging="180"/>
      </w:pPr>
      <w:rPr>
        <w:rFonts w:cs="Times New Roman"/>
      </w:rPr>
    </w:lvl>
  </w:abstractNum>
  <w:abstractNum w:abstractNumId="30" w15:restartNumberingAfterBreak="0">
    <w:nsid w:val="53E012A8"/>
    <w:multiLevelType w:val="hybridMultilevel"/>
    <w:tmpl w:val="E8E412D8"/>
    <w:lvl w:ilvl="0" w:tplc="C1EABD7C">
      <w:start w:val="1"/>
      <w:numFmt w:val="lowerLetter"/>
      <w:lvlText w:val="(%1)"/>
      <w:lvlJc w:val="left"/>
      <w:pPr>
        <w:tabs>
          <w:tab w:val="num" w:pos="2422"/>
        </w:tabs>
        <w:ind w:left="2422" w:hanging="720"/>
      </w:pPr>
      <w:rPr>
        <w:rFonts w:cs="Times New Roman" w:hint="default"/>
        <w:sz w:val="20"/>
        <w:szCs w:val="20"/>
      </w:rPr>
    </w:lvl>
    <w:lvl w:ilvl="1" w:tplc="08090019" w:tentative="1">
      <w:start w:val="1"/>
      <w:numFmt w:val="lowerLetter"/>
      <w:lvlText w:val="%2."/>
      <w:lvlJc w:val="left"/>
      <w:pPr>
        <w:ind w:left="1288" w:hanging="360"/>
      </w:pPr>
      <w:rPr>
        <w:rFonts w:cs="Times New Roman"/>
      </w:rPr>
    </w:lvl>
    <w:lvl w:ilvl="2" w:tplc="0809001B" w:tentative="1">
      <w:start w:val="1"/>
      <w:numFmt w:val="lowerRoman"/>
      <w:lvlText w:val="%3."/>
      <w:lvlJc w:val="right"/>
      <w:pPr>
        <w:ind w:left="2008" w:hanging="180"/>
      </w:pPr>
      <w:rPr>
        <w:rFonts w:cs="Times New Roman"/>
      </w:rPr>
    </w:lvl>
    <w:lvl w:ilvl="3" w:tplc="0809000F" w:tentative="1">
      <w:start w:val="1"/>
      <w:numFmt w:val="decimal"/>
      <w:lvlText w:val="%4."/>
      <w:lvlJc w:val="left"/>
      <w:pPr>
        <w:ind w:left="2728" w:hanging="360"/>
      </w:pPr>
      <w:rPr>
        <w:rFonts w:cs="Times New Roman"/>
      </w:rPr>
    </w:lvl>
    <w:lvl w:ilvl="4" w:tplc="08090019" w:tentative="1">
      <w:start w:val="1"/>
      <w:numFmt w:val="lowerLetter"/>
      <w:lvlText w:val="%5."/>
      <w:lvlJc w:val="left"/>
      <w:pPr>
        <w:ind w:left="3448" w:hanging="360"/>
      </w:pPr>
      <w:rPr>
        <w:rFonts w:cs="Times New Roman"/>
      </w:rPr>
    </w:lvl>
    <w:lvl w:ilvl="5" w:tplc="0809001B" w:tentative="1">
      <w:start w:val="1"/>
      <w:numFmt w:val="lowerRoman"/>
      <w:lvlText w:val="%6."/>
      <w:lvlJc w:val="right"/>
      <w:pPr>
        <w:ind w:left="4168" w:hanging="180"/>
      </w:pPr>
      <w:rPr>
        <w:rFonts w:cs="Times New Roman"/>
      </w:rPr>
    </w:lvl>
    <w:lvl w:ilvl="6" w:tplc="0809000F" w:tentative="1">
      <w:start w:val="1"/>
      <w:numFmt w:val="decimal"/>
      <w:lvlText w:val="%7."/>
      <w:lvlJc w:val="left"/>
      <w:pPr>
        <w:ind w:left="4888" w:hanging="360"/>
      </w:pPr>
      <w:rPr>
        <w:rFonts w:cs="Times New Roman"/>
      </w:rPr>
    </w:lvl>
    <w:lvl w:ilvl="7" w:tplc="08090019" w:tentative="1">
      <w:start w:val="1"/>
      <w:numFmt w:val="lowerLetter"/>
      <w:lvlText w:val="%8."/>
      <w:lvlJc w:val="left"/>
      <w:pPr>
        <w:ind w:left="5608" w:hanging="360"/>
      </w:pPr>
      <w:rPr>
        <w:rFonts w:cs="Times New Roman"/>
      </w:rPr>
    </w:lvl>
    <w:lvl w:ilvl="8" w:tplc="0809001B" w:tentative="1">
      <w:start w:val="1"/>
      <w:numFmt w:val="lowerRoman"/>
      <w:lvlText w:val="%9."/>
      <w:lvlJc w:val="right"/>
      <w:pPr>
        <w:ind w:left="6328" w:hanging="180"/>
      </w:pPr>
      <w:rPr>
        <w:rFonts w:cs="Times New Roman"/>
      </w:rPr>
    </w:lvl>
  </w:abstractNum>
  <w:abstractNum w:abstractNumId="31" w15:restartNumberingAfterBreak="0">
    <w:nsid w:val="59057985"/>
    <w:multiLevelType w:val="hybridMultilevel"/>
    <w:tmpl w:val="9A4DB8E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5A595C9A"/>
    <w:multiLevelType w:val="hybridMultilevel"/>
    <w:tmpl w:val="5A54AA68"/>
    <w:lvl w:ilvl="0" w:tplc="34F89090">
      <w:start w:val="1"/>
      <w:numFmt w:val="upperLetter"/>
      <w:lvlText w:val="%1."/>
      <w:lvlJc w:val="left"/>
      <w:pPr>
        <w:tabs>
          <w:tab w:val="num" w:pos="1200"/>
        </w:tabs>
        <w:ind w:left="1200" w:hanging="525"/>
      </w:pPr>
      <w:rPr>
        <w:rFonts w:cs="Times New Roman"/>
      </w:rPr>
    </w:lvl>
    <w:lvl w:ilvl="1" w:tplc="04090019">
      <w:start w:val="1"/>
      <w:numFmt w:val="lowerLetter"/>
      <w:lvlText w:val="%2."/>
      <w:lvlJc w:val="left"/>
      <w:pPr>
        <w:tabs>
          <w:tab w:val="num" w:pos="1755"/>
        </w:tabs>
        <w:ind w:left="1755" w:hanging="360"/>
      </w:pPr>
      <w:rPr>
        <w:rFonts w:cs="Times New Roman"/>
      </w:rPr>
    </w:lvl>
    <w:lvl w:ilvl="2" w:tplc="0409001B">
      <w:start w:val="1"/>
      <w:numFmt w:val="lowerRoman"/>
      <w:lvlText w:val="%3."/>
      <w:lvlJc w:val="right"/>
      <w:pPr>
        <w:tabs>
          <w:tab w:val="num" w:pos="2475"/>
        </w:tabs>
        <w:ind w:left="2475" w:hanging="180"/>
      </w:pPr>
      <w:rPr>
        <w:rFonts w:cs="Times New Roman"/>
      </w:rPr>
    </w:lvl>
    <w:lvl w:ilvl="3" w:tplc="0409000F">
      <w:start w:val="1"/>
      <w:numFmt w:val="decimal"/>
      <w:lvlText w:val="%4."/>
      <w:lvlJc w:val="left"/>
      <w:pPr>
        <w:tabs>
          <w:tab w:val="num" w:pos="3195"/>
        </w:tabs>
        <w:ind w:left="3195" w:hanging="360"/>
      </w:pPr>
      <w:rPr>
        <w:rFonts w:cs="Times New Roman"/>
      </w:rPr>
    </w:lvl>
    <w:lvl w:ilvl="4" w:tplc="04090019">
      <w:start w:val="1"/>
      <w:numFmt w:val="lowerLetter"/>
      <w:lvlText w:val="%5."/>
      <w:lvlJc w:val="left"/>
      <w:pPr>
        <w:tabs>
          <w:tab w:val="num" w:pos="3915"/>
        </w:tabs>
        <w:ind w:left="3915" w:hanging="360"/>
      </w:pPr>
      <w:rPr>
        <w:rFonts w:cs="Times New Roman"/>
      </w:rPr>
    </w:lvl>
    <w:lvl w:ilvl="5" w:tplc="0409001B">
      <w:start w:val="1"/>
      <w:numFmt w:val="lowerRoman"/>
      <w:lvlText w:val="%6."/>
      <w:lvlJc w:val="right"/>
      <w:pPr>
        <w:tabs>
          <w:tab w:val="num" w:pos="4635"/>
        </w:tabs>
        <w:ind w:left="4635" w:hanging="180"/>
      </w:pPr>
      <w:rPr>
        <w:rFonts w:cs="Times New Roman"/>
      </w:rPr>
    </w:lvl>
    <w:lvl w:ilvl="6" w:tplc="0409000F">
      <w:start w:val="1"/>
      <w:numFmt w:val="decimal"/>
      <w:lvlText w:val="%7."/>
      <w:lvlJc w:val="left"/>
      <w:pPr>
        <w:tabs>
          <w:tab w:val="num" w:pos="5355"/>
        </w:tabs>
        <w:ind w:left="5355" w:hanging="360"/>
      </w:pPr>
      <w:rPr>
        <w:rFonts w:cs="Times New Roman"/>
      </w:rPr>
    </w:lvl>
    <w:lvl w:ilvl="7" w:tplc="04090019">
      <w:start w:val="1"/>
      <w:numFmt w:val="lowerLetter"/>
      <w:lvlText w:val="%8."/>
      <w:lvlJc w:val="left"/>
      <w:pPr>
        <w:tabs>
          <w:tab w:val="num" w:pos="6075"/>
        </w:tabs>
        <w:ind w:left="6075" w:hanging="360"/>
      </w:pPr>
      <w:rPr>
        <w:rFonts w:cs="Times New Roman"/>
      </w:rPr>
    </w:lvl>
    <w:lvl w:ilvl="8" w:tplc="0409001B">
      <w:start w:val="1"/>
      <w:numFmt w:val="lowerRoman"/>
      <w:lvlText w:val="%9."/>
      <w:lvlJc w:val="right"/>
      <w:pPr>
        <w:tabs>
          <w:tab w:val="num" w:pos="6795"/>
        </w:tabs>
        <w:ind w:left="6795" w:hanging="180"/>
      </w:pPr>
      <w:rPr>
        <w:rFonts w:cs="Times New Roman"/>
      </w:rPr>
    </w:lvl>
  </w:abstractNum>
  <w:abstractNum w:abstractNumId="33" w15:restartNumberingAfterBreak="0">
    <w:nsid w:val="5C2E2188"/>
    <w:multiLevelType w:val="multilevel"/>
    <w:tmpl w:val="EC0ADBDC"/>
    <w:lvl w:ilvl="0">
      <w:start w:val="1"/>
      <w:numFmt w:val="decimal"/>
      <w:lvlText w:val="%1."/>
      <w:lvlJc w:val="left"/>
      <w:pPr>
        <w:ind w:left="394" w:hanging="240"/>
      </w:pPr>
      <w:rPr>
        <w:rFonts w:ascii="Arial" w:eastAsia="Times New Roman" w:hAnsi="Arial" w:cs="Times New Roman" w:hint="default"/>
        <w:b/>
        <w:bCs/>
        <w:color w:val="3D3F3F"/>
        <w:w w:val="104"/>
        <w:sz w:val="21"/>
        <w:szCs w:val="21"/>
      </w:rPr>
    </w:lvl>
    <w:lvl w:ilvl="1">
      <w:start w:val="1"/>
      <w:numFmt w:val="decimal"/>
      <w:lvlText w:val="%1.%2."/>
      <w:lvlJc w:val="left"/>
      <w:pPr>
        <w:ind w:left="552" w:hanging="404"/>
      </w:pPr>
      <w:rPr>
        <w:rFonts w:ascii="Arial" w:eastAsia="Times New Roman" w:hAnsi="Arial" w:cs="Times New Roman" w:hint="default"/>
        <w:b/>
        <w:bCs/>
        <w:color w:val="3F3F3F"/>
        <w:sz w:val="21"/>
        <w:szCs w:val="21"/>
      </w:rPr>
    </w:lvl>
    <w:lvl w:ilvl="2">
      <w:start w:val="1"/>
      <w:numFmt w:val="decimal"/>
      <w:lvlText w:val="%1.%2.%3."/>
      <w:lvlJc w:val="left"/>
      <w:pPr>
        <w:ind w:left="737" w:hanging="604"/>
      </w:pPr>
      <w:rPr>
        <w:rFonts w:ascii="Arial" w:eastAsia="Times New Roman" w:hAnsi="Arial" w:cs="Times New Roman" w:hint="default"/>
        <w:b/>
        <w:bCs/>
        <w:color w:val="3F3F3F"/>
        <w:w w:val="97"/>
        <w:sz w:val="21"/>
        <w:szCs w:val="21"/>
      </w:rPr>
    </w:lvl>
    <w:lvl w:ilvl="3">
      <w:start w:val="1"/>
      <w:numFmt w:val="bullet"/>
      <w:lvlText w:val="•"/>
      <w:lvlJc w:val="left"/>
      <w:pPr>
        <w:ind w:left="737" w:hanging="604"/>
      </w:pPr>
      <w:rPr>
        <w:rFonts w:hint="default"/>
      </w:rPr>
    </w:lvl>
    <w:lvl w:ilvl="4">
      <w:start w:val="1"/>
      <w:numFmt w:val="bullet"/>
      <w:lvlText w:val="•"/>
      <w:lvlJc w:val="left"/>
      <w:pPr>
        <w:ind w:left="2012" w:hanging="604"/>
      </w:pPr>
      <w:rPr>
        <w:rFonts w:hint="default"/>
      </w:rPr>
    </w:lvl>
    <w:lvl w:ilvl="5">
      <w:start w:val="1"/>
      <w:numFmt w:val="bullet"/>
      <w:lvlText w:val="•"/>
      <w:lvlJc w:val="left"/>
      <w:pPr>
        <w:ind w:left="3287" w:hanging="604"/>
      </w:pPr>
      <w:rPr>
        <w:rFonts w:hint="default"/>
      </w:rPr>
    </w:lvl>
    <w:lvl w:ilvl="6">
      <w:start w:val="1"/>
      <w:numFmt w:val="bullet"/>
      <w:lvlText w:val="•"/>
      <w:lvlJc w:val="left"/>
      <w:pPr>
        <w:ind w:left="4563" w:hanging="604"/>
      </w:pPr>
      <w:rPr>
        <w:rFonts w:hint="default"/>
      </w:rPr>
    </w:lvl>
    <w:lvl w:ilvl="7">
      <w:start w:val="1"/>
      <w:numFmt w:val="bullet"/>
      <w:lvlText w:val="•"/>
      <w:lvlJc w:val="left"/>
      <w:pPr>
        <w:ind w:left="5838" w:hanging="604"/>
      </w:pPr>
      <w:rPr>
        <w:rFonts w:hint="default"/>
      </w:rPr>
    </w:lvl>
    <w:lvl w:ilvl="8">
      <w:start w:val="1"/>
      <w:numFmt w:val="bullet"/>
      <w:lvlText w:val="•"/>
      <w:lvlJc w:val="left"/>
      <w:pPr>
        <w:ind w:left="7113" w:hanging="604"/>
      </w:pPr>
      <w:rPr>
        <w:rFonts w:hint="default"/>
      </w:rPr>
    </w:lvl>
  </w:abstractNum>
  <w:abstractNum w:abstractNumId="34" w15:restartNumberingAfterBreak="0">
    <w:nsid w:val="5D2C1D7C"/>
    <w:multiLevelType w:val="multilevel"/>
    <w:tmpl w:val="F88CA848"/>
    <w:lvl w:ilvl="0">
      <w:start w:val="1"/>
      <w:numFmt w:val="lowerLetter"/>
      <w:lvlText w:val="(%1)"/>
      <w:lvlJc w:val="left"/>
      <w:pPr>
        <w:ind w:left="1854" w:hanging="360"/>
      </w:pPr>
      <w:rPr>
        <w:rFonts w:cs="Times New Roman" w:hint="default"/>
      </w:rPr>
    </w:lvl>
    <w:lvl w:ilvl="1">
      <w:start w:val="1"/>
      <w:numFmt w:val="lowerRoman"/>
      <w:lvlText w:val="%2"/>
      <w:lvlJc w:val="left"/>
      <w:pPr>
        <w:ind w:left="2574" w:hanging="360"/>
      </w:pPr>
      <w:rPr>
        <w:rFonts w:cs="Times New Roman"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hint="default"/>
      </w:rPr>
    </w:lvl>
    <w:lvl w:ilvl="8">
      <w:start w:val="1"/>
      <w:numFmt w:val="bullet"/>
      <w:lvlText w:val=""/>
      <w:lvlJc w:val="left"/>
      <w:pPr>
        <w:ind w:left="7614" w:hanging="360"/>
      </w:pPr>
      <w:rPr>
        <w:rFonts w:ascii="Wingdings" w:hAnsi="Wingdings" w:hint="default"/>
      </w:rPr>
    </w:lvl>
  </w:abstractNum>
  <w:abstractNum w:abstractNumId="35" w15:restartNumberingAfterBreak="0">
    <w:nsid w:val="5E732D6A"/>
    <w:multiLevelType w:val="hybridMultilevel"/>
    <w:tmpl w:val="68588DAA"/>
    <w:lvl w:ilvl="0" w:tplc="C07291D6">
      <w:start w:val="1"/>
      <w:numFmt w:val="decimal"/>
      <w:lvlText w:val="%1."/>
      <w:lvlJc w:val="left"/>
      <w:pPr>
        <w:tabs>
          <w:tab w:val="num" w:pos="1994"/>
        </w:tabs>
        <w:ind w:left="1994" w:hanging="576"/>
      </w:pPr>
      <w:rPr>
        <w:rFonts w:ascii="Times New Roman" w:hAnsi="Times New Roman" w:cs="Times New Roman" w:hint="default"/>
        <w:b w:val="0"/>
        <w:color w:val="auto"/>
      </w:rPr>
    </w:lvl>
    <w:lvl w:ilvl="1" w:tplc="C00AFB3E">
      <w:start w:val="1"/>
      <w:numFmt w:val="lowerRoman"/>
      <w:lvlText w:val="(%2)"/>
      <w:lvlJc w:val="left"/>
      <w:pPr>
        <w:tabs>
          <w:tab w:val="num" w:pos="2717"/>
        </w:tabs>
        <w:ind w:left="2717" w:hanging="720"/>
      </w:pPr>
      <w:rPr>
        <w:rFonts w:cs="Times New Roman" w:hint="default"/>
        <w:sz w:val="20"/>
        <w:szCs w:val="20"/>
      </w:rPr>
    </w:lvl>
    <w:lvl w:ilvl="2" w:tplc="08090019">
      <w:start w:val="1"/>
      <w:numFmt w:val="lowerLetter"/>
      <w:lvlText w:val="%3."/>
      <w:lvlJc w:val="left"/>
      <w:pPr>
        <w:tabs>
          <w:tab w:val="num" w:pos="3077"/>
        </w:tabs>
        <w:ind w:left="3077" w:hanging="180"/>
      </w:pPr>
      <w:rPr>
        <w:rFonts w:cs="Times New Roman"/>
      </w:rPr>
    </w:lvl>
    <w:lvl w:ilvl="3" w:tplc="0409000F">
      <w:start w:val="1"/>
      <w:numFmt w:val="decimal"/>
      <w:lvlText w:val="%4."/>
      <w:lvlJc w:val="left"/>
      <w:pPr>
        <w:tabs>
          <w:tab w:val="num" w:pos="3797"/>
        </w:tabs>
        <w:ind w:left="3797" w:hanging="360"/>
      </w:pPr>
      <w:rPr>
        <w:rFonts w:cs="Times New Roman"/>
      </w:rPr>
    </w:lvl>
    <w:lvl w:ilvl="4" w:tplc="04090019">
      <w:start w:val="1"/>
      <w:numFmt w:val="lowerLetter"/>
      <w:lvlText w:val="%5."/>
      <w:lvlJc w:val="left"/>
      <w:pPr>
        <w:tabs>
          <w:tab w:val="num" w:pos="4517"/>
        </w:tabs>
        <w:ind w:left="4517" w:hanging="360"/>
      </w:pPr>
      <w:rPr>
        <w:rFonts w:cs="Times New Roman"/>
      </w:rPr>
    </w:lvl>
    <w:lvl w:ilvl="5" w:tplc="0409001B">
      <w:start w:val="1"/>
      <w:numFmt w:val="lowerRoman"/>
      <w:lvlText w:val="%6."/>
      <w:lvlJc w:val="right"/>
      <w:pPr>
        <w:tabs>
          <w:tab w:val="num" w:pos="5237"/>
        </w:tabs>
        <w:ind w:left="5237" w:hanging="180"/>
      </w:pPr>
      <w:rPr>
        <w:rFonts w:cs="Times New Roman"/>
      </w:rPr>
    </w:lvl>
    <w:lvl w:ilvl="6" w:tplc="0409000F">
      <w:start w:val="1"/>
      <w:numFmt w:val="decimal"/>
      <w:lvlText w:val="%7."/>
      <w:lvlJc w:val="left"/>
      <w:pPr>
        <w:tabs>
          <w:tab w:val="num" w:pos="5957"/>
        </w:tabs>
        <w:ind w:left="5957" w:hanging="360"/>
      </w:pPr>
      <w:rPr>
        <w:rFonts w:cs="Times New Roman"/>
      </w:rPr>
    </w:lvl>
    <w:lvl w:ilvl="7" w:tplc="04090019">
      <w:start w:val="1"/>
      <w:numFmt w:val="lowerLetter"/>
      <w:lvlText w:val="%8."/>
      <w:lvlJc w:val="left"/>
      <w:pPr>
        <w:tabs>
          <w:tab w:val="num" w:pos="6677"/>
        </w:tabs>
        <w:ind w:left="6677" w:hanging="360"/>
      </w:pPr>
      <w:rPr>
        <w:rFonts w:cs="Times New Roman"/>
      </w:rPr>
    </w:lvl>
    <w:lvl w:ilvl="8" w:tplc="0409001B">
      <w:start w:val="1"/>
      <w:numFmt w:val="lowerRoman"/>
      <w:lvlText w:val="%9."/>
      <w:lvlJc w:val="right"/>
      <w:pPr>
        <w:tabs>
          <w:tab w:val="num" w:pos="7397"/>
        </w:tabs>
        <w:ind w:left="7397" w:hanging="180"/>
      </w:pPr>
      <w:rPr>
        <w:rFonts w:cs="Times New Roman"/>
      </w:rPr>
    </w:lvl>
  </w:abstractNum>
  <w:abstractNum w:abstractNumId="36" w15:restartNumberingAfterBreak="0">
    <w:nsid w:val="5E9A01FD"/>
    <w:multiLevelType w:val="hybridMultilevel"/>
    <w:tmpl w:val="B6F2D02A"/>
    <w:lvl w:ilvl="0" w:tplc="C9A8E910">
      <w:start w:val="1"/>
      <w:numFmt w:val="decimal"/>
      <w:lvlText w:val="(%1)"/>
      <w:lvlJc w:val="left"/>
      <w:pPr>
        <w:ind w:left="2160" w:hanging="360"/>
      </w:pPr>
      <w:rPr>
        <w:rFonts w:cs="Times New Roman"/>
        <w:sz w:val="20"/>
        <w:szCs w:val="20"/>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37" w15:restartNumberingAfterBreak="0">
    <w:nsid w:val="6018469E"/>
    <w:multiLevelType w:val="hybridMultilevel"/>
    <w:tmpl w:val="8362E282"/>
    <w:lvl w:ilvl="0" w:tplc="2A9E7414">
      <w:start w:val="1"/>
      <w:numFmt w:val="lowerLetter"/>
      <w:lvlText w:val="(%1)"/>
      <w:lvlJc w:val="left"/>
      <w:pPr>
        <w:ind w:left="2061" w:hanging="360"/>
      </w:pPr>
      <w:rPr>
        <w:rFonts w:ascii="Times New Roman" w:eastAsia="Calibri" w:hAnsi="Times New Roman" w:cs="Times New Roman"/>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8" w15:restartNumberingAfterBreak="0">
    <w:nsid w:val="601A13C0"/>
    <w:multiLevelType w:val="hybridMultilevel"/>
    <w:tmpl w:val="4E160148"/>
    <w:lvl w:ilvl="0" w:tplc="E438D594">
      <w:start w:val="1"/>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39" w15:restartNumberingAfterBreak="0">
    <w:nsid w:val="629E21AD"/>
    <w:multiLevelType w:val="hybridMultilevel"/>
    <w:tmpl w:val="7E9A65D0"/>
    <w:lvl w:ilvl="0" w:tplc="2A92AFB8">
      <w:start w:val="1"/>
      <w:numFmt w:val="decimal"/>
      <w:lvlText w:val="%1."/>
      <w:lvlJc w:val="left"/>
      <w:pPr>
        <w:tabs>
          <w:tab w:val="num" w:pos="1710"/>
        </w:tabs>
        <w:ind w:left="1710" w:hanging="576"/>
      </w:pPr>
      <w:rPr>
        <w:rFonts w:cs="Times New Roman"/>
        <w:color w:val="auto"/>
      </w:rPr>
    </w:lvl>
    <w:lvl w:ilvl="1" w:tplc="0B1C8860">
      <w:start w:val="1"/>
      <w:numFmt w:val="decimal"/>
      <w:lvlText w:val="(%2)"/>
      <w:lvlJc w:val="left"/>
      <w:pPr>
        <w:tabs>
          <w:tab w:val="num" w:pos="2574"/>
        </w:tabs>
        <w:ind w:left="2574" w:hanging="720"/>
      </w:pPr>
      <w:rPr>
        <w:rFonts w:cs="Times New Roman"/>
        <w:sz w:val="20"/>
        <w:szCs w:val="20"/>
      </w:rPr>
    </w:lvl>
    <w:lvl w:ilvl="2" w:tplc="0409001B">
      <w:start w:val="1"/>
      <w:numFmt w:val="lowerRoman"/>
      <w:lvlText w:val="%3."/>
      <w:lvlJc w:val="right"/>
      <w:pPr>
        <w:tabs>
          <w:tab w:val="num" w:pos="2934"/>
        </w:tabs>
        <w:ind w:left="2934" w:hanging="180"/>
      </w:pPr>
      <w:rPr>
        <w:rFonts w:cs="Times New Roman"/>
      </w:rPr>
    </w:lvl>
    <w:lvl w:ilvl="3" w:tplc="0409000F">
      <w:start w:val="1"/>
      <w:numFmt w:val="decimal"/>
      <w:lvlText w:val="%4."/>
      <w:lvlJc w:val="left"/>
      <w:pPr>
        <w:tabs>
          <w:tab w:val="num" w:pos="3654"/>
        </w:tabs>
        <w:ind w:left="3654" w:hanging="360"/>
      </w:pPr>
      <w:rPr>
        <w:rFonts w:cs="Times New Roman"/>
      </w:rPr>
    </w:lvl>
    <w:lvl w:ilvl="4" w:tplc="04090019">
      <w:start w:val="1"/>
      <w:numFmt w:val="lowerLetter"/>
      <w:lvlText w:val="%5."/>
      <w:lvlJc w:val="left"/>
      <w:pPr>
        <w:tabs>
          <w:tab w:val="num" w:pos="4374"/>
        </w:tabs>
        <w:ind w:left="4374" w:hanging="360"/>
      </w:pPr>
      <w:rPr>
        <w:rFonts w:cs="Times New Roman"/>
      </w:rPr>
    </w:lvl>
    <w:lvl w:ilvl="5" w:tplc="0409001B">
      <w:start w:val="1"/>
      <w:numFmt w:val="lowerRoman"/>
      <w:lvlText w:val="%6."/>
      <w:lvlJc w:val="right"/>
      <w:pPr>
        <w:tabs>
          <w:tab w:val="num" w:pos="5094"/>
        </w:tabs>
        <w:ind w:left="5094" w:hanging="180"/>
      </w:pPr>
      <w:rPr>
        <w:rFonts w:cs="Times New Roman"/>
      </w:rPr>
    </w:lvl>
    <w:lvl w:ilvl="6" w:tplc="0409000F">
      <w:start w:val="1"/>
      <w:numFmt w:val="decimal"/>
      <w:lvlText w:val="%7."/>
      <w:lvlJc w:val="left"/>
      <w:pPr>
        <w:tabs>
          <w:tab w:val="num" w:pos="5814"/>
        </w:tabs>
        <w:ind w:left="5814" w:hanging="360"/>
      </w:pPr>
      <w:rPr>
        <w:rFonts w:cs="Times New Roman"/>
      </w:rPr>
    </w:lvl>
    <w:lvl w:ilvl="7" w:tplc="04090019">
      <w:start w:val="1"/>
      <w:numFmt w:val="lowerLetter"/>
      <w:lvlText w:val="%8."/>
      <w:lvlJc w:val="left"/>
      <w:pPr>
        <w:tabs>
          <w:tab w:val="num" w:pos="6534"/>
        </w:tabs>
        <w:ind w:left="6534" w:hanging="360"/>
      </w:pPr>
      <w:rPr>
        <w:rFonts w:cs="Times New Roman"/>
      </w:rPr>
    </w:lvl>
    <w:lvl w:ilvl="8" w:tplc="0409001B">
      <w:start w:val="1"/>
      <w:numFmt w:val="lowerRoman"/>
      <w:lvlText w:val="%9."/>
      <w:lvlJc w:val="right"/>
      <w:pPr>
        <w:tabs>
          <w:tab w:val="num" w:pos="7254"/>
        </w:tabs>
        <w:ind w:left="7254" w:hanging="180"/>
      </w:pPr>
      <w:rPr>
        <w:rFonts w:cs="Times New Roman"/>
      </w:rPr>
    </w:lvl>
  </w:abstractNum>
  <w:abstractNum w:abstractNumId="40" w15:restartNumberingAfterBreak="0">
    <w:nsid w:val="62EE0F20"/>
    <w:multiLevelType w:val="hybridMultilevel"/>
    <w:tmpl w:val="C1265272"/>
    <w:lvl w:ilvl="0" w:tplc="43DA6E66">
      <w:start w:val="1"/>
      <w:numFmt w:val="upperRoman"/>
      <w:lvlText w:val="%1."/>
      <w:lvlJc w:val="left"/>
      <w:pPr>
        <w:ind w:left="1855" w:hanging="720"/>
      </w:pPr>
      <w:rPr>
        <w:rFonts w:cs="Times New Roman"/>
      </w:rPr>
    </w:lvl>
    <w:lvl w:ilvl="1" w:tplc="08090019">
      <w:start w:val="1"/>
      <w:numFmt w:val="lowerLetter"/>
      <w:lvlText w:val="%2."/>
      <w:lvlJc w:val="left"/>
      <w:pPr>
        <w:ind w:left="1755" w:hanging="360"/>
      </w:pPr>
      <w:rPr>
        <w:rFonts w:cs="Times New Roman"/>
      </w:rPr>
    </w:lvl>
    <w:lvl w:ilvl="2" w:tplc="0809001B">
      <w:start w:val="1"/>
      <w:numFmt w:val="lowerRoman"/>
      <w:lvlText w:val="%3."/>
      <w:lvlJc w:val="right"/>
      <w:pPr>
        <w:ind w:left="2475" w:hanging="180"/>
      </w:pPr>
      <w:rPr>
        <w:rFonts w:cs="Times New Roman"/>
      </w:rPr>
    </w:lvl>
    <w:lvl w:ilvl="3" w:tplc="0809000F">
      <w:start w:val="1"/>
      <w:numFmt w:val="decimal"/>
      <w:lvlText w:val="%4."/>
      <w:lvlJc w:val="left"/>
      <w:pPr>
        <w:ind w:left="3195" w:hanging="360"/>
      </w:pPr>
      <w:rPr>
        <w:rFonts w:cs="Times New Roman"/>
      </w:rPr>
    </w:lvl>
    <w:lvl w:ilvl="4" w:tplc="08090019">
      <w:start w:val="1"/>
      <w:numFmt w:val="lowerLetter"/>
      <w:lvlText w:val="%5."/>
      <w:lvlJc w:val="left"/>
      <w:pPr>
        <w:ind w:left="3915" w:hanging="360"/>
      </w:pPr>
      <w:rPr>
        <w:rFonts w:cs="Times New Roman"/>
      </w:rPr>
    </w:lvl>
    <w:lvl w:ilvl="5" w:tplc="0809001B">
      <w:start w:val="1"/>
      <w:numFmt w:val="lowerRoman"/>
      <w:lvlText w:val="%6."/>
      <w:lvlJc w:val="right"/>
      <w:pPr>
        <w:ind w:left="4635" w:hanging="180"/>
      </w:pPr>
      <w:rPr>
        <w:rFonts w:cs="Times New Roman"/>
      </w:rPr>
    </w:lvl>
    <w:lvl w:ilvl="6" w:tplc="0809000F">
      <w:start w:val="1"/>
      <w:numFmt w:val="decimal"/>
      <w:lvlText w:val="%7."/>
      <w:lvlJc w:val="left"/>
      <w:pPr>
        <w:ind w:left="5355" w:hanging="360"/>
      </w:pPr>
      <w:rPr>
        <w:rFonts w:cs="Times New Roman"/>
      </w:rPr>
    </w:lvl>
    <w:lvl w:ilvl="7" w:tplc="08090019">
      <w:start w:val="1"/>
      <w:numFmt w:val="lowerLetter"/>
      <w:lvlText w:val="%8."/>
      <w:lvlJc w:val="left"/>
      <w:pPr>
        <w:ind w:left="6075" w:hanging="360"/>
      </w:pPr>
      <w:rPr>
        <w:rFonts w:cs="Times New Roman"/>
      </w:rPr>
    </w:lvl>
    <w:lvl w:ilvl="8" w:tplc="0809001B">
      <w:start w:val="1"/>
      <w:numFmt w:val="lowerRoman"/>
      <w:lvlText w:val="%9."/>
      <w:lvlJc w:val="right"/>
      <w:pPr>
        <w:ind w:left="6795" w:hanging="180"/>
      </w:pPr>
      <w:rPr>
        <w:rFonts w:cs="Times New Roman"/>
      </w:rPr>
    </w:lvl>
  </w:abstractNum>
  <w:abstractNum w:abstractNumId="41" w15:restartNumberingAfterBreak="0">
    <w:nsid w:val="6A1F0113"/>
    <w:multiLevelType w:val="hybridMultilevel"/>
    <w:tmpl w:val="CED446EA"/>
    <w:lvl w:ilvl="0" w:tplc="B06A77AA">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2" w15:restartNumberingAfterBreak="0">
    <w:nsid w:val="6D6E762D"/>
    <w:multiLevelType w:val="hybridMultilevel"/>
    <w:tmpl w:val="FEA0004C"/>
    <w:lvl w:ilvl="0" w:tplc="99828954">
      <w:start w:val="2"/>
      <w:numFmt w:val="lowerRoman"/>
      <w:lvlText w:val="(%1)"/>
      <w:lvlJc w:val="left"/>
      <w:pPr>
        <w:tabs>
          <w:tab w:val="num" w:pos="2717"/>
        </w:tabs>
        <w:ind w:left="2717" w:hanging="720"/>
      </w:pPr>
      <w:rPr>
        <w:rFonts w:cs="Times New Roman" w:hint="default"/>
        <w:sz w:val="20"/>
        <w:szCs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6DDC5E32"/>
    <w:multiLevelType w:val="hybridMultilevel"/>
    <w:tmpl w:val="7E9A65D0"/>
    <w:lvl w:ilvl="0" w:tplc="2A92AFB8">
      <w:start w:val="1"/>
      <w:numFmt w:val="decimal"/>
      <w:lvlText w:val="%1."/>
      <w:lvlJc w:val="left"/>
      <w:pPr>
        <w:tabs>
          <w:tab w:val="num" w:pos="1710"/>
        </w:tabs>
        <w:ind w:left="1710" w:hanging="576"/>
      </w:pPr>
      <w:rPr>
        <w:rFonts w:cs="Times New Roman"/>
        <w:color w:val="auto"/>
      </w:rPr>
    </w:lvl>
    <w:lvl w:ilvl="1" w:tplc="0B1C8860">
      <w:start w:val="1"/>
      <w:numFmt w:val="decimal"/>
      <w:lvlText w:val="(%2)"/>
      <w:lvlJc w:val="left"/>
      <w:pPr>
        <w:tabs>
          <w:tab w:val="num" w:pos="2574"/>
        </w:tabs>
        <w:ind w:left="2574" w:hanging="720"/>
      </w:pPr>
      <w:rPr>
        <w:rFonts w:cs="Times New Roman"/>
        <w:sz w:val="20"/>
        <w:szCs w:val="20"/>
      </w:rPr>
    </w:lvl>
    <w:lvl w:ilvl="2" w:tplc="0409001B">
      <w:start w:val="1"/>
      <w:numFmt w:val="lowerRoman"/>
      <w:lvlText w:val="%3."/>
      <w:lvlJc w:val="right"/>
      <w:pPr>
        <w:tabs>
          <w:tab w:val="num" w:pos="2934"/>
        </w:tabs>
        <w:ind w:left="2934" w:hanging="180"/>
      </w:pPr>
      <w:rPr>
        <w:rFonts w:cs="Times New Roman"/>
      </w:rPr>
    </w:lvl>
    <w:lvl w:ilvl="3" w:tplc="0409000F">
      <w:start w:val="1"/>
      <w:numFmt w:val="decimal"/>
      <w:lvlText w:val="%4."/>
      <w:lvlJc w:val="left"/>
      <w:pPr>
        <w:tabs>
          <w:tab w:val="num" w:pos="3654"/>
        </w:tabs>
        <w:ind w:left="3654" w:hanging="360"/>
      </w:pPr>
      <w:rPr>
        <w:rFonts w:cs="Times New Roman"/>
      </w:rPr>
    </w:lvl>
    <w:lvl w:ilvl="4" w:tplc="04090019">
      <w:start w:val="1"/>
      <w:numFmt w:val="lowerLetter"/>
      <w:lvlText w:val="%5."/>
      <w:lvlJc w:val="left"/>
      <w:pPr>
        <w:tabs>
          <w:tab w:val="num" w:pos="4374"/>
        </w:tabs>
        <w:ind w:left="4374" w:hanging="360"/>
      </w:pPr>
      <w:rPr>
        <w:rFonts w:cs="Times New Roman"/>
      </w:rPr>
    </w:lvl>
    <w:lvl w:ilvl="5" w:tplc="0409001B">
      <w:start w:val="1"/>
      <w:numFmt w:val="lowerRoman"/>
      <w:lvlText w:val="%6."/>
      <w:lvlJc w:val="right"/>
      <w:pPr>
        <w:tabs>
          <w:tab w:val="num" w:pos="5094"/>
        </w:tabs>
        <w:ind w:left="5094" w:hanging="180"/>
      </w:pPr>
      <w:rPr>
        <w:rFonts w:cs="Times New Roman"/>
      </w:rPr>
    </w:lvl>
    <w:lvl w:ilvl="6" w:tplc="0409000F">
      <w:start w:val="1"/>
      <w:numFmt w:val="decimal"/>
      <w:lvlText w:val="%7."/>
      <w:lvlJc w:val="left"/>
      <w:pPr>
        <w:tabs>
          <w:tab w:val="num" w:pos="5814"/>
        </w:tabs>
        <w:ind w:left="5814" w:hanging="360"/>
      </w:pPr>
      <w:rPr>
        <w:rFonts w:cs="Times New Roman"/>
      </w:rPr>
    </w:lvl>
    <w:lvl w:ilvl="7" w:tplc="04090019">
      <w:start w:val="1"/>
      <w:numFmt w:val="lowerLetter"/>
      <w:lvlText w:val="%8."/>
      <w:lvlJc w:val="left"/>
      <w:pPr>
        <w:tabs>
          <w:tab w:val="num" w:pos="6534"/>
        </w:tabs>
        <w:ind w:left="6534" w:hanging="360"/>
      </w:pPr>
      <w:rPr>
        <w:rFonts w:cs="Times New Roman"/>
      </w:rPr>
    </w:lvl>
    <w:lvl w:ilvl="8" w:tplc="0409001B">
      <w:start w:val="1"/>
      <w:numFmt w:val="lowerRoman"/>
      <w:lvlText w:val="%9."/>
      <w:lvlJc w:val="right"/>
      <w:pPr>
        <w:tabs>
          <w:tab w:val="num" w:pos="7254"/>
        </w:tabs>
        <w:ind w:left="7254" w:hanging="180"/>
      </w:pPr>
      <w:rPr>
        <w:rFonts w:cs="Times New Roman"/>
      </w:rPr>
    </w:lvl>
  </w:abstractNum>
  <w:abstractNum w:abstractNumId="44" w15:restartNumberingAfterBreak="0">
    <w:nsid w:val="6F2F2EA3"/>
    <w:multiLevelType w:val="hybridMultilevel"/>
    <w:tmpl w:val="F882440A"/>
    <w:lvl w:ilvl="0" w:tplc="0B12FA6E">
      <w:start w:val="1"/>
      <w:numFmt w:val="lowerLetter"/>
      <w:lvlText w:val="(%1)"/>
      <w:lvlJc w:val="left"/>
      <w:pPr>
        <w:ind w:left="1494" w:hanging="360"/>
      </w:pPr>
      <w:rPr>
        <w:rFonts w:cs="Times New Roman" w:hint="default"/>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45" w15:restartNumberingAfterBreak="0">
    <w:nsid w:val="6F4333DB"/>
    <w:multiLevelType w:val="hybridMultilevel"/>
    <w:tmpl w:val="46AA6E7A"/>
    <w:lvl w:ilvl="0" w:tplc="1804B5D6">
      <w:start w:val="1"/>
      <w:numFmt w:val="lowerLetter"/>
      <w:lvlText w:val="(%1)"/>
      <w:lvlJc w:val="left"/>
      <w:pPr>
        <w:ind w:left="2154" w:hanging="465"/>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46" w15:restartNumberingAfterBreak="0">
    <w:nsid w:val="754C31FC"/>
    <w:multiLevelType w:val="hybridMultilevel"/>
    <w:tmpl w:val="B01A6ABA"/>
    <w:lvl w:ilvl="0" w:tplc="27880EF4">
      <w:start w:val="3"/>
      <w:numFmt w:val="lowerRoman"/>
      <w:lvlText w:val="(%1)"/>
      <w:lvlJc w:val="left"/>
      <w:pPr>
        <w:tabs>
          <w:tab w:val="num" w:pos="2717"/>
        </w:tabs>
        <w:ind w:left="2717" w:hanging="720"/>
      </w:pPr>
      <w:rPr>
        <w:rFonts w:cs="Times New Roman" w:hint="default"/>
        <w:sz w:val="20"/>
        <w:szCs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047158"/>
    <w:multiLevelType w:val="hybridMultilevel"/>
    <w:tmpl w:val="7E9A65D0"/>
    <w:lvl w:ilvl="0" w:tplc="2A92AFB8">
      <w:start w:val="1"/>
      <w:numFmt w:val="decimal"/>
      <w:lvlText w:val="%1."/>
      <w:lvlJc w:val="left"/>
      <w:pPr>
        <w:tabs>
          <w:tab w:val="num" w:pos="1710"/>
        </w:tabs>
        <w:ind w:left="1710" w:hanging="576"/>
      </w:pPr>
      <w:rPr>
        <w:rFonts w:cs="Times New Roman"/>
        <w:color w:val="auto"/>
      </w:rPr>
    </w:lvl>
    <w:lvl w:ilvl="1" w:tplc="0B1C8860">
      <w:start w:val="1"/>
      <w:numFmt w:val="decimal"/>
      <w:lvlText w:val="(%2)"/>
      <w:lvlJc w:val="left"/>
      <w:pPr>
        <w:tabs>
          <w:tab w:val="num" w:pos="2574"/>
        </w:tabs>
        <w:ind w:left="2574" w:hanging="720"/>
      </w:pPr>
      <w:rPr>
        <w:rFonts w:cs="Times New Roman"/>
        <w:sz w:val="20"/>
        <w:szCs w:val="20"/>
      </w:rPr>
    </w:lvl>
    <w:lvl w:ilvl="2" w:tplc="0409001B">
      <w:start w:val="1"/>
      <w:numFmt w:val="lowerRoman"/>
      <w:lvlText w:val="%3."/>
      <w:lvlJc w:val="right"/>
      <w:pPr>
        <w:tabs>
          <w:tab w:val="num" w:pos="2934"/>
        </w:tabs>
        <w:ind w:left="2934" w:hanging="180"/>
      </w:pPr>
      <w:rPr>
        <w:rFonts w:cs="Times New Roman"/>
      </w:rPr>
    </w:lvl>
    <w:lvl w:ilvl="3" w:tplc="0409000F">
      <w:start w:val="1"/>
      <w:numFmt w:val="decimal"/>
      <w:lvlText w:val="%4."/>
      <w:lvlJc w:val="left"/>
      <w:pPr>
        <w:tabs>
          <w:tab w:val="num" w:pos="3654"/>
        </w:tabs>
        <w:ind w:left="3654" w:hanging="360"/>
      </w:pPr>
      <w:rPr>
        <w:rFonts w:cs="Times New Roman"/>
      </w:rPr>
    </w:lvl>
    <w:lvl w:ilvl="4" w:tplc="04090019">
      <w:start w:val="1"/>
      <w:numFmt w:val="lowerLetter"/>
      <w:lvlText w:val="%5."/>
      <w:lvlJc w:val="left"/>
      <w:pPr>
        <w:tabs>
          <w:tab w:val="num" w:pos="4374"/>
        </w:tabs>
        <w:ind w:left="4374" w:hanging="360"/>
      </w:pPr>
      <w:rPr>
        <w:rFonts w:cs="Times New Roman"/>
      </w:rPr>
    </w:lvl>
    <w:lvl w:ilvl="5" w:tplc="0409001B">
      <w:start w:val="1"/>
      <w:numFmt w:val="lowerRoman"/>
      <w:lvlText w:val="%6."/>
      <w:lvlJc w:val="right"/>
      <w:pPr>
        <w:tabs>
          <w:tab w:val="num" w:pos="5094"/>
        </w:tabs>
        <w:ind w:left="5094" w:hanging="180"/>
      </w:pPr>
      <w:rPr>
        <w:rFonts w:cs="Times New Roman"/>
      </w:rPr>
    </w:lvl>
    <w:lvl w:ilvl="6" w:tplc="0409000F">
      <w:start w:val="1"/>
      <w:numFmt w:val="decimal"/>
      <w:lvlText w:val="%7."/>
      <w:lvlJc w:val="left"/>
      <w:pPr>
        <w:tabs>
          <w:tab w:val="num" w:pos="5814"/>
        </w:tabs>
        <w:ind w:left="5814" w:hanging="360"/>
      </w:pPr>
      <w:rPr>
        <w:rFonts w:cs="Times New Roman"/>
      </w:rPr>
    </w:lvl>
    <w:lvl w:ilvl="7" w:tplc="04090019">
      <w:start w:val="1"/>
      <w:numFmt w:val="lowerLetter"/>
      <w:lvlText w:val="%8."/>
      <w:lvlJc w:val="left"/>
      <w:pPr>
        <w:tabs>
          <w:tab w:val="num" w:pos="6534"/>
        </w:tabs>
        <w:ind w:left="6534" w:hanging="360"/>
      </w:pPr>
      <w:rPr>
        <w:rFonts w:cs="Times New Roman"/>
      </w:rPr>
    </w:lvl>
    <w:lvl w:ilvl="8" w:tplc="0409001B">
      <w:start w:val="1"/>
      <w:numFmt w:val="lowerRoman"/>
      <w:lvlText w:val="%9."/>
      <w:lvlJc w:val="right"/>
      <w:pPr>
        <w:tabs>
          <w:tab w:val="num" w:pos="7254"/>
        </w:tabs>
        <w:ind w:left="7254" w:hanging="180"/>
      </w:pPr>
      <w:rPr>
        <w:rFonts w:cs="Times New Roman"/>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6"/>
  </w:num>
  <w:num w:numId="7">
    <w:abstractNumId w:val="8"/>
  </w:num>
  <w:num w:numId="8">
    <w:abstractNumId w:val="22"/>
  </w:num>
  <w:num w:numId="9">
    <w:abstractNumId w:val="29"/>
  </w:num>
  <w:num w:numId="10">
    <w:abstractNumId w:val="29"/>
    <w:lvlOverride w:ilvl="0">
      <w:lvl w:ilvl="0" w:tplc="2A92AFB8">
        <w:start w:val="1"/>
        <w:numFmt w:val="decimal"/>
        <w:lvlText w:val="(%1)"/>
        <w:lvlJc w:val="left"/>
        <w:pPr>
          <w:tabs>
            <w:tab w:val="num" w:pos="2574"/>
          </w:tabs>
          <w:ind w:left="2574" w:hanging="720"/>
        </w:pPr>
        <w:rPr>
          <w:rFonts w:cs="Times New Roman" w:hint="default"/>
          <w:sz w:val="20"/>
          <w:szCs w:val="20"/>
        </w:rPr>
      </w:lvl>
    </w:lvlOverride>
    <w:lvlOverride w:ilvl="1">
      <w:lvl w:ilvl="1" w:tplc="C1EABD7C">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11">
    <w:abstractNumId w:val="5"/>
  </w:num>
  <w:num w:numId="12">
    <w:abstractNumId w:val="39"/>
  </w:num>
  <w:num w:numId="13">
    <w:abstractNumId w:val="2"/>
  </w:num>
  <w:num w:numId="14">
    <w:abstractNumId w:val="43"/>
  </w:num>
  <w:num w:numId="15">
    <w:abstractNumId w:val="47"/>
  </w:num>
  <w:num w:numId="16">
    <w:abstractNumId w:val="28"/>
  </w:num>
  <w:num w:numId="17">
    <w:abstractNumId w:val="31"/>
  </w:num>
  <w:num w:numId="18">
    <w:abstractNumId w:val="0"/>
  </w:num>
  <w:num w:numId="19">
    <w:abstractNumId w:val="13"/>
  </w:num>
  <w:num w:numId="20">
    <w:abstractNumId w:val="48"/>
  </w:num>
  <w:num w:numId="21">
    <w:abstractNumId w:val="19"/>
  </w:num>
  <w:num w:numId="22">
    <w:abstractNumId w:val="24"/>
  </w:num>
  <w:num w:numId="23">
    <w:abstractNumId w:val="1"/>
  </w:num>
  <w:num w:numId="24">
    <w:abstractNumId w:val="4"/>
  </w:num>
  <w:num w:numId="25">
    <w:abstractNumId w:val="41"/>
  </w:num>
  <w:num w:numId="26">
    <w:abstractNumId w:val="34"/>
  </w:num>
  <w:num w:numId="27">
    <w:abstractNumId w:val="10"/>
  </w:num>
  <w:num w:numId="28">
    <w:abstractNumId w:val="30"/>
  </w:num>
  <w:num w:numId="29">
    <w:abstractNumId w:val="6"/>
  </w:num>
  <w:num w:numId="30">
    <w:abstractNumId w:val="9"/>
  </w:num>
  <w:num w:numId="31">
    <w:abstractNumId w:val="14"/>
  </w:num>
  <w:num w:numId="32">
    <w:abstractNumId w:val="3"/>
  </w:num>
  <w:num w:numId="33">
    <w:abstractNumId w:val="33"/>
  </w:num>
  <w:num w:numId="34">
    <w:abstractNumId w:val="27"/>
  </w:num>
  <w:num w:numId="35">
    <w:abstractNumId w:val="44"/>
  </w:num>
  <w:num w:numId="36">
    <w:abstractNumId w:val="42"/>
  </w:num>
  <w:num w:numId="37">
    <w:abstractNumId w:val="46"/>
  </w:num>
  <w:num w:numId="38">
    <w:abstractNumId w:val="15"/>
  </w:num>
  <w:num w:numId="39">
    <w:abstractNumId w:val="11"/>
  </w:num>
  <w:num w:numId="40">
    <w:abstractNumId w:val="21"/>
  </w:num>
  <w:num w:numId="41">
    <w:abstractNumId w:val="23"/>
  </w:num>
  <w:num w:numId="42">
    <w:abstractNumId w:val="25"/>
  </w:num>
  <w:num w:numId="43">
    <w:abstractNumId w:val="26"/>
  </w:num>
  <w:num w:numId="44">
    <w:abstractNumId w:val="16"/>
  </w:num>
  <w:num w:numId="45">
    <w:abstractNumId w:val="7"/>
  </w:num>
  <w:num w:numId="46">
    <w:abstractNumId w:val="45"/>
  </w:num>
  <w:num w:numId="47">
    <w:abstractNumId w:val="37"/>
  </w:num>
  <w:num w:numId="48">
    <w:abstractNumId w:val="38"/>
  </w:num>
  <w:num w:numId="49">
    <w:abstractNumId w:val="18"/>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D7D"/>
    <w:rsid w:val="00000A7A"/>
    <w:rsid w:val="00000DCB"/>
    <w:rsid w:val="00002515"/>
    <w:rsid w:val="00003C7C"/>
    <w:rsid w:val="00004C7C"/>
    <w:rsid w:val="00012AEB"/>
    <w:rsid w:val="000130D6"/>
    <w:rsid w:val="0001339A"/>
    <w:rsid w:val="00014D41"/>
    <w:rsid w:val="00020D10"/>
    <w:rsid w:val="00021348"/>
    <w:rsid w:val="00022295"/>
    <w:rsid w:val="00024187"/>
    <w:rsid w:val="00024449"/>
    <w:rsid w:val="000256A8"/>
    <w:rsid w:val="000261A5"/>
    <w:rsid w:val="000261A9"/>
    <w:rsid w:val="0003037D"/>
    <w:rsid w:val="00031AC0"/>
    <w:rsid w:val="00032655"/>
    <w:rsid w:val="000336F4"/>
    <w:rsid w:val="00033A1B"/>
    <w:rsid w:val="000352AC"/>
    <w:rsid w:val="000414EF"/>
    <w:rsid w:val="00042A29"/>
    <w:rsid w:val="00042EA9"/>
    <w:rsid w:val="0004333D"/>
    <w:rsid w:val="00043D8B"/>
    <w:rsid w:val="00044575"/>
    <w:rsid w:val="0004602C"/>
    <w:rsid w:val="00046D10"/>
    <w:rsid w:val="00050C82"/>
    <w:rsid w:val="00051104"/>
    <w:rsid w:val="00052C04"/>
    <w:rsid w:val="0005490B"/>
    <w:rsid w:val="00055E7B"/>
    <w:rsid w:val="00061A6D"/>
    <w:rsid w:val="0006405C"/>
    <w:rsid w:val="0006508B"/>
    <w:rsid w:val="0006723B"/>
    <w:rsid w:val="00071A1D"/>
    <w:rsid w:val="00071D4C"/>
    <w:rsid w:val="00072A1A"/>
    <w:rsid w:val="0007374D"/>
    <w:rsid w:val="000754DA"/>
    <w:rsid w:val="00076084"/>
    <w:rsid w:val="00077F25"/>
    <w:rsid w:val="00081424"/>
    <w:rsid w:val="000824C4"/>
    <w:rsid w:val="0008310C"/>
    <w:rsid w:val="00083AE2"/>
    <w:rsid w:val="0008498C"/>
    <w:rsid w:val="00084E3D"/>
    <w:rsid w:val="00086E5B"/>
    <w:rsid w:val="00087D27"/>
    <w:rsid w:val="000901DB"/>
    <w:rsid w:val="0009113C"/>
    <w:rsid w:val="00091333"/>
    <w:rsid w:val="00092120"/>
    <w:rsid w:val="00093B71"/>
    <w:rsid w:val="000943BA"/>
    <w:rsid w:val="0009557C"/>
    <w:rsid w:val="0009677F"/>
    <w:rsid w:val="00096ADE"/>
    <w:rsid w:val="00097989"/>
    <w:rsid w:val="000A0109"/>
    <w:rsid w:val="000A0331"/>
    <w:rsid w:val="000A157C"/>
    <w:rsid w:val="000A3C38"/>
    <w:rsid w:val="000B0894"/>
    <w:rsid w:val="000B2D69"/>
    <w:rsid w:val="000B302A"/>
    <w:rsid w:val="000B3D2F"/>
    <w:rsid w:val="000B48AE"/>
    <w:rsid w:val="000B5375"/>
    <w:rsid w:val="000C079C"/>
    <w:rsid w:val="000C0D85"/>
    <w:rsid w:val="000C2EAF"/>
    <w:rsid w:val="000C4813"/>
    <w:rsid w:val="000C7374"/>
    <w:rsid w:val="000D28E7"/>
    <w:rsid w:val="000D3457"/>
    <w:rsid w:val="000D4E73"/>
    <w:rsid w:val="000D65D2"/>
    <w:rsid w:val="000D7E75"/>
    <w:rsid w:val="000E0BEE"/>
    <w:rsid w:val="000E20F2"/>
    <w:rsid w:val="000E2A21"/>
    <w:rsid w:val="000E2B54"/>
    <w:rsid w:val="000E3C10"/>
    <w:rsid w:val="000E4D20"/>
    <w:rsid w:val="000E4DF4"/>
    <w:rsid w:val="000E6FD6"/>
    <w:rsid w:val="000E7523"/>
    <w:rsid w:val="000F0FC3"/>
    <w:rsid w:val="000F1476"/>
    <w:rsid w:val="000F1B7A"/>
    <w:rsid w:val="000F2392"/>
    <w:rsid w:val="000F5412"/>
    <w:rsid w:val="000F5447"/>
    <w:rsid w:val="000F5674"/>
    <w:rsid w:val="000F683E"/>
    <w:rsid w:val="000F769C"/>
    <w:rsid w:val="000F77B6"/>
    <w:rsid w:val="000F7B81"/>
    <w:rsid w:val="0010023D"/>
    <w:rsid w:val="0010076C"/>
    <w:rsid w:val="0010095C"/>
    <w:rsid w:val="00100CF8"/>
    <w:rsid w:val="00103167"/>
    <w:rsid w:val="001031B0"/>
    <w:rsid w:val="00104BF4"/>
    <w:rsid w:val="00107646"/>
    <w:rsid w:val="00107FBA"/>
    <w:rsid w:val="00110364"/>
    <w:rsid w:val="00110709"/>
    <w:rsid w:val="001108C1"/>
    <w:rsid w:val="001111B3"/>
    <w:rsid w:val="00111F23"/>
    <w:rsid w:val="00112048"/>
    <w:rsid w:val="0011327C"/>
    <w:rsid w:val="0011422D"/>
    <w:rsid w:val="0011589C"/>
    <w:rsid w:val="001158D1"/>
    <w:rsid w:val="00116C86"/>
    <w:rsid w:val="0012106E"/>
    <w:rsid w:val="00122C00"/>
    <w:rsid w:val="00123ADE"/>
    <w:rsid w:val="00124413"/>
    <w:rsid w:val="001254F3"/>
    <w:rsid w:val="00125B72"/>
    <w:rsid w:val="00125DC6"/>
    <w:rsid w:val="00125E1D"/>
    <w:rsid w:val="00126528"/>
    <w:rsid w:val="0012672F"/>
    <w:rsid w:val="001304BE"/>
    <w:rsid w:val="00133C47"/>
    <w:rsid w:val="00133F1E"/>
    <w:rsid w:val="0013549C"/>
    <w:rsid w:val="00136A0F"/>
    <w:rsid w:val="00144ADD"/>
    <w:rsid w:val="00151C3E"/>
    <w:rsid w:val="00152173"/>
    <w:rsid w:val="00155A84"/>
    <w:rsid w:val="00156AA5"/>
    <w:rsid w:val="00157400"/>
    <w:rsid w:val="001604DD"/>
    <w:rsid w:val="00163096"/>
    <w:rsid w:val="00163D6F"/>
    <w:rsid w:val="00163F39"/>
    <w:rsid w:val="00164022"/>
    <w:rsid w:val="0016715B"/>
    <w:rsid w:val="001704C0"/>
    <w:rsid w:val="001708D0"/>
    <w:rsid w:val="0017168A"/>
    <w:rsid w:val="00173D51"/>
    <w:rsid w:val="00175C7F"/>
    <w:rsid w:val="00175DC0"/>
    <w:rsid w:val="001774CE"/>
    <w:rsid w:val="00181D27"/>
    <w:rsid w:val="00184DCA"/>
    <w:rsid w:val="00185924"/>
    <w:rsid w:val="00186D4E"/>
    <w:rsid w:val="00191002"/>
    <w:rsid w:val="00191325"/>
    <w:rsid w:val="00192965"/>
    <w:rsid w:val="0019452B"/>
    <w:rsid w:val="00194E11"/>
    <w:rsid w:val="00195698"/>
    <w:rsid w:val="00195DCD"/>
    <w:rsid w:val="001965BF"/>
    <w:rsid w:val="00197083"/>
    <w:rsid w:val="001A0B3F"/>
    <w:rsid w:val="001A1404"/>
    <w:rsid w:val="001A14CB"/>
    <w:rsid w:val="001A1D05"/>
    <w:rsid w:val="001A1FD1"/>
    <w:rsid w:val="001A217F"/>
    <w:rsid w:val="001A334E"/>
    <w:rsid w:val="001A367B"/>
    <w:rsid w:val="001A4F0E"/>
    <w:rsid w:val="001A6A14"/>
    <w:rsid w:val="001B233C"/>
    <w:rsid w:val="001B330F"/>
    <w:rsid w:val="001B3EBD"/>
    <w:rsid w:val="001B4347"/>
    <w:rsid w:val="001B5224"/>
    <w:rsid w:val="001B5EE4"/>
    <w:rsid w:val="001B653C"/>
    <w:rsid w:val="001B6DB4"/>
    <w:rsid w:val="001B6DF6"/>
    <w:rsid w:val="001C13DF"/>
    <w:rsid w:val="001C21C5"/>
    <w:rsid w:val="001C3D10"/>
    <w:rsid w:val="001C527A"/>
    <w:rsid w:val="001C76EA"/>
    <w:rsid w:val="001D0A8D"/>
    <w:rsid w:val="001D249A"/>
    <w:rsid w:val="001D25A7"/>
    <w:rsid w:val="001D3584"/>
    <w:rsid w:val="001D3C17"/>
    <w:rsid w:val="001D3ED3"/>
    <w:rsid w:val="001D4106"/>
    <w:rsid w:val="001D5293"/>
    <w:rsid w:val="001D54C7"/>
    <w:rsid w:val="001D5CB4"/>
    <w:rsid w:val="001D7273"/>
    <w:rsid w:val="001E058E"/>
    <w:rsid w:val="001E1B53"/>
    <w:rsid w:val="001E2C33"/>
    <w:rsid w:val="001E2FB7"/>
    <w:rsid w:val="001E367C"/>
    <w:rsid w:val="001E411C"/>
    <w:rsid w:val="001E5494"/>
    <w:rsid w:val="001E5D37"/>
    <w:rsid w:val="001F2A83"/>
    <w:rsid w:val="001F4C5C"/>
    <w:rsid w:val="001F4CAD"/>
    <w:rsid w:val="001F4EF0"/>
    <w:rsid w:val="001F634B"/>
    <w:rsid w:val="001F7248"/>
    <w:rsid w:val="002012AC"/>
    <w:rsid w:val="00201CE4"/>
    <w:rsid w:val="00202EC6"/>
    <w:rsid w:val="002032E3"/>
    <w:rsid w:val="00205C43"/>
    <w:rsid w:val="002070D0"/>
    <w:rsid w:val="00207574"/>
    <w:rsid w:val="0021007C"/>
    <w:rsid w:val="002103FF"/>
    <w:rsid w:val="0021078E"/>
    <w:rsid w:val="0021146E"/>
    <w:rsid w:val="00212C37"/>
    <w:rsid w:val="00217602"/>
    <w:rsid w:val="00217B0A"/>
    <w:rsid w:val="002208EB"/>
    <w:rsid w:val="00222566"/>
    <w:rsid w:val="002235E8"/>
    <w:rsid w:val="002239AE"/>
    <w:rsid w:val="00224185"/>
    <w:rsid w:val="002249C2"/>
    <w:rsid w:val="00224EAC"/>
    <w:rsid w:val="00233A79"/>
    <w:rsid w:val="00235F17"/>
    <w:rsid w:val="00236FB5"/>
    <w:rsid w:val="002372D8"/>
    <w:rsid w:val="002401B0"/>
    <w:rsid w:val="0024040F"/>
    <w:rsid w:val="00243A42"/>
    <w:rsid w:val="00244F58"/>
    <w:rsid w:val="00246B69"/>
    <w:rsid w:val="00247807"/>
    <w:rsid w:val="0025095C"/>
    <w:rsid w:val="002509A4"/>
    <w:rsid w:val="002514AF"/>
    <w:rsid w:val="00251F66"/>
    <w:rsid w:val="002528C6"/>
    <w:rsid w:val="0025309E"/>
    <w:rsid w:val="0026131E"/>
    <w:rsid w:val="00261E91"/>
    <w:rsid w:val="00261E97"/>
    <w:rsid w:val="00262D94"/>
    <w:rsid w:val="0026432C"/>
    <w:rsid w:val="0026447D"/>
    <w:rsid w:val="00264BDA"/>
    <w:rsid w:val="00270F74"/>
    <w:rsid w:val="0027255A"/>
    <w:rsid w:val="00273666"/>
    <w:rsid w:val="00274DDE"/>
    <w:rsid w:val="002759CF"/>
    <w:rsid w:val="00275DD0"/>
    <w:rsid w:val="0027609D"/>
    <w:rsid w:val="002806D4"/>
    <w:rsid w:val="002835E5"/>
    <w:rsid w:val="002839FC"/>
    <w:rsid w:val="002846A4"/>
    <w:rsid w:val="002846D1"/>
    <w:rsid w:val="00284F63"/>
    <w:rsid w:val="002859BE"/>
    <w:rsid w:val="00290F63"/>
    <w:rsid w:val="00292281"/>
    <w:rsid w:val="00293B68"/>
    <w:rsid w:val="00293CC5"/>
    <w:rsid w:val="00295F13"/>
    <w:rsid w:val="00296805"/>
    <w:rsid w:val="00297CC9"/>
    <w:rsid w:val="002A45C1"/>
    <w:rsid w:val="002A553D"/>
    <w:rsid w:val="002A65AE"/>
    <w:rsid w:val="002A7814"/>
    <w:rsid w:val="002B1194"/>
    <w:rsid w:val="002B2307"/>
    <w:rsid w:val="002B3600"/>
    <w:rsid w:val="002B3649"/>
    <w:rsid w:val="002B4877"/>
    <w:rsid w:val="002B55B9"/>
    <w:rsid w:val="002B583C"/>
    <w:rsid w:val="002B5AD2"/>
    <w:rsid w:val="002B64B5"/>
    <w:rsid w:val="002B659B"/>
    <w:rsid w:val="002B7A02"/>
    <w:rsid w:val="002C19E0"/>
    <w:rsid w:val="002C29C7"/>
    <w:rsid w:val="002C3113"/>
    <w:rsid w:val="002C7224"/>
    <w:rsid w:val="002D1E57"/>
    <w:rsid w:val="002D24A4"/>
    <w:rsid w:val="002D3281"/>
    <w:rsid w:val="002D6024"/>
    <w:rsid w:val="002D74F0"/>
    <w:rsid w:val="002D760E"/>
    <w:rsid w:val="002D7F97"/>
    <w:rsid w:val="002E0E00"/>
    <w:rsid w:val="002E24A8"/>
    <w:rsid w:val="002E305F"/>
    <w:rsid w:val="002E3527"/>
    <w:rsid w:val="002E61A6"/>
    <w:rsid w:val="002E633C"/>
    <w:rsid w:val="002F0F01"/>
    <w:rsid w:val="002F3AC8"/>
    <w:rsid w:val="002F702B"/>
    <w:rsid w:val="00300081"/>
    <w:rsid w:val="0030064D"/>
    <w:rsid w:val="00302672"/>
    <w:rsid w:val="00304D45"/>
    <w:rsid w:val="00304E1F"/>
    <w:rsid w:val="0030784C"/>
    <w:rsid w:val="00310C9B"/>
    <w:rsid w:val="00310D49"/>
    <w:rsid w:val="00311664"/>
    <w:rsid w:val="003119A8"/>
    <w:rsid w:val="003129B6"/>
    <w:rsid w:val="003144E4"/>
    <w:rsid w:val="0031564F"/>
    <w:rsid w:val="00320C85"/>
    <w:rsid w:val="00321124"/>
    <w:rsid w:val="00322CB9"/>
    <w:rsid w:val="00324069"/>
    <w:rsid w:val="00324BE7"/>
    <w:rsid w:val="00325DF8"/>
    <w:rsid w:val="003272B2"/>
    <w:rsid w:val="00330167"/>
    <w:rsid w:val="003310D9"/>
    <w:rsid w:val="00340646"/>
    <w:rsid w:val="003414AD"/>
    <w:rsid w:val="003417C6"/>
    <w:rsid w:val="00341B72"/>
    <w:rsid w:val="00342375"/>
    <w:rsid w:val="003424CB"/>
    <w:rsid w:val="00342E3D"/>
    <w:rsid w:val="00347B94"/>
    <w:rsid w:val="0035362F"/>
    <w:rsid w:val="00353AF7"/>
    <w:rsid w:val="00355A51"/>
    <w:rsid w:val="003574A4"/>
    <w:rsid w:val="00360AFA"/>
    <w:rsid w:val="00361AAE"/>
    <w:rsid w:val="0036205D"/>
    <w:rsid w:val="003621FA"/>
    <w:rsid w:val="00364BE7"/>
    <w:rsid w:val="00365418"/>
    <w:rsid w:val="00367AC2"/>
    <w:rsid w:val="00367B76"/>
    <w:rsid w:val="00367E0B"/>
    <w:rsid w:val="00367EC2"/>
    <w:rsid w:val="00373667"/>
    <w:rsid w:val="00374D1F"/>
    <w:rsid w:val="00381E8A"/>
    <w:rsid w:val="00382DF2"/>
    <w:rsid w:val="00383AD7"/>
    <w:rsid w:val="003843BF"/>
    <w:rsid w:val="00387760"/>
    <w:rsid w:val="00390FAA"/>
    <w:rsid w:val="003914AC"/>
    <w:rsid w:val="00391B8F"/>
    <w:rsid w:val="00392A50"/>
    <w:rsid w:val="0039347E"/>
    <w:rsid w:val="00395EE8"/>
    <w:rsid w:val="00396B94"/>
    <w:rsid w:val="00397D8F"/>
    <w:rsid w:val="00397FAA"/>
    <w:rsid w:val="003A1838"/>
    <w:rsid w:val="003A2E58"/>
    <w:rsid w:val="003A531E"/>
    <w:rsid w:val="003A729B"/>
    <w:rsid w:val="003B0FAF"/>
    <w:rsid w:val="003B14F9"/>
    <w:rsid w:val="003B1ED2"/>
    <w:rsid w:val="003B20F2"/>
    <w:rsid w:val="003B32D1"/>
    <w:rsid w:val="003B3E94"/>
    <w:rsid w:val="003B5448"/>
    <w:rsid w:val="003B639B"/>
    <w:rsid w:val="003B7EBD"/>
    <w:rsid w:val="003C0606"/>
    <w:rsid w:val="003C2E6C"/>
    <w:rsid w:val="003C48A1"/>
    <w:rsid w:val="003C4EAE"/>
    <w:rsid w:val="003C5121"/>
    <w:rsid w:val="003C587E"/>
    <w:rsid w:val="003C7DDC"/>
    <w:rsid w:val="003D017F"/>
    <w:rsid w:val="003D0AB9"/>
    <w:rsid w:val="003D1CAF"/>
    <w:rsid w:val="003D1E29"/>
    <w:rsid w:val="003D5AC3"/>
    <w:rsid w:val="003D7EB1"/>
    <w:rsid w:val="003E0564"/>
    <w:rsid w:val="003E0AC9"/>
    <w:rsid w:val="003E1DD5"/>
    <w:rsid w:val="003E1F56"/>
    <w:rsid w:val="003E2A2F"/>
    <w:rsid w:val="003E59E6"/>
    <w:rsid w:val="003E5E23"/>
    <w:rsid w:val="003E7541"/>
    <w:rsid w:val="003F274E"/>
    <w:rsid w:val="003F318C"/>
    <w:rsid w:val="003F35A4"/>
    <w:rsid w:val="003F534A"/>
    <w:rsid w:val="003F5914"/>
    <w:rsid w:val="003F5E76"/>
    <w:rsid w:val="003F6F5A"/>
    <w:rsid w:val="004001C9"/>
    <w:rsid w:val="004016F9"/>
    <w:rsid w:val="0040277A"/>
    <w:rsid w:val="00403259"/>
    <w:rsid w:val="004054BA"/>
    <w:rsid w:val="004055AD"/>
    <w:rsid w:val="004056BD"/>
    <w:rsid w:val="004070AF"/>
    <w:rsid w:val="00412031"/>
    <w:rsid w:val="0041228C"/>
    <w:rsid w:val="00413790"/>
    <w:rsid w:val="00415723"/>
    <w:rsid w:val="00415AB0"/>
    <w:rsid w:val="00417109"/>
    <w:rsid w:val="004208E5"/>
    <w:rsid w:val="00420F23"/>
    <w:rsid w:val="00423109"/>
    <w:rsid w:val="00423391"/>
    <w:rsid w:val="00424D11"/>
    <w:rsid w:val="004278A4"/>
    <w:rsid w:val="004300BF"/>
    <w:rsid w:val="00430688"/>
    <w:rsid w:val="004313DB"/>
    <w:rsid w:val="0043569F"/>
    <w:rsid w:val="00437241"/>
    <w:rsid w:val="00441755"/>
    <w:rsid w:val="00441AAD"/>
    <w:rsid w:val="004421E7"/>
    <w:rsid w:val="004446C2"/>
    <w:rsid w:val="0044481C"/>
    <w:rsid w:val="00445F62"/>
    <w:rsid w:val="00446F4D"/>
    <w:rsid w:val="00447186"/>
    <w:rsid w:val="00447B9A"/>
    <w:rsid w:val="004516F1"/>
    <w:rsid w:val="004518EF"/>
    <w:rsid w:val="004545C3"/>
    <w:rsid w:val="004549C0"/>
    <w:rsid w:val="00454D2B"/>
    <w:rsid w:val="00457850"/>
    <w:rsid w:val="00460287"/>
    <w:rsid w:val="0046028A"/>
    <w:rsid w:val="00460B5A"/>
    <w:rsid w:val="00460D26"/>
    <w:rsid w:val="004618F2"/>
    <w:rsid w:val="00461F07"/>
    <w:rsid w:val="004642A6"/>
    <w:rsid w:val="00464BA6"/>
    <w:rsid w:val="00465451"/>
    <w:rsid w:val="00465CB3"/>
    <w:rsid w:val="00465FDF"/>
    <w:rsid w:val="0046680F"/>
    <w:rsid w:val="00467BEC"/>
    <w:rsid w:val="00470A1D"/>
    <w:rsid w:val="004718A1"/>
    <w:rsid w:val="00471CE4"/>
    <w:rsid w:val="00472199"/>
    <w:rsid w:val="0047245F"/>
    <w:rsid w:val="004724EA"/>
    <w:rsid w:val="004744F5"/>
    <w:rsid w:val="00474B5C"/>
    <w:rsid w:val="00475212"/>
    <w:rsid w:val="00475E90"/>
    <w:rsid w:val="00477131"/>
    <w:rsid w:val="00481405"/>
    <w:rsid w:val="00481B47"/>
    <w:rsid w:val="0048240F"/>
    <w:rsid w:val="00483D01"/>
    <w:rsid w:val="00484222"/>
    <w:rsid w:val="004900B9"/>
    <w:rsid w:val="00492D35"/>
    <w:rsid w:val="004940AB"/>
    <w:rsid w:val="004950BA"/>
    <w:rsid w:val="00495CEA"/>
    <w:rsid w:val="004A0388"/>
    <w:rsid w:val="004A1FC7"/>
    <w:rsid w:val="004A206D"/>
    <w:rsid w:val="004A21DE"/>
    <w:rsid w:val="004A2533"/>
    <w:rsid w:val="004A2ABD"/>
    <w:rsid w:val="004A2DE9"/>
    <w:rsid w:val="004A2EC1"/>
    <w:rsid w:val="004A3AC4"/>
    <w:rsid w:val="004A3C35"/>
    <w:rsid w:val="004A3F53"/>
    <w:rsid w:val="004A4AAC"/>
    <w:rsid w:val="004B239B"/>
    <w:rsid w:val="004B6B44"/>
    <w:rsid w:val="004C02F4"/>
    <w:rsid w:val="004C061D"/>
    <w:rsid w:val="004C0F1B"/>
    <w:rsid w:val="004C36C4"/>
    <w:rsid w:val="004C4C85"/>
    <w:rsid w:val="004D08C7"/>
    <w:rsid w:val="004D58AF"/>
    <w:rsid w:val="004D6592"/>
    <w:rsid w:val="004E0B02"/>
    <w:rsid w:val="004E2DA4"/>
    <w:rsid w:val="004E4043"/>
    <w:rsid w:val="004E4363"/>
    <w:rsid w:val="004E5C45"/>
    <w:rsid w:val="004E62F8"/>
    <w:rsid w:val="004E7360"/>
    <w:rsid w:val="004E7C4D"/>
    <w:rsid w:val="004F0574"/>
    <w:rsid w:val="004F0F07"/>
    <w:rsid w:val="004F18D0"/>
    <w:rsid w:val="004F19BD"/>
    <w:rsid w:val="004F1A7A"/>
    <w:rsid w:val="004F3D2B"/>
    <w:rsid w:val="004F519B"/>
    <w:rsid w:val="004F5361"/>
    <w:rsid w:val="004F5E50"/>
    <w:rsid w:val="004F6F32"/>
    <w:rsid w:val="004F76A6"/>
    <w:rsid w:val="005006C6"/>
    <w:rsid w:val="00500897"/>
    <w:rsid w:val="00500EC8"/>
    <w:rsid w:val="00505A8F"/>
    <w:rsid w:val="00505B2A"/>
    <w:rsid w:val="00506000"/>
    <w:rsid w:val="00507ED9"/>
    <w:rsid w:val="00511257"/>
    <w:rsid w:val="00512905"/>
    <w:rsid w:val="00512CBD"/>
    <w:rsid w:val="00514358"/>
    <w:rsid w:val="0051471A"/>
    <w:rsid w:val="00514AEE"/>
    <w:rsid w:val="0051667F"/>
    <w:rsid w:val="00520ED4"/>
    <w:rsid w:val="00521CD2"/>
    <w:rsid w:val="0052265A"/>
    <w:rsid w:val="005229CB"/>
    <w:rsid w:val="00530773"/>
    <w:rsid w:val="00530D74"/>
    <w:rsid w:val="0053382B"/>
    <w:rsid w:val="005339FB"/>
    <w:rsid w:val="0053607F"/>
    <w:rsid w:val="005363E2"/>
    <w:rsid w:val="00536991"/>
    <w:rsid w:val="00541AF6"/>
    <w:rsid w:val="00541C92"/>
    <w:rsid w:val="00541E73"/>
    <w:rsid w:val="00543295"/>
    <w:rsid w:val="00543721"/>
    <w:rsid w:val="00543B13"/>
    <w:rsid w:val="005468F0"/>
    <w:rsid w:val="0054727C"/>
    <w:rsid w:val="00547A33"/>
    <w:rsid w:val="00547CAE"/>
    <w:rsid w:val="00550081"/>
    <w:rsid w:val="005514BB"/>
    <w:rsid w:val="0055387E"/>
    <w:rsid w:val="00555483"/>
    <w:rsid w:val="005556E9"/>
    <w:rsid w:val="00556DDE"/>
    <w:rsid w:val="00560210"/>
    <w:rsid w:val="00560396"/>
    <w:rsid w:val="00560D0B"/>
    <w:rsid w:val="00564DBF"/>
    <w:rsid w:val="00564EF8"/>
    <w:rsid w:val="00564FDA"/>
    <w:rsid w:val="00565138"/>
    <w:rsid w:val="005679F4"/>
    <w:rsid w:val="00570715"/>
    <w:rsid w:val="00575467"/>
    <w:rsid w:val="005803EE"/>
    <w:rsid w:val="00584FF9"/>
    <w:rsid w:val="00587021"/>
    <w:rsid w:val="00587B3D"/>
    <w:rsid w:val="00591EB7"/>
    <w:rsid w:val="00592419"/>
    <w:rsid w:val="00595130"/>
    <w:rsid w:val="00595B1B"/>
    <w:rsid w:val="005967B0"/>
    <w:rsid w:val="00596941"/>
    <w:rsid w:val="0059787A"/>
    <w:rsid w:val="005A3CCA"/>
    <w:rsid w:val="005A62DD"/>
    <w:rsid w:val="005A65D4"/>
    <w:rsid w:val="005B1BC4"/>
    <w:rsid w:val="005B1ED7"/>
    <w:rsid w:val="005B1F6F"/>
    <w:rsid w:val="005B2DF1"/>
    <w:rsid w:val="005B43DE"/>
    <w:rsid w:val="005B49A7"/>
    <w:rsid w:val="005B71F7"/>
    <w:rsid w:val="005C330E"/>
    <w:rsid w:val="005C3D6D"/>
    <w:rsid w:val="005C5515"/>
    <w:rsid w:val="005C6734"/>
    <w:rsid w:val="005C6B24"/>
    <w:rsid w:val="005C7533"/>
    <w:rsid w:val="005D0AFE"/>
    <w:rsid w:val="005D5342"/>
    <w:rsid w:val="005D654A"/>
    <w:rsid w:val="005D7FBF"/>
    <w:rsid w:val="005E0223"/>
    <w:rsid w:val="005E0BC3"/>
    <w:rsid w:val="005E3EF7"/>
    <w:rsid w:val="005E4340"/>
    <w:rsid w:val="005E4FF2"/>
    <w:rsid w:val="005E7819"/>
    <w:rsid w:val="005E7B71"/>
    <w:rsid w:val="005F1513"/>
    <w:rsid w:val="005F6018"/>
    <w:rsid w:val="005F7F9D"/>
    <w:rsid w:val="00601563"/>
    <w:rsid w:val="00601D81"/>
    <w:rsid w:val="00602251"/>
    <w:rsid w:val="006026F9"/>
    <w:rsid w:val="00602757"/>
    <w:rsid w:val="00610516"/>
    <w:rsid w:val="00610A76"/>
    <w:rsid w:val="0061149B"/>
    <w:rsid w:val="00611ABC"/>
    <w:rsid w:val="00613B65"/>
    <w:rsid w:val="00617698"/>
    <w:rsid w:val="00617C17"/>
    <w:rsid w:val="00621780"/>
    <w:rsid w:val="006224BC"/>
    <w:rsid w:val="00622510"/>
    <w:rsid w:val="00622AAB"/>
    <w:rsid w:val="00625A8F"/>
    <w:rsid w:val="00625DD8"/>
    <w:rsid w:val="006317EE"/>
    <w:rsid w:val="00631C29"/>
    <w:rsid w:val="006321D3"/>
    <w:rsid w:val="006349BA"/>
    <w:rsid w:val="00634E7D"/>
    <w:rsid w:val="006403C4"/>
    <w:rsid w:val="00643E87"/>
    <w:rsid w:val="006443DA"/>
    <w:rsid w:val="00644642"/>
    <w:rsid w:val="006448A5"/>
    <w:rsid w:val="00645669"/>
    <w:rsid w:val="00645CF2"/>
    <w:rsid w:val="006475AF"/>
    <w:rsid w:val="00647F84"/>
    <w:rsid w:val="00651D8C"/>
    <w:rsid w:val="0065241B"/>
    <w:rsid w:val="00653629"/>
    <w:rsid w:val="006542FF"/>
    <w:rsid w:val="00654904"/>
    <w:rsid w:val="006566C2"/>
    <w:rsid w:val="00662973"/>
    <w:rsid w:val="00664120"/>
    <w:rsid w:val="00664C91"/>
    <w:rsid w:val="0066521F"/>
    <w:rsid w:val="00665FA8"/>
    <w:rsid w:val="00666ACF"/>
    <w:rsid w:val="00666B04"/>
    <w:rsid w:val="00666BA6"/>
    <w:rsid w:val="00666E4D"/>
    <w:rsid w:val="00670270"/>
    <w:rsid w:val="00672440"/>
    <w:rsid w:val="006724E6"/>
    <w:rsid w:val="006744C7"/>
    <w:rsid w:val="00674816"/>
    <w:rsid w:val="00675222"/>
    <w:rsid w:val="006753FF"/>
    <w:rsid w:val="0067584A"/>
    <w:rsid w:val="00676A45"/>
    <w:rsid w:val="00676CE7"/>
    <w:rsid w:val="0067783B"/>
    <w:rsid w:val="0068016E"/>
    <w:rsid w:val="00680B94"/>
    <w:rsid w:val="00683D12"/>
    <w:rsid w:val="00684022"/>
    <w:rsid w:val="0068458B"/>
    <w:rsid w:val="00684764"/>
    <w:rsid w:val="00685985"/>
    <w:rsid w:val="00687FF8"/>
    <w:rsid w:val="006904FB"/>
    <w:rsid w:val="00692504"/>
    <w:rsid w:val="00693422"/>
    <w:rsid w:val="00693D5C"/>
    <w:rsid w:val="006949B2"/>
    <w:rsid w:val="00695390"/>
    <w:rsid w:val="006959D6"/>
    <w:rsid w:val="00695B29"/>
    <w:rsid w:val="00695C30"/>
    <w:rsid w:val="006A24BD"/>
    <w:rsid w:val="006A3682"/>
    <w:rsid w:val="006A3AB9"/>
    <w:rsid w:val="006A3E54"/>
    <w:rsid w:val="006A5179"/>
    <w:rsid w:val="006A591B"/>
    <w:rsid w:val="006A5A6E"/>
    <w:rsid w:val="006A6955"/>
    <w:rsid w:val="006A6F2B"/>
    <w:rsid w:val="006B1205"/>
    <w:rsid w:val="006B232E"/>
    <w:rsid w:val="006B3149"/>
    <w:rsid w:val="006C105B"/>
    <w:rsid w:val="006C3F2A"/>
    <w:rsid w:val="006C428A"/>
    <w:rsid w:val="006C4EE4"/>
    <w:rsid w:val="006C55B2"/>
    <w:rsid w:val="006C60B7"/>
    <w:rsid w:val="006C6A8E"/>
    <w:rsid w:val="006C707C"/>
    <w:rsid w:val="006C7630"/>
    <w:rsid w:val="006C7B18"/>
    <w:rsid w:val="006D14A8"/>
    <w:rsid w:val="006D19F2"/>
    <w:rsid w:val="006D483B"/>
    <w:rsid w:val="006D57C6"/>
    <w:rsid w:val="006E0B6D"/>
    <w:rsid w:val="006E34C6"/>
    <w:rsid w:val="006E3E95"/>
    <w:rsid w:val="006E4C9C"/>
    <w:rsid w:val="006E5EFE"/>
    <w:rsid w:val="006E77FF"/>
    <w:rsid w:val="006F0E12"/>
    <w:rsid w:val="006F1523"/>
    <w:rsid w:val="006F28DE"/>
    <w:rsid w:val="006F299F"/>
    <w:rsid w:val="006F343A"/>
    <w:rsid w:val="006F54DB"/>
    <w:rsid w:val="006F5EF1"/>
    <w:rsid w:val="006F6C49"/>
    <w:rsid w:val="006F6D82"/>
    <w:rsid w:val="00700440"/>
    <w:rsid w:val="00701993"/>
    <w:rsid w:val="00703606"/>
    <w:rsid w:val="0070529F"/>
    <w:rsid w:val="00705DB6"/>
    <w:rsid w:val="007072F0"/>
    <w:rsid w:val="00711364"/>
    <w:rsid w:val="0071310A"/>
    <w:rsid w:val="007144B2"/>
    <w:rsid w:val="0071552F"/>
    <w:rsid w:val="00720E3E"/>
    <w:rsid w:val="007220A3"/>
    <w:rsid w:val="00725F36"/>
    <w:rsid w:val="007269EE"/>
    <w:rsid w:val="00727BCB"/>
    <w:rsid w:val="00727EC8"/>
    <w:rsid w:val="00730313"/>
    <w:rsid w:val="00730504"/>
    <w:rsid w:val="00730C8D"/>
    <w:rsid w:val="00731D76"/>
    <w:rsid w:val="00733465"/>
    <w:rsid w:val="007337CF"/>
    <w:rsid w:val="00734331"/>
    <w:rsid w:val="00734737"/>
    <w:rsid w:val="00736367"/>
    <w:rsid w:val="007366E3"/>
    <w:rsid w:val="00737367"/>
    <w:rsid w:val="0074039A"/>
    <w:rsid w:val="0074397E"/>
    <w:rsid w:val="00743EF3"/>
    <w:rsid w:val="00744DB5"/>
    <w:rsid w:val="007463C4"/>
    <w:rsid w:val="00750182"/>
    <w:rsid w:val="00750826"/>
    <w:rsid w:val="00752773"/>
    <w:rsid w:val="00755B3F"/>
    <w:rsid w:val="00755F3C"/>
    <w:rsid w:val="00756768"/>
    <w:rsid w:val="00757949"/>
    <w:rsid w:val="00761157"/>
    <w:rsid w:val="00761F2E"/>
    <w:rsid w:val="00761F41"/>
    <w:rsid w:val="00762AD0"/>
    <w:rsid w:val="00763692"/>
    <w:rsid w:val="00764038"/>
    <w:rsid w:val="00764DFE"/>
    <w:rsid w:val="007678A6"/>
    <w:rsid w:val="00771C07"/>
    <w:rsid w:val="00772096"/>
    <w:rsid w:val="007732EA"/>
    <w:rsid w:val="0077547F"/>
    <w:rsid w:val="00776522"/>
    <w:rsid w:val="007769AE"/>
    <w:rsid w:val="00776D3D"/>
    <w:rsid w:val="0077729B"/>
    <w:rsid w:val="0078178C"/>
    <w:rsid w:val="00784B3C"/>
    <w:rsid w:val="00785A72"/>
    <w:rsid w:val="00786121"/>
    <w:rsid w:val="00786343"/>
    <w:rsid w:val="0079072D"/>
    <w:rsid w:val="00794FBF"/>
    <w:rsid w:val="00795DBB"/>
    <w:rsid w:val="007970E9"/>
    <w:rsid w:val="007A026B"/>
    <w:rsid w:val="007A4349"/>
    <w:rsid w:val="007A6E88"/>
    <w:rsid w:val="007A7773"/>
    <w:rsid w:val="007B05BA"/>
    <w:rsid w:val="007B100C"/>
    <w:rsid w:val="007B1048"/>
    <w:rsid w:val="007B2EA1"/>
    <w:rsid w:val="007B4D1A"/>
    <w:rsid w:val="007B5020"/>
    <w:rsid w:val="007B57A6"/>
    <w:rsid w:val="007B730C"/>
    <w:rsid w:val="007B76E4"/>
    <w:rsid w:val="007C067B"/>
    <w:rsid w:val="007C165E"/>
    <w:rsid w:val="007C18A6"/>
    <w:rsid w:val="007C2078"/>
    <w:rsid w:val="007C22B0"/>
    <w:rsid w:val="007C49D1"/>
    <w:rsid w:val="007C6A23"/>
    <w:rsid w:val="007D176B"/>
    <w:rsid w:val="007D18DC"/>
    <w:rsid w:val="007D1B10"/>
    <w:rsid w:val="007D2A27"/>
    <w:rsid w:val="007D31C2"/>
    <w:rsid w:val="007D406B"/>
    <w:rsid w:val="007D448B"/>
    <w:rsid w:val="007D4820"/>
    <w:rsid w:val="007D6872"/>
    <w:rsid w:val="007E0648"/>
    <w:rsid w:val="007E0A9B"/>
    <w:rsid w:val="007E1780"/>
    <w:rsid w:val="007E239D"/>
    <w:rsid w:val="007E2D7B"/>
    <w:rsid w:val="007E3298"/>
    <w:rsid w:val="007E3430"/>
    <w:rsid w:val="007E49B8"/>
    <w:rsid w:val="007E5512"/>
    <w:rsid w:val="007E77AC"/>
    <w:rsid w:val="007E7CC2"/>
    <w:rsid w:val="007F2BF8"/>
    <w:rsid w:val="007F2E2B"/>
    <w:rsid w:val="007F38E0"/>
    <w:rsid w:val="007F4215"/>
    <w:rsid w:val="007F6F0E"/>
    <w:rsid w:val="007F7A51"/>
    <w:rsid w:val="007F7C44"/>
    <w:rsid w:val="007F7CE9"/>
    <w:rsid w:val="008059F1"/>
    <w:rsid w:val="00810597"/>
    <w:rsid w:val="00811643"/>
    <w:rsid w:val="0081303D"/>
    <w:rsid w:val="008130A4"/>
    <w:rsid w:val="00814A33"/>
    <w:rsid w:val="00814C34"/>
    <w:rsid w:val="00816B37"/>
    <w:rsid w:val="0081780F"/>
    <w:rsid w:val="00820CF2"/>
    <w:rsid w:val="008214B7"/>
    <w:rsid w:val="00821C9F"/>
    <w:rsid w:val="00822AE2"/>
    <w:rsid w:val="008231B4"/>
    <w:rsid w:val="00823821"/>
    <w:rsid w:val="00825278"/>
    <w:rsid w:val="00825D20"/>
    <w:rsid w:val="008266CE"/>
    <w:rsid w:val="0083081B"/>
    <w:rsid w:val="008312EA"/>
    <w:rsid w:val="008321E8"/>
    <w:rsid w:val="00832750"/>
    <w:rsid w:val="00835648"/>
    <w:rsid w:val="00836A57"/>
    <w:rsid w:val="00836FF4"/>
    <w:rsid w:val="0083746E"/>
    <w:rsid w:val="00837C55"/>
    <w:rsid w:val="00841845"/>
    <w:rsid w:val="00842560"/>
    <w:rsid w:val="0084288A"/>
    <w:rsid w:val="00845BFA"/>
    <w:rsid w:val="00845C37"/>
    <w:rsid w:val="00845D34"/>
    <w:rsid w:val="00847092"/>
    <w:rsid w:val="00852DD8"/>
    <w:rsid w:val="008531D6"/>
    <w:rsid w:val="00853A7D"/>
    <w:rsid w:val="00853D49"/>
    <w:rsid w:val="00853EB6"/>
    <w:rsid w:val="008543AE"/>
    <w:rsid w:val="00854CDB"/>
    <w:rsid w:val="008555C0"/>
    <w:rsid w:val="0085655D"/>
    <w:rsid w:val="00856DB0"/>
    <w:rsid w:val="008624E2"/>
    <w:rsid w:val="00862529"/>
    <w:rsid w:val="0086403D"/>
    <w:rsid w:val="008665A1"/>
    <w:rsid w:val="008676CA"/>
    <w:rsid w:val="008678A1"/>
    <w:rsid w:val="00867C02"/>
    <w:rsid w:val="00867CA4"/>
    <w:rsid w:val="00867FB1"/>
    <w:rsid w:val="00870ACA"/>
    <w:rsid w:val="00871902"/>
    <w:rsid w:val="00871A6D"/>
    <w:rsid w:val="00874541"/>
    <w:rsid w:val="00874FAD"/>
    <w:rsid w:val="008764CA"/>
    <w:rsid w:val="00877A5B"/>
    <w:rsid w:val="00877B54"/>
    <w:rsid w:val="00877FBD"/>
    <w:rsid w:val="008802A6"/>
    <w:rsid w:val="00881FEA"/>
    <w:rsid w:val="00882567"/>
    <w:rsid w:val="00882752"/>
    <w:rsid w:val="00884BA2"/>
    <w:rsid w:val="00885810"/>
    <w:rsid w:val="00886F87"/>
    <w:rsid w:val="00887B6F"/>
    <w:rsid w:val="008902E0"/>
    <w:rsid w:val="00890344"/>
    <w:rsid w:val="00890DB0"/>
    <w:rsid w:val="0089105F"/>
    <w:rsid w:val="00891639"/>
    <w:rsid w:val="008918A7"/>
    <w:rsid w:val="00892445"/>
    <w:rsid w:val="00892CD9"/>
    <w:rsid w:val="00893A0E"/>
    <w:rsid w:val="0089566F"/>
    <w:rsid w:val="00895B2E"/>
    <w:rsid w:val="008961EB"/>
    <w:rsid w:val="008976AC"/>
    <w:rsid w:val="00897D95"/>
    <w:rsid w:val="008A0A2B"/>
    <w:rsid w:val="008A19CE"/>
    <w:rsid w:val="008A1CC0"/>
    <w:rsid w:val="008A297C"/>
    <w:rsid w:val="008A29C5"/>
    <w:rsid w:val="008A35E4"/>
    <w:rsid w:val="008A4632"/>
    <w:rsid w:val="008A576A"/>
    <w:rsid w:val="008A580C"/>
    <w:rsid w:val="008A607B"/>
    <w:rsid w:val="008A61E8"/>
    <w:rsid w:val="008A6C93"/>
    <w:rsid w:val="008A7D17"/>
    <w:rsid w:val="008B0164"/>
    <w:rsid w:val="008C1360"/>
    <w:rsid w:val="008C14A9"/>
    <w:rsid w:val="008C1548"/>
    <w:rsid w:val="008C1AA0"/>
    <w:rsid w:val="008C1D1C"/>
    <w:rsid w:val="008C3432"/>
    <w:rsid w:val="008C3C71"/>
    <w:rsid w:val="008C5471"/>
    <w:rsid w:val="008C5A82"/>
    <w:rsid w:val="008D1623"/>
    <w:rsid w:val="008D1B7F"/>
    <w:rsid w:val="008D1F8D"/>
    <w:rsid w:val="008D33BD"/>
    <w:rsid w:val="008D4C2B"/>
    <w:rsid w:val="008D6373"/>
    <w:rsid w:val="008E3AB4"/>
    <w:rsid w:val="008E48B9"/>
    <w:rsid w:val="008E58D4"/>
    <w:rsid w:val="008F02E2"/>
    <w:rsid w:val="008F192E"/>
    <w:rsid w:val="008F3B6F"/>
    <w:rsid w:val="008F42AD"/>
    <w:rsid w:val="008F50C8"/>
    <w:rsid w:val="008F6A3B"/>
    <w:rsid w:val="008F6E9A"/>
    <w:rsid w:val="008F74C1"/>
    <w:rsid w:val="008F7909"/>
    <w:rsid w:val="008F7D44"/>
    <w:rsid w:val="00903DEE"/>
    <w:rsid w:val="00907326"/>
    <w:rsid w:val="00907D7C"/>
    <w:rsid w:val="009169CB"/>
    <w:rsid w:val="00917211"/>
    <w:rsid w:val="00917955"/>
    <w:rsid w:val="00920D81"/>
    <w:rsid w:val="0092167F"/>
    <w:rsid w:val="0092352B"/>
    <w:rsid w:val="00925884"/>
    <w:rsid w:val="009262F0"/>
    <w:rsid w:val="00927E25"/>
    <w:rsid w:val="00930B03"/>
    <w:rsid w:val="00930C2C"/>
    <w:rsid w:val="0093108E"/>
    <w:rsid w:val="009313F0"/>
    <w:rsid w:val="00931497"/>
    <w:rsid w:val="00931DB7"/>
    <w:rsid w:val="009327E1"/>
    <w:rsid w:val="00932A4B"/>
    <w:rsid w:val="00933E77"/>
    <w:rsid w:val="00934664"/>
    <w:rsid w:val="00936CD1"/>
    <w:rsid w:val="00937433"/>
    <w:rsid w:val="009410C3"/>
    <w:rsid w:val="009443C8"/>
    <w:rsid w:val="00944E34"/>
    <w:rsid w:val="0094604E"/>
    <w:rsid w:val="00946BD0"/>
    <w:rsid w:val="00947DED"/>
    <w:rsid w:val="009507BB"/>
    <w:rsid w:val="009526ED"/>
    <w:rsid w:val="00954E43"/>
    <w:rsid w:val="00954FA5"/>
    <w:rsid w:val="00960F0C"/>
    <w:rsid w:val="009621A2"/>
    <w:rsid w:val="00962ACA"/>
    <w:rsid w:val="00963ACA"/>
    <w:rsid w:val="00966E80"/>
    <w:rsid w:val="00967346"/>
    <w:rsid w:val="009714EA"/>
    <w:rsid w:val="00971947"/>
    <w:rsid w:val="00972790"/>
    <w:rsid w:val="009733FD"/>
    <w:rsid w:val="00973E64"/>
    <w:rsid w:val="00975562"/>
    <w:rsid w:val="00975FDE"/>
    <w:rsid w:val="009801A2"/>
    <w:rsid w:val="00981155"/>
    <w:rsid w:val="0098249B"/>
    <w:rsid w:val="00983E2A"/>
    <w:rsid w:val="0098400C"/>
    <w:rsid w:val="00984246"/>
    <w:rsid w:val="00984939"/>
    <w:rsid w:val="00985536"/>
    <w:rsid w:val="00986922"/>
    <w:rsid w:val="00987DA6"/>
    <w:rsid w:val="0099032B"/>
    <w:rsid w:val="00991140"/>
    <w:rsid w:val="009914BE"/>
    <w:rsid w:val="00991F42"/>
    <w:rsid w:val="00991F46"/>
    <w:rsid w:val="00994581"/>
    <w:rsid w:val="009A16C7"/>
    <w:rsid w:val="009A2E22"/>
    <w:rsid w:val="009A3783"/>
    <w:rsid w:val="009A40E1"/>
    <w:rsid w:val="009A46B2"/>
    <w:rsid w:val="009A48E3"/>
    <w:rsid w:val="009A5DF2"/>
    <w:rsid w:val="009B0438"/>
    <w:rsid w:val="009B0CD4"/>
    <w:rsid w:val="009B323F"/>
    <w:rsid w:val="009B3540"/>
    <w:rsid w:val="009B6127"/>
    <w:rsid w:val="009B6F03"/>
    <w:rsid w:val="009C368A"/>
    <w:rsid w:val="009C4797"/>
    <w:rsid w:val="009C50F1"/>
    <w:rsid w:val="009C5161"/>
    <w:rsid w:val="009C5CD2"/>
    <w:rsid w:val="009C60DE"/>
    <w:rsid w:val="009C6BB6"/>
    <w:rsid w:val="009C71AB"/>
    <w:rsid w:val="009C71F9"/>
    <w:rsid w:val="009D4DF6"/>
    <w:rsid w:val="009E002A"/>
    <w:rsid w:val="009E08A6"/>
    <w:rsid w:val="009E0BA4"/>
    <w:rsid w:val="009E0C7F"/>
    <w:rsid w:val="009E0DC4"/>
    <w:rsid w:val="009E1304"/>
    <w:rsid w:val="009E23F8"/>
    <w:rsid w:val="009E6647"/>
    <w:rsid w:val="009E69FB"/>
    <w:rsid w:val="009E7441"/>
    <w:rsid w:val="009E74F1"/>
    <w:rsid w:val="009F08A9"/>
    <w:rsid w:val="009F267A"/>
    <w:rsid w:val="009F3018"/>
    <w:rsid w:val="009F3215"/>
    <w:rsid w:val="009F3E32"/>
    <w:rsid w:val="009F43B9"/>
    <w:rsid w:val="009F4679"/>
    <w:rsid w:val="009F4C33"/>
    <w:rsid w:val="009F5A49"/>
    <w:rsid w:val="00A02CAB"/>
    <w:rsid w:val="00A02F8C"/>
    <w:rsid w:val="00A03DE1"/>
    <w:rsid w:val="00A04299"/>
    <w:rsid w:val="00A0503D"/>
    <w:rsid w:val="00A06914"/>
    <w:rsid w:val="00A11493"/>
    <w:rsid w:val="00A13B36"/>
    <w:rsid w:val="00A143BC"/>
    <w:rsid w:val="00A14FE5"/>
    <w:rsid w:val="00A1552E"/>
    <w:rsid w:val="00A15F64"/>
    <w:rsid w:val="00A200A9"/>
    <w:rsid w:val="00A20506"/>
    <w:rsid w:val="00A20BF4"/>
    <w:rsid w:val="00A20E87"/>
    <w:rsid w:val="00A22613"/>
    <w:rsid w:val="00A23350"/>
    <w:rsid w:val="00A23AC0"/>
    <w:rsid w:val="00A255FF"/>
    <w:rsid w:val="00A25D63"/>
    <w:rsid w:val="00A26675"/>
    <w:rsid w:val="00A26AAC"/>
    <w:rsid w:val="00A273E7"/>
    <w:rsid w:val="00A34DF8"/>
    <w:rsid w:val="00A37606"/>
    <w:rsid w:val="00A400B0"/>
    <w:rsid w:val="00A42138"/>
    <w:rsid w:val="00A45043"/>
    <w:rsid w:val="00A456E7"/>
    <w:rsid w:val="00A4721B"/>
    <w:rsid w:val="00A47240"/>
    <w:rsid w:val="00A47CDE"/>
    <w:rsid w:val="00A47F3B"/>
    <w:rsid w:val="00A520EA"/>
    <w:rsid w:val="00A54298"/>
    <w:rsid w:val="00A55C68"/>
    <w:rsid w:val="00A60E77"/>
    <w:rsid w:val="00A61A37"/>
    <w:rsid w:val="00A61F1C"/>
    <w:rsid w:val="00A62E39"/>
    <w:rsid w:val="00A63AC9"/>
    <w:rsid w:val="00A63E00"/>
    <w:rsid w:val="00A64A14"/>
    <w:rsid w:val="00A65054"/>
    <w:rsid w:val="00A6799C"/>
    <w:rsid w:val="00A679AA"/>
    <w:rsid w:val="00A72E01"/>
    <w:rsid w:val="00A73DA9"/>
    <w:rsid w:val="00A76E1A"/>
    <w:rsid w:val="00A7795B"/>
    <w:rsid w:val="00A801AB"/>
    <w:rsid w:val="00A82BD1"/>
    <w:rsid w:val="00A83A16"/>
    <w:rsid w:val="00A83FF1"/>
    <w:rsid w:val="00A8428E"/>
    <w:rsid w:val="00A84426"/>
    <w:rsid w:val="00A85950"/>
    <w:rsid w:val="00A85AD3"/>
    <w:rsid w:val="00A87520"/>
    <w:rsid w:val="00A87F7D"/>
    <w:rsid w:val="00A902CC"/>
    <w:rsid w:val="00A908B3"/>
    <w:rsid w:val="00A91318"/>
    <w:rsid w:val="00A9222B"/>
    <w:rsid w:val="00A9299D"/>
    <w:rsid w:val="00A941A0"/>
    <w:rsid w:val="00A948B5"/>
    <w:rsid w:val="00A94AD1"/>
    <w:rsid w:val="00A95D34"/>
    <w:rsid w:val="00A97996"/>
    <w:rsid w:val="00AA06BE"/>
    <w:rsid w:val="00AA3242"/>
    <w:rsid w:val="00AA374C"/>
    <w:rsid w:val="00AA3C0C"/>
    <w:rsid w:val="00AA5333"/>
    <w:rsid w:val="00AA57DF"/>
    <w:rsid w:val="00AA657A"/>
    <w:rsid w:val="00AA677D"/>
    <w:rsid w:val="00AA69C3"/>
    <w:rsid w:val="00AB1125"/>
    <w:rsid w:val="00AB1646"/>
    <w:rsid w:val="00AB19CE"/>
    <w:rsid w:val="00AB1F29"/>
    <w:rsid w:val="00AB220E"/>
    <w:rsid w:val="00AB2CC8"/>
    <w:rsid w:val="00AB3C67"/>
    <w:rsid w:val="00AB61E5"/>
    <w:rsid w:val="00AC0DDC"/>
    <w:rsid w:val="00AC31FA"/>
    <w:rsid w:val="00AC40D3"/>
    <w:rsid w:val="00AC74AD"/>
    <w:rsid w:val="00AD2DDD"/>
    <w:rsid w:val="00AD4864"/>
    <w:rsid w:val="00AD4F41"/>
    <w:rsid w:val="00AD5A8D"/>
    <w:rsid w:val="00AD6B93"/>
    <w:rsid w:val="00AD7BFD"/>
    <w:rsid w:val="00AD7FF1"/>
    <w:rsid w:val="00AE02D3"/>
    <w:rsid w:val="00AE439E"/>
    <w:rsid w:val="00AE474E"/>
    <w:rsid w:val="00AE61BB"/>
    <w:rsid w:val="00AF04A7"/>
    <w:rsid w:val="00AF3504"/>
    <w:rsid w:val="00AF6EA1"/>
    <w:rsid w:val="00AF6F8D"/>
    <w:rsid w:val="00AF791D"/>
    <w:rsid w:val="00B04341"/>
    <w:rsid w:val="00B04AC1"/>
    <w:rsid w:val="00B06C2C"/>
    <w:rsid w:val="00B07F30"/>
    <w:rsid w:val="00B106C1"/>
    <w:rsid w:val="00B11836"/>
    <w:rsid w:val="00B121D5"/>
    <w:rsid w:val="00B12395"/>
    <w:rsid w:val="00B13E7C"/>
    <w:rsid w:val="00B164A1"/>
    <w:rsid w:val="00B16F15"/>
    <w:rsid w:val="00B174AF"/>
    <w:rsid w:val="00B25696"/>
    <w:rsid w:val="00B26148"/>
    <w:rsid w:val="00B30651"/>
    <w:rsid w:val="00B307D7"/>
    <w:rsid w:val="00B334D4"/>
    <w:rsid w:val="00B3407C"/>
    <w:rsid w:val="00B340E0"/>
    <w:rsid w:val="00B42E25"/>
    <w:rsid w:val="00B4364C"/>
    <w:rsid w:val="00B438D8"/>
    <w:rsid w:val="00B43983"/>
    <w:rsid w:val="00B4404C"/>
    <w:rsid w:val="00B44226"/>
    <w:rsid w:val="00B44AFA"/>
    <w:rsid w:val="00B44D42"/>
    <w:rsid w:val="00B45150"/>
    <w:rsid w:val="00B45647"/>
    <w:rsid w:val="00B474DD"/>
    <w:rsid w:val="00B479CF"/>
    <w:rsid w:val="00B50680"/>
    <w:rsid w:val="00B51348"/>
    <w:rsid w:val="00B5247C"/>
    <w:rsid w:val="00B5268C"/>
    <w:rsid w:val="00B52BF2"/>
    <w:rsid w:val="00B53079"/>
    <w:rsid w:val="00B53EC1"/>
    <w:rsid w:val="00B57074"/>
    <w:rsid w:val="00B57564"/>
    <w:rsid w:val="00B57A5F"/>
    <w:rsid w:val="00B57A73"/>
    <w:rsid w:val="00B615B0"/>
    <w:rsid w:val="00B6513A"/>
    <w:rsid w:val="00B6577B"/>
    <w:rsid w:val="00B657D8"/>
    <w:rsid w:val="00B65DE9"/>
    <w:rsid w:val="00B67647"/>
    <w:rsid w:val="00B71296"/>
    <w:rsid w:val="00B72E30"/>
    <w:rsid w:val="00B72FAC"/>
    <w:rsid w:val="00B76C1E"/>
    <w:rsid w:val="00B76F8F"/>
    <w:rsid w:val="00B77114"/>
    <w:rsid w:val="00B801DE"/>
    <w:rsid w:val="00B807B1"/>
    <w:rsid w:val="00B80F91"/>
    <w:rsid w:val="00B8236D"/>
    <w:rsid w:val="00B83D0B"/>
    <w:rsid w:val="00B854EF"/>
    <w:rsid w:val="00B86B3C"/>
    <w:rsid w:val="00B877E3"/>
    <w:rsid w:val="00B901F1"/>
    <w:rsid w:val="00B906AC"/>
    <w:rsid w:val="00B91EB8"/>
    <w:rsid w:val="00B9338A"/>
    <w:rsid w:val="00B94051"/>
    <w:rsid w:val="00B94B98"/>
    <w:rsid w:val="00B94F46"/>
    <w:rsid w:val="00B97666"/>
    <w:rsid w:val="00B97BC9"/>
    <w:rsid w:val="00BA049B"/>
    <w:rsid w:val="00BA0769"/>
    <w:rsid w:val="00BA0D77"/>
    <w:rsid w:val="00BA198F"/>
    <w:rsid w:val="00BA1D93"/>
    <w:rsid w:val="00BA1E1E"/>
    <w:rsid w:val="00BA425A"/>
    <w:rsid w:val="00BA4338"/>
    <w:rsid w:val="00BA50BA"/>
    <w:rsid w:val="00BA5446"/>
    <w:rsid w:val="00BA59FA"/>
    <w:rsid w:val="00BA60D1"/>
    <w:rsid w:val="00BA796D"/>
    <w:rsid w:val="00BA7E7F"/>
    <w:rsid w:val="00BB0C77"/>
    <w:rsid w:val="00BB2140"/>
    <w:rsid w:val="00BB2C3F"/>
    <w:rsid w:val="00BB365A"/>
    <w:rsid w:val="00BB5C16"/>
    <w:rsid w:val="00BB6D4F"/>
    <w:rsid w:val="00BB7800"/>
    <w:rsid w:val="00BC03D1"/>
    <w:rsid w:val="00BC10F5"/>
    <w:rsid w:val="00BC24E5"/>
    <w:rsid w:val="00BC5660"/>
    <w:rsid w:val="00BC5FF7"/>
    <w:rsid w:val="00BD116C"/>
    <w:rsid w:val="00BD17A2"/>
    <w:rsid w:val="00BD325F"/>
    <w:rsid w:val="00BD36AB"/>
    <w:rsid w:val="00BD430A"/>
    <w:rsid w:val="00BD43A2"/>
    <w:rsid w:val="00BD605E"/>
    <w:rsid w:val="00BD725D"/>
    <w:rsid w:val="00BD7BB3"/>
    <w:rsid w:val="00BD7E4E"/>
    <w:rsid w:val="00BE089B"/>
    <w:rsid w:val="00BE10A1"/>
    <w:rsid w:val="00BE1438"/>
    <w:rsid w:val="00BE4408"/>
    <w:rsid w:val="00BE4479"/>
    <w:rsid w:val="00BE5DAC"/>
    <w:rsid w:val="00BE614F"/>
    <w:rsid w:val="00BE71FB"/>
    <w:rsid w:val="00BE7543"/>
    <w:rsid w:val="00BE78A2"/>
    <w:rsid w:val="00BE7E18"/>
    <w:rsid w:val="00BF01F8"/>
    <w:rsid w:val="00BF19B4"/>
    <w:rsid w:val="00BF266E"/>
    <w:rsid w:val="00BF2D02"/>
    <w:rsid w:val="00BF2D30"/>
    <w:rsid w:val="00BF3F44"/>
    <w:rsid w:val="00BF477D"/>
    <w:rsid w:val="00BF5A8C"/>
    <w:rsid w:val="00C00C39"/>
    <w:rsid w:val="00C0126B"/>
    <w:rsid w:val="00C012B0"/>
    <w:rsid w:val="00C01FE1"/>
    <w:rsid w:val="00C02DBA"/>
    <w:rsid w:val="00C0384E"/>
    <w:rsid w:val="00C044DA"/>
    <w:rsid w:val="00C052BE"/>
    <w:rsid w:val="00C0672B"/>
    <w:rsid w:val="00C07718"/>
    <w:rsid w:val="00C114FD"/>
    <w:rsid w:val="00C13D59"/>
    <w:rsid w:val="00C14791"/>
    <w:rsid w:val="00C149B3"/>
    <w:rsid w:val="00C15B81"/>
    <w:rsid w:val="00C20671"/>
    <w:rsid w:val="00C247F7"/>
    <w:rsid w:val="00C258FE"/>
    <w:rsid w:val="00C26260"/>
    <w:rsid w:val="00C26E60"/>
    <w:rsid w:val="00C27F0D"/>
    <w:rsid w:val="00C31839"/>
    <w:rsid w:val="00C347D0"/>
    <w:rsid w:val="00C350DA"/>
    <w:rsid w:val="00C37776"/>
    <w:rsid w:val="00C4083B"/>
    <w:rsid w:val="00C420E8"/>
    <w:rsid w:val="00C42520"/>
    <w:rsid w:val="00C4478E"/>
    <w:rsid w:val="00C457E7"/>
    <w:rsid w:val="00C46A99"/>
    <w:rsid w:val="00C4747C"/>
    <w:rsid w:val="00C5291F"/>
    <w:rsid w:val="00C52F7B"/>
    <w:rsid w:val="00C53589"/>
    <w:rsid w:val="00C53B32"/>
    <w:rsid w:val="00C53EF2"/>
    <w:rsid w:val="00C54DC6"/>
    <w:rsid w:val="00C551A6"/>
    <w:rsid w:val="00C563AF"/>
    <w:rsid w:val="00C5673E"/>
    <w:rsid w:val="00C57561"/>
    <w:rsid w:val="00C57F9E"/>
    <w:rsid w:val="00C60628"/>
    <w:rsid w:val="00C60DCB"/>
    <w:rsid w:val="00C65500"/>
    <w:rsid w:val="00C65826"/>
    <w:rsid w:val="00C65C39"/>
    <w:rsid w:val="00C65EF2"/>
    <w:rsid w:val="00C703BE"/>
    <w:rsid w:val="00C70D2D"/>
    <w:rsid w:val="00C71990"/>
    <w:rsid w:val="00C72D2C"/>
    <w:rsid w:val="00C73532"/>
    <w:rsid w:val="00C73A29"/>
    <w:rsid w:val="00C74CE1"/>
    <w:rsid w:val="00C75361"/>
    <w:rsid w:val="00C7638E"/>
    <w:rsid w:val="00C767B0"/>
    <w:rsid w:val="00C76A5C"/>
    <w:rsid w:val="00C8103F"/>
    <w:rsid w:val="00C81548"/>
    <w:rsid w:val="00C81A18"/>
    <w:rsid w:val="00C84E59"/>
    <w:rsid w:val="00C851C9"/>
    <w:rsid w:val="00C85938"/>
    <w:rsid w:val="00C85ECD"/>
    <w:rsid w:val="00C86062"/>
    <w:rsid w:val="00C8615B"/>
    <w:rsid w:val="00C8683F"/>
    <w:rsid w:val="00C8709B"/>
    <w:rsid w:val="00C90986"/>
    <w:rsid w:val="00C90A3D"/>
    <w:rsid w:val="00C919D9"/>
    <w:rsid w:val="00C91C61"/>
    <w:rsid w:val="00C937AF"/>
    <w:rsid w:val="00C95738"/>
    <w:rsid w:val="00C95AA8"/>
    <w:rsid w:val="00CA1D0F"/>
    <w:rsid w:val="00CA24A2"/>
    <w:rsid w:val="00CA2E7F"/>
    <w:rsid w:val="00CA34E9"/>
    <w:rsid w:val="00CA3B5A"/>
    <w:rsid w:val="00CA51EF"/>
    <w:rsid w:val="00CA7049"/>
    <w:rsid w:val="00CB04D4"/>
    <w:rsid w:val="00CB087F"/>
    <w:rsid w:val="00CB0B34"/>
    <w:rsid w:val="00CB0B66"/>
    <w:rsid w:val="00CB196B"/>
    <w:rsid w:val="00CB2C9E"/>
    <w:rsid w:val="00CB4EE0"/>
    <w:rsid w:val="00CB791C"/>
    <w:rsid w:val="00CC0CC9"/>
    <w:rsid w:val="00CC1011"/>
    <w:rsid w:val="00CC1F7E"/>
    <w:rsid w:val="00CC2291"/>
    <w:rsid w:val="00CC3CB4"/>
    <w:rsid w:val="00CC3D79"/>
    <w:rsid w:val="00CC49F7"/>
    <w:rsid w:val="00CC4E31"/>
    <w:rsid w:val="00CC7047"/>
    <w:rsid w:val="00CC7A1F"/>
    <w:rsid w:val="00CC7F9D"/>
    <w:rsid w:val="00CD1DED"/>
    <w:rsid w:val="00CD3B1F"/>
    <w:rsid w:val="00CD51A1"/>
    <w:rsid w:val="00CD6BF3"/>
    <w:rsid w:val="00CE0917"/>
    <w:rsid w:val="00CE1533"/>
    <w:rsid w:val="00CE17BF"/>
    <w:rsid w:val="00CE2560"/>
    <w:rsid w:val="00CE2D95"/>
    <w:rsid w:val="00CE3937"/>
    <w:rsid w:val="00CE3E42"/>
    <w:rsid w:val="00CE4A23"/>
    <w:rsid w:val="00CE4E66"/>
    <w:rsid w:val="00CE4F9D"/>
    <w:rsid w:val="00CE4FB4"/>
    <w:rsid w:val="00CE5A59"/>
    <w:rsid w:val="00CE7469"/>
    <w:rsid w:val="00CE7A09"/>
    <w:rsid w:val="00CF0331"/>
    <w:rsid w:val="00CF11ED"/>
    <w:rsid w:val="00CF1D60"/>
    <w:rsid w:val="00CF22B7"/>
    <w:rsid w:val="00CF2786"/>
    <w:rsid w:val="00CF34BE"/>
    <w:rsid w:val="00CF3D2C"/>
    <w:rsid w:val="00CF4D14"/>
    <w:rsid w:val="00CF6A43"/>
    <w:rsid w:val="00CF74B2"/>
    <w:rsid w:val="00CF7D91"/>
    <w:rsid w:val="00D0528A"/>
    <w:rsid w:val="00D0602E"/>
    <w:rsid w:val="00D0751C"/>
    <w:rsid w:val="00D07BA9"/>
    <w:rsid w:val="00D1295F"/>
    <w:rsid w:val="00D14690"/>
    <w:rsid w:val="00D14D7D"/>
    <w:rsid w:val="00D1531A"/>
    <w:rsid w:val="00D16C03"/>
    <w:rsid w:val="00D213E0"/>
    <w:rsid w:val="00D21E09"/>
    <w:rsid w:val="00D2209C"/>
    <w:rsid w:val="00D27938"/>
    <w:rsid w:val="00D3095C"/>
    <w:rsid w:val="00D30A8B"/>
    <w:rsid w:val="00D32617"/>
    <w:rsid w:val="00D348CE"/>
    <w:rsid w:val="00D35C74"/>
    <w:rsid w:val="00D37461"/>
    <w:rsid w:val="00D4039A"/>
    <w:rsid w:val="00D404D1"/>
    <w:rsid w:val="00D40B6D"/>
    <w:rsid w:val="00D41F52"/>
    <w:rsid w:val="00D446ED"/>
    <w:rsid w:val="00D4641B"/>
    <w:rsid w:val="00D474DB"/>
    <w:rsid w:val="00D47880"/>
    <w:rsid w:val="00D505EC"/>
    <w:rsid w:val="00D50651"/>
    <w:rsid w:val="00D51613"/>
    <w:rsid w:val="00D51C65"/>
    <w:rsid w:val="00D52735"/>
    <w:rsid w:val="00D52AF3"/>
    <w:rsid w:val="00D56C14"/>
    <w:rsid w:val="00D56D49"/>
    <w:rsid w:val="00D56E7B"/>
    <w:rsid w:val="00D570EF"/>
    <w:rsid w:val="00D57EFF"/>
    <w:rsid w:val="00D630F5"/>
    <w:rsid w:val="00D63F9D"/>
    <w:rsid w:val="00D641C8"/>
    <w:rsid w:val="00D668EC"/>
    <w:rsid w:val="00D67C95"/>
    <w:rsid w:val="00D67F1A"/>
    <w:rsid w:val="00D705DC"/>
    <w:rsid w:val="00D706FB"/>
    <w:rsid w:val="00D70D9C"/>
    <w:rsid w:val="00D72062"/>
    <w:rsid w:val="00D74D77"/>
    <w:rsid w:val="00D77B3D"/>
    <w:rsid w:val="00D84DA4"/>
    <w:rsid w:val="00D85143"/>
    <w:rsid w:val="00D857A9"/>
    <w:rsid w:val="00D85815"/>
    <w:rsid w:val="00D86B8E"/>
    <w:rsid w:val="00D86E22"/>
    <w:rsid w:val="00D9078D"/>
    <w:rsid w:val="00D909AD"/>
    <w:rsid w:val="00D9268F"/>
    <w:rsid w:val="00D94058"/>
    <w:rsid w:val="00D94C47"/>
    <w:rsid w:val="00D94E1F"/>
    <w:rsid w:val="00D96861"/>
    <w:rsid w:val="00D96BF5"/>
    <w:rsid w:val="00DA295E"/>
    <w:rsid w:val="00DA2D0D"/>
    <w:rsid w:val="00DA2F17"/>
    <w:rsid w:val="00DA4BBB"/>
    <w:rsid w:val="00DA5075"/>
    <w:rsid w:val="00DA587F"/>
    <w:rsid w:val="00DA695C"/>
    <w:rsid w:val="00DB0202"/>
    <w:rsid w:val="00DB370D"/>
    <w:rsid w:val="00DB4AAA"/>
    <w:rsid w:val="00DB77BF"/>
    <w:rsid w:val="00DC0FB5"/>
    <w:rsid w:val="00DC11C4"/>
    <w:rsid w:val="00DC1207"/>
    <w:rsid w:val="00DC143E"/>
    <w:rsid w:val="00DC185D"/>
    <w:rsid w:val="00DC1AAD"/>
    <w:rsid w:val="00DC470D"/>
    <w:rsid w:val="00DC65EA"/>
    <w:rsid w:val="00DC79C3"/>
    <w:rsid w:val="00DC7EF9"/>
    <w:rsid w:val="00DD1699"/>
    <w:rsid w:val="00DD178D"/>
    <w:rsid w:val="00DD482A"/>
    <w:rsid w:val="00DD58CF"/>
    <w:rsid w:val="00DD6715"/>
    <w:rsid w:val="00DE2DA9"/>
    <w:rsid w:val="00DE3387"/>
    <w:rsid w:val="00DE477A"/>
    <w:rsid w:val="00DE77A7"/>
    <w:rsid w:val="00DF1C84"/>
    <w:rsid w:val="00DF1F94"/>
    <w:rsid w:val="00DF3597"/>
    <w:rsid w:val="00DF4E09"/>
    <w:rsid w:val="00DF4FC8"/>
    <w:rsid w:val="00DF7C0B"/>
    <w:rsid w:val="00E0158B"/>
    <w:rsid w:val="00E01B1A"/>
    <w:rsid w:val="00E06040"/>
    <w:rsid w:val="00E07A03"/>
    <w:rsid w:val="00E10ED7"/>
    <w:rsid w:val="00E12CAC"/>
    <w:rsid w:val="00E1379B"/>
    <w:rsid w:val="00E16494"/>
    <w:rsid w:val="00E16B3B"/>
    <w:rsid w:val="00E201AD"/>
    <w:rsid w:val="00E22B47"/>
    <w:rsid w:val="00E233A9"/>
    <w:rsid w:val="00E24138"/>
    <w:rsid w:val="00E2517C"/>
    <w:rsid w:val="00E311DD"/>
    <w:rsid w:val="00E336A9"/>
    <w:rsid w:val="00E33F6A"/>
    <w:rsid w:val="00E35ADD"/>
    <w:rsid w:val="00E36EBA"/>
    <w:rsid w:val="00E4278B"/>
    <w:rsid w:val="00E42CCD"/>
    <w:rsid w:val="00E4350C"/>
    <w:rsid w:val="00E43DAD"/>
    <w:rsid w:val="00E4577F"/>
    <w:rsid w:val="00E46B9C"/>
    <w:rsid w:val="00E47D62"/>
    <w:rsid w:val="00E47F17"/>
    <w:rsid w:val="00E50B46"/>
    <w:rsid w:val="00E51C85"/>
    <w:rsid w:val="00E5354C"/>
    <w:rsid w:val="00E54448"/>
    <w:rsid w:val="00E56B0C"/>
    <w:rsid w:val="00E60938"/>
    <w:rsid w:val="00E61E8A"/>
    <w:rsid w:val="00E621F5"/>
    <w:rsid w:val="00E6244A"/>
    <w:rsid w:val="00E62844"/>
    <w:rsid w:val="00E630F0"/>
    <w:rsid w:val="00E63E33"/>
    <w:rsid w:val="00E64199"/>
    <w:rsid w:val="00E658F6"/>
    <w:rsid w:val="00E66F00"/>
    <w:rsid w:val="00E71024"/>
    <w:rsid w:val="00E713F1"/>
    <w:rsid w:val="00E74AEC"/>
    <w:rsid w:val="00E74EA9"/>
    <w:rsid w:val="00E751BB"/>
    <w:rsid w:val="00E764B1"/>
    <w:rsid w:val="00E770C5"/>
    <w:rsid w:val="00E77578"/>
    <w:rsid w:val="00E81C5F"/>
    <w:rsid w:val="00E844E2"/>
    <w:rsid w:val="00E860F2"/>
    <w:rsid w:val="00E86130"/>
    <w:rsid w:val="00E8648A"/>
    <w:rsid w:val="00E90DD4"/>
    <w:rsid w:val="00E91AEC"/>
    <w:rsid w:val="00E91D9F"/>
    <w:rsid w:val="00E941E2"/>
    <w:rsid w:val="00E94483"/>
    <w:rsid w:val="00E94F54"/>
    <w:rsid w:val="00E95227"/>
    <w:rsid w:val="00EA164E"/>
    <w:rsid w:val="00EA2B31"/>
    <w:rsid w:val="00EA30E3"/>
    <w:rsid w:val="00EA30F2"/>
    <w:rsid w:val="00EA6A0E"/>
    <w:rsid w:val="00EA6D2C"/>
    <w:rsid w:val="00EA7D86"/>
    <w:rsid w:val="00EB1935"/>
    <w:rsid w:val="00EB3643"/>
    <w:rsid w:val="00EB3CFB"/>
    <w:rsid w:val="00EB51E1"/>
    <w:rsid w:val="00EB6C72"/>
    <w:rsid w:val="00EC0242"/>
    <w:rsid w:val="00EC0F9E"/>
    <w:rsid w:val="00EC1271"/>
    <w:rsid w:val="00EC365B"/>
    <w:rsid w:val="00EC376A"/>
    <w:rsid w:val="00EC5128"/>
    <w:rsid w:val="00ED0CED"/>
    <w:rsid w:val="00ED0F1B"/>
    <w:rsid w:val="00ED14AC"/>
    <w:rsid w:val="00ED1D8C"/>
    <w:rsid w:val="00ED22C4"/>
    <w:rsid w:val="00ED5493"/>
    <w:rsid w:val="00ED54CD"/>
    <w:rsid w:val="00ED61A0"/>
    <w:rsid w:val="00EE282A"/>
    <w:rsid w:val="00EE3027"/>
    <w:rsid w:val="00EE4269"/>
    <w:rsid w:val="00EE5071"/>
    <w:rsid w:val="00EE51A9"/>
    <w:rsid w:val="00EE75C9"/>
    <w:rsid w:val="00EE79E7"/>
    <w:rsid w:val="00EF1220"/>
    <w:rsid w:val="00EF1A6C"/>
    <w:rsid w:val="00EF3435"/>
    <w:rsid w:val="00EF4E51"/>
    <w:rsid w:val="00EF5D24"/>
    <w:rsid w:val="00F000E2"/>
    <w:rsid w:val="00F01468"/>
    <w:rsid w:val="00F0203A"/>
    <w:rsid w:val="00F02196"/>
    <w:rsid w:val="00F02D45"/>
    <w:rsid w:val="00F02F78"/>
    <w:rsid w:val="00F02FD4"/>
    <w:rsid w:val="00F04332"/>
    <w:rsid w:val="00F06A9B"/>
    <w:rsid w:val="00F06F3F"/>
    <w:rsid w:val="00F07AF7"/>
    <w:rsid w:val="00F07F24"/>
    <w:rsid w:val="00F10ACD"/>
    <w:rsid w:val="00F122D0"/>
    <w:rsid w:val="00F13314"/>
    <w:rsid w:val="00F14DC7"/>
    <w:rsid w:val="00F16780"/>
    <w:rsid w:val="00F16D4E"/>
    <w:rsid w:val="00F214D5"/>
    <w:rsid w:val="00F218FD"/>
    <w:rsid w:val="00F21E43"/>
    <w:rsid w:val="00F224E3"/>
    <w:rsid w:val="00F22577"/>
    <w:rsid w:val="00F22FAD"/>
    <w:rsid w:val="00F24721"/>
    <w:rsid w:val="00F26555"/>
    <w:rsid w:val="00F26AFF"/>
    <w:rsid w:val="00F272DA"/>
    <w:rsid w:val="00F304F4"/>
    <w:rsid w:val="00F30C20"/>
    <w:rsid w:val="00F31C76"/>
    <w:rsid w:val="00F324F4"/>
    <w:rsid w:val="00F339B5"/>
    <w:rsid w:val="00F33C8A"/>
    <w:rsid w:val="00F34FC8"/>
    <w:rsid w:val="00F37D0E"/>
    <w:rsid w:val="00F40A15"/>
    <w:rsid w:val="00F425D0"/>
    <w:rsid w:val="00F437C8"/>
    <w:rsid w:val="00F451E1"/>
    <w:rsid w:val="00F4535B"/>
    <w:rsid w:val="00F4711A"/>
    <w:rsid w:val="00F503DE"/>
    <w:rsid w:val="00F5072D"/>
    <w:rsid w:val="00F50EEA"/>
    <w:rsid w:val="00F522BB"/>
    <w:rsid w:val="00F52B07"/>
    <w:rsid w:val="00F53910"/>
    <w:rsid w:val="00F53ADE"/>
    <w:rsid w:val="00F53D9B"/>
    <w:rsid w:val="00F54063"/>
    <w:rsid w:val="00F540BB"/>
    <w:rsid w:val="00F55116"/>
    <w:rsid w:val="00F55379"/>
    <w:rsid w:val="00F62EB1"/>
    <w:rsid w:val="00F63525"/>
    <w:rsid w:val="00F71DB9"/>
    <w:rsid w:val="00F7233A"/>
    <w:rsid w:val="00F72486"/>
    <w:rsid w:val="00F73578"/>
    <w:rsid w:val="00F75C47"/>
    <w:rsid w:val="00F7685F"/>
    <w:rsid w:val="00F77870"/>
    <w:rsid w:val="00F82C55"/>
    <w:rsid w:val="00F841DA"/>
    <w:rsid w:val="00F84554"/>
    <w:rsid w:val="00F85683"/>
    <w:rsid w:val="00F856AB"/>
    <w:rsid w:val="00F856D0"/>
    <w:rsid w:val="00F8590A"/>
    <w:rsid w:val="00F8634D"/>
    <w:rsid w:val="00F86A64"/>
    <w:rsid w:val="00F86ABB"/>
    <w:rsid w:val="00F90806"/>
    <w:rsid w:val="00F90B79"/>
    <w:rsid w:val="00F92A31"/>
    <w:rsid w:val="00F92DD4"/>
    <w:rsid w:val="00F934FE"/>
    <w:rsid w:val="00F9360A"/>
    <w:rsid w:val="00F937FB"/>
    <w:rsid w:val="00F9657D"/>
    <w:rsid w:val="00FA0589"/>
    <w:rsid w:val="00FA05BD"/>
    <w:rsid w:val="00FA10B8"/>
    <w:rsid w:val="00FA1AC9"/>
    <w:rsid w:val="00FA409B"/>
    <w:rsid w:val="00FA4CD2"/>
    <w:rsid w:val="00FA545D"/>
    <w:rsid w:val="00FA78BC"/>
    <w:rsid w:val="00FA7F8F"/>
    <w:rsid w:val="00FB016E"/>
    <w:rsid w:val="00FB1A40"/>
    <w:rsid w:val="00FB353A"/>
    <w:rsid w:val="00FB38DC"/>
    <w:rsid w:val="00FB65E8"/>
    <w:rsid w:val="00FC0AF1"/>
    <w:rsid w:val="00FC1148"/>
    <w:rsid w:val="00FC4CA7"/>
    <w:rsid w:val="00FC59B1"/>
    <w:rsid w:val="00FD14E1"/>
    <w:rsid w:val="00FD1B33"/>
    <w:rsid w:val="00FD3C6F"/>
    <w:rsid w:val="00FD5357"/>
    <w:rsid w:val="00FD6E31"/>
    <w:rsid w:val="00FD6FFC"/>
    <w:rsid w:val="00FE0019"/>
    <w:rsid w:val="00FE08C1"/>
    <w:rsid w:val="00FE1E07"/>
    <w:rsid w:val="00FE24AB"/>
    <w:rsid w:val="00FE2AB6"/>
    <w:rsid w:val="00FE2D73"/>
    <w:rsid w:val="00FE32D0"/>
    <w:rsid w:val="00FE3DF5"/>
    <w:rsid w:val="00FE4F81"/>
    <w:rsid w:val="00FE5A90"/>
    <w:rsid w:val="00FE643B"/>
    <w:rsid w:val="00FF04EF"/>
    <w:rsid w:val="00FF07AC"/>
    <w:rsid w:val="00FF105D"/>
    <w:rsid w:val="00FF4C0C"/>
    <w:rsid w:val="00FF5119"/>
    <w:rsid w:val="00FF668A"/>
    <w:rsid w:val="00FF6A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B72720"/>
  <w15:docId w15:val="{D5B2DFB6-9F2C-4937-B2A4-56C7DF00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AD7"/>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rsid w:val="00D14D7D"/>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locked/>
    <w:rsid w:val="00D14D7D"/>
    <w:rPr>
      <w:rFonts w:cs="Times New Roman"/>
      <w:sz w:val="20"/>
      <w:szCs w:val="20"/>
    </w:rPr>
  </w:style>
  <w:style w:type="character" w:styleId="FootnoteReference">
    <w:name w:val="footnote reference"/>
    <w:aliases w:val="4_G,text pozn. pod čarou,Footnote symbol"/>
    <w:basedOn w:val="DefaultParagraphFont"/>
    <w:uiPriority w:val="99"/>
    <w:rsid w:val="00B801DE"/>
    <w:rPr>
      <w:rFonts w:ascii="Times New Roman" w:hAnsi="Times New Roman" w:cs="Times New Roman"/>
      <w:sz w:val="18"/>
      <w:vertAlign w:val="superscript"/>
    </w:rPr>
  </w:style>
  <w:style w:type="paragraph" w:styleId="Header">
    <w:name w:val="header"/>
    <w:basedOn w:val="Normal"/>
    <w:link w:val="HeaderChar"/>
    <w:uiPriority w:val="99"/>
    <w:rsid w:val="00D14D7D"/>
    <w:pPr>
      <w:tabs>
        <w:tab w:val="center" w:pos="4513"/>
        <w:tab w:val="right" w:pos="9026"/>
      </w:tabs>
      <w:suppressAutoHyphen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locked/>
    <w:rsid w:val="00D14D7D"/>
    <w:rPr>
      <w:rFonts w:ascii="Times New Roman" w:hAnsi="Times New Roman" w:cs="Times New Roman"/>
      <w:sz w:val="20"/>
      <w:szCs w:val="20"/>
    </w:rPr>
  </w:style>
  <w:style w:type="paragraph" w:styleId="Footer">
    <w:name w:val="footer"/>
    <w:basedOn w:val="Normal"/>
    <w:link w:val="FooterChar"/>
    <w:uiPriority w:val="99"/>
    <w:rsid w:val="00D14D7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14D7D"/>
    <w:rPr>
      <w:rFonts w:cs="Times New Roman"/>
    </w:rPr>
  </w:style>
  <w:style w:type="paragraph" w:styleId="ListParagraph">
    <w:name w:val="List Paragraph"/>
    <w:basedOn w:val="Normal"/>
    <w:uiPriority w:val="99"/>
    <w:qFormat/>
    <w:rsid w:val="00B854EF"/>
    <w:pPr>
      <w:ind w:left="720"/>
      <w:contextualSpacing/>
    </w:pPr>
  </w:style>
  <w:style w:type="paragraph" w:styleId="BalloonText">
    <w:name w:val="Balloon Text"/>
    <w:basedOn w:val="Normal"/>
    <w:link w:val="BalloonTextChar"/>
    <w:uiPriority w:val="99"/>
    <w:semiHidden/>
    <w:rsid w:val="004F6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6F32"/>
    <w:rPr>
      <w:rFonts w:ascii="Tahoma" w:hAnsi="Tahoma" w:cs="Tahoma"/>
      <w:sz w:val="16"/>
      <w:szCs w:val="16"/>
    </w:rPr>
  </w:style>
  <w:style w:type="character" w:styleId="CommentReference">
    <w:name w:val="annotation reference"/>
    <w:basedOn w:val="DefaultParagraphFont"/>
    <w:uiPriority w:val="99"/>
    <w:rsid w:val="004F6F32"/>
    <w:rPr>
      <w:rFonts w:cs="Times New Roman"/>
      <w:sz w:val="16"/>
      <w:szCs w:val="16"/>
    </w:rPr>
  </w:style>
  <w:style w:type="paragraph" w:styleId="CommentText">
    <w:name w:val="annotation text"/>
    <w:basedOn w:val="Normal"/>
    <w:link w:val="CommentTextChar"/>
    <w:uiPriority w:val="99"/>
    <w:rsid w:val="004F6F32"/>
    <w:pPr>
      <w:spacing w:line="240" w:lineRule="auto"/>
    </w:pPr>
    <w:rPr>
      <w:sz w:val="20"/>
      <w:szCs w:val="20"/>
    </w:rPr>
  </w:style>
  <w:style w:type="character" w:customStyle="1" w:styleId="CommentTextChar">
    <w:name w:val="Comment Text Char"/>
    <w:basedOn w:val="DefaultParagraphFont"/>
    <w:link w:val="CommentText"/>
    <w:uiPriority w:val="99"/>
    <w:locked/>
    <w:rsid w:val="004F6F32"/>
    <w:rPr>
      <w:rFonts w:cs="Times New Roman"/>
      <w:sz w:val="20"/>
      <w:szCs w:val="20"/>
    </w:rPr>
  </w:style>
  <w:style w:type="paragraph" w:styleId="CommentSubject">
    <w:name w:val="annotation subject"/>
    <w:basedOn w:val="CommentText"/>
    <w:next w:val="CommentText"/>
    <w:link w:val="CommentSubjectChar"/>
    <w:uiPriority w:val="99"/>
    <w:semiHidden/>
    <w:rsid w:val="004F6F32"/>
    <w:rPr>
      <w:b/>
      <w:bCs/>
    </w:rPr>
  </w:style>
  <w:style w:type="character" w:customStyle="1" w:styleId="CommentSubjectChar">
    <w:name w:val="Comment Subject Char"/>
    <w:basedOn w:val="CommentTextChar"/>
    <w:link w:val="CommentSubject"/>
    <w:uiPriority w:val="99"/>
    <w:semiHidden/>
    <w:locked/>
    <w:rsid w:val="004F6F32"/>
    <w:rPr>
      <w:rFonts w:cs="Times New Roman"/>
      <w:b/>
      <w:bCs/>
      <w:sz w:val="20"/>
      <w:szCs w:val="20"/>
    </w:rPr>
  </w:style>
  <w:style w:type="paragraph" w:customStyle="1" w:styleId="Default">
    <w:name w:val="Default"/>
    <w:rsid w:val="00B474DD"/>
    <w:pPr>
      <w:autoSpaceDE w:val="0"/>
      <w:autoSpaceDN w:val="0"/>
      <w:adjustRightInd w:val="0"/>
    </w:pPr>
    <w:rPr>
      <w:rFonts w:ascii="Arial" w:hAnsi="Arial"/>
      <w:color w:val="000000"/>
      <w:sz w:val="24"/>
      <w:szCs w:val="24"/>
      <w:lang w:val="en-GB" w:eastAsia="en-US"/>
    </w:rPr>
  </w:style>
  <w:style w:type="paragraph" w:styleId="NoSpacing">
    <w:name w:val="No Spacing"/>
    <w:uiPriority w:val="99"/>
    <w:qFormat/>
    <w:rsid w:val="002846D1"/>
    <w:rPr>
      <w:lang w:val="en-GB" w:eastAsia="en-US"/>
    </w:rPr>
  </w:style>
  <w:style w:type="paragraph" w:customStyle="1" w:styleId="SingleTxtG">
    <w:name w:val="_ Single Txt_G"/>
    <w:basedOn w:val="Normal"/>
    <w:link w:val="SingleTxtGChar"/>
    <w:uiPriority w:val="99"/>
    <w:rsid w:val="00A26AAC"/>
    <w:pPr>
      <w:suppressAutoHyphens/>
      <w:spacing w:after="120" w:line="240" w:lineRule="atLeast"/>
      <w:ind w:left="1134" w:right="1134"/>
      <w:jc w:val="both"/>
    </w:pPr>
    <w:rPr>
      <w:rFonts w:ascii="Times New Roman" w:eastAsia="Times New Roman" w:hAnsi="Times New Roman" w:cs="Times New Roman"/>
      <w:sz w:val="20"/>
      <w:szCs w:val="20"/>
    </w:rPr>
  </w:style>
  <w:style w:type="paragraph" w:customStyle="1" w:styleId="Bullet2G">
    <w:name w:val="_Bullet 2_G"/>
    <w:basedOn w:val="Normal"/>
    <w:uiPriority w:val="99"/>
    <w:rsid w:val="006A3682"/>
    <w:pPr>
      <w:numPr>
        <w:numId w:val="15"/>
      </w:numPr>
      <w:suppressAutoHyphens/>
      <w:spacing w:after="120" w:line="240" w:lineRule="atLeast"/>
      <w:ind w:right="1134"/>
      <w:jc w:val="both"/>
    </w:pPr>
    <w:rPr>
      <w:rFonts w:ascii="Times New Roman" w:eastAsia="Times New Roman" w:hAnsi="Times New Roman" w:cs="Times New Roman"/>
      <w:sz w:val="20"/>
      <w:szCs w:val="20"/>
    </w:rPr>
  </w:style>
  <w:style w:type="paragraph" w:customStyle="1" w:styleId="H56G">
    <w:name w:val="_ H_5/6_G"/>
    <w:basedOn w:val="Normal"/>
    <w:next w:val="Normal"/>
    <w:uiPriority w:val="99"/>
    <w:rsid w:val="006A3682"/>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z w:val="20"/>
      <w:szCs w:val="20"/>
    </w:rPr>
  </w:style>
  <w:style w:type="paragraph" w:styleId="Revision">
    <w:name w:val="Revision"/>
    <w:hidden/>
    <w:uiPriority w:val="99"/>
    <w:semiHidden/>
    <w:rsid w:val="00DA4BBB"/>
    <w:rPr>
      <w:lang w:val="en-GB" w:eastAsia="en-US"/>
    </w:rPr>
  </w:style>
  <w:style w:type="paragraph" w:styleId="BodyText">
    <w:name w:val="Body Text"/>
    <w:basedOn w:val="Normal"/>
    <w:link w:val="BodyTextChar"/>
    <w:uiPriority w:val="99"/>
    <w:rsid w:val="000B0894"/>
    <w:pPr>
      <w:widowControl w:val="0"/>
      <w:spacing w:after="0" w:line="240" w:lineRule="auto"/>
      <w:ind w:left="148"/>
    </w:pPr>
    <w:rPr>
      <w:rFonts w:ascii="Arial" w:hAnsi="Arial"/>
      <w:sz w:val="23"/>
      <w:szCs w:val="23"/>
      <w:lang w:val="en-US"/>
    </w:rPr>
  </w:style>
  <w:style w:type="character" w:customStyle="1" w:styleId="BodyTextChar">
    <w:name w:val="Body Text Char"/>
    <w:basedOn w:val="DefaultParagraphFont"/>
    <w:link w:val="BodyText"/>
    <w:uiPriority w:val="99"/>
    <w:locked/>
    <w:rsid w:val="000B0894"/>
    <w:rPr>
      <w:rFonts w:ascii="Arial" w:hAnsi="Arial" w:cs="Times New Roman"/>
      <w:sz w:val="23"/>
      <w:szCs w:val="23"/>
      <w:lang w:val="en-US"/>
    </w:rPr>
  </w:style>
  <w:style w:type="paragraph" w:styleId="NormalWeb">
    <w:name w:val="Normal (Web)"/>
    <w:basedOn w:val="Normal"/>
    <w:uiPriority w:val="99"/>
    <w:semiHidden/>
    <w:rsid w:val="001B233C"/>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725F36"/>
    <w:rPr>
      <w:rFonts w:cs="Times New Roman"/>
      <w:color w:val="0000FF"/>
      <w:u w:val="single"/>
    </w:rPr>
  </w:style>
  <w:style w:type="character" w:customStyle="1" w:styleId="SingleTxtGChar">
    <w:name w:val="_ Single Txt_G Char"/>
    <w:link w:val="SingleTxtG"/>
    <w:uiPriority w:val="99"/>
    <w:locked/>
    <w:rsid w:val="007E3430"/>
    <w:rPr>
      <w:rFonts w:ascii="Times New Roman" w:eastAsia="Times New Roman" w:hAnsi="Times New Roman" w:cs="Times New Roman"/>
      <w:sz w:val="20"/>
      <w:szCs w:val="20"/>
      <w:lang w:val="en-GB" w:eastAsia="en-US"/>
    </w:rPr>
  </w:style>
  <w:style w:type="paragraph" w:customStyle="1" w:styleId="Normal1">
    <w:name w:val="Normal1"/>
    <w:basedOn w:val="Normal"/>
    <w:rsid w:val="00C70D2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c01pointnumerotealtn">
    <w:name w:val="c01pointnumerotealtn"/>
    <w:basedOn w:val="Normal"/>
    <w:rsid w:val="00853A7D"/>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UnresolvedMention">
    <w:name w:val="Unresolved Mention"/>
    <w:basedOn w:val="DefaultParagraphFont"/>
    <w:uiPriority w:val="99"/>
    <w:semiHidden/>
    <w:unhideWhenUsed/>
    <w:rsid w:val="002839FC"/>
    <w:rPr>
      <w:color w:val="605E5C"/>
      <w:shd w:val="clear" w:color="auto" w:fill="E1DFDD"/>
    </w:rPr>
  </w:style>
  <w:style w:type="character" w:styleId="Strong">
    <w:name w:val="Strong"/>
    <w:basedOn w:val="DefaultParagraphFont"/>
    <w:uiPriority w:val="22"/>
    <w:qFormat/>
    <w:locked/>
    <w:rsid w:val="009216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2160">
      <w:bodyDiv w:val="1"/>
      <w:marLeft w:val="0"/>
      <w:marRight w:val="0"/>
      <w:marTop w:val="0"/>
      <w:marBottom w:val="0"/>
      <w:divBdr>
        <w:top w:val="none" w:sz="0" w:space="0" w:color="auto"/>
        <w:left w:val="none" w:sz="0" w:space="0" w:color="auto"/>
        <w:bottom w:val="none" w:sz="0" w:space="0" w:color="auto"/>
        <w:right w:val="none" w:sz="0" w:space="0" w:color="auto"/>
      </w:divBdr>
    </w:div>
    <w:div w:id="319425679">
      <w:bodyDiv w:val="1"/>
      <w:marLeft w:val="0"/>
      <w:marRight w:val="0"/>
      <w:marTop w:val="0"/>
      <w:marBottom w:val="0"/>
      <w:divBdr>
        <w:top w:val="none" w:sz="0" w:space="0" w:color="auto"/>
        <w:left w:val="none" w:sz="0" w:space="0" w:color="auto"/>
        <w:bottom w:val="none" w:sz="0" w:space="0" w:color="auto"/>
        <w:right w:val="none" w:sz="0" w:space="0" w:color="auto"/>
      </w:divBdr>
    </w:div>
    <w:div w:id="792360972">
      <w:bodyDiv w:val="1"/>
      <w:marLeft w:val="0"/>
      <w:marRight w:val="0"/>
      <w:marTop w:val="0"/>
      <w:marBottom w:val="0"/>
      <w:divBdr>
        <w:top w:val="none" w:sz="0" w:space="0" w:color="auto"/>
        <w:left w:val="none" w:sz="0" w:space="0" w:color="auto"/>
        <w:bottom w:val="none" w:sz="0" w:space="0" w:color="auto"/>
        <w:right w:val="none" w:sz="0" w:space="0" w:color="auto"/>
      </w:divBdr>
    </w:div>
    <w:div w:id="887032630">
      <w:bodyDiv w:val="1"/>
      <w:marLeft w:val="0"/>
      <w:marRight w:val="0"/>
      <w:marTop w:val="0"/>
      <w:marBottom w:val="0"/>
      <w:divBdr>
        <w:top w:val="none" w:sz="0" w:space="0" w:color="auto"/>
        <w:left w:val="none" w:sz="0" w:space="0" w:color="auto"/>
        <w:bottom w:val="none" w:sz="0" w:space="0" w:color="auto"/>
        <w:right w:val="none" w:sz="0" w:space="0" w:color="auto"/>
      </w:divBdr>
    </w:div>
    <w:div w:id="958025485">
      <w:bodyDiv w:val="1"/>
      <w:marLeft w:val="0"/>
      <w:marRight w:val="0"/>
      <w:marTop w:val="0"/>
      <w:marBottom w:val="0"/>
      <w:divBdr>
        <w:top w:val="none" w:sz="0" w:space="0" w:color="auto"/>
        <w:left w:val="none" w:sz="0" w:space="0" w:color="auto"/>
        <w:bottom w:val="none" w:sz="0" w:space="0" w:color="auto"/>
        <w:right w:val="none" w:sz="0" w:space="0" w:color="auto"/>
      </w:divBdr>
    </w:div>
    <w:div w:id="1284114925">
      <w:bodyDiv w:val="1"/>
      <w:marLeft w:val="0"/>
      <w:marRight w:val="0"/>
      <w:marTop w:val="0"/>
      <w:marBottom w:val="0"/>
      <w:divBdr>
        <w:top w:val="none" w:sz="0" w:space="0" w:color="auto"/>
        <w:left w:val="none" w:sz="0" w:space="0" w:color="auto"/>
        <w:bottom w:val="none" w:sz="0" w:space="0" w:color="auto"/>
        <w:right w:val="none" w:sz="0" w:space="0" w:color="auto"/>
      </w:divBdr>
    </w:div>
    <w:div w:id="1523128731">
      <w:bodyDiv w:val="1"/>
      <w:marLeft w:val="0"/>
      <w:marRight w:val="0"/>
      <w:marTop w:val="0"/>
      <w:marBottom w:val="0"/>
      <w:divBdr>
        <w:top w:val="none" w:sz="0" w:space="0" w:color="auto"/>
        <w:left w:val="none" w:sz="0" w:space="0" w:color="auto"/>
        <w:bottom w:val="none" w:sz="0" w:space="0" w:color="auto"/>
        <w:right w:val="none" w:sz="0" w:space="0" w:color="auto"/>
      </w:divBdr>
    </w:div>
    <w:div w:id="1545604854">
      <w:marLeft w:val="0"/>
      <w:marRight w:val="0"/>
      <w:marTop w:val="0"/>
      <w:marBottom w:val="0"/>
      <w:divBdr>
        <w:top w:val="none" w:sz="0" w:space="0" w:color="auto"/>
        <w:left w:val="none" w:sz="0" w:space="0" w:color="auto"/>
        <w:bottom w:val="none" w:sz="0" w:space="0" w:color="auto"/>
        <w:right w:val="none" w:sz="0" w:space="0" w:color="auto"/>
      </w:divBdr>
      <w:divsChild>
        <w:div w:id="1545604912">
          <w:marLeft w:val="0"/>
          <w:marRight w:val="0"/>
          <w:marTop w:val="0"/>
          <w:marBottom w:val="0"/>
          <w:divBdr>
            <w:top w:val="none" w:sz="0" w:space="0" w:color="auto"/>
            <w:left w:val="none" w:sz="0" w:space="0" w:color="auto"/>
            <w:bottom w:val="none" w:sz="0" w:space="0" w:color="auto"/>
            <w:right w:val="none" w:sz="0" w:space="0" w:color="auto"/>
          </w:divBdr>
        </w:div>
        <w:div w:id="1545604932">
          <w:marLeft w:val="0"/>
          <w:marRight w:val="0"/>
          <w:marTop w:val="0"/>
          <w:marBottom w:val="0"/>
          <w:divBdr>
            <w:top w:val="none" w:sz="0" w:space="0" w:color="auto"/>
            <w:left w:val="none" w:sz="0" w:space="0" w:color="auto"/>
            <w:bottom w:val="none" w:sz="0" w:space="0" w:color="auto"/>
            <w:right w:val="none" w:sz="0" w:space="0" w:color="auto"/>
          </w:divBdr>
        </w:div>
        <w:div w:id="1545604936">
          <w:marLeft w:val="0"/>
          <w:marRight w:val="0"/>
          <w:marTop w:val="0"/>
          <w:marBottom w:val="0"/>
          <w:divBdr>
            <w:top w:val="none" w:sz="0" w:space="0" w:color="auto"/>
            <w:left w:val="none" w:sz="0" w:space="0" w:color="auto"/>
            <w:bottom w:val="none" w:sz="0" w:space="0" w:color="auto"/>
            <w:right w:val="none" w:sz="0" w:space="0" w:color="auto"/>
          </w:divBdr>
        </w:div>
        <w:div w:id="1545604941">
          <w:marLeft w:val="0"/>
          <w:marRight w:val="0"/>
          <w:marTop w:val="0"/>
          <w:marBottom w:val="0"/>
          <w:divBdr>
            <w:top w:val="none" w:sz="0" w:space="0" w:color="auto"/>
            <w:left w:val="none" w:sz="0" w:space="0" w:color="auto"/>
            <w:bottom w:val="none" w:sz="0" w:space="0" w:color="auto"/>
            <w:right w:val="none" w:sz="0" w:space="0" w:color="auto"/>
          </w:divBdr>
        </w:div>
        <w:div w:id="1545604957">
          <w:marLeft w:val="0"/>
          <w:marRight w:val="0"/>
          <w:marTop w:val="0"/>
          <w:marBottom w:val="0"/>
          <w:divBdr>
            <w:top w:val="none" w:sz="0" w:space="0" w:color="auto"/>
            <w:left w:val="none" w:sz="0" w:space="0" w:color="auto"/>
            <w:bottom w:val="none" w:sz="0" w:space="0" w:color="auto"/>
            <w:right w:val="none" w:sz="0" w:space="0" w:color="auto"/>
          </w:divBdr>
        </w:div>
        <w:div w:id="1545604958">
          <w:marLeft w:val="0"/>
          <w:marRight w:val="0"/>
          <w:marTop w:val="0"/>
          <w:marBottom w:val="0"/>
          <w:divBdr>
            <w:top w:val="none" w:sz="0" w:space="0" w:color="auto"/>
            <w:left w:val="none" w:sz="0" w:space="0" w:color="auto"/>
            <w:bottom w:val="none" w:sz="0" w:space="0" w:color="auto"/>
            <w:right w:val="none" w:sz="0" w:space="0" w:color="auto"/>
          </w:divBdr>
        </w:div>
        <w:div w:id="1545604993">
          <w:marLeft w:val="0"/>
          <w:marRight w:val="0"/>
          <w:marTop w:val="0"/>
          <w:marBottom w:val="0"/>
          <w:divBdr>
            <w:top w:val="none" w:sz="0" w:space="0" w:color="auto"/>
            <w:left w:val="none" w:sz="0" w:space="0" w:color="auto"/>
            <w:bottom w:val="none" w:sz="0" w:space="0" w:color="auto"/>
            <w:right w:val="none" w:sz="0" w:space="0" w:color="auto"/>
          </w:divBdr>
        </w:div>
        <w:div w:id="1545605002">
          <w:marLeft w:val="0"/>
          <w:marRight w:val="0"/>
          <w:marTop w:val="0"/>
          <w:marBottom w:val="0"/>
          <w:divBdr>
            <w:top w:val="none" w:sz="0" w:space="0" w:color="auto"/>
            <w:left w:val="none" w:sz="0" w:space="0" w:color="auto"/>
            <w:bottom w:val="none" w:sz="0" w:space="0" w:color="auto"/>
            <w:right w:val="none" w:sz="0" w:space="0" w:color="auto"/>
          </w:divBdr>
        </w:div>
        <w:div w:id="1545605005">
          <w:marLeft w:val="0"/>
          <w:marRight w:val="0"/>
          <w:marTop w:val="0"/>
          <w:marBottom w:val="0"/>
          <w:divBdr>
            <w:top w:val="none" w:sz="0" w:space="0" w:color="auto"/>
            <w:left w:val="none" w:sz="0" w:space="0" w:color="auto"/>
            <w:bottom w:val="none" w:sz="0" w:space="0" w:color="auto"/>
            <w:right w:val="none" w:sz="0" w:space="0" w:color="auto"/>
          </w:divBdr>
        </w:div>
        <w:div w:id="1545605011">
          <w:marLeft w:val="0"/>
          <w:marRight w:val="0"/>
          <w:marTop w:val="0"/>
          <w:marBottom w:val="0"/>
          <w:divBdr>
            <w:top w:val="none" w:sz="0" w:space="0" w:color="auto"/>
            <w:left w:val="none" w:sz="0" w:space="0" w:color="auto"/>
            <w:bottom w:val="none" w:sz="0" w:space="0" w:color="auto"/>
            <w:right w:val="none" w:sz="0" w:space="0" w:color="auto"/>
          </w:divBdr>
        </w:div>
      </w:divsChild>
    </w:div>
    <w:div w:id="1545604856">
      <w:marLeft w:val="0"/>
      <w:marRight w:val="0"/>
      <w:marTop w:val="0"/>
      <w:marBottom w:val="0"/>
      <w:divBdr>
        <w:top w:val="none" w:sz="0" w:space="0" w:color="auto"/>
        <w:left w:val="none" w:sz="0" w:space="0" w:color="auto"/>
        <w:bottom w:val="none" w:sz="0" w:space="0" w:color="auto"/>
        <w:right w:val="none" w:sz="0" w:space="0" w:color="auto"/>
      </w:divBdr>
      <w:divsChild>
        <w:div w:id="1545604865">
          <w:marLeft w:val="0"/>
          <w:marRight w:val="0"/>
          <w:marTop w:val="0"/>
          <w:marBottom w:val="0"/>
          <w:divBdr>
            <w:top w:val="none" w:sz="0" w:space="0" w:color="auto"/>
            <w:left w:val="none" w:sz="0" w:space="0" w:color="auto"/>
            <w:bottom w:val="none" w:sz="0" w:space="0" w:color="auto"/>
            <w:right w:val="none" w:sz="0" w:space="0" w:color="auto"/>
          </w:divBdr>
        </w:div>
        <w:div w:id="1545604873">
          <w:marLeft w:val="0"/>
          <w:marRight w:val="0"/>
          <w:marTop w:val="0"/>
          <w:marBottom w:val="0"/>
          <w:divBdr>
            <w:top w:val="none" w:sz="0" w:space="0" w:color="auto"/>
            <w:left w:val="none" w:sz="0" w:space="0" w:color="auto"/>
            <w:bottom w:val="none" w:sz="0" w:space="0" w:color="auto"/>
            <w:right w:val="none" w:sz="0" w:space="0" w:color="auto"/>
          </w:divBdr>
        </w:div>
        <w:div w:id="1545604874">
          <w:marLeft w:val="0"/>
          <w:marRight w:val="0"/>
          <w:marTop w:val="0"/>
          <w:marBottom w:val="0"/>
          <w:divBdr>
            <w:top w:val="none" w:sz="0" w:space="0" w:color="auto"/>
            <w:left w:val="none" w:sz="0" w:space="0" w:color="auto"/>
            <w:bottom w:val="none" w:sz="0" w:space="0" w:color="auto"/>
            <w:right w:val="none" w:sz="0" w:space="0" w:color="auto"/>
          </w:divBdr>
        </w:div>
        <w:div w:id="1545604890">
          <w:marLeft w:val="0"/>
          <w:marRight w:val="0"/>
          <w:marTop w:val="0"/>
          <w:marBottom w:val="0"/>
          <w:divBdr>
            <w:top w:val="none" w:sz="0" w:space="0" w:color="auto"/>
            <w:left w:val="none" w:sz="0" w:space="0" w:color="auto"/>
            <w:bottom w:val="none" w:sz="0" w:space="0" w:color="auto"/>
            <w:right w:val="none" w:sz="0" w:space="0" w:color="auto"/>
          </w:divBdr>
        </w:div>
        <w:div w:id="1545604900">
          <w:marLeft w:val="0"/>
          <w:marRight w:val="0"/>
          <w:marTop w:val="0"/>
          <w:marBottom w:val="0"/>
          <w:divBdr>
            <w:top w:val="none" w:sz="0" w:space="0" w:color="auto"/>
            <w:left w:val="none" w:sz="0" w:space="0" w:color="auto"/>
            <w:bottom w:val="none" w:sz="0" w:space="0" w:color="auto"/>
            <w:right w:val="none" w:sz="0" w:space="0" w:color="auto"/>
          </w:divBdr>
        </w:div>
        <w:div w:id="1545604906">
          <w:marLeft w:val="0"/>
          <w:marRight w:val="0"/>
          <w:marTop w:val="0"/>
          <w:marBottom w:val="0"/>
          <w:divBdr>
            <w:top w:val="none" w:sz="0" w:space="0" w:color="auto"/>
            <w:left w:val="none" w:sz="0" w:space="0" w:color="auto"/>
            <w:bottom w:val="none" w:sz="0" w:space="0" w:color="auto"/>
            <w:right w:val="none" w:sz="0" w:space="0" w:color="auto"/>
          </w:divBdr>
        </w:div>
        <w:div w:id="1545604925">
          <w:marLeft w:val="0"/>
          <w:marRight w:val="0"/>
          <w:marTop w:val="0"/>
          <w:marBottom w:val="0"/>
          <w:divBdr>
            <w:top w:val="none" w:sz="0" w:space="0" w:color="auto"/>
            <w:left w:val="none" w:sz="0" w:space="0" w:color="auto"/>
            <w:bottom w:val="none" w:sz="0" w:space="0" w:color="auto"/>
            <w:right w:val="none" w:sz="0" w:space="0" w:color="auto"/>
          </w:divBdr>
        </w:div>
        <w:div w:id="1545604951">
          <w:marLeft w:val="0"/>
          <w:marRight w:val="0"/>
          <w:marTop w:val="0"/>
          <w:marBottom w:val="0"/>
          <w:divBdr>
            <w:top w:val="none" w:sz="0" w:space="0" w:color="auto"/>
            <w:left w:val="none" w:sz="0" w:space="0" w:color="auto"/>
            <w:bottom w:val="none" w:sz="0" w:space="0" w:color="auto"/>
            <w:right w:val="none" w:sz="0" w:space="0" w:color="auto"/>
          </w:divBdr>
        </w:div>
        <w:div w:id="1545604978">
          <w:marLeft w:val="0"/>
          <w:marRight w:val="0"/>
          <w:marTop w:val="0"/>
          <w:marBottom w:val="0"/>
          <w:divBdr>
            <w:top w:val="none" w:sz="0" w:space="0" w:color="auto"/>
            <w:left w:val="none" w:sz="0" w:space="0" w:color="auto"/>
            <w:bottom w:val="none" w:sz="0" w:space="0" w:color="auto"/>
            <w:right w:val="none" w:sz="0" w:space="0" w:color="auto"/>
          </w:divBdr>
        </w:div>
      </w:divsChild>
    </w:div>
    <w:div w:id="1545604879">
      <w:marLeft w:val="0"/>
      <w:marRight w:val="0"/>
      <w:marTop w:val="0"/>
      <w:marBottom w:val="0"/>
      <w:divBdr>
        <w:top w:val="none" w:sz="0" w:space="0" w:color="auto"/>
        <w:left w:val="none" w:sz="0" w:space="0" w:color="auto"/>
        <w:bottom w:val="none" w:sz="0" w:space="0" w:color="auto"/>
        <w:right w:val="none" w:sz="0" w:space="0" w:color="auto"/>
      </w:divBdr>
      <w:divsChild>
        <w:div w:id="1545604885">
          <w:marLeft w:val="0"/>
          <w:marRight w:val="0"/>
          <w:marTop w:val="0"/>
          <w:marBottom w:val="0"/>
          <w:divBdr>
            <w:top w:val="none" w:sz="0" w:space="0" w:color="auto"/>
            <w:left w:val="none" w:sz="0" w:space="0" w:color="auto"/>
            <w:bottom w:val="none" w:sz="0" w:space="0" w:color="auto"/>
            <w:right w:val="none" w:sz="0" w:space="0" w:color="auto"/>
          </w:divBdr>
        </w:div>
        <w:div w:id="1545604889">
          <w:marLeft w:val="0"/>
          <w:marRight w:val="0"/>
          <w:marTop w:val="0"/>
          <w:marBottom w:val="0"/>
          <w:divBdr>
            <w:top w:val="none" w:sz="0" w:space="0" w:color="auto"/>
            <w:left w:val="none" w:sz="0" w:space="0" w:color="auto"/>
            <w:bottom w:val="none" w:sz="0" w:space="0" w:color="auto"/>
            <w:right w:val="none" w:sz="0" w:space="0" w:color="auto"/>
          </w:divBdr>
        </w:div>
        <w:div w:id="1545604893">
          <w:marLeft w:val="0"/>
          <w:marRight w:val="0"/>
          <w:marTop w:val="0"/>
          <w:marBottom w:val="0"/>
          <w:divBdr>
            <w:top w:val="none" w:sz="0" w:space="0" w:color="auto"/>
            <w:left w:val="none" w:sz="0" w:space="0" w:color="auto"/>
            <w:bottom w:val="none" w:sz="0" w:space="0" w:color="auto"/>
            <w:right w:val="none" w:sz="0" w:space="0" w:color="auto"/>
          </w:divBdr>
        </w:div>
        <w:div w:id="1545604904">
          <w:marLeft w:val="0"/>
          <w:marRight w:val="0"/>
          <w:marTop w:val="0"/>
          <w:marBottom w:val="0"/>
          <w:divBdr>
            <w:top w:val="none" w:sz="0" w:space="0" w:color="auto"/>
            <w:left w:val="none" w:sz="0" w:space="0" w:color="auto"/>
            <w:bottom w:val="none" w:sz="0" w:space="0" w:color="auto"/>
            <w:right w:val="none" w:sz="0" w:space="0" w:color="auto"/>
          </w:divBdr>
        </w:div>
        <w:div w:id="1545604918">
          <w:marLeft w:val="0"/>
          <w:marRight w:val="0"/>
          <w:marTop w:val="0"/>
          <w:marBottom w:val="0"/>
          <w:divBdr>
            <w:top w:val="none" w:sz="0" w:space="0" w:color="auto"/>
            <w:left w:val="none" w:sz="0" w:space="0" w:color="auto"/>
            <w:bottom w:val="none" w:sz="0" w:space="0" w:color="auto"/>
            <w:right w:val="none" w:sz="0" w:space="0" w:color="auto"/>
          </w:divBdr>
        </w:div>
        <w:div w:id="1545604920">
          <w:marLeft w:val="0"/>
          <w:marRight w:val="0"/>
          <w:marTop w:val="0"/>
          <w:marBottom w:val="0"/>
          <w:divBdr>
            <w:top w:val="none" w:sz="0" w:space="0" w:color="auto"/>
            <w:left w:val="none" w:sz="0" w:space="0" w:color="auto"/>
            <w:bottom w:val="none" w:sz="0" w:space="0" w:color="auto"/>
            <w:right w:val="none" w:sz="0" w:space="0" w:color="auto"/>
          </w:divBdr>
        </w:div>
        <w:div w:id="1545604922">
          <w:marLeft w:val="0"/>
          <w:marRight w:val="0"/>
          <w:marTop w:val="0"/>
          <w:marBottom w:val="0"/>
          <w:divBdr>
            <w:top w:val="none" w:sz="0" w:space="0" w:color="auto"/>
            <w:left w:val="none" w:sz="0" w:space="0" w:color="auto"/>
            <w:bottom w:val="none" w:sz="0" w:space="0" w:color="auto"/>
            <w:right w:val="none" w:sz="0" w:space="0" w:color="auto"/>
          </w:divBdr>
        </w:div>
        <w:div w:id="1545604929">
          <w:marLeft w:val="0"/>
          <w:marRight w:val="0"/>
          <w:marTop w:val="0"/>
          <w:marBottom w:val="0"/>
          <w:divBdr>
            <w:top w:val="none" w:sz="0" w:space="0" w:color="auto"/>
            <w:left w:val="none" w:sz="0" w:space="0" w:color="auto"/>
            <w:bottom w:val="none" w:sz="0" w:space="0" w:color="auto"/>
            <w:right w:val="none" w:sz="0" w:space="0" w:color="auto"/>
          </w:divBdr>
        </w:div>
        <w:div w:id="1545604939">
          <w:marLeft w:val="0"/>
          <w:marRight w:val="0"/>
          <w:marTop w:val="0"/>
          <w:marBottom w:val="0"/>
          <w:divBdr>
            <w:top w:val="none" w:sz="0" w:space="0" w:color="auto"/>
            <w:left w:val="none" w:sz="0" w:space="0" w:color="auto"/>
            <w:bottom w:val="none" w:sz="0" w:space="0" w:color="auto"/>
            <w:right w:val="none" w:sz="0" w:space="0" w:color="auto"/>
          </w:divBdr>
        </w:div>
        <w:div w:id="1545604983">
          <w:marLeft w:val="0"/>
          <w:marRight w:val="0"/>
          <w:marTop w:val="0"/>
          <w:marBottom w:val="0"/>
          <w:divBdr>
            <w:top w:val="none" w:sz="0" w:space="0" w:color="auto"/>
            <w:left w:val="none" w:sz="0" w:space="0" w:color="auto"/>
            <w:bottom w:val="none" w:sz="0" w:space="0" w:color="auto"/>
            <w:right w:val="none" w:sz="0" w:space="0" w:color="auto"/>
          </w:divBdr>
        </w:div>
        <w:div w:id="1545604987">
          <w:marLeft w:val="0"/>
          <w:marRight w:val="0"/>
          <w:marTop w:val="0"/>
          <w:marBottom w:val="0"/>
          <w:divBdr>
            <w:top w:val="none" w:sz="0" w:space="0" w:color="auto"/>
            <w:left w:val="none" w:sz="0" w:space="0" w:color="auto"/>
            <w:bottom w:val="none" w:sz="0" w:space="0" w:color="auto"/>
            <w:right w:val="none" w:sz="0" w:space="0" w:color="auto"/>
          </w:divBdr>
        </w:div>
        <w:div w:id="1545604999">
          <w:marLeft w:val="0"/>
          <w:marRight w:val="0"/>
          <w:marTop w:val="0"/>
          <w:marBottom w:val="0"/>
          <w:divBdr>
            <w:top w:val="none" w:sz="0" w:space="0" w:color="auto"/>
            <w:left w:val="none" w:sz="0" w:space="0" w:color="auto"/>
            <w:bottom w:val="none" w:sz="0" w:space="0" w:color="auto"/>
            <w:right w:val="none" w:sz="0" w:space="0" w:color="auto"/>
          </w:divBdr>
        </w:div>
      </w:divsChild>
    </w:div>
    <w:div w:id="1545604884">
      <w:marLeft w:val="0"/>
      <w:marRight w:val="0"/>
      <w:marTop w:val="0"/>
      <w:marBottom w:val="0"/>
      <w:divBdr>
        <w:top w:val="none" w:sz="0" w:space="0" w:color="auto"/>
        <w:left w:val="none" w:sz="0" w:space="0" w:color="auto"/>
        <w:bottom w:val="none" w:sz="0" w:space="0" w:color="auto"/>
        <w:right w:val="none" w:sz="0" w:space="0" w:color="auto"/>
      </w:divBdr>
      <w:divsChild>
        <w:div w:id="1545604868">
          <w:marLeft w:val="0"/>
          <w:marRight w:val="0"/>
          <w:marTop w:val="0"/>
          <w:marBottom w:val="0"/>
          <w:divBdr>
            <w:top w:val="none" w:sz="0" w:space="0" w:color="auto"/>
            <w:left w:val="none" w:sz="0" w:space="0" w:color="auto"/>
            <w:bottom w:val="none" w:sz="0" w:space="0" w:color="auto"/>
            <w:right w:val="none" w:sz="0" w:space="0" w:color="auto"/>
          </w:divBdr>
        </w:div>
        <w:div w:id="1545604870">
          <w:marLeft w:val="0"/>
          <w:marRight w:val="0"/>
          <w:marTop w:val="0"/>
          <w:marBottom w:val="0"/>
          <w:divBdr>
            <w:top w:val="none" w:sz="0" w:space="0" w:color="auto"/>
            <w:left w:val="none" w:sz="0" w:space="0" w:color="auto"/>
            <w:bottom w:val="none" w:sz="0" w:space="0" w:color="auto"/>
            <w:right w:val="none" w:sz="0" w:space="0" w:color="auto"/>
          </w:divBdr>
        </w:div>
        <w:div w:id="1545604880">
          <w:marLeft w:val="0"/>
          <w:marRight w:val="0"/>
          <w:marTop w:val="0"/>
          <w:marBottom w:val="0"/>
          <w:divBdr>
            <w:top w:val="none" w:sz="0" w:space="0" w:color="auto"/>
            <w:left w:val="none" w:sz="0" w:space="0" w:color="auto"/>
            <w:bottom w:val="none" w:sz="0" w:space="0" w:color="auto"/>
            <w:right w:val="none" w:sz="0" w:space="0" w:color="auto"/>
          </w:divBdr>
        </w:div>
        <w:div w:id="1545604915">
          <w:marLeft w:val="0"/>
          <w:marRight w:val="0"/>
          <w:marTop w:val="0"/>
          <w:marBottom w:val="0"/>
          <w:divBdr>
            <w:top w:val="none" w:sz="0" w:space="0" w:color="auto"/>
            <w:left w:val="none" w:sz="0" w:space="0" w:color="auto"/>
            <w:bottom w:val="none" w:sz="0" w:space="0" w:color="auto"/>
            <w:right w:val="none" w:sz="0" w:space="0" w:color="auto"/>
          </w:divBdr>
        </w:div>
        <w:div w:id="1545604928">
          <w:marLeft w:val="0"/>
          <w:marRight w:val="0"/>
          <w:marTop w:val="0"/>
          <w:marBottom w:val="0"/>
          <w:divBdr>
            <w:top w:val="none" w:sz="0" w:space="0" w:color="auto"/>
            <w:left w:val="none" w:sz="0" w:space="0" w:color="auto"/>
            <w:bottom w:val="none" w:sz="0" w:space="0" w:color="auto"/>
            <w:right w:val="none" w:sz="0" w:space="0" w:color="auto"/>
          </w:divBdr>
        </w:div>
        <w:div w:id="1545604942">
          <w:marLeft w:val="0"/>
          <w:marRight w:val="0"/>
          <w:marTop w:val="0"/>
          <w:marBottom w:val="0"/>
          <w:divBdr>
            <w:top w:val="none" w:sz="0" w:space="0" w:color="auto"/>
            <w:left w:val="none" w:sz="0" w:space="0" w:color="auto"/>
            <w:bottom w:val="none" w:sz="0" w:space="0" w:color="auto"/>
            <w:right w:val="none" w:sz="0" w:space="0" w:color="auto"/>
          </w:divBdr>
        </w:div>
        <w:div w:id="1545604945">
          <w:marLeft w:val="0"/>
          <w:marRight w:val="0"/>
          <w:marTop w:val="0"/>
          <w:marBottom w:val="0"/>
          <w:divBdr>
            <w:top w:val="none" w:sz="0" w:space="0" w:color="auto"/>
            <w:left w:val="none" w:sz="0" w:space="0" w:color="auto"/>
            <w:bottom w:val="none" w:sz="0" w:space="0" w:color="auto"/>
            <w:right w:val="none" w:sz="0" w:space="0" w:color="auto"/>
          </w:divBdr>
        </w:div>
        <w:div w:id="1545604946">
          <w:marLeft w:val="0"/>
          <w:marRight w:val="0"/>
          <w:marTop w:val="0"/>
          <w:marBottom w:val="0"/>
          <w:divBdr>
            <w:top w:val="none" w:sz="0" w:space="0" w:color="auto"/>
            <w:left w:val="none" w:sz="0" w:space="0" w:color="auto"/>
            <w:bottom w:val="none" w:sz="0" w:space="0" w:color="auto"/>
            <w:right w:val="none" w:sz="0" w:space="0" w:color="auto"/>
          </w:divBdr>
        </w:div>
        <w:div w:id="1545604954">
          <w:marLeft w:val="0"/>
          <w:marRight w:val="0"/>
          <w:marTop w:val="0"/>
          <w:marBottom w:val="0"/>
          <w:divBdr>
            <w:top w:val="none" w:sz="0" w:space="0" w:color="auto"/>
            <w:left w:val="none" w:sz="0" w:space="0" w:color="auto"/>
            <w:bottom w:val="none" w:sz="0" w:space="0" w:color="auto"/>
            <w:right w:val="none" w:sz="0" w:space="0" w:color="auto"/>
          </w:divBdr>
        </w:div>
        <w:div w:id="1545604998">
          <w:marLeft w:val="0"/>
          <w:marRight w:val="0"/>
          <w:marTop w:val="0"/>
          <w:marBottom w:val="0"/>
          <w:divBdr>
            <w:top w:val="none" w:sz="0" w:space="0" w:color="auto"/>
            <w:left w:val="none" w:sz="0" w:space="0" w:color="auto"/>
            <w:bottom w:val="none" w:sz="0" w:space="0" w:color="auto"/>
            <w:right w:val="none" w:sz="0" w:space="0" w:color="auto"/>
          </w:divBdr>
        </w:div>
        <w:div w:id="1545605009">
          <w:marLeft w:val="0"/>
          <w:marRight w:val="0"/>
          <w:marTop w:val="0"/>
          <w:marBottom w:val="0"/>
          <w:divBdr>
            <w:top w:val="none" w:sz="0" w:space="0" w:color="auto"/>
            <w:left w:val="none" w:sz="0" w:space="0" w:color="auto"/>
            <w:bottom w:val="none" w:sz="0" w:space="0" w:color="auto"/>
            <w:right w:val="none" w:sz="0" w:space="0" w:color="auto"/>
          </w:divBdr>
        </w:div>
        <w:div w:id="1545605012">
          <w:marLeft w:val="0"/>
          <w:marRight w:val="0"/>
          <w:marTop w:val="0"/>
          <w:marBottom w:val="0"/>
          <w:divBdr>
            <w:top w:val="none" w:sz="0" w:space="0" w:color="auto"/>
            <w:left w:val="none" w:sz="0" w:space="0" w:color="auto"/>
            <w:bottom w:val="none" w:sz="0" w:space="0" w:color="auto"/>
            <w:right w:val="none" w:sz="0" w:space="0" w:color="auto"/>
          </w:divBdr>
        </w:div>
      </w:divsChild>
    </w:div>
    <w:div w:id="1545604916">
      <w:marLeft w:val="0"/>
      <w:marRight w:val="0"/>
      <w:marTop w:val="0"/>
      <w:marBottom w:val="0"/>
      <w:divBdr>
        <w:top w:val="none" w:sz="0" w:space="0" w:color="auto"/>
        <w:left w:val="none" w:sz="0" w:space="0" w:color="auto"/>
        <w:bottom w:val="none" w:sz="0" w:space="0" w:color="auto"/>
        <w:right w:val="none" w:sz="0" w:space="0" w:color="auto"/>
      </w:divBdr>
      <w:divsChild>
        <w:div w:id="1545604852">
          <w:marLeft w:val="0"/>
          <w:marRight w:val="0"/>
          <w:marTop w:val="0"/>
          <w:marBottom w:val="0"/>
          <w:divBdr>
            <w:top w:val="none" w:sz="0" w:space="0" w:color="auto"/>
            <w:left w:val="none" w:sz="0" w:space="0" w:color="auto"/>
            <w:bottom w:val="none" w:sz="0" w:space="0" w:color="auto"/>
            <w:right w:val="none" w:sz="0" w:space="0" w:color="auto"/>
          </w:divBdr>
          <w:divsChild>
            <w:div w:id="15456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04924">
      <w:marLeft w:val="75"/>
      <w:marRight w:val="75"/>
      <w:marTop w:val="75"/>
      <w:marBottom w:val="75"/>
      <w:divBdr>
        <w:top w:val="none" w:sz="0" w:space="0" w:color="auto"/>
        <w:left w:val="none" w:sz="0" w:space="0" w:color="auto"/>
        <w:bottom w:val="none" w:sz="0" w:space="0" w:color="auto"/>
        <w:right w:val="none" w:sz="0" w:space="0" w:color="auto"/>
      </w:divBdr>
    </w:div>
    <w:div w:id="1545604927">
      <w:marLeft w:val="0"/>
      <w:marRight w:val="0"/>
      <w:marTop w:val="0"/>
      <w:marBottom w:val="0"/>
      <w:divBdr>
        <w:top w:val="none" w:sz="0" w:space="0" w:color="auto"/>
        <w:left w:val="none" w:sz="0" w:space="0" w:color="auto"/>
        <w:bottom w:val="none" w:sz="0" w:space="0" w:color="auto"/>
        <w:right w:val="none" w:sz="0" w:space="0" w:color="auto"/>
      </w:divBdr>
      <w:divsChild>
        <w:div w:id="1545604886">
          <w:marLeft w:val="0"/>
          <w:marRight w:val="0"/>
          <w:marTop w:val="0"/>
          <w:marBottom w:val="0"/>
          <w:divBdr>
            <w:top w:val="none" w:sz="0" w:space="0" w:color="auto"/>
            <w:left w:val="none" w:sz="0" w:space="0" w:color="auto"/>
            <w:bottom w:val="none" w:sz="0" w:space="0" w:color="auto"/>
            <w:right w:val="none" w:sz="0" w:space="0" w:color="auto"/>
          </w:divBdr>
          <w:divsChild>
            <w:div w:id="15456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04937">
      <w:marLeft w:val="0"/>
      <w:marRight w:val="0"/>
      <w:marTop w:val="0"/>
      <w:marBottom w:val="0"/>
      <w:divBdr>
        <w:top w:val="none" w:sz="0" w:space="0" w:color="auto"/>
        <w:left w:val="none" w:sz="0" w:space="0" w:color="auto"/>
        <w:bottom w:val="none" w:sz="0" w:space="0" w:color="auto"/>
        <w:right w:val="none" w:sz="0" w:space="0" w:color="auto"/>
      </w:divBdr>
      <w:divsChild>
        <w:div w:id="1545604861">
          <w:marLeft w:val="0"/>
          <w:marRight w:val="0"/>
          <w:marTop w:val="0"/>
          <w:marBottom w:val="0"/>
          <w:divBdr>
            <w:top w:val="none" w:sz="0" w:space="0" w:color="auto"/>
            <w:left w:val="none" w:sz="0" w:space="0" w:color="auto"/>
            <w:bottom w:val="none" w:sz="0" w:space="0" w:color="auto"/>
            <w:right w:val="none" w:sz="0" w:space="0" w:color="auto"/>
          </w:divBdr>
        </w:div>
        <w:div w:id="1545604914">
          <w:marLeft w:val="0"/>
          <w:marRight w:val="0"/>
          <w:marTop w:val="0"/>
          <w:marBottom w:val="0"/>
          <w:divBdr>
            <w:top w:val="none" w:sz="0" w:space="0" w:color="auto"/>
            <w:left w:val="none" w:sz="0" w:space="0" w:color="auto"/>
            <w:bottom w:val="none" w:sz="0" w:space="0" w:color="auto"/>
            <w:right w:val="none" w:sz="0" w:space="0" w:color="auto"/>
          </w:divBdr>
        </w:div>
        <w:div w:id="1545604926">
          <w:marLeft w:val="0"/>
          <w:marRight w:val="0"/>
          <w:marTop w:val="0"/>
          <w:marBottom w:val="0"/>
          <w:divBdr>
            <w:top w:val="none" w:sz="0" w:space="0" w:color="auto"/>
            <w:left w:val="none" w:sz="0" w:space="0" w:color="auto"/>
            <w:bottom w:val="none" w:sz="0" w:space="0" w:color="auto"/>
            <w:right w:val="none" w:sz="0" w:space="0" w:color="auto"/>
          </w:divBdr>
        </w:div>
        <w:div w:id="1545604934">
          <w:marLeft w:val="0"/>
          <w:marRight w:val="0"/>
          <w:marTop w:val="0"/>
          <w:marBottom w:val="0"/>
          <w:divBdr>
            <w:top w:val="none" w:sz="0" w:space="0" w:color="auto"/>
            <w:left w:val="none" w:sz="0" w:space="0" w:color="auto"/>
            <w:bottom w:val="none" w:sz="0" w:space="0" w:color="auto"/>
            <w:right w:val="none" w:sz="0" w:space="0" w:color="auto"/>
          </w:divBdr>
        </w:div>
        <w:div w:id="1545604943">
          <w:marLeft w:val="0"/>
          <w:marRight w:val="0"/>
          <w:marTop w:val="0"/>
          <w:marBottom w:val="0"/>
          <w:divBdr>
            <w:top w:val="none" w:sz="0" w:space="0" w:color="auto"/>
            <w:left w:val="none" w:sz="0" w:space="0" w:color="auto"/>
            <w:bottom w:val="none" w:sz="0" w:space="0" w:color="auto"/>
            <w:right w:val="none" w:sz="0" w:space="0" w:color="auto"/>
          </w:divBdr>
        </w:div>
        <w:div w:id="1545604961">
          <w:marLeft w:val="0"/>
          <w:marRight w:val="0"/>
          <w:marTop w:val="0"/>
          <w:marBottom w:val="0"/>
          <w:divBdr>
            <w:top w:val="none" w:sz="0" w:space="0" w:color="auto"/>
            <w:left w:val="none" w:sz="0" w:space="0" w:color="auto"/>
            <w:bottom w:val="none" w:sz="0" w:space="0" w:color="auto"/>
            <w:right w:val="none" w:sz="0" w:space="0" w:color="auto"/>
          </w:divBdr>
        </w:div>
        <w:div w:id="1545604996">
          <w:marLeft w:val="0"/>
          <w:marRight w:val="0"/>
          <w:marTop w:val="0"/>
          <w:marBottom w:val="0"/>
          <w:divBdr>
            <w:top w:val="none" w:sz="0" w:space="0" w:color="auto"/>
            <w:left w:val="none" w:sz="0" w:space="0" w:color="auto"/>
            <w:bottom w:val="none" w:sz="0" w:space="0" w:color="auto"/>
            <w:right w:val="none" w:sz="0" w:space="0" w:color="auto"/>
          </w:divBdr>
        </w:div>
      </w:divsChild>
    </w:div>
    <w:div w:id="1545604940">
      <w:marLeft w:val="0"/>
      <w:marRight w:val="0"/>
      <w:marTop w:val="0"/>
      <w:marBottom w:val="0"/>
      <w:divBdr>
        <w:top w:val="none" w:sz="0" w:space="0" w:color="auto"/>
        <w:left w:val="none" w:sz="0" w:space="0" w:color="auto"/>
        <w:bottom w:val="none" w:sz="0" w:space="0" w:color="auto"/>
        <w:right w:val="none" w:sz="0" w:space="0" w:color="auto"/>
      </w:divBdr>
      <w:divsChild>
        <w:div w:id="1545604883">
          <w:marLeft w:val="0"/>
          <w:marRight w:val="0"/>
          <w:marTop w:val="0"/>
          <w:marBottom w:val="0"/>
          <w:divBdr>
            <w:top w:val="none" w:sz="0" w:space="0" w:color="auto"/>
            <w:left w:val="none" w:sz="0" w:space="0" w:color="auto"/>
            <w:bottom w:val="none" w:sz="0" w:space="0" w:color="auto"/>
            <w:right w:val="none" w:sz="0" w:space="0" w:color="auto"/>
          </w:divBdr>
        </w:div>
        <w:div w:id="1545604903">
          <w:marLeft w:val="0"/>
          <w:marRight w:val="0"/>
          <w:marTop w:val="0"/>
          <w:marBottom w:val="0"/>
          <w:divBdr>
            <w:top w:val="none" w:sz="0" w:space="0" w:color="auto"/>
            <w:left w:val="none" w:sz="0" w:space="0" w:color="auto"/>
            <w:bottom w:val="none" w:sz="0" w:space="0" w:color="auto"/>
            <w:right w:val="none" w:sz="0" w:space="0" w:color="auto"/>
          </w:divBdr>
        </w:div>
      </w:divsChild>
    </w:div>
    <w:div w:id="1545604948">
      <w:marLeft w:val="0"/>
      <w:marRight w:val="0"/>
      <w:marTop w:val="0"/>
      <w:marBottom w:val="0"/>
      <w:divBdr>
        <w:top w:val="none" w:sz="0" w:space="0" w:color="auto"/>
        <w:left w:val="none" w:sz="0" w:space="0" w:color="auto"/>
        <w:bottom w:val="none" w:sz="0" w:space="0" w:color="auto"/>
        <w:right w:val="none" w:sz="0" w:space="0" w:color="auto"/>
      </w:divBdr>
      <w:divsChild>
        <w:div w:id="1545604887">
          <w:marLeft w:val="0"/>
          <w:marRight w:val="0"/>
          <w:marTop w:val="0"/>
          <w:marBottom w:val="0"/>
          <w:divBdr>
            <w:top w:val="none" w:sz="0" w:space="0" w:color="auto"/>
            <w:left w:val="none" w:sz="0" w:space="0" w:color="auto"/>
            <w:bottom w:val="none" w:sz="0" w:space="0" w:color="auto"/>
            <w:right w:val="none" w:sz="0" w:space="0" w:color="auto"/>
          </w:divBdr>
        </w:div>
        <w:div w:id="1545604899">
          <w:marLeft w:val="0"/>
          <w:marRight w:val="0"/>
          <w:marTop w:val="0"/>
          <w:marBottom w:val="0"/>
          <w:divBdr>
            <w:top w:val="none" w:sz="0" w:space="0" w:color="auto"/>
            <w:left w:val="none" w:sz="0" w:space="0" w:color="auto"/>
            <w:bottom w:val="none" w:sz="0" w:space="0" w:color="auto"/>
            <w:right w:val="none" w:sz="0" w:space="0" w:color="auto"/>
          </w:divBdr>
        </w:div>
        <w:div w:id="1545604902">
          <w:marLeft w:val="0"/>
          <w:marRight w:val="0"/>
          <w:marTop w:val="0"/>
          <w:marBottom w:val="0"/>
          <w:divBdr>
            <w:top w:val="none" w:sz="0" w:space="0" w:color="auto"/>
            <w:left w:val="none" w:sz="0" w:space="0" w:color="auto"/>
            <w:bottom w:val="none" w:sz="0" w:space="0" w:color="auto"/>
            <w:right w:val="none" w:sz="0" w:space="0" w:color="auto"/>
          </w:divBdr>
        </w:div>
      </w:divsChild>
    </w:div>
    <w:div w:id="1545604952">
      <w:marLeft w:val="0"/>
      <w:marRight w:val="0"/>
      <w:marTop w:val="0"/>
      <w:marBottom w:val="0"/>
      <w:divBdr>
        <w:top w:val="none" w:sz="0" w:space="0" w:color="auto"/>
        <w:left w:val="none" w:sz="0" w:space="0" w:color="auto"/>
        <w:bottom w:val="none" w:sz="0" w:space="0" w:color="auto"/>
        <w:right w:val="none" w:sz="0" w:space="0" w:color="auto"/>
      </w:divBdr>
      <w:divsChild>
        <w:div w:id="1545604853">
          <w:marLeft w:val="0"/>
          <w:marRight w:val="0"/>
          <w:marTop w:val="0"/>
          <w:marBottom w:val="0"/>
          <w:divBdr>
            <w:top w:val="none" w:sz="0" w:space="0" w:color="auto"/>
            <w:left w:val="none" w:sz="0" w:space="0" w:color="auto"/>
            <w:bottom w:val="none" w:sz="0" w:space="0" w:color="auto"/>
            <w:right w:val="none" w:sz="0" w:space="0" w:color="auto"/>
          </w:divBdr>
        </w:div>
        <w:div w:id="1545604855">
          <w:marLeft w:val="0"/>
          <w:marRight w:val="0"/>
          <w:marTop w:val="0"/>
          <w:marBottom w:val="0"/>
          <w:divBdr>
            <w:top w:val="none" w:sz="0" w:space="0" w:color="auto"/>
            <w:left w:val="none" w:sz="0" w:space="0" w:color="auto"/>
            <w:bottom w:val="none" w:sz="0" w:space="0" w:color="auto"/>
            <w:right w:val="none" w:sz="0" w:space="0" w:color="auto"/>
          </w:divBdr>
        </w:div>
        <w:div w:id="1545604857">
          <w:marLeft w:val="0"/>
          <w:marRight w:val="0"/>
          <w:marTop w:val="0"/>
          <w:marBottom w:val="0"/>
          <w:divBdr>
            <w:top w:val="none" w:sz="0" w:space="0" w:color="auto"/>
            <w:left w:val="none" w:sz="0" w:space="0" w:color="auto"/>
            <w:bottom w:val="none" w:sz="0" w:space="0" w:color="auto"/>
            <w:right w:val="none" w:sz="0" w:space="0" w:color="auto"/>
          </w:divBdr>
        </w:div>
        <w:div w:id="1545604859">
          <w:marLeft w:val="0"/>
          <w:marRight w:val="0"/>
          <w:marTop w:val="0"/>
          <w:marBottom w:val="0"/>
          <w:divBdr>
            <w:top w:val="none" w:sz="0" w:space="0" w:color="auto"/>
            <w:left w:val="none" w:sz="0" w:space="0" w:color="auto"/>
            <w:bottom w:val="none" w:sz="0" w:space="0" w:color="auto"/>
            <w:right w:val="none" w:sz="0" w:space="0" w:color="auto"/>
          </w:divBdr>
        </w:div>
        <w:div w:id="1545604860">
          <w:marLeft w:val="0"/>
          <w:marRight w:val="0"/>
          <w:marTop w:val="0"/>
          <w:marBottom w:val="0"/>
          <w:divBdr>
            <w:top w:val="none" w:sz="0" w:space="0" w:color="auto"/>
            <w:left w:val="none" w:sz="0" w:space="0" w:color="auto"/>
            <w:bottom w:val="none" w:sz="0" w:space="0" w:color="auto"/>
            <w:right w:val="none" w:sz="0" w:space="0" w:color="auto"/>
          </w:divBdr>
        </w:div>
        <w:div w:id="1545604862">
          <w:marLeft w:val="0"/>
          <w:marRight w:val="0"/>
          <w:marTop w:val="0"/>
          <w:marBottom w:val="0"/>
          <w:divBdr>
            <w:top w:val="none" w:sz="0" w:space="0" w:color="auto"/>
            <w:left w:val="none" w:sz="0" w:space="0" w:color="auto"/>
            <w:bottom w:val="none" w:sz="0" w:space="0" w:color="auto"/>
            <w:right w:val="none" w:sz="0" w:space="0" w:color="auto"/>
          </w:divBdr>
        </w:div>
        <w:div w:id="1545604863">
          <w:marLeft w:val="0"/>
          <w:marRight w:val="0"/>
          <w:marTop w:val="0"/>
          <w:marBottom w:val="0"/>
          <w:divBdr>
            <w:top w:val="none" w:sz="0" w:space="0" w:color="auto"/>
            <w:left w:val="none" w:sz="0" w:space="0" w:color="auto"/>
            <w:bottom w:val="none" w:sz="0" w:space="0" w:color="auto"/>
            <w:right w:val="none" w:sz="0" w:space="0" w:color="auto"/>
          </w:divBdr>
        </w:div>
        <w:div w:id="1545604866">
          <w:marLeft w:val="0"/>
          <w:marRight w:val="0"/>
          <w:marTop w:val="0"/>
          <w:marBottom w:val="0"/>
          <w:divBdr>
            <w:top w:val="none" w:sz="0" w:space="0" w:color="auto"/>
            <w:left w:val="none" w:sz="0" w:space="0" w:color="auto"/>
            <w:bottom w:val="none" w:sz="0" w:space="0" w:color="auto"/>
            <w:right w:val="none" w:sz="0" w:space="0" w:color="auto"/>
          </w:divBdr>
        </w:div>
        <w:div w:id="1545604867">
          <w:marLeft w:val="0"/>
          <w:marRight w:val="0"/>
          <w:marTop w:val="0"/>
          <w:marBottom w:val="0"/>
          <w:divBdr>
            <w:top w:val="none" w:sz="0" w:space="0" w:color="auto"/>
            <w:left w:val="none" w:sz="0" w:space="0" w:color="auto"/>
            <w:bottom w:val="none" w:sz="0" w:space="0" w:color="auto"/>
            <w:right w:val="none" w:sz="0" w:space="0" w:color="auto"/>
          </w:divBdr>
        </w:div>
        <w:div w:id="1545604869">
          <w:marLeft w:val="0"/>
          <w:marRight w:val="0"/>
          <w:marTop w:val="0"/>
          <w:marBottom w:val="0"/>
          <w:divBdr>
            <w:top w:val="none" w:sz="0" w:space="0" w:color="auto"/>
            <w:left w:val="none" w:sz="0" w:space="0" w:color="auto"/>
            <w:bottom w:val="none" w:sz="0" w:space="0" w:color="auto"/>
            <w:right w:val="none" w:sz="0" w:space="0" w:color="auto"/>
          </w:divBdr>
        </w:div>
        <w:div w:id="1545604871">
          <w:marLeft w:val="0"/>
          <w:marRight w:val="0"/>
          <w:marTop w:val="0"/>
          <w:marBottom w:val="0"/>
          <w:divBdr>
            <w:top w:val="none" w:sz="0" w:space="0" w:color="auto"/>
            <w:left w:val="none" w:sz="0" w:space="0" w:color="auto"/>
            <w:bottom w:val="none" w:sz="0" w:space="0" w:color="auto"/>
            <w:right w:val="none" w:sz="0" w:space="0" w:color="auto"/>
          </w:divBdr>
        </w:div>
        <w:div w:id="1545604872">
          <w:marLeft w:val="0"/>
          <w:marRight w:val="0"/>
          <w:marTop w:val="0"/>
          <w:marBottom w:val="0"/>
          <w:divBdr>
            <w:top w:val="none" w:sz="0" w:space="0" w:color="auto"/>
            <w:left w:val="none" w:sz="0" w:space="0" w:color="auto"/>
            <w:bottom w:val="none" w:sz="0" w:space="0" w:color="auto"/>
            <w:right w:val="none" w:sz="0" w:space="0" w:color="auto"/>
          </w:divBdr>
        </w:div>
        <w:div w:id="1545604875">
          <w:marLeft w:val="0"/>
          <w:marRight w:val="0"/>
          <w:marTop w:val="0"/>
          <w:marBottom w:val="0"/>
          <w:divBdr>
            <w:top w:val="none" w:sz="0" w:space="0" w:color="auto"/>
            <w:left w:val="none" w:sz="0" w:space="0" w:color="auto"/>
            <w:bottom w:val="none" w:sz="0" w:space="0" w:color="auto"/>
            <w:right w:val="none" w:sz="0" w:space="0" w:color="auto"/>
          </w:divBdr>
        </w:div>
        <w:div w:id="1545604877">
          <w:marLeft w:val="0"/>
          <w:marRight w:val="0"/>
          <w:marTop w:val="0"/>
          <w:marBottom w:val="0"/>
          <w:divBdr>
            <w:top w:val="none" w:sz="0" w:space="0" w:color="auto"/>
            <w:left w:val="none" w:sz="0" w:space="0" w:color="auto"/>
            <w:bottom w:val="none" w:sz="0" w:space="0" w:color="auto"/>
            <w:right w:val="none" w:sz="0" w:space="0" w:color="auto"/>
          </w:divBdr>
        </w:div>
        <w:div w:id="1545604878">
          <w:marLeft w:val="0"/>
          <w:marRight w:val="0"/>
          <w:marTop w:val="0"/>
          <w:marBottom w:val="0"/>
          <w:divBdr>
            <w:top w:val="none" w:sz="0" w:space="0" w:color="auto"/>
            <w:left w:val="none" w:sz="0" w:space="0" w:color="auto"/>
            <w:bottom w:val="none" w:sz="0" w:space="0" w:color="auto"/>
            <w:right w:val="none" w:sz="0" w:space="0" w:color="auto"/>
          </w:divBdr>
        </w:div>
        <w:div w:id="1545604881">
          <w:marLeft w:val="0"/>
          <w:marRight w:val="0"/>
          <w:marTop w:val="0"/>
          <w:marBottom w:val="0"/>
          <w:divBdr>
            <w:top w:val="none" w:sz="0" w:space="0" w:color="auto"/>
            <w:left w:val="none" w:sz="0" w:space="0" w:color="auto"/>
            <w:bottom w:val="none" w:sz="0" w:space="0" w:color="auto"/>
            <w:right w:val="none" w:sz="0" w:space="0" w:color="auto"/>
          </w:divBdr>
        </w:div>
        <w:div w:id="1545604882">
          <w:marLeft w:val="0"/>
          <w:marRight w:val="0"/>
          <w:marTop w:val="0"/>
          <w:marBottom w:val="0"/>
          <w:divBdr>
            <w:top w:val="none" w:sz="0" w:space="0" w:color="auto"/>
            <w:left w:val="none" w:sz="0" w:space="0" w:color="auto"/>
            <w:bottom w:val="none" w:sz="0" w:space="0" w:color="auto"/>
            <w:right w:val="none" w:sz="0" w:space="0" w:color="auto"/>
          </w:divBdr>
        </w:div>
        <w:div w:id="1545604888">
          <w:marLeft w:val="0"/>
          <w:marRight w:val="0"/>
          <w:marTop w:val="0"/>
          <w:marBottom w:val="0"/>
          <w:divBdr>
            <w:top w:val="none" w:sz="0" w:space="0" w:color="auto"/>
            <w:left w:val="none" w:sz="0" w:space="0" w:color="auto"/>
            <w:bottom w:val="none" w:sz="0" w:space="0" w:color="auto"/>
            <w:right w:val="none" w:sz="0" w:space="0" w:color="auto"/>
          </w:divBdr>
        </w:div>
        <w:div w:id="1545604891">
          <w:marLeft w:val="0"/>
          <w:marRight w:val="0"/>
          <w:marTop w:val="0"/>
          <w:marBottom w:val="0"/>
          <w:divBdr>
            <w:top w:val="none" w:sz="0" w:space="0" w:color="auto"/>
            <w:left w:val="none" w:sz="0" w:space="0" w:color="auto"/>
            <w:bottom w:val="none" w:sz="0" w:space="0" w:color="auto"/>
            <w:right w:val="none" w:sz="0" w:space="0" w:color="auto"/>
          </w:divBdr>
        </w:div>
        <w:div w:id="1545604892">
          <w:marLeft w:val="0"/>
          <w:marRight w:val="0"/>
          <w:marTop w:val="0"/>
          <w:marBottom w:val="0"/>
          <w:divBdr>
            <w:top w:val="none" w:sz="0" w:space="0" w:color="auto"/>
            <w:left w:val="none" w:sz="0" w:space="0" w:color="auto"/>
            <w:bottom w:val="none" w:sz="0" w:space="0" w:color="auto"/>
            <w:right w:val="none" w:sz="0" w:space="0" w:color="auto"/>
          </w:divBdr>
        </w:div>
        <w:div w:id="1545604894">
          <w:marLeft w:val="0"/>
          <w:marRight w:val="0"/>
          <w:marTop w:val="0"/>
          <w:marBottom w:val="0"/>
          <w:divBdr>
            <w:top w:val="none" w:sz="0" w:space="0" w:color="auto"/>
            <w:left w:val="none" w:sz="0" w:space="0" w:color="auto"/>
            <w:bottom w:val="none" w:sz="0" w:space="0" w:color="auto"/>
            <w:right w:val="none" w:sz="0" w:space="0" w:color="auto"/>
          </w:divBdr>
        </w:div>
        <w:div w:id="1545604895">
          <w:marLeft w:val="0"/>
          <w:marRight w:val="0"/>
          <w:marTop w:val="0"/>
          <w:marBottom w:val="0"/>
          <w:divBdr>
            <w:top w:val="none" w:sz="0" w:space="0" w:color="auto"/>
            <w:left w:val="none" w:sz="0" w:space="0" w:color="auto"/>
            <w:bottom w:val="none" w:sz="0" w:space="0" w:color="auto"/>
            <w:right w:val="none" w:sz="0" w:space="0" w:color="auto"/>
          </w:divBdr>
        </w:div>
        <w:div w:id="1545604896">
          <w:marLeft w:val="0"/>
          <w:marRight w:val="0"/>
          <w:marTop w:val="0"/>
          <w:marBottom w:val="0"/>
          <w:divBdr>
            <w:top w:val="none" w:sz="0" w:space="0" w:color="auto"/>
            <w:left w:val="none" w:sz="0" w:space="0" w:color="auto"/>
            <w:bottom w:val="none" w:sz="0" w:space="0" w:color="auto"/>
            <w:right w:val="none" w:sz="0" w:space="0" w:color="auto"/>
          </w:divBdr>
        </w:div>
        <w:div w:id="1545604897">
          <w:marLeft w:val="0"/>
          <w:marRight w:val="0"/>
          <w:marTop w:val="0"/>
          <w:marBottom w:val="0"/>
          <w:divBdr>
            <w:top w:val="none" w:sz="0" w:space="0" w:color="auto"/>
            <w:left w:val="none" w:sz="0" w:space="0" w:color="auto"/>
            <w:bottom w:val="none" w:sz="0" w:space="0" w:color="auto"/>
            <w:right w:val="none" w:sz="0" w:space="0" w:color="auto"/>
          </w:divBdr>
        </w:div>
        <w:div w:id="1545604905">
          <w:marLeft w:val="0"/>
          <w:marRight w:val="0"/>
          <w:marTop w:val="0"/>
          <w:marBottom w:val="0"/>
          <w:divBdr>
            <w:top w:val="none" w:sz="0" w:space="0" w:color="auto"/>
            <w:left w:val="none" w:sz="0" w:space="0" w:color="auto"/>
            <w:bottom w:val="none" w:sz="0" w:space="0" w:color="auto"/>
            <w:right w:val="none" w:sz="0" w:space="0" w:color="auto"/>
          </w:divBdr>
        </w:div>
        <w:div w:id="1545604907">
          <w:marLeft w:val="0"/>
          <w:marRight w:val="0"/>
          <w:marTop w:val="0"/>
          <w:marBottom w:val="0"/>
          <w:divBdr>
            <w:top w:val="none" w:sz="0" w:space="0" w:color="auto"/>
            <w:left w:val="none" w:sz="0" w:space="0" w:color="auto"/>
            <w:bottom w:val="none" w:sz="0" w:space="0" w:color="auto"/>
            <w:right w:val="none" w:sz="0" w:space="0" w:color="auto"/>
          </w:divBdr>
        </w:div>
        <w:div w:id="1545604909">
          <w:marLeft w:val="0"/>
          <w:marRight w:val="0"/>
          <w:marTop w:val="0"/>
          <w:marBottom w:val="0"/>
          <w:divBdr>
            <w:top w:val="none" w:sz="0" w:space="0" w:color="auto"/>
            <w:left w:val="none" w:sz="0" w:space="0" w:color="auto"/>
            <w:bottom w:val="none" w:sz="0" w:space="0" w:color="auto"/>
            <w:right w:val="none" w:sz="0" w:space="0" w:color="auto"/>
          </w:divBdr>
        </w:div>
        <w:div w:id="1545604910">
          <w:marLeft w:val="0"/>
          <w:marRight w:val="0"/>
          <w:marTop w:val="0"/>
          <w:marBottom w:val="0"/>
          <w:divBdr>
            <w:top w:val="none" w:sz="0" w:space="0" w:color="auto"/>
            <w:left w:val="none" w:sz="0" w:space="0" w:color="auto"/>
            <w:bottom w:val="none" w:sz="0" w:space="0" w:color="auto"/>
            <w:right w:val="none" w:sz="0" w:space="0" w:color="auto"/>
          </w:divBdr>
        </w:div>
        <w:div w:id="1545604913">
          <w:marLeft w:val="0"/>
          <w:marRight w:val="0"/>
          <w:marTop w:val="0"/>
          <w:marBottom w:val="0"/>
          <w:divBdr>
            <w:top w:val="none" w:sz="0" w:space="0" w:color="auto"/>
            <w:left w:val="none" w:sz="0" w:space="0" w:color="auto"/>
            <w:bottom w:val="none" w:sz="0" w:space="0" w:color="auto"/>
            <w:right w:val="none" w:sz="0" w:space="0" w:color="auto"/>
          </w:divBdr>
        </w:div>
        <w:div w:id="1545604917">
          <w:marLeft w:val="0"/>
          <w:marRight w:val="0"/>
          <w:marTop w:val="0"/>
          <w:marBottom w:val="0"/>
          <w:divBdr>
            <w:top w:val="none" w:sz="0" w:space="0" w:color="auto"/>
            <w:left w:val="none" w:sz="0" w:space="0" w:color="auto"/>
            <w:bottom w:val="none" w:sz="0" w:space="0" w:color="auto"/>
            <w:right w:val="none" w:sz="0" w:space="0" w:color="auto"/>
          </w:divBdr>
        </w:div>
        <w:div w:id="1545604919">
          <w:marLeft w:val="0"/>
          <w:marRight w:val="0"/>
          <w:marTop w:val="0"/>
          <w:marBottom w:val="0"/>
          <w:divBdr>
            <w:top w:val="none" w:sz="0" w:space="0" w:color="auto"/>
            <w:left w:val="none" w:sz="0" w:space="0" w:color="auto"/>
            <w:bottom w:val="none" w:sz="0" w:space="0" w:color="auto"/>
            <w:right w:val="none" w:sz="0" w:space="0" w:color="auto"/>
          </w:divBdr>
        </w:div>
        <w:div w:id="1545604921">
          <w:marLeft w:val="0"/>
          <w:marRight w:val="0"/>
          <w:marTop w:val="0"/>
          <w:marBottom w:val="0"/>
          <w:divBdr>
            <w:top w:val="none" w:sz="0" w:space="0" w:color="auto"/>
            <w:left w:val="none" w:sz="0" w:space="0" w:color="auto"/>
            <w:bottom w:val="none" w:sz="0" w:space="0" w:color="auto"/>
            <w:right w:val="none" w:sz="0" w:space="0" w:color="auto"/>
          </w:divBdr>
        </w:div>
        <w:div w:id="1545604923">
          <w:marLeft w:val="0"/>
          <w:marRight w:val="0"/>
          <w:marTop w:val="0"/>
          <w:marBottom w:val="0"/>
          <w:divBdr>
            <w:top w:val="none" w:sz="0" w:space="0" w:color="auto"/>
            <w:left w:val="none" w:sz="0" w:space="0" w:color="auto"/>
            <w:bottom w:val="none" w:sz="0" w:space="0" w:color="auto"/>
            <w:right w:val="none" w:sz="0" w:space="0" w:color="auto"/>
          </w:divBdr>
        </w:div>
        <w:div w:id="1545604931">
          <w:marLeft w:val="0"/>
          <w:marRight w:val="0"/>
          <w:marTop w:val="0"/>
          <w:marBottom w:val="0"/>
          <w:divBdr>
            <w:top w:val="none" w:sz="0" w:space="0" w:color="auto"/>
            <w:left w:val="none" w:sz="0" w:space="0" w:color="auto"/>
            <w:bottom w:val="none" w:sz="0" w:space="0" w:color="auto"/>
            <w:right w:val="none" w:sz="0" w:space="0" w:color="auto"/>
          </w:divBdr>
        </w:div>
        <w:div w:id="1545604935">
          <w:marLeft w:val="0"/>
          <w:marRight w:val="0"/>
          <w:marTop w:val="0"/>
          <w:marBottom w:val="0"/>
          <w:divBdr>
            <w:top w:val="none" w:sz="0" w:space="0" w:color="auto"/>
            <w:left w:val="none" w:sz="0" w:space="0" w:color="auto"/>
            <w:bottom w:val="none" w:sz="0" w:space="0" w:color="auto"/>
            <w:right w:val="none" w:sz="0" w:space="0" w:color="auto"/>
          </w:divBdr>
        </w:div>
        <w:div w:id="1545604938">
          <w:marLeft w:val="0"/>
          <w:marRight w:val="0"/>
          <w:marTop w:val="0"/>
          <w:marBottom w:val="0"/>
          <w:divBdr>
            <w:top w:val="none" w:sz="0" w:space="0" w:color="auto"/>
            <w:left w:val="none" w:sz="0" w:space="0" w:color="auto"/>
            <w:bottom w:val="none" w:sz="0" w:space="0" w:color="auto"/>
            <w:right w:val="none" w:sz="0" w:space="0" w:color="auto"/>
          </w:divBdr>
        </w:div>
        <w:div w:id="1545604944">
          <w:marLeft w:val="0"/>
          <w:marRight w:val="0"/>
          <w:marTop w:val="0"/>
          <w:marBottom w:val="0"/>
          <w:divBdr>
            <w:top w:val="none" w:sz="0" w:space="0" w:color="auto"/>
            <w:left w:val="none" w:sz="0" w:space="0" w:color="auto"/>
            <w:bottom w:val="none" w:sz="0" w:space="0" w:color="auto"/>
            <w:right w:val="none" w:sz="0" w:space="0" w:color="auto"/>
          </w:divBdr>
        </w:div>
        <w:div w:id="1545604947">
          <w:marLeft w:val="0"/>
          <w:marRight w:val="0"/>
          <w:marTop w:val="0"/>
          <w:marBottom w:val="0"/>
          <w:divBdr>
            <w:top w:val="none" w:sz="0" w:space="0" w:color="auto"/>
            <w:left w:val="none" w:sz="0" w:space="0" w:color="auto"/>
            <w:bottom w:val="none" w:sz="0" w:space="0" w:color="auto"/>
            <w:right w:val="none" w:sz="0" w:space="0" w:color="auto"/>
          </w:divBdr>
        </w:div>
        <w:div w:id="1545604949">
          <w:marLeft w:val="0"/>
          <w:marRight w:val="0"/>
          <w:marTop w:val="0"/>
          <w:marBottom w:val="0"/>
          <w:divBdr>
            <w:top w:val="none" w:sz="0" w:space="0" w:color="auto"/>
            <w:left w:val="none" w:sz="0" w:space="0" w:color="auto"/>
            <w:bottom w:val="none" w:sz="0" w:space="0" w:color="auto"/>
            <w:right w:val="none" w:sz="0" w:space="0" w:color="auto"/>
          </w:divBdr>
        </w:div>
        <w:div w:id="1545604950">
          <w:marLeft w:val="0"/>
          <w:marRight w:val="0"/>
          <w:marTop w:val="0"/>
          <w:marBottom w:val="0"/>
          <w:divBdr>
            <w:top w:val="none" w:sz="0" w:space="0" w:color="auto"/>
            <w:left w:val="none" w:sz="0" w:space="0" w:color="auto"/>
            <w:bottom w:val="none" w:sz="0" w:space="0" w:color="auto"/>
            <w:right w:val="none" w:sz="0" w:space="0" w:color="auto"/>
          </w:divBdr>
        </w:div>
        <w:div w:id="1545604953">
          <w:marLeft w:val="0"/>
          <w:marRight w:val="0"/>
          <w:marTop w:val="0"/>
          <w:marBottom w:val="0"/>
          <w:divBdr>
            <w:top w:val="none" w:sz="0" w:space="0" w:color="auto"/>
            <w:left w:val="none" w:sz="0" w:space="0" w:color="auto"/>
            <w:bottom w:val="none" w:sz="0" w:space="0" w:color="auto"/>
            <w:right w:val="none" w:sz="0" w:space="0" w:color="auto"/>
          </w:divBdr>
        </w:div>
        <w:div w:id="1545604955">
          <w:marLeft w:val="0"/>
          <w:marRight w:val="0"/>
          <w:marTop w:val="0"/>
          <w:marBottom w:val="0"/>
          <w:divBdr>
            <w:top w:val="none" w:sz="0" w:space="0" w:color="auto"/>
            <w:left w:val="none" w:sz="0" w:space="0" w:color="auto"/>
            <w:bottom w:val="none" w:sz="0" w:space="0" w:color="auto"/>
            <w:right w:val="none" w:sz="0" w:space="0" w:color="auto"/>
          </w:divBdr>
        </w:div>
        <w:div w:id="1545604959">
          <w:marLeft w:val="0"/>
          <w:marRight w:val="0"/>
          <w:marTop w:val="0"/>
          <w:marBottom w:val="0"/>
          <w:divBdr>
            <w:top w:val="none" w:sz="0" w:space="0" w:color="auto"/>
            <w:left w:val="none" w:sz="0" w:space="0" w:color="auto"/>
            <w:bottom w:val="none" w:sz="0" w:space="0" w:color="auto"/>
            <w:right w:val="none" w:sz="0" w:space="0" w:color="auto"/>
          </w:divBdr>
        </w:div>
        <w:div w:id="1545604960">
          <w:marLeft w:val="0"/>
          <w:marRight w:val="0"/>
          <w:marTop w:val="0"/>
          <w:marBottom w:val="0"/>
          <w:divBdr>
            <w:top w:val="none" w:sz="0" w:space="0" w:color="auto"/>
            <w:left w:val="none" w:sz="0" w:space="0" w:color="auto"/>
            <w:bottom w:val="none" w:sz="0" w:space="0" w:color="auto"/>
            <w:right w:val="none" w:sz="0" w:space="0" w:color="auto"/>
          </w:divBdr>
        </w:div>
        <w:div w:id="1545604962">
          <w:marLeft w:val="0"/>
          <w:marRight w:val="0"/>
          <w:marTop w:val="0"/>
          <w:marBottom w:val="0"/>
          <w:divBdr>
            <w:top w:val="none" w:sz="0" w:space="0" w:color="auto"/>
            <w:left w:val="none" w:sz="0" w:space="0" w:color="auto"/>
            <w:bottom w:val="none" w:sz="0" w:space="0" w:color="auto"/>
            <w:right w:val="none" w:sz="0" w:space="0" w:color="auto"/>
          </w:divBdr>
        </w:div>
        <w:div w:id="1545604963">
          <w:marLeft w:val="0"/>
          <w:marRight w:val="0"/>
          <w:marTop w:val="0"/>
          <w:marBottom w:val="0"/>
          <w:divBdr>
            <w:top w:val="none" w:sz="0" w:space="0" w:color="auto"/>
            <w:left w:val="none" w:sz="0" w:space="0" w:color="auto"/>
            <w:bottom w:val="none" w:sz="0" w:space="0" w:color="auto"/>
            <w:right w:val="none" w:sz="0" w:space="0" w:color="auto"/>
          </w:divBdr>
        </w:div>
        <w:div w:id="1545604964">
          <w:marLeft w:val="0"/>
          <w:marRight w:val="0"/>
          <w:marTop w:val="0"/>
          <w:marBottom w:val="0"/>
          <w:divBdr>
            <w:top w:val="none" w:sz="0" w:space="0" w:color="auto"/>
            <w:left w:val="none" w:sz="0" w:space="0" w:color="auto"/>
            <w:bottom w:val="none" w:sz="0" w:space="0" w:color="auto"/>
            <w:right w:val="none" w:sz="0" w:space="0" w:color="auto"/>
          </w:divBdr>
        </w:div>
        <w:div w:id="1545604965">
          <w:marLeft w:val="0"/>
          <w:marRight w:val="0"/>
          <w:marTop w:val="0"/>
          <w:marBottom w:val="0"/>
          <w:divBdr>
            <w:top w:val="none" w:sz="0" w:space="0" w:color="auto"/>
            <w:left w:val="none" w:sz="0" w:space="0" w:color="auto"/>
            <w:bottom w:val="none" w:sz="0" w:space="0" w:color="auto"/>
            <w:right w:val="none" w:sz="0" w:space="0" w:color="auto"/>
          </w:divBdr>
        </w:div>
        <w:div w:id="1545604967">
          <w:marLeft w:val="0"/>
          <w:marRight w:val="0"/>
          <w:marTop w:val="0"/>
          <w:marBottom w:val="0"/>
          <w:divBdr>
            <w:top w:val="none" w:sz="0" w:space="0" w:color="auto"/>
            <w:left w:val="none" w:sz="0" w:space="0" w:color="auto"/>
            <w:bottom w:val="none" w:sz="0" w:space="0" w:color="auto"/>
            <w:right w:val="none" w:sz="0" w:space="0" w:color="auto"/>
          </w:divBdr>
        </w:div>
        <w:div w:id="1545604968">
          <w:marLeft w:val="0"/>
          <w:marRight w:val="0"/>
          <w:marTop w:val="0"/>
          <w:marBottom w:val="0"/>
          <w:divBdr>
            <w:top w:val="none" w:sz="0" w:space="0" w:color="auto"/>
            <w:left w:val="none" w:sz="0" w:space="0" w:color="auto"/>
            <w:bottom w:val="none" w:sz="0" w:space="0" w:color="auto"/>
            <w:right w:val="none" w:sz="0" w:space="0" w:color="auto"/>
          </w:divBdr>
        </w:div>
        <w:div w:id="1545604970">
          <w:marLeft w:val="0"/>
          <w:marRight w:val="0"/>
          <w:marTop w:val="0"/>
          <w:marBottom w:val="0"/>
          <w:divBdr>
            <w:top w:val="none" w:sz="0" w:space="0" w:color="auto"/>
            <w:left w:val="none" w:sz="0" w:space="0" w:color="auto"/>
            <w:bottom w:val="none" w:sz="0" w:space="0" w:color="auto"/>
            <w:right w:val="none" w:sz="0" w:space="0" w:color="auto"/>
          </w:divBdr>
        </w:div>
        <w:div w:id="1545604971">
          <w:marLeft w:val="0"/>
          <w:marRight w:val="0"/>
          <w:marTop w:val="0"/>
          <w:marBottom w:val="0"/>
          <w:divBdr>
            <w:top w:val="none" w:sz="0" w:space="0" w:color="auto"/>
            <w:left w:val="none" w:sz="0" w:space="0" w:color="auto"/>
            <w:bottom w:val="none" w:sz="0" w:space="0" w:color="auto"/>
            <w:right w:val="none" w:sz="0" w:space="0" w:color="auto"/>
          </w:divBdr>
        </w:div>
        <w:div w:id="1545604972">
          <w:marLeft w:val="0"/>
          <w:marRight w:val="0"/>
          <w:marTop w:val="0"/>
          <w:marBottom w:val="0"/>
          <w:divBdr>
            <w:top w:val="none" w:sz="0" w:space="0" w:color="auto"/>
            <w:left w:val="none" w:sz="0" w:space="0" w:color="auto"/>
            <w:bottom w:val="none" w:sz="0" w:space="0" w:color="auto"/>
            <w:right w:val="none" w:sz="0" w:space="0" w:color="auto"/>
          </w:divBdr>
        </w:div>
        <w:div w:id="1545604973">
          <w:marLeft w:val="0"/>
          <w:marRight w:val="0"/>
          <w:marTop w:val="0"/>
          <w:marBottom w:val="0"/>
          <w:divBdr>
            <w:top w:val="none" w:sz="0" w:space="0" w:color="auto"/>
            <w:left w:val="none" w:sz="0" w:space="0" w:color="auto"/>
            <w:bottom w:val="none" w:sz="0" w:space="0" w:color="auto"/>
            <w:right w:val="none" w:sz="0" w:space="0" w:color="auto"/>
          </w:divBdr>
        </w:div>
        <w:div w:id="1545604974">
          <w:marLeft w:val="0"/>
          <w:marRight w:val="0"/>
          <w:marTop w:val="0"/>
          <w:marBottom w:val="0"/>
          <w:divBdr>
            <w:top w:val="none" w:sz="0" w:space="0" w:color="auto"/>
            <w:left w:val="none" w:sz="0" w:space="0" w:color="auto"/>
            <w:bottom w:val="none" w:sz="0" w:space="0" w:color="auto"/>
            <w:right w:val="none" w:sz="0" w:space="0" w:color="auto"/>
          </w:divBdr>
        </w:div>
        <w:div w:id="1545604976">
          <w:marLeft w:val="0"/>
          <w:marRight w:val="0"/>
          <w:marTop w:val="0"/>
          <w:marBottom w:val="0"/>
          <w:divBdr>
            <w:top w:val="none" w:sz="0" w:space="0" w:color="auto"/>
            <w:left w:val="none" w:sz="0" w:space="0" w:color="auto"/>
            <w:bottom w:val="none" w:sz="0" w:space="0" w:color="auto"/>
            <w:right w:val="none" w:sz="0" w:space="0" w:color="auto"/>
          </w:divBdr>
        </w:div>
        <w:div w:id="1545604979">
          <w:marLeft w:val="0"/>
          <w:marRight w:val="0"/>
          <w:marTop w:val="0"/>
          <w:marBottom w:val="0"/>
          <w:divBdr>
            <w:top w:val="none" w:sz="0" w:space="0" w:color="auto"/>
            <w:left w:val="none" w:sz="0" w:space="0" w:color="auto"/>
            <w:bottom w:val="none" w:sz="0" w:space="0" w:color="auto"/>
            <w:right w:val="none" w:sz="0" w:space="0" w:color="auto"/>
          </w:divBdr>
        </w:div>
        <w:div w:id="1545604980">
          <w:marLeft w:val="0"/>
          <w:marRight w:val="0"/>
          <w:marTop w:val="0"/>
          <w:marBottom w:val="0"/>
          <w:divBdr>
            <w:top w:val="none" w:sz="0" w:space="0" w:color="auto"/>
            <w:left w:val="none" w:sz="0" w:space="0" w:color="auto"/>
            <w:bottom w:val="none" w:sz="0" w:space="0" w:color="auto"/>
            <w:right w:val="none" w:sz="0" w:space="0" w:color="auto"/>
          </w:divBdr>
        </w:div>
        <w:div w:id="1545604981">
          <w:marLeft w:val="0"/>
          <w:marRight w:val="0"/>
          <w:marTop w:val="0"/>
          <w:marBottom w:val="0"/>
          <w:divBdr>
            <w:top w:val="none" w:sz="0" w:space="0" w:color="auto"/>
            <w:left w:val="none" w:sz="0" w:space="0" w:color="auto"/>
            <w:bottom w:val="none" w:sz="0" w:space="0" w:color="auto"/>
            <w:right w:val="none" w:sz="0" w:space="0" w:color="auto"/>
          </w:divBdr>
        </w:div>
        <w:div w:id="1545604982">
          <w:marLeft w:val="0"/>
          <w:marRight w:val="0"/>
          <w:marTop w:val="0"/>
          <w:marBottom w:val="0"/>
          <w:divBdr>
            <w:top w:val="none" w:sz="0" w:space="0" w:color="auto"/>
            <w:left w:val="none" w:sz="0" w:space="0" w:color="auto"/>
            <w:bottom w:val="none" w:sz="0" w:space="0" w:color="auto"/>
            <w:right w:val="none" w:sz="0" w:space="0" w:color="auto"/>
          </w:divBdr>
        </w:div>
        <w:div w:id="1545604984">
          <w:marLeft w:val="0"/>
          <w:marRight w:val="0"/>
          <w:marTop w:val="0"/>
          <w:marBottom w:val="0"/>
          <w:divBdr>
            <w:top w:val="none" w:sz="0" w:space="0" w:color="auto"/>
            <w:left w:val="none" w:sz="0" w:space="0" w:color="auto"/>
            <w:bottom w:val="none" w:sz="0" w:space="0" w:color="auto"/>
            <w:right w:val="none" w:sz="0" w:space="0" w:color="auto"/>
          </w:divBdr>
        </w:div>
        <w:div w:id="1545604985">
          <w:marLeft w:val="0"/>
          <w:marRight w:val="0"/>
          <w:marTop w:val="0"/>
          <w:marBottom w:val="0"/>
          <w:divBdr>
            <w:top w:val="none" w:sz="0" w:space="0" w:color="auto"/>
            <w:left w:val="none" w:sz="0" w:space="0" w:color="auto"/>
            <w:bottom w:val="none" w:sz="0" w:space="0" w:color="auto"/>
            <w:right w:val="none" w:sz="0" w:space="0" w:color="auto"/>
          </w:divBdr>
        </w:div>
        <w:div w:id="1545604986">
          <w:marLeft w:val="0"/>
          <w:marRight w:val="0"/>
          <w:marTop w:val="0"/>
          <w:marBottom w:val="0"/>
          <w:divBdr>
            <w:top w:val="none" w:sz="0" w:space="0" w:color="auto"/>
            <w:left w:val="none" w:sz="0" w:space="0" w:color="auto"/>
            <w:bottom w:val="none" w:sz="0" w:space="0" w:color="auto"/>
            <w:right w:val="none" w:sz="0" w:space="0" w:color="auto"/>
          </w:divBdr>
        </w:div>
        <w:div w:id="1545604989">
          <w:marLeft w:val="0"/>
          <w:marRight w:val="0"/>
          <w:marTop w:val="0"/>
          <w:marBottom w:val="0"/>
          <w:divBdr>
            <w:top w:val="none" w:sz="0" w:space="0" w:color="auto"/>
            <w:left w:val="none" w:sz="0" w:space="0" w:color="auto"/>
            <w:bottom w:val="none" w:sz="0" w:space="0" w:color="auto"/>
            <w:right w:val="none" w:sz="0" w:space="0" w:color="auto"/>
          </w:divBdr>
        </w:div>
        <w:div w:id="1545604990">
          <w:marLeft w:val="0"/>
          <w:marRight w:val="0"/>
          <w:marTop w:val="0"/>
          <w:marBottom w:val="0"/>
          <w:divBdr>
            <w:top w:val="none" w:sz="0" w:space="0" w:color="auto"/>
            <w:left w:val="none" w:sz="0" w:space="0" w:color="auto"/>
            <w:bottom w:val="none" w:sz="0" w:space="0" w:color="auto"/>
            <w:right w:val="none" w:sz="0" w:space="0" w:color="auto"/>
          </w:divBdr>
        </w:div>
        <w:div w:id="1545604994">
          <w:marLeft w:val="0"/>
          <w:marRight w:val="0"/>
          <w:marTop w:val="0"/>
          <w:marBottom w:val="0"/>
          <w:divBdr>
            <w:top w:val="none" w:sz="0" w:space="0" w:color="auto"/>
            <w:left w:val="none" w:sz="0" w:space="0" w:color="auto"/>
            <w:bottom w:val="none" w:sz="0" w:space="0" w:color="auto"/>
            <w:right w:val="none" w:sz="0" w:space="0" w:color="auto"/>
          </w:divBdr>
        </w:div>
        <w:div w:id="1545605001">
          <w:marLeft w:val="0"/>
          <w:marRight w:val="0"/>
          <w:marTop w:val="0"/>
          <w:marBottom w:val="0"/>
          <w:divBdr>
            <w:top w:val="none" w:sz="0" w:space="0" w:color="auto"/>
            <w:left w:val="none" w:sz="0" w:space="0" w:color="auto"/>
            <w:bottom w:val="none" w:sz="0" w:space="0" w:color="auto"/>
            <w:right w:val="none" w:sz="0" w:space="0" w:color="auto"/>
          </w:divBdr>
        </w:div>
        <w:div w:id="1545605003">
          <w:marLeft w:val="0"/>
          <w:marRight w:val="0"/>
          <w:marTop w:val="0"/>
          <w:marBottom w:val="0"/>
          <w:divBdr>
            <w:top w:val="none" w:sz="0" w:space="0" w:color="auto"/>
            <w:left w:val="none" w:sz="0" w:space="0" w:color="auto"/>
            <w:bottom w:val="none" w:sz="0" w:space="0" w:color="auto"/>
            <w:right w:val="none" w:sz="0" w:space="0" w:color="auto"/>
          </w:divBdr>
        </w:div>
        <w:div w:id="1545605006">
          <w:marLeft w:val="0"/>
          <w:marRight w:val="0"/>
          <w:marTop w:val="0"/>
          <w:marBottom w:val="0"/>
          <w:divBdr>
            <w:top w:val="none" w:sz="0" w:space="0" w:color="auto"/>
            <w:left w:val="none" w:sz="0" w:space="0" w:color="auto"/>
            <w:bottom w:val="none" w:sz="0" w:space="0" w:color="auto"/>
            <w:right w:val="none" w:sz="0" w:space="0" w:color="auto"/>
          </w:divBdr>
        </w:div>
        <w:div w:id="1545605007">
          <w:marLeft w:val="0"/>
          <w:marRight w:val="0"/>
          <w:marTop w:val="0"/>
          <w:marBottom w:val="0"/>
          <w:divBdr>
            <w:top w:val="none" w:sz="0" w:space="0" w:color="auto"/>
            <w:left w:val="none" w:sz="0" w:space="0" w:color="auto"/>
            <w:bottom w:val="none" w:sz="0" w:space="0" w:color="auto"/>
            <w:right w:val="none" w:sz="0" w:space="0" w:color="auto"/>
          </w:divBdr>
        </w:div>
        <w:div w:id="1545605008">
          <w:marLeft w:val="0"/>
          <w:marRight w:val="0"/>
          <w:marTop w:val="0"/>
          <w:marBottom w:val="0"/>
          <w:divBdr>
            <w:top w:val="none" w:sz="0" w:space="0" w:color="auto"/>
            <w:left w:val="none" w:sz="0" w:space="0" w:color="auto"/>
            <w:bottom w:val="none" w:sz="0" w:space="0" w:color="auto"/>
            <w:right w:val="none" w:sz="0" w:space="0" w:color="auto"/>
          </w:divBdr>
        </w:div>
        <w:div w:id="1545605010">
          <w:marLeft w:val="0"/>
          <w:marRight w:val="0"/>
          <w:marTop w:val="0"/>
          <w:marBottom w:val="0"/>
          <w:divBdr>
            <w:top w:val="none" w:sz="0" w:space="0" w:color="auto"/>
            <w:left w:val="none" w:sz="0" w:space="0" w:color="auto"/>
            <w:bottom w:val="none" w:sz="0" w:space="0" w:color="auto"/>
            <w:right w:val="none" w:sz="0" w:space="0" w:color="auto"/>
          </w:divBdr>
        </w:div>
      </w:divsChild>
    </w:div>
    <w:div w:id="1545604975">
      <w:marLeft w:val="0"/>
      <w:marRight w:val="0"/>
      <w:marTop w:val="0"/>
      <w:marBottom w:val="0"/>
      <w:divBdr>
        <w:top w:val="none" w:sz="0" w:space="0" w:color="auto"/>
        <w:left w:val="none" w:sz="0" w:space="0" w:color="auto"/>
        <w:bottom w:val="none" w:sz="0" w:space="0" w:color="auto"/>
        <w:right w:val="none" w:sz="0" w:space="0" w:color="auto"/>
      </w:divBdr>
    </w:div>
    <w:div w:id="1545604988">
      <w:marLeft w:val="0"/>
      <w:marRight w:val="0"/>
      <w:marTop w:val="0"/>
      <w:marBottom w:val="0"/>
      <w:divBdr>
        <w:top w:val="none" w:sz="0" w:space="0" w:color="auto"/>
        <w:left w:val="none" w:sz="0" w:space="0" w:color="auto"/>
        <w:bottom w:val="none" w:sz="0" w:space="0" w:color="auto"/>
        <w:right w:val="none" w:sz="0" w:space="0" w:color="auto"/>
      </w:divBdr>
      <w:divsChild>
        <w:div w:id="1545604901">
          <w:marLeft w:val="0"/>
          <w:marRight w:val="0"/>
          <w:marTop w:val="0"/>
          <w:marBottom w:val="0"/>
          <w:divBdr>
            <w:top w:val="none" w:sz="0" w:space="0" w:color="auto"/>
            <w:left w:val="none" w:sz="0" w:space="0" w:color="auto"/>
            <w:bottom w:val="none" w:sz="0" w:space="0" w:color="auto"/>
            <w:right w:val="none" w:sz="0" w:space="0" w:color="auto"/>
          </w:divBdr>
        </w:div>
        <w:div w:id="1545604995">
          <w:marLeft w:val="0"/>
          <w:marRight w:val="0"/>
          <w:marTop w:val="0"/>
          <w:marBottom w:val="0"/>
          <w:divBdr>
            <w:top w:val="none" w:sz="0" w:space="0" w:color="auto"/>
            <w:left w:val="none" w:sz="0" w:space="0" w:color="auto"/>
            <w:bottom w:val="none" w:sz="0" w:space="0" w:color="auto"/>
            <w:right w:val="none" w:sz="0" w:space="0" w:color="auto"/>
          </w:divBdr>
        </w:div>
        <w:div w:id="1545605000">
          <w:marLeft w:val="0"/>
          <w:marRight w:val="0"/>
          <w:marTop w:val="0"/>
          <w:marBottom w:val="0"/>
          <w:divBdr>
            <w:top w:val="none" w:sz="0" w:space="0" w:color="auto"/>
            <w:left w:val="none" w:sz="0" w:space="0" w:color="auto"/>
            <w:bottom w:val="none" w:sz="0" w:space="0" w:color="auto"/>
            <w:right w:val="none" w:sz="0" w:space="0" w:color="auto"/>
          </w:divBdr>
        </w:div>
      </w:divsChild>
    </w:div>
    <w:div w:id="1545604991">
      <w:marLeft w:val="0"/>
      <w:marRight w:val="0"/>
      <w:marTop w:val="0"/>
      <w:marBottom w:val="0"/>
      <w:divBdr>
        <w:top w:val="none" w:sz="0" w:space="0" w:color="auto"/>
        <w:left w:val="none" w:sz="0" w:space="0" w:color="auto"/>
        <w:bottom w:val="none" w:sz="0" w:space="0" w:color="auto"/>
        <w:right w:val="none" w:sz="0" w:space="0" w:color="auto"/>
      </w:divBdr>
      <w:divsChild>
        <w:div w:id="1545604858">
          <w:marLeft w:val="0"/>
          <w:marRight w:val="0"/>
          <w:marTop w:val="0"/>
          <w:marBottom w:val="0"/>
          <w:divBdr>
            <w:top w:val="none" w:sz="0" w:space="0" w:color="auto"/>
            <w:left w:val="none" w:sz="0" w:space="0" w:color="auto"/>
            <w:bottom w:val="none" w:sz="0" w:space="0" w:color="auto"/>
            <w:right w:val="none" w:sz="0" w:space="0" w:color="auto"/>
          </w:divBdr>
        </w:div>
        <w:div w:id="1545604864">
          <w:marLeft w:val="0"/>
          <w:marRight w:val="0"/>
          <w:marTop w:val="0"/>
          <w:marBottom w:val="0"/>
          <w:divBdr>
            <w:top w:val="none" w:sz="0" w:space="0" w:color="auto"/>
            <w:left w:val="none" w:sz="0" w:space="0" w:color="auto"/>
            <w:bottom w:val="none" w:sz="0" w:space="0" w:color="auto"/>
            <w:right w:val="none" w:sz="0" w:space="0" w:color="auto"/>
          </w:divBdr>
        </w:div>
        <w:div w:id="1545604898">
          <w:marLeft w:val="0"/>
          <w:marRight w:val="0"/>
          <w:marTop w:val="0"/>
          <w:marBottom w:val="0"/>
          <w:divBdr>
            <w:top w:val="none" w:sz="0" w:space="0" w:color="auto"/>
            <w:left w:val="none" w:sz="0" w:space="0" w:color="auto"/>
            <w:bottom w:val="none" w:sz="0" w:space="0" w:color="auto"/>
            <w:right w:val="none" w:sz="0" w:space="0" w:color="auto"/>
          </w:divBdr>
        </w:div>
        <w:div w:id="1545604908">
          <w:marLeft w:val="0"/>
          <w:marRight w:val="0"/>
          <w:marTop w:val="0"/>
          <w:marBottom w:val="0"/>
          <w:divBdr>
            <w:top w:val="none" w:sz="0" w:space="0" w:color="auto"/>
            <w:left w:val="none" w:sz="0" w:space="0" w:color="auto"/>
            <w:bottom w:val="none" w:sz="0" w:space="0" w:color="auto"/>
            <w:right w:val="none" w:sz="0" w:space="0" w:color="auto"/>
          </w:divBdr>
        </w:div>
        <w:div w:id="1545604911">
          <w:marLeft w:val="0"/>
          <w:marRight w:val="0"/>
          <w:marTop w:val="0"/>
          <w:marBottom w:val="0"/>
          <w:divBdr>
            <w:top w:val="none" w:sz="0" w:space="0" w:color="auto"/>
            <w:left w:val="none" w:sz="0" w:space="0" w:color="auto"/>
            <w:bottom w:val="none" w:sz="0" w:space="0" w:color="auto"/>
            <w:right w:val="none" w:sz="0" w:space="0" w:color="auto"/>
          </w:divBdr>
        </w:div>
        <w:div w:id="1545604930">
          <w:marLeft w:val="0"/>
          <w:marRight w:val="0"/>
          <w:marTop w:val="0"/>
          <w:marBottom w:val="0"/>
          <w:divBdr>
            <w:top w:val="none" w:sz="0" w:space="0" w:color="auto"/>
            <w:left w:val="none" w:sz="0" w:space="0" w:color="auto"/>
            <w:bottom w:val="none" w:sz="0" w:space="0" w:color="auto"/>
            <w:right w:val="none" w:sz="0" w:space="0" w:color="auto"/>
          </w:divBdr>
        </w:div>
        <w:div w:id="1545604956">
          <w:marLeft w:val="0"/>
          <w:marRight w:val="0"/>
          <w:marTop w:val="0"/>
          <w:marBottom w:val="0"/>
          <w:divBdr>
            <w:top w:val="none" w:sz="0" w:space="0" w:color="auto"/>
            <w:left w:val="none" w:sz="0" w:space="0" w:color="auto"/>
            <w:bottom w:val="none" w:sz="0" w:space="0" w:color="auto"/>
            <w:right w:val="none" w:sz="0" w:space="0" w:color="auto"/>
          </w:divBdr>
        </w:div>
        <w:div w:id="1545604966">
          <w:marLeft w:val="0"/>
          <w:marRight w:val="0"/>
          <w:marTop w:val="0"/>
          <w:marBottom w:val="0"/>
          <w:divBdr>
            <w:top w:val="none" w:sz="0" w:space="0" w:color="auto"/>
            <w:left w:val="none" w:sz="0" w:space="0" w:color="auto"/>
            <w:bottom w:val="none" w:sz="0" w:space="0" w:color="auto"/>
            <w:right w:val="none" w:sz="0" w:space="0" w:color="auto"/>
          </w:divBdr>
        </w:div>
        <w:div w:id="1545604969">
          <w:marLeft w:val="0"/>
          <w:marRight w:val="0"/>
          <w:marTop w:val="0"/>
          <w:marBottom w:val="0"/>
          <w:divBdr>
            <w:top w:val="none" w:sz="0" w:space="0" w:color="auto"/>
            <w:left w:val="none" w:sz="0" w:space="0" w:color="auto"/>
            <w:bottom w:val="none" w:sz="0" w:space="0" w:color="auto"/>
            <w:right w:val="none" w:sz="0" w:space="0" w:color="auto"/>
          </w:divBdr>
        </w:div>
        <w:div w:id="1545604977">
          <w:marLeft w:val="0"/>
          <w:marRight w:val="0"/>
          <w:marTop w:val="0"/>
          <w:marBottom w:val="0"/>
          <w:divBdr>
            <w:top w:val="none" w:sz="0" w:space="0" w:color="auto"/>
            <w:left w:val="none" w:sz="0" w:space="0" w:color="auto"/>
            <w:bottom w:val="none" w:sz="0" w:space="0" w:color="auto"/>
            <w:right w:val="none" w:sz="0" w:space="0" w:color="auto"/>
          </w:divBdr>
        </w:div>
        <w:div w:id="1545604992">
          <w:marLeft w:val="0"/>
          <w:marRight w:val="0"/>
          <w:marTop w:val="0"/>
          <w:marBottom w:val="0"/>
          <w:divBdr>
            <w:top w:val="none" w:sz="0" w:space="0" w:color="auto"/>
            <w:left w:val="none" w:sz="0" w:space="0" w:color="auto"/>
            <w:bottom w:val="none" w:sz="0" w:space="0" w:color="auto"/>
            <w:right w:val="none" w:sz="0" w:space="0" w:color="auto"/>
          </w:divBdr>
        </w:div>
        <w:div w:id="1545605004">
          <w:marLeft w:val="0"/>
          <w:marRight w:val="0"/>
          <w:marTop w:val="0"/>
          <w:marBottom w:val="0"/>
          <w:divBdr>
            <w:top w:val="none" w:sz="0" w:space="0" w:color="auto"/>
            <w:left w:val="none" w:sz="0" w:space="0" w:color="auto"/>
            <w:bottom w:val="none" w:sz="0" w:space="0" w:color="auto"/>
            <w:right w:val="none" w:sz="0" w:space="0" w:color="auto"/>
          </w:divBdr>
        </w:div>
      </w:divsChild>
    </w:div>
    <w:div w:id="1545604997">
      <w:marLeft w:val="0"/>
      <w:marRight w:val="0"/>
      <w:marTop w:val="0"/>
      <w:marBottom w:val="0"/>
      <w:divBdr>
        <w:top w:val="none" w:sz="0" w:space="0" w:color="auto"/>
        <w:left w:val="none" w:sz="0" w:space="0" w:color="auto"/>
        <w:bottom w:val="none" w:sz="0" w:space="0" w:color="auto"/>
        <w:right w:val="none" w:sz="0" w:space="0" w:color="auto"/>
      </w:divBdr>
    </w:div>
    <w:div w:id="1569070064">
      <w:bodyDiv w:val="1"/>
      <w:marLeft w:val="0"/>
      <w:marRight w:val="0"/>
      <w:marTop w:val="0"/>
      <w:marBottom w:val="0"/>
      <w:divBdr>
        <w:top w:val="none" w:sz="0" w:space="0" w:color="auto"/>
        <w:left w:val="none" w:sz="0" w:space="0" w:color="auto"/>
        <w:bottom w:val="none" w:sz="0" w:space="0" w:color="auto"/>
        <w:right w:val="none" w:sz="0" w:space="0" w:color="auto"/>
      </w:divBdr>
    </w:div>
    <w:div w:id="1643584738">
      <w:bodyDiv w:val="1"/>
      <w:marLeft w:val="0"/>
      <w:marRight w:val="0"/>
      <w:marTop w:val="0"/>
      <w:marBottom w:val="0"/>
      <w:divBdr>
        <w:top w:val="none" w:sz="0" w:space="0" w:color="auto"/>
        <w:left w:val="none" w:sz="0" w:space="0" w:color="auto"/>
        <w:bottom w:val="none" w:sz="0" w:space="0" w:color="auto"/>
        <w:right w:val="none" w:sz="0" w:space="0" w:color="auto"/>
      </w:divBdr>
    </w:div>
    <w:div w:id="1753236245">
      <w:bodyDiv w:val="1"/>
      <w:marLeft w:val="0"/>
      <w:marRight w:val="0"/>
      <w:marTop w:val="0"/>
      <w:marBottom w:val="0"/>
      <w:divBdr>
        <w:top w:val="none" w:sz="0" w:space="0" w:color="auto"/>
        <w:left w:val="none" w:sz="0" w:space="0" w:color="auto"/>
        <w:bottom w:val="none" w:sz="0" w:space="0" w:color="auto"/>
        <w:right w:val="none" w:sz="0" w:space="0" w:color="auto"/>
      </w:divBdr>
    </w:div>
    <w:div w:id="197610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9F915F68272041B0F7010815955CE9" ma:contentTypeVersion="11" ma:contentTypeDescription="Create a new document." ma:contentTypeScope="" ma:versionID="68080639249f538b8e530d32e01075c1">
  <xsd:schema xmlns:xsd="http://www.w3.org/2001/XMLSchema" xmlns:xs="http://www.w3.org/2001/XMLSchema" xmlns:p="http://schemas.microsoft.com/office/2006/metadata/properties" xmlns:ns3="f7efb932-3931-4fe6-9216-7322f2119106" xmlns:ns4="a40b50a0-3a02-4c92-ba95-416174cbd920" targetNamespace="http://schemas.microsoft.com/office/2006/metadata/properties" ma:root="true" ma:fieldsID="eb945d9abc1eac3f9c6fab1ae7454b77" ns3:_="" ns4:_="">
    <xsd:import namespace="f7efb932-3931-4fe6-9216-7322f2119106"/>
    <xsd:import namespace="a40b50a0-3a02-4c92-ba95-416174cbd9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fb932-3931-4fe6-9216-7322f2119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b50a0-3a02-4c92-ba95-416174cbd9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EABB8-4E66-450D-97AB-A1B6195A9767}">
  <ds:schemaRefs>
    <ds:schemaRef ds:uri="http://schemas.microsoft.com/sharepoint/v3/contenttype/forms"/>
  </ds:schemaRefs>
</ds:datastoreItem>
</file>

<file path=customXml/itemProps2.xml><?xml version="1.0" encoding="utf-8"?>
<ds:datastoreItem xmlns:ds="http://schemas.openxmlformats.org/officeDocument/2006/customXml" ds:itemID="{CD01F037-5210-4DA4-ACD0-395C6A125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efb932-3931-4fe6-9216-7322f2119106"/>
    <ds:schemaRef ds:uri="a40b50a0-3a02-4c92-ba95-416174cbd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CBEE63-5F12-4904-9014-8F80E777BA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CE1794-4707-4BCE-889A-A0CA06D36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20</Pages>
  <Words>10336</Words>
  <Characters>54890</Characters>
  <Application>Microsoft Office Word</Application>
  <DocSecurity>0</DocSecurity>
  <Lines>871</Lines>
  <Paragraphs>256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 findings and recommendations with regard to communication ACCC/C/2015/128 concerning compliance by the European Union</vt:lpstr>
      <vt:lpstr>Draft findings and recommendations with regard to communication ACCC/C/2015/128 concerning compliance by the European Union</vt:lpstr>
    </vt:vector>
  </TitlesOfParts>
  <Company>ECE-ISU</Company>
  <LinksUpToDate>false</LinksUpToDate>
  <CharactersWithSpaces>64970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findings and recommendations with regard to communication ACCC/C/2015/128 concerning compliance by the European Union</dc:title>
  <dc:subject/>
  <dc:creator>Bichet</dc:creator>
  <cp:keywords/>
  <dc:description/>
  <cp:lastModifiedBy>Fiona Marshall</cp:lastModifiedBy>
  <cp:revision>10</cp:revision>
  <cp:lastPrinted>2019-06-06T10:37:00Z</cp:lastPrinted>
  <dcterms:created xsi:type="dcterms:W3CDTF">2021-01-18T13:25:00Z</dcterms:created>
  <dcterms:modified xsi:type="dcterms:W3CDTF">2021-01-18T17:07:00Z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0x010100309F915F68272041B0F7010815955CE9</vt:lpwstr>
  </property>
</Properties>
</file>