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674FBF3F" w:rsidR="002D0E0E" w:rsidRPr="00D47EEA" w:rsidRDefault="00066D1F" w:rsidP="00B044E6">
            <w:pPr>
              <w:jc w:val="right"/>
            </w:pPr>
            <w:r>
              <w:rPr>
                <w:b/>
                <w:sz w:val="40"/>
                <w:szCs w:val="40"/>
              </w:rPr>
              <w:t>INF.</w:t>
            </w:r>
            <w:r w:rsidR="003B55D0">
              <w:rPr>
                <w:b/>
                <w:sz w:val="40"/>
                <w:szCs w:val="40"/>
              </w:rPr>
              <w:t>3</w:t>
            </w:r>
          </w:p>
        </w:tc>
      </w:tr>
      <w:tr w:rsidR="002D0E0E" w14:paraId="4D735252" w14:textId="77777777" w:rsidTr="00BE75D7">
        <w:trPr>
          <w:cantSplit/>
          <w:trHeight w:hRule="exact" w:val="3980"/>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77777777" w:rsidR="00BE75D7" w:rsidRDefault="00BE75D7" w:rsidP="00BE75D7">
            <w:r>
              <w:t>Item 3 (c) of the provisional agenda</w:t>
            </w:r>
          </w:p>
          <w:p w14:paraId="7092B0CB" w14:textId="6941E015" w:rsidR="008725D5" w:rsidRPr="00D773DF" w:rsidRDefault="00BE75D7" w:rsidP="00BE75D7">
            <w:r>
              <w:rPr>
                <w:b/>
                <w:bCs/>
              </w:rPr>
              <w:t>Implementation of the European Agreement concerning the International Carriage of Dangerous Goods by Inland Waterways (ADN):</w:t>
            </w:r>
            <w:r>
              <w:rPr>
                <w:b/>
                <w:bCs/>
              </w:rPr>
              <w:br/>
              <w:t xml:space="preserve">interpretation </w:t>
            </w:r>
            <w:r w:rsidRPr="004A3ADA">
              <w:rPr>
                <w:b/>
                <w:bCs/>
              </w:rPr>
              <w:t xml:space="preserve">of the Regulations annexed to </w:t>
            </w:r>
            <w:r w:rsidR="00431896">
              <w:rPr>
                <w:b/>
                <w:bCs/>
              </w:rPr>
              <w:t>AD</w:t>
            </w:r>
            <w:r w:rsidR="007430C6">
              <w:rPr>
                <w:b/>
                <w:bCs/>
              </w:rPr>
              <w:t>N</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32A7FD1B" w:rsidR="00661AEB" w:rsidRDefault="003B55D0" w:rsidP="00661AEB">
            <w:pPr>
              <w:spacing w:before="120"/>
            </w:pPr>
            <w:r>
              <w:t>5</w:t>
            </w:r>
            <w:r w:rsidR="0064024B">
              <w:t xml:space="preserve"> </w:t>
            </w:r>
            <w:r>
              <w:t>November</w:t>
            </w:r>
            <w:r w:rsidR="00F81B55">
              <w:t xml:space="preserve"> 20</w:t>
            </w:r>
            <w:r w:rsidR="000228C8">
              <w:t>20</w:t>
            </w:r>
            <w:r w:rsidR="00F70DC9">
              <w:br/>
            </w:r>
            <w:r w:rsidR="009B7D4A">
              <w:t>German</w:t>
            </w:r>
          </w:p>
        </w:tc>
      </w:tr>
    </w:tbl>
    <w:p w14:paraId="74DE46A7" w14:textId="77777777" w:rsidR="006056C5" w:rsidRPr="00835CB9" w:rsidRDefault="00F81B55" w:rsidP="006056C5">
      <w:pPr>
        <w:pStyle w:val="HChG"/>
        <w:rPr>
          <w:sz w:val="32"/>
          <w:szCs w:val="24"/>
          <w:lang w:val="de-DE"/>
        </w:rPr>
      </w:pPr>
      <w:r>
        <w:tab/>
      </w:r>
      <w:r>
        <w:tab/>
      </w:r>
      <w:r w:rsidR="006056C5">
        <w:rPr>
          <w:lang w:val="de-DE"/>
        </w:rPr>
        <w:t xml:space="preserve">Unterabschnitt </w:t>
      </w:r>
      <w:r w:rsidR="006056C5" w:rsidRPr="00792087">
        <w:rPr>
          <w:lang w:val="de-DE"/>
        </w:rPr>
        <w:t xml:space="preserve">8.1.2.2 </w:t>
      </w:r>
      <w:r w:rsidR="006056C5">
        <w:rPr>
          <w:lang w:val="de-DE"/>
        </w:rPr>
        <w:t xml:space="preserve">ADN – Dokumente, die an Bord von Trockengüterschiffe </w:t>
      </w:r>
      <w:proofErr w:type="spellStart"/>
      <w:r w:rsidR="006056C5" w:rsidRPr="006056C5">
        <w:t>mitzuführen</w:t>
      </w:r>
      <w:proofErr w:type="spellEnd"/>
      <w:r w:rsidR="006056C5">
        <w:rPr>
          <w:lang w:val="de-DE"/>
        </w:rPr>
        <w:t xml:space="preserve"> sind - Explosionsschutz</w:t>
      </w:r>
    </w:p>
    <w:p w14:paraId="63E967DE" w14:textId="2F08FA4D" w:rsidR="00661AEB" w:rsidRPr="00792087" w:rsidRDefault="006056C5" w:rsidP="006056C5">
      <w:pPr>
        <w:pStyle w:val="H1G"/>
      </w:pPr>
      <w:r>
        <w:tab/>
      </w:r>
      <w:r>
        <w:tab/>
      </w:r>
      <w:r>
        <w:tab/>
      </w:r>
      <w:proofErr w:type="spellStart"/>
      <w:r w:rsidRPr="00792087">
        <w:t>Vorgelegt</w:t>
      </w:r>
      <w:proofErr w:type="spellEnd"/>
      <w:r w:rsidRPr="00792087">
        <w:t xml:space="preserve"> von Deutschland</w:t>
      </w:r>
    </w:p>
    <w:p w14:paraId="284DEEF9" w14:textId="3F0FAAA5" w:rsidR="00663859" w:rsidRPr="00B5475F" w:rsidRDefault="00663859" w:rsidP="00663859">
      <w:pPr>
        <w:pStyle w:val="HChG"/>
      </w:pPr>
      <w:r>
        <w:tab/>
      </w:r>
      <w:r>
        <w:tab/>
      </w:r>
      <w:proofErr w:type="spellStart"/>
      <w:r w:rsidRPr="00B5475F">
        <w:t>Einleitung</w:t>
      </w:r>
      <w:proofErr w:type="spellEnd"/>
    </w:p>
    <w:p w14:paraId="2AB3407A" w14:textId="77777777" w:rsidR="00663859" w:rsidRDefault="00663859" w:rsidP="00663859">
      <w:pPr>
        <w:pStyle w:val="SingleTxtG"/>
      </w:pPr>
      <w:r w:rsidRPr="0023071C">
        <w:t>1.</w:t>
      </w:r>
      <w:r w:rsidRPr="0023071C">
        <w:tab/>
        <w:t xml:space="preserve">Die deutsche Delegation </w:t>
      </w:r>
      <w:proofErr w:type="spellStart"/>
      <w:r w:rsidRPr="0023071C">
        <w:t>wurde</w:t>
      </w:r>
      <w:proofErr w:type="spellEnd"/>
      <w:r w:rsidRPr="0023071C">
        <w:t xml:space="preserve"> </w:t>
      </w:r>
      <w:proofErr w:type="spellStart"/>
      <w:r w:rsidRPr="0023071C">
        <w:t>aus</w:t>
      </w:r>
      <w:proofErr w:type="spellEnd"/>
      <w:r w:rsidRPr="0023071C">
        <w:t xml:space="preserve"> </w:t>
      </w:r>
      <w:proofErr w:type="spellStart"/>
      <w:r w:rsidRPr="0023071C">
        <w:t>dem</w:t>
      </w:r>
      <w:proofErr w:type="spellEnd"/>
      <w:r w:rsidRPr="0023071C">
        <w:t xml:space="preserve"> </w:t>
      </w:r>
      <w:proofErr w:type="spellStart"/>
      <w:r w:rsidRPr="0023071C">
        <w:t>Binnenschifffahrtsgewerbe</w:t>
      </w:r>
      <w:proofErr w:type="spellEnd"/>
      <w:r w:rsidRPr="0023071C">
        <w:t xml:space="preserve"> auf die </w:t>
      </w:r>
      <w:proofErr w:type="spellStart"/>
      <w:r w:rsidRPr="0023071C">
        <w:t>folgende</w:t>
      </w:r>
      <w:proofErr w:type="spellEnd"/>
      <w:r w:rsidRPr="0023071C">
        <w:t xml:space="preserve"> </w:t>
      </w:r>
      <w:proofErr w:type="spellStart"/>
      <w:r w:rsidRPr="0023071C">
        <w:t>Auslegungsfrage</w:t>
      </w:r>
      <w:proofErr w:type="spellEnd"/>
      <w:r w:rsidRPr="0023071C">
        <w:t xml:space="preserve"> </w:t>
      </w:r>
      <w:proofErr w:type="spellStart"/>
      <w:r w:rsidRPr="0023071C">
        <w:t>angesprochen</w:t>
      </w:r>
      <w:proofErr w:type="spellEnd"/>
      <w:r w:rsidRPr="0023071C">
        <w:t>.</w:t>
      </w:r>
    </w:p>
    <w:p w14:paraId="30A8195D" w14:textId="77777777" w:rsidR="00663859" w:rsidRDefault="00663859" w:rsidP="00663859">
      <w:pPr>
        <w:pStyle w:val="SingleTxtG"/>
      </w:pPr>
      <w:r>
        <w:t>2.</w:t>
      </w:r>
      <w:r>
        <w:tab/>
        <w:t xml:space="preserve">In </w:t>
      </w:r>
      <w:proofErr w:type="spellStart"/>
      <w:r>
        <w:t>Unterabschnitt</w:t>
      </w:r>
      <w:proofErr w:type="spellEnd"/>
      <w:r>
        <w:t xml:space="preserve"> 8.1.2.2 ADN </w:t>
      </w:r>
      <w:proofErr w:type="spellStart"/>
      <w:r>
        <w:t>wird</w:t>
      </w:r>
      <w:proofErr w:type="spellEnd"/>
      <w:r>
        <w:t xml:space="preserve"> </w:t>
      </w:r>
      <w:proofErr w:type="spellStart"/>
      <w:r>
        <w:t>mit</w:t>
      </w:r>
      <w:proofErr w:type="spellEnd"/>
      <w:r>
        <w:t xml:space="preserve"> den </w:t>
      </w:r>
      <w:proofErr w:type="spellStart"/>
      <w:r>
        <w:t>Buchstaben</w:t>
      </w:r>
      <w:proofErr w:type="spellEnd"/>
      <w:r>
        <w:t xml:space="preserve"> </w:t>
      </w:r>
      <w:r w:rsidRPr="0023071C">
        <w:t xml:space="preserve">e), g) und h) </w:t>
      </w:r>
      <w:proofErr w:type="spellStart"/>
      <w:r>
        <w:t>gefordert</w:t>
      </w:r>
      <w:proofErr w:type="spellEnd"/>
      <w:r>
        <w:t xml:space="preserve">, </w:t>
      </w:r>
      <w:proofErr w:type="spellStart"/>
      <w:r>
        <w:t>dass</w:t>
      </w:r>
      <w:proofErr w:type="spellEnd"/>
      <w:r>
        <w:t xml:space="preserve"> an Bord von </w:t>
      </w:r>
      <w:proofErr w:type="spellStart"/>
      <w:r>
        <w:t>Trockengüterschiffen</w:t>
      </w:r>
      <w:proofErr w:type="spellEnd"/>
      <w:r>
        <w:t xml:space="preserve"> </w:t>
      </w:r>
      <w:proofErr w:type="spellStart"/>
      <w:r>
        <w:t>verschiedene</w:t>
      </w:r>
      <w:proofErr w:type="spellEnd"/>
      <w:r>
        <w:t xml:space="preserve"> </w:t>
      </w:r>
      <w:proofErr w:type="spellStart"/>
      <w:r>
        <w:t>Pläne</w:t>
      </w:r>
      <w:proofErr w:type="spellEnd"/>
      <w:r>
        <w:t xml:space="preserve"> und Listen </w:t>
      </w:r>
      <w:proofErr w:type="spellStart"/>
      <w:r>
        <w:t>zur</w:t>
      </w:r>
      <w:proofErr w:type="spellEnd"/>
      <w:r>
        <w:t xml:space="preserve"> den an Bord des </w:t>
      </w:r>
      <w:proofErr w:type="spellStart"/>
      <w:r>
        <w:t>Schiffes</w:t>
      </w:r>
      <w:proofErr w:type="spellEnd"/>
      <w:r>
        <w:t xml:space="preserve"> </w:t>
      </w:r>
      <w:proofErr w:type="spellStart"/>
      <w:r>
        <w:t>abgegrenzten</w:t>
      </w:r>
      <w:proofErr w:type="spellEnd"/>
      <w:r>
        <w:t xml:space="preserve"> </w:t>
      </w:r>
      <w:proofErr w:type="spellStart"/>
      <w:r>
        <w:t>Explosionsschutzzonen</w:t>
      </w:r>
      <w:proofErr w:type="spellEnd"/>
      <w:r>
        <w:t xml:space="preserve"> und den in </w:t>
      </w:r>
      <w:proofErr w:type="spellStart"/>
      <w:r>
        <w:t>diesen</w:t>
      </w:r>
      <w:proofErr w:type="spellEnd"/>
      <w:r>
        <w:t xml:space="preserve"> </w:t>
      </w:r>
      <w:proofErr w:type="spellStart"/>
      <w:r>
        <w:t>Zonen</w:t>
      </w:r>
      <w:proofErr w:type="spellEnd"/>
      <w:r>
        <w:t xml:space="preserve"> </w:t>
      </w:r>
      <w:proofErr w:type="spellStart"/>
      <w:r>
        <w:t>eingesetzten</w:t>
      </w:r>
      <w:proofErr w:type="spellEnd"/>
      <w:r>
        <w:t xml:space="preserve"> Anlagen und </w:t>
      </w:r>
      <w:proofErr w:type="spellStart"/>
      <w:r>
        <w:t>Geräten</w:t>
      </w:r>
      <w:proofErr w:type="spellEnd"/>
      <w:r>
        <w:t xml:space="preserve"> </w:t>
      </w:r>
      <w:proofErr w:type="spellStart"/>
      <w:r>
        <w:t>mitzuführen</w:t>
      </w:r>
      <w:proofErr w:type="spellEnd"/>
      <w:r>
        <w:t xml:space="preserve"> </w:t>
      </w:r>
      <w:proofErr w:type="spellStart"/>
      <w:r>
        <w:t>sind</w:t>
      </w:r>
      <w:proofErr w:type="spellEnd"/>
      <w:r>
        <w:t xml:space="preserve">. </w:t>
      </w:r>
    </w:p>
    <w:p w14:paraId="5F15E09C" w14:textId="77777777" w:rsidR="00663859" w:rsidRPr="002A6957" w:rsidRDefault="00663859" w:rsidP="00663859">
      <w:pPr>
        <w:pStyle w:val="SingleTxtG"/>
      </w:pPr>
      <w:r>
        <w:t>3.</w:t>
      </w:r>
      <w:r>
        <w:tab/>
        <w:t xml:space="preserve">Die </w:t>
      </w:r>
      <w:proofErr w:type="spellStart"/>
      <w:r>
        <w:t>Begriffsbestimmung</w:t>
      </w:r>
      <w:proofErr w:type="spellEnd"/>
      <w:r>
        <w:t xml:space="preserve"> „</w:t>
      </w:r>
      <w:proofErr w:type="spellStart"/>
      <w:r>
        <w:t>Zoneneinteilung</w:t>
      </w:r>
      <w:proofErr w:type="spellEnd"/>
      <w:r>
        <w:t xml:space="preserve">“ in </w:t>
      </w:r>
      <w:proofErr w:type="spellStart"/>
      <w:r>
        <w:t>Abschnitt</w:t>
      </w:r>
      <w:proofErr w:type="spellEnd"/>
      <w:r>
        <w:t xml:space="preserve"> 1.2.1 ADN </w:t>
      </w:r>
      <w:proofErr w:type="spellStart"/>
      <w:r>
        <w:t>betrifft</w:t>
      </w:r>
      <w:proofErr w:type="spellEnd"/>
      <w:r>
        <w:t xml:space="preserve"> </w:t>
      </w:r>
      <w:proofErr w:type="spellStart"/>
      <w:r>
        <w:t>nach</w:t>
      </w:r>
      <w:proofErr w:type="spellEnd"/>
      <w:r>
        <w:t xml:space="preserve"> </w:t>
      </w:r>
      <w:proofErr w:type="spellStart"/>
      <w:r>
        <w:t>ihrem</w:t>
      </w:r>
      <w:proofErr w:type="spellEnd"/>
      <w:r>
        <w:t xml:space="preserve"> </w:t>
      </w:r>
      <w:proofErr w:type="spellStart"/>
      <w:r>
        <w:t>Wortlaut</w:t>
      </w:r>
      <w:proofErr w:type="spellEnd"/>
      <w:r>
        <w:t xml:space="preserve"> </w:t>
      </w:r>
      <w:proofErr w:type="spellStart"/>
      <w:r>
        <w:t>ausschließlich</w:t>
      </w:r>
      <w:proofErr w:type="spellEnd"/>
      <w:r>
        <w:t xml:space="preserve"> </w:t>
      </w:r>
      <w:proofErr w:type="spellStart"/>
      <w:r>
        <w:t>Tankschiffe</w:t>
      </w:r>
      <w:proofErr w:type="spellEnd"/>
      <w:r>
        <w:t>.</w:t>
      </w:r>
    </w:p>
    <w:p w14:paraId="4B7A2B53" w14:textId="77777777" w:rsidR="00663859" w:rsidRDefault="00663859" w:rsidP="00663859">
      <w:pPr>
        <w:pStyle w:val="SingleTxtG"/>
      </w:pPr>
      <w:r>
        <w:t>4.</w:t>
      </w:r>
      <w:r>
        <w:tab/>
        <w:t xml:space="preserve">Es </w:t>
      </w:r>
      <w:proofErr w:type="spellStart"/>
      <w:r>
        <w:t>stellt</w:t>
      </w:r>
      <w:proofErr w:type="spellEnd"/>
      <w:r>
        <w:t xml:space="preserve"> </w:t>
      </w:r>
      <w:proofErr w:type="spellStart"/>
      <w:r>
        <w:t>sich</w:t>
      </w:r>
      <w:proofErr w:type="spellEnd"/>
      <w:r>
        <w:t xml:space="preserve"> die </w:t>
      </w:r>
      <w:proofErr w:type="spellStart"/>
      <w:r>
        <w:t>Frage</w:t>
      </w:r>
      <w:proofErr w:type="spellEnd"/>
      <w:r>
        <w:t xml:space="preserve">, </w:t>
      </w:r>
      <w:proofErr w:type="spellStart"/>
      <w:r>
        <w:t>ob</w:t>
      </w:r>
      <w:proofErr w:type="spellEnd"/>
      <w:r>
        <w:t xml:space="preserve"> und </w:t>
      </w:r>
      <w:proofErr w:type="spellStart"/>
      <w:r>
        <w:t>wie</w:t>
      </w:r>
      <w:proofErr w:type="spellEnd"/>
      <w:r>
        <w:t xml:space="preserve"> </w:t>
      </w:r>
      <w:proofErr w:type="spellStart"/>
      <w:r>
        <w:t>überhaupt</w:t>
      </w:r>
      <w:proofErr w:type="spellEnd"/>
      <w:r>
        <w:t xml:space="preserve"> </w:t>
      </w:r>
      <w:proofErr w:type="spellStart"/>
      <w:r>
        <w:t>Explosionsschutzzonen</w:t>
      </w:r>
      <w:proofErr w:type="spellEnd"/>
      <w:r>
        <w:t xml:space="preserve"> an Bord von </w:t>
      </w:r>
      <w:proofErr w:type="spellStart"/>
      <w:r>
        <w:t>Trockengüterschiffen</w:t>
      </w:r>
      <w:proofErr w:type="spellEnd"/>
      <w:r>
        <w:t xml:space="preserve"> </w:t>
      </w:r>
      <w:proofErr w:type="spellStart"/>
      <w:r>
        <w:t>abgegrenzt</w:t>
      </w:r>
      <w:proofErr w:type="spellEnd"/>
      <w:r>
        <w:t xml:space="preserve"> </w:t>
      </w:r>
      <w:proofErr w:type="spellStart"/>
      <w:r>
        <w:t>werden</w:t>
      </w:r>
      <w:proofErr w:type="spellEnd"/>
      <w:r>
        <w:t xml:space="preserve"> </w:t>
      </w:r>
      <w:proofErr w:type="spellStart"/>
      <w:r>
        <w:t>müssen</w:t>
      </w:r>
      <w:proofErr w:type="spellEnd"/>
      <w:r>
        <w:t>.</w:t>
      </w:r>
    </w:p>
    <w:p w14:paraId="278C0DF5" w14:textId="0D13B035" w:rsidR="00663859" w:rsidRPr="0023071C" w:rsidRDefault="00663859" w:rsidP="00663859">
      <w:pPr>
        <w:pStyle w:val="HChG"/>
      </w:pPr>
      <w:r>
        <w:tab/>
      </w:r>
      <w:r>
        <w:tab/>
      </w:r>
      <w:proofErr w:type="spellStart"/>
      <w:r w:rsidRPr="0023071C">
        <w:t>Auslegung</w:t>
      </w:r>
      <w:proofErr w:type="spellEnd"/>
      <w:r w:rsidRPr="0023071C">
        <w:t xml:space="preserve"> der </w:t>
      </w:r>
      <w:proofErr w:type="spellStart"/>
      <w:r w:rsidRPr="0023071C">
        <w:t>Vorschriften</w:t>
      </w:r>
      <w:proofErr w:type="spellEnd"/>
    </w:p>
    <w:p w14:paraId="7D31D43B" w14:textId="77777777" w:rsidR="00663859" w:rsidRDefault="00663859" w:rsidP="00663859">
      <w:pPr>
        <w:pStyle w:val="SingleTxtG"/>
      </w:pPr>
      <w:r>
        <w:t>5.</w:t>
      </w:r>
      <w:r>
        <w:tab/>
        <w:t xml:space="preserve">In </w:t>
      </w:r>
      <w:proofErr w:type="spellStart"/>
      <w:r>
        <w:t>Abschnitt</w:t>
      </w:r>
      <w:proofErr w:type="spellEnd"/>
      <w:r>
        <w:t xml:space="preserve"> 1.2.1 ADN </w:t>
      </w:r>
      <w:proofErr w:type="spellStart"/>
      <w:r>
        <w:t>findet</w:t>
      </w:r>
      <w:proofErr w:type="spellEnd"/>
      <w:r>
        <w:t xml:space="preserve"> man </w:t>
      </w:r>
      <w:proofErr w:type="spellStart"/>
      <w:r>
        <w:t>eine</w:t>
      </w:r>
      <w:proofErr w:type="spellEnd"/>
      <w:r>
        <w:t xml:space="preserve"> </w:t>
      </w:r>
      <w:proofErr w:type="spellStart"/>
      <w:r>
        <w:t>Begriffsbestimmung</w:t>
      </w:r>
      <w:proofErr w:type="spellEnd"/>
      <w:r>
        <w:t xml:space="preserve"> </w:t>
      </w:r>
      <w:proofErr w:type="spellStart"/>
      <w:r>
        <w:t>für</w:t>
      </w:r>
      <w:proofErr w:type="spellEnd"/>
      <w:r>
        <w:t xml:space="preserve"> „</w:t>
      </w:r>
      <w:proofErr w:type="spellStart"/>
      <w:r>
        <w:t>Geschützter</w:t>
      </w:r>
      <w:proofErr w:type="spellEnd"/>
      <w:r>
        <w:t xml:space="preserve"> </w:t>
      </w:r>
      <w:proofErr w:type="spellStart"/>
      <w:r>
        <w:t>Bereich</w:t>
      </w:r>
      <w:proofErr w:type="spellEnd"/>
      <w:r>
        <w:t xml:space="preserve">“, </w:t>
      </w:r>
      <w:r w:rsidRPr="005F46E0">
        <w:t xml:space="preserve">die </w:t>
      </w:r>
      <w:proofErr w:type="spellStart"/>
      <w:r w:rsidRPr="005F46E0">
        <w:t>sich</w:t>
      </w:r>
      <w:proofErr w:type="spellEnd"/>
      <w:r w:rsidRPr="005F46E0">
        <w:t xml:space="preserve"> auf </w:t>
      </w:r>
      <w:proofErr w:type="spellStart"/>
      <w:r w:rsidRPr="005F46E0">
        <w:t>Trockengüterschiffe</w:t>
      </w:r>
      <w:proofErr w:type="spellEnd"/>
      <w:r w:rsidRPr="005F46E0">
        <w:t xml:space="preserve"> </w:t>
      </w:r>
      <w:proofErr w:type="spellStart"/>
      <w:r w:rsidRPr="005F46E0">
        <w:t>bezieht</w:t>
      </w:r>
      <w:proofErr w:type="spellEnd"/>
      <w:r w:rsidRPr="005F46E0">
        <w:t xml:space="preserve">. In </w:t>
      </w:r>
      <w:proofErr w:type="spellStart"/>
      <w:r w:rsidRPr="005F46E0">
        <w:t>dieser</w:t>
      </w:r>
      <w:proofErr w:type="spellEnd"/>
      <w:r w:rsidRPr="005F46E0">
        <w:t xml:space="preserve"> </w:t>
      </w:r>
      <w:proofErr w:type="spellStart"/>
      <w:r w:rsidRPr="005F46E0">
        <w:t>Begriffsbestimmung</w:t>
      </w:r>
      <w:proofErr w:type="spellEnd"/>
      <w:r w:rsidRPr="005F46E0">
        <w:t xml:space="preserve"> </w:t>
      </w:r>
      <w:proofErr w:type="spellStart"/>
      <w:r w:rsidRPr="005F46E0">
        <w:t>wird</w:t>
      </w:r>
      <w:proofErr w:type="spellEnd"/>
      <w:r w:rsidRPr="005F46E0">
        <w:t xml:space="preserve"> von </w:t>
      </w:r>
      <w:proofErr w:type="spellStart"/>
      <w:r w:rsidRPr="005F46E0">
        <w:t>Bereichen</w:t>
      </w:r>
      <w:proofErr w:type="spellEnd"/>
      <w:r w:rsidRPr="005F46E0">
        <w:t xml:space="preserve"> „</w:t>
      </w:r>
      <w:proofErr w:type="spellStart"/>
      <w:r>
        <w:t>vergleichbar</w:t>
      </w:r>
      <w:proofErr w:type="spellEnd"/>
      <w:r>
        <w:t xml:space="preserve"> </w:t>
      </w:r>
      <w:r w:rsidRPr="005F46E0">
        <w:t>Zone 1“ und ‚“</w:t>
      </w:r>
      <w:proofErr w:type="spellStart"/>
      <w:r>
        <w:t>vergleichbar</w:t>
      </w:r>
      <w:proofErr w:type="spellEnd"/>
      <w:r>
        <w:t xml:space="preserve"> </w:t>
      </w:r>
      <w:r w:rsidRPr="005F46E0">
        <w:t xml:space="preserve">Zone 2“ </w:t>
      </w:r>
      <w:proofErr w:type="spellStart"/>
      <w:r w:rsidRPr="005F46E0">
        <w:t>gesprochen</w:t>
      </w:r>
      <w:proofErr w:type="spellEnd"/>
      <w:r w:rsidRPr="005F46E0">
        <w:t xml:space="preserve">, </w:t>
      </w:r>
      <w:r w:rsidRPr="006354F9">
        <w:rPr>
          <w:b/>
        </w:rPr>
        <w:t>"</w:t>
      </w:r>
      <w:proofErr w:type="spellStart"/>
      <w:r w:rsidRPr="006354F9">
        <w:rPr>
          <w:b/>
        </w:rPr>
        <w:t>wenn</w:t>
      </w:r>
      <w:proofErr w:type="spellEnd"/>
      <w:r w:rsidRPr="006354F9">
        <w:rPr>
          <w:b/>
        </w:rPr>
        <w:t xml:space="preserve"> </w:t>
      </w:r>
      <w:proofErr w:type="spellStart"/>
      <w:r w:rsidRPr="006354F9">
        <w:rPr>
          <w:b/>
        </w:rPr>
        <w:t>Explosionsschutz</w:t>
      </w:r>
      <w:proofErr w:type="spellEnd"/>
      <w:r w:rsidRPr="006354F9">
        <w:rPr>
          <w:b/>
        </w:rPr>
        <w:t xml:space="preserve"> </w:t>
      </w:r>
      <w:proofErr w:type="spellStart"/>
      <w:r w:rsidRPr="006354F9">
        <w:rPr>
          <w:b/>
        </w:rPr>
        <w:t>gefordert</w:t>
      </w:r>
      <w:proofErr w:type="spellEnd"/>
      <w:r w:rsidRPr="006354F9">
        <w:rPr>
          <w:b/>
        </w:rPr>
        <w:t xml:space="preserve"> </w:t>
      </w:r>
      <w:proofErr w:type="spellStart"/>
      <w:r w:rsidRPr="006354F9">
        <w:rPr>
          <w:b/>
        </w:rPr>
        <w:t>wird</w:t>
      </w:r>
      <w:proofErr w:type="spellEnd"/>
      <w:r w:rsidRPr="006354F9">
        <w:rPr>
          <w:b/>
        </w:rPr>
        <w:t>"</w:t>
      </w:r>
      <w:r>
        <w:t>.</w:t>
      </w:r>
    </w:p>
    <w:p w14:paraId="72FD9E3C" w14:textId="77777777" w:rsidR="00663859" w:rsidRDefault="00663859" w:rsidP="00663859">
      <w:pPr>
        <w:pStyle w:val="SingleTxtG"/>
      </w:pPr>
      <w:r>
        <w:t>6.</w:t>
      </w:r>
      <w:r>
        <w:tab/>
        <w:t xml:space="preserve">Bis </w:t>
      </w:r>
      <w:proofErr w:type="spellStart"/>
      <w:r>
        <w:t>zum</w:t>
      </w:r>
      <w:proofErr w:type="spellEnd"/>
      <w:r>
        <w:t xml:space="preserve"> ADN 2017 </w:t>
      </w:r>
      <w:proofErr w:type="spellStart"/>
      <w:r w:rsidRPr="006354F9">
        <w:t>wurden</w:t>
      </w:r>
      <w:proofErr w:type="spellEnd"/>
      <w:r w:rsidRPr="006354F9">
        <w:t xml:space="preserve"> der </w:t>
      </w:r>
      <w:proofErr w:type="spellStart"/>
      <w:r w:rsidRPr="006354F9">
        <w:t>Laderaum</w:t>
      </w:r>
      <w:proofErr w:type="spellEnd"/>
      <w:r w:rsidRPr="006354F9">
        <w:t xml:space="preserve"> und der „</w:t>
      </w:r>
      <w:proofErr w:type="spellStart"/>
      <w:r w:rsidRPr="006354F9">
        <w:t>geschützte</w:t>
      </w:r>
      <w:proofErr w:type="spellEnd"/>
      <w:r w:rsidRPr="006354F9">
        <w:t xml:space="preserve"> </w:t>
      </w:r>
      <w:proofErr w:type="spellStart"/>
      <w:r w:rsidRPr="006354F9">
        <w:t>Bereich</w:t>
      </w:r>
      <w:proofErr w:type="spellEnd"/>
      <w:r w:rsidRPr="006354F9">
        <w:t xml:space="preserve">“ </w:t>
      </w:r>
      <w:proofErr w:type="spellStart"/>
      <w:r>
        <w:t>ohne</w:t>
      </w:r>
      <w:proofErr w:type="spellEnd"/>
      <w:r>
        <w:t xml:space="preserve"> </w:t>
      </w:r>
      <w:proofErr w:type="spellStart"/>
      <w:r>
        <w:t>diese</w:t>
      </w:r>
      <w:proofErr w:type="spellEnd"/>
      <w:r>
        <w:t xml:space="preserve"> </w:t>
      </w:r>
      <w:proofErr w:type="spellStart"/>
      <w:r>
        <w:t>Einschränkung</w:t>
      </w:r>
      <w:proofErr w:type="spellEnd"/>
      <w:r>
        <w:t xml:space="preserve"> </w:t>
      </w:r>
      <w:proofErr w:type="spellStart"/>
      <w:r w:rsidRPr="006354F9">
        <w:t>als</w:t>
      </w:r>
      <w:proofErr w:type="spellEnd"/>
      <w:r w:rsidRPr="006354F9">
        <w:t xml:space="preserve"> „</w:t>
      </w:r>
      <w:proofErr w:type="spellStart"/>
      <w:r w:rsidRPr="006354F9">
        <w:t>vergleichbar</w:t>
      </w:r>
      <w:proofErr w:type="spellEnd"/>
      <w:r w:rsidRPr="006354F9">
        <w:t xml:space="preserve"> Zone 1“ </w:t>
      </w:r>
      <w:proofErr w:type="spellStart"/>
      <w:r>
        <w:t>bzw</w:t>
      </w:r>
      <w:proofErr w:type="spellEnd"/>
      <w:r>
        <w:t xml:space="preserve">. </w:t>
      </w:r>
      <w:proofErr w:type="spellStart"/>
      <w:r w:rsidRPr="006354F9">
        <w:t>als</w:t>
      </w:r>
      <w:proofErr w:type="spellEnd"/>
      <w:r w:rsidRPr="006354F9">
        <w:t xml:space="preserve"> „</w:t>
      </w:r>
      <w:proofErr w:type="spellStart"/>
      <w:r w:rsidRPr="006354F9">
        <w:t>vergleichbar</w:t>
      </w:r>
      <w:proofErr w:type="spellEnd"/>
      <w:r w:rsidRPr="006354F9">
        <w:t xml:space="preserve"> Zone 2“ </w:t>
      </w:r>
      <w:proofErr w:type="spellStart"/>
      <w:r w:rsidRPr="006354F9">
        <w:t>definiert</w:t>
      </w:r>
      <w:proofErr w:type="spellEnd"/>
      <w:r w:rsidRPr="006354F9">
        <w:t xml:space="preserve">. </w:t>
      </w:r>
      <w:r>
        <w:t xml:space="preserve">In </w:t>
      </w:r>
      <w:proofErr w:type="spellStart"/>
      <w:r>
        <w:t>keinem</w:t>
      </w:r>
      <w:proofErr w:type="spellEnd"/>
      <w:r>
        <w:t xml:space="preserve"> </w:t>
      </w:r>
      <w:proofErr w:type="spellStart"/>
      <w:r>
        <w:t>Sitzungsdokument</w:t>
      </w:r>
      <w:proofErr w:type="spellEnd"/>
      <w:r>
        <w:t xml:space="preserve"> </w:t>
      </w:r>
      <w:proofErr w:type="spellStart"/>
      <w:r>
        <w:t>fand</w:t>
      </w:r>
      <w:proofErr w:type="spellEnd"/>
      <w:r>
        <w:t xml:space="preserve"> </w:t>
      </w:r>
      <w:proofErr w:type="spellStart"/>
      <w:r>
        <w:t>sich</w:t>
      </w:r>
      <w:proofErr w:type="spellEnd"/>
      <w:r>
        <w:t xml:space="preserve"> </w:t>
      </w:r>
      <w:proofErr w:type="spellStart"/>
      <w:r>
        <w:t>eine</w:t>
      </w:r>
      <w:proofErr w:type="spellEnd"/>
      <w:r>
        <w:t xml:space="preserve"> </w:t>
      </w:r>
      <w:proofErr w:type="spellStart"/>
      <w:r>
        <w:t>ausformulierte</w:t>
      </w:r>
      <w:proofErr w:type="spellEnd"/>
      <w:r>
        <w:t xml:space="preserve"> </w:t>
      </w:r>
      <w:proofErr w:type="spellStart"/>
      <w:r>
        <w:t>Begründung</w:t>
      </w:r>
      <w:proofErr w:type="spellEnd"/>
      <w:r>
        <w:t xml:space="preserve"> </w:t>
      </w:r>
      <w:proofErr w:type="spellStart"/>
      <w:r>
        <w:t>für</w:t>
      </w:r>
      <w:proofErr w:type="spellEnd"/>
      <w:r>
        <w:t xml:space="preserve"> </w:t>
      </w:r>
      <w:proofErr w:type="spellStart"/>
      <w:r>
        <w:t>diesen</w:t>
      </w:r>
      <w:proofErr w:type="spellEnd"/>
      <w:r>
        <w:t xml:space="preserve"> </w:t>
      </w:r>
      <w:proofErr w:type="spellStart"/>
      <w:r>
        <w:t>Zusatz</w:t>
      </w:r>
      <w:proofErr w:type="spellEnd"/>
      <w:r>
        <w:t>.</w:t>
      </w:r>
    </w:p>
    <w:p w14:paraId="1E79A644" w14:textId="77777777" w:rsidR="00663859" w:rsidRPr="00000310" w:rsidRDefault="00663859" w:rsidP="00663859">
      <w:pPr>
        <w:pStyle w:val="SingleTxtG"/>
      </w:pPr>
      <w:r>
        <w:t>7</w:t>
      </w:r>
      <w:r w:rsidRPr="005F46E0">
        <w:t>.</w:t>
      </w:r>
      <w:r w:rsidRPr="005F46E0">
        <w:tab/>
      </w:r>
      <w:proofErr w:type="spellStart"/>
      <w:r>
        <w:t>Damit</w:t>
      </w:r>
      <w:proofErr w:type="spellEnd"/>
      <w:r>
        <w:t xml:space="preserve"> </w:t>
      </w:r>
      <w:proofErr w:type="spellStart"/>
      <w:r>
        <w:t>korrespondierend</w:t>
      </w:r>
      <w:proofErr w:type="spellEnd"/>
      <w:r>
        <w:t xml:space="preserve"> </w:t>
      </w:r>
      <w:proofErr w:type="spellStart"/>
      <w:r>
        <w:t>gibt</w:t>
      </w:r>
      <w:proofErr w:type="spellEnd"/>
      <w:r>
        <w:t xml:space="preserve"> es die </w:t>
      </w:r>
      <w:proofErr w:type="spellStart"/>
      <w:r>
        <w:t>Bauvorschriften</w:t>
      </w:r>
      <w:proofErr w:type="spellEnd"/>
      <w:r>
        <w:t xml:space="preserve"> </w:t>
      </w:r>
      <w:r w:rsidRPr="00000310">
        <w:t>9.1.0.12.3 (v) 1., 9.1.0.12.5, 9.1.0.53.1, 9.1.0.53.6</w:t>
      </w:r>
      <w:r>
        <w:t xml:space="preserve"> ADN</w:t>
      </w:r>
      <w:r w:rsidRPr="00000310">
        <w:t xml:space="preserve">, </w:t>
      </w:r>
      <w:proofErr w:type="spellStart"/>
      <w:r w:rsidRPr="00000310">
        <w:t>nach</w:t>
      </w:r>
      <w:proofErr w:type="spellEnd"/>
      <w:r w:rsidRPr="00000310">
        <w:t xml:space="preserve"> </w:t>
      </w:r>
      <w:proofErr w:type="spellStart"/>
      <w:r w:rsidRPr="00000310">
        <w:t>denen</w:t>
      </w:r>
      <w:proofErr w:type="spellEnd"/>
      <w:r w:rsidRPr="00000310">
        <w:t xml:space="preserve"> </w:t>
      </w:r>
      <w:proofErr w:type="spellStart"/>
      <w:r w:rsidRPr="00000310">
        <w:t>bestimmte</w:t>
      </w:r>
      <w:proofErr w:type="spellEnd"/>
      <w:r w:rsidRPr="00000310">
        <w:t xml:space="preserve"> Anlagen und </w:t>
      </w:r>
      <w:proofErr w:type="spellStart"/>
      <w:r w:rsidRPr="00000310">
        <w:t>Geräte</w:t>
      </w:r>
      <w:proofErr w:type="spellEnd"/>
      <w:r w:rsidRPr="00000310">
        <w:t xml:space="preserve"> </w:t>
      </w:r>
      <w:proofErr w:type="spellStart"/>
      <w:r w:rsidRPr="00000310">
        <w:t>mindestens</w:t>
      </w:r>
      <w:proofErr w:type="spellEnd"/>
      <w:r w:rsidRPr="00000310">
        <w:t xml:space="preserve"> </w:t>
      </w:r>
      <w:proofErr w:type="spellStart"/>
      <w:r w:rsidRPr="00000310">
        <w:t>für</w:t>
      </w:r>
      <w:proofErr w:type="spellEnd"/>
      <w:r w:rsidRPr="00000310">
        <w:t xml:space="preserve"> den </w:t>
      </w:r>
      <w:proofErr w:type="spellStart"/>
      <w:r w:rsidRPr="00000310">
        <w:t>Betrieb</w:t>
      </w:r>
      <w:proofErr w:type="spellEnd"/>
      <w:r w:rsidRPr="00000310">
        <w:t xml:space="preserve"> in Zone 1 </w:t>
      </w:r>
      <w:proofErr w:type="spellStart"/>
      <w:r w:rsidRPr="00000310">
        <w:t>geeignet</w:t>
      </w:r>
      <w:proofErr w:type="spellEnd"/>
      <w:r w:rsidRPr="00000310">
        <w:t xml:space="preserve"> sein </w:t>
      </w:r>
      <w:proofErr w:type="spellStart"/>
      <w:r w:rsidRPr="00000310">
        <w:t>müssen</w:t>
      </w:r>
      <w:proofErr w:type="spellEnd"/>
      <w:r w:rsidRPr="00000310">
        <w:t>.</w:t>
      </w:r>
    </w:p>
    <w:p w14:paraId="72C058AD" w14:textId="77777777" w:rsidR="00663859" w:rsidRPr="00E97242" w:rsidRDefault="00663859" w:rsidP="00663859">
      <w:pPr>
        <w:pStyle w:val="SingleTxtG"/>
      </w:pPr>
      <w:r>
        <w:t>8</w:t>
      </w:r>
      <w:r w:rsidRPr="00E97242">
        <w:t>.</w:t>
      </w:r>
      <w:r w:rsidRPr="00E97242">
        <w:tab/>
        <w:t>W</w:t>
      </w:r>
      <w:r>
        <w:t xml:space="preserve">o </w:t>
      </w:r>
      <w:proofErr w:type="spellStart"/>
      <w:r>
        <w:t>allgemein</w:t>
      </w:r>
      <w:proofErr w:type="spellEnd"/>
      <w:r w:rsidRPr="00E97242">
        <w:t xml:space="preserve"> </w:t>
      </w:r>
      <w:proofErr w:type="spellStart"/>
      <w:r>
        <w:t>eine</w:t>
      </w:r>
      <w:proofErr w:type="spellEnd"/>
      <w:r>
        <w:t xml:space="preserve"> </w:t>
      </w:r>
      <w:proofErr w:type="spellStart"/>
      <w:r>
        <w:t>Explosionsschutzz</w:t>
      </w:r>
      <w:r w:rsidRPr="00E97242">
        <w:t>one</w:t>
      </w:r>
      <w:proofErr w:type="spellEnd"/>
      <w:r w:rsidRPr="00E97242">
        <w:t xml:space="preserve"> 1 </w:t>
      </w:r>
      <w:proofErr w:type="spellStart"/>
      <w:r>
        <w:t>oder</w:t>
      </w:r>
      <w:proofErr w:type="spellEnd"/>
      <w:r w:rsidRPr="00E97242">
        <w:t xml:space="preserve"> 2 </w:t>
      </w:r>
      <w:proofErr w:type="spellStart"/>
      <w:r w:rsidRPr="00E97242">
        <w:t>zu</w:t>
      </w:r>
      <w:proofErr w:type="spellEnd"/>
      <w:r w:rsidRPr="00E97242">
        <w:t xml:space="preserve"> </w:t>
      </w:r>
      <w:proofErr w:type="spellStart"/>
      <w:r w:rsidRPr="00E97242">
        <w:t>erwarten</w:t>
      </w:r>
      <w:proofErr w:type="spellEnd"/>
      <w:r w:rsidRPr="00E97242">
        <w:t xml:space="preserve"> </w:t>
      </w:r>
      <w:proofErr w:type="spellStart"/>
      <w:r w:rsidRPr="00E97242">
        <w:t>ist</w:t>
      </w:r>
      <w:proofErr w:type="spellEnd"/>
      <w:r w:rsidRPr="00E97242">
        <w:t xml:space="preserve">, </w:t>
      </w:r>
      <w:proofErr w:type="spellStart"/>
      <w:r w:rsidRPr="00E97242">
        <w:t>kann</w:t>
      </w:r>
      <w:proofErr w:type="spellEnd"/>
      <w:r w:rsidRPr="00E97242">
        <w:t xml:space="preserve"> man der </w:t>
      </w:r>
      <w:proofErr w:type="spellStart"/>
      <w:r w:rsidRPr="00E97242">
        <w:t>Begriffsbestimmung</w:t>
      </w:r>
      <w:proofErr w:type="spellEnd"/>
      <w:r w:rsidRPr="00E97242">
        <w:t xml:space="preserve"> „</w:t>
      </w:r>
      <w:proofErr w:type="spellStart"/>
      <w:r w:rsidRPr="00E97242">
        <w:t>Einteilung</w:t>
      </w:r>
      <w:proofErr w:type="spellEnd"/>
      <w:r w:rsidRPr="00E97242">
        <w:t xml:space="preserve"> von </w:t>
      </w:r>
      <w:proofErr w:type="spellStart"/>
      <w:r w:rsidRPr="00E97242">
        <w:t>Explosionsgefährdeten</w:t>
      </w:r>
      <w:proofErr w:type="spellEnd"/>
      <w:r w:rsidRPr="00E97242">
        <w:t xml:space="preserve"> </w:t>
      </w:r>
      <w:proofErr w:type="spellStart"/>
      <w:r w:rsidRPr="00E97242">
        <w:t>Bereichen</w:t>
      </w:r>
      <w:proofErr w:type="spellEnd"/>
      <w:r w:rsidRPr="00E97242">
        <w:t xml:space="preserve">“ in </w:t>
      </w:r>
      <w:proofErr w:type="spellStart"/>
      <w:r w:rsidRPr="00E97242">
        <w:t>Abschnitt</w:t>
      </w:r>
      <w:proofErr w:type="spellEnd"/>
      <w:r w:rsidRPr="00E97242">
        <w:t xml:space="preserve"> 1.2.1 ADN </w:t>
      </w:r>
      <w:proofErr w:type="spellStart"/>
      <w:r w:rsidRPr="00E97242">
        <w:t>entnehmen</w:t>
      </w:r>
      <w:proofErr w:type="spellEnd"/>
      <w:r w:rsidRPr="00E97242">
        <w:t xml:space="preserve">. </w:t>
      </w:r>
    </w:p>
    <w:p w14:paraId="016C54C1" w14:textId="77777777" w:rsidR="00663859" w:rsidRDefault="00663859" w:rsidP="00663859">
      <w:pPr>
        <w:pStyle w:val="SingleTxtG"/>
        <w:rPr>
          <w:lang w:val="de-DE"/>
        </w:rPr>
      </w:pPr>
      <w:r>
        <w:rPr>
          <w:lang w:val="de-DE"/>
        </w:rPr>
        <w:lastRenderedPageBreak/>
        <w:t>9.</w:t>
      </w:r>
      <w:r>
        <w:rPr>
          <w:lang w:val="de-DE"/>
        </w:rPr>
        <w:tab/>
        <w:t>Deutschland hat derzeit keine Antwort darauf, für welche gefährlichen Güter im Einzelnen oder allgemein bei der Beförderung mit Trockengüterschiffen „Explosionsschutz gefordert wird.“</w:t>
      </w:r>
    </w:p>
    <w:p w14:paraId="67C66DDE" w14:textId="77777777" w:rsidR="00663859" w:rsidRDefault="00663859" w:rsidP="00663859">
      <w:pPr>
        <w:pStyle w:val="SingleTxtG"/>
        <w:rPr>
          <w:lang w:val="de-DE"/>
        </w:rPr>
      </w:pPr>
      <w:r>
        <w:rPr>
          <w:lang w:val="de-DE"/>
        </w:rPr>
        <w:t>10.</w:t>
      </w:r>
      <w:r>
        <w:rPr>
          <w:lang w:val="de-DE"/>
        </w:rPr>
        <w:tab/>
        <w:t>Anders als in der Tabelle C für die Beförderung gefährlicher Güter in Tankschiffen enthält die Tabelle A für Versandstücke und Güter in loser Schüttung keine eigene Spalte mit der Angabe „Explosionsschutz JA/NEIN“. Es wurden auch keine anderen Textstellen im ADN gefunden, die dies ausdrücklich beantworten.</w:t>
      </w:r>
    </w:p>
    <w:p w14:paraId="225218AF" w14:textId="77777777" w:rsidR="00663859" w:rsidRPr="00911B40" w:rsidRDefault="00663859" w:rsidP="00663859">
      <w:pPr>
        <w:pStyle w:val="SingleTxtG"/>
        <w:rPr>
          <w:rFonts w:cs="Arial"/>
          <w:sz w:val="18"/>
          <w:szCs w:val="18"/>
        </w:rPr>
      </w:pPr>
      <w:r>
        <w:t>11.</w:t>
      </w:r>
      <w:r>
        <w:tab/>
        <w:t xml:space="preserve">Der </w:t>
      </w:r>
      <w:proofErr w:type="spellStart"/>
      <w:r>
        <w:t>erste</w:t>
      </w:r>
      <w:proofErr w:type="spellEnd"/>
      <w:r>
        <w:t xml:space="preserve"> </w:t>
      </w:r>
      <w:proofErr w:type="spellStart"/>
      <w:r>
        <w:t>Hinweis</w:t>
      </w:r>
      <w:proofErr w:type="spellEnd"/>
      <w:r>
        <w:t xml:space="preserve"> </w:t>
      </w:r>
      <w:proofErr w:type="spellStart"/>
      <w:r>
        <w:t>könnte</w:t>
      </w:r>
      <w:proofErr w:type="spellEnd"/>
      <w:r>
        <w:t xml:space="preserve"> </w:t>
      </w:r>
      <w:proofErr w:type="spellStart"/>
      <w:r>
        <w:t>sich</w:t>
      </w:r>
      <w:proofErr w:type="spellEnd"/>
      <w:r>
        <w:t xml:space="preserve"> </w:t>
      </w:r>
      <w:proofErr w:type="spellStart"/>
      <w:r>
        <w:t>aus</w:t>
      </w:r>
      <w:proofErr w:type="spellEnd"/>
      <w:r>
        <w:t xml:space="preserve"> </w:t>
      </w:r>
      <w:proofErr w:type="spellStart"/>
      <w:r>
        <w:t>Spalte</w:t>
      </w:r>
      <w:proofErr w:type="spellEnd"/>
      <w:r>
        <w:t xml:space="preserve"> (9) der </w:t>
      </w:r>
      <w:proofErr w:type="spellStart"/>
      <w:r>
        <w:t>Tabelle</w:t>
      </w:r>
      <w:proofErr w:type="spellEnd"/>
      <w:r>
        <w:t xml:space="preserve"> A </w:t>
      </w:r>
      <w:proofErr w:type="spellStart"/>
      <w:r>
        <w:t>ergeben</w:t>
      </w:r>
      <w:proofErr w:type="spellEnd"/>
      <w:r>
        <w:t xml:space="preserve">: </w:t>
      </w:r>
      <w:proofErr w:type="spellStart"/>
      <w:r>
        <w:t>Explosionsschutz</w:t>
      </w:r>
      <w:proofErr w:type="spellEnd"/>
      <w:r>
        <w:t xml:space="preserve"> </w:t>
      </w:r>
      <w:proofErr w:type="spellStart"/>
      <w:r>
        <w:t>ist</w:t>
      </w:r>
      <w:proofErr w:type="spellEnd"/>
      <w:r>
        <w:t xml:space="preserve"> </w:t>
      </w:r>
      <w:proofErr w:type="spellStart"/>
      <w:r>
        <w:t>erforderlich</w:t>
      </w:r>
      <w:proofErr w:type="spellEnd"/>
      <w:r>
        <w:t xml:space="preserve"> </w:t>
      </w:r>
      <w:proofErr w:type="spellStart"/>
      <w:r>
        <w:t>bei</w:t>
      </w:r>
      <w:proofErr w:type="spellEnd"/>
      <w:r>
        <w:t xml:space="preserve"> </w:t>
      </w:r>
      <w:proofErr w:type="spellStart"/>
      <w:r>
        <w:t>Gütern</w:t>
      </w:r>
      <w:proofErr w:type="spellEnd"/>
      <w:r>
        <w:t xml:space="preserve">, </w:t>
      </w:r>
      <w:proofErr w:type="spellStart"/>
      <w:r>
        <w:t>bei</w:t>
      </w:r>
      <w:proofErr w:type="spellEnd"/>
      <w:r>
        <w:t xml:space="preserve"> </w:t>
      </w:r>
      <w:proofErr w:type="spellStart"/>
      <w:r>
        <w:t>denen</w:t>
      </w:r>
      <w:proofErr w:type="spellEnd"/>
      <w:r>
        <w:t xml:space="preserve"> </w:t>
      </w:r>
      <w:proofErr w:type="spellStart"/>
      <w:r>
        <w:t>ein</w:t>
      </w:r>
      <w:proofErr w:type="spellEnd"/>
      <w:r>
        <w:t xml:space="preserve"> </w:t>
      </w:r>
      <w:proofErr w:type="spellStart"/>
      <w:r>
        <w:t>Gasspürgerät</w:t>
      </w:r>
      <w:proofErr w:type="spellEnd"/>
      <w:r>
        <w:t xml:space="preserve"> „EX“ </w:t>
      </w:r>
      <w:proofErr w:type="spellStart"/>
      <w:r>
        <w:t>bei</w:t>
      </w:r>
      <w:proofErr w:type="spellEnd"/>
      <w:r>
        <w:t xml:space="preserve"> der </w:t>
      </w:r>
      <w:proofErr w:type="spellStart"/>
      <w:r>
        <w:t>Beförderung</w:t>
      </w:r>
      <w:proofErr w:type="spellEnd"/>
      <w:r>
        <w:t xml:space="preserve"> </w:t>
      </w:r>
      <w:proofErr w:type="spellStart"/>
      <w:r>
        <w:t>mitzuführen</w:t>
      </w:r>
      <w:proofErr w:type="spellEnd"/>
      <w:r>
        <w:t xml:space="preserve"> </w:t>
      </w:r>
      <w:proofErr w:type="spellStart"/>
      <w:r>
        <w:t>ist</w:t>
      </w:r>
      <w:proofErr w:type="spellEnd"/>
      <w:r>
        <w:t xml:space="preserve">. Dies </w:t>
      </w:r>
      <w:proofErr w:type="spellStart"/>
      <w:r>
        <w:t>sind</w:t>
      </w:r>
      <w:proofErr w:type="spellEnd"/>
      <w:r>
        <w:t xml:space="preserve"> </w:t>
      </w:r>
      <w:proofErr w:type="spellStart"/>
      <w:r>
        <w:t>gefährliche</w:t>
      </w:r>
      <w:proofErr w:type="spellEnd"/>
      <w:r>
        <w:t xml:space="preserve"> </w:t>
      </w:r>
      <w:proofErr w:type="spellStart"/>
      <w:r>
        <w:t>Güter</w:t>
      </w:r>
      <w:proofErr w:type="spellEnd"/>
      <w:r>
        <w:t xml:space="preserve"> der Klassen 2, 3, 4.3, 5.2, 6.1, und 8. – </w:t>
      </w:r>
      <w:proofErr w:type="spellStart"/>
      <w:r>
        <w:t>Siehe</w:t>
      </w:r>
      <w:proofErr w:type="spellEnd"/>
      <w:r>
        <w:t xml:space="preserve"> </w:t>
      </w:r>
      <w:proofErr w:type="spellStart"/>
      <w:r>
        <w:t>auch</w:t>
      </w:r>
      <w:proofErr w:type="spellEnd"/>
      <w:r>
        <w:t xml:space="preserve"> 7.1.3.51.2 </w:t>
      </w:r>
      <w:proofErr w:type="spellStart"/>
      <w:r>
        <w:t>Satz</w:t>
      </w:r>
      <w:proofErr w:type="spellEnd"/>
      <w:r>
        <w:t xml:space="preserve"> 6, 1. </w:t>
      </w:r>
      <w:proofErr w:type="spellStart"/>
      <w:r>
        <w:t>Spiegelstrich</w:t>
      </w:r>
      <w:proofErr w:type="spellEnd"/>
      <w:r>
        <w:t xml:space="preserve">. Dies </w:t>
      </w:r>
      <w:proofErr w:type="spellStart"/>
      <w:r>
        <w:t>wäre</w:t>
      </w:r>
      <w:proofErr w:type="spellEnd"/>
      <w:r>
        <w:t xml:space="preserve"> </w:t>
      </w:r>
      <w:proofErr w:type="spellStart"/>
      <w:r>
        <w:t>für</w:t>
      </w:r>
      <w:proofErr w:type="spellEnd"/>
      <w:r>
        <w:t xml:space="preserve"> die </w:t>
      </w:r>
      <w:proofErr w:type="spellStart"/>
      <w:r>
        <w:t>praktische</w:t>
      </w:r>
      <w:proofErr w:type="spellEnd"/>
      <w:r>
        <w:t xml:space="preserve"> </w:t>
      </w:r>
      <w:proofErr w:type="spellStart"/>
      <w:r>
        <w:t>Anwendung</w:t>
      </w:r>
      <w:proofErr w:type="spellEnd"/>
      <w:r>
        <w:t xml:space="preserve"> </w:t>
      </w:r>
      <w:proofErr w:type="spellStart"/>
      <w:r>
        <w:t>sehr</w:t>
      </w:r>
      <w:proofErr w:type="spellEnd"/>
      <w:r>
        <w:t xml:space="preserve"> </w:t>
      </w:r>
      <w:proofErr w:type="spellStart"/>
      <w:r>
        <w:t>geeignet</w:t>
      </w:r>
      <w:proofErr w:type="spellEnd"/>
      <w:r>
        <w:t>.</w:t>
      </w:r>
    </w:p>
    <w:p w14:paraId="3A6D3D45" w14:textId="77777777" w:rsidR="00663859" w:rsidRDefault="00663859" w:rsidP="00663859">
      <w:pPr>
        <w:pStyle w:val="SingleTxtG"/>
      </w:pPr>
      <w:r>
        <w:t>12.</w:t>
      </w:r>
      <w:r>
        <w:tab/>
        <w:t xml:space="preserve">Ein </w:t>
      </w:r>
      <w:proofErr w:type="spellStart"/>
      <w:r>
        <w:t>zweiter</w:t>
      </w:r>
      <w:proofErr w:type="spellEnd"/>
      <w:r>
        <w:t xml:space="preserve"> </w:t>
      </w:r>
      <w:proofErr w:type="spellStart"/>
      <w:r>
        <w:t>Hinweis</w:t>
      </w:r>
      <w:proofErr w:type="spellEnd"/>
      <w:r>
        <w:t xml:space="preserve"> </w:t>
      </w:r>
      <w:proofErr w:type="spellStart"/>
      <w:r>
        <w:t>könnte</w:t>
      </w:r>
      <w:proofErr w:type="spellEnd"/>
      <w:r>
        <w:t xml:space="preserve"> </w:t>
      </w:r>
      <w:proofErr w:type="spellStart"/>
      <w:r>
        <w:t>sich</w:t>
      </w:r>
      <w:proofErr w:type="spellEnd"/>
      <w:r>
        <w:t xml:space="preserve"> </w:t>
      </w:r>
      <w:proofErr w:type="spellStart"/>
      <w:r>
        <w:t>aus</w:t>
      </w:r>
      <w:proofErr w:type="spellEnd"/>
      <w:r>
        <w:t xml:space="preserve"> </w:t>
      </w:r>
      <w:proofErr w:type="spellStart"/>
      <w:r>
        <w:t>Spalte</w:t>
      </w:r>
      <w:proofErr w:type="spellEnd"/>
      <w:r>
        <w:t xml:space="preserve"> (12) der </w:t>
      </w:r>
      <w:proofErr w:type="spellStart"/>
      <w:r>
        <w:t>Tabelle</w:t>
      </w:r>
      <w:proofErr w:type="spellEnd"/>
      <w:r>
        <w:t xml:space="preserve"> A </w:t>
      </w:r>
      <w:proofErr w:type="spellStart"/>
      <w:r>
        <w:t>ergeben</w:t>
      </w:r>
      <w:proofErr w:type="spellEnd"/>
      <w:r>
        <w:t xml:space="preserve">: </w:t>
      </w:r>
      <w:proofErr w:type="spellStart"/>
      <w:r>
        <w:t>Wenn</w:t>
      </w:r>
      <w:proofErr w:type="spellEnd"/>
      <w:r>
        <w:t xml:space="preserve"> </w:t>
      </w:r>
      <w:proofErr w:type="spellStart"/>
      <w:r>
        <w:t>dort</w:t>
      </w:r>
      <w:proofErr w:type="spellEnd"/>
      <w:r>
        <w:t xml:space="preserve"> 3 Kegel/</w:t>
      </w:r>
      <w:proofErr w:type="spellStart"/>
      <w:r>
        <w:t>Lichter</w:t>
      </w:r>
      <w:proofErr w:type="spellEnd"/>
      <w:r>
        <w:t xml:space="preserve"> </w:t>
      </w:r>
      <w:proofErr w:type="spellStart"/>
      <w:r>
        <w:t>gefordert</w:t>
      </w:r>
      <w:proofErr w:type="spellEnd"/>
      <w:r>
        <w:t xml:space="preserve"> </w:t>
      </w:r>
      <w:proofErr w:type="spellStart"/>
      <w:r>
        <w:t>werden</w:t>
      </w:r>
      <w:proofErr w:type="spellEnd"/>
      <w:r>
        <w:t xml:space="preserve">, </w:t>
      </w:r>
      <w:proofErr w:type="spellStart"/>
      <w:r>
        <w:t>ist</w:t>
      </w:r>
      <w:proofErr w:type="spellEnd"/>
      <w:r>
        <w:t xml:space="preserve"> </w:t>
      </w:r>
      <w:proofErr w:type="spellStart"/>
      <w:r>
        <w:t>Explosionsschutz</w:t>
      </w:r>
      <w:proofErr w:type="spellEnd"/>
      <w:r>
        <w:t xml:space="preserve"> </w:t>
      </w:r>
      <w:proofErr w:type="spellStart"/>
      <w:r>
        <w:t>erforderlich</w:t>
      </w:r>
      <w:proofErr w:type="spellEnd"/>
      <w:r>
        <w:t xml:space="preserve">. </w:t>
      </w:r>
      <w:proofErr w:type="spellStart"/>
      <w:r>
        <w:t>Gemäß</w:t>
      </w:r>
      <w:proofErr w:type="spellEnd"/>
      <w:r>
        <w:t xml:space="preserve"> § 3.14 CEVNI (</w:t>
      </w:r>
      <w:proofErr w:type="spellStart"/>
      <w:r>
        <w:t>oder</w:t>
      </w:r>
      <w:proofErr w:type="spellEnd"/>
      <w:r>
        <w:t xml:space="preserve"> den </w:t>
      </w:r>
      <w:proofErr w:type="spellStart"/>
      <w:r>
        <w:t>damit</w:t>
      </w:r>
      <w:proofErr w:type="spellEnd"/>
      <w:r>
        <w:t xml:space="preserve"> </w:t>
      </w:r>
      <w:proofErr w:type="spellStart"/>
      <w:r>
        <w:t>übereinstimmenden</w:t>
      </w:r>
      <w:proofErr w:type="spellEnd"/>
      <w:r>
        <w:t xml:space="preserve"> </w:t>
      </w:r>
      <w:proofErr w:type="spellStart"/>
      <w:r>
        <w:t>schifffahrtspolizeilichen</w:t>
      </w:r>
      <w:proofErr w:type="spellEnd"/>
      <w:r>
        <w:t xml:space="preserve"> </w:t>
      </w:r>
      <w:proofErr w:type="spellStart"/>
      <w:r>
        <w:t>Vorschriften</w:t>
      </w:r>
      <w:proofErr w:type="spellEnd"/>
      <w:r>
        <w:t xml:space="preserve"> der ZKR </w:t>
      </w:r>
      <w:proofErr w:type="spellStart"/>
      <w:r>
        <w:t>sind</w:t>
      </w:r>
      <w:proofErr w:type="spellEnd"/>
      <w:r>
        <w:t xml:space="preserve"> 3 Kegel/</w:t>
      </w:r>
      <w:proofErr w:type="spellStart"/>
      <w:r>
        <w:t>Lichter</w:t>
      </w:r>
      <w:proofErr w:type="spellEnd"/>
      <w:r>
        <w:t xml:space="preserve"> </w:t>
      </w:r>
      <w:proofErr w:type="spellStart"/>
      <w:r>
        <w:t>erforderlich</w:t>
      </w:r>
      <w:proofErr w:type="spellEnd"/>
      <w:r>
        <w:t xml:space="preserve">, </w:t>
      </w:r>
      <w:proofErr w:type="spellStart"/>
      <w:r>
        <w:t>wenn</w:t>
      </w:r>
      <w:proofErr w:type="spellEnd"/>
      <w:r>
        <w:t xml:space="preserve"> </w:t>
      </w:r>
      <w:proofErr w:type="spellStart"/>
      <w:r>
        <w:t>bestimmte</w:t>
      </w:r>
      <w:proofErr w:type="spellEnd"/>
      <w:r>
        <w:t xml:space="preserve"> explosive </w:t>
      </w:r>
      <w:proofErr w:type="spellStart"/>
      <w:r>
        <w:t>Stoffe</w:t>
      </w:r>
      <w:proofErr w:type="spellEnd"/>
      <w:r>
        <w:t xml:space="preserve"> </w:t>
      </w:r>
      <w:proofErr w:type="spellStart"/>
      <w:r>
        <w:t>befördert</w:t>
      </w:r>
      <w:proofErr w:type="spellEnd"/>
      <w:r>
        <w:t xml:space="preserve"> </w:t>
      </w:r>
      <w:proofErr w:type="spellStart"/>
      <w:r>
        <w:t>werden</w:t>
      </w:r>
      <w:proofErr w:type="spellEnd"/>
      <w:r>
        <w:t xml:space="preserve">. Dies </w:t>
      </w:r>
      <w:proofErr w:type="spellStart"/>
      <w:r>
        <w:t>sind</w:t>
      </w:r>
      <w:proofErr w:type="spellEnd"/>
      <w:r>
        <w:t xml:space="preserve"> die </w:t>
      </w:r>
      <w:proofErr w:type="spellStart"/>
      <w:r>
        <w:t>Güter</w:t>
      </w:r>
      <w:proofErr w:type="spellEnd"/>
      <w:r>
        <w:t xml:space="preserve"> der </w:t>
      </w:r>
      <w:proofErr w:type="spellStart"/>
      <w:r>
        <w:t>Klasse</w:t>
      </w:r>
      <w:proofErr w:type="spellEnd"/>
      <w:r>
        <w:t xml:space="preserve"> 1 </w:t>
      </w:r>
      <w:proofErr w:type="spellStart"/>
      <w:r>
        <w:t>sowie</w:t>
      </w:r>
      <w:proofErr w:type="spellEnd"/>
      <w:r>
        <w:t xml:space="preserve"> je </w:t>
      </w:r>
      <w:proofErr w:type="spellStart"/>
      <w:r>
        <w:t>vier</w:t>
      </w:r>
      <w:proofErr w:type="spellEnd"/>
      <w:r>
        <w:t xml:space="preserve"> </w:t>
      </w:r>
      <w:proofErr w:type="spellStart"/>
      <w:r>
        <w:t>Güter</w:t>
      </w:r>
      <w:proofErr w:type="spellEnd"/>
      <w:r>
        <w:t xml:space="preserve"> der Klassen 4.1 und 5.2, </w:t>
      </w:r>
      <w:proofErr w:type="spellStart"/>
      <w:r>
        <w:t>jeweils</w:t>
      </w:r>
      <w:proofErr w:type="spellEnd"/>
      <w:r>
        <w:t xml:space="preserve"> </w:t>
      </w:r>
      <w:proofErr w:type="spellStart"/>
      <w:r>
        <w:t>mit</w:t>
      </w:r>
      <w:proofErr w:type="spellEnd"/>
      <w:r>
        <w:t xml:space="preserve"> der </w:t>
      </w:r>
      <w:proofErr w:type="spellStart"/>
      <w:r>
        <w:t>Nebengefahr</w:t>
      </w:r>
      <w:proofErr w:type="spellEnd"/>
      <w:r>
        <w:t xml:space="preserve"> der </w:t>
      </w:r>
      <w:proofErr w:type="spellStart"/>
      <w:r>
        <w:t>Klasse</w:t>
      </w:r>
      <w:proofErr w:type="spellEnd"/>
      <w:r>
        <w:t xml:space="preserve"> 1. </w:t>
      </w:r>
    </w:p>
    <w:p w14:paraId="68E694DA" w14:textId="77777777" w:rsidR="00663859" w:rsidRDefault="00663859" w:rsidP="00663859">
      <w:pPr>
        <w:pStyle w:val="SingleTxtG"/>
      </w:pPr>
      <w:r>
        <w:t xml:space="preserve">Nur </w:t>
      </w:r>
      <w:proofErr w:type="spellStart"/>
      <w:r>
        <w:t>bei</w:t>
      </w:r>
      <w:proofErr w:type="spellEnd"/>
      <w:r>
        <w:t xml:space="preserve"> den </w:t>
      </w:r>
      <w:proofErr w:type="spellStart"/>
      <w:r>
        <w:t>Gütern</w:t>
      </w:r>
      <w:proofErr w:type="spellEnd"/>
      <w:r>
        <w:t xml:space="preserve"> der </w:t>
      </w:r>
      <w:proofErr w:type="spellStart"/>
      <w:r>
        <w:t>Klasse</w:t>
      </w:r>
      <w:proofErr w:type="spellEnd"/>
      <w:r>
        <w:t xml:space="preserve"> 5.2 </w:t>
      </w:r>
      <w:proofErr w:type="spellStart"/>
      <w:r>
        <w:t>wird</w:t>
      </w:r>
      <w:proofErr w:type="spellEnd"/>
      <w:r>
        <w:t xml:space="preserve"> die </w:t>
      </w:r>
      <w:proofErr w:type="spellStart"/>
      <w:r>
        <w:t>Ausrüstung</w:t>
      </w:r>
      <w:proofErr w:type="spellEnd"/>
      <w:r>
        <w:t xml:space="preserve"> EX </w:t>
      </w:r>
      <w:proofErr w:type="spellStart"/>
      <w:r>
        <w:t>gefordert</w:t>
      </w:r>
      <w:proofErr w:type="spellEnd"/>
      <w:r>
        <w:t>.</w:t>
      </w:r>
    </w:p>
    <w:p w14:paraId="4532BB6F" w14:textId="77777777" w:rsidR="00663859" w:rsidRPr="00A161CB" w:rsidRDefault="00663859" w:rsidP="00663859">
      <w:pPr>
        <w:pStyle w:val="SingleTxtG"/>
      </w:pPr>
      <w:r>
        <w:t>13.</w:t>
      </w:r>
      <w:r>
        <w:tab/>
        <w:t xml:space="preserve">Ein </w:t>
      </w:r>
      <w:proofErr w:type="spellStart"/>
      <w:r>
        <w:t>dritter</w:t>
      </w:r>
      <w:proofErr w:type="spellEnd"/>
      <w:r>
        <w:t xml:space="preserve"> </w:t>
      </w:r>
      <w:proofErr w:type="spellStart"/>
      <w:r>
        <w:t>Hinweis</w:t>
      </w:r>
      <w:proofErr w:type="spellEnd"/>
      <w:r>
        <w:t xml:space="preserve"> </w:t>
      </w:r>
      <w:proofErr w:type="spellStart"/>
      <w:r>
        <w:t>könnte</w:t>
      </w:r>
      <w:proofErr w:type="spellEnd"/>
      <w:r>
        <w:t xml:space="preserve"> </w:t>
      </w:r>
      <w:proofErr w:type="spellStart"/>
      <w:r>
        <w:t>sich</w:t>
      </w:r>
      <w:proofErr w:type="spellEnd"/>
      <w:r>
        <w:t xml:space="preserve"> </w:t>
      </w:r>
      <w:proofErr w:type="spellStart"/>
      <w:r>
        <w:t>aus</w:t>
      </w:r>
      <w:proofErr w:type="spellEnd"/>
      <w:r>
        <w:t xml:space="preserve"> der </w:t>
      </w:r>
      <w:proofErr w:type="spellStart"/>
      <w:r>
        <w:t>Tabelle</w:t>
      </w:r>
      <w:proofErr w:type="spellEnd"/>
      <w:r>
        <w:t xml:space="preserve"> C </w:t>
      </w:r>
      <w:proofErr w:type="spellStart"/>
      <w:r>
        <w:t>ergeben</w:t>
      </w:r>
      <w:proofErr w:type="spellEnd"/>
      <w:r>
        <w:t xml:space="preserve">: </w:t>
      </w:r>
      <w:proofErr w:type="spellStart"/>
      <w:r>
        <w:t>bei</w:t>
      </w:r>
      <w:proofErr w:type="spellEnd"/>
      <w:r>
        <w:t xml:space="preserve"> </w:t>
      </w:r>
      <w:proofErr w:type="spellStart"/>
      <w:r>
        <w:t>allen</w:t>
      </w:r>
      <w:proofErr w:type="spellEnd"/>
      <w:r>
        <w:t xml:space="preserve"> </w:t>
      </w:r>
      <w:proofErr w:type="spellStart"/>
      <w:r>
        <w:t>Stoffe</w:t>
      </w:r>
      <w:proofErr w:type="spellEnd"/>
      <w:r>
        <w:t xml:space="preserve">, </w:t>
      </w:r>
      <w:proofErr w:type="spellStart"/>
      <w:r>
        <w:t>für</w:t>
      </w:r>
      <w:proofErr w:type="spellEnd"/>
      <w:r>
        <w:t xml:space="preserve"> die </w:t>
      </w:r>
      <w:proofErr w:type="spellStart"/>
      <w:r>
        <w:t>bei</w:t>
      </w:r>
      <w:proofErr w:type="spellEnd"/>
      <w:r>
        <w:t xml:space="preserve"> der </w:t>
      </w:r>
      <w:proofErr w:type="spellStart"/>
      <w:r>
        <w:t>Beförderung</w:t>
      </w:r>
      <w:proofErr w:type="spellEnd"/>
      <w:r>
        <w:t xml:space="preserve"> in </w:t>
      </w:r>
      <w:proofErr w:type="spellStart"/>
      <w:r>
        <w:t>Tankschiffen</w:t>
      </w:r>
      <w:proofErr w:type="spellEnd"/>
      <w:r>
        <w:t xml:space="preserve"> </w:t>
      </w:r>
      <w:proofErr w:type="spellStart"/>
      <w:r>
        <w:t>nach</w:t>
      </w:r>
      <w:proofErr w:type="spellEnd"/>
      <w:r>
        <w:t xml:space="preserve"> </w:t>
      </w:r>
      <w:proofErr w:type="spellStart"/>
      <w:r>
        <w:t>Tabelle</w:t>
      </w:r>
      <w:proofErr w:type="spellEnd"/>
      <w:r>
        <w:t xml:space="preserve"> C </w:t>
      </w:r>
      <w:proofErr w:type="spellStart"/>
      <w:r>
        <w:t>Spalte</w:t>
      </w:r>
      <w:proofErr w:type="spellEnd"/>
      <w:r>
        <w:t xml:space="preserve"> (17) </w:t>
      </w:r>
      <w:proofErr w:type="spellStart"/>
      <w:r>
        <w:t>Explosionsschutz</w:t>
      </w:r>
      <w:proofErr w:type="spellEnd"/>
      <w:r>
        <w:t xml:space="preserve"> </w:t>
      </w:r>
      <w:proofErr w:type="spellStart"/>
      <w:r>
        <w:t>gefordert</w:t>
      </w:r>
      <w:proofErr w:type="spellEnd"/>
      <w:r>
        <w:t xml:space="preserve"> </w:t>
      </w:r>
      <w:proofErr w:type="spellStart"/>
      <w:r>
        <w:t>ist</w:t>
      </w:r>
      <w:proofErr w:type="spellEnd"/>
      <w:r>
        <w:t xml:space="preserve">, </w:t>
      </w:r>
      <w:proofErr w:type="spellStart"/>
      <w:r>
        <w:t>ist</w:t>
      </w:r>
      <w:proofErr w:type="spellEnd"/>
      <w:r>
        <w:t xml:space="preserve"> </w:t>
      </w:r>
      <w:proofErr w:type="spellStart"/>
      <w:r>
        <w:t>Explosionsschutz</w:t>
      </w:r>
      <w:proofErr w:type="spellEnd"/>
      <w:r>
        <w:t xml:space="preserve"> </w:t>
      </w:r>
      <w:proofErr w:type="spellStart"/>
      <w:r>
        <w:t>auch</w:t>
      </w:r>
      <w:proofErr w:type="spellEnd"/>
      <w:r>
        <w:t xml:space="preserve"> </w:t>
      </w:r>
      <w:proofErr w:type="spellStart"/>
      <w:r>
        <w:t>bei</w:t>
      </w:r>
      <w:proofErr w:type="spellEnd"/>
      <w:r>
        <w:t xml:space="preserve"> der </w:t>
      </w:r>
      <w:proofErr w:type="spellStart"/>
      <w:r>
        <w:t>Beförderung</w:t>
      </w:r>
      <w:proofErr w:type="spellEnd"/>
      <w:r>
        <w:t xml:space="preserve"> in </w:t>
      </w:r>
      <w:proofErr w:type="spellStart"/>
      <w:r>
        <w:t>Versandstücken</w:t>
      </w:r>
      <w:proofErr w:type="spellEnd"/>
      <w:r>
        <w:t xml:space="preserve"> </w:t>
      </w:r>
      <w:proofErr w:type="spellStart"/>
      <w:r>
        <w:t>wie</w:t>
      </w:r>
      <w:proofErr w:type="spellEnd"/>
      <w:r>
        <w:t xml:space="preserve"> </w:t>
      </w:r>
      <w:proofErr w:type="spellStart"/>
      <w:r>
        <w:t>Tankcontainern</w:t>
      </w:r>
      <w:proofErr w:type="spellEnd"/>
      <w:r>
        <w:t xml:space="preserve"> </w:t>
      </w:r>
      <w:proofErr w:type="spellStart"/>
      <w:r>
        <w:t>oder</w:t>
      </w:r>
      <w:proofErr w:type="spellEnd"/>
      <w:r>
        <w:t xml:space="preserve"> IBC </w:t>
      </w:r>
      <w:proofErr w:type="spellStart"/>
      <w:r>
        <w:t>erforderlich</w:t>
      </w:r>
      <w:proofErr w:type="spellEnd"/>
      <w:r>
        <w:t xml:space="preserve">. Dies </w:t>
      </w:r>
      <w:proofErr w:type="spellStart"/>
      <w:r>
        <w:t>sind</w:t>
      </w:r>
      <w:proofErr w:type="spellEnd"/>
      <w:r>
        <w:t xml:space="preserve"> </w:t>
      </w:r>
      <w:proofErr w:type="spellStart"/>
      <w:r>
        <w:t>Güter</w:t>
      </w:r>
      <w:proofErr w:type="spellEnd"/>
      <w:r>
        <w:t xml:space="preserve"> der Klassen 2, 3, 4.1 (</w:t>
      </w:r>
      <w:proofErr w:type="spellStart"/>
      <w:r>
        <w:t>nur</w:t>
      </w:r>
      <w:proofErr w:type="spellEnd"/>
      <w:r>
        <w:t xml:space="preserve"> UN </w:t>
      </w:r>
      <w:r w:rsidRPr="00A161CB">
        <w:t xml:space="preserve">3175 FESTE STOFFE, DIE ENTZÜNDBARE FLÜSSIGE STOFFE </w:t>
      </w:r>
      <w:proofErr w:type="spellStart"/>
      <w:r w:rsidRPr="00A161CB">
        <w:t>mit</w:t>
      </w:r>
      <w:proofErr w:type="spellEnd"/>
      <w:r w:rsidRPr="00A161CB">
        <w:t xml:space="preserve"> </w:t>
      </w:r>
      <w:proofErr w:type="spellStart"/>
      <w:r w:rsidRPr="00A161CB">
        <w:t>einem</w:t>
      </w:r>
      <w:proofErr w:type="spellEnd"/>
      <w:r w:rsidRPr="00A161CB">
        <w:t xml:space="preserve"> </w:t>
      </w:r>
      <w:proofErr w:type="spellStart"/>
      <w:r w:rsidRPr="00A161CB">
        <w:t>Flammpunkt</w:t>
      </w:r>
      <w:proofErr w:type="spellEnd"/>
      <w:r w:rsidRPr="00A161CB">
        <w:t xml:space="preserve"> von </w:t>
      </w:r>
      <w:proofErr w:type="spellStart"/>
      <w:r w:rsidRPr="00A161CB">
        <w:t>höchstens</w:t>
      </w:r>
      <w:proofErr w:type="spellEnd"/>
      <w:r w:rsidRPr="00A161CB">
        <w:t xml:space="preserve"> 60°C ENTHALTEN, N.A.G. G</w:t>
      </w:r>
      <w:r>
        <w:t>ESCHMOLZEN (DIALKYLDIMETHYLAMMO</w:t>
      </w:r>
      <w:r w:rsidRPr="00A161CB">
        <w:t>NIUMCHLORID (C12 - C18) UND 2-PROPANOL)</w:t>
      </w:r>
      <w:r>
        <w:t>)</w:t>
      </w:r>
      <w:r w:rsidRPr="00A161CB">
        <w:t xml:space="preserve">, der </w:t>
      </w:r>
      <w:proofErr w:type="spellStart"/>
      <w:r w:rsidRPr="00A161CB">
        <w:t>Klasse</w:t>
      </w:r>
      <w:proofErr w:type="spellEnd"/>
      <w:r w:rsidRPr="00A161CB">
        <w:t xml:space="preserve"> </w:t>
      </w:r>
      <w:r>
        <w:t xml:space="preserve">6.1 </w:t>
      </w:r>
      <w:proofErr w:type="spellStart"/>
      <w:r>
        <w:t>mit</w:t>
      </w:r>
      <w:proofErr w:type="spellEnd"/>
      <w:r>
        <w:t xml:space="preserve"> und </w:t>
      </w:r>
      <w:proofErr w:type="spellStart"/>
      <w:r>
        <w:t>ohne</w:t>
      </w:r>
      <w:proofErr w:type="spellEnd"/>
      <w:r>
        <w:t xml:space="preserve"> die </w:t>
      </w:r>
      <w:proofErr w:type="spellStart"/>
      <w:r>
        <w:t>Nebengefahr</w:t>
      </w:r>
      <w:proofErr w:type="spellEnd"/>
      <w:r>
        <w:t xml:space="preserve"> der </w:t>
      </w:r>
      <w:proofErr w:type="spellStart"/>
      <w:r>
        <w:t>Klasse</w:t>
      </w:r>
      <w:proofErr w:type="spellEnd"/>
      <w:r>
        <w:t xml:space="preserve"> 3, der </w:t>
      </w:r>
      <w:proofErr w:type="spellStart"/>
      <w:r>
        <w:t>Klasse</w:t>
      </w:r>
      <w:proofErr w:type="spellEnd"/>
      <w:r>
        <w:t xml:space="preserve"> 8 </w:t>
      </w:r>
      <w:proofErr w:type="spellStart"/>
      <w:r>
        <w:t>mit</w:t>
      </w:r>
      <w:proofErr w:type="spellEnd"/>
      <w:r>
        <w:t xml:space="preserve"> und </w:t>
      </w:r>
      <w:proofErr w:type="spellStart"/>
      <w:r>
        <w:t>ohne</w:t>
      </w:r>
      <w:proofErr w:type="spellEnd"/>
      <w:r>
        <w:t xml:space="preserve"> die </w:t>
      </w:r>
      <w:proofErr w:type="spellStart"/>
      <w:r>
        <w:t>Nebengefahr</w:t>
      </w:r>
      <w:proofErr w:type="spellEnd"/>
      <w:r>
        <w:t xml:space="preserve"> der </w:t>
      </w:r>
      <w:proofErr w:type="spellStart"/>
      <w:r>
        <w:t>Klasse</w:t>
      </w:r>
      <w:proofErr w:type="spellEnd"/>
      <w:r>
        <w:t xml:space="preserve"> 3.</w:t>
      </w:r>
    </w:p>
    <w:p w14:paraId="253CE31A" w14:textId="77777777" w:rsidR="00663859" w:rsidRPr="00213089" w:rsidRDefault="00663859" w:rsidP="00663859">
      <w:pPr>
        <w:pStyle w:val="SingleTxtG"/>
      </w:pPr>
      <w:r>
        <w:t xml:space="preserve">Problem: die </w:t>
      </w:r>
      <w:proofErr w:type="spellStart"/>
      <w:r>
        <w:t>Kriterien</w:t>
      </w:r>
      <w:proofErr w:type="spellEnd"/>
      <w:r>
        <w:t xml:space="preserve"> </w:t>
      </w:r>
      <w:proofErr w:type="spellStart"/>
      <w:r>
        <w:t>für</w:t>
      </w:r>
      <w:proofErr w:type="spellEnd"/>
      <w:r>
        <w:t xml:space="preserve"> die </w:t>
      </w:r>
      <w:proofErr w:type="spellStart"/>
      <w:r>
        <w:t>Angabe</w:t>
      </w:r>
      <w:proofErr w:type="spellEnd"/>
      <w:r>
        <w:t xml:space="preserve"> „JA“ in </w:t>
      </w:r>
      <w:proofErr w:type="spellStart"/>
      <w:r>
        <w:t>Spalte</w:t>
      </w:r>
      <w:proofErr w:type="spellEnd"/>
      <w:r>
        <w:t xml:space="preserve"> (17), die man in 3.2.3.3 ADN </w:t>
      </w:r>
      <w:proofErr w:type="spellStart"/>
      <w:r>
        <w:t>finden</w:t>
      </w:r>
      <w:proofErr w:type="spellEnd"/>
      <w:r>
        <w:t xml:space="preserve"> </w:t>
      </w:r>
      <w:proofErr w:type="spellStart"/>
      <w:r>
        <w:t>kann</w:t>
      </w:r>
      <w:proofErr w:type="spellEnd"/>
      <w:r>
        <w:t xml:space="preserve">, </w:t>
      </w:r>
      <w:proofErr w:type="spellStart"/>
      <w:r>
        <w:t>scheinen</w:t>
      </w:r>
      <w:proofErr w:type="spellEnd"/>
      <w:r>
        <w:t xml:space="preserve"> </w:t>
      </w:r>
      <w:proofErr w:type="spellStart"/>
      <w:r>
        <w:t>nur</w:t>
      </w:r>
      <w:proofErr w:type="spellEnd"/>
      <w:r>
        <w:t xml:space="preserve"> auf </w:t>
      </w:r>
      <w:proofErr w:type="spellStart"/>
      <w:r>
        <w:t>flüssige</w:t>
      </w:r>
      <w:proofErr w:type="spellEnd"/>
      <w:r>
        <w:t xml:space="preserve"> </w:t>
      </w:r>
      <w:proofErr w:type="spellStart"/>
      <w:r>
        <w:t>Gefahrgüter</w:t>
      </w:r>
      <w:proofErr w:type="spellEnd"/>
      <w:r>
        <w:t xml:space="preserve"> </w:t>
      </w:r>
      <w:proofErr w:type="spellStart"/>
      <w:r>
        <w:t>zu</w:t>
      </w:r>
      <w:proofErr w:type="spellEnd"/>
      <w:r>
        <w:t xml:space="preserve"> </w:t>
      </w:r>
      <w:proofErr w:type="spellStart"/>
      <w:r>
        <w:t>passen</w:t>
      </w:r>
      <w:proofErr w:type="spellEnd"/>
      <w:r>
        <w:t>.</w:t>
      </w:r>
    </w:p>
    <w:p w14:paraId="76434A59" w14:textId="77777777" w:rsidR="00663859" w:rsidRDefault="00663859" w:rsidP="00663859">
      <w:pPr>
        <w:pStyle w:val="SingleTxtG"/>
      </w:pPr>
      <w:r>
        <w:t>13.</w:t>
      </w:r>
      <w:r>
        <w:tab/>
        <w:t xml:space="preserve">Ein </w:t>
      </w:r>
      <w:proofErr w:type="spellStart"/>
      <w:r>
        <w:t>vierter</w:t>
      </w:r>
      <w:proofErr w:type="spellEnd"/>
      <w:r>
        <w:t xml:space="preserve"> </w:t>
      </w:r>
      <w:proofErr w:type="spellStart"/>
      <w:r>
        <w:t>Hinweis</w:t>
      </w:r>
      <w:proofErr w:type="spellEnd"/>
      <w:r>
        <w:t xml:space="preserve"> </w:t>
      </w:r>
      <w:proofErr w:type="spellStart"/>
      <w:r>
        <w:t>könnte</w:t>
      </w:r>
      <w:proofErr w:type="spellEnd"/>
      <w:r>
        <w:t xml:space="preserve"> </w:t>
      </w:r>
      <w:proofErr w:type="spellStart"/>
      <w:r>
        <w:t>sich</w:t>
      </w:r>
      <w:proofErr w:type="spellEnd"/>
      <w:r>
        <w:t xml:space="preserve"> </w:t>
      </w:r>
      <w:proofErr w:type="spellStart"/>
      <w:r>
        <w:t>aus</w:t>
      </w:r>
      <w:proofErr w:type="spellEnd"/>
      <w:r>
        <w:t xml:space="preserve"> den </w:t>
      </w:r>
      <w:proofErr w:type="spellStart"/>
      <w:r>
        <w:t>Schriftlichen</w:t>
      </w:r>
      <w:proofErr w:type="spellEnd"/>
      <w:r>
        <w:t xml:space="preserve"> </w:t>
      </w:r>
      <w:proofErr w:type="spellStart"/>
      <w:r>
        <w:t>Weisungen</w:t>
      </w:r>
      <w:proofErr w:type="spellEnd"/>
      <w:r>
        <w:t xml:space="preserve"> </w:t>
      </w:r>
      <w:proofErr w:type="spellStart"/>
      <w:r>
        <w:t>nach</w:t>
      </w:r>
      <w:proofErr w:type="spellEnd"/>
      <w:r>
        <w:t xml:space="preserve"> </w:t>
      </w:r>
      <w:proofErr w:type="spellStart"/>
      <w:r>
        <w:t>Abschnitt</w:t>
      </w:r>
      <w:proofErr w:type="spellEnd"/>
      <w:r>
        <w:t xml:space="preserve"> 5.4.3 ADN </w:t>
      </w:r>
      <w:proofErr w:type="spellStart"/>
      <w:r>
        <w:t>ergeben</w:t>
      </w:r>
      <w:proofErr w:type="spellEnd"/>
      <w:r>
        <w:t xml:space="preserve">: </w:t>
      </w:r>
      <w:proofErr w:type="spellStart"/>
      <w:r>
        <w:t>Explosionsschutz</w:t>
      </w:r>
      <w:proofErr w:type="spellEnd"/>
      <w:r>
        <w:t xml:space="preserve"> </w:t>
      </w:r>
      <w:proofErr w:type="spellStart"/>
      <w:r>
        <w:t>ist</w:t>
      </w:r>
      <w:proofErr w:type="spellEnd"/>
      <w:r>
        <w:t xml:space="preserve"> </w:t>
      </w:r>
      <w:proofErr w:type="spellStart"/>
      <w:r>
        <w:t>für</w:t>
      </w:r>
      <w:proofErr w:type="spellEnd"/>
      <w:r>
        <w:t xml:space="preserve"> </w:t>
      </w:r>
      <w:proofErr w:type="spellStart"/>
      <w:r>
        <w:t>alle</w:t>
      </w:r>
      <w:proofErr w:type="spellEnd"/>
      <w:r>
        <w:t xml:space="preserve"> Klassen </w:t>
      </w:r>
      <w:proofErr w:type="spellStart"/>
      <w:r>
        <w:t>erforderlich</w:t>
      </w:r>
      <w:proofErr w:type="spellEnd"/>
      <w:r>
        <w:t xml:space="preserve">, </w:t>
      </w:r>
      <w:proofErr w:type="spellStart"/>
      <w:r>
        <w:t>bei</w:t>
      </w:r>
      <w:proofErr w:type="spellEnd"/>
      <w:r>
        <w:t xml:space="preserve"> </w:t>
      </w:r>
      <w:proofErr w:type="spellStart"/>
      <w:r>
        <w:t>denen</w:t>
      </w:r>
      <w:proofErr w:type="spellEnd"/>
      <w:r>
        <w:t xml:space="preserve"> es </w:t>
      </w:r>
      <w:proofErr w:type="spellStart"/>
      <w:r>
        <w:t>sich</w:t>
      </w:r>
      <w:proofErr w:type="spellEnd"/>
      <w:r>
        <w:t xml:space="preserve"> um „Explosive </w:t>
      </w:r>
      <w:proofErr w:type="spellStart"/>
      <w:r>
        <w:t>Stoffe</w:t>
      </w:r>
      <w:proofErr w:type="spellEnd"/>
      <w:r>
        <w:t xml:space="preserve"> und </w:t>
      </w:r>
      <w:proofErr w:type="spellStart"/>
      <w:r>
        <w:t>Gegenstände</w:t>
      </w:r>
      <w:proofErr w:type="spellEnd"/>
      <w:r>
        <w:t xml:space="preserve"> </w:t>
      </w:r>
      <w:proofErr w:type="spellStart"/>
      <w:r>
        <w:t>mit</w:t>
      </w:r>
      <w:proofErr w:type="spellEnd"/>
      <w:r>
        <w:t xml:space="preserve"> </w:t>
      </w:r>
      <w:proofErr w:type="spellStart"/>
      <w:r>
        <w:t>Explosionsstoff</w:t>
      </w:r>
      <w:proofErr w:type="spellEnd"/>
      <w:r>
        <w:t xml:space="preserve">“ </w:t>
      </w:r>
      <w:proofErr w:type="spellStart"/>
      <w:r>
        <w:t>handelt</w:t>
      </w:r>
      <w:proofErr w:type="spellEnd"/>
      <w:r>
        <w:t xml:space="preserve"> </w:t>
      </w:r>
      <w:proofErr w:type="spellStart"/>
      <w:r>
        <w:t>oder</w:t>
      </w:r>
      <w:proofErr w:type="spellEnd"/>
      <w:r>
        <w:t xml:space="preserve"> </w:t>
      </w:r>
      <w:proofErr w:type="spellStart"/>
      <w:r>
        <w:t>für</w:t>
      </w:r>
      <w:proofErr w:type="spellEnd"/>
      <w:r>
        <w:t xml:space="preserve"> die in </w:t>
      </w:r>
      <w:proofErr w:type="spellStart"/>
      <w:r>
        <w:t>Spalte</w:t>
      </w:r>
      <w:proofErr w:type="spellEnd"/>
      <w:r>
        <w:t xml:space="preserve"> (2) der </w:t>
      </w:r>
      <w:proofErr w:type="spellStart"/>
      <w:r>
        <w:t>Schriftlichen</w:t>
      </w:r>
      <w:proofErr w:type="spellEnd"/>
      <w:r>
        <w:t xml:space="preserve"> </w:t>
      </w:r>
      <w:proofErr w:type="spellStart"/>
      <w:r>
        <w:t>Weisungen</w:t>
      </w:r>
      <w:proofErr w:type="spellEnd"/>
      <w:r>
        <w:t xml:space="preserve"> </w:t>
      </w:r>
      <w:proofErr w:type="spellStart"/>
      <w:r>
        <w:t>als</w:t>
      </w:r>
      <w:proofErr w:type="spellEnd"/>
      <w:r>
        <w:t xml:space="preserve"> </w:t>
      </w:r>
      <w:proofErr w:type="spellStart"/>
      <w:r>
        <w:t>Gefahreneigenschaft</w:t>
      </w:r>
      <w:proofErr w:type="spellEnd"/>
      <w:r>
        <w:t xml:space="preserve"> „</w:t>
      </w:r>
      <w:proofErr w:type="spellStart"/>
      <w:r>
        <w:t>Explosionsgefahr</w:t>
      </w:r>
      <w:proofErr w:type="spellEnd"/>
      <w:r>
        <w:t xml:space="preserve">“ </w:t>
      </w:r>
      <w:proofErr w:type="spellStart"/>
      <w:r>
        <w:t>angegeben</w:t>
      </w:r>
      <w:proofErr w:type="spellEnd"/>
      <w:r>
        <w:t xml:space="preserve"> </w:t>
      </w:r>
      <w:proofErr w:type="spellStart"/>
      <w:r>
        <w:t>ist</w:t>
      </w:r>
      <w:proofErr w:type="spellEnd"/>
      <w:r>
        <w:t xml:space="preserve">. Das </w:t>
      </w:r>
      <w:proofErr w:type="spellStart"/>
      <w:r>
        <w:t>wären</w:t>
      </w:r>
      <w:proofErr w:type="spellEnd"/>
      <w:r>
        <w:t xml:space="preserve"> die Klassen 1, 1.4, 1.5, 1.6, 2.1, 3, 4.1, 4.3, 5.1 und 9.</w:t>
      </w:r>
    </w:p>
    <w:p w14:paraId="1AF93100" w14:textId="77777777" w:rsidR="00663859" w:rsidRDefault="00663859" w:rsidP="00663859">
      <w:pPr>
        <w:pStyle w:val="SingleTxtG"/>
      </w:pPr>
      <w:r>
        <w:t>14.</w:t>
      </w:r>
      <w:r>
        <w:tab/>
        <w:t xml:space="preserve">Ein </w:t>
      </w:r>
      <w:proofErr w:type="spellStart"/>
      <w:r>
        <w:t>fünfter</w:t>
      </w:r>
      <w:proofErr w:type="spellEnd"/>
      <w:r>
        <w:t xml:space="preserve"> </w:t>
      </w:r>
      <w:proofErr w:type="spellStart"/>
      <w:r>
        <w:t>Hinweis</w:t>
      </w:r>
      <w:proofErr w:type="spellEnd"/>
      <w:r>
        <w:t xml:space="preserve"> </w:t>
      </w:r>
      <w:proofErr w:type="spellStart"/>
      <w:r>
        <w:t>könnte</w:t>
      </w:r>
      <w:proofErr w:type="spellEnd"/>
      <w:r>
        <w:t xml:space="preserve"> </w:t>
      </w:r>
      <w:proofErr w:type="spellStart"/>
      <w:r>
        <w:t>sich</w:t>
      </w:r>
      <w:proofErr w:type="spellEnd"/>
      <w:r>
        <w:t xml:space="preserve"> </w:t>
      </w:r>
      <w:proofErr w:type="spellStart"/>
      <w:r>
        <w:t>aus</w:t>
      </w:r>
      <w:proofErr w:type="spellEnd"/>
      <w:r>
        <w:t xml:space="preserve"> </w:t>
      </w:r>
      <w:proofErr w:type="spellStart"/>
      <w:r>
        <w:t>Absatz</w:t>
      </w:r>
      <w:proofErr w:type="spellEnd"/>
      <w:r>
        <w:t xml:space="preserve"> 7.1.4.4.4 ADN </w:t>
      </w:r>
      <w:proofErr w:type="spellStart"/>
      <w:r>
        <w:t>ergeben</w:t>
      </w:r>
      <w:proofErr w:type="spellEnd"/>
      <w:r>
        <w:t xml:space="preserve">: </w:t>
      </w:r>
      <w:proofErr w:type="spellStart"/>
      <w:r>
        <w:t>dort</w:t>
      </w:r>
      <w:proofErr w:type="spellEnd"/>
      <w:r>
        <w:t xml:space="preserve"> </w:t>
      </w:r>
      <w:proofErr w:type="spellStart"/>
      <w:r>
        <w:t>werden</w:t>
      </w:r>
      <w:proofErr w:type="spellEnd"/>
      <w:r>
        <w:t xml:space="preserve"> </w:t>
      </w:r>
      <w:proofErr w:type="spellStart"/>
      <w:r>
        <w:t>elektrische</w:t>
      </w:r>
      <w:proofErr w:type="spellEnd"/>
      <w:r>
        <w:t xml:space="preserve"> Anlagen und </w:t>
      </w:r>
      <w:proofErr w:type="spellStart"/>
      <w:r>
        <w:t>Geräte</w:t>
      </w:r>
      <w:proofErr w:type="spellEnd"/>
      <w:r>
        <w:t xml:space="preserve">, die </w:t>
      </w:r>
      <w:proofErr w:type="spellStart"/>
      <w:r>
        <w:t>nicht</w:t>
      </w:r>
      <w:proofErr w:type="spellEnd"/>
      <w:r>
        <w:t xml:space="preserve"> </w:t>
      </w:r>
      <w:proofErr w:type="spellStart"/>
      <w:r>
        <w:t>für</w:t>
      </w:r>
      <w:proofErr w:type="spellEnd"/>
      <w:r>
        <w:t xml:space="preserve"> den </w:t>
      </w:r>
      <w:proofErr w:type="spellStart"/>
      <w:r>
        <w:t>Einsatz</w:t>
      </w:r>
      <w:proofErr w:type="spellEnd"/>
      <w:r>
        <w:t xml:space="preserve"> </w:t>
      </w:r>
      <w:proofErr w:type="spellStart"/>
      <w:r>
        <w:t>mindestens</w:t>
      </w:r>
      <w:proofErr w:type="spellEnd"/>
      <w:r>
        <w:t xml:space="preserve"> in Zone 1 </w:t>
      </w:r>
      <w:proofErr w:type="spellStart"/>
      <w:r>
        <w:t>geeignet</w:t>
      </w:r>
      <w:proofErr w:type="spellEnd"/>
      <w:r>
        <w:t xml:space="preserve"> </w:t>
      </w:r>
      <w:proofErr w:type="spellStart"/>
      <w:r>
        <w:t>sind</w:t>
      </w:r>
      <w:proofErr w:type="spellEnd"/>
      <w:r>
        <w:t xml:space="preserve"> </w:t>
      </w:r>
      <w:proofErr w:type="spellStart"/>
      <w:r>
        <w:t>mit</w:t>
      </w:r>
      <w:proofErr w:type="spellEnd"/>
      <w:r>
        <w:t xml:space="preserve"> </w:t>
      </w:r>
      <w:proofErr w:type="spellStart"/>
      <w:r>
        <w:t>bestimmten</w:t>
      </w:r>
      <w:proofErr w:type="spellEnd"/>
      <w:r>
        <w:t xml:space="preserve"> </w:t>
      </w:r>
      <w:proofErr w:type="spellStart"/>
      <w:r>
        <w:t>Gefahrgutklassen</w:t>
      </w:r>
      <w:proofErr w:type="spellEnd"/>
      <w:r>
        <w:t xml:space="preserve"> in </w:t>
      </w:r>
      <w:proofErr w:type="spellStart"/>
      <w:r>
        <w:t>Verbindung</w:t>
      </w:r>
      <w:proofErr w:type="spellEnd"/>
      <w:r>
        <w:t xml:space="preserve"> </w:t>
      </w:r>
      <w:proofErr w:type="spellStart"/>
      <w:r>
        <w:t>gebracht</w:t>
      </w:r>
      <w:proofErr w:type="spellEnd"/>
      <w:r>
        <w:t xml:space="preserve">. Dies </w:t>
      </w:r>
      <w:proofErr w:type="spellStart"/>
      <w:r>
        <w:t>sind</w:t>
      </w:r>
      <w:proofErr w:type="spellEnd"/>
      <w:r>
        <w:t xml:space="preserve"> </w:t>
      </w:r>
      <w:proofErr w:type="spellStart"/>
      <w:r>
        <w:t>Klasse</w:t>
      </w:r>
      <w:proofErr w:type="spellEnd"/>
      <w:r>
        <w:t xml:space="preserve"> 2 </w:t>
      </w:r>
      <w:proofErr w:type="spellStart"/>
      <w:r>
        <w:t>mit</w:t>
      </w:r>
      <w:proofErr w:type="spellEnd"/>
      <w:r>
        <w:t xml:space="preserve"> </w:t>
      </w:r>
      <w:proofErr w:type="spellStart"/>
      <w:r>
        <w:t>Gefahrgutzettel</w:t>
      </w:r>
      <w:proofErr w:type="spellEnd"/>
      <w:r>
        <w:t xml:space="preserve"> 2.1, </w:t>
      </w:r>
      <w:proofErr w:type="spellStart"/>
      <w:r>
        <w:t>Klasse</w:t>
      </w:r>
      <w:proofErr w:type="spellEnd"/>
      <w:r>
        <w:t xml:space="preserve"> 3 VG I </w:t>
      </w:r>
      <w:proofErr w:type="spellStart"/>
      <w:r>
        <w:t>oder</w:t>
      </w:r>
      <w:proofErr w:type="spellEnd"/>
      <w:r>
        <w:t xml:space="preserve"> II, </w:t>
      </w:r>
      <w:proofErr w:type="spellStart"/>
      <w:r>
        <w:t>Klasse</w:t>
      </w:r>
      <w:proofErr w:type="spellEnd"/>
      <w:r>
        <w:t xml:space="preserve"> 4.3, </w:t>
      </w:r>
      <w:proofErr w:type="spellStart"/>
      <w:r>
        <w:t>Klasse</w:t>
      </w:r>
      <w:proofErr w:type="spellEnd"/>
      <w:r>
        <w:t xml:space="preserve"> 6.1, VG I </w:t>
      </w:r>
      <w:proofErr w:type="spellStart"/>
      <w:r>
        <w:t>oder</w:t>
      </w:r>
      <w:proofErr w:type="spellEnd"/>
      <w:r>
        <w:t xml:space="preserve"> II </w:t>
      </w:r>
      <w:proofErr w:type="spellStart"/>
      <w:r>
        <w:t>mit</w:t>
      </w:r>
      <w:proofErr w:type="spellEnd"/>
      <w:r>
        <w:t xml:space="preserve"> </w:t>
      </w:r>
      <w:proofErr w:type="spellStart"/>
      <w:r>
        <w:t>Zusatzgefahr</w:t>
      </w:r>
      <w:proofErr w:type="spellEnd"/>
      <w:r>
        <w:t xml:space="preserve"> 4.3, </w:t>
      </w:r>
      <w:proofErr w:type="spellStart"/>
      <w:r>
        <w:t>Klasse</w:t>
      </w:r>
      <w:proofErr w:type="spellEnd"/>
      <w:r>
        <w:t xml:space="preserve"> 8 VG I </w:t>
      </w:r>
      <w:proofErr w:type="spellStart"/>
      <w:r>
        <w:t>mit</w:t>
      </w:r>
      <w:proofErr w:type="spellEnd"/>
      <w:r>
        <w:t xml:space="preserve"> </w:t>
      </w:r>
      <w:proofErr w:type="spellStart"/>
      <w:r>
        <w:t>Nebengefahr</w:t>
      </w:r>
      <w:proofErr w:type="spellEnd"/>
      <w:r>
        <w:t xml:space="preserve"> der </w:t>
      </w:r>
      <w:proofErr w:type="spellStart"/>
      <w:r>
        <w:t>Klasse</w:t>
      </w:r>
      <w:proofErr w:type="spellEnd"/>
      <w:r>
        <w:t xml:space="preserve"> 3, </w:t>
      </w:r>
      <w:proofErr w:type="spellStart"/>
      <w:r>
        <w:t>Klasse</w:t>
      </w:r>
      <w:proofErr w:type="spellEnd"/>
      <w:r>
        <w:t xml:space="preserve"> 8 VG I </w:t>
      </w:r>
      <w:proofErr w:type="spellStart"/>
      <w:r>
        <w:t>oder</w:t>
      </w:r>
      <w:proofErr w:type="spellEnd"/>
      <w:r>
        <w:t xml:space="preserve"> II </w:t>
      </w:r>
      <w:proofErr w:type="spellStart"/>
      <w:r>
        <w:t>mit</w:t>
      </w:r>
      <w:proofErr w:type="spellEnd"/>
      <w:r>
        <w:t xml:space="preserve"> </w:t>
      </w:r>
      <w:proofErr w:type="spellStart"/>
      <w:r>
        <w:t>Nebengefahr</w:t>
      </w:r>
      <w:proofErr w:type="spellEnd"/>
      <w:r>
        <w:t xml:space="preserve"> der </w:t>
      </w:r>
      <w:proofErr w:type="spellStart"/>
      <w:r>
        <w:t>Klasse</w:t>
      </w:r>
      <w:proofErr w:type="spellEnd"/>
      <w:r>
        <w:t xml:space="preserve"> 4.3.</w:t>
      </w:r>
    </w:p>
    <w:p w14:paraId="0B6408FB" w14:textId="77777777" w:rsidR="00663859" w:rsidRDefault="00663859" w:rsidP="00663859">
      <w:pPr>
        <w:rPr>
          <w:sz w:val="22"/>
        </w:rPr>
      </w:pPr>
    </w:p>
    <w:tbl>
      <w:tblPr>
        <w:tblStyle w:val="TableGrid"/>
        <w:tblW w:w="9268" w:type="dxa"/>
        <w:tblInd w:w="108" w:type="dxa"/>
        <w:tblLayout w:type="fixed"/>
        <w:tblLook w:val="04A0" w:firstRow="1" w:lastRow="0" w:firstColumn="1" w:lastColumn="0" w:noHBand="0" w:noVBand="1"/>
      </w:tblPr>
      <w:tblGrid>
        <w:gridCol w:w="567"/>
        <w:gridCol w:w="469"/>
        <w:gridCol w:w="563"/>
        <w:gridCol w:w="563"/>
        <w:gridCol w:w="564"/>
        <w:gridCol w:w="663"/>
        <w:gridCol w:w="661"/>
        <w:gridCol w:w="770"/>
        <w:gridCol w:w="567"/>
        <w:gridCol w:w="567"/>
        <w:gridCol w:w="850"/>
        <w:gridCol w:w="993"/>
        <w:gridCol w:w="1072"/>
        <w:gridCol w:w="399"/>
      </w:tblGrid>
      <w:tr w:rsidR="00663859" w:rsidRPr="009F5A89" w14:paraId="04F62127" w14:textId="77777777" w:rsidTr="008A7A03">
        <w:tc>
          <w:tcPr>
            <w:tcW w:w="567" w:type="dxa"/>
          </w:tcPr>
          <w:p w14:paraId="17B9433A" w14:textId="77777777" w:rsidR="00663859" w:rsidRPr="002B61A2" w:rsidRDefault="00663859" w:rsidP="008A7A03">
            <w:pPr>
              <w:rPr>
                <w:sz w:val="22"/>
              </w:rPr>
            </w:pPr>
            <w:r w:rsidRPr="002B61A2">
              <w:rPr>
                <w:b/>
              </w:rPr>
              <w:t>Abs</w:t>
            </w:r>
          </w:p>
        </w:tc>
        <w:tc>
          <w:tcPr>
            <w:tcW w:w="8701" w:type="dxa"/>
            <w:gridSpan w:val="13"/>
          </w:tcPr>
          <w:p w14:paraId="3954CAD5" w14:textId="77777777" w:rsidR="00663859" w:rsidRPr="009F5A89" w:rsidRDefault="00663859" w:rsidP="008A7A03">
            <w:pPr>
              <w:rPr>
                <w:b/>
                <w:sz w:val="22"/>
              </w:rPr>
            </w:pPr>
            <w:proofErr w:type="spellStart"/>
            <w:r w:rsidRPr="009F5A89">
              <w:rPr>
                <w:b/>
                <w:sz w:val="22"/>
              </w:rPr>
              <w:t>Explosionsschutz</w:t>
            </w:r>
            <w:proofErr w:type="spellEnd"/>
            <w:r w:rsidRPr="009F5A89">
              <w:rPr>
                <w:b/>
                <w:sz w:val="22"/>
              </w:rPr>
              <w:t xml:space="preserve"> </w:t>
            </w:r>
            <w:proofErr w:type="spellStart"/>
            <w:r w:rsidRPr="009F5A89">
              <w:rPr>
                <w:b/>
                <w:sz w:val="22"/>
              </w:rPr>
              <w:t>für</w:t>
            </w:r>
            <w:proofErr w:type="spellEnd"/>
            <w:r>
              <w:rPr>
                <w:b/>
                <w:sz w:val="22"/>
              </w:rPr>
              <w:t xml:space="preserve"> </w:t>
            </w:r>
            <w:proofErr w:type="spellStart"/>
            <w:r>
              <w:rPr>
                <w:b/>
                <w:sz w:val="22"/>
              </w:rPr>
              <w:t>gefährliche</w:t>
            </w:r>
            <w:proofErr w:type="spellEnd"/>
            <w:r>
              <w:rPr>
                <w:b/>
                <w:sz w:val="22"/>
              </w:rPr>
              <w:t xml:space="preserve"> </w:t>
            </w:r>
            <w:proofErr w:type="spellStart"/>
            <w:r>
              <w:rPr>
                <w:b/>
                <w:sz w:val="22"/>
              </w:rPr>
              <w:t>Güter</w:t>
            </w:r>
            <w:proofErr w:type="spellEnd"/>
            <w:r>
              <w:rPr>
                <w:b/>
                <w:sz w:val="22"/>
              </w:rPr>
              <w:t xml:space="preserve"> der</w:t>
            </w:r>
            <w:r w:rsidRPr="009F5A89">
              <w:rPr>
                <w:b/>
                <w:sz w:val="22"/>
              </w:rPr>
              <w:t xml:space="preserve"> </w:t>
            </w:r>
            <w:proofErr w:type="spellStart"/>
            <w:r w:rsidRPr="009F5A89">
              <w:rPr>
                <w:b/>
                <w:sz w:val="22"/>
              </w:rPr>
              <w:t>Klasse</w:t>
            </w:r>
            <w:proofErr w:type="spellEnd"/>
            <w:r w:rsidRPr="009F5A89">
              <w:rPr>
                <w:b/>
                <w:sz w:val="22"/>
              </w:rPr>
              <w:t xml:space="preserve"> ....</w:t>
            </w:r>
          </w:p>
        </w:tc>
      </w:tr>
      <w:tr w:rsidR="00663859" w14:paraId="420F2186" w14:textId="77777777" w:rsidTr="008A7A03">
        <w:tc>
          <w:tcPr>
            <w:tcW w:w="567" w:type="dxa"/>
          </w:tcPr>
          <w:p w14:paraId="71628B7D" w14:textId="77777777" w:rsidR="00663859" w:rsidRDefault="00663859" w:rsidP="008A7A03">
            <w:pPr>
              <w:rPr>
                <w:sz w:val="22"/>
              </w:rPr>
            </w:pPr>
            <w:r>
              <w:rPr>
                <w:sz w:val="22"/>
              </w:rPr>
              <w:t>10.</w:t>
            </w:r>
          </w:p>
        </w:tc>
        <w:tc>
          <w:tcPr>
            <w:tcW w:w="469" w:type="dxa"/>
          </w:tcPr>
          <w:p w14:paraId="6C8E2EB2" w14:textId="77777777" w:rsidR="00663859" w:rsidRDefault="00663859" w:rsidP="008A7A03">
            <w:pPr>
              <w:rPr>
                <w:sz w:val="22"/>
              </w:rPr>
            </w:pPr>
          </w:p>
        </w:tc>
        <w:tc>
          <w:tcPr>
            <w:tcW w:w="563" w:type="dxa"/>
          </w:tcPr>
          <w:p w14:paraId="25A25F46" w14:textId="77777777" w:rsidR="00663859" w:rsidRDefault="00663859" w:rsidP="008A7A03">
            <w:pPr>
              <w:rPr>
                <w:sz w:val="22"/>
              </w:rPr>
            </w:pPr>
          </w:p>
        </w:tc>
        <w:tc>
          <w:tcPr>
            <w:tcW w:w="563" w:type="dxa"/>
          </w:tcPr>
          <w:p w14:paraId="612DB69A" w14:textId="77777777" w:rsidR="00663859" w:rsidRDefault="00663859" w:rsidP="008A7A03">
            <w:pPr>
              <w:rPr>
                <w:sz w:val="22"/>
              </w:rPr>
            </w:pPr>
          </w:p>
        </w:tc>
        <w:tc>
          <w:tcPr>
            <w:tcW w:w="564" w:type="dxa"/>
          </w:tcPr>
          <w:p w14:paraId="31C3184C" w14:textId="77777777" w:rsidR="00663859" w:rsidRDefault="00663859" w:rsidP="008A7A03">
            <w:pPr>
              <w:rPr>
                <w:sz w:val="22"/>
              </w:rPr>
            </w:pPr>
          </w:p>
        </w:tc>
        <w:tc>
          <w:tcPr>
            <w:tcW w:w="663" w:type="dxa"/>
          </w:tcPr>
          <w:p w14:paraId="2487FA19" w14:textId="77777777" w:rsidR="00663859" w:rsidRDefault="00663859" w:rsidP="008A7A03">
            <w:pPr>
              <w:rPr>
                <w:sz w:val="22"/>
              </w:rPr>
            </w:pPr>
            <w:r>
              <w:rPr>
                <w:sz w:val="22"/>
              </w:rPr>
              <w:t>2</w:t>
            </w:r>
          </w:p>
        </w:tc>
        <w:tc>
          <w:tcPr>
            <w:tcW w:w="661" w:type="dxa"/>
          </w:tcPr>
          <w:p w14:paraId="0F92466F" w14:textId="77777777" w:rsidR="00663859" w:rsidRDefault="00663859" w:rsidP="008A7A03">
            <w:pPr>
              <w:rPr>
                <w:sz w:val="22"/>
              </w:rPr>
            </w:pPr>
            <w:r>
              <w:rPr>
                <w:sz w:val="22"/>
              </w:rPr>
              <w:t>3</w:t>
            </w:r>
          </w:p>
        </w:tc>
        <w:tc>
          <w:tcPr>
            <w:tcW w:w="770" w:type="dxa"/>
          </w:tcPr>
          <w:p w14:paraId="79A4D062" w14:textId="77777777" w:rsidR="00663859" w:rsidRDefault="00663859" w:rsidP="008A7A03">
            <w:pPr>
              <w:rPr>
                <w:sz w:val="22"/>
              </w:rPr>
            </w:pPr>
          </w:p>
        </w:tc>
        <w:tc>
          <w:tcPr>
            <w:tcW w:w="567" w:type="dxa"/>
          </w:tcPr>
          <w:p w14:paraId="42DB4B6B" w14:textId="77777777" w:rsidR="00663859" w:rsidRDefault="00663859" w:rsidP="008A7A03">
            <w:pPr>
              <w:rPr>
                <w:sz w:val="22"/>
              </w:rPr>
            </w:pPr>
            <w:r>
              <w:rPr>
                <w:sz w:val="22"/>
              </w:rPr>
              <w:t>4.3</w:t>
            </w:r>
          </w:p>
        </w:tc>
        <w:tc>
          <w:tcPr>
            <w:tcW w:w="567" w:type="dxa"/>
          </w:tcPr>
          <w:p w14:paraId="71E91F9C" w14:textId="77777777" w:rsidR="00663859" w:rsidRDefault="00663859" w:rsidP="008A7A03">
            <w:pPr>
              <w:rPr>
                <w:sz w:val="22"/>
              </w:rPr>
            </w:pPr>
          </w:p>
        </w:tc>
        <w:tc>
          <w:tcPr>
            <w:tcW w:w="850" w:type="dxa"/>
          </w:tcPr>
          <w:p w14:paraId="176E986A" w14:textId="77777777" w:rsidR="00663859" w:rsidRDefault="00663859" w:rsidP="008A7A03">
            <w:pPr>
              <w:rPr>
                <w:sz w:val="22"/>
              </w:rPr>
            </w:pPr>
            <w:r>
              <w:rPr>
                <w:sz w:val="22"/>
              </w:rPr>
              <w:t>5.2</w:t>
            </w:r>
          </w:p>
        </w:tc>
        <w:tc>
          <w:tcPr>
            <w:tcW w:w="993" w:type="dxa"/>
          </w:tcPr>
          <w:p w14:paraId="08D9CDFD" w14:textId="77777777" w:rsidR="00663859" w:rsidRDefault="00663859" w:rsidP="008A7A03">
            <w:pPr>
              <w:rPr>
                <w:sz w:val="22"/>
              </w:rPr>
            </w:pPr>
            <w:r>
              <w:rPr>
                <w:sz w:val="22"/>
              </w:rPr>
              <w:t>6.1</w:t>
            </w:r>
          </w:p>
        </w:tc>
        <w:tc>
          <w:tcPr>
            <w:tcW w:w="1072" w:type="dxa"/>
          </w:tcPr>
          <w:p w14:paraId="26C00E38" w14:textId="77777777" w:rsidR="00663859" w:rsidRDefault="00663859" w:rsidP="008A7A03">
            <w:pPr>
              <w:rPr>
                <w:sz w:val="22"/>
              </w:rPr>
            </w:pPr>
            <w:r>
              <w:rPr>
                <w:sz w:val="22"/>
              </w:rPr>
              <w:t>8</w:t>
            </w:r>
          </w:p>
        </w:tc>
        <w:tc>
          <w:tcPr>
            <w:tcW w:w="399" w:type="dxa"/>
          </w:tcPr>
          <w:p w14:paraId="30EE53BC" w14:textId="77777777" w:rsidR="00663859" w:rsidRDefault="00663859" w:rsidP="008A7A03">
            <w:pPr>
              <w:rPr>
                <w:sz w:val="22"/>
              </w:rPr>
            </w:pPr>
          </w:p>
        </w:tc>
      </w:tr>
      <w:tr w:rsidR="00663859" w14:paraId="62B4C45D" w14:textId="77777777" w:rsidTr="008A7A03">
        <w:tc>
          <w:tcPr>
            <w:tcW w:w="567" w:type="dxa"/>
          </w:tcPr>
          <w:p w14:paraId="5985DD6E" w14:textId="77777777" w:rsidR="00663859" w:rsidRDefault="00663859" w:rsidP="008A7A03">
            <w:pPr>
              <w:rPr>
                <w:sz w:val="22"/>
              </w:rPr>
            </w:pPr>
            <w:r>
              <w:rPr>
                <w:sz w:val="22"/>
              </w:rPr>
              <w:t>11.</w:t>
            </w:r>
          </w:p>
        </w:tc>
        <w:tc>
          <w:tcPr>
            <w:tcW w:w="469" w:type="dxa"/>
          </w:tcPr>
          <w:p w14:paraId="7F8CB74C" w14:textId="77777777" w:rsidR="00663859" w:rsidRDefault="00663859" w:rsidP="008A7A03">
            <w:pPr>
              <w:rPr>
                <w:sz w:val="22"/>
              </w:rPr>
            </w:pPr>
            <w:r>
              <w:rPr>
                <w:sz w:val="22"/>
              </w:rPr>
              <w:t>1</w:t>
            </w:r>
          </w:p>
        </w:tc>
        <w:tc>
          <w:tcPr>
            <w:tcW w:w="563" w:type="dxa"/>
          </w:tcPr>
          <w:p w14:paraId="5460E5DB" w14:textId="77777777" w:rsidR="00663859" w:rsidRDefault="00663859" w:rsidP="008A7A03">
            <w:pPr>
              <w:rPr>
                <w:sz w:val="22"/>
              </w:rPr>
            </w:pPr>
          </w:p>
        </w:tc>
        <w:tc>
          <w:tcPr>
            <w:tcW w:w="563" w:type="dxa"/>
          </w:tcPr>
          <w:p w14:paraId="245ED728" w14:textId="77777777" w:rsidR="00663859" w:rsidRDefault="00663859" w:rsidP="008A7A03">
            <w:pPr>
              <w:rPr>
                <w:sz w:val="22"/>
              </w:rPr>
            </w:pPr>
          </w:p>
        </w:tc>
        <w:tc>
          <w:tcPr>
            <w:tcW w:w="564" w:type="dxa"/>
          </w:tcPr>
          <w:p w14:paraId="6570CFC7" w14:textId="77777777" w:rsidR="00663859" w:rsidRDefault="00663859" w:rsidP="008A7A03">
            <w:pPr>
              <w:rPr>
                <w:sz w:val="22"/>
              </w:rPr>
            </w:pPr>
          </w:p>
        </w:tc>
        <w:tc>
          <w:tcPr>
            <w:tcW w:w="663" w:type="dxa"/>
          </w:tcPr>
          <w:p w14:paraId="33DFF29D" w14:textId="77777777" w:rsidR="00663859" w:rsidRDefault="00663859" w:rsidP="008A7A03">
            <w:pPr>
              <w:rPr>
                <w:sz w:val="22"/>
              </w:rPr>
            </w:pPr>
          </w:p>
        </w:tc>
        <w:tc>
          <w:tcPr>
            <w:tcW w:w="661" w:type="dxa"/>
          </w:tcPr>
          <w:p w14:paraId="316B4B66" w14:textId="77777777" w:rsidR="00663859" w:rsidRDefault="00663859" w:rsidP="008A7A03">
            <w:pPr>
              <w:rPr>
                <w:sz w:val="22"/>
              </w:rPr>
            </w:pPr>
          </w:p>
        </w:tc>
        <w:tc>
          <w:tcPr>
            <w:tcW w:w="770" w:type="dxa"/>
          </w:tcPr>
          <w:p w14:paraId="7C386423" w14:textId="77777777" w:rsidR="00663859" w:rsidRDefault="00663859" w:rsidP="008A7A03">
            <w:pPr>
              <w:rPr>
                <w:sz w:val="22"/>
              </w:rPr>
            </w:pPr>
            <w:r>
              <w:rPr>
                <w:sz w:val="22"/>
              </w:rPr>
              <w:t>4.1+1</w:t>
            </w:r>
          </w:p>
        </w:tc>
        <w:tc>
          <w:tcPr>
            <w:tcW w:w="567" w:type="dxa"/>
          </w:tcPr>
          <w:p w14:paraId="1A669BFC" w14:textId="77777777" w:rsidR="00663859" w:rsidRDefault="00663859" w:rsidP="008A7A03">
            <w:pPr>
              <w:rPr>
                <w:sz w:val="22"/>
              </w:rPr>
            </w:pPr>
          </w:p>
        </w:tc>
        <w:tc>
          <w:tcPr>
            <w:tcW w:w="567" w:type="dxa"/>
          </w:tcPr>
          <w:p w14:paraId="6D7AE364" w14:textId="77777777" w:rsidR="00663859" w:rsidRDefault="00663859" w:rsidP="008A7A03">
            <w:pPr>
              <w:rPr>
                <w:sz w:val="22"/>
              </w:rPr>
            </w:pPr>
          </w:p>
        </w:tc>
        <w:tc>
          <w:tcPr>
            <w:tcW w:w="850" w:type="dxa"/>
          </w:tcPr>
          <w:p w14:paraId="1E727328" w14:textId="77777777" w:rsidR="00663859" w:rsidRDefault="00663859" w:rsidP="008A7A03">
            <w:pPr>
              <w:rPr>
                <w:sz w:val="22"/>
              </w:rPr>
            </w:pPr>
            <w:r>
              <w:rPr>
                <w:sz w:val="22"/>
              </w:rPr>
              <w:t>5.2+1</w:t>
            </w:r>
          </w:p>
        </w:tc>
        <w:tc>
          <w:tcPr>
            <w:tcW w:w="993" w:type="dxa"/>
          </w:tcPr>
          <w:p w14:paraId="27B89AE0" w14:textId="77777777" w:rsidR="00663859" w:rsidRDefault="00663859" w:rsidP="008A7A03">
            <w:pPr>
              <w:rPr>
                <w:sz w:val="22"/>
              </w:rPr>
            </w:pPr>
          </w:p>
        </w:tc>
        <w:tc>
          <w:tcPr>
            <w:tcW w:w="1072" w:type="dxa"/>
          </w:tcPr>
          <w:p w14:paraId="701A58F1" w14:textId="77777777" w:rsidR="00663859" w:rsidRDefault="00663859" w:rsidP="008A7A03">
            <w:pPr>
              <w:rPr>
                <w:sz w:val="22"/>
              </w:rPr>
            </w:pPr>
          </w:p>
        </w:tc>
        <w:tc>
          <w:tcPr>
            <w:tcW w:w="399" w:type="dxa"/>
          </w:tcPr>
          <w:p w14:paraId="3DD30006" w14:textId="77777777" w:rsidR="00663859" w:rsidRDefault="00663859" w:rsidP="008A7A03">
            <w:pPr>
              <w:rPr>
                <w:sz w:val="22"/>
              </w:rPr>
            </w:pPr>
          </w:p>
        </w:tc>
      </w:tr>
      <w:tr w:rsidR="00663859" w14:paraId="00F5FDF0" w14:textId="77777777" w:rsidTr="008A7A03">
        <w:tc>
          <w:tcPr>
            <w:tcW w:w="567" w:type="dxa"/>
          </w:tcPr>
          <w:p w14:paraId="4BDE09FD" w14:textId="77777777" w:rsidR="00663859" w:rsidRDefault="00663859" w:rsidP="008A7A03">
            <w:pPr>
              <w:rPr>
                <w:sz w:val="22"/>
              </w:rPr>
            </w:pPr>
            <w:r>
              <w:rPr>
                <w:sz w:val="22"/>
              </w:rPr>
              <w:t>12.</w:t>
            </w:r>
          </w:p>
        </w:tc>
        <w:tc>
          <w:tcPr>
            <w:tcW w:w="469" w:type="dxa"/>
          </w:tcPr>
          <w:p w14:paraId="2031FF76" w14:textId="77777777" w:rsidR="00663859" w:rsidRDefault="00663859" w:rsidP="008A7A03">
            <w:pPr>
              <w:rPr>
                <w:sz w:val="22"/>
              </w:rPr>
            </w:pPr>
          </w:p>
        </w:tc>
        <w:tc>
          <w:tcPr>
            <w:tcW w:w="563" w:type="dxa"/>
          </w:tcPr>
          <w:p w14:paraId="39220F76" w14:textId="77777777" w:rsidR="00663859" w:rsidRDefault="00663859" w:rsidP="008A7A03">
            <w:pPr>
              <w:rPr>
                <w:sz w:val="22"/>
              </w:rPr>
            </w:pPr>
          </w:p>
        </w:tc>
        <w:tc>
          <w:tcPr>
            <w:tcW w:w="563" w:type="dxa"/>
          </w:tcPr>
          <w:p w14:paraId="6AB7E12E" w14:textId="77777777" w:rsidR="00663859" w:rsidRDefault="00663859" w:rsidP="008A7A03">
            <w:pPr>
              <w:rPr>
                <w:sz w:val="22"/>
              </w:rPr>
            </w:pPr>
          </w:p>
        </w:tc>
        <w:tc>
          <w:tcPr>
            <w:tcW w:w="564" w:type="dxa"/>
          </w:tcPr>
          <w:p w14:paraId="2B468E35" w14:textId="77777777" w:rsidR="00663859" w:rsidRDefault="00663859" w:rsidP="008A7A03">
            <w:pPr>
              <w:rPr>
                <w:sz w:val="22"/>
              </w:rPr>
            </w:pPr>
          </w:p>
        </w:tc>
        <w:tc>
          <w:tcPr>
            <w:tcW w:w="663" w:type="dxa"/>
          </w:tcPr>
          <w:p w14:paraId="4CCA61B1" w14:textId="77777777" w:rsidR="00663859" w:rsidRDefault="00663859" w:rsidP="008A7A03">
            <w:pPr>
              <w:rPr>
                <w:sz w:val="22"/>
              </w:rPr>
            </w:pPr>
            <w:r>
              <w:rPr>
                <w:sz w:val="22"/>
              </w:rPr>
              <w:t>2</w:t>
            </w:r>
          </w:p>
        </w:tc>
        <w:tc>
          <w:tcPr>
            <w:tcW w:w="661" w:type="dxa"/>
          </w:tcPr>
          <w:p w14:paraId="0B12A65C" w14:textId="77777777" w:rsidR="00663859" w:rsidRDefault="00663859" w:rsidP="008A7A03">
            <w:pPr>
              <w:rPr>
                <w:sz w:val="22"/>
              </w:rPr>
            </w:pPr>
            <w:r>
              <w:rPr>
                <w:sz w:val="22"/>
              </w:rPr>
              <w:t>3</w:t>
            </w:r>
          </w:p>
        </w:tc>
        <w:tc>
          <w:tcPr>
            <w:tcW w:w="770" w:type="dxa"/>
          </w:tcPr>
          <w:p w14:paraId="6584CFD7" w14:textId="77777777" w:rsidR="00663859" w:rsidRDefault="00663859" w:rsidP="008A7A03">
            <w:pPr>
              <w:rPr>
                <w:sz w:val="22"/>
              </w:rPr>
            </w:pPr>
            <w:r>
              <w:rPr>
                <w:sz w:val="22"/>
              </w:rPr>
              <w:t xml:space="preserve">4.1 </w:t>
            </w:r>
          </w:p>
          <w:p w14:paraId="332662B1" w14:textId="77777777" w:rsidR="00663859" w:rsidRDefault="00663859" w:rsidP="008A7A03">
            <w:pPr>
              <w:rPr>
                <w:sz w:val="22"/>
              </w:rPr>
            </w:pPr>
            <w:r>
              <w:rPr>
                <w:sz w:val="22"/>
              </w:rPr>
              <w:t>(1x)</w:t>
            </w:r>
          </w:p>
        </w:tc>
        <w:tc>
          <w:tcPr>
            <w:tcW w:w="567" w:type="dxa"/>
          </w:tcPr>
          <w:p w14:paraId="62A4F63E" w14:textId="77777777" w:rsidR="00663859" w:rsidRDefault="00663859" w:rsidP="008A7A03">
            <w:pPr>
              <w:rPr>
                <w:sz w:val="22"/>
              </w:rPr>
            </w:pPr>
          </w:p>
        </w:tc>
        <w:tc>
          <w:tcPr>
            <w:tcW w:w="567" w:type="dxa"/>
          </w:tcPr>
          <w:p w14:paraId="6D878F79" w14:textId="77777777" w:rsidR="00663859" w:rsidRDefault="00663859" w:rsidP="008A7A03">
            <w:pPr>
              <w:rPr>
                <w:sz w:val="22"/>
              </w:rPr>
            </w:pPr>
          </w:p>
        </w:tc>
        <w:tc>
          <w:tcPr>
            <w:tcW w:w="850" w:type="dxa"/>
          </w:tcPr>
          <w:p w14:paraId="049804D4" w14:textId="77777777" w:rsidR="00663859" w:rsidRDefault="00663859" w:rsidP="008A7A03">
            <w:pPr>
              <w:rPr>
                <w:sz w:val="22"/>
              </w:rPr>
            </w:pPr>
          </w:p>
        </w:tc>
        <w:tc>
          <w:tcPr>
            <w:tcW w:w="993" w:type="dxa"/>
          </w:tcPr>
          <w:p w14:paraId="56FDF3D5" w14:textId="77777777" w:rsidR="00663859" w:rsidRDefault="00663859" w:rsidP="008A7A03">
            <w:pPr>
              <w:rPr>
                <w:sz w:val="22"/>
              </w:rPr>
            </w:pPr>
            <w:r>
              <w:rPr>
                <w:sz w:val="22"/>
              </w:rPr>
              <w:t>6.1</w:t>
            </w:r>
          </w:p>
        </w:tc>
        <w:tc>
          <w:tcPr>
            <w:tcW w:w="1072" w:type="dxa"/>
          </w:tcPr>
          <w:p w14:paraId="678022C5" w14:textId="77777777" w:rsidR="00663859" w:rsidRDefault="00663859" w:rsidP="008A7A03">
            <w:pPr>
              <w:rPr>
                <w:sz w:val="22"/>
              </w:rPr>
            </w:pPr>
            <w:r>
              <w:rPr>
                <w:sz w:val="22"/>
              </w:rPr>
              <w:t>8</w:t>
            </w:r>
          </w:p>
        </w:tc>
        <w:tc>
          <w:tcPr>
            <w:tcW w:w="399" w:type="dxa"/>
          </w:tcPr>
          <w:p w14:paraId="39C2CB17" w14:textId="77777777" w:rsidR="00663859" w:rsidRDefault="00663859" w:rsidP="008A7A03">
            <w:pPr>
              <w:rPr>
                <w:sz w:val="22"/>
              </w:rPr>
            </w:pPr>
          </w:p>
        </w:tc>
      </w:tr>
      <w:tr w:rsidR="00663859" w14:paraId="2191A8F9" w14:textId="77777777" w:rsidTr="008A7A03">
        <w:tc>
          <w:tcPr>
            <w:tcW w:w="567" w:type="dxa"/>
          </w:tcPr>
          <w:p w14:paraId="781B85B9" w14:textId="77777777" w:rsidR="00663859" w:rsidRDefault="00663859" w:rsidP="008A7A03">
            <w:pPr>
              <w:rPr>
                <w:sz w:val="22"/>
              </w:rPr>
            </w:pPr>
            <w:r>
              <w:rPr>
                <w:sz w:val="22"/>
              </w:rPr>
              <w:t>13.</w:t>
            </w:r>
          </w:p>
        </w:tc>
        <w:tc>
          <w:tcPr>
            <w:tcW w:w="469" w:type="dxa"/>
          </w:tcPr>
          <w:p w14:paraId="52E60A7C" w14:textId="77777777" w:rsidR="00663859" w:rsidRDefault="00663859" w:rsidP="008A7A03">
            <w:pPr>
              <w:rPr>
                <w:sz w:val="22"/>
              </w:rPr>
            </w:pPr>
            <w:r>
              <w:rPr>
                <w:sz w:val="22"/>
              </w:rPr>
              <w:t>1</w:t>
            </w:r>
          </w:p>
        </w:tc>
        <w:tc>
          <w:tcPr>
            <w:tcW w:w="563" w:type="dxa"/>
          </w:tcPr>
          <w:p w14:paraId="5E2D1B39" w14:textId="77777777" w:rsidR="00663859" w:rsidRDefault="00663859" w:rsidP="008A7A03">
            <w:pPr>
              <w:rPr>
                <w:sz w:val="22"/>
              </w:rPr>
            </w:pPr>
            <w:r>
              <w:rPr>
                <w:sz w:val="22"/>
              </w:rPr>
              <w:t>1.4</w:t>
            </w:r>
          </w:p>
        </w:tc>
        <w:tc>
          <w:tcPr>
            <w:tcW w:w="563" w:type="dxa"/>
          </w:tcPr>
          <w:p w14:paraId="037A544B" w14:textId="77777777" w:rsidR="00663859" w:rsidRDefault="00663859" w:rsidP="008A7A03">
            <w:pPr>
              <w:rPr>
                <w:sz w:val="22"/>
              </w:rPr>
            </w:pPr>
            <w:r>
              <w:rPr>
                <w:sz w:val="22"/>
              </w:rPr>
              <w:t>1.5</w:t>
            </w:r>
          </w:p>
        </w:tc>
        <w:tc>
          <w:tcPr>
            <w:tcW w:w="564" w:type="dxa"/>
          </w:tcPr>
          <w:p w14:paraId="07007B05" w14:textId="77777777" w:rsidR="00663859" w:rsidRDefault="00663859" w:rsidP="008A7A03">
            <w:pPr>
              <w:rPr>
                <w:sz w:val="22"/>
              </w:rPr>
            </w:pPr>
            <w:r>
              <w:rPr>
                <w:sz w:val="22"/>
              </w:rPr>
              <w:t>1.6</w:t>
            </w:r>
          </w:p>
        </w:tc>
        <w:tc>
          <w:tcPr>
            <w:tcW w:w="663" w:type="dxa"/>
          </w:tcPr>
          <w:p w14:paraId="387C2404" w14:textId="77777777" w:rsidR="00663859" w:rsidRDefault="00663859" w:rsidP="008A7A03">
            <w:pPr>
              <w:rPr>
                <w:sz w:val="22"/>
              </w:rPr>
            </w:pPr>
            <w:r>
              <w:rPr>
                <w:sz w:val="22"/>
              </w:rPr>
              <w:t>2/2.1</w:t>
            </w:r>
          </w:p>
        </w:tc>
        <w:tc>
          <w:tcPr>
            <w:tcW w:w="661" w:type="dxa"/>
          </w:tcPr>
          <w:p w14:paraId="0D7E85F2" w14:textId="77777777" w:rsidR="00663859" w:rsidRDefault="00663859" w:rsidP="008A7A03">
            <w:pPr>
              <w:rPr>
                <w:sz w:val="22"/>
              </w:rPr>
            </w:pPr>
            <w:r>
              <w:rPr>
                <w:sz w:val="22"/>
              </w:rPr>
              <w:t>3</w:t>
            </w:r>
          </w:p>
        </w:tc>
        <w:tc>
          <w:tcPr>
            <w:tcW w:w="770" w:type="dxa"/>
          </w:tcPr>
          <w:p w14:paraId="49E55C3F" w14:textId="77777777" w:rsidR="00663859" w:rsidRDefault="00663859" w:rsidP="008A7A03">
            <w:pPr>
              <w:rPr>
                <w:sz w:val="22"/>
              </w:rPr>
            </w:pPr>
            <w:r>
              <w:rPr>
                <w:sz w:val="22"/>
              </w:rPr>
              <w:t>4.1</w:t>
            </w:r>
          </w:p>
        </w:tc>
        <w:tc>
          <w:tcPr>
            <w:tcW w:w="567" w:type="dxa"/>
          </w:tcPr>
          <w:p w14:paraId="7F10B3BA" w14:textId="77777777" w:rsidR="00663859" w:rsidRDefault="00663859" w:rsidP="008A7A03">
            <w:pPr>
              <w:rPr>
                <w:sz w:val="22"/>
              </w:rPr>
            </w:pPr>
            <w:r>
              <w:rPr>
                <w:sz w:val="22"/>
              </w:rPr>
              <w:t>4.3</w:t>
            </w:r>
          </w:p>
        </w:tc>
        <w:tc>
          <w:tcPr>
            <w:tcW w:w="567" w:type="dxa"/>
          </w:tcPr>
          <w:p w14:paraId="3ECBD46A" w14:textId="77777777" w:rsidR="00663859" w:rsidRDefault="00663859" w:rsidP="008A7A03">
            <w:pPr>
              <w:rPr>
                <w:sz w:val="22"/>
              </w:rPr>
            </w:pPr>
            <w:r>
              <w:rPr>
                <w:sz w:val="22"/>
              </w:rPr>
              <w:t>5.1</w:t>
            </w:r>
          </w:p>
        </w:tc>
        <w:tc>
          <w:tcPr>
            <w:tcW w:w="850" w:type="dxa"/>
          </w:tcPr>
          <w:p w14:paraId="2CA0CB70" w14:textId="77777777" w:rsidR="00663859" w:rsidRDefault="00663859" w:rsidP="008A7A03">
            <w:pPr>
              <w:rPr>
                <w:sz w:val="22"/>
              </w:rPr>
            </w:pPr>
          </w:p>
        </w:tc>
        <w:tc>
          <w:tcPr>
            <w:tcW w:w="993" w:type="dxa"/>
          </w:tcPr>
          <w:p w14:paraId="2FA954DD" w14:textId="77777777" w:rsidR="00663859" w:rsidRDefault="00663859" w:rsidP="008A7A03">
            <w:pPr>
              <w:rPr>
                <w:sz w:val="22"/>
              </w:rPr>
            </w:pPr>
          </w:p>
        </w:tc>
        <w:tc>
          <w:tcPr>
            <w:tcW w:w="1072" w:type="dxa"/>
          </w:tcPr>
          <w:p w14:paraId="0E297F93" w14:textId="77777777" w:rsidR="00663859" w:rsidRDefault="00663859" w:rsidP="008A7A03">
            <w:pPr>
              <w:rPr>
                <w:sz w:val="22"/>
              </w:rPr>
            </w:pPr>
          </w:p>
        </w:tc>
        <w:tc>
          <w:tcPr>
            <w:tcW w:w="399" w:type="dxa"/>
          </w:tcPr>
          <w:p w14:paraId="690FE358" w14:textId="77777777" w:rsidR="00663859" w:rsidRDefault="00663859" w:rsidP="008A7A03">
            <w:pPr>
              <w:rPr>
                <w:sz w:val="22"/>
              </w:rPr>
            </w:pPr>
            <w:r>
              <w:rPr>
                <w:sz w:val="22"/>
              </w:rPr>
              <w:t>9</w:t>
            </w:r>
          </w:p>
        </w:tc>
      </w:tr>
      <w:tr w:rsidR="00663859" w14:paraId="1E39E271" w14:textId="77777777" w:rsidTr="008A7A03">
        <w:tc>
          <w:tcPr>
            <w:tcW w:w="567" w:type="dxa"/>
          </w:tcPr>
          <w:p w14:paraId="6C0C118D" w14:textId="77777777" w:rsidR="00663859" w:rsidRDefault="00663859" w:rsidP="008A7A03">
            <w:pPr>
              <w:rPr>
                <w:sz w:val="22"/>
              </w:rPr>
            </w:pPr>
            <w:r>
              <w:rPr>
                <w:sz w:val="22"/>
              </w:rPr>
              <w:t>14</w:t>
            </w:r>
          </w:p>
        </w:tc>
        <w:tc>
          <w:tcPr>
            <w:tcW w:w="469" w:type="dxa"/>
          </w:tcPr>
          <w:p w14:paraId="260A37CC" w14:textId="77777777" w:rsidR="00663859" w:rsidRDefault="00663859" w:rsidP="008A7A03">
            <w:pPr>
              <w:rPr>
                <w:sz w:val="22"/>
              </w:rPr>
            </w:pPr>
          </w:p>
        </w:tc>
        <w:tc>
          <w:tcPr>
            <w:tcW w:w="563" w:type="dxa"/>
          </w:tcPr>
          <w:p w14:paraId="710B6466" w14:textId="77777777" w:rsidR="00663859" w:rsidRDefault="00663859" w:rsidP="008A7A03">
            <w:pPr>
              <w:rPr>
                <w:sz w:val="22"/>
              </w:rPr>
            </w:pPr>
          </w:p>
        </w:tc>
        <w:tc>
          <w:tcPr>
            <w:tcW w:w="563" w:type="dxa"/>
          </w:tcPr>
          <w:p w14:paraId="5D178E58" w14:textId="77777777" w:rsidR="00663859" w:rsidRDefault="00663859" w:rsidP="008A7A03">
            <w:pPr>
              <w:rPr>
                <w:sz w:val="22"/>
              </w:rPr>
            </w:pPr>
          </w:p>
        </w:tc>
        <w:tc>
          <w:tcPr>
            <w:tcW w:w="564" w:type="dxa"/>
          </w:tcPr>
          <w:p w14:paraId="6BBCB862" w14:textId="77777777" w:rsidR="00663859" w:rsidRDefault="00663859" w:rsidP="008A7A03">
            <w:pPr>
              <w:rPr>
                <w:sz w:val="22"/>
              </w:rPr>
            </w:pPr>
          </w:p>
        </w:tc>
        <w:tc>
          <w:tcPr>
            <w:tcW w:w="663" w:type="dxa"/>
          </w:tcPr>
          <w:p w14:paraId="41FA6F74" w14:textId="77777777" w:rsidR="00663859" w:rsidRDefault="00663859" w:rsidP="008A7A03">
            <w:pPr>
              <w:rPr>
                <w:sz w:val="22"/>
              </w:rPr>
            </w:pPr>
            <w:r>
              <w:rPr>
                <w:sz w:val="22"/>
              </w:rPr>
              <w:t>2/2.1</w:t>
            </w:r>
          </w:p>
        </w:tc>
        <w:tc>
          <w:tcPr>
            <w:tcW w:w="661" w:type="dxa"/>
          </w:tcPr>
          <w:p w14:paraId="3F9285B0" w14:textId="77777777" w:rsidR="00663859" w:rsidRDefault="00663859" w:rsidP="008A7A03">
            <w:pPr>
              <w:rPr>
                <w:sz w:val="22"/>
              </w:rPr>
            </w:pPr>
            <w:r>
              <w:rPr>
                <w:sz w:val="22"/>
              </w:rPr>
              <w:t>3 I/II</w:t>
            </w:r>
          </w:p>
        </w:tc>
        <w:tc>
          <w:tcPr>
            <w:tcW w:w="770" w:type="dxa"/>
          </w:tcPr>
          <w:p w14:paraId="731F94E4" w14:textId="77777777" w:rsidR="00663859" w:rsidRDefault="00663859" w:rsidP="008A7A03">
            <w:pPr>
              <w:rPr>
                <w:sz w:val="22"/>
              </w:rPr>
            </w:pPr>
          </w:p>
        </w:tc>
        <w:tc>
          <w:tcPr>
            <w:tcW w:w="567" w:type="dxa"/>
          </w:tcPr>
          <w:p w14:paraId="1D9FD482" w14:textId="77777777" w:rsidR="00663859" w:rsidRDefault="00663859" w:rsidP="008A7A03">
            <w:pPr>
              <w:rPr>
                <w:sz w:val="22"/>
              </w:rPr>
            </w:pPr>
            <w:r>
              <w:rPr>
                <w:sz w:val="22"/>
              </w:rPr>
              <w:t>4.3</w:t>
            </w:r>
          </w:p>
        </w:tc>
        <w:tc>
          <w:tcPr>
            <w:tcW w:w="567" w:type="dxa"/>
          </w:tcPr>
          <w:p w14:paraId="17A84570" w14:textId="77777777" w:rsidR="00663859" w:rsidRDefault="00663859" w:rsidP="008A7A03">
            <w:pPr>
              <w:rPr>
                <w:sz w:val="22"/>
              </w:rPr>
            </w:pPr>
          </w:p>
        </w:tc>
        <w:tc>
          <w:tcPr>
            <w:tcW w:w="850" w:type="dxa"/>
          </w:tcPr>
          <w:p w14:paraId="2D7C94BC" w14:textId="77777777" w:rsidR="00663859" w:rsidRDefault="00663859" w:rsidP="008A7A03">
            <w:pPr>
              <w:rPr>
                <w:sz w:val="22"/>
              </w:rPr>
            </w:pPr>
          </w:p>
        </w:tc>
        <w:tc>
          <w:tcPr>
            <w:tcW w:w="993" w:type="dxa"/>
          </w:tcPr>
          <w:p w14:paraId="1F62A8DF" w14:textId="77777777" w:rsidR="00663859" w:rsidRDefault="00663859" w:rsidP="008A7A03">
            <w:pPr>
              <w:rPr>
                <w:sz w:val="22"/>
              </w:rPr>
            </w:pPr>
            <w:r>
              <w:rPr>
                <w:sz w:val="22"/>
              </w:rPr>
              <w:t>6.1 I/II+4.3</w:t>
            </w:r>
          </w:p>
        </w:tc>
        <w:tc>
          <w:tcPr>
            <w:tcW w:w="1072" w:type="dxa"/>
          </w:tcPr>
          <w:p w14:paraId="26F52BCF" w14:textId="77777777" w:rsidR="00663859" w:rsidRDefault="00663859" w:rsidP="008A7A03">
            <w:pPr>
              <w:rPr>
                <w:sz w:val="22"/>
              </w:rPr>
            </w:pPr>
            <w:r>
              <w:rPr>
                <w:sz w:val="22"/>
              </w:rPr>
              <w:t>8 I+3;</w:t>
            </w:r>
          </w:p>
          <w:p w14:paraId="269E71E7" w14:textId="77777777" w:rsidR="00663859" w:rsidRDefault="00663859" w:rsidP="008A7A03">
            <w:pPr>
              <w:rPr>
                <w:sz w:val="22"/>
              </w:rPr>
            </w:pPr>
            <w:r>
              <w:rPr>
                <w:sz w:val="22"/>
              </w:rPr>
              <w:t>8 I/II+4.3</w:t>
            </w:r>
          </w:p>
        </w:tc>
        <w:tc>
          <w:tcPr>
            <w:tcW w:w="399" w:type="dxa"/>
          </w:tcPr>
          <w:p w14:paraId="27846C42" w14:textId="77777777" w:rsidR="00663859" w:rsidRDefault="00663859" w:rsidP="008A7A03">
            <w:pPr>
              <w:rPr>
                <w:sz w:val="22"/>
              </w:rPr>
            </w:pPr>
          </w:p>
        </w:tc>
      </w:tr>
    </w:tbl>
    <w:p w14:paraId="2DB0C0F3" w14:textId="77777777" w:rsidR="00663859" w:rsidRDefault="00663859" w:rsidP="00663859">
      <w:pPr>
        <w:rPr>
          <w:sz w:val="22"/>
        </w:rPr>
      </w:pPr>
    </w:p>
    <w:p w14:paraId="66BBA56B" w14:textId="4989399D" w:rsidR="00663859" w:rsidRPr="00B5475F" w:rsidRDefault="00663859" w:rsidP="00663859">
      <w:pPr>
        <w:pStyle w:val="HChG"/>
        <w:rPr>
          <w:lang w:val="de-DE"/>
        </w:rPr>
      </w:pPr>
      <w:r>
        <w:rPr>
          <w:lang w:val="de-DE"/>
        </w:rPr>
        <w:lastRenderedPageBreak/>
        <w:tab/>
      </w:r>
      <w:r>
        <w:rPr>
          <w:lang w:val="de-DE"/>
        </w:rPr>
        <w:tab/>
      </w:r>
      <w:r>
        <w:rPr>
          <w:lang w:val="de-DE"/>
        </w:rPr>
        <w:t>Antrag</w:t>
      </w:r>
    </w:p>
    <w:p w14:paraId="0CEA2CB0" w14:textId="77777777" w:rsidR="00663859" w:rsidRDefault="00663859" w:rsidP="00663859">
      <w:pPr>
        <w:pStyle w:val="SingleTxtG"/>
        <w:rPr>
          <w:sz w:val="22"/>
          <w:lang w:val="de-DE"/>
        </w:rPr>
      </w:pPr>
      <w:r>
        <w:rPr>
          <w:sz w:val="22"/>
          <w:lang w:val="de-DE"/>
        </w:rPr>
        <w:t xml:space="preserve">15. </w:t>
      </w:r>
      <w:r>
        <w:rPr>
          <w:sz w:val="22"/>
          <w:lang w:val="de-DE"/>
        </w:rPr>
        <w:tab/>
        <w:t>Deutschland bittet den Sicherheitsausschuss, diese Auslegungsfrage zu erörtern und darüber zu beraten, ob in Tabelle A des ADN eine zusätzliche Spalte mit der Angabe „Explosionsschutz erforderlich“ aufgenommen werden sollte oder ob das Erfordernis des Explosionsschutzes bei der Beförderung mit Trockengüterschiffen an passender Stelle allgemein beschrieben werden könnte. Deutschland erklärt sich bereit, je nach Ergebnis der Beratung den eventuell erforderlichen Antrag zur Änderung des ADN auszuformulieren.</w:t>
      </w:r>
    </w:p>
    <w:p w14:paraId="643C30B5" w14:textId="78D98FFE" w:rsidR="00F81B55" w:rsidRDefault="00F81B55" w:rsidP="0064024B">
      <w:pPr>
        <w:spacing w:before="240"/>
        <w:jc w:val="center"/>
        <w:rPr>
          <w:lang w:val="en-US"/>
        </w:rPr>
      </w:pPr>
      <w:bookmarkStart w:id="0" w:name="_GoBack"/>
      <w:bookmarkEnd w:id="0"/>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C18A" w14:textId="77777777" w:rsidR="00211D3B" w:rsidRDefault="00211D3B"/>
  </w:endnote>
  <w:endnote w:type="continuationSeparator" w:id="0">
    <w:p w14:paraId="580A01B6" w14:textId="77777777" w:rsidR="00211D3B" w:rsidRDefault="00211D3B"/>
  </w:endnote>
  <w:endnote w:type="continuationNotice" w:id="1">
    <w:p w14:paraId="300D6822"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7432"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0604060D"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49030A4B" w14:textId="77777777" w:rsidR="00211D3B" w:rsidRDefault="002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715BA5AE" w:rsidR="00BF0FFC" w:rsidRPr="00B54A1E" w:rsidRDefault="00BF0FFC" w:rsidP="000773EA">
    <w:pPr>
      <w:pStyle w:val="Header"/>
      <w:rPr>
        <w:lang w:val="fr-CH"/>
      </w:rPr>
    </w:pPr>
    <w:r>
      <w:rPr>
        <w:lang w:val="fr-CH"/>
      </w:rPr>
      <w:t>INF.</w:t>
    </w:r>
    <w:r w:rsidR="00661AEB">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rPr>
        <w:lang w:val="fr-CH"/>
      </w:rPr>
    </w:pPr>
    <w:r>
      <w:rPr>
        <w:lang w:val="fr-CH"/>
      </w:rPr>
      <w:t>INF.</w:t>
    </w:r>
    <w:r w:rsidR="00661AEB">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7"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3"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35"/>
  </w:num>
  <w:num w:numId="5">
    <w:abstractNumId w:val="4"/>
  </w:num>
  <w:num w:numId="6">
    <w:abstractNumId w:val="7"/>
  </w:num>
  <w:num w:numId="7">
    <w:abstractNumId w:val="32"/>
  </w:num>
  <w:num w:numId="8">
    <w:abstractNumId w:val="25"/>
  </w:num>
  <w:num w:numId="9">
    <w:abstractNumId w:val="24"/>
  </w:num>
  <w:num w:numId="10">
    <w:abstractNumId w:val="26"/>
  </w:num>
  <w:num w:numId="11">
    <w:abstractNumId w:val="18"/>
  </w:num>
  <w:num w:numId="12">
    <w:abstractNumId w:val="20"/>
  </w:num>
  <w:num w:numId="13">
    <w:abstractNumId w:val="27"/>
  </w:num>
  <w:num w:numId="14">
    <w:abstractNumId w:val="22"/>
  </w:num>
  <w:num w:numId="15">
    <w:abstractNumId w:val="31"/>
  </w:num>
  <w:num w:numId="16">
    <w:abstractNumId w:val="19"/>
  </w:num>
  <w:num w:numId="17">
    <w:abstractNumId w:val="23"/>
  </w:num>
  <w:num w:numId="18">
    <w:abstractNumId w:val="12"/>
  </w:num>
  <w:num w:numId="19">
    <w:abstractNumId w:val="3"/>
  </w:num>
  <w:num w:numId="20">
    <w:abstractNumId w:val="28"/>
  </w:num>
  <w:num w:numId="21">
    <w:abstractNumId w:val="15"/>
  </w:num>
  <w:num w:numId="22">
    <w:abstractNumId w:val="10"/>
  </w:num>
  <w:num w:numId="23">
    <w:abstractNumId w:val="14"/>
  </w:num>
  <w:num w:numId="24">
    <w:abstractNumId w:val="11"/>
  </w:num>
  <w:num w:numId="25">
    <w:abstractNumId w:val="30"/>
  </w:num>
  <w:num w:numId="26">
    <w:abstractNumId w:val="36"/>
  </w:num>
  <w:num w:numId="27">
    <w:abstractNumId w:val="16"/>
  </w:num>
  <w:num w:numId="28">
    <w:abstractNumId w:val="8"/>
  </w:num>
  <w:num w:numId="29">
    <w:abstractNumId w:val="9"/>
  </w:num>
  <w:num w:numId="30">
    <w:abstractNumId w:val="17"/>
  </w:num>
  <w:num w:numId="31">
    <w:abstractNumId w:val="5"/>
  </w:num>
  <w:num w:numId="32">
    <w:abstractNumId w:val="38"/>
  </w:num>
  <w:num w:numId="33">
    <w:abstractNumId w:val="33"/>
  </w:num>
  <w:num w:numId="34">
    <w:abstractNumId w:val="1"/>
  </w:num>
  <w:num w:numId="35">
    <w:abstractNumId w:val="37"/>
  </w:num>
  <w:num w:numId="36">
    <w:abstractNumId w:val="21"/>
  </w:num>
  <w:num w:numId="37">
    <w:abstractNumId w:val="13"/>
  </w:num>
  <w:num w:numId="38">
    <w:abstractNumId w:val="3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150"/>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56C5"/>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3859"/>
    <w:rsid w:val="00665595"/>
    <w:rsid w:val="00666FE7"/>
    <w:rsid w:val="006674B4"/>
    <w:rsid w:val="006714BB"/>
    <w:rsid w:val="00671CC8"/>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6919"/>
    <w:rsid w:val="008401FC"/>
    <w:rsid w:val="008473C4"/>
    <w:rsid w:val="00850C39"/>
    <w:rsid w:val="00850F3E"/>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B7D4A"/>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7738F"/>
    <w:rsid w:val="00A80DDD"/>
    <w:rsid w:val="00A8118B"/>
    <w:rsid w:val="00A828CA"/>
    <w:rsid w:val="00A83258"/>
    <w:rsid w:val="00A834FB"/>
    <w:rsid w:val="00A837A9"/>
    <w:rsid w:val="00A854F0"/>
    <w:rsid w:val="00A86BF0"/>
    <w:rsid w:val="00A879A4"/>
    <w:rsid w:val="00A9319D"/>
    <w:rsid w:val="00A94B8D"/>
    <w:rsid w:val="00A97FA0"/>
    <w:rsid w:val="00AA021B"/>
    <w:rsid w:val="00AA147A"/>
    <w:rsid w:val="00AA163C"/>
    <w:rsid w:val="00AA1B7E"/>
    <w:rsid w:val="00AA5CC6"/>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4B14"/>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2.xml><?xml version="1.0" encoding="utf-8"?>
<ds:datastoreItem xmlns:ds="http://schemas.openxmlformats.org/officeDocument/2006/customXml" ds:itemID="{E5566BB9-9FEC-47A5-A98F-F86D68E37F3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AA4774D-4DC0-44ED-8DE1-90D3B8BC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35211-63F8-4A52-B7A6-CF4F6DA8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3</Pages>
  <Words>922</Words>
  <Characters>5259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Nov revision</cp:lastModifiedBy>
  <cp:revision>5</cp:revision>
  <cp:lastPrinted>2019-08-22T16:13:00Z</cp:lastPrinted>
  <dcterms:created xsi:type="dcterms:W3CDTF">2020-11-05T17:32:00Z</dcterms:created>
  <dcterms:modified xsi:type="dcterms:W3CDTF">2020-11-05T17:35:00Z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