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692350" w14:paraId="03E8A3E3" w14:textId="77777777" w:rsidTr="00F01738">
        <w:trPr>
          <w:trHeight w:hRule="exact" w:val="851"/>
        </w:trPr>
        <w:tc>
          <w:tcPr>
            <w:tcW w:w="1276" w:type="dxa"/>
            <w:tcBorders>
              <w:bottom w:val="single" w:sz="4" w:space="0" w:color="auto"/>
            </w:tcBorders>
          </w:tcPr>
          <w:p w14:paraId="4022B317" w14:textId="77777777" w:rsidR="00132EA9" w:rsidRPr="00DB58B5" w:rsidRDefault="00132EA9" w:rsidP="00F01738"/>
        </w:tc>
        <w:tc>
          <w:tcPr>
            <w:tcW w:w="2268" w:type="dxa"/>
            <w:tcBorders>
              <w:bottom w:val="single" w:sz="4" w:space="0" w:color="auto"/>
            </w:tcBorders>
            <w:vAlign w:val="bottom"/>
          </w:tcPr>
          <w:p w14:paraId="0E3D56CB" w14:textId="77777777" w:rsidR="00132EA9" w:rsidRPr="00692350" w:rsidRDefault="00132EA9" w:rsidP="00F01738">
            <w:pPr>
              <w:spacing w:after="80" w:line="300" w:lineRule="exact"/>
              <w:rPr>
                <w:sz w:val="28"/>
              </w:rPr>
            </w:pPr>
            <w:r w:rsidRPr="00692350">
              <w:rPr>
                <w:sz w:val="28"/>
              </w:rPr>
              <w:t>Nations Unies</w:t>
            </w:r>
          </w:p>
        </w:tc>
        <w:tc>
          <w:tcPr>
            <w:tcW w:w="6095" w:type="dxa"/>
            <w:gridSpan w:val="2"/>
            <w:tcBorders>
              <w:bottom w:val="single" w:sz="4" w:space="0" w:color="auto"/>
            </w:tcBorders>
            <w:vAlign w:val="bottom"/>
          </w:tcPr>
          <w:p w14:paraId="623770A0" w14:textId="184CBB39" w:rsidR="00132EA9" w:rsidRPr="00692350" w:rsidRDefault="00D35A4A" w:rsidP="00D35A4A">
            <w:pPr>
              <w:jc w:val="right"/>
            </w:pPr>
            <w:r w:rsidRPr="00692350">
              <w:rPr>
                <w:sz w:val="40"/>
              </w:rPr>
              <w:t>ST</w:t>
            </w:r>
            <w:r w:rsidRPr="00692350">
              <w:t>/SG/AC.10/C.3/11</w:t>
            </w:r>
            <w:r w:rsidR="00140592">
              <w:t>4</w:t>
            </w:r>
            <w:r w:rsidRPr="00692350">
              <w:t>/Add.1</w:t>
            </w:r>
          </w:p>
        </w:tc>
      </w:tr>
      <w:tr w:rsidR="00132EA9" w:rsidRPr="00692350" w14:paraId="5F51FAE8" w14:textId="77777777" w:rsidTr="00F01738">
        <w:trPr>
          <w:trHeight w:hRule="exact" w:val="2835"/>
        </w:trPr>
        <w:tc>
          <w:tcPr>
            <w:tcW w:w="1276" w:type="dxa"/>
            <w:tcBorders>
              <w:top w:val="single" w:sz="4" w:space="0" w:color="auto"/>
              <w:bottom w:val="single" w:sz="12" w:space="0" w:color="auto"/>
            </w:tcBorders>
          </w:tcPr>
          <w:p w14:paraId="0EE3F550" w14:textId="77777777" w:rsidR="00132EA9" w:rsidRPr="00692350" w:rsidRDefault="00132EA9" w:rsidP="00F01738">
            <w:pPr>
              <w:spacing w:before="120"/>
              <w:jc w:val="center"/>
            </w:pPr>
            <w:r w:rsidRPr="00692350">
              <w:rPr>
                <w:noProof/>
                <w:lang w:eastAsia="fr-CH"/>
              </w:rPr>
              <w:drawing>
                <wp:inline distT="0" distB="0" distL="0" distR="0" wp14:anchorId="718121F0" wp14:editId="01FFF8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46BA3B" w14:textId="77777777" w:rsidR="00132EA9" w:rsidRPr="00692350" w:rsidRDefault="00132EA9" w:rsidP="00F01738">
            <w:pPr>
              <w:spacing w:before="120" w:line="420" w:lineRule="exact"/>
              <w:rPr>
                <w:b/>
                <w:sz w:val="40"/>
                <w:szCs w:val="40"/>
              </w:rPr>
            </w:pPr>
            <w:r w:rsidRPr="00692350">
              <w:rPr>
                <w:b/>
                <w:sz w:val="40"/>
                <w:szCs w:val="40"/>
              </w:rPr>
              <w:t>Secrétariat</w:t>
            </w:r>
          </w:p>
        </w:tc>
        <w:tc>
          <w:tcPr>
            <w:tcW w:w="2835" w:type="dxa"/>
            <w:tcBorders>
              <w:top w:val="single" w:sz="4" w:space="0" w:color="auto"/>
              <w:bottom w:val="single" w:sz="12" w:space="0" w:color="auto"/>
            </w:tcBorders>
          </w:tcPr>
          <w:p w14:paraId="66633DCD" w14:textId="77777777" w:rsidR="00132EA9" w:rsidRPr="00692350" w:rsidRDefault="00D35A4A" w:rsidP="00D35A4A">
            <w:pPr>
              <w:spacing w:before="240" w:line="240" w:lineRule="exact"/>
            </w:pPr>
            <w:proofErr w:type="spellStart"/>
            <w:r w:rsidRPr="00692350">
              <w:t>Distr</w:t>
            </w:r>
            <w:proofErr w:type="spellEnd"/>
            <w:r w:rsidRPr="00692350">
              <w:t>. générale</w:t>
            </w:r>
          </w:p>
          <w:p w14:paraId="0846CF8C" w14:textId="28919D48" w:rsidR="00D35A4A" w:rsidRPr="00692350" w:rsidRDefault="00140592" w:rsidP="00D35A4A">
            <w:pPr>
              <w:spacing w:line="240" w:lineRule="exact"/>
            </w:pPr>
            <w:r>
              <w:t>23 décembre 2020</w:t>
            </w:r>
          </w:p>
          <w:p w14:paraId="1F94DAD2" w14:textId="77777777" w:rsidR="00D35A4A" w:rsidRPr="00692350" w:rsidRDefault="0038761F" w:rsidP="00D35A4A">
            <w:pPr>
              <w:spacing w:line="240" w:lineRule="exact"/>
            </w:pPr>
            <w:r w:rsidRPr="00692350">
              <w:t>Français</w:t>
            </w:r>
          </w:p>
          <w:p w14:paraId="2C9B5D2B" w14:textId="77777777" w:rsidR="00D35A4A" w:rsidRPr="00692350" w:rsidRDefault="00D35A4A" w:rsidP="00D35A4A">
            <w:pPr>
              <w:spacing w:line="240" w:lineRule="exact"/>
            </w:pPr>
            <w:r w:rsidRPr="00692350">
              <w:t xml:space="preserve">Original : </w:t>
            </w:r>
            <w:r w:rsidR="0038761F" w:rsidRPr="00692350">
              <w:t xml:space="preserve">anglais et </w:t>
            </w:r>
            <w:r w:rsidRPr="00692350">
              <w:t>français</w:t>
            </w:r>
          </w:p>
        </w:tc>
      </w:tr>
    </w:tbl>
    <w:p w14:paraId="671390A3" w14:textId="77777777" w:rsidR="002D50BF" w:rsidRPr="00692350" w:rsidRDefault="002D50BF" w:rsidP="002D50BF">
      <w:pPr>
        <w:spacing w:before="120"/>
        <w:rPr>
          <w:b/>
          <w:sz w:val="24"/>
          <w:szCs w:val="24"/>
          <w:lang w:val="fr-FR"/>
        </w:rPr>
      </w:pPr>
      <w:r w:rsidRPr="00692350">
        <w:rPr>
          <w:b/>
          <w:sz w:val="24"/>
          <w:szCs w:val="24"/>
          <w:lang w:val="fr-FR"/>
        </w:rPr>
        <w:t>Comité d’experts du transport des marchandises dangereuses</w:t>
      </w:r>
      <w:r w:rsidRPr="00692350">
        <w:rPr>
          <w:b/>
          <w:sz w:val="24"/>
          <w:szCs w:val="24"/>
          <w:lang w:val="fr-FR"/>
        </w:rPr>
        <w:br/>
        <w:t>et du Système général harmonisé de classification</w:t>
      </w:r>
      <w:r w:rsidRPr="00692350">
        <w:rPr>
          <w:b/>
          <w:sz w:val="24"/>
          <w:szCs w:val="24"/>
          <w:lang w:val="fr-FR"/>
        </w:rPr>
        <w:br/>
        <w:t>et d’étiquetage des produits chimiques</w:t>
      </w:r>
    </w:p>
    <w:p w14:paraId="74A0AECE" w14:textId="77777777" w:rsidR="002D50BF" w:rsidRPr="00692350" w:rsidRDefault="002D50BF" w:rsidP="002D50BF">
      <w:pPr>
        <w:spacing w:before="120"/>
        <w:rPr>
          <w:b/>
          <w:lang w:val="fr-FR"/>
        </w:rPr>
      </w:pPr>
      <w:r w:rsidRPr="00692350">
        <w:rPr>
          <w:b/>
          <w:lang w:val="fr-FR"/>
        </w:rPr>
        <w:t>Sous-Comité d’experts du transport des marchandises dangereuses</w:t>
      </w:r>
    </w:p>
    <w:p w14:paraId="535EFCC3" w14:textId="148EB1ED" w:rsidR="002D50BF" w:rsidRPr="00692350" w:rsidRDefault="002D50BF" w:rsidP="002D50BF">
      <w:pPr>
        <w:pStyle w:val="HChG"/>
        <w:rPr>
          <w:lang w:val="fr-FR"/>
        </w:rPr>
      </w:pPr>
      <w:r w:rsidRPr="00692350">
        <w:rPr>
          <w:lang w:val="fr-FR"/>
        </w:rPr>
        <w:tab/>
      </w:r>
      <w:r w:rsidRPr="00692350">
        <w:rPr>
          <w:lang w:val="fr-FR"/>
        </w:rPr>
        <w:tab/>
        <w:t xml:space="preserve">Rapport du Sous-Comité d’experts du transport </w:t>
      </w:r>
      <w:r w:rsidRPr="00692350">
        <w:rPr>
          <w:lang w:val="fr-FR"/>
        </w:rPr>
        <w:br/>
        <w:t xml:space="preserve">des marchandises dangereuses sur sa </w:t>
      </w:r>
      <w:r w:rsidRPr="00692350">
        <w:rPr>
          <w:lang w:val="fr-FR"/>
        </w:rPr>
        <w:br/>
        <w:t>cinquante-</w:t>
      </w:r>
      <w:r w:rsidR="00C91407">
        <w:rPr>
          <w:lang w:val="fr-FR"/>
        </w:rPr>
        <w:t>septième</w:t>
      </w:r>
      <w:r w:rsidRPr="00692350">
        <w:rPr>
          <w:lang w:val="fr-FR"/>
        </w:rPr>
        <w:t xml:space="preserve"> session</w:t>
      </w:r>
    </w:p>
    <w:p w14:paraId="7E139C47" w14:textId="0CEA08FD" w:rsidR="002D50BF" w:rsidRPr="00692350" w:rsidRDefault="002D50BF" w:rsidP="002D50BF">
      <w:pPr>
        <w:pStyle w:val="H56G"/>
        <w:rPr>
          <w:lang w:val="fr-FR"/>
        </w:rPr>
      </w:pPr>
      <w:r w:rsidRPr="00692350">
        <w:rPr>
          <w:lang w:val="fr-FR"/>
        </w:rPr>
        <w:tab/>
      </w:r>
      <w:r w:rsidRPr="00692350">
        <w:rPr>
          <w:lang w:val="fr-FR"/>
        </w:rPr>
        <w:tab/>
        <w:t xml:space="preserve">tenue à Genève du </w:t>
      </w:r>
      <w:r w:rsidR="00C91407">
        <w:rPr>
          <w:lang w:val="fr-FR"/>
        </w:rPr>
        <w:t>30 nove</w:t>
      </w:r>
      <w:r w:rsidR="00FE22A1">
        <w:rPr>
          <w:lang w:val="fr-FR"/>
        </w:rPr>
        <w:t>mbre au 8 décembre 2020</w:t>
      </w:r>
    </w:p>
    <w:p w14:paraId="515F4F05" w14:textId="77777777" w:rsidR="002D50BF" w:rsidRPr="00692350" w:rsidRDefault="002D50BF" w:rsidP="002D50BF">
      <w:pPr>
        <w:pStyle w:val="H23G"/>
        <w:rPr>
          <w:sz w:val="24"/>
          <w:szCs w:val="24"/>
          <w:lang w:val="fr-FR"/>
        </w:rPr>
      </w:pPr>
      <w:r w:rsidRPr="00692350">
        <w:rPr>
          <w:sz w:val="24"/>
          <w:szCs w:val="24"/>
          <w:lang w:val="fr-FR"/>
        </w:rPr>
        <w:tab/>
      </w:r>
      <w:r w:rsidRPr="00692350">
        <w:rPr>
          <w:sz w:val="24"/>
          <w:szCs w:val="24"/>
          <w:lang w:val="fr-FR"/>
        </w:rPr>
        <w:tab/>
        <w:t>Additif</w:t>
      </w:r>
    </w:p>
    <w:p w14:paraId="50675D24" w14:textId="77777777" w:rsidR="002D50BF" w:rsidRPr="00692350" w:rsidRDefault="002D50BF" w:rsidP="002D50BF">
      <w:pPr>
        <w:spacing w:after="120"/>
        <w:rPr>
          <w:sz w:val="28"/>
          <w:lang w:val="fr-FR"/>
        </w:rPr>
      </w:pPr>
      <w:r w:rsidRPr="00692350">
        <w:rPr>
          <w:sz w:val="28"/>
          <w:lang w:val="fr-FR"/>
        </w:rPr>
        <w:t>Table des matières</w:t>
      </w:r>
    </w:p>
    <w:p w14:paraId="286CFE41" w14:textId="77777777" w:rsidR="002D50BF" w:rsidRPr="00692350" w:rsidRDefault="002D50BF" w:rsidP="002D50BF">
      <w:pPr>
        <w:tabs>
          <w:tab w:val="right" w:pos="9638"/>
        </w:tabs>
        <w:spacing w:after="120"/>
        <w:ind w:left="283"/>
        <w:rPr>
          <w:sz w:val="18"/>
          <w:lang w:val="fr-FR"/>
        </w:rPr>
      </w:pPr>
      <w:r w:rsidRPr="00692350">
        <w:rPr>
          <w:i/>
          <w:sz w:val="18"/>
          <w:lang w:val="fr-FR"/>
        </w:rPr>
        <w:tab/>
        <w:t>Page</w:t>
      </w:r>
    </w:p>
    <w:p w14:paraId="7862C4B9" w14:textId="77777777" w:rsidR="002D50BF" w:rsidRPr="00692350" w:rsidRDefault="002D50BF" w:rsidP="002D50BF">
      <w:pPr>
        <w:pStyle w:val="SingleTxtG"/>
        <w:spacing w:after="60"/>
        <w:ind w:left="0"/>
        <w:rPr>
          <w:sz w:val="24"/>
          <w:szCs w:val="24"/>
          <w:lang w:val="fr-FR"/>
        </w:rPr>
      </w:pPr>
      <w:r w:rsidRPr="00692350">
        <w:rPr>
          <w:sz w:val="24"/>
          <w:szCs w:val="24"/>
          <w:lang w:val="fr-FR"/>
        </w:rPr>
        <w:t>Annexes</w:t>
      </w:r>
    </w:p>
    <w:p w14:paraId="50D21BA4" w14:textId="78B56164" w:rsidR="00FE22A1" w:rsidRDefault="00FE22A1" w:rsidP="004401DE">
      <w:pPr>
        <w:pStyle w:val="SingleTxtG"/>
        <w:numPr>
          <w:ilvl w:val="0"/>
          <w:numId w:val="18"/>
        </w:numPr>
        <w:tabs>
          <w:tab w:val="left" w:pos="1134"/>
          <w:tab w:val="left" w:leader="dot" w:pos="7655"/>
          <w:tab w:val="right" w:pos="8930"/>
          <w:tab w:val="left" w:pos="9356"/>
          <w:tab w:val="right" w:pos="9639"/>
        </w:tabs>
        <w:spacing w:before="120"/>
        <w:ind w:left="1134" w:right="282" w:hanging="567"/>
        <w:jc w:val="left"/>
        <w:rPr>
          <w:lang w:val="fr-FR"/>
        </w:rPr>
      </w:pPr>
      <w:r w:rsidRPr="00692350">
        <w:rPr>
          <w:lang w:val="fr-FR"/>
        </w:rPr>
        <w:t xml:space="preserve">Projet d’amendements à la vingt et unième édition révisée des Recommandations relatives </w:t>
      </w:r>
      <w:r w:rsidRPr="00692350">
        <w:rPr>
          <w:lang w:val="fr-FR"/>
        </w:rPr>
        <w:br/>
        <w:t xml:space="preserve">au transport de marchandises dangereuses, </w:t>
      </w:r>
      <w:r w:rsidR="00032FCC">
        <w:rPr>
          <w:lang w:val="fr-FR"/>
        </w:rPr>
        <w:br/>
      </w:r>
      <w:r w:rsidRPr="00692350">
        <w:rPr>
          <w:lang w:val="fr-FR"/>
        </w:rPr>
        <w:t>Règlement type (ST/SG/AC.10/1/Rev.21)</w:t>
      </w:r>
      <w:r w:rsidR="009F367F">
        <w:rPr>
          <w:rStyle w:val="FootnoteReference"/>
        </w:rPr>
        <w:footnoteReference w:id="2"/>
      </w:r>
      <w:r w:rsidR="00A76ACF">
        <w:rPr>
          <w:lang w:val="fr-FR"/>
        </w:rPr>
        <w:t xml:space="preserve"> </w:t>
      </w:r>
      <w:r w:rsidR="005D1617">
        <w:rPr>
          <w:lang w:val="fr-FR"/>
        </w:rPr>
        <w:t>………</w:t>
      </w:r>
      <w:r w:rsidR="00032FCC">
        <w:rPr>
          <w:lang w:val="fr-FR"/>
        </w:rPr>
        <w:t>…………………………………………….</w:t>
      </w:r>
      <w:r w:rsidR="00614255">
        <w:rPr>
          <w:lang w:val="fr-FR"/>
        </w:rPr>
        <w:tab/>
      </w:r>
      <w:r w:rsidR="00614255">
        <w:rPr>
          <w:lang w:val="fr-FR"/>
        </w:rPr>
        <w:tab/>
      </w:r>
      <w:r w:rsidR="00C85C63">
        <w:rPr>
          <w:lang w:val="fr-FR"/>
        </w:rPr>
        <w:t>2</w:t>
      </w:r>
    </w:p>
    <w:p w14:paraId="0021E77F" w14:textId="454FBECB" w:rsidR="002D50BF" w:rsidRPr="00692350" w:rsidRDefault="00111A5A" w:rsidP="004401DE">
      <w:pPr>
        <w:pStyle w:val="SingleTxtG"/>
        <w:numPr>
          <w:ilvl w:val="0"/>
          <w:numId w:val="18"/>
        </w:numPr>
        <w:tabs>
          <w:tab w:val="left" w:pos="1134"/>
          <w:tab w:val="left" w:leader="dot" w:pos="7655"/>
          <w:tab w:val="right" w:pos="8930"/>
          <w:tab w:val="left" w:pos="9356"/>
          <w:tab w:val="right" w:pos="9639"/>
        </w:tabs>
        <w:spacing w:before="120"/>
        <w:ind w:left="1134" w:right="282" w:hanging="567"/>
        <w:jc w:val="left"/>
        <w:rPr>
          <w:lang w:val="fr-FR"/>
        </w:rPr>
      </w:pPr>
      <w:r w:rsidRPr="00692350">
        <w:rPr>
          <w:lang w:val="fr-FR"/>
        </w:rPr>
        <w:t>Projet d’amendements à la septième édition révisée du Manuel d’épreuves et de critères</w:t>
      </w:r>
      <w:r w:rsidR="002D50BF" w:rsidRPr="00692350">
        <w:rPr>
          <w:lang w:val="fr-FR"/>
        </w:rPr>
        <w:t xml:space="preserve"> (ST/SG/AC.10/11/Rev.7</w:t>
      </w:r>
      <w:r w:rsidR="005D1617">
        <w:rPr>
          <w:lang w:val="fr-FR"/>
        </w:rPr>
        <w:t>)</w:t>
      </w:r>
      <w:r w:rsidR="00667963" w:rsidRPr="00667963">
        <w:rPr>
          <w:vertAlign w:val="superscript"/>
          <w:lang w:val="fr-FR"/>
        </w:rPr>
        <w:t>1</w:t>
      </w:r>
      <w:r w:rsidR="00A76ACF">
        <w:rPr>
          <w:lang w:val="fr-FR"/>
        </w:rPr>
        <w:t xml:space="preserve"> </w:t>
      </w:r>
      <w:r w:rsidR="005D1617">
        <w:rPr>
          <w:lang w:val="fr-FR"/>
        </w:rPr>
        <w:t>……………………………………………………………………</w:t>
      </w:r>
      <w:r w:rsidR="00A76ACF">
        <w:rPr>
          <w:lang w:val="fr-FR"/>
        </w:rPr>
        <w:t>….</w:t>
      </w:r>
      <w:r w:rsidR="00E17B8C">
        <w:rPr>
          <w:lang w:val="fr-FR"/>
        </w:rPr>
        <w:tab/>
      </w:r>
      <w:r w:rsidR="00E17B8C">
        <w:rPr>
          <w:lang w:val="fr-FR"/>
        </w:rPr>
        <w:tab/>
      </w:r>
      <w:r w:rsidR="00D01B55">
        <w:rPr>
          <w:lang w:val="fr-FR"/>
        </w:rPr>
        <w:t>18</w:t>
      </w:r>
    </w:p>
    <w:p w14:paraId="0EF7E68A" w14:textId="202E9ECF" w:rsidR="008E450D" w:rsidRPr="00692350" w:rsidRDefault="008E450D" w:rsidP="004401DE">
      <w:pPr>
        <w:pStyle w:val="SingleTxtG"/>
        <w:numPr>
          <w:ilvl w:val="0"/>
          <w:numId w:val="18"/>
        </w:numPr>
        <w:tabs>
          <w:tab w:val="left" w:pos="1134"/>
          <w:tab w:val="right" w:pos="8930"/>
          <w:tab w:val="left" w:pos="9356"/>
          <w:tab w:val="right" w:pos="9639"/>
        </w:tabs>
        <w:spacing w:before="120"/>
        <w:ind w:left="1134" w:right="282" w:hanging="567"/>
        <w:jc w:val="left"/>
        <w:rPr>
          <w:lang w:val="fr-FR"/>
        </w:rPr>
      </w:pPr>
      <w:r w:rsidRPr="00692350">
        <w:rPr>
          <w:lang w:val="fr-FR"/>
        </w:rPr>
        <w:t>Corrections à la septième édition révisée du Manuel d’épreuves et de critères (ST/SG/AC.10/11/Rev.7)</w:t>
      </w:r>
      <w:r w:rsidRPr="00667963">
        <w:rPr>
          <w:vertAlign w:val="superscript"/>
          <w:lang w:val="fr-FR"/>
        </w:rPr>
        <w:t>1</w:t>
      </w:r>
      <w:r>
        <w:rPr>
          <w:lang w:val="fr-FR"/>
        </w:rPr>
        <w:t xml:space="preserve"> …</w:t>
      </w:r>
      <w:r w:rsidR="00C0445E">
        <w:rPr>
          <w:lang w:val="fr-FR"/>
        </w:rPr>
        <w:t>………………………………………………………………</w:t>
      </w:r>
      <w:r>
        <w:rPr>
          <w:lang w:val="fr-FR"/>
        </w:rPr>
        <w:t>…….</w:t>
      </w:r>
      <w:r>
        <w:rPr>
          <w:lang w:val="fr-FR"/>
        </w:rPr>
        <w:tab/>
      </w:r>
      <w:r>
        <w:rPr>
          <w:lang w:val="fr-FR"/>
        </w:rPr>
        <w:tab/>
        <w:t>25</w:t>
      </w:r>
    </w:p>
    <w:p w14:paraId="235ACBF5" w14:textId="2EF1C791" w:rsidR="002D50BF" w:rsidRPr="00692350" w:rsidRDefault="002D50BF" w:rsidP="004401DE">
      <w:pPr>
        <w:pStyle w:val="SingleTxtG"/>
        <w:numPr>
          <w:ilvl w:val="0"/>
          <w:numId w:val="18"/>
        </w:numPr>
        <w:tabs>
          <w:tab w:val="left" w:pos="1134"/>
          <w:tab w:val="left" w:leader="dot" w:pos="7655"/>
          <w:tab w:val="right" w:pos="8930"/>
          <w:tab w:val="left" w:pos="9356"/>
          <w:tab w:val="right" w:pos="9639"/>
        </w:tabs>
        <w:spacing w:before="120"/>
        <w:ind w:left="1134" w:right="282" w:hanging="567"/>
        <w:jc w:val="left"/>
        <w:rPr>
          <w:lang w:val="fr-FR"/>
        </w:rPr>
      </w:pPr>
      <w:r w:rsidRPr="00692350">
        <w:rPr>
          <w:lang w:val="fr-FR"/>
        </w:rPr>
        <w:t xml:space="preserve">Corrections à la vingt et unième édition révisée des Recommandations relatives </w:t>
      </w:r>
      <w:r w:rsidRPr="00692350">
        <w:rPr>
          <w:lang w:val="fr-FR"/>
        </w:rPr>
        <w:br/>
        <w:t>au transport de marchandises dangereuses, Règlement type (ST/SG/AC.10/1/Rev.21)</w:t>
      </w:r>
      <w:r w:rsidR="00667963" w:rsidRPr="00667963">
        <w:rPr>
          <w:vertAlign w:val="superscript"/>
          <w:lang w:val="fr-FR"/>
        </w:rPr>
        <w:t>1</w:t>
      </w:r>
      <w:r w:rsidR="00A76ACF">
        <w:rPr>
          <w:lang w:val="fr-FR"/>
        </w:rPr>
        <w:t xml:space="preserve"> ………</w:t>
      </w:r>
      <w:r w:rsidR="00C342CE">
        <w:rPr>
          <w:lang w:val="fr-FR"/>
        </w:rPr>
        <w:t>.</w:t>
      </w:r>
      <w:r w:rsidR="00C342CE">
        <w:rPr>
          <w:lang w:val="fr-FR"/>
        </w:rPr>
        <w:tab/>
      </w:r>
      <w:r w:rsidR="00C342CE">
        <w:rPr>
          <w:lang w:val="fr-FR"/>
        </w:rPr>
        <w:tab/>
      </w:r>
      <w:r w:rsidR="00D01B55">
        <w:rPr>
          <w:lang w:val="fr-FR"/>
        </w:rPr>
        <w:t>25</w:t>
      </w:r>
    </w:p>
    <w:p w14:paraId="6D4F3504" w14:textId="1E95F47C" w:rsidR="002D50BF" w:rsidRDefault="002D50BF">
      <w:pPr>
        <w:suppressAutoHyphens w:val="0"/>
        <w:kinsoku/>
        <w:overflowPunct/>
        <w:autoSpaceDE/>
        <w:autoSpaceDN/>
        <w:adjustRightInd/>
        <w:snapToGrid/>
        <w:spacing w:after="200" w:line="276" w:lineRule="auto"/>
        <w:rPr>
          <w:b/>
          <w:lang w:val="fr-FR"/>
        </w:rPr>
      </w:pPr>
      <w:r w:rsidRPr="00692350">
        <w:rPr>
          <w:b/>
          <w:lang w:val="fr-FR"/>
        </w:rPr>
        <w:br w:type="page"/>
      </w:r>
    </w:p>
    <w:p w14:paraId="579B63C8" w14:textId="0A3321F2" w:rsidR="006F4C01" w:rsidRDefault="006E016F" w:rsidP="006F4C01">
      <w:pPr>
        <w:pStyle w:val="HChG"/>
        <w:rPr>
          <w:lang w:val="fr-FR"/>
        </w:rPr>
      </w:pPr>
      <w:r>
        <w:rPr>
          <w:lang w:val="fr-FR"/>
        </w:rPr>
        <w:lastRenderedPageBreak/>
        <w:tab/>
      </w:r>
      <w:r w:rsidR="006F4C01">
        <w:rPr>
          <w:lang w:val="fr-FR"/>
        </w:rPr>
        <w:t>I.</w:t>
      </w:r>
      <w:r w:rsidR="006F4C01" w:rsidRPr="003A2882">
        <w:rPr>
          <w:lang w:val="fr-FR"/>
        </w:rPr>
        <w:tab/>
        <w:t xml:space="preserve">Projet d'amendements à la </w:t>
      </w:r>
      <w:r w:rsidR="006F4C01">
        <w:rPr>
          <w:lang w:val="fr-FR"/>
        </w:rPr>
        <w:t>vingt et unième</w:t>
      </w:r>
      <w:r w:rsidR="006F4C01" w:rsidRPr="003A2882">
        <w:rPr>
          <w:lang w:val="fr-FR"/>
        </w:rPr>
        <w:t xml:space="preserve"> édition révisée des Recommandations relatives au transport des marchandises dangereuses, Règ</w:t>
      </w:r>
      <w:r w:rsidR="006F4C01">
        <w:rPr>
          <w:lang w:val="fr-FR"/>
        </w:rPr>
        <w:t>lement type (ST/SG/AC.10/1/Rev.21</w:t>
      </w:r>
      <w:r w:rsidR="006F4C01" w:rsidRPr="003A2882">
        <w:rPr>
          <w:lang w:val="fr-FR"/>
        </w:rPr>
        <w:t>)</w:t>
      </w:r>
    </w:p>
    <w:p w14:paraId="7F4FDACD" w14:textId="77777777" w:rsidR="006F4C01" w:rsidRDefault="006F4C01" w:rsidP="006F4C01">
      <w:pPr>
        <w:pStyle w:val="H1G"/>
        <w:rPr>
          <w:lang w:val="fr-FR" w:eastAsia="en-US"/>
        </w:rPr>
      </w:pPr>
      <w:r>
        <w:rPr>
          <w:lang w:val="fr-FR" w:eastAsia="en-US"/>
        </w:rPr>
        <w:tab/>
      </w:r>
      <w:r>
        <w:rPr>
          <w:lang w:val="fr-FR" w:eastAsia="en-US"/>
        </w:rPr>
        <w:tab/>
        <w:t>Chapitre 1.2</w:t>
      </w:r>
    </w:p>
    <w:p w14:paraId="3589E0EF" w14:textId="77777777" w:rsidR="006F4C01" w:rsidRDefault="006F4C01" w:rsidP="006F4C01">
      <w:pPr>
        <w:tabs>
          <w:tab w:val="left" w:pos="2268"/>
        </w:tabs>
        <w:kinsoku/>
        <w:overflowPunct/>
        <w:autoSpaceDE/>
        <w:adjustRightInd/>
        <w:snapToGrid/>
        <w:spacing w:after="120"/>
        <w:ind w:left="2268" w:right="1134" w:hanging="1134"/>
        <w:jc w:val="both"/>
        <w:rPr>
          <w:lang w:val="fr-FR" w:eastAsia="en-US"/>
        </w:rPr>
      </w:pPr>
      <w:r>
        <w:rPr>
          <w:lang w:val="fr-FR" w:eastAsia="en-US"/>
        </w:rPr>
        <w:t>1.2.1</w:t>
      </w:r>
      <w:r>
        <w:rPr>
          <w:lang w:val="fr-FR" w:eastAsia="en-US"/>
        </w:rPr>
        <w:tab/>
        <w:t>Dans la définition de « </w:t>
      </w:r>
      <w:r>
        <w:rPr>
          <w:i/>
          <w:iCs/>
          <w:lang w:val="fr-FR" w:eastAsia="en-US"/>
        </w:rPr>
        <w:t>Matières plastiques recyclées</w:t>
      </w:r>
      <w:r>
        <w:rPr>
          <w:lang w:val="fr-FR" w:eastAsia="en-US"/>
        </w:rPr>
        <w:t xml:space="preserve"> », à la fin du NOTA, </w:t>
      </w:r>
      <w:r>
        <w:rPr>
          <w:lang w:val="fr-FR" w:eastAsia="en-US"/>
        </w:rPr>
        <w:tab/>
        <w:t>ajouter la nouvelle phrase suivante : « </w:t>
      </w:r>
      <w:r>
        <w:rPr>
          <w:i/>
          <w:iCs/>
          <w:lang w:val="fr-FR" w:eastAsia="en-US"/>
        </w:rPr>
        <w:t>Ces indications supplémentaires ont été élaborées sur la base de l’expérience acquise dans la fabrication de fûts et de bidons à partir de matières plastiques recyclées et, à ce titre, elles devront peut-être être adaptées à d’autres types d’emballages, GRV et grands emballages en matière plastique recyclée.</w:t>
      </w:r>
      <w:r>
        <w:rPr>
          <w:lang w:val="fr-FR" w:eastAsia="en-US"/>
        </w:rPr>
        <w:t> ».</w:t>
      </w:r>
    </w:p>
    <w:p w14:paraId="05871169"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document informel INF.47, proposition 6, telle que modifiée)</w:t>
      </w:r>
    </w:p>
    <w:p w14:paraId="29B3A1CB" w14:textId="77777777" w:rsidR="006F4C01" w:rsidRPr="003207B3" w:rsidRDefault="006F4C01" w:rsidP="006F4C01">
      <w:pPr>
        <w:spacing w:after="120"/>
        <w:ind w:left="1134" w:right="1134"/>
        <w:jc w:val="both"/>
        <w:rPr>
          <w:rFonts w:eastAsiaTheme="minorHAnsi"/>
          <w:lang w:eastAsia="en-US"/>
        </w:rPr>
      </w:pPr>
      <w:bookmarkStart w:id="0" w:name="_Hlk36654956"/>
      <w:r w:rsidRPr="003207B3">
        <w:rPr>
          <w:rFonts w:eastAsiaTheme="minorHAnsi"/>
          <w:lang w:val="fr-FR" w:eastAsia="en-US"/>
        </w:rPr>
        <w:t>1.2.1</w:t>
      </w:r>
      <w:r w:rsidRPr="003207B3">
        <w:rPr>
          <w:rFonts w:eastAsiaTheme="minorHAnsi"/>
          <w:lang w:val="fr-FR" w:eastAsia="en-US"/>
        </w:rPr>
        <w:tab/>
      </w:r>
      <w:r w:rsidRPr="003207B3">
        <w:rPr>
          <w:rFonts w:eastAsiaTheme="minorHAnsi"/>
          <w:lang w:val="fr-FR" w:eastAsia="en-US"/>
        </w:rPr>
        <w:tab/>
        <w:t>Ajouter la nouvelle définition suivante :</w:t>
      </w:r>
    </w:p>
    <w:p w14:paraId="6B52A882" w14:textId="77777777" w:rsidR="006F4C01" w:rsidRPr="003207B3" w:rsidRDefault="006F4C01" w:rsidP="006F4C01">
      <w:pPr>
        <w:spacing w:after="120"/>
        <w:ind w:left="1134" w:right="1134"/>
        <w:jc w:val="both"/>
        <w:rPr>
          <w:rFonts w:eastAsiaTheme="minorHAnsi"/>
          <w:lang w:eastAsia="en-US"/>
        </w:rPr>
      </w:pPr>
      <w:r w:rsidRPr="003207B3">
        <w:rPr>
          <w:rFonts w:eastAsiaTheme="minorHAnsi"/>
          <w:lang w:val="fr-FR" w:eastAsia="en-US"/>
        </w:rPr>
        <w:t>« </w:t>
      </w:r>
      <w:r w:rsidRPr="00165B81">
        <w:rPr>
          <w:i/>
          <w:iCs/>
          <w:lang w:val="en-US"/>
        </w:rPr>
        <w:t>"</w:t>
      </w:r>
      <w:r w:rsidRPr="003207B3">
        <w:rPr>
          <w:rFonts w:eastAsiaTheme="minorHAnsi"/>
          <w:i/>
          <w:lang w:val="fr-FR" w:eastAsia="en-US"/>
        </w:rPr>
        <w:t>Règlement de transport des matières radioactives de l’AIEA</w:t>
      </w:r>
      <w:r w:rsidRPr="00165B81">
        <w:rPr>
          <w:i/>
          <w:iCs/>
          <w:lang w:val="en-US"/>
        </w:rPr>
        <w:t>"</w:t>
      </w:r>
      <w:r w:rsidRPr="003207B3">
        <w:rPr>
          <w:rFonts w:eastAsiaTheme="minorHAnsi"/>
          <w:lang w:val="fr-FR" w:eastAsia="en-US"/>
        </w:rPr>
        <w:t>, l’une des éditions de ce Règlement, comme suit :</w:t>
      </w:r>
    </w:p>
    <w:p w14:paraId="5D17732B" w14:textId="77777777" w:rsidR="006F4C01" w:rsidRPr="003207B3" w:rsidRDefault="006F4C01" w:rsidP="006F4C01">
      <w:pPr>
        <w:spacing w:after="120"/>
        <w:ind w:left="2268" w:right="1134" w:hanging="567"/>
        <w:jc w:val="both"/>
        <w:rPr>
          <w:rFonts w:eastAsiaTheme="minorHAnsi"/>
          <w:lang w:val="fr-FR" w:eastAsia="en-US"/>
        </w:rPr>
      </w:pPr>
      <w:bookmarkStart w:id="1" w:name="_Hlk36653960"/>
      <w:r w:rsidRPr="003207B3">
        <w:rPr>
          <w:rFonts w:eastAsiaTheme="minorHAnsi"/>
          <w:lang w:val="fr-FR" w:eastAsia="en-US"/>
        </w:rPr>
        <w:t>a)</w:t>
      </w:r>
      <w:r w:rsidRPr="003207B3">
        <w:rPr>
          <w:rFonts w:eastAsiaTheme="minorHAnsi"/>
          <w:lang w:val="fr-FR" w:eastAsia="en-US"/>
        </w:rPr>
        <w:tab/>
        <w:t>Pour les éditions de 1985 et de 1985 (telle que modifiée en 1990) : n° 6 de la collection Sécurité de l’AIEA ;</w:t>
      </w:r>
    </w:p>
    <w:p w14:paraId="67AA20D8" w14:textId="77777777" w:rsidR="006F4C01" w:rsidRPr="003207B3" w:rsidRDefault="006F4C01" w:rsidP="006F4C01">
      <w:pPr>
        <w:spacing w:after="120"/>
        <w:ind w:left="2268" w:right="1134" w:hanging="567"/>
        <w:jc w:val="both"/>
        <w:rPr>
          <w:rFonts w:eastAsiaTheme="minorHAnsi"/>
          <w:lang w:val="fr-FR" w:eastAsia="en-US"/>
        </w:rPr>
      </w:pPr>
      <w:r w:rsidRPr="003207B3">
        <w:rPr>
          <w:rFonts w:eastAsiaTheme="minorHAnsi"/>
          <w:lang w:val="fr-FR" w:eastAsia="en-US"/>
        </w:rPr>
        <w:t>b)</w:t>
      </w:r>
      <w:r w:rsidRPr="003207B3">
        <w:rPr>
          <w:rFonts w:eastAsiaTheme="minorHAnsi"/>
          <w:lang w:val="fr-FR" w:eastAsia="en-US"/>
        </w:rPr>
        <w:tab/>
        <w:t>Pour l’édition de 1996 : n° ST-1 de la collection des Normes de sûreté de l’AIEA ;</w:t>
      </w:r>
    </w:p>
    <w:p w14:paraId="04BAF1B6" w14:textId="77777777" w:rsidR="006F4C01" w:rsidRPr="003207B3" w:rsidRDefault="006F4C01" w:rsidP="006F4C01">
      <w:pPr>
        <w:spacing w:after="120"/>
        <w:ind w:left="2268" w:right="1134" w:hanging="567"/>
        <w:jc w:val="both"/>
        <w:rPr>
          <w:rFonts w:eastAsiaTheme="minorHAnsi"/>
          <w:lang w:val="fr-FR" w:eastAsia="en-US"/>
        </w:rPr>
      </w:pPr>
      <w:r w:rsidRPr="003207B3">
        <w:rPr>
          <w:rFonts w:eastAsiaTheme="minorHAnsi"/>
          <w:lang w:val="fr-FR" w:eastAsia="en-US"/>
        </w:rPr>
        <w:t>c)</w:t>
      </w:r>
      <w:r w:rsidRPr="003207B3">
        <w:rPr>
          <w:rFonts w:eastAsiaTheme="minorHAnsi"/>
          <w:lang w:val="fr-FR" w:eastAsia="en-US"/>
        </w:rPr>
        <w:tab/>
        <w:t>Pour l’édition de 1996 (révisée) : n° TS-R-1 (ST-1, révisée) de la collection des Normes de sûreté de l’AIEA ;</w:t>
      </w:r>
    </w:p>
    <w:p w14:paraId="12D79488" w14:textId="77777777" w:rsidR="006F4C01" w:rsidRPr="003207B3" w:rsidRDefault="006F4C01" w:rsidP="006F4C01">
      <w:pPr>
        <w:spacing w:after="120"/>
        <w:ind w:left="2268" w:right="1134" w:hanging="567"/>
        <w:jc w:val="both"/>
        <w:rPr>
          <w:rFonts w:eastAsiaTheme="minorHAnsi"/>
          <w:lang w:val="fr-FR" w:eastAsia="en-US"/>
        </w:rPr>
      </w:pPr>
      <w:r w:rsidRPr="003207B3">
        <w:rPr>
          <w:rFonts w:eastAsiaTheme="minorHAnsi"/>
          <w:lang w:val="fr-FR" w:eastAsia="en-US"/>
        </w:rPr>
        <w:t>d)</w:t>
      </w:r>
      <w:r w:rsidRPr="003207B3">
        <w:rPr>
          <w:rFonts w:eastAsiaTheme="minorHAnsi"/>
          <w:lang w:val="fr-FR" w:eastAsia="en-US"/>
        </w:rPr>
        <w:tab/>
        <w:t>Pour les éditions de 1996 (telle que modifiée en 2003), 2005 et 2009 : n° TS-R-1 (ST-1, révisée) de la collection des Normes de sûreté de l’AIEA ;</w:t>
      </w:r>
    </w:p>
    <w:bookmarkEnd w:id="0"/>
    <w:bookmarkEnd w:id="1"/>
    <w:p w14:paraId="7369EED5" w14:textId="77777777" w:rsidR="006F4C01" w:rsidRPr="003207B3" w:rsidRDefault="006F4C01" w:rsidP="006F4C01">
      <w:pPr>
        <w:spacing w:after="120"/>
        <w:ind w:left="2268" w:right="1134" w:hanging="567"/>
        <w:jc w:val="both"/>
        <w:rPr>
          <w:rFonts w:eastAsiaTheme="minorHAnsi"/>
          <w:lang w:val="fr-FR" w:eastAsia="en-US"/>
        </w:rPr>
      </w:pPr>
      <w:r w:rsidRPr="003207B3">
        <w:rPr>
          <w:rFonts w:eastAsiaTheme="minorHAnsi"/>
          <w:lang w:val="fr-FR" w:eastAsia="en-US"/>
        </w:rPr>
        <w:t>e)</w:t>
      </w:r>
      <w:r w:rsidRPr="003207B3">
        <w:rPr>
          <w:rFonts w:eastAsiaTheme="minorHAnsi"/>
          <w:lang w:val="fr-FR" w:eastAsia="en-US"/>
        </w:rPr>
        <w:tab/>
        <w:t>Pour l’édition de 2012 : n° SSR–6 de la collection des Normes de sûreté de l’AIEA.</w:t>
      </w:r>
    </w:p>
    <w:p w14:paraId="41FC61E2" w14:textId="77777777" w:rsidR="006F4C01" w:rsidRPr="003207B3" w:rsidRDefault="006F4C01" w:rsidP="006F4C01">
      <w:pPr>
        <w:spacing w:after="120"/>
        <w:ind w:left="2268" w:right="1134" w:hanging="567"/>
        <w:jc w:val="both"/>
        <w:rPr>
          <w:rFonts w:eastAsiaTheme="minorHAnsi"/>
          <w:lang w:eastAsia="en-US"/>
        </w:rPr>
      </w:pPr>
      <w:r w:rsidRPr="003207B3">
        <w:rPr>
          <w:rFonts w:eastAsiaTheme="minorHAnsi"/>
          <w:lang w:val="fr-FR" w:eastAsia="en-US"/>
        </w:rPr>
        <w:t>f)</w:t>
      </w:r>
      <w:r w:rsidRPr="003207B3">
        <w:rPr>
          <w:rFonts w:eastAsiaTheme="minorHAnsi"/>
          <w:lang w:val="fr-FR" w:eastAsia="en-US"/>
        </w:rPr>
        <w:tab/>
        <w:t>Pour l’édition de 2018 : n° SSR–6 (Rev.1) de la collection des Normes de sûreté de l’AIEA. »</w:t>
      </w:r>
    </w:p>
    <w:p w14:paraId="0A43E25D" w14:textId="77777777" w:rsidR="006F4C01" w:rsidRDefault="006F4C01" w:rsidP="006F4C01">
      <w:pPr>
        <w:pStyle w:val="SingleTxtG"/>
        <w:spacing w:before="120"/>
        <w:rPr>
          <w:i/>
        </w:rPr>
      </w:pPr>
      <w:r w:rsidRPr="00692350">
        <w:rPr>
          <w:i/>
        </w:rPr>
        <w:t>(Document de référence : ST/SG/AC.10/C.3/</w:t>
      </w:r>
      <w:r>
        <w:rPr>
          <w:i/>
        </w:rPr>
        <w:t>2020/1</w:t>
      </w:r>
      <w:r w:rsidRPr="00692350">
        <w:rPr>
          <w:i/>
        </w:rPr>
        <w:t>)</w:t>
      </w:r>
    </w:p>
    <w:p w14:paraId="694FB34B" w14:textId="77777777" w:rsidR="006F4C01" w:rsidRPr="0086119F" w:rsidRDefault="006F4C01" w:rsidP="006F4C01">
      <w:pPr>
        <w:keepNext/>
        <w:keepLines/>
        <w:tabs>
          <w:tab w:val="right" w:pos="851"/>
        </w:tabs>
        <w:spacing w:before="360" w:after="240" w:line="270" w:lineRule="exact"/>
        <w:ind w:left="1134" w:right="1134" w:hanging="1134"/>
        <w:rPr>
          <w:b/>
          <w:sz w:val="24"/>
          <w:lang w:val="fr-FR"/>
        </w:rPr>
      </w:pPr>
      <w:r w:rsidRPr="0086119F">
        <w:rPr>
          <w:b/>
          <w:sz w:val="24"/>
          <w:lang w:val="fr-FR"/>
        </w:rPr>
        <w:tab/>
      </w:r>
      <w:r w:rsidRPr="0086119F">
        <w:rPr>
          <w:b/>
          <w:sz w:val="24"/>
          <w:lang w:val="fr-FR"/>
        </w:rPr>
        <w:tab/>
        <w:t>Chapitre 1.4</w:t>
      </w:r>
    </w:p>
    <w:p w14:paraId="319E3637" w14:textId="77777777" w:rsidR="006F4C01" w:rsidRPr="0086119F" w:rsidRDefault="006F4C01" w:rsidP="006F4C01">
      <w:pPr>
        <w:pStyle w:val="SingleTxtG"/>
        <w:ind w:left="2268" w:hanging="1134"/>
        <w:rPr>
          <w:lang w:val="fr-FR"/>
        </w:rPr>
      </w:pPr>
      <w:r w:rsidRPr="0086119F">
        <w:rPr>
          <w:lang w:val="fr-FR"/>
        </w:rPr>
        <w:t>1.4.3.2.3</w:t>
      </w:r>
      <w:r w:rsidRPr="0086119F">
        <w:rPr>
          <w:lang w:val="fr-FR"/>
        </w:rPr>
        <w:tab/>
        <w:t>Supprimer les notes de bas de page 1 et 2. Après « Convention sur la protection physique des matières nucléaires » ajouter « (INFCIRC/274/Rev.1, AIEA, Vienne (1980)) ». Après « "Recommandations de sécurité nucléaire sur la protection physique des matières nucléaires et des installations nucléaires" » ajouter « (INFCIRC/225/Rev.5, AIEA, Vienne (2011)) ».</w:t>
      </w:r>
    </w:p>
    <w:p w14:paraId="1D929A06" w14:textId="77777777" w:rsidR="006F4C01" w:rsidRPr="0086119F" w:rsidRDefault="006F4C01" w:rsidP="006F4C01">
      <w:pPr>
        <w:kinsoku/>
        <w:overflowPunct/>
        <w:autoSpaceDE/>
        <w:autoSpaceDN/>
        <w:adjustRightInd/>
        <w:snapToGrid/>
        <w:spacing w:after="120"/>
        <w:ind w:left="1134" w:right="1134"/>
        <w:jc w:val="both"/>
        <w:rPr>
          <w:i/>
          <w:iCs/>
          <w:lang w:val="fr-FR" w:eastAsia="en-US"/>
        </w:rPr>
      </w:pPr>
      <w:r w:rsidRPr="0086119F">
        <w:rPr>
          <w:i/>
          <w:iCs/>
          <w:lang w:val="fr-FR" w:eastAsia="en-US"/>
        </w:rPr>
        <w:t>(Document de référence : ST/SG/AC.10/C.3/2020/74, proposition 1, mise à jour pour refléter l’édition actuelle)</w:t>
      </w:r>
    </w:p>
    <w:p w14:paraId="1C2B9AF1" w14:textId="77777777" w:rsidR="006F4C01" w:rsidRPr="00652134" w:rsidRDefault="006F4C01" w:rsidP="006F4C01">
      <w:pPr>
        <w:pStyle w:val="H1G"/>
        <w:rPr>
          <w:lang w:val="fr-FR" w:eastAsia="en-US"/>
        </w:rPr>
      </w:pPr>
      <w:r w:rsidRPr="00652134">
        <w:rPr>
          <w:lang w:val="fr-FR" w:eastAsia="en-US"/>
        </w:rPr>
        <w:tab/>
      </w:r>
      <w:r w:rsidRPr="00652134">
        <w:rPr>
          <w:lang w:val="fr-FR" w:eastAsia="en-US"/>
        </w:rPr>
        <w:tab/>
        <w:t xml:space="preserve">Chapitre </w:t>
      </w:r>
      <w:r>
        <w:rPr>
          <w:lang w:val="fr-FR" w:eastAsia="en-US"/>
        </w:rPr>
        <w:t>1.5</w:t>
      </w:r>
    </w:p>
    <w:p w14:paraId="4FE3E352" w14:textId="77777777" w:rsidR="006F4C01" w:rsidRPr="00A95B3B" w:rsidRDefault="006F4C01" w:rsidP="006F4C01">
      <w:pPr>
        <w:spacing w:after="120"/>
        <w:ind w:left="1134" w:right="1134"/>
        <w:jc w:val="both"/>
        <w:rPr>
          <w:rFonts w:eastAsiaTheme="minorHAnsi"/>
          <w:lang w:eastAsia="en-US"/>
        </w:rPr>
      </w:pPr>
      <w:r w:rsidRPr="00A95B3B">
        <w:rPr>
          <w:rFonts w:eastAsiaTheme="minorHAnsi"/>
          <w:lang w:val="fr-FR" w:eastAsia="en-US"/>
        </w:rPr>
        <w:t>1.5.1.1</w:t>
      </w:r>
      <w:r w:rsidRPr="00A95B3B">
        <w:rPr>
          <w:rFonts w:eastAsiaTheme="minorHAnsi"/>
          <w:lang w:val="fr-FR" w:eastAsia="en-US"/>
        </w:rPr>
        <w:tab/>
      </w:r>
      <w:r w:rsidRPr="00A95B3B">
        <w:rPr>
          <w:rFonts w:eastAsiaTheme="minorHAnsi"/>
          <w:lang w:val="fr-FR" w:eastAsia="en-US"/>
        </w:rPr>
        <w:tab/>
        <w:t xml:space="preserve">Modifier la deuxième phrase comme suit : « Il est fondé sur l’édition 2018 du </w:t>
      </w:r>
      <w:r w:rsidRPr="00A95B3B">
        <w:rPr>
          <w:rFonts w:eastAsiaTheme="minorHAnsi"/>
          <w:i/>
          <w:iCs/>
          <w:lang w:val="fr-FR" w:eastAsia="en-US"/>
        </w:rPr>
        <w:t>Règlement de transport des matières radioactives</w:t>
      </w:r>
      <w:r w:rsidRPr="00A95B3B">
        <w:rPr>
          <w:rFonts w:eastAsiaTheme="minorHAnsi"/>
          <w:lang w:val="fr-FR" w:eastAsia="en-US"/>
        </w:rPr>
        <w:t xml:space="preserve"> de l’AIEA. »</w:t>
      </w:r>
    </w:p>
    <w:p w14:paraId="74949D79" w14:textId="77777777" w:rsidR="006F4C01" w:rsidRDefault="006F4C01" w:rsidP="006F4C01">
      <w:pPr>
        <w:pStyle w:val="SingleTxtG"/>
        <w:spacing w:before="120"/>
        <w:rPr>
          <w:i/>
        </w:rPr>
      </w:pPr>
      <w:r w:rsidRPr="00692350">
        <w:rPr>
          <w:i/>
        </w:rPr>
        <w:t>(Document de référence : ST/SG/AC.10/C.3/</w:t>
      </w:r>
      <w:r>
        <w:rPr>
          <w:i/>
        </w:rPr>
        <w:t>2020/1</w:t>
      </w:r>
      <w:r w:rsidRPr="00692350">
        <w:rPr>
          <w:i/>
        </w:rPr>
        <w:t>)</w:t>
      </w:r>
    </w:p>
    <w:p w14:paraId="046A1F40"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2.4</w:t>
      </w:r>
    </w:p>
    <w:p w14:paraId="763D8A20" w14:textId="77777777" w:rsidR="006F4C01" w:rsidRDefault="006F4C01" w:rsidP="006F4C01">
      <w:pPr>
        <w:kinsoku/>
        <w:overflowPunct/>
        <w:autoSpaceDE/>
        <w:autoSpaceDN/>
        <w:adjustRightInd/>
        <w:snapToGrid/>
        <w:spacing w:after="120"/>
        <w:ind w:left="2268" w:right="1134" w:hanging="1134"/>
        <w:jc w:val="both"/>
        <w:rPr>
          <w:lang w:eastAsia="en-US"/>
        </w:rPr>
      </w:pPr>
      <w:r>
        <w:rPr>
          <w:lang w:eastAsia="en-US"/>
        </w:rPr>
        <w:t>2.4.2.3.2.3</w:t>
      </w:r>
      <w:r>
        <w:rPr>
          <w:lang w:eastAsia="en-US"/>
        </w:rPr>
        <w:tab/>
        <w:t>Dans la dernière phrase, remplacer « Les préparations énumérées » par « </w:t>
      </w:r>
      <w:r w:rsidRPr="00137ECA">
        <w:rPr>
          <w:lang w:eastAsia="en-US"/>
        </w:rPr>
        <w:t>Les préparations non énumérées dans la présente disposition mais énumérées</w:t>
      </w:r>
      <w:r>
        <w:rPr>
          <w:lang w:eastAsia="en-US"/>
        </w:rPr>
        <w:t> ».</w:t>
      </w:r>
    </w:p>
    <w:p w14:paraId="31E8F073" w14:textId="77777777" w:rsidR="006F4C01" w:rsidRDefault="006F4C01" w:rsidP="006F4C01">
      <w:pPr>
        <w:kinsoku/>
        <w:overflowPunct/>
        <w:autoSpaceDE/>
        <w:autoSpaceDN/>
        <w:adjustRightInd/>
        <w:snapToGrid/>
        <w:spacing w:after="120"/>
        <w:ind w:left="2268" w:right="1134" w:hanging="1134"/>
        <w:jc w:val="both"/>
        <w:rPr>
          <w:i/>
          <w:iCs/>
          <w:lang w:eastAsia="en-US"/>
        </w:rPr>
      </w:pPr>
      <w:bookmarkStart w:id="2" w:name="_GoBack"/>
      <w:bookmarkEnd w:id="2"/>
      <w:r w:rsidRPr="00F7088C">
        <w:rPr>
          <w:i/>
          <w:iCs/>
          <w:lang w:eastAsia="en-US"/>
        </w:rPr>
        <w:lastRenderedPageBreak/>
        <w:t xml:space="preserve">(Document de référence : </w:t>
      </w:r>
      <w:r>
        <w:rPr>
          <w:i/>
          <w:iCs/>
          <w:lang w:eastAsia="en-US"/>
        </w:rPr>
        <w:t>ST/SG/AC.10/C.3/2020/6</w:t>
      </w:r>
      <w:r w:rsidRPr="00F7088C">
        <w:rPr>
          <w:i/>
          <w:iCs/>
          <w:lang w:eastAsia="en-US"/>
        </w:rPr>
        <w:t>)</w:t>
      </w:r>
    </w:p>
    <w:p w14:paraId="505D4B4F" w14:textId="77777777" w:rsidR="006F4C01" w:rsidRPr="005C0AD0" w:rsidRDefault="006F4C01" w:rsidP="006F4C01">
      <w:pPr>
        <w:kinsoku/>
        <w:overflowPunct/>
        <w:autoSpaceDE/>
        <w:autoSpaceDN/>
        <w:adjustRightInd/>
        <w:snapToGrid/>
        <w:spacing w:before="120" w:after="120"/>
        <w:ind w:left="2268" w:right="1134" w:hanging="1134"/>
        <w:jc w:val="both"/>
        <w:rPr>
          <w:lang w:eastAsia="en-US"/>
        </w:rPr>
      </w:pPr>
      <w:r w:rsidRPr="005C0AD0">
        <w:rPr>
          <w:lang w:eastAsia="en-US"/>
        </w:rPr>
        <w:t>2.4.2.3.2.3</w:t>
      </w:r>
      <w:r w:rsidRPr="005C0AD0">
        <w:rPr>
          <w:lang w:eastAsia="en-US"/>
        </w:rPr>
        <w:tab/>
        <w:t>Dans le tableau, insérer la nouvelle rubrique suivante</w:t>
      </w:r>
      <w:r>
        <w:rPr>
          <w:lang w:eastAsia="en-US"/>
        </w:rPr>
        <w:t> </w:t>
      </w:r>
      <w:r w:rsidRPr="005C0AD0">
        <w:rPr>
          <w:lang w:eastAsia="en-US"/>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25"/>
        <w:gridCol w:w="1025"/>
        <w:gridCol w:w="1025"/>
        <w:gridCol w:w="1025"/>
        <w:gridCol w:w="1025"/>
        <w:gridCol w:w="1026"/>
      </w:tblGrid>
      <w:tr w:rsidR="006F4C01" w:rsidRPr="00F60569" w14:paraId="3CF3156D" w14:textId="77777777" w:rsidTr="007B6FD6">
        <w:trPr>
          <w:trHeight w:val="360"/>
        </w:trPr>
        <w:tc>
          <w:tcPr>
            <w:tcW w:w="1980" w:type="dxa"/>
            <w:shd w:val="clear" w:color="auto" w:fill="auto"/>
          </w:tcPr>
          <w:p w14:paraId="261F063E" w14:textId="77777777" w:rsidR="006F4C01" w:rsidRPr="00F60569" w:rsidRDefault="006F4C01" w:rsidP="007B6FD6">
            <w:pPr>
              <w:tabs>
                <w:tab w:val="left" w:pos="1269"/>
              </w:tabs>
              <w:spacing w:after="120" w:line="240" w:lineRule="auto"/>
              <w:rPr>
                <w:rFonts w:eastAsiaTheme="minorHAnsi"/>
                <w:lang w:val="fr-FR" w:eastAsia="en-US"/>
              </w:rPr>
            </w:pPr>
            <w:r w:rsidRPr="00F60569">
              <w:rPr>
                <w:rFonts w:eastAsiaTheme="minorHAnsi"/>
                <w:lang w:val="fr-FR" w:eastAsia="en-US"/>
              </w:rPr>
              <w:t xml:space="preserve">Acide (7-méthoxy-5-méthyle-benzothiophène-2-yl) </w:t>
            </w:r>
            <w:proofErr w:type="spellStart"/>
            <w:r w:rsidRPr="00F60569">
              <w:rPr>
                <w:rFonts w:eastAsiaTheme="minorHAnsi"/>
                <w:lang w:val="fr-FR" w:eastAsia="en-US"/>
              </w:rPr>
              <w:t>boronique</w:t>
            </w:r>
            <w:proofErr w:type="spellEnd"/>
          </w:p>
        </w:tc>
        <w:tc>
          <w:tcPr>
            <w:tcW w:w="1025" w:type="dxa"/>
            <w:shd w:val="clear" w:color="auto" w:fill="auto"/>
          </w:tcPr>
          <w:p w14:paraId="0F3F4B9F" w14:textId="77777777" w:rsidR="006F4C01" w:rsidRPr="00F60569" w:rsidRDefault="006F4C01" w:rsidP="007B6FD6">
            <w:pPr>
              <w:spacing w:after="120" w:line="240" w:lineRule="auto"/>
              <w:ind w:right="7"/>
              <w:jc w:val="center"/>
              <w:rPr>
                <w:rFonts w:eastAsiaTheme="minorHAnsi"/>
                <w:sz w:val="16"/>
                <w:lang w:val="fr-FR" w:eastAsia="en-US"/>
              </w:rPr>
            </w:pPr>
            <w:r w:rsidRPr="00F60569">
              <w:rPr>
                <w:rFonts w:eastAsiaTheme="minorHAnsi"/>
                <w:lang w:val="fr-FR" w:eastAsia="en-US"/>
              </w:rPr>
              <w:t>88-100</w:t>
            </w:r>
          </w:p>
        </w:tc>
        <w:tc>
          <w:tcPr>
            <w:tcW w:w="1025" w:type="dxa"/>
            <w:shd w:val="clear" w:color="auto" w:fill="auto"/>
          </w:tcPr>
          <w:p w14:paraId="0A44D71A" w14:textId="77777777" w:rsidR="006F4C01" w:rsidRPr="00F60569" w:rsidRDefault="006F4C01" w:rsidP="007B6FD6">
            <w:pPr>
              <w:spacing w:after="120" w:line="240" w:lineRule="auto"/>
              <w:ind w:right="7"/>
              <w:jc w:val="center"/>
              <w:rPr>
                <w:rFonts w:eastAsiaTheme="minorHAnsi"/>
                <w:sz w:val="16"/>
                <w:lang w:val="fr-FR" w:eastAsia="en-US"/>
              </w:rPr>
            </w:pPr>
            <w:r w:rsidRPr="00F60569">
              <w:rPr>
                <w:rFonts w:eastAsiaTheme="minorHAnsi"/>
                <w:lang w:val="fr-FR" w:eastAsia="en-US"/>
              </w:rPr>
              <w:t>OP7</w:t>
            </w:r>
          </w:p>
        </w:tc>
        <w:tc>
          <w:tcPr>
            <w:tcW w:w="1025" w:type="dxa"/>
            <w:shd w:val="clear" w:color="auto" w:fill="auto"/>
          </w:tcPr>
          <w:p w14:paraId="0DFCA6BD" w14:textId="77777777" w:rsidR="006F4C01" w:rsidRPr="00F60569" w:rsidRDefault="006F4C01" w:rsidP="007B6FD6">
            <w:pPr>
              <w:spacing w:after="120" w:line="240" w:lineRule="auto"/>
              <w:ind w:right="1134"/>
              <w:jc w:val="center"/>
              <w:rPr>
                <w:rFonts w:eastAsiaTheme="minorHAnsi"/>
                <w:sz w:val="16"/>
                <w:lang w:val="fr-FR" w:eastAsia="en-US"/>
              </w:rPr>
            </w:pPr>
          </w:p>
        </w:tc>
        <w:tc>
          <w:tcPr>
            <w:tcW w:w="1025" w:type="dxa"/>
            <w:shd w:val="clear" w:color="auto" w:fill="auto"/>
          </w:tcPr>
          <w:p w14:paraId="30954D2B" w14:textId="77777777" w:rsidR="006F4C01" w:rsidRPr="00F60569" w:rsidRDefault="006F4C01" w:rsidP="007B6FD6">
            <w:pPr>
              <w:spacing w:after="120" w:line="240" w:lineRule="auto"/>
              <w:ind w:right="1134"/>
              <w:jc w:val="center"/>
              <w:rPr>
                <w:rFonts w:eastAsiaTheme="minorHAnsi"/>
                <w:sz w:val="16"/>
                <w:lang w:val="fr-FR" w:eastAsia="en-US"/>
              </w:rPr>
            </w:pPr>
          </w:p>
        </w:tc>
        <w:tc>
          <w:tcPr>
            <w:tcW w:w="1025" w:type="dxa"/>
            <w:shd w:val="clear" w:color="auto" w:fill="auto"/>
          </w:tcPr>
          <w:p w14:paraId="6ABE4069" w14:textId="77777777" w:rsidR="006F4C01" w:rsidRPr="00F60569" w:rsidRDefault="006F4C01" w:rsidP="007B6FD6">
            <w:pPr>
              <w:spacing w:after="120" w:line="240" w:lineRule="auto"/>
              <w:ind w:right="7"/>
              <w:jc w:val="center"/>
              <w:rPr>
                <w:rFonts w:eastAsiaTheme="minorHAnsi"/>
                <w:sz w:val="16"/>
                <w:lang w:val="fr-FR" w:eastAsia="en-US"/>
              </w:rPr>
            </w:pPr>
            <w:r w:rsidRPr="00F60569">
              <w:rPr>
                <w:rFonts w:eastAsiaTheme="minorHAnsi"/>
                <w:lang w:val="fr-FR" w:eastAsia="en-US"/>
              </w:rPr>
              <w:t>3230</w:t>
            </w:r>
          </w:p>
        </w:tc>
        <w:tc>
          <w:tcPr>
            <w:tcW w:w="1026" w:type="dxa"/>
            <w:shd w:val="clear" w:color="auto" w:fill="auto"/>
          </w:tcPr>
          <w:p w14:paraId="1FB9FB86" w14:textId="77777777" w:rsidR="006F4C01" w:rsidRPr="00F60569" w:rsidRDefault="006F4C01" w:rsidP="007B6FD6">
            <w:pPr>
              <w:spacing w:after="120" w:line="240" w:lineRule="auto"/>
              <w:ind w:right="7"/>
              <w:jc w:val="center"/>
              <w:rPr>
                <w:rFonts w:eastAsiaTheme="minorHAnsi"/>
                <w:sz w:val="16"/>
                <w:lang w:val="fr-FR" w:eastAsia="en-US"/>
              </w:rPr>
            </w:pPr>
            <w:r w:rsidRPr="00F60569">
              <w:rPr>
                <w:rFonts w:eastAsiaTheme="minorHAnsi"/>
                <w:lang w:val="fr-FR" w:eastAsia="en-US"/>
              </w:rPr>
              <w:t>11)</w:t>
            </w:r>
          </w:p>
        </w:tc>
      </w:tr>
    </w:tbl>
    <w:p w14:paraId="5489D6F4" w14:textId="77777777" w:rsidR="006F4C01" w:rsidRPr="00F60569" w:rsidRDefault="006F4C01" w:rsidP="006F4C01">
      <w:pPr>
        <w:tabs>
          <w:tab w:val="left" w:pos="2268"/>
        </w:tabs>
        <w:spacing w:before="240" w:after="120"/>
        <w:ind w:left="1134" w:right="1134"/>
        <w:jc w:val="both"/>
        <w:rPr>
          <w:rFonts w:eastAsiaTheme="minorHAnsi"/>
          <w:lang w:val="fr-FR" w:eastAsia="en-US"/>
        </w:rPr>
      </w:pPr>
      <w:r>
        <w:rPr>
          <w:rFonts w:eastAsiaTheme="minorHAnsi"/>
          <w:lang w:val="fr-FR" w:eastAsia="en-US"/>
        </w:rPr>
        <w:tab/>
      </w:r>
      <w:r w:rsidRPr="00F60569">
        <w:rPr>
          <w:rFonts w:eastAsiaTheme="minorHAnsi"/>
          <w:lang w:val="fr-FR" w:eastAsia="en-US"/>
        </w:rPr>
        <w:t>Ajouter la remarque suivante sous le tableau :</w:t>
      </w:r>
    </w:p>
    <w:p w14:paraId="47083F1C" w14:textId="77777777" w:rsidR="006F4C01" w:rsidRPr="00F60569" w:rsidRDefault="006F4C01" w:rsidP="006F4C01">
      <w:pPr>
        <w:pStyle w:val="SingleTxtG"/>
        <w:rPr>
          <w:rFonts w:eastAsiaTheme="minorHAnsi"/>
          <w:lang w:val="fr-FR" w:eastAsia="en-US"/>
        </w:rPr>
      </w:pPr>
      <w:r w:rsidRPr="00F60569">
        <w:rPr>
          <w:rFonts w:eastAsiaTheme="minorHAnsi"/>
          <w:lang w:val="fr-FR" w:eastAsia="en-US"/>
        </w:rPr>
        <w:t xml:space="preserve">« 11) </w:t>
      </w:r>
      <w:r>
        <w:rPr>
          <w:rFonts w:eastAsiaTheme="minorHAnsi"/>
          <w:lang w:val="fr-FR" w:eastAsia="en-US"/>
        </w:rPr>
        <w:tab/>
        <w:t>Le composé</w:t>
      </w:r>
      <w:r w:rsidRPr="00F60569">
        <w:rPr>
          <w:rFonts w:eastAsiaTheme="minorHAnsi"/>
          <w:lang w:val="fr-FR" w:eastAsia="en-US"/>
        </w:rPr>
        <w:t xml:space="preserve"> technique présentant les limites de concentration spécifiées peut contenir jusqu’à 12 % d’eau et jusqu’à 1 % d’impuretés organiques. »</w:t>
      </w:r>
    </w:p>
    <w:p w14:paraId="2269E14D" w14:textId="77777777" w:rsidR="006F4C01" w:rsidRDefault="006F4C01" w:rsidP="006F4C01">
      <w:pPr>
        <w:kinsoku/>
        <w:overflowPunct/>
        <w:autoSpaceDE/>
        <w:autoSpaceDN/>
        <w:adjustRightInd/>
        <w:snapToGrid/>
        <w:spacing w:after="120"/>
        <w:ind w:left="2268" w:right="1134" w:hanging="1134"/>
        <w:jc w:val="both"/>
        <w:rPr>
          <w:i/>
          <w:iCs/>
          <w:lang w:eastAsia="en-US"/>
        </w:rPr>
      </w:pPr>
      <w:r w:rsidRPr="00F7088C">
        <w:rPr>
          <w:i/>
          <w:iCs/>
          <w:lang w:eastAsia="en-US"/>
        </w:rPr>
        <w:t xml:space="preserve">(Document de référence : </w:t>
      </w:r>
      <w:r>
        <w:rPr>
          <w:i/>
          <w:iCs/>
          <w:lang w:eastAsia="en-US"/>
        </w:rPr>
        <w:t>ST/SG/AC.10/C.3/2020/12</w:t>
      </w:r>
      <w:r w:rsidRPr="00F7088C">
        <w:rPr>
          <w:i/>
          <w:iCs/>
          <w:lang w:eastAsia="en-US"/>
        </w:rPr>
        <w:t>)</w:t>
      </w:r>
    </w:p>
    <w:p w14:paraId="52F50F6D"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2.5</w:t>
      </w:r>
    </w:p>
    <w:p w14:paraId="1E5DBB3E" w14:textId="77777777" w:rsidR="006F4C01" w:rsidRDefault="006F4C01" w:rsidP="006F4C01">
      <w:pPr>
        <w:kinsoku/>
        <w:overflowPunct/>
        <w:autoSpaceDE/>
        <w:autoSpaceDN/>
        <w:adjustRightInd/>
        <w:snapToGrid/>
        <w:spacing w:after="120"/>
        <w:ind w:left="2268" w:right="1134" w:hanging="1134"/>
        <w:jc w:val="both"/>
        <w:rPr>
          <w:lang w:eastAsia="en-US"/>
        </w:rPr>
      </w:pPr>
      <w:r>
        <w:rPr>
          <w:lang w:eastAsia="en-US"/>
        </w:rPr>
        <w:t>2.5.3.2.4</w:t>
      </w:r>
      <w:r>
        <w:rPr>
          <w:lang w:eastAsia="en-US"/>
        </w:rPr>
        <w:tab/>
        <w:t>Dans la dernière phrase, remplacer « Les préparations énumérées » par « </w:t>
      </w:r>
      <w:r w:rsidRPr="00137ECA">
        <w:rPr>
          <w:lang w:eastAsia="en-US"/>
        </w:rPr>
        <w:t>Les préparations non énumérées dans la présente disposition mais énumérées</w:t>
      </w:r>
      <w:r>
        <w:rPr>
          <w:lang w:eastAsia="en-US"/>
        </w:rPr>
        <w:t> ».</w:t>
      </w:r>
    </w:p>
    <w:p w14:paraId="0CE4E98E"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ST/SG/AC.10/C.3/2020/6</w:t>
      </w:r>
      <w:r w:rsidRPr="00F7088C">
        <w:rPr>
          <w:i/>
          <w:iCs/>
          <w:lang w:eastAsia="en-US"/>
        </w:rPr>
        <w:t>)</w:t>
      </w:r>
    </w:p>
    <w:p w14:paraId="44E0B09F" w14:textId="77777777" w:rsidR="006F4C01" w:rsidRPr="00E07898" w:rsidRDefault="006F4C01" w:rsidP="006F4C01">
      <w:pPr>
        <w:pStyle w:val="SingleTxtG"/>
        <w:ind w:left="2268" w:hanging="1134"/>
        <w:rPr>
          <w:lang w:val="fr-FR"/>
        </w:rPr>
      </w:pPr>
      <w:r w:rsidRPr="00E07898">
        <w:rPr>
          <w:lang w:val="fr-FR"/>
        </w:rPr>
        <w:t>2.5.3.2.4</w:t>
      </w:r>
      <w:r w:rsidRPr="00E07898">
        <w:rPr>
          <w:lang w:val="fr-FR"/>
        </w:rPr>
        <w:tab/>
        <w:t xml:space="preserve">Dans le tableau, insérer </w:t>
      </w:r>
      <w:r>
        <w:rPr>
          <w:lang w:val="fr-FR"/>
        </w:rPr>
        <w:t xml:space="preserve">les deux </w:t>
      </w:r>
      <w:r w:rsidRPr="00E07898">
        <w:rPr>
          <w:lang w:val="fr-FR"/>
        </w:rPr>
        <w:t>nouvelle</w:t>
      </w:r>
      <w:r>
        <w:rPr>
          <w:lang w:val="fr-FR"/>
        </w:rPr>
        <w:t>s</w:t>
      </w:r>
      <w:r w:rsidRPr="00E07898">
        <w:rPr>
          <w:lang w:val="fr-FR"/>
        </w:rPr>
        <w:t xml:space="preserve"> rubrique</w:t>
      </w:r>
      <w:r>
        <w:rPr>
          <w:lang w:val="fr-FR"/>
        </w:rPr>
        <w:t>s</w:t>
      </w:r>
      <w:r w:rsidRPr="00E07898">
        <w:rPr>
          <w:lang w:val="fr-FR"/>
        </w:rPr>
        <w:t xml:space="preserve"> suivante</w:t>
      </w:r>
      <w:r>
        <w:rPr>
          <w:lang w:val="fr-FR"/>
        </w:rPr>
        <w:t>s dans le bon ordre :</w:t>
      </w:r>
      <w:r w:rsidRPr="00E07898">
        <w:rPr>
          <w:lang w:val="fr-FR"/>
        </w:rPr>
        <w:t xml:space="preserve"> </w:t>
      </w:r>
    </w:p>
    <w:tbl>
      <w:tblPr>
        <w:tblW w:w="0" w:type="auto"/>
        <w:tblLayout w:type="fixed"/>
        <w:tblLook w:val="0000" w:firstRow="0" w:lastRow="0" w:firstColumn="0" w:lastColumn="0" w:noHBand="0" w:noVBand="0"/>
      </w:tblPr>
      <w:tblGrid>
        <w:gridCol w:w="2182"/>
        <w:gridCol w:w="1580"/>
        <w:gridCol w:w="651"/>
        <w:gridCol w:w="652"/>
        <w:gridCol w:w="652"/>
        <w:gridCol w:w="652"/>
        <w:gridCol w:w="651"/>
        <w:gridCol w:w="652"/>
        <w:gridCol w:w="652"/>
        <w:gridCol w:w="652"/>
        <w:gridCol w:w="652"/>
      </w:tblGrid>
      <w:tr w:rsidR="006F4C01" w:rsidRPr="00564875" w14:paraId="1516524C" w14:textId="77777777" w:rsidTr="007B6FD6">
        <w:tc>
          <w:tcPr>
            <w:tcW w:w="2182" w:type="dxa"/>
            <w:tcBorders>
              <w:top w:val="single" w:sz="4" w:space="0" w:color="auto"/>
              <w:left w:val="single" w:sz="4" w:space="0" w:color="auto"/>
              <w:bottom w:val="single" w:sz="4" w:space="0" w:color="auto"/>
              <w:right w:val="single" w:sz="4" w:space="0" w:color="auto"/>
            </w:tcBorders>
            <w:vAlign w:val="center"/>
          </w:tcPr>
          <w:p w14:paraId="7AE49AE6" w14:textId="77777777" w:rsidR="006F4C01" w:rsidRPr="00564875" w:rsidRDefault="006F4C01" w:rsidP="007B6FD6">
            <w:pPr>
              <w:spacing w:before="60" w:after="60"/>
              <w:rPr>
                <w:rFonts w:eastAsiaTheme="minorHAnsi"/>
                <w:sz w:val="18"/>
                <w:szCs w:val="18"/>
                <w:lang w:eastAsia="en-US"/>
              </w:rPr>
            </w:pPr>
            <w:r w:rsidRPr="00564875">
              <w:rPr>
                <w:rFonts w:eastAsiaTheme="minorHAnsi"/>
                <w:lang w:val="fr-FR" w:eastAsia="en-US"/>
              </w:rPr>
              <w:t xml:space="preserve">CARBONATE D’ISOPROPYLE ET DE PEROXY </w:t>
            </w:r>
            <w:proofErr w:type="spellStart"/>
            <w:r w:rsidRPr="00564875">
              <w:rPr>
                <w:rFonts w:eastAsiaTheme="minorHAnsi"/>
                <w:lang w:val="fr-FR" w:eastAsia="en-US"/>
              </w:rPr>
              <w:t>tert</w:t>
            </w:r>
            <w:proofErr w:type="spellEnd"/>
            <w:r w:rsidRPr="00564875">
              <w:rPr>
                <w:rFonts w:eastAsiaTheme="minorHAnsi"/>
                <w:lang w:val="fr-FR" w:eastAsia="en-US"/>
              </w:rPr>
              <w:t>-BUTYLE</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2F177346"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 62</w:t>
            </w:r>
          </w:p>
        </w:tc>
        <w:tc>
          <w:tcPr>
            <w:tcW w:w="651" w:type="dxa"/>
            <w:tcBorders>
              <w:top w:val="single" w:sz="4" w:space="0" w:color="auto"/>
              <w:left w:val="nil"/>
              <w:bottom w:val="single" w:sz="4" w:space="0" w:color="auto"/>
              <w:right w:val="single" w:sz="4" w:space="0" w:color="auto"/>
            </w:tcBorders>
            <w:shd w:val="clear" w:color="auto" w:fill="auto"/>
            <w:noWrap/>
            <w:vAlign w:val="center"/>
          </w:tcPr>
          <w:p w14:paraId="31AE18E0" w14:textId="77777777" w:rsidR="006F4C01" w:rsidRPr="00564875" w:rsidRDefault="006F4C01" w:rsidP="007B6FD6">
            <w:pPr>
              <w:spacing w:before="60" w:after="60"/>
              <w:jc w:val="center"/>
              <w:rPr>
                <w:rFonts w:eastAsiaTheme="minorHAnsi"/>
                <w:sz w:val="18"/>
                <w:szCs w:val="18"/>
                <w:lang w:eastAsia="en-US"/>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7EFD180C"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 38</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4E9079EC" w14:textId="77777777" w:rsidR="006F4C01" w:rsidRPr="00564875" w:rsidRDefault="006F4C01" w:rsidP="007B6FD6">
            <w:pPr>
              <w:spacing w:before="60" w:after="60"/>
              <w:jc w:val="center"/>
              <w:rPr>
                <w:rFonts w:eastAsiaTheme="minorHAnsi"/>
                <w:sz w:val="18"/>
                <w:szCs w:val="18"/>
                <w:lang w:eastAsia="en-US"/>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17A22C6D" w14:textId="77777777" w:rsidR="006F4C01" w:rsidRPr="00564875" w:rsidRDefault="006F4C01" w:rsidP="007B6FD6">
            <w:pPr>
              <w:spacing w:before="60" w:after="60"/>
              <w:jc w:val="center"/>
              <w:rPr>
                <w:rFonts w:eastAsiaTheme="minorHAnsi"/>
                <w:sz w:val="18"/>
                <w:szCs w:val="18"/>
                <w:lang w:eastAsia="en-US"/>
              </w:rPr>
            </w:pPr>
          </w:p>
        </w:tc>
        <w:tc>
          <w:tcPr>
            <w:tcW w:w="651" w:type="dxa"/>
            <w:tcBorders>
              <w:top w:val="single" w:sz="4" w:space="0" w:color="auto"/>
              <w:left w:val="nil"/>
              <w:bottom w:val="single" w:sz="4" w:space="0" w:color="auto"/>
              <w:right w:val="single" w:sz="4" w:space="0" w:color="auto"/>
            </w:tcBorders>
            <w:shd w:val="clear" w:color="auto" w:fill="auto"/>
            <w:noWrap/>
            <w:vAlign w:val="center"/>
          </w:tcPr>
          <w:p w14:paraId="438F1555"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OP7</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63323F82" w14:textId="77777777" w:rsidR="006F4C01" w:rsidRPr="00564875" w:rsidRDefault="006F4C01" w:rsidP="007B6FD6">
            <w:pPr>
              <w:spacing w:before="60" w:after="60"/>
              <w:jc w:val="center"/>
              <w:rPr>
                <w:rFonts w:eastAsiaTheme="minorHAnsi"/>
                <w:sz w:val="18"/>
                <w:szCs w:val="18"/>
                <w:lang w:eastAsia="en-US"/>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19BB5212" w14:textId="77777777" w:rsidR="006F4C01" w:rsidRPr="00564875" w:rsidRDefault="006F4C01" w:rsidP="007B6FD6">
            <w:pPr>
              <w:spacing w:before="60" w:after="60"/>
              <w:jc w:val="center"/>
              <w:rPr>
                <w:rFonts w:eastAsiaTheme="minorHAnsi"/>
                <w:sz w:val="18"/>
                <w:szCs w:val="18"/>
                <w:lang w:eastAsia="en-US"/>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424828F9"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3105</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6558A748" w14:textId="77777777" w:rsidR="006F4C01" w:rsidRPr="00564875" w:rsidRDefault="006F4C01" w:rsidP="007B6FD6">
            <w:pPr>
              <w:spacing w:before="60" w:after="60"/>
              <w:jc w:val="center"/>
              <w:rPr>
                <w:rFonts w:eastAsiaTheme="minorHAnsi"/>
                <w:sz w:val="18"/>
                <w:szCs w:val="18"/>
                <w:lang w:eastAsia="en-US"/>
              </w:rPr>
            </w:pPr>
          </w:p>
        </w:tc>
      </w:tr>
      <w:tr w:rsidR="006F4C01" w:rsidRPr="00564875" w14:paraId="587878AE" w14:textId="77777777" w:rsidTr="007B6FD6">
        <w:tc>
          <w:tcPr>
            <w:tcW w:w="2182" w:type="dxa"/>
            <w:tcBorders>
              <w:top w:val="single" w:sz="4" w:space="0" w:color="auto"/>
              <w:left w:val="single" w:sz="4" w:space="0" w:color="auto"/>
              <w:bottom w:val="single" w:sz="4" w:space="0" w:color="auto"/>
              <w:right w:val="single" w:sz="4" w:space="0" w:color="auto"/>
            </w:tcBorders>
            <w:vAlign w:val="center"/>
          </w:tcPr>
          <w:p w14:paraId="145FD89F" w14:textId="77777777" w:rsidR="006F4C01" w:rsidRPr="00564875" w:rsidRDefault="006F4C01" w:rsidP="007B6FD6">
            <w:pPr>
              <w:spacing w:before="60" w:after="60"/>
              <w:rPr>
                <w:rFonts w:eastAsiaTheme="minorHAnsi"/>
                <w:sz w:val="18"/>
                <w:szCs w:val="18"/>
                <w:lang w:eastAsia="en-US"/>
              </w:rPr>
            </w:pPr>
            <w:r w:rsidRPr="00564875">
              <w:rPr>
                <w:rFonts w:eastAsiaTheme="minorHAnsi"/>
                <w:lang w:val="fr-FR" w:eastAsia="en-US"/>
              </w:rPr>
              <w:t xml:space="preserve">PEROXYPIVALATE DE </w:t>
            </w:r>
            <w:proofErr w:type="spellStart"/>
            <w:r w:rsidRPr="00564875">
              <w:rPr>
                <w:rFonts w:eastAsiaTheme="minorHAnsi"/>
                <w:lang w:val="fr-FR" w:eastAsia="en-US"/>
              </w:rPr>
              <w:t>tert</w:t>
            </w:r>
            <w:proofErr w:type="spellEnd"/>
            <w:r w:rsidRPr="00564875">
              <w:rPr>
                <w:rFonts w:eastAsiaTheme="minorHAnsi"/>
                <w:lang w:val="fr-FR" w:eastAsia="en-US"/>
              </w:rPr>
              <w:t>-HEXYLE</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C060947"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 52 (dispersion stable dans l’eau)</w:t>
            </w:r>
          </w:p>
        </w:tc>
        <w:tc>
          <w:tcPr>
            <w:tcW w:w="651" w:type="dxa"/>
            <w:tcBorders>
              <w:top w:val="single" w:sz="4" w:space="0" w:color="auto"/>
              <w:left w:val="nil"/>
              <w:bottom w:val="single" w:sz="4" w:space="0" w:color="auto"/>
              <w:right w:val="single" w:sz="4" w:space="0" w:color="auto"/>
            </w:tcBorders>
            <w:shd w:val="clear" w:color="auto" w:fill="auto"/>
            <w:noWrap/>
            <w:vAlign w:val="center"/>
          </w:tcPr>
          <w:p w14:paraId="4E9EC780" w14:textId="77777777" w:rsidR="006F4C01" w:rsidRPr="00564875" w:rsidRDefault="006F4C01" w:rsidP="007B6FD6">
            <w:pPr>
              <w:spacing w:before="60" w:after="60"/>
              <w:jc w:val="center"/>
              <w:rPr>
                <w:rFonts w:eastAsiaTheme="minorHAnsi"/>
                <w:sz w:val="18"/>
                <w:szCs w:val="18"/>
                <w:lang w:eastAsia="en-US"/>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3C586A1E" w14:textId="77777777" w:rsidR="006F4C01" w:rsidRPr="00564875" w:rsidRDefault="006F4C01" w:rsidP="007B6FD6">
            <w:pPr>
              <w:spacing w:before="60" w:after="60"/>
              <w:jc w:val="center"/>
              <w:rPr>
                <w:rFonts w:eastAsiaTheme="minorHAnsi"/>
                <w:sz w:val="18"/>
                <w:szCs w:val="18"/>
                <w:lang w:eastAsia="en-US"/>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26EBDAF7" w14:textId="77777777" w:rsidR="006F4C01" w:rsidRPr="00564875" w:rsidRDefault="006F4C01" w:rsidP="007B6FD6">
            <w:pPr>
              <w:spacing w:before="60" w:after="60"/>
              <w:jc w:val="center"/>
              <w:rPr>
                <w:rFonts w:eastAsiaTheme="minorHAnsi"/>
                <w:sz w:val="18"/>
                <w:szCs w:val="18"/>
                <w:lang w:eastAsia="en-US"/>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413BF5F2" w14:textId="77777777" w:rsidR="006F4C01" w:rsidRPr="00564875" w:rsidRDefault="006F4C01" w:rsidP="007B6FD6">
            <w:pPr>
              <w:spacing w:before="60" w:after="60"/>
              <w:jc w:val="center"/>
              <w:rPr>
                <w:rFonts w:eastAsiaTheme="minorHAnsi"/>
                <w:sz w:val="18"/>
                <w:szCs w:val="18"/>
                <w:lang w:eastAsia="en-US"/>
              </w:rPr>
            </w:pPr>
          </w:p>
        </w:tc>
        <w:tc>
          <w:tcPr>
            <w:tcW w:w="651" w:type="dxa"/>
            <w:tcBorders>
              <w:top w:val="single" w:sz="4" w:space="0" w:color="auto"/>
              <w:left w:val="nil"/>
              <w:bottom w:val="single" w:sz="4" w:space="0" w:color="auto"/>
              <w:right w:val="single" w:sz="4" w:space="0" w:color="auto"/>
            </w:tcBorders>
            <w:shd w:val="clear" w:color="auto" w:fill="auto"/>
            <w:noWrap/>
            <w:vAlign w:val="center"/>
          </w:tcPr>
          <w:p w14:paraId="345711F1"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OP8</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0B5819E7"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+ 15</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4DE6741B"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+ 20</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1D010AB3" w14:textId="77777777" w:rsidR="006F4C01" w:rsidRPr="00564875" w:rsidRDefault="006F4C01" w:rsidP="007B6FD6">
            <w:pPr>
              <w:spacing w:before="60" w:after="60"/>
              <w:jc w:val="center"/>
              <w:rPr>
                <w:rFonts w:eastAsiaTheme="minorHAnsi"/>
                <w:sz w:val="18"/>
                <w:szCs w:val="18"/>
                <w:lang w:eastAsia="en-US"/>
              </w:rPr>
            </w:pPr>
            <w:r w:rsidRPr="00564875">
              <w:rPr>
                <w:rFonts w:eastAsiaTheme="minorHAnsi"/>
                <w:lang w:val="fr-FR" w:eastAsia="en-US"/>
              </w:rPr>
              <w:t>3117</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4C04352A" w14:textId="77777777" w:rsidR="006F4C01" w:rsidRPr="00564875" w:rsidRDefault="006F4C01" w:rsidP="007B6FD6">
            <w:pPr>
              <w:spacing w:before="60" w:after="60"/>
              <w:jc w:val="center"/>
              <w:rPr>
                <w:rFonts w:eastAsiaTheme="minorHAnsi"/>
                <w:sz w:val="18"/>
                <w:szCs w:val="18"/>
                <w:lang w:eastAsia="en-US"/>
              </w:rPr>
            </w:pPr>
          </w:p>
        </w:tc>
      </w:tr>
    </w:tbl>
    <w:p w14:paraId="20BA7EAF" w14:textId="77777777" w:rsidR="006F4C01" w:rsidRPr="00975AFD" w:rsidRDefault="006F4C01" w:rsidP="006F4C01">
      <w:pPr>
        <w:pStyle w:val="SingleTxtG"/>
        <w:spacing w:before="120"/>
        <w:rPr>
          <w:i/>
          <w:iCs/>
        </w:rPr>
      </w:pPr>
      <w:r w:rsidRPr="00975AFD">
        <w:rPr>
          <w:i/>
          <w:iCs/>
        </w:rPr>
        <w:t>(Document de référence : ST/SG/AC.10/C.3/</w:t>
      </w:r>
      <w:r>
        <w:rPr>
          <w:i/>
          <w:iCs/>
        </w:rPr>
        <w:t>2020/14</w:t>
      </w:r>
      <w:r w:rsidRPr="00975AFD">
        <w:rPr>
          <w:i/>
          <w:iCs/>
        </w:rPr>
        <w:t>)</w:t>
      </w:r>
    </w:p>
    <w:p w14:paraId="2D9AC063"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2.6</w:t>
      </w:r>
    </w:p>
    <w:p w14:paraId="24D37460" w14:textId="77777777" w:rsidR="006F4C01" w:rsidRDefault="006F4C01" w:rsidP="006F4C01">
      <w:pPr>
        <w:pStyle w:val="SingleTxtG"/>
      </w:pPr>
      <w:r>
        <w:t>Dans le Nota 2 sous le titre du chapitre, à la fin, après « au numéro ONU 3172 », ajouter « ou au numéro ONU 3462 ».</w:t>
      </w:r>
    </w:p>
    <w:p w14:paraId="5F245B9E" w14:textId="77777777" w:rsidR="006F4C01" w:rsidRDefault="006F4C01" w:rsidP="006F4C01">
      <w:pPr>
        <w:pStyle w:val="SingleTxtG"/>
        <w:spacing w:before="120"/>
        <w:rPr>
          <w:i/>
        </w:rPr>
      </w:pPr>
      <w:r w:rsidRPr="00692350">
        <w:rPr>
          <w:i/>
        </w:rPr>
        <w:t>(Document de référence : ST/SG/AC.10/C.3/</w:t>
      </w:r>
      <w:r>
        <w:rPr>
          <w:i/>
        </w:rPr>
        <w:t>2020/31</w:t>
      </w:r>
      <w:r w:rsidRPr="00692350">
        <w:rPr>
          <w:i/>
        </w:rPr>
        <w:t>)</w:t>
      </w:r>
    </w:p>
    <w:p w14:paraId="10DBA6F3" w14:textId="77777777" w:rsidR="006F4C01" w:rsidRPr="00652134" w:rsidRDefault="006F4C01" w:rsidP="006F4C01">
      <w:pPr>
        <w:pStyle w:val="H1G"/>
        <w:rPr>
          <w:lang w:val="fr-FR" w:eastAsia="en-US"/>
        </w:rPr>
      </w:pPr>
      <w:r w:rsidRPr="00652134">
        <w:rPr>
          <w:lang w:val="fr-FR" w:eastAsia="en-US"/>
        </w:rPr>
        <w:tab/>
      </w:r>
      <w:r w:rsidRPr="00652134">
        <w:rPr>
          <w:lang w:val="fr-FR" w:eastAsia="en-US"/>
        </w:rPr>
        <w:tab/>
        <w:t xml:space="preserve">Chapitre </w:t>
      </w:r>
      <w:r>
        <w:rPr>
          <w:lang w:val="fr-FR" w:eastAsia="en-US"/>
        </w:rPr>
        <w:t>2.7</w:t>
      </w:r>
    </w:p>
    <w:p w14:paraId="55A076FE" w14:textId="77777777" w:rsidR="006F4C01" w:rsidRPr="001C3408" w:rsidRDefault="006F4C01" w:rsidP="006F4C01">
      <w:pPr>
        <w:tabs>
          <w:tab w:val="left" w:pos="2268"/>
        </w:tabs>
        <w:kinsoku/>
        <w:overflowPunct/>
        <w:autoSpaceDE/>
        <w:autoSpaceDN/>
        <w:adjustRightInd/>
        <w:snapToGrid/>
        <w:spacing w:after="120"/>
        <w:ind w:left="1134" w:right="1134"/>
        <w:jc w:val="both"/>
        <w:rPr>
          <w:lang w:val="fr-FR" w:eastAsia="en-US"/>
        </w:rPr>
      </w:pPr>
      <w:r w:rsidRPr="001C3408">
        <w:rPr>
          <w:lang w:val="fr-FR" w:eastAsia="en-US"/>
        </w:rPr>
        <w:t xml:space="preserve">2.7.2.3.1.4 </w:t>
      </w:r>
      <w:r w:rsidRPr="001C3408">
        <w:rPr>
          <w:lang w:val="fr-FR" w:eastAsia="en-US"/>
        </w:rPr>
        <w:tab/>
      </w:r>
      <w:r>
        <w:rPr>
          <w:lang w:val="fr-FR" w:eastAsia="en-US"/>
        </w:rPr>
        <w:t>Supprimer et ajouter « </w:t>
      </w:r>
      <w:r w:rsidRPr="001C3408">
        <w:rPr>
          <w:lang w:val="fr-FR" w:eastAsia="en-US"/>
        </w:rPr>
        <w:t>2.7.2.3.1.4</w:t>
      </w:r>
      <w:r w:rsidRPr="001C3408">
        <w:rPr>
          <w:lang w:val="fr-FR" w:eastAsia="en-US"/>
        </w:rPr>
        <w:tab/>
      </w:r>
      <w:r>
        <w:rPr>
          <w:i/>
          <w:iCs/>
          <w:lang w:val="fr-FR" w:eastAsia="en-US"/>
        </w:rPr>
        <w:t>Supprimé</w:t>
      </w:r>
      <w:r w:rsidRPr="001C3408">
        <w:rPr>
          <w:lang w:val="fr-FR" w:eastAsia="en-US"/>
        </w:rPr>
        <w:t>.</w:t>
      </w:r>
      <w:r>
        <w:rPr>
          <w:lang w:val="fr-FR" w:eastAsia="en-US"/>
        </w:rPr>
        <w:t> »</w:t>
      </w:r>
      <w:r w:rsidRPr="001C3408">
        <w:rPr>
          <w:lang w:val="fr-FR" w:eastAsia="en-US"/>
        </w:rPr>
        <w:t>.</w:t>
      </w:r>
    </w:p>
    <w:p w14:paraId="0801C964" w14:textId="77777777" w:rsidR="006F4C01" w:rsidRDefault="006F4C01" w:rsidP="006F4C01">
      <w:pPr>
        <w:pStyle w:val="SingleTxtG"/>
        <w:spacing w:before="120"/>
        <w:rPr>
          <w:i/>
        </w:rPr>
      </w:pPr>
      <w:r w:rsidRPr="00692350">
        <w:rPr>
          <w:i/>
        </w:rPr>
        <w:t xml:space="preserve">(Document de référence : </w:t>
      </w:r>
      <w:r>
        <w:rPr>
          <w:i/>
        </w:rPr>
        <w:t>document informel INF.30</w:t>
      </w:r>
      <w:r w:rsidRPr="00692350">
        <w:rPr>
          <w:i/>
        </w:rPr>
        <w:t>)</w:t>
      </w:r>
    </w:p>
    <w:p w14:paraId="4797B002" w14:textId="77777777" w:rsidR="006F4C01" w:rsidRPr="001C3408" w:rsidRDefault="006F4C01" w:rsidP="006F4C01">
      <w:pPr>
        <w:tabs>
          <w:tab w:val="left" w:pos="2268"/>
        </w:tabs>
        <w:kinsoku/>
        <w:overflowPunct/>
        <w:autoSpaceDE/>
        <w:autoSpaceDN/>
        <w:adjustRightInd/>
        <w:snapToGrid/>
        <w:spacing w:after="120"/>
        <w:ind w:left="1134" w:right="1134"/>
        <w:jc w:val="both"/>
        <w:rPr>
          <w:lang w:val="fr-FR" w:eastAsia="en-US"/>
        </w:rPr>
      </w:pPr>
      <w:r w:rsidRPr="001C3408">
        <w:rPr>
          <w:lang w:val="fr-FR" w:eastAsia="en-US"/>
        </w:rPr>
        <w:t>2.7.2.3.1.5</w:t>
      </w:r>
      <w:r w:rsidRPr="001C3408">
        <w:rPr>
          <w:lang w:val="fr-FR" w:eastAsia="en-US"/>
        </w:rPr>
        <w:tab/>
      </w:r>
      <w:r>
        <w:rPr>
          <w:lang w:val="fr-FR" w:eastAsia="en-US"/>
        </w:rPr>
        <w:t>Supprimer et ajouter « </w:t>
      </w:r>
      <w:r w:rsidRPr="001C3408">
        <w:rPr>
          <w:lang w:val="fr-FR" w:eastAsia="en-US"/>
        </w:rPr>
        <w:t xml:space="preserve">2.7.2.3.1.5 </w:t>
      </w:r>
      <w:r w:rsidRPr="001C3408">
        <w:rPr>
          <w:lang w:val="fr-FR" w:eastAsia="en-US"/>
        </w:rPr>
        <w:tab/>
      </w:r>
      <w:r>
        <w:rPr>
          <w:i/>
          <w:iCs/>
          <w:lang w:val="fr-FR" w:eastAsia="en-US"/>
        </w:rPr>
        <w:t>Supprimé</w:t>
      </w:r>
      <w:r w:rsidRPr="001C3408">
        <w:rPr>
          <w:lang w:val="fr-FR" w:eastAsia="en-US"/>
        </w:rPr>
        <w:t>.</w:t>
      </w:r>
      <w:r>
        <w:rPr>
          <w:lang w:val="fr-FR" w:eastAsia="en-US"/>
        </w:rPr>
        <w:t> »</w:t>
      </w:r>
      <w:r w:rsidRPr="001C3408">
        <w:rPr>
          <w:lang w:val="fr-FR" w:eastAsia="en-US"/>
        </w:rPr>
        <w:t>.</w:t>
      </w:r>
    </w:p>
    <w:p w14:paraId="21481CC9" w14:textId="77777777" w:rsidR="006F4C01" w:rsidRDefault="006F4C01" w:rsidP="006F4C01">
      <w:pPr>
        <w:pStyle w:val="SingleTxtG"/>
        <w:spacing w:before="120"/>
        <w:rPr>
          <w:i/>
        </w:rPr>
      </w:pPr>
      <w:r w:rsidRPr="00692350">
        <w:rPr>
          <w:i/>
        </w:rPr>
        <w:t xml:space="preserve">(Document de référence : </w:t>
      </w:r>
      <w:r>
        <w:rPr>
          <w:i/>
        </w:rPr>
        <w:t>document informel INF.30</w:t>
      </w:r>
      <w:r w:rsidRPr="00692350">
        <w:rPr>
          <w:i/>
        </w:rPr>
        <w:t>)</w:t>
      </w:r>
    </w:p>
    <w:p w14:paraId="66851F9D" w14:textId="77777777" w:rsidR="006F4C01" w:rsidRPr="001C3408" w:rsidRDefault="006F4C01" w:rsidP="006F4C01">
      <w:pPr>
        <w:tabs>
          <w:tab w:val="left" w:pos="2268"/>
        </w:tabs>
        <w:kinsoku/>
        <w:overflowPunct/>
        <w:autoSpaceDE/>
        <w:autoSpaceDN/>
        <w:adjustRightInd/>
        <w:snapToGrid/>
        <w:spacing w:after="120"/>
        <w:ind w:left="1134" w:right="1134"/>
        <w:jc w:val="both"/>
        <w:rPr>
          <w:lang w:val="fr-FR" w:eastAsia="en-US"/>
        </w:rPr>
      </w:pPr>
      <w:r w:rsidRPr="001C3408">
        <w:rPr>
          <w:lang w:val="fr-FR" w:eastAsia="en-US"/>
        </w:rPr>
        <w:t>2.7.2.3.4</w:t>
      </w:r>
      <w:r w:rsidRPr="001C3408">
        <w:rPr>
          <w:lang w:val="fr-FR" w:eastAsia="en-US"/>
        </w:rPr>
        <w:tab/>
      </w:r>
      <w:r>
        <w:rPr>
          <w:lang w:val="fr-FR" w:eastAsia="en-US"/>
        </w:rPr>
        <w:t>La modification ne s’applique pas au texte français.</w:t>
      </w:r>
    </w:p>
    <w:p w14:paraId="1C1AA6A6" w14:textId="77777777" w:rsidR="006F4C01" w:rsidRDefault="006F4C01" w:rsidP="006F4C01">
      <w:pPr>
        <w:pStyle w:val="SingleTxtG"/>
        <w:spacing w:before="120"/>
        <w:rPr>
          <w:i/>
        </w:rPr>
      </w:pPr>
      <w:r w:rsidRPr="00692350">
        <w:rPr>
          <w:i/>
        </w:rPr>
        <w:t xml:space="preserve">(Document de référence : </w:t>
      </w:r>
      <w:r>
        <w:rPr>
          <w:i/>
        </w:rPr>
        <w:t>document informel INF.30</w:t>
      </w:r>
      <w:r w:rsidRPr="00692350">
        <w:rPr>
          <w:i/>
        </w:rPr>
        <w:t>)</w:t>
      </w:r>
    </w:p>
    <w:p w14:paraId="4577F543" w14:textId="77777777" w:rsidR="006F4C01" w:rsidRPr="001C3408" w:rsidRDefault="006F4C01" w:rsidP="006F4C01">
      <w:pPr>
        <w:tabs>
          <w:tab w:val="left" w:pos="2268"/>
        </w:tabs>
        <w:kinsoku/>
        <w:overflowPunct/>
        <w:autoSpaceDE/>
        <w:autoSpaceDN/>
        <w:adjustRightInd/>
        <w:snapToGrid/>
        <w:spacing w:after="120"/>
        <w:ind w:left="1134" w:right="1134"/>
        <w:jc w:val="both"/>
        <w:rPr>
          <w:lang w:val="fr-FR" w:eastAsia="en-US"/>
        </w:rPr>
      </w:pPr>
      <w:r w:rsidRPr="001C3408">
        <w:rPr>
          <w:lang w:val="fr-FR" w:eastAsia="en-US"/>
        </w:rPr>
        <w:t>2.7.2.3.4.1 c)</w:t>
      </w:r>
      <w:r w:rsidRPr="001C3408">
        <w:rPr>
          <w:lang w:val="fr-FR" w:eastAsia="en-US"/>
        </w:rPr>
        <w:tab/>
      </w:r>
      <w:r w:rsidRPr="001C3408">
        <w:rPr>
          <w:lang w:val="fr-FR" w:eastAsia="en-US"/>
        </w:rPr>
        <w:tab/>
      </w:r>
      <w:r>
        <w:rPr>
          <w:lang w:val="fr-FR" w:eastAsia="en-US"/>
        </w:rPr>
        <w:t>Dans la première phrase</w:t>
      </w:r>
      <w:r w:rsidRPr="001C3408">
        <w:rPr>
          <w:lang w:val="fr-FR" w:eastAsia="en-US"/>
        </w:rPr>
        <w:t>, re</w:t>
      </w:r>
      <w:r>
        <w:rPr>
          <w:lang w:val="fr-FR" w:eastAsia="en-US"/>
        </w:rPr>
        <w:t>m</w:t>
      </w:r>
      <w:r w:rsidRPr="001C3408">
        <w:rPr>
          <w:lang w:val="fr-FR" w:eastAsia="en-US"/>
        </w:rPr>
        <w:t>place</w:t>
      </w:r>
      <w:r>
        <w:rPr>
          <w:lang w:val="fr-FR" w:eastAsia="en-US"/>
        </w:rPr>
        <w:t>r</w:t>
      </w:r>
      <w:r w:rsidRPr="001C3408">
        <w:rPr>
          <w:lang w:val="fr-FR" w:eastAsia="en-US"/>
        </w:rPr>
        <w:t xml:space="preserve"> </w:t>
      </w:r>
      <w:r>
        <w:rPr>
          <w:lang w:val="fr-FR" w:eastAsia="en-US"/>
        </w:rPr>
        <w:t>« </w:t>
      </w:r>
      <w:r w:rsidRPr="001C3408">
        <w:rPr>
          <w:lang w:val="fr-FR" w:eastAsia="en-US"/>
        </w:rPr>
        <w:t>2.7.2.3.1.4</w:t>
      </w:r>
      <w:r>
        <w:rPr>
          <w:lang w:val="fr-FR" w:eastAsia="en-US"/>
        </w:rPr>
        <w:t> » par « </w:t>
      </w:r>
      <w:r w:rsidRPr="001C3408">
        <w:rPr>
          <w:lang w:val="fr-FR" w:eastAsia="en-US"/>
        </w:rPr>
        <w:t>2.7.2.3.4.3</w:t>
      </w:r>
      <w:r>
        <w:rPr>
          <w:lang w:val="fr-FR" w:eastAsia="en-US"/>
        </w:rPr>
        <w:t> »</w:t>
      </w:r>
      <w:r w:rsidRPr="001C3408">
        <w:rPr>
          <w:lang w:val="fr-FR" w:eastAsia="en-US"/>
        </w:rPr>
        <w:t>.</w:t>
      </w:r>
    </w:p>
    <w:p w14:paraId="2608E5B5" w14:textId="77777777" w:rsidR="006F4C01" w:rsidRDefault="006F4C01" w:rsidP="006F4C01">
      <w:pPr>
        <w:pStyle w:val="SingleTxtG"/>
        <w:spacing w:before="120"/>
        <w:rPr>
          <w:i/>
        </w:rPr>
      </w:pPr>
      <w:r w:rsidRPr="00692350">
        <w:rPr>
          <w:i/>
        </w:rPr>
        <w:t xml:space="preserve">(Document de référence : </w:t>
      </w:r>
      <w:r>
        <w:rPr>
          <w:i/>
        </w:rPr>
        <w:t>document informel INF.30</w:t>
      </w:r>
      <w:r w:rsidRPr="00692350">
        <w:rPr>
          <w:i/>
        </w:rPr>
        <w:t>)</w:t>
      </w:r>
    </w:p>
    <w:p w14:paraId="3E61067A" w14:textId="77777777" w:rsidR="006F4C01" w:rsidRPr="001C3408" w:rsidRDefault="006F4C01" w:rsidP="006F4C01">
      <w:pPr>
        <w:tabs>
          <w:tab w:val="left" w:pos="2268"/>
        </w:tabs>
        <w:kinsoku/>
        <w:overflowPunct/>
        <w:autoSpaceDE/>
        <w:autoSpaceDN/>
        <w:adjustRightInd/>
        <w:snapToGrid/>
        <w:spacing w:after="120"/>
        <w:ind w:left="1134" w:right="1134"/>
        <w:jc w:val="both"/>
        <w:rPr>
          <w:lang w:val="fr-FR" w:eastAsia="en-US"/>
        </w:rPr>
      </w:pPr>
      <w:r w:rsidRPr="001C3408">
        <w:rPr>
          <w:lang w:val="fr-FR" w:eastAsia="en-US"/>
        </w:rPr>
        <w:t>2.7.2.3.4.3</w:t>
      </w:r>
      <w:r w:rsidRPr="001C3408">
        <w:rPr>
          <w:lang w:val="fr-FR" w:eastAsia="en-US"/>
        </w:rPr>
        <w:tab/>
      </w:r>
      <w:r>
        <w:rPr>
          <w:lang w:val="fr-FR" w:eastAsia="en-US"/>
        </w:rPr>
        <w:t>Ajouter un nouveau</w:t>
      </w:r>
      <w:r w:rsidRPr="001C3408">
        <w:rPr>
          <w:lang w:val="fr-FR" w:eastAsia="en-US"/>
        </w:rPr>
        <w:t xml:space="preserve"> 2.7.2.3.4.3 </w:t>
      </w:r>
      <w:r>
        <w:rPr>
          <w:lang w:val="fr-FR" w:eastAsia="en-US"/>
        </w:rPr>
        <w:t xml:space="preserve">pour lire comme suit </w:t>
      </w:r>
      <w:r w:rsidRPr="001C3408">
        <w:rPr>
          <w:lang w:val="fr-FR" w:eastAsia="en-US"/>
        </w:rPr>
        <w:t>:</w:t>
      </w:r>
    </w:p>
    <w:p w14:paraId="2B42593A" w14:textId="77777777" w:rsidR="006F4C01" w:rsidRDefault="006F4C01" w:rsidP="006F4C01">
      <w:pPr>
        <w:tabs>
          <w:tab w:val="left" w:pos="2268"/>
        </w:tabs>
        <w:kinsoku/>
        <w:overflowPunct/>
        <w:autoSpaceDE/>
        <w:autoSpaceDN/>
        <w:adjustRightInd/>
        <w:snapToGrid/>
        <w:spacing w:after="120"/>
        <w:ind w:left="1134" w:right="1134"/>
        <w:jc w:val="both"/>
        <w:rPr>
          <w:sz w:val="21"/>
          <w:lang w:val="fr-FR"/>
        </w:rPr>
      </w:pPr>
      <w:r>
        <w:rPr>
          <w:lang w:val="fr-FR" w:eastAsia="en-US"/>
        </w:rPr>
        <w:t>« </w:t>
      </w:r>
      <w:r w:rsidRPr="001C3408">
        <w:rPr>
          <w:lang w:val="fr-FR" w:eastAsia="en-US"/>
        </w:rPr>
        <w:t>2.7.2.3.4.3</w:t>
      </w:r>
      <w:r w:rsidRPr="001C3408">
        <w:rPr>
          <w:lang w:val="fr-FR" w:eastAsia="en-US"/>
        </w:rPr>
        <w:tab/>
      </w:r>
      <w:r w:rsidRPr="003C5816">
        <w:rPr>
          <w:sz w:val="21"/>
          <w:lang w:val="fr-FR"/>
        </w:rPr>
        <w:t xml:space="preserve">Des matières solides représentant le contenu total du </w:t>
      </w:r>
      <w:r w:rsidRPr="005F070F">
        <w:rPr>
          <w:sz w:val="21"/>
          <w:lang w:val="fr-FR"/>
        </w:rPr>
        <w:t>colis</w:t>
      </w:r>
      <w:r w:rsidRPr="003C5816">
        <w:rPr>
          <w:sz w:val="21"/>
          <w:lang w:val="fr-FR"/>
        </w:rPr>
        <w:t xml:space="preserve"> doivent être immergées dans l</w:t>
      </w:r>
      <w:r>
        <w:rPr>
          <w:sz w:val="21"/>
          <w:lang w:val="fr-FR"/>
        </w:rPr>
        <w:t>’</w:t>
      </w:r>
      <w:r w:rsidRPr="003C5816">
        <w:rPr>
          <w:sz w:val="21"/>
          <w:lang w:val="fr-FR"/>
        </w:rPr>
        <w:t>eau pendant 7 jours à la température ambiante. Le volume d</w:t>
      </w:r>
      <w:r>
        <w:rPr>
          <w:sz w:val="21"/>
          <w:lang w:val="fr-FR"/>
        </w:rPr>
        <w:t>’</w:t>
      </w:r>
      <w:r w:rsidRPr="003C5816">
        <w:rPr>
          <w:sz w:val="21"/>
          <w:lang w:val="fr-FR"/>
        </w:rPr>
        <w:t xml:space="preserve">eau doit </w:t>
      </w:r>
      <w:r w:rsidRPr="003C5816">
        <w:rPr>
          <w:sz w:val="21"/>
          <w:lang w:val="fr-FR"/>
        </w:rPr>
        <w:lastRenderedPageBreak/>
        <w:t>être suffisant pour qu</w:t>
      </w:r>
      <w:r>
        <w:rPr>
          <w:sz w:val="21"/>
          <w:lang w:val="fr-FR"/>
        </w:rPr>
        <w:t>’</w:t>
      </w:r>
      <w:r w:rsidRPr="003C5816">
        <w:rPr>
          <w:sz w:val="21"/>
          <w:lang w:val="fr-FR"/>
        </w:rPr>
        <w:t>à la fin de la période d</w:t>
      </w:r>
      <w:r>
        <w:rPr>
          <w:sz w:val="21"/>
          <w:lang w:val="fr-FR"/>
        </w:rPr>
        <w:t>’</w:t>
      </w:r>
      <w:r w:rsidRPr="003C5816">
        <w:rPr>
          <w:sz w:val="21"/>
          <w:lang w:val="fr-FR"/>
        </w:rPr>
        <w:t>épreuve de 7 jours le volume libre de l</w:t>
      </w:r>
      <w:r>
        <w:rPr>
          <w:sz w:val="21"/>
          <w:lang w:val="fr-FR"/>
        </w:rPr>
        <w:t>’</w:t>
      </w:r>
      <w:r w:rsidRPr="003C5816">
        <w:rPr>
          <w:sz w:val="21"/>
          <w:lang w:val="fr-FR"/>
        </w:rPr>
        <w:t>eau restante non absorbée et n</w:t>
      </w:r>
      <w:r>
        <w:rPr>
          <w:sz w:val="21"/>
          <w:lang w:val="fr-FR"/>
        </w:rPr>
        <w:t>’</w:t>
      </w:r>
      <w:r w:rsidRPr="003C5816">
        <w:rPr>
          <w:sz w:val="21"/>
          <w:lang w:val="fr-FR"/>
        </w:rPr>
        <w:t>ayant pas réagi soit au moins égal à 10 % du volume de l</w:t>
      </w:r>
      <w:r>
        <w:rPr>
          <w:sz w:val="21"/>
          <w:lang w:val="fr-FR"/>
        </w:rPr>
        <w:t>’</w:t>
      </w:r>
      <w:r w:rsidRPr="003C5816">
        <w:rPr>
          <w:sz w:val="21"/>
          <w:lang w:val="fr-FR"/>
        </w:rPr>
        <w:t>échantillon solide utilisé pour l</w:t>
      </w:r>
      <w:r>
        <w:rPr>
          <w:sz w:val="21"/>
          <w:lang w:val="fr-FR"/>
        </w:rPr>
        <w:t>’</w:t>
      </w:r>
      <w:r w:rsidRPr="003C5816">
        <w:rPr>
          <w:sz w:val="21"/>
          <w:lang w:val="fr-FR"/>
        </w:rPr>
        <w:t>épreuve. L</w:t>
      </w:r>
      <w:r>
        <w:rPr>
          <w:sz w:val="21"/>
          <w:lang w:val="fr-FR"/>
        </w:rPr>
        <w:t>’</w:t>
      </w:r>
      <w:r w:rsidRPr="003C5816">
        <w:rPr>
          <w:sz w:val="21"/>
          <w:lang w:val="fr-FR"/>
        </w:rPr>
        <w:t xml:space="preserve">eau doit avoir un pH initial de 6 à 8 et une conductivité maximale de 1 </w:t>
      </w:r>
      <w:proofErr w:type="spellStart"/>
      <w:r w:rsidRPr="003C5816">
        <w:rPr>
          <w:sz w:val="21"/>
          <w:lang w:val="fr-FR"/>
        </w:rPr>
        <w:t>mS</w:t>
      </w:r>
      <w:proofErr w:type="spellEnd"/>
      <w:r w:rsidRPr="003C5816">
        <w:rPr>
          <w:sz w:val="21"/>
          <w:lang w:val="fr-FR"/>
        </w:rPr>
        <w:t>/m à 20 °C. L</w:t>
      </w:r>
      <w:r>
        <w:rPr>
          <w:sz w:val="21"/>
          <w:lang w:val="fr-FR"/>
        </w:rPr>
        <w:t>’</w:t>
      </w:r>
      <w:r w:rsidRPr="003C5816">
        <w:rPr>
          <w:sz w:val="21"/>
          <w:lang w:val="fr-FR"/>
        </w:rPr>
        <w:t>activité totale du volume libre d</w:t>
      </w:r>
      <w:r>
        <w:rPr>
          <w:sz w:val="21"/>
          <w:lang w:val="fr-FR"/>
        </w:rPr>
        <w:t>’</w:t>
      </w:r>
      <w:r w:rsidRPr="003C5816">
        <w:rPr>
          <w:sz w:val="21"/>
          <w:lang w:val="fr-FR"/>
        </w:rPr>
        <w:t>eau doit être mesurée après immersion de l</w:t>
      </w:r>
      <w:r>
        <w:rPr>
          <w:sz w:val="21"/>
          <w:lang w:val="fr-FR"/>
        </w:rPr>
        <w:t>’</w:t>
      </w:r>
      <w:r w:rsidRPr="003C5816">
        <w:rPr>
          <w:sz w:val="21"/>
          <w:lang w:val="fr-FR"/>
        </w:rPr>
        <w:t>échantillon pendant 7 jours.</w:t>
      </w:r>
      <w:r>
        <w:rPr>
          <w:sz w:val="21"/>
          <w:lang w:val="fr-FR"/>
        </w:rPr>
        <w:t> »</w:t>
      </w:r>
    </w:p>
    <w:p w14:paraId="2B65D6EB" w14:textId="77777777" w:rsidR="006F4C01" w:rsidRPr="001C3408" w:rsidRDefault="006F4C01" w:rsidP="006F4C01">
      <w:pPr>
        <w:tabs>
          <w:tab w:val="left" w:pos="2268"/>
        </w:tabs>
        <w:kinsoku/>
        <w:overflowPunct/>
        <w:autoSpaceDE/>
        <w:autoSpaceDN/>
        <w:adjustRightInd/>
        <w:snapToGrid/>
        <w:spacing w:after="120"/>
        <w:ind w:left="2268" w:right="1134"/>
        <w:jc w:val="both"/>
        <w:rPr>
          <w:lang w:val="fr-FR" w:eastAsia="en-US"/>
        </w:rPr>
      </w:pPr>
      <w:r>
        <w:rPr>
          <w:sz w:val="21"/>
          <w:lang w:val="fr-FR"/>
        </w:rPr>
        <w:t xml:space="preserve">Renuméroter le </w:t>
      </w:r>
      <w:r w:rsidRPr="001C3408">
        <w:rPr>
          <w:lang w:val="fr-FR" w:eastAsia="en-US"/>
        </w:rPr>
        <w:t xml:space="preserve">2.7.2.3.4.3 </w:t>
      </w:r>
      <w:r>
        <w:rPr>
          <w:lang w:val="fr-FR" w:eastAsia="en-US"/>
        </w:rPr>
        <w:t>en</w:t>
      </w:r>
      <w:r w:rsidRPr="001C3408">
        <w:rPr>
          <w:lang w:val="fr-FR" w:eastAsia="en-US"/>
        </w:rPr>
        <w:t xml:space="preserve"> 2.7.2.3.4.4 </w:t>
      </w:r>
      <w:r>
        <w:rPr>
          <w:lang w:val="fr-FR" w:eastAsia="en-US"/>
        </w:rPr>
        <w:t>et remplacer « </w:t>
      </w:r>
      <w:r w:rsidRPr="001C3408">
        <w:rPr>
          <w:lang w:val="fr-FR" w:eastAsia="en-US"/>
        </w:rPr>
        <w:t xml:space="preserve">2.7.2.3.4.1 </w:t>
      </w:r>
      <w:r>
        <w:rPr>
          <w:lang w:val="fr-FR" w:eastAsia="en-US"/>
        </w:rPr>
        <w:t>et</w:t>
      </w:r>
      <w:r w:rsidRPr="001C3408">
        <w:rPr>
          <w:lang w:val="fr-FR" w:eastAsia="en-US"/>
        </w:rPr>
        <w:t xml:space="preserve"> 2.7.2.3.4.2</w:t>
      </w:r>
      <w:r>
        <w:rPr>
          <w:lang w:val="fr-FR" w:eastAsia="en-US"/>
        </w:rPr>
        <w:t> »</w:t>
      </w:r>
      <w:r w:rsidRPr="001C3408">
        <w:rPr>
          <w:lang w:val="fr-FR" w:eastAsia="en-US"/>
        </w:rPr>
        <w:t xml:space="preserve"> </w:t>
      </w:r>
      <w:r>
        <w:rPr>
          <w:lang w:val="fr-FR" w:eastAsia="en-US"/>
        </w:rPr>
        <w:t>par « </w:t>
      </w:r>
      <w:r w:rsidRPr="001C3408">
        <w:rPr>
          <w:lang w:val="fr-FR" w:eastAsia="en-US"/>
        </w:rPr>
        <w:t xml:space="preserve">2.7.2.3.4.1, 2.7.2.3.4.2 </w:t>
      </w:r>
      <w:r>
        <w:rPr>
          <w:lang w:val="fr-FR" w:eastAsia="en-US"/>
        </w:rPr>
        <w:t>et</w:t>
      </w:r>
      <w:r w:rsidRPr="001C3408">
        <w:rPr>
          <w:lang w:val="fr-FR" w:eastAsia="en-US"/>
        </w:rPr>
        <w:t xml:space="preserve"> 2.7.2.3.4.3</w:t>
      </w:r>
      <w:r>
        <w:rPr>
          <w:lang w:val="fr-FR" w:eastAsia="en-US"/>
        </w:rPr>
        <w:t> ».</w:t>
      </w:r>
    </w:p>
    <w:p w14:paraId="7CF2CED5" w14:textId="77777777" w:rsidR="006F4C01" w:rsidRDefault="006F4C01" w:rsidP="006F4C01">
      <w:pPr>
        <w:pStyle w:val="SingleTxtG"/>
        <w:spacing w:before="120"/>
        <w:rPr>
          <w:i/>
        </w:rPr>
      </w:pPr>
      <w:r w:rsidRPr="00692350">
        <w:rPr>
          <w:i/>
        </w:rPr>
        <w:t xml:space="preserve">(Document de référence : </w:t>
      </w:r>
      <w:r>
        <w:rPr>
          <w:i/>
        </w:rPr>
        <w:t xml:space="preserve">document informel INF.30 et § 703 de l’édition de 2018 du Règlement </w:t>
      </w:r>
      <w:r w:rsidRPr="007D2EAE">
        <w:rPr>
          <w:i/>
        </w:rPr>
        <w:t>de transport des matières radioactives de l’AIEA</w:t>
      </w:r>
      <w:r w:rsidRPr="00692350">
        <w:rPr>
          <w:i/>
        </w:rPr>
        <w:t>)</w:t>
      </w:r>
    </w:p>
    <w:p w14:paraId="09F5BCF0" w14:textId="77777777" w:rsidR="006F4C01" w:rsidRDefault="006F4C01" w:rsidP="006F4C01">
      <w:pPr>
        <w:pStyle w:val="H1G"/>
        <w:rPr>
          <w:lang w:val="fr-FR" w:eastAsia="en-US"/>
        </w:rPr>
      </w:pPr>
      <w:r>
        <w:rPr>
          <w:lang w:val="fr-FR" w:eastAsia="en-US"/>
        </w:rPr>
        <w:tab/>
      </w:r>
      <w:r>
        <w:rPr>
          <w:lang w:val="fr-FR" w:eastAsia="en-US"/>
        </w:rPr>
        <w:tab/>
        <w:t>Chapitre 2.9</w:t>
      </w:r>
    </w:p>
    <w:p w14:paraId="335E0AE5"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lang w:val="fr-FR"/>
        </w:rPr>
      </w:pPr>
      <w:r w:rsidRPr="0086119F">
        <w:rPr>
          <w:lang w:val="fr-FR"/>
        </w:rPr>
        <w:t>2.9.3.4.3.4 a)</w:t>
      </w:r>
      <w:r w:rsidRPr="0086119F">
        <w:rPr>
          <w:lang w:val="fr-FR"/>
        </w:rPr>
        <w:tab/>
        <w:t>Sous l’alinéa i), ajouter un nouveau Nota pour lire comme suit :</w:t>
      </w:r>
    </w:p>
    <w:p w14:paraId="39D4C683" w14:textId="77777777" w:rsidR="006F4C01" w:rsidRPr="0086119F" w:rsidRDefault="006F4C01" w:rsidP="006F4C01">
      <w:pPr>
        <w:kinsoku/>
        <w:overflowPunct/>
        <w:autoSpaceDE/>
        <w:autoSpaceDN/>
        <w:adjustRightInd/>
        <w:snapToGrid/>
        <w:spacing w:after="120"/>
        <w:ind w:left="1134" w:right="1134"/>
        <w:jc w:val="both"/>
        <w:rPr>
          <w:lang w:val="fr-FR"/>
        </w:rPr>
      </w:pPr>
      <w:r w:rsidRPr="0086119F">
        <w:rPr>
          <w:lang w:val="fr-FR"/>
        </w:rPr>
        <w:t>« </w:t>
      </w:r>
      <w:r w:rsidRPr="0086119F">
        <w:rPr>
          <w:b/>
          <w:bCs/>
          <w:i/>
          <w:iCs/>
          <w:lang w:val="fr-FR"/>
        </w:rPr>
        <w:t>NOTA :</w:t>
      </w:r>
      <w:r w:rsidRPr="0086119F">
        <w:rPr>
          <w:i/>
          <w:iCs/>
          <w:lang w:val="fr-FR"/>
        </w:rPr>
        <w:t xml:space="preserve"> Dans ce cas, si le mélange testé présente une </w:t>
      </w:r>
      <w:proofErr w:type="spellStart"/>
      <w:r w:rsidRPr="0086119F">
        <w:rPr>
          <w:i/>
          <w:iCs/>
          <w:lang w:val="fr-FR"/>
        </w:rPr>
        <w:t>CE</w:t>
      </w:r>
      <w:r w:rsidRPr="0086119F">
        <w:rPr>
          <w:i/>
          <w:iCs/>
          <w:vertAlign w:val="subscript"/>
          <w:lang w:val="fr-FR"/>
        </w:rPr>
        <w:t>x</w:t>
      </w:r>
      <w:proofErr w:type="spellEnd"/>
      <w:r w:rsidRPr="0086119F">
        <w:rPr>
          <w:i/>
          <w:iCs/>
          <w:lang w:val="fr-FR"/>
        </w:rPr>
        <w:t xml:space="preserve"> ou CSEO &gt; 0,1 mg/l, il n’est pas nécessaire de classer le mélange dans une catégorie de danger à long terme conformément au présent Règlement.</w:t>
      </w:r>
      <w:r w:rsidRPr="0086119F">
        <w:rPr>
          <w:lang w:val="fr-FR"/>
        </w:rPr>
        <w:t> ».</w:t>
      </w:r>
    </w:p>
    <w:p w14:paraId="32D068D5"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ST/SG/AC.10/C.3/2020/33, option 2)</w:t>
      </w:r>
    </w:p>
    <w:p w14:paraId="005273AC" w14:textId="77777777" w:rsidR="006F4C01" w:rsidRDefault="006F4C01" w:rsidP="006F4C01">
      <w:pPr>
        <w:tabs>
          <w:tab w:val="left" w:pos="2268"/>
        </w:tabs>
        <w:kinsoku/>
        <w:overflowPunct/>
        <w:autoSpaceDE/>
        <w:adjustRightInd/>
        <w:snapToGrid/>
        <w:spacing w:after="120"/>
        <w:ind w:left="2268" w:right="1134" w:hanging="1134"/>
        <w:jc w:val="both"/>
        <w:rPr>
          <w:lang w:val="fr-FR" w:eastAsia="en-US"/>
        </w:rPr>
      </w:pPr>
      <w:r>
        <w:rPr>
          <w:lang w:val="fr-FR" w:eastAsia="en-US"/>
        </w:rPr>
        <w:t>2.9.4 g)</w:t>
      </w:r>
      <w:r>
        <w:rPr>
          <w:lang w:val="fr-FR" w:eastAsia="en-US"/>
        </w:rPr>
        <w:tab/>
        <w:t>Modifier le début de la phrase pour lire : « À l’exception des piles boutons montées dans un équipement (y compris les circuits imprimés), les fabricants… ».</w:t>
      </w:r>
    </w:p>
    <w:p w14:paraId="762C3B1D"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ST/SG/AC.10/C.3/2020/77, tel que modifié)</w:t>
      </w:r>
    </w:p>
    <w:p w14:paraId="19E4B921"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 xml:space="preserve">3.2, </w:t>
      </w:r>
      <w:r w:rsidRPr="00190907">
        <w:rPr>
          <w:lang w:eastAsia="en-US"/>
        </w:rPr>
        <w:t>liste des marchandises dangereuses</w:t>
      </w:r>
    </w:p>
    <w:p w14:paraId="769EF6EF" w14:textId="77777777" w:rsidR="006F4C01" w:rsidRPr="00692350" w:rsidRDefault="006F4C01" w:rsidP="006F4C01">
      <w:pPr>
        <w:pStyle w:val="SingleTxtG"/>
        <w:rPr>
          <w:iCs/>
        </w:rPr>
      </w:pPr>
      <w:r w:rsidRPr="00692350">
        <w:rPr>
          <w:iCs/>
        </w:rPr>
        <w:t xml:space="preserve">Pour le No ONU </w:t>
      </w:r>
      <w:r>
        <w:rPr>
          <w:iCs/>
        </w:rPr>
        <w:t>1002</w:t>
      </w:r>
      <w:r w:rsidRPr="00692350">
        <w:rPr>
          <w:iCs/>
        </w:rPr>
        <w:t>, ajouter « 39</w:t>
      </w:r>
      <w:r>
        <w:rPr>
          <w:iCs/>
        </w:rPr>
        <w:t>7</w:t>
      </w:r>
      <w:r w:rsidRPr="00692350">
        <w:rPr>
          <w:iCs/>
        </w:rPr>
        <w:t> » en colonne (6).</w:t>
      </w:r>
    </w:p>
    <w:p w14:paraId="4B7427C2" w14:textId="77777777" w:rsidR="006F4C01" w:rsidRDefault="006F4C01" w:rsidP="006F4C01">
      <w:pPr>
        <w:pStyle w:val="SingleTxtG"/>
        <w:spacing w:before="120"/>
        <w:rPr>
          <w:i/>
        </w:rPr>
      </w:pPr>
      <w:r w:rsidRPr="00692350">
        <w:rPr>
          <w:i/>
        </w:rPr>
        <w:t>(Document de référence : ST/SG/AC.10/C.3/</w:t>
      </w:r>
      <w:r>
        <w:rPr>
          <w:i/>
        </w:rPr>
        <w:t>2020/9</w:t>
      </w:r>
      <w:r w:rsidRPr="00692350">
        <w:rPr>
          <w:i/>
        </w:rPr>
        <w:t>)</w:t>
      </w:r>
    </w:p>
    <w:p w14:paraId="42261DE9" w14:textId="77777777" w:rsidR="006F4C01" w:rsidRPr="00692350" w:rsidRDefault="006F4C01" w:rsidP="006F4C01">
      <w:pPr>
        <w:pStyle w:val="SingleTxtG"/>
        <w:rPr>
          <w:iCs/>
        </w:rPr>
      </w:pPr>
      <w:r w:rsidRPr="00692350">
        <w:rPr>
          <w:iCs/>
        </w:rPr>
        <w:t xml:space="preserve">Pour le No ONU </w:t>
      </w:r>
      <w:r>
        <w:rPr>
          <w:iCs/>
        </w:rPr>
        <w:t>1012</w:t>
      </w:r>
      <w:r w:rsidRPr="00692350">
        <w:rPr>
          <w:iCs/>
        </w:rPr>
        <w:t>, ajouter « 39</w:t>
      </w:r>
      <w:r>
        <w:rPr>
          <w:iCs/>
        </w:rPr>
        <w:t>8</w:t>
      </w:r>
      <w:r w:rsidRPr="00692350">
        <w:rPr>
          <w:iCs/>
        </w:rPr>
        <w:t> » en colonne (6).</w:t>
      </w:r>
    </w:p>
    <w:p w14:paraId="4B5644B7" w14:textId="77777777" w:rsidR="006F4C01" w:rsidRDefault="006F4C01" w:rsidP="006F4C01">
      <w:pPr>
        <w:pStyle w:val="SingleTxtG"/>
        <w:spacing w:before="120"/>
        <w:rPr>
          <w:i/>
        </w:rPr>
      </w:pPr>
      <w:r w:rsidRPr="00692350">
        <w:rPr>
          <w:i/>
        </w:rPr>
        <w:t>(Document de référence : ST/SG/AC.10/C.3/</w:t>
      </w:r>
      <w:r>
        <w:rPr>
          <w:i/>
        </w:rPr>
        <w:t>2020/69</w:t>
      </w:r>
      <w:r w:rsidRPr="00692350">
        <w:rPr>
          <w:i/>
        </w:rPr>
        <w:t>)</w:t>
      </w:r>
    </w:p>
    <w:p w14:paraId="47970EDA" w14:textId="77777777" w:rsidR="006F4C01" w:rsidRPr="00692350" w:rsidRDefault="006F4C01" w:rsidP="006F4C01">
      <w:pPr>
        <w:pStyle w:val="SingleTxtG"/>
        <w:rPr>
          <w:iCs/>
        </w:rPr>
      </w:pPr>
      <w:r>
        <w:rPr>
          <w:iCs/>
        </w:rPr>
        <w:t>Supprimer les deux rubriques p</w:t>
      </w:r>
      <w:r w:rsidRPr="00692350">
        <w:rPr>
          <w:iCs/>
        </w:rPr>
        <w:t xml:space="preserve">our le No ONU </w:t>
      </w:r>
      <w:r>
        <w:rPr>
          <w:iCs/>
        </w:rPr>
        <w:t>1169</w:t>
      </w:r>
      <w:r w:rsidRPr="00692350">
        <w:rPr>
          <w:iCs/>
        </w:rPr>
        <w:t>.</w:t>
      </w:r>
    </w:p>
    <w:p w14:paraId="09218A07" w14:textId="77777777" w:rsidR="006F4C01" w:rsidRDefault="006F4C01" w:rsidP="006F4C01">
      <w:pPr>
        <w:pStyle w:val="SingleTxtG"/>
        <w:spacing w:before="120"/>
        <w:rPr>
          <w:i/>
        </w:rPr>
      </w:pPr>
      <w:r w:rsidRPr="00692350">
        <w:rPr>
          <w:i/>
        </w:rPr>
        <w:t>(Document de référence : ST/SG/AC.10/C.3/</w:t>
      </w:r>
      <w:r>
        <w:rPr>
          <w:i/>
        </w:rPr>
        <w:t>2020/38/Rev.1</w:t>
      </w:r>
      <w:r w:rsidRPr="00692350">
        <w:rPr>
          <w:i/>
        </w:rPr>
        <w:t>)</w:t>
      </w:r>
    </w:p>
    <w:p w14:paraId="66B8F74C" w14:textId="77777777" w:rsidR="006F4C01" w:rsidRPr="00692350" w:rsidRDefault="006F4C01" w:rsidP="006F4C01">
      <w:pPr>
        <w:pStyle w:val="SingleTxtG"/>
        <w:ind w:left="2268" w:hanging="1134"/>
        <w:rPr>
          <w:iCs/>
        </w:rPr>
      </w:pPr>
      <w:r w:rsidRPr="00692350">
        <w:rPr>
          <w:iCs/>
        </w:rPr>
        <w:t xml:space="preserve">Pour le No ONU </w:t>
      </w:r>
      <w:r>
        <w:rPr>
          <w:iCs/>
        </w:rPr>
        <w:t>1197</w:t>
      </w:r>
      <w:r w:rsidRPr="00692350">
        <w:rPr>
          <w:iCs/>
        </w:rPr>
        <w:t xml:space="preserve">, </w:t>
      </w:r>
      <w:r>
        <w:rPr>
          <w:iCs/>
        </w:rPr>
        <w:t>groupes d’emballages II et III, modifier le nom et la description en colonne (2) pour lire « EXTRAITS, LIQUIDES, pour aromatiser »</w:t>
      </w:r>
      <w:r w:rsidRPr="00692350">
        <w:rPr>
          <w:iCs/>
        </w:rPr>
        <w:t>.</w:t>
      </w:r>
    </w:p>
    <w:p w14:paraId="60F406C2" w14:textId="77777777" w:rsidR="006F4C01" w:rsidRDefault="006F4C01" w:rsidP="006F4C01">
      <w:pPr>
        <w:pStyle w:val="SingleTxtG"/>
        <w:spacing w:before="120"/>
        <w:rPr>
          <w:i/>
        </w:rPr>
      </w:pPr>
      <w:r w:rsidRPr="00692350">
        <w:rPr>
          <w:i/>
        </w:rPr>
        <w:t>(Document de référence : ST/SG/AC.10/C.3/</w:t>
      </w:r>
      <w:r>
        <w:rPr>
          <w:i/>
        </w:rPr>
        <w:t>2020/38/Rev.1, tel que modifié</w:t>
      </w:r>
      <w:r w:rsidRPr="00692350">
        <w:rPr>
          <w:i/>
        </w:rPr>
        <w:t>)</w:t>
      </w:r>
    </w:p>
    <w:p w14:paraId="0CB42CC0" w14:textId="77777777" w:rsidR="006F4C01" w:rsidRDefault="006F4C01" w:rsidP="006F4C01">
      <w:pPr>
        <w:kinsoku/>
        <w:overflowPunct/>
        <w:autoSpaceDE/>
        <w:autoSpaceDN/>
        <w:adjustRightInd/>
        <w:snapToGrid/>
        <w:spacing w:after="120"/>
        <w:ind w:left="2268" w:right="1134" w:hanging="1134"/>
        <w:jc w:val="both"/>
        <w:rPr>
          <w:iCs/>
          <w:lang w:val="fr-FR" w:eastAsia="en-US"/>
        </w:rPr>
      </w:pPr>
      <w:r>
        <w:rPr>
          <w:iCs/>
          <w:lang w:val="fr-FR" w:eastAsia="en-US"/>
        </w:rPr>
        <w:t xml:space="preserve">Pour le No ONU 1891, en colonne (3), remplacer « 6.1 » par « 3 ». En colonne (4), ajouter « 6.1 ». En colonne </w:t>
      </w:r>
      <w:r w:rsidRPr="004F4159">
        <w:rPr>
          <w:iCs/>
          <w:lang w:val="fr-FR" w:eastAsia="en-US"/>
        </w:rPr>
        <w:t>(7a)</w:t>
      </w:r>
      <w:r>
        <w:rPr>
          <w:iCs/>
          <w:lang w:val="fr-FR" w:eastAsia="en-US"/>
        </w:rPr>
        <w:t>, remplacer « 100 ml » par « 1 L »</w:t>
      </w:r>
      <w:r w:rsidRPr="004F4159">
        <w:rPr>
          <w:iCs/>
          <w:lang w:val="fr-FR" w:eastAsia="en-US"/>
        </w:rPr>
        <w:t>.</w:t>
      </w:r>
      <w:r>
        <w:rPr>
          <w:iCs/>
          <w:lang w:val="fr-FR" w:eastAsia="en-US"/>
        </w:rPr>
        <w:t xml:space="preserve"> En colonne </w:t>
      </w:r>
      <w:r w:rsidRPr="004F4159">
        <w:rPr>
          <w:iCs/>
          <w:lang w:val="fr-FR" w:eastAsia="en-US"/>
        </w:rPr>
        <w:t>(7b)</w:t>
      </w:r>
      <w:r>
        <w:rPr>
          <w:iCs/>
          <w:lang w:val="fr-FR" w:eastAsia="en-US"/>
        </w:rPr>
        <w:t>, remplacer « E4 » par « E2 ».</w:t>
      </w:r>
    </w:p>
    <w:p w14:paraId="77258748" w14:textId="77777777" w:rsidR="006F4C01" w:rsidRDefault="006F4C01" w:rsidP="006F4C01">
      <w:pPr>
        <w:pStyle w:val="SingleTxtG"/>
        <w:spacing w:before="120"/>
        <w:rPr>
          <w:i/>
        </w:rPr>
      </w:pPr>
      <w:r w:rsidRPr="00692350">
        <w:rPr>
          <w:i/>
        </w:rPr>
        <w:t>(Document de référence : ST/SG/AC.10/C.3/</w:t>
      </w:r>
      <w:r>
        <w:rPr>
          <w:i/>
        </w:rPr>
        <w:t>2020/72</w:t>
      </w:r>
      <w:r w:rsidRPr="00692350">
        <w:rPr>
          <w:i/>
        </w:rPr>
        <w:t>)</w:t>
      </w:r>
    </w:p>
    <w:p w14:paraId="75C3C492" w14:textId="77777777" w:rsidR="006F4C01" w:rsidRDefault="006F4C01" w:rsidP="006F4C01">
      <w:pPr>
        <w:kinsoku/>
        <w:overflowPunct/>
        <w:autoSpaceDE/>
        <w:autoSpaceDN/>
        <w:adjustRightInd/>
        <w:snapToGrid/>
        <w:spacing w:after="120"/>
        <w:ind w:left="1134" w:right="1134"/>
        <w:jc w:val="both"/>
        <w:rPr>
          <w:iCs/>
          <w:lang w:val="fr-FR" w:eastAsia="en-US"/>
        </w:rPr>
      </w:pPr>
      <w:r>
        <w:rPr>
          <w:iCs/>
          <w:lang w:val="fr-FR" w:eastAsia="en-US"/>
        </w:rPr>
        <w:t>Pour le No ONU 3208, groupe d’emballage II, remplacer « E0 » par « E2 » en colonne (7b).</w:t>
      </w:r>
    </w:p>
    <w:p w14:paraId="72591923" w14:textId="77777777" w:rsidR="006F4C01" w:rsidRDefault="006F4C01" w:rsidP="006F4C01">
      <w:pPr>
        <w:pStyle w:val="SingleTxtG"/>
        <w:spacing w:before="120"/>
        <w:rPr>
          <w:i/>
        </w:rPr>
      </w:pPr>
      <w:r w:rsidRPr="00692350">
        <w:rPr>
          <w:i/>
        </w:rPr>
        <w:t>(Document de référence : ST/SG/AC.10/C.3/</w:t>
      </w:r>
      <w:r>
        <w:rPr>
          <w:i/>
        </w:rPr>
        <w:t>2020/32</w:t>
      </w:r>
      <w:r w:rsidRPr="00692350">
        <w:rPr>
          <w:i/>
        </w:rPr>
        <w:t>)</w:t>
      </w:r>
    </w:p>
    <w:p w14:paraId="5F26368B" w14:textId="77777777" w:rsidR="006F4C01" w:rsidRDefault="006F4C01" w:rsidP="006F4C01">
      <w:pPr>
        <w:kinsoku/>
        <w:overflowPunct/>
        <w:autoSpaceDE/>
        <w:autoSpaceDN/>
        <w:adjustRightInd/>
        <w:snapToGrid/>
        <w:spacing w:after="120"/>
        <w:ind w:left="1134" w:right="1134"/>
        <w:jc w:val="both"/>
        <w:rPr>
          <w:iCs/>
          <w:lang w:val="fr-FR" w:eastAsia="en-US"/>
        </w:rPr>
      </w:pPr>
      <w:r>
        <w:rPr>
          <w:iCs/>
          <w:lang w:val="fr-FR" w:eastAsia="en-US"/>
        </w:rPr>
        <w:t>Pour le No ONU 3209, groupe d’emballage II, remplacer « E2 » par « E0 » en colonne (7b).</w:t>
      </w:r>
    </w:p>
    <w:p w14:paraId="580762D0" w14:textId="77777777" w:rsidR="006F4C01" w:rsidRDefault="006F4C01" w:rsidP="006F4C01">
      <w:pPr>
        <w:pStyle w:val="SingleTxtG"/>
        <w:spacing w:before="120"/>
        <w:rPr>
          <w:i/>
        </w:rPr>
      </w:pPr>
      <w:r w:rsidRPr="00692350">
        <w:rPr>
          <w:i/>
        </w:rPr>
        <w:t>(Document de référence : ST/SG/AC.10/C.3/</w:t>
      </w:r>
      <w:r>
        <w:rPr>
          <w:i/>
        </w:rPr>
        <w:t>2020/78, paragraphe 5</w:t>
      </w:r>
      <w:r w:rsidRPr="00692350">
        <w:rPr>
          <w:i/>
        </w:rPr>
        <w:t>)</w:t>
      </w:r>
    </w:p>
    <w:p w14:paraId="2E66AA1E" w14:textId="77777777" w:rsidR="006F4C01" w:rsidRPr="00D244F6" w:rsidRDefault="006F4C01" w:rsidP="006F4C01">
      <w:pPr>
        <w:kinsoku/>
        <w:overflowPunct/>
        <w:autoSpaceDE/>
        <w:autoSpaceDN/>
        <w:adjustRightInd/>
        <w:snapToGrid/>
        <w:spacing w:after="120"/>
        <w:ind w:left="1134" w:right="1134"/>
        <w:jc w:val="both"/>
        <w:rPr>
          <w:iCs/>
          <w:lang w:val="fr-FR" w:eastAsia="en-US"/>
        </w:rPr>
      </w:pPr>
      <w:r>
        <w:rPr>
          <w:iCs/>
          <w:lang w:val="fr-FR" w:eastAsia="en-US"/>
        </w:rPr>
        <w:t>Ajouter</w:t>
      </w:r>
      <w:r w:rsidRPr="00D244F6">
        <w:rPr>
          <w:iCs/>
          <w:lang w:val="fr-FR" w:eastAsia="en-US"/>
        </w:rPr>
        <w:t xml:space="preserve"> </w:t>
      </w:r>
      <w:r>
        <w:rPr>
          <w:iCs/>
          <w:lang w:val="fr-FR" w:eastAsia="en-US"/>
        </w:rPr>
        <w:t>la</w:t>
      </w:r>
      <w:r w:rsidRPr="00D244F6">
        <w:rPr>
          <w:iCs/>
          <w:lang w:val="fr-FR" w:eastAsia="en-US"/>
        </w:rPr>
        <w:t xml:space="preserve"> nouvelle rubrique suivante :</w:t>
      </w:r>
    </w:p>
    <w:tbl>
      <w:tblPr>
        <w:tblW w:w="39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
        <w:gridCol w:w="2088"/>
        <w:gridCol w:w="464"/>
        <w:gridCol w:w="354"/>
        <w:gridCol w:w="503"/>
        <w:gridCol w:w="503"/>
        <w:gridCol w:w="429"/>
        <w:gridCol w:w="429"/>
        <w:gridCol w:w="719"/>
        <w:gridCol w:w="560"/>
        <w:gridCol w:w="506"/>
        <w:gridCol w:w="639"/>
      </w:tblGrid>
      <w:tr w:rsidR="006F4C01" w:rsidRPr="00D244F6" w14:paraId="0F63F70B" w14:textId="77777777" w:rsidTr="007B6FD6">
        <w:trPr>
          <w:trHeight w:val="537"/>
          <w:jc w:val="center"/>
        </w:trPr>
        <w:tc>
          <w:tcPr>
            <w:tcW w:w="283" w:type="pct"/>
          </w:tcPr>
          <w:p w14:paraId="33991199" w14:textId="77777777" w:rsidR="006F4C01" w:rsidRPr="00D244F6" w:rsidRDefault="006F4C01" w:rsidP="007B6FD6">
            <w:pPr>
              <w:widowControl w:val="0"/>
              <w:suppressAutoHyphens w:val="0"/>
              <w:kinsoku/>
              <w:overflowPunct/>
              <w:adjustRightInd/>
              <w:snapToGrid/>
              <w:spacing w:before="3" w:line="240" w:lineRule="auto"/>
              <w:jc w:val="center"/>
              <w:rPr>
                <w:sz w:val="16"/>
                <w:szCs w:val="16"/>
                <w:lang w:val="en-US" w:eastAsia="en-US"/>
              </w:rPr>
            </w:pPr>
            <w:r>
              <w:rPr>
                <w:sz w:val="16"/>
                <w:szCs w:val="16"/>
                <w:lang w:val="en-US" w:eastAsia="en-US"/>
              </w:rPr>
              <w:t>3550</w:t>
            </w:r>
          </w:p>
        </w:tc>
        <w:tc>
          <w:tcPr>
            <w:tcW w:w="1369" w:type="pct"/>
          </w:tcPr>
          <w:p w14:paraId="1244E61D" w14:textId="77777777" w:rsidR="006F4C01" w:rsidRPr="00D244F6" w:rsidRDefault="006F4C01" w:rsidP="007B6FD6">
            <w:pPr>
              <w:widowControl w:val="0"/>
              <w:suppressAutoHyphens w:val="0"/>
              <w:kinsoku/>
              <w:overflowPunct/>
              <w:adjustRightInd/>
              <w:snapToGrid/>
              <w:spacing w:before="6" w:line="240" w:lineRule="auto"/>
              <w:ind w:left="6" w:right="6"/>
              <w:rPr>
                <w:b/>
                <w:sz w:val="16"/>
                <w:szCs w:val="16"/>
                <w:lang w:eastAsia="en-US"/>
              </w:rPr>
            </w:pPr>
            <w:r w:rsidRPr="009C55F7">
              <w:rPr>
                <w:sz w:val="16"/>
                <w:szCs w:val="16"/>
                <w:lang w:eastAsia="en-US"/>
              </w:rPr>
              <w:t>POUDRE DE DIHYDROXYDE DE COBALT ayant une teneur en particules respirables supérieure ou égale à 10 %</w:t>
            </w:r>
          </w:p>
        </w:tc>
        <w:tc>
          <w:tcPr>
            <w:tcW w:w="304" w:type="pct"/>
          </w:tcPr>
          <w:p w14:paraId="783C9D9B" w14:textId="77777777" w:rsidR="006F4C01" w:rsidRPr="00D244F6" w:rsidRDefault="006F4C01" w:rsidP="007B6FD6">
            <w:pPr>
              <w:widowControl w:val="0"/>
              <w:suppressAutoHyphens w:val="0"/>
              <w:kinsoku/>
              <w:overflowPunct/>
              <w:adjustRightInd/>
              <w:snapToGrid/>
              <w:spacing w:before="6" w:line="240" w:lineRule="auto"/>
              <w:ind w:left="127" w:right="126"/>
              <w:jc w:val="center"/>
              <w:rPr>
                <w:b/>
                <w:sz w:val="16"/>
                <w:szCs w:val="16"/>
                <w:lang w:val="en-US" w:eastAsia="en-US"/>
              </w:rPr>
            </w:pPr>
            <w:r>
              <w:rPr>
                <w:sz w:val="16"/>
                <w:szCs w:val="16"/>
                <w:lang w:val="en-US" w:eastAsia="en-US"/>
              </w:rPr>
              <w:t>6.1</w:t>
            </w:r>
          </w:p>
        </w:tc>
        <w:tc>
          <w:tcPr>
            <w:tcW w:w="232" w:type="pct"/>
          </w:tcPr>
          <w:p w14:paraId="4877308E" w14:textId="77777777" w:rsidR="006F4C01" w:rsidRPr="00D244F6" w:rsidRDefault="006F4C01" w:rsidP="007B6FD6">
            <w:pPr>
              <w:widowControl w:val="0"/>
              <w:suppressAutoHyphens w:val="0"/>
              <w:kinsoku/>
              <w:overflowPunct/>
              <w:adjustRightInd/>
              <w:snapToGrid/>
              <w:spacing w:before="6" w:line="240" w:lineRule="auto"/>
              <w:ind w:left="107" w:right="107"/>
              <w:jc w:val="center"/>
              <w:rPr>
                <w:b/>
                <w:sz w:val="16"/>
                <w:szCs w:val="16"/>
                <w:lang w:val="en-US" w:eastAsia="en-US"/>
              </w:rPr>
            </w:pPr>
          </w:p>
        </w:tc>
        <w:tc>
          <w:tcPr>
            <w:tcW w:w="330" w:type="pct"/>
          </w:tcPr>
          <w:p w14:paraId="1F8E8B22" w14:textId="77777777" w:rsidR="006F4C01" w:rsidRPr="000B5627" w:rsidRDefault="006F4C01" w:rsidP="007B6FD6">
            <w:pPr>
              <w:widowControl w:val="0"/>
              <w:suppressAutoHyphens w:val="0"/>
              <w:kinsoku/>
              <w:overflowPunct/>
              <w:adjustRightInd/>
              <w:snapToGrid/>
              <w:spacing w:before="6" w:line="240" w:lineRule="auto"/>
              <w:ind w:left="67" w:right="67"/>
              <w:jc w:val="center"/>
              <w:rPr>
                <w:bCs/>
                <w:sz w:val="16"/>
                <w:szCs w:val="16"/>
                <w:lang w:val="en-US" w:eastAsia="en-US"/>
              </w:rPr>
            </w:pPr>
            <w:r w:rsidRPr="000B5627">
              <w:rPr>
                <w:bCs/>
                <w:sz w:val="16"/>
                <w:szCs w:val="16"/>
                <w:lang w:val="en-US" w:eastAsia="en-US"/>
              </w:rPr>
              <w:t>I</w:t>
            </w:r>
          </w:p>
        </w:tc>
        <w:tc>
          <w:tcPr>
            <w:tcW w:w="330" w:type="pct"/>
          </w:tcPr>
          <w:p w14:paraId="3A7C5F22" w14:textId="77777777" w:rsidR="006F4C01" w:rsidRPr="00D244F6" w:rsidRDefault="006F4C01" w:rsidP="007B6FD6">
            <w:pPr>
              <w:widowControl w:val="0"/>
              <w:suppressAutoHyphens w:val="0"/>
              <w:kinsoku/>
              <w:overflowPunct/>
              <w:adjustRightInd/>
              <w:snapToGrid/>
              <w:spacing w:before="6" w:line="240" w:lineRule="auto"/>
              <w:ind w:left="106" w:right="102"/>
              <w:jc w:val="center"/>
              <w:rPr>
                <w:b/>
                <w:sz w:val="16"/>
                <w:szCs w:val="16"/>
                <w:lang w:val="en-US" w:eastAsia="en-US"/>
              </w:rPr>
            </w:pPr>
          </w:p>
        </w:tc>
        <w:tc>
          <w:tcPr>
            <w:tcW w:w="281" w:type="pct"/>
          </w:tcPr>
          <w:p w14:paraId="505A75A4" w14:textId="77777777" w:rsidR="006F4C01" w:rsidRPr="00D244F6" w:rsidRDefault="006F4C01" w:rsidP="007B6FD6">
            <w:pPr>
              <w:widowControl w:val="0"/>
              <w:suppressAutoHyphens w:val="0"/>
              <w:kinsoku/>
              <w:overflowPunct/>
              <w:adjustRightInd/>
              <w:snapToGrid/>
              <w:spacing w:before="6" w:line="240" w:lineRule="auto"/>
              <w:ind w:left="-15" w:right="16"/>
              <w:jc w:val="center"/>
              <w:rPr>
                <w:b/>
                <w:sz w:val="16"/>
                <w:szCs w:val="16"/>
                <w:lang w:val="en-US" w:eastAsia="en-US"/>
              </w:rPr>
            </w:pPr>
            <w:r w:rsidRPr="00D244F6">
              <w:rPr>
                <w:sz w:val="16"/>
                <w:szCs w:val="16"/>
                <w:lang w:val="en-US" w:eastAsia="en-US"/>
              </w:rPr>
              <w:t>0</w:t>
            </w:r>
          </w:p>
        </w:tc>
        <w:tc>
          <w:tcPr>
            <w:tcW w:w="281" w:type="pct"/>
          </w:tcPr>
          <w:p w14:paraId="395FE9B3" w14:textId="77777777" w:rsidR="006F4C01" w:rsidRPr="00D244F6" w:rsidRDefault="006F4C01" w:rsidP="007B6FD6">
            <w:pPr>
              <w:widowControl w:val="0"/>
              <w:suppressAutoHyphens w:val="0"/>
              <w:kinsoku/>
              <w:overflowPunct/>
              <w:adjustRightInd/>
              <w:snapToGrid/>
              <w:spacing w:before="6" w:line="240" w:lineRule="auto"/>
              <w:jc w:val="center"/>
              <w:rPr>
                <w:b/>
                <w:sz w:val="16"/>
                <w:szCs w:val="16"/>
                <w:lang w:val="en-US" w:eastAsia="en-US"/>
              </w:rPr>
            </w:pPr>
            <w:r w:rsidRPr="00D244F6">
              <w:rPr>
                <w:sz w:val="16"/>
                <w:szCs w:val="16"/>
                <w:lang w:val="en-US" w:eastAsia="en-US"/>
              </w:rPr>
              <w:t>E</w:t>
            </w:r>
            <w:r>
              <w:rPr>
                <w:sz w:val="16"/>
                <w:szCs w:val="16"/>
                <w:lang w:val="en-US" w:eastAsia="en-US"/>
              </w:rPr>
              <w:t>5</w:t>
            </w:r>
          </w:p>
        </w:tc>
        <w:tc>
          <w:tcPr>
            <w:tcW w:w="471" w:type="pct"/>
          </w:tcPr>
          <w:p w14:paraId="2F9538B1" w14:textId="77777777" w:rsidR="006F4C01" w:rsidRPr="00D244F6" w:rsidRDefault="006F4C01" w:rsidP="007B6FD6">
            <w:pPr>
              <w:widowControl w:val="0"/>
              <w:suppressAutoHyphens w:val="0"/>
              <w:kinsoku/>
              <w:overflowPunct/>
              <w:adjustRightInd/>
              <w:snapToGrid/>
              <w:spacing w:before="6" w:line="240" w:lineRule="auto"/>
              <w:ind w:left="141" w:right="141"/>
              <w:jc w:val="center"/>
              <w:rPr>
                <w:b/>
                <w:sz w:val="16"/>
                <w:szCs w:val="16"/>
                <w:lang w:val="en-US" w:eastAsia="en-US"/>
              </w:rPr>
            </w:pPr>
            <w:r>
              <w:rPr>
                <w:sz w:val="16"/>
                <w:szCs w:val="16"/>
                <w:lang w:val="en-US" w:eastAsia="en-US"/>
              </w:rPr>
              <w:t>P002</w:t>
            </w:r>
            <w:r>
              <w:rPr>
                <w:sz w:val="16"/>
                <w:szCs w:val="16"/>
                <w:lang w:val="en-US" w:eastAsia="en-US"/>
              </w:rPr>
              <w:br/>
            </w:r>
            <w:r w:rsidRPr="00FA5C2E">
              <w:rPr>
                <w:bCs/>
                <w:sz w:val="16"/>
                <w:szCs w:val="16"/>
                <w:lang w:val="en-US" w:eastAsia="en-US"/>
              </w:rPr>
              <w:t>IBC07</w:t>
            </w:r>
          </w:p>
        </w:tc>
        <w:tc>
          <w:tcPr>
            <w:tcW w:w="367" w:type="pct"/>
          </w:tcPr>
          <w:p w14:paraId="0AACAEC7" w14:textId="77777777" w:rsidR="006F4C01" w:rsidRPr="00FA5C2E" w:rsidRDefault="006F4C01" w:rsidP="007B6FD6">
            <w:pPr>
              <w:widowControl w:val="0"/>
              <w:suppressAutoHyphens w:val="0"/>
              <w:kinsoku/>
              <w:overflowPunct/>
              <w:adjustRightInd/>
              <w:snapToGrid/>
              <w:spacing w:before="6" w:line="240" w:lineRule="auto"/>
              <w:ind w:left="141" w:right="141"/>
              <w:jc w:val="center"/>
              <w:rPr>
                <w:sz w:val="16"/>
                <w:szCs w:val="16"/>
                <w:lang w:val="en-US" w:eastAsia="en-US"/>
              </w:rPr>
            </w:pPr>
          </w:p>
          <w:p w14:paraId="1DB9BEEB" w14:textId="77777777" w:rsidR="006F4C01" w:rsidRPr="00D244F6" w:rsidRDefault="006F4C01" w:rsidP="007B6FD6">
            <w:pPr>
              <w:widowControl w:val="0"/>
              <w:suppressAutoHyphens w:val="0"/>
              <w:kinsoku/>
              <w:overflowPunct/>
              <w:adjustRightInd/>
              <w:snapToGrid/>
              <w:spacing w:before="6" w:line="240" w:lineRule="auto"/>
              <w:ind w:left="141" w:right="141"/>
              <w:jc w:val="center"/>
              <w:rPr>
                <w:sz w:val="16"/>
                <w:szCs w:val="16"/>
                <w:lang w:val="en-US" w:eastAsia="en-US"/>
              </w:rPr>
            </w:pPr>
            <w:r w:rsidRPr="00FA5C2E">
              <w:rPr>
                <w:sz w:val="16"/>
                <w:szCs w:val="16"/>
                <w:lang w:val="en-US" w:eastAsia="en-US"/>
              </w:rPr>
              <w:t>B1, B</w:t>
            </w:r>
            <w:r>
              <w:rPr>
                <w:sz w:val="16"/>
                <w:szCs w:val="16"/>
                <w:lang w:val="en-US" w:eastAsia="en-US"/>
              </w:rPr>
              <w:t>20</w:t>
            </w:r>
          </w:p>
        </w:tc>
        <w:tc>
          <w:tcPr>
            <w:tcW w:w="332" w:type="pct"/>
          </w:tcPr>
          <w:p w14:paraId="79DE00CE" w14:textId="77777777" w:rsidR="006F4C01" w:rsidRPr="00D244F6" w:rsidRDefault="006F4C01" w:rsidP="007B6FD6">
            <w:pPr>
              <w:widowControl w:val="0"/>
              <w:suppressAutoHyphens w:val="0"/>
              <w:kinsoku/>
              <w:overflowPunct/>
              <w:adjustRightInd/>
              <w:snapToGrid/>
              <w:spacing w:before="6" w:line="240" w:lineRule="auto"/>
              <w:ind w:left="141" w:right="141"/>
              <w:jc w:val="center"/>
              <w:rPr>
                <w:sz w:val="16"/>
                <w:szCs w:val="16"/>
                <w:lang w:val="en-US" w:eastAsia="en-US"/>
              </w:rPr>
            </w:pPr>
            <w:r>
              <w:rPr>
                <w:sz w:val="16"/>
                <w:szCs w:val="16"/>
                <w:lang w:val="en-US" w:eastAsia="en-US"/>
              </w:rPr>
              <w:t>T6</w:t>
            </w:r>
          </w:p>
        </w:tc>
        <w:tc>
          <w:tcPr>
            <w:tcW w:w="419" w:type="pct"/>
          </w:tcPr>
          <w:p w14:paraId="54D1CAF5" w14:textId="77777777" w:rsidR="006F4C01" w:rsidRPr="00D244F6" w:rsidRDefault="006F4C01" w:rsidP="007B6FD6">
            <w:pPr>
              <w:widowControl w:val="0"/>
              <w:suppressAutoHyphens w:val="0"/>
              <w:kinsoku/>
              <w:overflowPunct/>
              <w:adjustRightInd/>
              <w:snapToGrid/>
              <w:spacing w:before="6" w:line="240" w:lineRule="auto"/>
              <w:ind w:left="141" w:right="141"/>
              <w:jc w:val="center"/>
              <w:rPr>
                <w:sz w:val="16"/>
                <w:szCs w:val="16"/>
                <w:lang w:val="en-US" w:eastAsia="en-US"/>
              </w:rPr>
            </w:pPr>
            <w:r>
              <w:rPr>
                <w:sz w:val="16"/>
                <w:szCs w:val="16"/>
                <w:lang w:val="en-US" w:eastAsia="en-US"/>
              </w:rPr>
              <w:t>TP33</w:t>
            </w:r>
          </w:p>
        </w:tc>
      </w:tr>
    </w:tbl>
    <w:p w14:paraId="090912E7" w14:textId="77777777" w:rsidR="006F4C01" w:rsidRDefault="006F4C01" w:rsidP="006F4C01">
      <w:pPr>
        <w:pStyle w:val="SingleTxtG"/>
        <w:spacing w:before="120"/>
        <w:rPr>
          <w:i/>
        </w:rPr>
      </w:pPr>
      <w:r w:rsidRPr="00692350">
        <w:rPr>
          <w:i/>
        </w:rPr>
        <w:t xml:space="preserve">(Document de référence : </w:t>
      </w:r>
      <w:r>
        <w:rPr>
          <w:i/>
        </w:rPr>
        <w:t>document informel INF.45, tel que modifié</w:t>
      </w:r>
      <w:r w:rsidRPr="00692350">
        <w:rPr>
          <w:i/>
        </w:rPr>
        <w:t>)</w:t>
      </w:r>
    </w:p>
    <w:p w14:paraId="3C26DA58" w14:textId="77777777" w:rsidR="006F4C01" w:rsidRPr="00F7088C" w:rsidRDefault="006F4C01" w:rsidP="006F4C01">
      <w:pPr>
        <w:pStyle w:val="H1G"/>
        <w:rPr>
          <w:lang w:eastAsia="en-US"/>
        </w:rPr>
      </w:pPr>
      <w:r w:rsidRPr="00F7088C">
        <w:rPr>
          <w:lang w:val="fr-FR" w:eastAsia="en-US"/>
        </w:rPr>
        <w:lastRenderedPageBreak/>
        <w:tab/>
      </w:r>
      <w:r w:rsidRPr="00F7088C">
        <w:rPr>
          <w:lang w:val="fr-FR" w:eastAsia="en-US"/>
        </w:rPr>
        <w:tab/>
      </w:r>
      <w:r w:rsidRPr="00F7088C">
        <w:rPr>
          <w:lang w:eastAsia="en-US"/>
        </w:rPr>
        <w:t xml:space="preserve">Chapitre </w:t>
      </w:r>
      <w:r>
        <w:rPr>
          <w:lang w:eastAsia="en-US"/>
        </w:rPr>
        <w:t>3.3</w:t>
      </w:r>
    </w:p>
    <w:p w14:paraId="3993452D" w14:textId="77777777" w:rsidR="006F4C01" w:rsidRPr="00771D93" w:rsidRDefault="006F4C01" w:rsidP="006F4C01">
      <w:pPr>
        <w:spacing w:after="120"/>
        <w:ind w:left="1134" w:right="1134"/>
        <w:rPr>
          <w:iCs/>
        </w:rPr>
      </w:pPr>
      <w:r>
        <w:rPr>
          <w:iCs/>
        </w:rPr>
        <w:t>DS 225</w:t>
      </w:r>
      <w:r>
        <w:rPr>
          <w:iCs/>
        </w:rPr>
        <w:tab/>
        <w:t>Après l’alinéa a), insérer le nouveau Nota suivant :</w:t>
      </w:r>
    </w:p>
    <w:p w14:paraId="61D195B4" w14:textId="77777777" w:rsidR="006F4C01" w:rsidRDefault="006F4C01" w:rsidP="006F4C01">
      <w:pPr>
        <w:spacing w:after="120"/>
        <w:ind w:left="1134" w:right="1134"/>
        <w:jc w:val="both"/>
        <w:rPr>
          <w:iCs/>
        </w:rPr>
      </w:pPr>
      <w:r w:rsidRPr="00771D93">
        <w:rPr>
          <w:iCs/>
        </w:rPr>
        <w:t>«</w:t>
      </w:r>
      <w:r>
        <w:rPr>
          <w:iCs/>
        </w:rPr>
        <w:t> </w:t>
      </w:r>
      <w:r w:rsidRPr="002B7CC7">
        <w:rPr>
          <w:b/>
          <w:bCs/>
          <w:i/>
        </w:rPr>
        <w:t>NOTA</w:t>
      </w:r>
      <w:r>
        <w:rPr>
          <w:b/>
          <w:bCs/>
          <w:i/>
        </w:rPr>
        <w:t> </w:t>
      </w:r>
      <w:r w:rsidRPr="002B7CC7">
        <w:rPr>
          <w:b/>
          <w:bCs/>
          <w:i/>
        </w:rPr>
        <w:t>:</w:t>
      </w:r>
      <w:r w:rsidRPr="002B7CC7">
        <w:rPr>
          <w:i/>
        </w:rPr>
        <w:tab/>
        <w:t xml:space="preserve">Cette rubrique s’applique aux extincteurs </w:t>
      </w:r>
      <w:r>
        <w:rPr>
          <w:i/>
        </w:rPr>
        <w:t>portatifs</w:t>
      </w:r>
      <w:r w:rsidRPr="002B7CC7">
        <w:rPr>
          <w:i/>
        </w:rPr>
        <w:t xml:space="preserve">, même si certains éléments nécessaires à leur bon fonctionnement (par exemple, les tuyaux et les buses) sont temporairement détachés, tant que la sécurité des conteneurs d’agent d’extinction sous pression n’est pas compromise et que les extincteurs continuent d’être identifiés en tant qu’extincteurs </w:t>
      </w:r>
      <w:r>
        <w:rPr>
          <w:i/>
        </w:rPr>
        <w:t>portatifs</w:t>
      </w:r>
      <w:r w:rsidRPr="002B7CC7">
        <w:rPr>
          <w:i/>
        </w:rPr>
        <w:t>.</w:t>
      </w:r>
      <w:r>
        <w:rPr>
          <w:iCs/>
        </w:rPr>
        <w:t> </w:t>
      </w:r>
      <w:r w:rsidRPr="00771D93">
        <w:rPr>
          <w:iCs/>
        </w:rPr>
        <w:t>»</w:t>
      </w:r>
    </w:p>
    <w:p w14:paraId="406909BC" w14:textId="77777777" w:rsidR="006F4C01" w:rsidRPr="00692350" w:rsidRDefault="006F4C01" w:rsidP="006F4C01">
      <w:pPr>
        <w:pStyle w:val="SingleTxtG"/>
        <w:spacing w:before="120"/>
        <w:rPr>
          <w:i/>
        </w:rPr>
      </w:pPr>
      <w:r w:rsidRPr="00692350">
        <w:rPr>
          <w:i/>
        </w:rPr>
        <w:t>(Document de référence : ST/SG/AC.10/C.3/</w:t>
      </w:r>
      <w:r>
        <w:rPr>
          <w:i/>
        </w:rPr>
        <w:t>2020/10/Rev.1, tel que modifié</w:t>
      </w:r>
      <w:r w:rsidRPr="00692350">
        <w:rPr>
          <w:i/>
        </w:rPr>
        <w:t>)</w:t>
      </w:r>
    </w:p>
    <w:p w14:paraId="18A747FE" w14:textId="77777777" w:rsidR="006F4C01" w:rsidRPr="00E07400" w:rsidRDefault="006F4C01" w:rsidP="006F4C01">
      <w:pPr>
        <w:tabs>
          <w:tab w:val="left" w:pos="2268"/>
        </w:tabs>
        <w:spacing w:after="120"/>
        <w:ind w:left="1134" w:right="1134"/>
        <w:jc w:val="both"/>
        <w:rPr>
          <w:iCs/>
        </w:rPr>
      </w:pPr>
      <w:r>
        <w:rPr>
          <w:iCs/>
        </w:rPr>
        <w:t>DS 397</w:t>
      </w:r>
      <w:r>
        <w:rPr>
          <w:iCs/>
        </w:rPr>
        <w:tab/>
      </w:r>
      <w:r w:rsidRPr="00E07400">
        <w:rPr>
          <w:iCs/>
        </w:rPr>
        <w:t xml:space="preserve">Ajouter la nouvelle disposition spéciale suivante : </w:t>
      </w:r>
    </w:p>
    <w:p w14:paraId="648194D1" w14:textId="77777777" w:rsidR="006F4C01" w:rsidRPr="00B75550" w:rsidRDefault="006F4C01" w:rsidP="006F4C01">
      <w:pPr>
        <w:keepNext/>
        <w:spacing w:after="120"/>
        <w:ind w:left="1134" w:right="1134"/>
        <w:jc w:val="both"/>
        <w:rPr>
          <w:rFonts w:eastAsiaTheme="minorHAnsi"/>
          <w:lang w:val="fr-FR" w:eastAsia="en-US"/>
        </w:rPr>
      </w:pPr>
      <w:r w:rsidRPr="00B75550">
        <w:rPr>
          <w:rFonts w:eastAsiaTheme="minorHAnsi"/>
          <w:lang w:val="fr-FR" w:eastAsia="en-US"/>
        </w:rPr>
        <w:t>« </w:t>
      </w:r>
      <w:r>
        <w:rPr>
          <w:rFonts w:eastAsiaTheme="minorHAnsi"/>
          <w:lang w:val="fr-FR" w:eastAsia="en-US"/>
        </w:rPr>
        <w:t>397</w:t>
      </w:r>
      <w:r>
        <w:rPr>
          <w:rFonts w:eastAsiaTheme="minorHAnsi"/>
          <w:lang w:val="fr-FR" w:eastAsia="en-US"/>
        </w:rPr>
        <w:tab/>
      </w:r>
      <w:r w:rsidRPr="00B75550">
        <w:rPr>
          <w:rFonts w:eastAsiaTheme="minorHAnsi"/>
          <w:lang w:val="fr-FR" w:eastAsia="en-US"/>
        </w:rPr>
        <w:t>Les mélanges d’azote et d’oxygène contenant au moins 19,5 % et au plus 23,5 % d’oxygène (volume) peuvent être transportés sous cette rubrique si aucun autre gaz comburant n’est présent. Pour les concentrations ne dépassant pas cette limite, l’utilisation de l’étiquette de danger subsidiaire de la division 5.1 n’est pas nécessaire. »</w:t>
      </w:r>
    </w:p>
    <w:p w14:paraId="5A3702F2" w14:textId="77777777" w:rsidR="006F4C01" w:rsidRPr="00692350" w:rsidRDefault="006F4C01" w:rsidP="006F4C01">
      <w:pPr>
        <w:pStyle w:val="SingleTxtG"/>
        <w:spacing w:before="120"/>
        <w:rPr>
          <w:i/>
        </w:rPr>
      </w:pPr>
      <w:r w:rsidRPr="00692350">
        <w:rPr>
          <w:i/>
        </w:rPr>
        <w:t>(Document de référence : ST/SG/AC.10/C.3/</w:t>
      </w:r>
      <w:r>
        <w:rPr>
          <w:i/>
        </w:rPr>
        <w:t>2020/9</w:t>
      </w:r>
      <w:r w:rsidRPr="00692350">
        <w:rPr>
          <w:i/>
        </w:rPr>
        <w:t>)</w:t>
      </w:r>
    </w:p>
    <w:p w14:paraId="0B78E2C5" w14:textId="77777777" w:rsidR="006F4C01" w:rsidRPr="00E07400" w:rsidRDefault="006F4C01" w:rsidP="006F4C01">
      <w:pPr>
        <w:tabs>
          <w:tab w:val="left" w:pos="2268"/>
        </w:tabs>
        <w:spacing w:after="120"/>
        <w:ind w:left="1134" w:right="1134"/>
        <w:jc w:val="both"/>
        <w:rPr>
          <w:iCs/>
        </w:rPr>
      </w:pPr>
      <w:r>
        <w:rPr>
          <w:iCs/>
        </w:rPr>
        <w:t>DS 398</w:t>
      </w:r>
      <w:r>
        <w:rPr>
          <w:iCs/>
        </w:rPr>
        <w:tab/>
      </w:r>
      <w:r w:rsidRPr="00E07400">
        <w:rPr>
          <w:iCs/>
        </w:rPr>
        <w:t xml:space="preserve">Ajouter la nouvelle disposition spéciale suivante : </w:t>
      </w:r>
    </w:p>
    <w:p w14:paraId="37A065C6" w14:textId="77777777" w:rsidR="006F4C01" w:rsidRPr="00B75550" w:rsidRDefault="006F4C01" w:rsidP="006F4C01">
      <w:pPr>
        <w:keepNext/>
        <w:spacing w:after="120"/>
        <w:ind w:left="1134" w:right="1134"/>
        <w:jc w:val="both"/>
        <w:rPr>
          <w:rFonts w:eastAsiaTheme="minorHAnsi"/>
          <w:lang w:val="fr-FR" w:eastAsia="en-US"/>
        </w:rPr>
      </w:pPr>
      <w:r w:rsidRPr="00B75550">
        <w:rPr>
          <w:rFonts w:eastAsiaTheme="minorHAnsi"/>
          <w:lang w:val="fr-FR" w:eastAsia="en-US"/>
        </w:rPr>
        <w:t>« </w:t>
      </w:r>
      <w:r>
        <w:rPr>
          <w:rFonts w:eastAsiaTheme="minorHAnsi"/>
          <w:lang w:val="fr-FR" w:eastAsia="en-US"/>
        </w:rPr>
        <w:t>398</w:t>
      </w:r>
      <w:r>
        <w:rPr>
          <w:rFonts w:eastAsiaTheme="minorHAnsi"/>
          <w:lang w:val="fr-FR" w:eastAsia="en-US"/>
        </w:rPr>
        <w:tab/>
      </w:r>
      <w:r w:rsidRPr="00D0449E">
        <w:rPr>
          <w:rFonts w:eastAsiaTheme="minorHAnsi"/>
          <w:lang w:val="fr-FR" w:eastAsia="en-US"/>
        </w:rPr>
        <w:t>Cette rubrique s’applique aux mélanges de butylènes, au 1 butylène, au cis-2-butylène et au trans-2-butylène. Pour l’</w:t>
      </w:r>
      <w:proofErr w:type="spellStart"/>
      <w:r w:rsidRPr="00D0449E">
        <w:rPr>
          <w:rFonts w:eastAsiaTheme="minorHAnsi"/>
          <w:lang w:val="fr-FR" w:eastAsia="en-US"/>
        </w:rPr>
        <w:t>isobutylène</w:t>
      </w:r>
      <w:proofErr w:type="spellEnd"/>
      <w:r w:rsidRPr="00D0449E">
        <w:rPr>
          <w:rFonts w:eastAsiaTheme="minorHAnsi"/>
          <w:lang w:val="fr-FR" w:eastAsia="en-US"/>
        </w:rPr>
        <w:t>, voir le No ONU 1055.</w:t>
      </w:r>
      <w:r w:rsidRPr="00B75550">
        <w:rPr>
          <w:rFonts w:eastAsiaTheme="minorHAnsi"/>
          <w:lang w:val="fr-FR" w:eastAsia="en-US"/>
        </w:rPr>
        <w:t> »</w:t>
      </w:r>
    </w:p>
    <w:p w14:paraId="1F6D3E57" w14:textId="77777777" w:rsidR="006F4C01" w:rsidRPr="00692350" w:rsidRDefault="006F4C01" w:rsidP="006F4C01">
      <w:pPr>
        <w:pStyle w:val="SingleTxtG"/>
        <w:spacing w:before="120"/>
        <w:rPr>
          <w:i/>
        </w:rPr>
      </w:pPr>
      <w:r w:rsidRPr="00692350">
        <w:rPr>
          <w:i/>
        </w:rPr>
        <w:t>(Document de référence : ST/SG/AC.10/C.3/</w:t>
      </w:r>
      <w:r>
        <w:rPr>
          <w:i/>
        </w:rPr>
        <w:t>2020/69</w:t>
      </w:r>
      <w:r w:rsidRPr="00692350">
        <w:rPr>
          <w:i/>
        </w:rPr>
        <w:t>)</w:t>
      </w:r>
    </w:p>
    <w:p w14:paraId="3CFD482D" w14:textId="77777777" w:rsidR="006F4C01" w:rsidRPr="00990E03" w:rsidRDefault="006F4C01" w:rsidP="006F4C01">
      <w:pPr>
        <w:keepNext/>
        <w:keepLines/>
        <w:tabs>
          <w:tab w:val="right" w:pos="851"/>
        </w:tabs>
        <w:kinsoku/>
        <w:overflowPunct/>
        <w:autoSpaceDE/>
        <w:autoSpaceDN/>
        <w:adjustRightInd/>
        <w:snapToGrid/>
        <w:spacing w:before="360" w:after="240" w:line="270" w:lineRule="exact"/>
        <w:ind w:left="1134" w:right="1134" w:hanging="1134"/>
        <w:rPr>
          <w:b/>
          <w:sz w:val="24"/>
          <w:lang w:val="fr-FR" w:eastAsia="en-US"/>
        </w:rPr>
      </w:pPr>
      <w:r w:rsidRPr="00990E03">
        <w:rPr>
          <w:b/>
          <w:sz w:val="24"/>
          <w:lang w:val="fr-FR" w:eastAsia="en-US"/>
        </w:rPr>
        <w:tab/>
      </w:r>
      <w:r w:rsidRPr="00990E03">
        <w:rPr>
          <w:b/>
          <w:sz w:val="24"/>
          <w:lang w:val="fr-FR" w:eastAsia="en-US"/>
        </w:rPr>
        <w:tab/>
        <w:t>Index alphabétique</w:t>
      </w:r>
    </w:p>
    <w:p w14:paraId="5BC6C581" w14:textId="77777777" w:rsidR="006F4C01" w:rsidRDefault="006F4C01" w:rsidP="006F4C01">
      <w:pPr>
        <w:pStyle w:val="SingleTxtG"/>
        <w:spacing w:before="120"/>
        <w:rPr>
          <w:iCs/>
        </w:rPr>
      </w:pPr>
      <w:r>
        <w:rPr>
          <w:iCs/>
        </w:rPr>
        <w:t>Modifier la rubrique pour « </w:t>
      </w:r>
      <w:r w:rsidRPr="00624EF3">
        <w:rPr>
          <w:iCs/>
        </w:rPr>
        <w:t>EXTRAITS AROMATIQUES LIQUIDES</w:t>
      </w:r>
      <w:r>
        <w:rPr>
          <w:iCs/>
        </w:rPr>
        <w:t> » pour lire comme suit :</w:t>
      </w:r>
    </w:p>
    <w:tbl>
      <w:tblPr>
        <w:tblW w:w="7371"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42"/>
        <w:gridCol w:w="812"/>
        <w:gridCol w:w="1517"/>
      </w:tblGrid>
      <w:tr w:rsidR="006F4C01" w:rsidRPr="00990E03" w14:paraId="79864115" w14:textId="77777777" w:rsidTr="007B6FD6">
        <w:trPr>
          <w:cantSplit/>
          <w:trHeight w:val="403"/>
        </w:trPr>
        <w:tc>
          <w:tcPr>
            <w:tcW w:w="5042" w:type="dxa"/>
          </w:tcPr>
          <w:p w14:paraId="7393D9ED" w14:textId="77777777" w:rsidR="006F4C01" w:rsidRPr="00990E03" w:rsidRDefault="006F4C01" w:rsidP="007B6FD6">
            <w:pPr>
              <w:suppressAutoHyphens w:val="0"/>
              <w:kinsoku/>
              <w:overflowPunct/>
              <w:autoSpaceDE/>
              <w:autoSpaceDN/>
              <w:adjustRightInd/>
              <w:snapToGrid/>
              <w:spacing w:before="40" w:after="40" w:line="220" w:lineRule="exact"/>
              <w:ind w:right="113"/>
              <w:rPr>
                <w:lang w:val="fr-FR" w:eastAsia="en-US"/>
              </w:rPr>
            </w:pPr>
            <w:r w:rsidRPr="00624EF3">
              <w:rPr>
                <w:iCs/>
              </w:rPr>
              <w:t>Extraits aromatiques liquides</w:t>
            </w:r>
          </w:p>
        </w:tc>
        <w:tc>
          <w:tcPr>
            <w:tcW w:w="812" w:type="dxa"/>
          </w:tcPr>
          <w:p w14:paraId="0A1C40CD" w14:textId="77777777" w:rsidR="006F4C01" w:rsidRPr="00990E03" w:rsidRDefault="006F4C01" w:rsidP="007B6FD6">
            <w:pPr>
              <w:kinsoku/>
              <w:overflowPunct/>
              <w:autoSpaceDE/>
              <w:autoSpaceDN/>
              <w:adjustRightInd/>
              <w:snapToGrid/>
              <w:spacing w:after="120"/>
              <w:ind w:left="284" w:hanging="284"/>
              <w:jc w:val="center"/>
              <w:rPr>
                <w:lang w:val="fr-FR" w:eastAsia="en-US"/>
              </w:rPr>
            </w:pPr>
            <w:r>
              <w:rPr>
                <w:lang w:val="fr-FR" w:eastAsia="en-US"/>
              </w:rPr>
              <w:t>3</w:t>
            </w:r>
          </w:p>
        </w:tc>
        <w:tc>
          <w:tcPr>
            <w:tcW w:w="1517" w:type="dxa"/>
          </w:tcPr>
          <w:p w14:paraId="78EEBAEE" w14:textId="77777777" w:rsidR="006F4C01" w:rsidRPr="00990E03" w:rsidRDefault="006F4C01" w:rsidP="007B6FD6">
            <w:pPr>
              <w:kinsoku/>
              <w:overflowPunct/>
              <w:autoSpaceDE/>
              <w:autoSpaceDN/>
              <w:adjustRightInd/>
              <w:snapToGrid/>
              <w:spacing w:after="120"/>
              <w:jc w:val="center"/>
              <w:rPr>
                <w:lang w:val="fr-FR" w:eastAsia="en-US"/>
              </w:rPr>
            </w:pPr>
            <w:r>
              <w:rPr>
                <w:lang w:val="fr-FR" w:eastAsia="en-US"/>
              </w:rPr>
              <w:t>Voir No ONU 1197</w:t>
            </w:r>
          </w:p>
        </w:tc>
      </w:tr>
    </w:tbl>
    <w:p w14:paraId="2E7BAFF3" w14:textId="77777777" w:rsidR="006F4C01" w:rsidRDefault="006F4C01" w:rsidP="006F4C01">
      <w:pPr>
        <w:pStyle w:val="SingleTxtG"/>
        <w:spacing w:before="120"/>
        <w:rPr>
          <w:i/>
        </w:rPr>
      </w:pPr>
      <w:r w:rsidRPr="00692350">
        <w:rPr>
          <w:i/>
        </w:rPr>
        <w:t>(Document de référence : ST/SG/AC.10/C.3/</w:t>
      </w:r>
      <w:r>
        <w:rPr>
          <w:i/>
        </w:rPr>
        <w:t>2020/38/Rev.1, tel que modifié</w:t>
      </w:r>
      <w:r w:rsidRPr="00692350">
        <w:rPr>
          <w:i/>
        </w:rPr>
        <w:t>)</w:t>
      </w:r>
    </w:p>
    <w:p w14:paraId="5A19D7B7" w14:textId="77777777" w:rsidR="006F4C01" w:rsidRDefault="006F4C01" w:rsidP="006F4C01">
      <w:pPr>
        <w:pStyle w:val="SingleTxtG"/>
        <w:spacing w:before="120"/>
        <w:rPr>
          <w:iCs/>
        </w:rPr>
      </w:pPr>
      <w:r>
        <w:rPr>
          <w:iCs/>
        </w:rPr>
        <w:t>Modifier la rubrique pour « </w:t>
      </w:r>
      <w:r>
        <w:t>EXTRAITS LIQUIDES POUR AROMATISER</w:t>
      </w:r>
      <w:r>
        <w:rPr>
          <w:iCs/>
        </w:rPr>
        <w:t> » pour lire comme suit :</w:t>
      </w:r>
    </w:p>
    <w:tbl>
      <w:tblPr>
        <w:tblW w:w="7371"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42"/>
        <w:gridCol w:w="812"/>
        <w:gridCol w:w="1517"/>
      </w:tblGrid>
      <w:tr w:rsidR="006F4C01" w:rsidRPr="00990E03" w14:paraId="0CC0BB25" w14:textId="77777777" w:rsidTr="007B6FD6">
        <w:trPr>
          <w:cantSplit/>
          <w:trHeight w:val="403"/>
        </w:trPr>
        <w:tc>
          <w:tcPr>
            <w:tcW w:w="5042" w:type="dxa"/>
          </w:tcPr>
          <w:p w14:paraId="2C756A8A" w14:textId="77777777" w:rsidR="006F4C01" w:rsidRPr="00990E03" w:rsidRDefault="006F4C01" w:rsidP="007B6FD6">
            <w:pPr>
              <w:suppressAutoHyphens w:val="0"/>
              <w:kinsoku/>
              <w:overflowPunct/>
              <w:autoSpaceDE/>
              <w:autoSpaceDN/>
              <w:adjustRightInd/>
              <w:snapToGrid/>
              <w:spacing w:before="40" w:after="40" w:line="220" w:lineRule="exact"/>
              <w:ind w:right="113"/>
              <w:rPr>
                <w:lang w:val="fr-FR" w:eastAsia="en-US"/>
              </w:rPr>
            </w:pPr>
            <w:r>
              <w:rPr>
                <w:iCs/>
              </w:rPr>
              <w:t>EXTRAITS, LIQUIDES, pour aromatiser</w:t>
            </w:r>
          </w:p>
        </w:tc>
        <w:tc>
          <w:tcPr>
            <w:tcW w:w="812" w:type="dxa"/>
          </w:tcPr>
          <w:p w14:paraId="2F84E88E" w14:textId="77777777" w:rsidR="006F4C01" w:rsidRPr="00990E03" w:rsidRDefault="006F4C01" w:rsidP="007B6FD6">
            <w:pPr>
              <w:kinsoku/>
              <w:overflowPunct/>
              <w:autoSpaceDE/>
              <w:autoSpaceDN/>
              <w:adjustRightInd/>
              <w:snapToGrid/>
              <w:spacing w:after="120"/>
              <w:ind w:left="284" w:hanging="284"/>
              <w:jc w:val="center"/>
              <w:rPr>
                <w:lang w:val="fr-FR" w:eastAsia="en-US"/>
              </w:rPr>
            </w:pPr>
            <w:r>
              <w:rPr>
                <w:lang w:val="fr-FR" w:eastAsia="en-US"/>
              </w:rPr>
              <w:t>3</w:t>
            </w:r>
          </w:p>
        </w:tc>
        <w:tc>
          <w:tcPr>
            <w:tcW w:w="1517" w:type="dxa"/>
          </w:tcPr>
          <w:p w14:paraId="18DA60D0" w14:textId="77777777" w:rsidR="006F4C01" w:rsidRPr="00990E03" w:rsidRDefault="006F4C01" w:rsidP="007B6FD6">
            <w:pPr>
              <w:kinsoku/>
              <w:overflowPunct/>
              <w:autoSpaceDE/>
              <w:autoSpaceDN/>
              <w:adjustRightInd/>
              <w:snapToGrid/>
              <w:spacing w:after="120"/>
              <w:jc w:val="center"/>
              <w:rPr>
                <w:lang w:val="fr-FR" w:eastAsia="en-US"/>
              </w:rPr>
            </w:pPr>
            <w:r>
              <w:rPr>
                <w:lang w:val="fr-FR" w:eastAsia="en-US"/>
              </w:rPr>
              <w:t>1197</w:t>
            </w:r>
          </w:p>
        </w:tc>
      </w:tr>
    </w:tbl>
    <w:p w14:paraId="58D83B07" w14:textId="77777777" w:rsidR="006F4C01" w:rsidRDefault="006F4C01" w:rsidP="006F4C01">
      <w:pPr>
        <w:pStyle w:val="SingleTxtG"/>
        <w:spacing w:before="120"/>
        <w:rPr>
          <w:i/>
        </w:rPr>
      </w:pPr>
      <w:r w:rsidRPr="00692350">
        <w:rPr>
          <w:i/>
        </w:rPr>
        <w:t>(Document de référence : ST/SG/AC.10/C.3/</w:t>
      </w:r>
      <w:r>
        <w:rPr>
          <w:i/>
        </w:rPr>
        <w:t>2020/38/Rev.1, tel que modifié</w:t>
      </w:r>
      <w:r w:rsidRPr="00692350">
        <w:rPr>
          <w:i/>
        </w:rPr>
        <w:t>)</w:t>
      </w:r>
    </w:p>
    <w:p w14:paraId="7A5D6B68" w14:textId="77777777" w:rsidR="006F4C01" w:rsidRPr="00990E03" w:rsidRDefault="006F4C01" w:rsidP="006F4C01">
      <w:pPr>
        <w:kinsoku/>
        <w:overflowPunct/>
        <w:autoSpaceDE/>
        <w:autoSpaceDN/>
        <w:adjustRightInd/>
        <w:snapToGrid/>
        <w:spacing w:before="120" w:after="120" w:line="240" w:lineRule="auto"/>
        <w:ind w:left="1134" w:right="1134"/>
        <w:jc w:val="both"/>
        <w:rPr>
          <w:iCs/>
          <w:lang w:val="fr-FR" w:eastAsia="en-US"/>
        </w:rPr>
      </w:pPr>
      <w:r w:rsidRPr="00990E03">
        <w:rPr>
          <w:iCs/>
          <w:lang w:val="fr-FR" w:eastAsia="en-US"/>
        </w:rPr>
        <w:t>Ajouter l</w:t>
      </w:r>
      <w:r>
        <w:rPr>
          <w:iCs/>
          <w:lang w:val="fr-FR" w:eastAsia="en-US"/>
        </w:rPr>
        <w:t>es</w:t>
      </w:r>
      <w:r w:rsidRPr="00990E03">
        <w:rPr>
          <w:iCs/>
          <w:lang w:val="fr-FR" w:eastAsia="en-US"/>
        </w:rPr>
        <w:t xml:space="preserve"> nouvelle</w:t>
      </w:r>
      <w:r>
        <w:rPr>
          <w:iCs/>
          <w:lang w:val="fr-FR" w:eastAsia="en-US"/>
        </w:rPr>
        <w:t>s</w:t>
      </w:r>
      <w:r w:rsidRPr="00990E03">
        <w:rPr>
          <w:iCs/>
          <w:lang w:val="fr-FR" w:eastAsia="en-US"/>
        </w:rPr>
        <w:t xml:space="preserve"> rubrique</w:t>
      </w:r>
      <w:r>
        <w:rPr>
          <w:iCs/>
          <w:lang w:val="fr-FR" w:eastAsia="en-US"/>
        </w:rPr>
        <w:t>s</w:t>
      </w:r>
      <w:r w:rsidRPr="00990E03">
        <w:rPr>
          <w:iCs/>
          <w:lang w:val="fr-FR" w:eastAsia="en-US"/>
        </w:rPr>
        <w:t xml:space="preserve"> suivante</w:t>
      </w:r>
      <w:r>
        <w:rPr>
          <w:iCs/>
          <w:lang w:val="fr-FR" w:eastAsia="en-US"/>
        </w:rPr>
        <w:t>s</w:t>
      </w:r>
      <w:r w:rsidRPr="00990E03">
        <w:rPr>
          <w:iCs/>
          <w:lang w:val="fr-FR" w:eastAsia="en-US"/>
        </w:rPr>
        <w:t xml:space="preserve"> dans l’ordre alphabétique :</w:t>
      </w:r>
    </w:p>
    <w:tbl>
      <w:tblPr>
        <w:tblW w:w="7371"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42"/>
        <w:gridCol w:w="812"/>
        <w:gridCol w:w="1517"/>
      </w:tblGrid>
      <w:tr w:rsidR="006F4C01" w:rsidRPr="00990E03" w14:paraId="3DDBA810" w14:textId="77777777" w:rsidTr="007B6FD6">
        <w:trPr>
          <w:cantSplit/>
          <w:trHeight w:val="403"/>
        </w:trPr>
        <w:tc>
          <w:tcPr>
            <w:tcW w:w="5042" w:type="dxa"/>
          </w:tcPr>
          <w:p w14:paraId="6CEE7C40" w14:textId="77777777" w:rsidR="006F4C01" w:rsidRPr="00990E03" w:rsidRDefault="006F4C01" w:rsidP="007B6FD6">
            <w:pPr>
              <w:suppressAutoHyphens w:val="0"/>
              <w:kinsoku/>
              <w:overflowPunct/>
              <w:autoSpaceDE/>
              <w:autoSpaceDN/>
              <w:adjustRightInd/>
              <w:snapToGrid/>
              <w:spacing w:before="40" w:after="40" w:line="220" w:lineRule="exact"/>
              <w:ind w:right="113"/>
              <w:rPr>
                <w:lang w:val="fr-FR" w:eastAsia="en-US"/>
              </w:rPr>
            </w:pPr>
            <w:r w:rsidRPr="001F6B05">
              <w:rPr>
                <w:color w:val="000000" w:themeColor="text1"/>
              </w:rPr>
              <w:t>1-butylène</w:t>
            </w:r>
          </w:p>
        </w:tc>
        <w:tc>
          <w:tcPr>
            <w:tcW w:w="812" w:type="dxa"/>
          </w:tcPr>
          <w:p w14:paraId="14218CAD" w14:textId="77777777" w:rsidR="006F4C01" w:rsidRPr="00990E03" w:rsidRDefault="006F4C01" w:rsidP="007B6FD6">
            <w:pPr>
              <w:kinsoku/>
              <w:overflowPunct/>
              <w:autoSpaceDE/>
              <w:autoSpaceDN/>
              <w:adjustRightInd/>
              <w:snapToGrid/>
              <w:spacing w:after="120"/>
              <w:ind w:left="284" w:hanging="284"/>
              <w:jc w:val="center"/>
              <w:rPr>
                <w:lang w:val="fr-FR" w:eastAsia="en-US"/>
              </w:rPr>
            </w:pPr>
            <w:r>
              <w:rPr>
                <w:lang w:val="fr-FR" w:eastAsia="en-US"/>
              </w:rPr>
              <w:t>2.1</w:t>
            </w:r>
          </w:p>
        </w:tc>
        <w:tc>
          <w:tcPr>
            <w:tcW w:w="1517" w:type="dxa"/>
          </w:tcPr>
          <w:p w14:paraId="661E9233" w14:textId="77777777" w:rsidR="006F4C01" w:rsidRPr="00990E03" w:rsidRDefault="006F4C01" w:rsidP="007B6FD6">
            <w:pPr>
              <w:kinsoku/>
              <w:overflowPunct/>
              <w:autoSpaceDE/>
              <w:autoSpaceDN/>
              <w:adjustRightInd/>
              <w:snapToGrid/>
              <w:spacing w:after="120"/>
              <w:jc w:val="center"/>
              <w:rPr>
                <w:lang w:val="fr-FR" w:eastAsia="en-US"/>
              </w:rPr>
            </w:pPr>
            <w:r>
              <w:rPr>
                <w:lang w:val="fr-FR" w:eastAsia="en-US"/>
              </w:rPr>
              <w:t>Voir No ONU 1012</w:t>
            </w:r>
          </w:p>
        </w:tc>
      </w:tr>
      <w:tr w:rsidR="006F4C01" w:rsidRPr="00990E03" w14:paraId="72F05286" w14:textId="77777777" w:rsidTr="007B6FD6">
        <w:trPr>
          <w:cantSplit/>
          <w:trHeight w:val="403"/>
        </w:trPr>
        <w:tc>
          <w:tcPr>
            <w:tcW w:w="5042" w:type="dxa"/>
          </w:tcPr>
          <w:p w14:paraId="2ECB391E" w14:textId="77777777" w:rsidR="006F4C01" w:rsidRPr="001F6B05" w:rsidRDefault="006F4C01" w:rsidP="007B6FD6">
            <w:pPr>
              <w:suppressAutoHyphens w:val="0"/>
              <w:kinsoku/>
              <w:overflowPunct/>
              <w:autoSpaceDE/>
              <w:autoSpaceDN/>
              <w:adjustRightInd/>
              <w:snapToGrid/>
              <w:spacing w:before="40" w:after="40" w:line="220" w:lineRule="exact"/>
              <w:ind w:right="113"/>
              <w:rPr>
                <w:color w:val="000000" w:themeColor="text1"/>
              </w:rPr>
            </w:pPr>
            <w:r w:rsidRPr="001F6B05">
              <w:rPr>
                <w:color w:val="000000" w:themeColor="text1"/>
              </w:rPr>
              <w:t>cis-2-butylène</w:t>
            </w:r>
          </w:p>
        </w:tc>
        <w:tc>
          <w:tcPr>
            <w:tcW w:w="812" w:type="dxa"/>
          </w:tcPr>
          <w:p w14:paraId="455AFC6E" w14:textId="77777777" w:rsidR="006F4C01" w:rsidRPr="00990E03" w:rsidRDefault="006F4C01" w:rsidP="007B6FD6">
            <w:pPr>
              <w:kinsoku/>
              <w:overflowPunct/>
              <w:autoSpaceDE/>
              <w:autoSpaceDN/>
              <w:adjustRightInd/>
              <w:snapToGrid/>
              <w:spacing w:after="120"/>
              <w:ind w:left="284" w:hanging="284"/>
              <w:jc w:val="center"/>
              <w:rPr>
                <w:lang w:val="fr-FR" w:eastAsia="en-US"/>
              </w:rPr>
            </w:pPr>
            <w:r>
              <w:rPr>
                <w:lang w:val="fr-FR" w:eastAsia="en-US"/>
              </w:rPr>
              <w:t>2.1</w:t>
            </w:r>
          </w:p>
        </w:tc>
        <w:tc>
          <w:tcPr>
            <w:tcW w:w="1517" w:type="dxa"/>
          </w:tcPr>
          <w:p w14:paraId="4E92DB35" w14:textId="77777777" w:rsidR="006F4C01" w:rsidRPr="00990E03" w:rsidRDefault="006F4C01" w:rsidP="007B6FD6">
            <w:pPr>
              <w:kinsoku/>
              <w:overflowPunct/>
              <w:autoSpaceDE/>
              <w:autoSpaceDN/>
              <w:adjustRightInd/>
              <w:snapToGrid/>
              <w:spacing w:after="120"/>
              <w:jc w:val="center"/>
              <w:rPr>
                <w:lang w:val="fr-FR" w:eastAsia="en-US"/>
              </w:rPr>
            </w:pPr>
            <w:r>
              <w:rPr>
                <w:lang w:val="fr-FR" w:eastAsia="en-US"/>
              </w:rPr>
              <w:t>Voir No ONU 1012</w:t>
            </w:r>
          </w:p>
        </w:tc>
      </w:tr>
      <w:tr w:rsidR="006F4C01" w:rsidRPr="00990E03" w14:paraId="0A9EF5EB" w14:textId="77777777" w:rsidTr="007B6FD6">
        <w:trPr>
          <w:cantSplit/>
          <w:trHeight w:val="403"/>
        </w:trPr>
        <w:tc>
          <w:tcPr>
            <w:tcW w:w="5042" w:type="dxa"/>
          </w:tcPr>
          <w:p w14:paraId="089AC975" w14:textId="77777777" w:rsidR="006F4C01" w:rsidRPr="00990E03" w:rsidRDefault="006F4C01" w:rsidP="007B6FD6">
            <w:pPr>
              <w:suppressAutoHyphens w:val="0"/>
              <w:kinsoku/>
              <w:overflowPunct/>
              <w:autoSpaceDE/>
              <w:autoSpaceDN/>
              <w:adjustRightInd/>
              <w:snapToGrid/>
              <w:spacing w:before="40" w:after="40" w:line="220" w:lineRule="exact"/>
              <w:ind w:right="113"/>
              <w:rPr>
                <w:lang w:val="fr-FR" w:eastAsia="en-US"/>
              </w:rPr>
            </w:pPr>
            <w:r w:rsidRPr="00990E03">
              <w:rPr>
                <w:lang w:val="fr-FR" w:eastAsia="en-US"/>
              </w:rPr>
              <w:t xml:space="preserve">POUDRE DE DIHYDROXYDE DE COBALT ayant une teneur en particules respirables égale </w:t>
            </w:r>
            <w:r>
              <w:rPr>
                <w:lang w:val="fr-FR" w:eastAsia="en-US"/>
              </w:rPr>
              <w:t xml:space="preserve">ou </w:t>
            </w:r>
            <w:r w:rsidRPr="00990E03">
              <w:rPr>
                <w:lang w:val="fr-FR" w:eastAsia="en-US"/>
              </w:rPr>
              <w:t>supérieure à 10 %</w:t>
            </w:r>
          </w:p>
        </w:tc>
        <w:tc>
          <w:tcPr>
            <w:tcW w:w="812" w:type="dxa"/>
          </w:tcPr>
          <w:p w14:paraId="352F3AD6" w14:textId="77777777" w:rsidR="006F4C01" w:rsidRPr="00990E03" w:rsidRDefault="006F4C01" w:rsidP="007B6FD6">
            <w:pPr>
              <w:kinsoku/>
              <w:overflowPunct/>
              <w:autoSpaceDE/>
              <w:autoSpaceDN/>
              <w:adjustRightInd/>
              <w:snapToGrid/>
              <w:spacing w:after="120"/>
              <w:ind w:left="284" w:hanging="284"/>
              <w:jc w:val="center"/>
              <w:rPr>
                <w:lang w:val="fr-FR" w:eastAsia="en-US"/>
              </w:rPr>
            </w:pPr>
            <w:r w:rsidRPr="00990E03">
              <w:rPr>
                <w:lang w:val="fr-FR" w:eastAsia="en-US"/>
              </w:rPr>
              <w:t>6.</w:t>
            </w:r>
            <w:r>
              <w:rPr>
                <w:lang w:val="fr-FR" w:eastAsia="en-US"/>
              </w:rPr>
              <w:t>1</w:t>
            </w:r>
          </w:p>
        </w:tc>
        <w:tc>
          <w:tcPr>
            <w:tcW w:w="1517" w:type="dxa"/>
          </w:tcPr>
          <w:p w14:paraId="6FF0F975" w14:textId="77777777" w:rsidR="006F4C01" w:rsidRPr="00990E03" w:rsidRDefault="006F4C01" w:rsidP="007B6FD6">
            <w:pPr>
              <w:kinsoku/>
              <w:overflowPunct/>
              <w:autoSpaceDE/>
              <w:autoSpaceDN/>
              <w:adjustRightInd/>
              <w:snapToGrid/>
              <w:spacing w:after="120"/>
              <w:ind w:left="284" w:hanging="284"/>
              <w:jc w:val="center"/>
              <w:rPr>
                <w:lang w:val="fr-FR" w:eastAsia="en-US"/>
              </w:rPr>
            </w:pPr>
            <w:r w:rsidRPr="00990E03">
              <w:rPr>
                <w:lang w:val="fr-FR" w:eastAsia="en-US"/>
              </w:rPr>
              <w:t>35</w:t>
            </w:r>
            <w:r>
              <w:rPr>
                <w:lang w:val="fr-FR" w:eastAsia="en-US"/>
              </w:rPr>
              <w:t>50</w:t>
            </w:r>
          </w:p>
        </w:tc>
      </w:tr>
      <w:tr w:rsidR="006F4C01" w:rsidRPr="00990E03" w14:paraId="1F4A144C" w14:textId="77777777" w:rsidTr="007B6FD6">
        <w:trPr>
          <w:cantSplit/>
          <w:trHeight w:val="403"/>
        </w:trPr>
        <w:tc>
          <w:tcPr>
            <w:tcW w:w="5042" w:type="dxa"/>
          </w:tcPr>
          <w:p w14:paraId="0F4CE7F4" w14:textId="77777777" w:rsidR="006F4C01" w:rsidRPr="001F6B05" w:rsidRDefault="006F4C01" w:rsidP="007B6FD6">
            <w:pPr>
              <w:suppressAutoHyphens w:val="0"/>
              <w:kinsoku/>
              <w:overflowPunct/>
              <w:autoSpaceDE/>
              <w:autoSpaceDN/>
              <w:adjustRightInd/>
              <w:snapToGrid/>
              <w:spacing w:before="40" w:after="40" w:line="220" w:lineRule="exact"/>
              <w:ind w:right="113"/>
              <w:rPr>
                <w:color w:val="000000" w:themeColor="text1"/>
              </w:rPr>
            </w:pPr>
            <w:r w:rsidRPr="001F6B05">
              <w:rPr>
                <w:color w:val="000000" w:themeColor="text1"/>
              </w:rPr>
              <w:t>trans-2-butylène </w:t>
            </w:r>
          </w:p>
        </w:tc>
        <w:tc>
          <w:tcPr>
            <w:tcW w:w="812" w:type="dxa"/>
          </w:tcPr>
          <w:p w14:paraId="146B3C3B" w14:textId="77777777" w:rsidR="006F4C01" w:rsidRPr="00990E03" w:rsidRDefault="006F4C01" w:rsidP="007B6FD6">
            <w:pPr>
              <w:kinsoku/>
              <w:overflowPunct/>
              <w:autoSpaceDE/>
              <w:autoSpaceDN/>
              <w:adjustRightInd/>
              <w:snapToGrid/>
              <w:spacing w:after="120"/>
              <w:ind w:left="284" w:hanging="284"/>
              <w:jc w:val="center"/>
              <w:rPr>
                <w:lang w:val="fr-FR" w:eastAsia="en-US"/>
              </w:rPr>
            </w:pPr>
            <w:r>
              <w:rPr>
                <w:lang w:val="fr-FR" w:eastAsia="en-US"/>
              </w:rPr>
              <w:t>2.1</w:t>
            </w:r>
          </w:p>
        </w:tc>
        <w:tc>
          <w:tcPr>
            <w:tcW w:w="1517" w:type="dxa"/>
          </w:tcPr>
          <w:p w14:paraId="70F26CF0" w14:textId="77777777" w:rsidR="006F4C01" w:rsidRPr="00990E03" w:rsidRDefault="006F4C01" w:rsidP="007B6FD6">
            <w:pPr>
              <w:kinsoku/>
              <w:overflowPunct/>
              <w:autoSpaceDE/>
              <w:autoSpaceDN/>
              <w:adjustRightInd/>
              <w:snapToGrid/>
              <w:spacing w:after="120"/>
              <w:jc w:val="center"/>
              <w:rPr>
                <w:lang w:val="fr-FR" w:eastAsia="en-US"/>
              </w:rPr>
            </w:pPr>
            <w:r>
              <w:rPr>
                <w:lang w:val="fr-FR" w:eastAsia="en-US"/>
              </w:rPr>
              <w:t>Voir No ONU 1012</w:t>
            </w:r>
          </w:p>
        </w:tc>
      </w:tr>
    </w:tbl>
    <w:p w14:paraId="77F96AAB" w14:textId="77777777" w:rsidR="006F4C01" w:rsidRDefault="006F4C01" w:rsidP="006F4C01">
      <w:pPr>
        <w:pStyle w:val="SingleTxtG"/>
        <w:spacing w:before="120"/>
        <w:rPr>
          <w:i/>
        </w:rPr>
      </w:pPr>
      <w:r w:rsidRPr="00692350">
        <w:rPr>
          <w:i/>
        </w:rPr>
        <w:t>(Document</w:t>
      </w:r>
      <w:r>
        <w:rPr>
          <w:i/>
        </w:rPr>
        <w:t>s</w:t>
      </w:r>
      <w:r w:rsidRPr="00692350">
        <w:rPr>
          <w:i/>
        </w:rPr>
        <w:t xml:space="preserve"> de référence : ST/SG/AC.10/C.3/</w:t>
      </w:r>
      <w:r>
        <w:rPr>
          <w:i/>
        </w:rPr>
        <w:t xml:space="preserve">2020/69 et document informel INF.45, tel que modifié et </w:t>
      </w:r>
      <w:r w:rsidRPr="00007C2E">
        <w:rPr>
          <w:i/>
          <w:iCs/>
        </w:rPr>
        <w:t>ST/SG/AC.10/C.3/2020/</w:t>
      </w:r>
      <w:r>
        <w:rPr>
          <w:i/>
          <w:iCs/>
        </w:rPr>
        <w:t>38/Rev.1, tel que modifié pour la version anglaise</w:t>
      </w:r>
      <w:r w:rsidRPr="00692350">
        <w:rPr>
          <w:i/>
        </w:rPr>
        <w:t>)</w:t>
      </w:r>
    </w:p>
    <w:p w14:paraId="367E11C4" w14:textId="77777777" w:rsidR="006F4C01" w:rsidRPr="00F7088C" w:rsidRDefault="006F4C01" w:rsidP="006F4C01">
      <w:pPr>
        <w:pStyle w:val="H1G"/>
        <w:rPr>
          <w:lang w:eastAsia="en-US"/>
        </w:rPr>
      </w:pPr>
      <w:r w:rsidRPr="00F7088C">
        <w:rPr>
          <w:lang w:val="fr-FR" w:eastAsia="en-US"/>
        </w:rPr>
        <w:lastRenderedPageBreak/>
        <w:tab/>
      </w:r>
      <w:r w:rsidRPr="00F7088C">
        <w:rPr>
          <w:lang w:val="fr-FR" w:eastAsia="en-US"/>
        </w:rPr>
        <w:tab/>
      </w:r>
      <w:r w:rsidRPr="00F7088C">
        <w:rPr>
          <w:lang w:eastAsia="en-US"/>
        </w:rPr>
        <w:t xml:space="preserve">Chapitre </w:t>
      </w:r>
      <w:r>
        <w:rPr>
          <w:lang w:eastAsia="en-US"/>
        </w:rPr>
        <w:t>4.1</w:t>
      </w:r>
    </w:p>
    <w:p w14:paraId="1D7C588F"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4.1.1.19.2</w:t>
      </w:r>
      <w:r>
        <w:rPr>
          <w:lang w:eastAsia="en-US"/>
        </w:rPr>
        <w:tab/>
        <w:t>Supprimer la deuxième phrase. Dans l’avant-dernière phrase, remplacer « 1000 litres » par « 3000 litres ».</w:t>
      </w:r>
    </w:p>
    <w:p w14:paraId="465E1CF2"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ST/SG/AC.10/C.3/2020/18, proposition 3</w:t>
      </w:r>
      <w:r w:rsidRPr="00F7088C">
        <w:rPr>
          <w:i/>
          <w:iCs/>
          <w:lang w:eastAsia="en-US"/>
        </w:rPr>
        <w:t>)</w:t>
      </w:r>
    </w:p>
    <w:p w14:paraId="23895631" w14:textId="77777777" w:rsidR="006F4C01" w:rsidRDefault="006F4C01" w:rsidP="006F4C01">
      <w:pPr>
        <w:pStyle w:val="SingleTxtG"/>
        <w:rPr>
          <w:rFonts w:eastAsiaTheme="minorHAnsi"/>
          <w:lang w:val="fr-FR" w:eastAsia="en-US"/>
        </w:rPr>
      </w:pPr>
      <w:r>
        <w:rPr>
          <w:rFonts w:eastAsiaTheme="minorHAnsi"/>
          <w:lang w:val="fr-FR" w:eastAsia="en-US"/>
        </w:rPr>
        <w:t>4.1.3.3</w:t>
      </w:r>
      <w:r>
        <w:rPr>
          <w:rFonts w:eastAsiaTheme="minorHAnsi"/>
          <w:lang w:val="fr-FR" w:eastAsia="en-US"/>
        </w:rPr>
        <w:tab/>
      </w:r>
      <w:r>
        <w:rPr>
          <w:rFonts w:eastAsiaTheme="minorHAnsi"/>
          <w:lang w:val="fr-FR" w:eastAsia="en-US"/>
        </w:rPr>
        <w:tab/>
        <w:t>Ajouter une nouvelle dernière phrase se lisant comme suit :</w:t>
      </w:r>
    </w:p>
    <w:p w14:paraId="66BC6D51" w14:textId="77777777" w:rsidR="006F4C01" w:rsidRDefault="006F4C01" w:rsidP="006F4C01">
      <w:pPr>
        <w:pStyle w:val="SingleTxtG"/>
        <w:rPr>
          <w:rFonts w:eastAsiaTheme="minorHAnsi"/>
          <w:lang w:val="fr-FR" w:eastAsia="en-US"/>
        </w:rPr>
      </w:pPr>
      <w:r>
        <w:rPr>
          <w:rFonts w:eastAsiaTheme="minorHAnsi"/>
          <w:lang w:val="fr-FR" w:eastAsia="en-US"/>
        </w:rPr>
        <w:t>« Lorsque des emballages qui ne doivent pas nécessairement satisfaire aux prescriptions du 4.1.1.3 (par exemple, caisses, palettes, etc.) sont autorisés dans une instruction d’emballage ou les dispositions spéciales indiquées dans la liste des marchandises dangereuses, ces emballages ne sont pas soumis aux limites de masse ou de volume généralement applicables aux emballages conformes aux prescriptions du chapitre 6.1, sauf indication contraire dans l’instruction d’emballage pertinente. »</w:t>
      </w:r>
    </w:p>
    <w:p w14:paraId="65BA9C42"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 tel que modifié)</w:t>
      </w:r>
    </w:p>
    <w:p w14:paraId="43097607" w14:textId="77777777" w:rsidR="006F4C01" w:rsidRDefault="006F4C01" w:rsidP="006F4C01">
      <w:pPr>
        <w:pStyle w:val="SingleTxtG"/>
        <w:rPr>
          <w:lang w:val="fr-FR" w:eastAsia="en-US"/>
        </w:rPr>
      </w:pPr>
      <w:r>
        <w:rPr>
          <w:lang w:val="fr-FR" w:eastAsia="en-US"/>
        </w:rPr>
        <w:t>4.1.4.1, P003</w:t>
      </w:r>
      <w:r>
        <w:rPr>
          <w:lang w:val="fr-FR" w:eastAsia="en-US"/>
        </w:rPr>
        <w:tab/>
        <w:t>Sous la disposition spéciale d’emballage PP32, ajouter un nouveau Nota, libellé comme suit :</w:t>
      </w:r>
    </w:p>
    <w:p w14:paraId="5D01D384"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2A1C5B27"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1CE1A5BC" w14:textId="77777777" w:rsidR="006F4C01" w:rsidRDefault="006F4C01" w:rsidP="006F4C01">
      <w:pPr>
        <w:pStyle w:val="SingleTxtG"/>
        <w:rPr>
          <w:lang w:val="fr-FR" w:eastAsia="en-US"/>
        </w:rPr>
      </w:pPr>
      <w:r>
        <w:rPr>
          <w:lang w:val="fr-FR" w:eastAsia="en-US"/>
        </w:rPr>
        <w:t>4.1.4.1, P004 2)</w:t>
      </w:r>
      <w:r>
        <w:rPr>
          <w:lang w:val="fr-FR" w:eastAsia="en-US"/>
        </w:rPr>
        <w:tab/>
        <w:t>Sous le premier paragraphe, ajouter un nouveau Nota, libellé comme suit :</w:t>
      </w:r>
    </w:p>
    <w:p w14:paraId="179FEA7A"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1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6CF3013E"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418386D5" w14:textId="77777777" w:rsidR="006F4C01" w:rsidRDefault="006F4C01" w:rsidP="006F4C01">
      <w:pPr>
        <w:pStyle w:val="SingleTxtG"/>
        <w:rPr>
          <w:lang w:val="fr-FR" w:eastAsia="en-US"/>
        </w:rPr>
      </w:pPr>
      <w:r>
        <w:rPr>
          <w:lang w:val="fr-FR" w:eastAsia="en-US"/>
        </w:rPr>
        <w:t>4.1.4.1, P004 3)</w:t>
      </w:r>
      <w:r>
        <w:rPr>
          <w:lang w:val="fr-FR" w:eastAsia="en-US"/>
        </w:rPr>
        <w:tab/>
        <w:t>À la fin, ajouter un nouveau Nota, libellé comme suit :</w:t>
      </w:r>
    </w:p>
    <w:p w14:paraId="6DD87504"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2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240DF9EA"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4739495E" w14:textId="77777777" w:rsidR="006F4C01" w:rsidRDefault="006F4C01" w:rsidP="006F4C01">
      <w:pPr>
        <w:pStyle w:val="SingleTxtG"/>
        <w:rPr>
          <w:lang w:val="fr-FR" w:eastAsia="en-US"/>
        </w:rPr>
      </w:pPr>
      <w:r>
        <w:rPr>
          <w:lang w:val="fr-FR" w:eastAsia="en-US"/>
        </w:rPr>
        <w:t>4.1.4.1, P005</w:t>
      </w:r>
      <w:r>
        <w:rPr>
          <w:lang w:val="fr-FR" w:eastAsia="en-US"/>
        </w:rPr>
        <w:tab/>
        <w:t>Dans la deuxième ligne sous la ligne de titre, sous le deuxième paragraphe, ajouter un nouveau Nota, libellé comme suit :</w:t>
      </w:r>
    </w:p>
    <w:p w14:paraId="7BC0804C"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2306EC0E"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5B9AA615" w14:textId="77777777" w:rsidR="006F4C01" w:rsidRDefault="006F4C01" w:rsidP="006F4C01">
      <w:pPr>
        <w:pStyle w:val="SingleTxtG"/>
        <w:rPr>
          <w:lang w:val="fr-FR" w:eastAsia="en-US"/>
        </w:rPr>
      </w:pPr>
      <w:r>
        <w:rPr>
          <w:lang w:val="fr-FR" w:eastAsia="en-US"/>
        </w:rPr>
        <w:t>4.1.4.1, P006 2)</w:t>
      </w:r>
      <w:r>
        <w:rPr>
          <w:lang w:val="fr-FR" w:eastAsia="en-US"/>
        </w:rPr>
        <w:tab/>
        <w:t>À la fin, ajouter un nouveau Nota, libellé comme suit :</w:t>
      </w:r>
    </w:p>
    <w:p w14:paraId="56E25B07"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44CB0EDC"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3D05D64E" w14:textId="77777777" w:rsidR="006F4C01" w:rsidRDefault="006F4C01" w:rsidP="006F4C01">
      <w:pPr>
        <w:pStyle w:val="SingleTxtG"/>
        <w:rPr>
          <w:lang w:val="fr-FR" w:eastAsia="en-US"/>
        </w:rPr>
      </w:pPr>
      <w:r>
        <w:rPr>
          <w:lang w:val="fr-FR" w:eastAsia="en-US"/>
        </w:rPr>
        <w:t>4.1.4.1, P130</w:t>
      </w:r>
      <w:r>
        <w:rPr>
          <w:lang w:val="fr-FR" w:eastAsia="en-US"/>
        </w:rPr>
        <w:tab/>
        <w:t>Sous la disposition spéciale d’emballage PP67, ajouter un nouveau Nota, libellé comme suit :</w:t>
      </w:r>
    </w:p>
    <w:p w14:paraId="23FB33A6"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76F91B74"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4D9F1B2A" w14:textId="77777777" w:rsidR="006F4C01" w:rsidRDefault="006F4C01" w:rsidP="006F4C01">
      <w:pPr>
        <w:pStyle w:val="SingleTxtG"/>
        <w:rPr>
          <w:lang w:val="fr-FR" w:eastAsia="en-US"/>
        </w:rPr>
      </w:pPr>
      <w:r>
        <w:rPr>
          <w:lang w:val="fr-FR" w:eastAsia="en-US"/>
        </w:rPr>
        <w:t>4.1.4.1, P144</w:t>
      </w:r>
      <w:r>
        <w:rPr>
          <w:lang w:val="fr-FR" w:eastAsia="en-US"/>
        </w:rPr>
        <w:tab/>
        <w:t>Sous la disposition spéciale d’emballage PP77, ajouter un nouveau Nota, libellé comme suit :</w:t>
      </w:r>
    </w:p>
    <w:p w14:paraId="6BE1F4FE"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5680B333"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2267A058" w14:textId="77777777" w:rsidR="006F4C01" w:rsidRDefault="006F4C01" w:rsidP="006F4C01">
      <w:pPr>
        <w:tabs>
          <w:tab w:val="left" w:pos="2268"/>
        </w:tabs>
        <w:kinsoku/>
        <w:overflowPunct/>
        <w:autoSpaceDE/>
        <w:adjustRightInd/>
        <w:snapToGrid/>
        <w:spacing w:after="120"/>
        <w:ind w:left="2268" w:right="1134" w:hanging="1134"/>
        <w:jc w:val="both"/>
        <w:rPr>
          <w:lang w:val="fr-FR" w:eastAsia="en-US"/>
        </w:rPr>
      </w:pPr>
      <w:r>
        <w:rPr>
          <w:lang w:val="fr-FR" w:eastAsia="en-US"/>
        </w:rPr>
        <w:t>4.1.4.1, P200 5)</w:t>
      </w:r>
      <w:r>
        <w:rPr>
          <w:lang w:val="fr-FR" w:eastAsia="en-US"/>
        </w:rPr>
        <w:tab/>
        <w:t>À la fin de la disposition spéciale d’emballage « z », ajouter :</w:t>
      </w:r>
    </w:p>
    <w:p w14:paraId="7C7F0A42" w14:textId="77777777" w:rsidR="006F4C01" w:rsidRDefault="006F4C01" w:rsidP="006F4C01">
      <w:pPr>
        <w:pStyle w:val="SingleTxtG"/>
        <w:rPr>
          <w:rFonts w:eastAsiaTheme="minorHAnsi"/>
          <w:lang w:val="fr-FR" w:eastAsia="en-US"/>
        </w:rPr>
      </w:pPr>
      <w:r>
        <w:rPr>
          <w:rFonts w:eastAsiaTheme="minorHAnsi"/>
          <w:lang w:val="fr-FR" w:eastAsia="en-US"/>
        </w:rPr>
        <w:t>« Le remplissage des mélanges de fluor et d’azote dont la concentration en fluor est inférieure à 35 % en volume peut être permis dans des récipients à pression jusqu’à une pression de service maximale autorisée pour laquelle la pression partielle de fluor n’excède pas 31 bars absolus.</w:t>
      </w:r>
    </w:p>
    <w:p w14:paraId="30B99252" w14:textId="77777777" w:rsidR="006F4C01" w:rsidRDefault="006F4C01" w:rsidP="006F4C01">
      <w:pPr>
        <w:rPr>
          <w:rFonts w:asciiTheme="minorHAnsi" w:eastAsiaTheme="minorEastAsia" w:hAnsiTheme="minorHAnsi" w:cstheme="minorBidi"/>
          <w:sz w:val="22"/>
          <w:szCs w:val="22"/>
          <w:lang w:val="fr-FR"/>
        </w:rPr>
      </w:pPr>
      <m:oMathPara>
        <m:oMath>
          <m:r>
            <w:rPr>
              <w:rFonts w:ascii="Cambria Math" w:eastAsiaTheme="minorEastAsia" w:hAnsi="Cambria Math" w:cstheme="minorBidi"/>
              <w:sz w:val="22"/>
              <w:szCs w:val="22"/>
              <w:lang w:val="fr-FR"/>
            </w:rPr>
            <w:lastRenderedPageBreak/>
            <m:t>Pression de service</m:t>
          </m:r>
          <m:r>
            <m:rPr>
              <m:sty m:val="p"/>
            </m:rPr>
            <w:rPr>
              <w:rFonts w:ascii="Cambria Math" w:eastAsiaTheme="minorEastAsia" w:hAnsi="Cambria Math" w:cstheme="minorBidi"/>
              <w:sz w:val="22"/>
              <w:szCs w:val="22"/>
              <w:lang w:val="fr-FR"/>
            </w:rPr>
            <m:t xml:space="preserve"> </m:t>
          </m:r>
          <m:d>
            <m:dPr>
              <m:ctrlPr>
                <w:rPr>
                  <w:rFonts w:ascii="Cambria Math" w:eastAsiaTheme="minorEastAsia" w:hAnsi="Cambria Math" w:cstheme="minorBidi"/>
                  <w:iCs/>
                  <w:sz w:val="22"/>
                  <w:szCs w:val="22"/>
                  <w:lang w:val="fr-FR"/>
                </w:rPr>
              </m:ctrlPr>
            </m:dPr>
            <m:e>
              <m:r>
                <m:rPr>
                  <m:sty m:val="p"/>
                </m:rPr>
                <w:rPr>
                  <w:rFonts w:ascii="Cambria Math" w:eastAsiaTheme="minorEastAsia" w:hAnsi="Cambria Math" w:cstheme="minorBidi"/>
                  <w:sz w:val="22"/>
                  <w:szCs w:val="22"/>
                  <w:lang w:val="fr-FR"/>
                </w:rPr>
                <m:t>bar</m:t>
              </m:r>
            </m:e>
          </m:d>
          <m:r>
            <w:rPr>
              <w:rFonts w:ascii="Cambria Math" w:eastAsiaTheme="minorEastAsia" w:hAnsi="Cambria Math" w:cstheme="minorBidi"/>
              <w:sz w:val="22"/>
              <w:szCs w:val="22"/>
              <w:lang w:val="fr-FR"/>
            </w:rPr>
            <m:t>&lt;</m:t>
          </m:r>
          <m:f>
            <m:fPr>
              <m:ctrlPr>
                <w:rPr>
                  <w:rFonts w:ascii="Cambria Math" w:eastAsiaTheme="minorEastAsia" w:hAnsi="Cambria Math" w:cstheme="minorBidi"/>
                  <w:i/>
                  <w:sz w:val="22"/>
                  <w:szCs w:val="22"/>
                  <w:lang w:val="fr-FR"/>
                </w:rPr>
              </m:ctrlPr>
            </m:fPr>
            <m:num>
              <m:r>
                <w:rPr>
                  <w:rFonts w:ascii="Cambria Math" w:eastAsiaTheme="minorEastAsia" w:hAnsi="Cambria Math" w:cstheme="minorBidi"/>
                  <w:sz w:val="22"/>
                  <w:szCs w:val="22"/>
                  <w:lang w:val="fr-FR"/>
                </w:rPr>
                <m:t>31</m:t>
              </m:r>
            </m:num>
            <m:den>
              <m:sSub>
                <m:sSubPr>
                  <m:ctrlPr>
                    <w:rPr>
                      <w:rFonts w:ascii="Cambria Math" w:eastAsiaTheme="minorEastAsia" w:hAnsi="Cambria Math" w:cstheme="minorBidi"/>
                      <w:i/>
                      <w:sz w:val="22"/>
                      <w:szCs w:val="22"/>
                      <w:lang w:val="fr-FR"/>
                    </w:rPr>
                  </m:ctrlPr>
                </m:sSubPr>
                <m:e>
                  <m:r>
                    <w:rPr>
                      <w:rFonts w:ascii="Cambria Math" w:eastAsiaTheme="minorEastAsia" w:hAnsi="Cambria Math" w:cstheme="minorBidi"/>
                      <w:sz w:val="22"/>
                      <w:szCs w:val="22"/>
                      <w:lang w:val="fr-FR"/>
                    </w:rPr>
                    <m:t>x</m:t>
                  </m:r>
                </m:e>
                <m:sub>
                  <m:r>
                    <w:rPr>
                      <w:rFonts w:ascii="Cambria Math" w:eastAsiaTheme="minorEastAsia" w:hAnsi="Cambria Math" w:cstheme="minorBidi"/>
                      <w:sz w:val="22"/>
                      <w:szCs w:val="22"/>
                      <w:lang w:val="fr-FR"/>
                    </w:rPr>
                    <m:t>f</m:t>
                  </m:r>
                </m:sub>
              </m:sSub>
            </m:den>
          </m:f>
          <m:r>
            <w:rPr>
              <w:rFonts w:ascii="Cambria Math" w:eastAsiaTheme="minorEastAsia" w:hAnsi="Cambria Math" w:cstheme="minorBidi"/>
              <w:sz w:val="22"/>
              <w:szCs w:val="22"/>
              <w:lang w:val="fr-FR"/>
            </w:rPr>
            <m:t>-1</m:t>
          </m:r>
        </m:oMath>
      </m:oMathPara>
    </w:p>
    <w:p w14:paraId="5A2F0F81" w14:textId="77777777" w:rsidR="006F4C01" w:rsidRDefault="006F4C01" w:rsidP="006F4C01">
      <w:pPr>
        <w:pStyle w:val="SingleTxtG"/>
        <w:ind w:left="1701"/>
        <w:rPr>
          <w:rFonts w:eastAsiaTheme="minorHAnsi"/>
          <w:lang w:val="fr-FR" w:eastAsia="en-US"/>
        </w:rPr>
      </w:pPr>
      <w:r>
        <w:rPr>
          <w:rFonts w:eastAsiaTheme="minorHAnsi"/>
          <w:lang w:val="fr-FR" w:eastAsia="en-US"/>
        </w:rPr>
        <w:t xml:space="preserve">où </w:t>
      </w:r>
      <w:proofErr w:type="spellStart"/>
      <w:r>
        <w:rPr>
          <w:rFonts w:eastAsiaTheme="minorHAnsi"/>
          <w:i/>
          <w:iCs/>
          <w:lang w:val="fr-FR" w:eastAsia="en-US"/>
        </w:rPr>
        <w:t>x</w:t>
      </w:r>
      <w:r>
        <w:rPr>
          <w:rFonts w:eastAsiaTheme="minorHAnsi"/>
          <w:i/>
          <w:iCs/>
          <w:vertAlign w:val="subscript"/>
          <w:lang w:val="fr-FR" w:eastAsia="en-US"/>
        </w:rPr>
        <w:t>f</w:t>
      </w:r>
      <w:proofErr w:type="spellEnd"/>
      <w:r>
        <w:rPr>
          <w:rFonts w:eastAsiaTheme="minorHAnsi"/>
          <w:lang w:val="fr-FR" w:eastAsia="en-US"/>
        </w:rPr>
        <w:t xml:space="preserve"> = concentration en fluor exprimée en % par volume/100.</w:t>
      </w:r>
    </w:p>
    <w:p w14:paraId="5A72BF26" w14:textId="77777777" w:rsidR="006F4C01" w:rsidRDefault="006F4C01" w:rsidP="006F4C01">
      <w:pPr>
        <w:pStyle w:val="SingleTxtG"/>
        <w:rPr>
          <w:rFonts w:eastAsiaTheme="minorHAnsi"/>
          <w:lang w:val="fr-FR" w:eastAsia="en-US"/>
        </w:rPr>
      </w:pPr>
      <w:r>
        <w:rPr>
          <w:rFonts w:eastAsiaTheme="minorHAnsi"/>
          <w:lang w:val="fr-FR" w:eastAsia="en-US"/>
        </w:rPr>
        <w:t>Le remplissage des mélanges de fluor et de gaz inertes dont la concentration en fluor est inférieure à 35 % en volume peut être permis dans des récipients à pression jusqu’à une pression de service maximale autorisée pour laquelle la pression partielle de fluor n’excède pas 31 bars absolus, le coefficient d’équivalence en azote, établi conformément à la norme ISO 10156:2017, devant aussi être pris en compte dans le calcul de la pression partielle.</w:t>
      </w:r>
    </w:p>
    <w:p w14:paraId="7F1BF53C" w14:textId="77777777" w:rsidR="006F4C01" w:rsidRDefault="006F4C01" w:rsidP="006F4C01">
      <w:pPr>
        <w:spacing w:after="120"/>
        <w:ind w:left="1701" w:right="1134"/>
        <w:jc w:val="both"/>
        <w:rPr>
          <w:rFonts w:eastAsiaTheme="minorHAnsi"/>
          <w:lang w:val="fr-FR" w:eastAsia="en-US"/>
        </w:rPr>
      </w:pPr>
      <m:oMathPara>
        <m:oMath>
          <m:r>
            <w:rPr>
              <w:rFonts w:ascii="Cambria Math" w:eastAsiaTheme="minorHAnsi" w:hAnsi="Cambria Math"/>
              <w:lang w:val="fr-FR" w:eastAsia="en-US"/>
            </w:rPr>
            <m:t>Pression de service</m:t>
          </m:r>
          <m:r>
            <m:rPr>
              <m:sty m:val="p"/>
            </m:rPr>
            <w:rPr>
              <w:rFonts w:ascii="Cambria Math" w:eastAsiaTheme="minorHAnsi" w:hAnsi="Cambria Math"/>
              <w:lang w:val="fr-FR" w:eastAsia="en-US"/>
            </w:rPr>
            <m:t xml:space="preserve"> </m:t>
          </m:r>
          <m:d>
            <m:dPr>
              <m:ctrlPr>
                <w:rPr>
                  <w:rFonts w:ascii="Cambria Math" w:eastAsiaTheme="minorHAnsi" w:hAnsi="Cambria Math"/>
                  <w:iCs/>
                  <w:lang w:val="fr-FR" w:eastAsia="en-US"/>
                </w:rPr>
              </m:ctrlPr>
            </m:dPr>
            <m:e>
              <m:r>
                <m:rPr>
                  <m:sty m:val="p"/>
                </m:rPr>
                <w:rPr>
                  <w:rFonts w:ascii="Cambria Math" w:eastAsiaTheme="minorHAnsi" w:hAnsi="Cambria Math"/>
                  <w:lang w:val="fr-FR" w:eastAsia="en-US"/>
                </w:rPr>
                <m:t>bar</m:t>
              </m:r>
            </m:e>
          </m:d>
          <m:r>
            <w:rPr>
              <w:rFonts w:ascii="Cambria Math" w:eastAsiaTheme="minorHAnsi" w:hAnsi="Cambria Math"/>
              <w:lang w:val="fr-FR" w:eastAsia="en-US"/>
            </w:rPr>
            <m:t>&lt;</m:t>
          </m:r>
          <m:f>
            <m:fPr>
              <m:ctrlPr>
                <w:rPr>
                  <w:rFonts w:ascii="Cambria Math" w:eastAsiaTheme="minorHAnsi" w:hAnsi="Cambria Math"/>
                  <w:i/>
                  <w:lang w:val="fr-FR" w:eastAsia="en-US"/>
                </w:rPr>
              </m:ctrlPr>
            </m:fPr>
            <m:num>
              <m:r>
                <w:rPr>
                  <w:rFonts w:ascii="Cambria Math" w:eastAsiaTheme="minorHAnsi" w:hAnsi="Cambria Math"/>
                  <w:lang w:val="fr-FR" w:eastAsia="en-US"/>
                </w:rPr>
                <m:t>31</m:t>
              </m:r>
            </m:num>
            <m:den>
              <m:sSub>
                <m:sSubPr>
                  <m:ctrlPr>
                    <w:rPr>
                      <w:rFonts w:ascii="Cambria Math" w:eastAsiaTheme="minorHAnsi" w:hAnsi="Cambria Math"/>
                      <w:i/>
                      <w:lang w:val="fr-FR" w:eastAsia="en-US"/>
                    </w:rPr>
                  </m:ctrlPr>
                </m:sSubPr>
                <m:e>
                  <m:r>
                    <w:rPr>
                      <w:rFonts w:ascii="Cambria Math" w:eastAsiaTheme="minorHAnsi" w:hAnsi="Cambria Math"/>
                      <w:lang w:val="fr-FR" w:eastAsia="en-US"/>
                    </w:rPr>
                    <m:t>x</m:t>
                  </m:r>
                </m:e>
                <m:sub>
                  <m:r>
                    <w:rPr>
                      <w:rFonts w:ascii="Cambria Math" w:eastAsiaTheme="minorHAnsi" w:hAnsi="Cambria Math"/>
                      <w:lang w:val="fr-FR" w:eastAsia="en-US"/>
                    </w:rPr>
                    <m:t>f</m:t>
                  </m:r>
                </m:sub>
              </m:sSub>
            </m:den>
          </m:f>
          <m:d>
            <m:dPr>
              <m:ctrlPr>
                <w:rPr>
                  <w:rFonts w:ascii="Cambria Math" w:eastAsiaTheme="minorHAnsi" w:hAnsi="Cambria Math"/>
                  <w:i/>
                  <w:lang w:val="fr-FR" w:eastAsia="en-US"/>
                </w:rPr>
              </m:ctrlPr>
            </m:dPr>
            <m:e>
              <m:sSub>
                <m:sSubPr>
                  <m:ctrlPr>
                    <w:rPr>
                      <w:rFonts w:ascii="Cambria Math" w:eastAsiaTheme="minorHAnsi" w:hAnsi="Cambria Math"/>
                      <w:i/>
                      <w:lang w:val="fr-FR" w:eastAsia="en-US"/>
                    </w:rPr>
                  </m:ctrlPr>
                </m:sSubPr>
                <m:e>
                  <m:r>
                    <w:rPr>
                      <w:rFonts w:ascii="Cambria Math" w:eastAsiaTheme="minorHAnsi" w:hAnsi="Cambria Math"/>
                      <w:lang w:val="fr-FR" w:eastAsia="en-US"/>
                    </w:rPr>
                    <m:t>x</m:t>
                  </m:r>
                </m:e>
                <m:sub>
                  <m:r>
                    <w:rPr>
                      <w:rFonts w:ascii="Cambria Math" w:eastAsiaTheme="minorHAnsi" w:hAnsi="Cambria Math"/>
                      <w:lang w:val="fr-FR" w:eastAsia="en-US"/>
                    </w:rPr>
                    <m:t>f</m:t>
                  </m:r>
                </m:sub>
              </m:sSub>
              <m:r>
                <w:rPr>
                  <w:rFonts w:ascii="Cambria Math" w:eastAsiaTheme="minorHAnsi" w:hAnsi="Cambria Math"/>
                  <w:lang w:val="fr-FR" w:eastAsia="en-US"/>
                </w:rPr>
                <m:t>+</m:t>
              </m:r>
              <m:sSub>
                <m:sSubPr>
                  <m:ctrlPr>
                    <w:rPr>
                      <w:rFonts w:ascii="Cambria Math" w:eastAsiaTheme="minorHAnsi" w:hAnsi="Cambria Math"/>
                      <w:i/>
                      <w:lang w:val="fr-FR" w:eastAsia="en-US"/>
                    </w:rPr>
                  </m:ctrlPr>
                </m:sSubPr>
                <m:e>
                  <m:r>
                    <w:rPr>
                      <w:rFonts w:ascii="Cambria Math" w:eastAsiaTheme="minorHAnsi" w:hAnsi="Cambria Math"/>
                      <w:lang w:val="fr-FR" w:eastAsia="en-US"/>
                    </w:rPr>
                    <m:t>K</m:t>
                  </m:r>
                </m:e>
                <m:sub>
                  <m:r>
                    <w:rPr>
                      <w:rFonts w:ascii="Cambria Math" w:eastAsiaTheme="minorHAnsi" w:hAnsi="Cambria Math"/>
                      <w:lang w:val="fr-FR" w:eastAsia="en-US"/>
                    </w:rPr>
                    <m:t>k</m:t>
                  </m:r>
                </m:sub>
              </m:sSub>
              <m:r>
                <w:rPr>
                  <w:rFonts w:ascii="Cambria Math" w:eastAsiaTheme="minorHAnsi" w:hAnsi="Cambria Math"/>
                  <w:lang w:val="fr-FR" w:eastAsia="en-US"/>
                </w:rPr>
                <m:t>×</m:t>
              </m:r>
              <m:sSub>
                <m:sSubPr>
                  <m:ctrlPr>
                    <w:rPr>
                      <w:rFonts w:ascii="Cambria Math" w:eastAsiaTheme="minorHAnsi" w:hAnsi="Cambria Math"/>
                      <w:i/>
                      <w:lang w:val="fr-FR" w:eastAsia="en-US"/>
                    </w:rPr>
                  </m:ctrlPr>
                </m:sSubPr>
                <m:e>
                  <m:r>
                    <w:rPr>
                      <w:rFonts w:ascii="Cambria Math" w:eastAsiaTheme="minorHAnsi" w:hAnsi="Cambria Math"/>
                      <w:lang w:val="fr-FR" w:eastAsia="en-US"/>
                    </w:rPr>
                    <m:t>x</m:t>
                  </m:r>
                </m:e>
                <m:sub>
                  <m:r>
                    <w:rPr>
                      <w:rFonts w:ascii="Cambria Math" w:eastAsiaTheme="minorHAnsi" w:hAnsi="Cambria Math"/>
                      <w:lang w:val="fr-FR" w:eastAsia="en-US"/>
                    </w:rPr>
                    <m:t>k</m:t>
                  </m:r>
                </m:sub>
              </m:sSub>
            </m:e>
          </m:d>
          <m:r>
            <w:rPr>
              <w:rFonts w:ascii="Cambria Math" w:eastAsiaTheme="minorHAnsi" w:hAnsi="Cambria Math"/>
              <w:lang w:val="fr-FR" w:eastAsia="en-US"/>
            </w:rPr>
            <m:t>-1</m:t>
          </m:r>
        </m:oMath>
      </m:oMathPara>
    </w:p>
    <w:p w14:paraId="6E9BF63B" w14:textId="77777777" w:rsidR="006F4C01" w:rsidRDefault="006F4C01" w:rsidP="006F4C01">
      <w:pPr>
        <w:pStyle w:val="SingleTxtG"/>
        <w:ind w:left="1701"/>
        <w:rPr>
          <w:rFonts w:eastAsiaTheme="minorHAnsi"/>
          <w:lang w:val="fr-FR" w:eastAsia="en-US"/>
        </w:rPr>
      </w:pPr>
      <w:r>
        <w:rPr>
          <w:rFonts w:eastAsiaTheme="minorHAnsi"/>
          <w:lang w:val="fr-FR" w:eastAsia="en-US"/>
        </w:rPr>
        <w:t xml:space="preserve">où </w:t>
      </w:r>
      <w:proofErr w:type="spellStart"/>
      <w:r>
        <w:rPr>
          <w:rFonts w:eastAsiaTheme="minorHAnsi"/>
          <w:i/>
          <w:iCs/>
          <w:lang w:val="fr-FR" w:eastAsia="en-US"/>
        </w:rPr>
        <w:t>x</w:t>
      </w:r>
      <w:r>
        <w:rPr>
          <w:rFonts w:eastAsiaTheme="minorHAnsi"/>
          <w:i/>
          <w:iCs/>
          <w:vertAlign w:val="subscript"/>
          <w:lang w:val="fr-FR" w:eastAsia="en-US"/>
        </w:rPr>
        <w:t>f</w:t>
      </w:r>
      <w:proofErr w:type="spellEnd"/>
      <w:r>
        <w:rPr>
          <w:rFonts w:eastAsiaTheme="minorHAnsi"/>
          <w:lang w:val="fr-FR" w:eastAsia="en-US"/>
        </w:rPr>
        <w:t xml:space="preserve"> = concentration de fluor exprimée en % par volume/100 ;</w:t>
      </w:r>
    </w:p>
    <w:p w14:paraId="704223F3" w14:textId="77777777" w:rsidR="006F4C01" w:rsidRDefault="006F4C01" w:rsidP="006F4C01">
      <w:pPr>
        <w:pStyle w:val="SingleTxtG"/>
        <w:ind w:left="1701"/>
        <w:rPr>
          <w:rFonts w:eastAsiaTheme="minorHAnsi"/>
          <w:lang w:val="fr-FR" w:eastAsia="en-US"/>
        </w:rPr>
      </w:pPr>
      <w:proofErr w:type="spellStart"/>
      <w:r>
        <w:rPr>
          <w:rFonts w:eastAsiaTheme="minorHAnsi"/>
          <w:i/>
          <w:iCs/>
          <w:lang w:val="fr-FR" w:eastAsia="en-US"/>
        </w:rPr>
        <w:t>K</w:t>
      </w:r>
      <w:r>
        <w:rPr>
          <w:rFonts w:eastAsiaTheme="minorHAnsi"/>
          <w:i/>
          <w:iCs/>
          <w:vertAlign w:val="subscript"/>
          <w:lang w:val="fr-FR" w:eastAsia="en-US"/>
        </w:rPr>
        <w:t>k</w:t>
      </w:r>
      <w:proofErr w:type="spellEnd"/>
      <w:r>
        <w:rPr>
          <w:rFonts w:eastAsiaTheme="minorHAnsi"/>
          <w:lang w:val="fr-FR" w:eastAsia="en-US"/>
        </w:rPr>
        <w:t xml:space="preserve"> = coefficient d’équivalence d’un gaz inerte par rapport à l’azote (coefficient d’équivalence en azote) ;</w:t>
      </w:r>
    </w:p>
    <w:p w14:paraId="346A1E7C" w14:textId="77777777" w:rsidR="006F4C01" w:rsidRDefault="006F4C01" w:rsidP="006F4C01">
      <w:pPr>
        <w:pStyle w:val="SingleTxtG"/>
        <w:ind w:left="1701"/>
        <w:rPr>
          <w:rFonts w:eastAsiaTheme="minorHAnsi"/>
          <w:lang w:val="fr-FR" w:eastAsia="en-US"/>
        </w:rPr>
      </w:pPr>
      <w:proofErr w:type="spellStart"/>
      <w:r>
        <w:rPr>
          <w:rFonts w:eastAsiaTheme="minorHAnsi"/>
          <w:i/>
          <w:iCs/>
          <w:lang w:val="fr-FR" w:eastAsia="en-US"/>
        </w:rPr>
        <w:t>x</w:t>
      </w:r>
      <w:r>
        <w:rPr>
          <w:rFonts w:eastAsiaTheme="minorHAnsi"/>
          <w:i/>
          <w:iCs/>
          <w:vertAlign w:val="subscript"/>
          <w:lang w:val="fr-FR" w:eastAsia="en-US"/>
        </w:rPr>
        <w:t>k</w:t>
      </w:r>
      <w:proofErr w:type="spellEnd"/>
      <w:r>
        <w:rPr>
          <w:rFonts w:eastAsiaTheme="minorHAnsi"/>
          <w:lang w:val="fr-FR" w:eastAsia="en-US"/>
        </w:rPr>
        <w:t xml:space="preserve"> = concentration de gaz inerte exprimée en % par volume/100.</w:t>
      </w:r>
    </w:p>
    <w:p w14:paraId="6620429A" w14:textId="77777777" w:rsidR="006F4C01" w:rsidRDefault="006F4C01" w:rsidP="006F4C01">
      <w:pPr>
        <w:pStyle w:val="SingleTxtG"/>
        <w:rPr>
          <w:rFonts w:eastAsiaTheme="minorHAnsi"/>
          <w:lang w:val="fr-FR" w:eastAsia="en-US"/>
        </w:rPr>
      </w:pPr>
      <w:r>
        <w:rPr>
          <w:rFonts w:eastAsiaTheme="minorHAnsi"/>
          <w:lang w:val="fr-FR" w:eastAsia="en-US"/>
        </w:rPr>
        <w:t>Toutefois, la pression de service pour les mélanges de fluor et de gaz inertes ne doit pas dépasser 200 bars. La pression d’épreuve minimale des récipients à pression pour les mélanges de fluor et de gaz inertes est fixée à 1,5 fois la pression de service ou à 200 bars, la valeur la plus haute étant retenue. ».</w:t>
      </w:r>
    </w:p>
    <w:p w14:paraId="7EA7F9B0"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ST/SG/AC.10/C.3/2020/19/Rev.1)</w:t>
      </w:r>
    </w:p>
    <w:p w14:paraId="0D22DCC9" w14:textId="77777777" w:rsidR="006F4C01" w:rsidRDefault="006F4C01" w:rsidP="006F4C01">
      <w:pPr>
        <w:tabs>
          <w:tab w:val="left" w:pos="2268"/>
        </w:tabs>
        <w:kinsoku/>
        <w:overflowPunct/>
        <w:autoSpaceDE/>
        <w:adjustRightInd/>
        <w:snapToGrid/>
        <w:spacing w:after="120"/>
        <w:ind w:left="2268" w:right="1134" w:hanging="1134"/>
        <w:jc w:val="both"/>
        <w:rPr>
          <w:lang w:val="fr-FR" w:eastAsia="en-US"/>
        </w:rPr>
      </w:pPr>
      <w:r>
        <w:rPr>
          <w:lang w:val="fr-FR" w:eastAsia="en-US"/>
        </w:rPr>
        <w:t>4.1.4.1, P200</w:t>
      </w:r>
      <w:r>
        <w:rPr>
          <w:lang w:val="fr-FR" w:eastAsia="en-US"/>
        </w:rPr>
        <w:tab/>
        <w:t>Dans le tableau 2 :</w:t>
      </w:r>
    </w:p>
    <w:p w14:paraId="0D7CCAA3" w14:textId="77777777" w:rsidR="006F4C01" w:rsidRDefault="006F4C01" w:rsidP="006F4C01">
      <w:pPr>
        <w:pStyle w:val="Bullet1G"/>
        <w:numPr>
          <w:ilvl w:val="0"/>
          <w:numId w:val="1"/>
        </w:numPr>
        <w:tabs>
          <w:tab w:val="clear" w:pos="1701"/>
          <w:tab w:val="num" w:pos="2438"/>
        </w:tabs>
        <w:ind w:left="2438"/>
        <w:rPr>
          <w:lang w:val="fr-FR" w:eastAsia="en-US"/>
        </w:rPr>
      </w:pPr>
      <w:r>
        <w:rPr>
          <w:lang w:val="fr-FR" w:eastAsia="en-US"/>
        </w:rPr>
        <w:t>Pour le No ONU 1008, remplacer « 387 » par « 864 » dans la colonne « CL</w:t>
      </w:r>
      <w:r>
        <w:rPr>
          <w:vertAlign w:val="subscript"/>
          <w:lang w:val="fr-FR" w:eastAsia="en-US"/>
        </w:rPr>
        <w:t>50</w:t>
      </w:r>
      <w:r>
        <w:rPr>
          <w:lang w:val="fr-FR" w:eastAsia="en-US"/>
        </w:rPr>
        <w:t xml:space="preserve"> (en ml/m</w:t>
      </w:r>
      <w:r>
        <w:rPr>
          <w:vertAlign w:val="superscript"/>
          <w:lang w:val="fr-FR" w:eastAsia="en-US"/>
        </w:rPr>
        <w:t>3</w:t>
      </w:r>
      <w:r>
        <w:rPr>
          <w:lang w:val="fr-FR" w:eastAsia="en-US"/>
        </w:rPr>
        <w:t>) ».</w:t>
      </w:r>
    </w:p>
    <w:p w14:paraId="07768ADD" w14:textId="77777777" w:rsidR="006F4C01" w:rsidRDefault="006F4C01" w:rsidP="006F4C01">
      <w:pPr>
        <w:pStyle w:val="Bullet1G"/>
        <w:numPr>
          <w:ilvl w:val="0"/>
          <w:numId w:val="1"/>
        </w:numPr>
        <w:tabs>
          <w:tab w:val="clear" w:pos="1701"/>
          <w:tab w:val="num" w:pos="2438"/>
        </w:tabs>
        <w:ind w:left="2438"/>
        <w:rPr>
          <w:lang w:val="fr-FR" w:eastAsia="en-US"/>
        </w:rPr>
      </w:pPr>
      <w:r>
        <w:rPr>
          <w:lang w:val="fr-FR" w:eastAsia="en-US"/>
        </w:rPr>
        <w:t>Pour le No ONU 2196, remplacer « 160 » par « 218 » dans la colonne « CL</w:t>
      </w:r>
      <w:r>
        <w:rPr>
          <w:vertAlign w:val="subscript"/>
          <w:lang w:val="fr-FR" w:eastAsia="en-US"/>
        </w:rPr>
        <w:t>50</w:t>
      </w:r>
      <w:r>
        <w:rPr>
          <w:lang w:val="fr-FR" w:eastAsia="en-US"/>
        </w:rPr>
        <w:t xml:space="preserve"> (en ml/m</w:t>
      </w:r>
      <w:r>
        <w:rPr>
          <w:vertAlign w:val="superscript"/>
          <w:lang w:val="fr-FR" w:eastAsia="en-US"/>
        </w:rPr>
        <w:t>3</w:t>
      </w:r>
      <w:r>
        <w:rPr>
          <w:lang w:val="fr-FR" w:eastAsia="en-US"/>
        </w:rPr>
        <w:t>) ». Ajouter « X » dans les colonnes « Tubes », « Fûts à pression » et « CGEM ». Supprimer « , k » dans la colonne « Dispositions spéciales d’emballage ».</w:t>
      </w:r>
    </w:p>
    <w:p w14:paraId="69B9E3E0" w14:textId="77777777" w:rsidR="006F4C01" w:rsidRDefault="006F4C01" w:rsidP="006F4C01">
      <w:pPr>
        <w:pStyle w:val="Bullet1G"/>
        <w:numPr>
          <w:ilvl w:val="0"/>
          <w:numId w:val="1"/>
        </w:numPr>
        <w:tabs>
          <w:tab w:val="clear" w:pos="1701"/>
          <w:tab w:val="num" w:pos="2438"/>
        </w:tabs>
        <w:ind w:left="2438"/>
        <w:rPr>
          <w:lang w:val="fr-FR" w:eastAsia="en-US"/>
        </w:rPr>
      </w:pPr>
      <w:r>
        <w:rPr>
          <w:lang w:val="fr-FR" w:eastAsia="en-US"/>
        </w:rPr>
        <w:t>Pour le No ONU 2198, remplacer « 190 » par « 261 » dans la colonne « CL</w:t>
      </w:r>
      <w:r>
        <w:rPr>
          <w:vertAlign w:val="subscript"/>
          <w:lang w:val="fr-FR" w:eastAsia="en-US"/>
        </w:rPr>
        <w:t>50</w:t>
      </w:r>
      <w:r>
        <w:rPr>
          <w:lang w:val="fr-FR" w:eastAsia="en-US"/>
        </w:rPr>
        <w:t xml:space="preserve"> (en ml/m</w:t>
      </w:r>
      <w:r>
        <w:rPr>
          <w:vertAlign w:val="superscript"/>
          <w:lang w:val="fr-FR" w:eastAsia="en-US"/>
        </w:rPr>
        <w:t>3</w:t>
      </w:r>
      <w:r>
        <w:rPr>
          <w:lang w:val="fr-FR" w:eastAsia="en-US"/>
        </w:rPr>
        <w:t>) ». Ajouter « X » dans les colonnes « Tubes », « Fûts à pression » et « CGEM ». Supprimer « k » (deux fois) dans la colonne « Dispositions spéciales d’emballage ».</w:t>
      </w:r>
    </w:p>
    <w:p w14:paraId="1B67ECEE" w14:textId="77777777" w:rsidR="006F4C01" w:rsidRDefault="006F4C01" w:rsidP="006F4C01">
      <w:pPr>
        <w:kinsoku/>
        <w:overflowPunct/>
        <w:autoSpaceDE/>
        <w:adjustRightInd/>
        <w:snapToGrid/>
        <w:spacing w:after="120"/>
        <w:ind w:left="1134" w:right="1134"/>
        <w:jc w:val="both"/>
        <w:rPr>
          <w:i/>
          <w:iCs/>
          <w:lang w:val="fr-FR" w:eastAsia="en-US"/>
        </w:rPr>
      </w:pPr>
      <w:r>
        <w:rPr>
          <w:i/>
          <w:iCs/>
          <w:lang w:val="fr-FR" w:eastAsia="en-US"/>
        </w:rPr>
        <w:t>(Document de référence : ST/SG/AC.10/C.3/2020/8, tel que modifié, et document informel INF.41)</w:t>
      </w:r>
    </w:p>
    <w:p w14:paraId="7CF93728" w14:textId="77777777" w:rsidR="006F4C01" w:rsidRDefault="006F4C01" w:rsidP="006F4C01">
      <w:pPr>
        <w:tabs>
          <w:tab w:val="left" w:pos="2268"/>
        </w:tabs>
        <w:kinsoku/>
        <w:overflowPunct/>
        <w:autoSpaceDE/>
        <w:adjustRightInd/>
        <w:snapToGrid/>
        <w:spacing w:after="120"/>
        <w:ind w:left="2268" w:right="1134" w:hanging="1134"/>
        <w:jc w:val="both"/>
        <w:rPr>
          <w:lang w:val="fr-FR" w:eastAsia="en-US"/>
        </w:rPr>
      </w:pPr>
      <w:r>
        <w:rPr>
          <w:lang w:val="fr-FR" w:eastAsia="en-US"/>
        </w:rPr>
        <w:t>4.1.4.1, P200</w:t>
      </w:r>
      <w:r>
        <w:rPr>
          <w:lang w:val="fr-FR" w:eastAsia="en-US"/>
        </w:rPr>
        <w:tab/>
        <w:t>Dans le tableau 3, pour le No ONU 1052, dans la colonne « CL</w:t>
      </w:r>
      <w:r>
        <w:rPr>
          <w:vertAlign w:val="subscript"/>
          <w:lang w:val="fr-FR" w:eastAsia="en-US"/>
        </w:rPr>
        <w:t>50</w:t>
      </w:r>
      <w:r>
        <w:rPr>
          <w:lang w:val="fr-FR" w:eastAsia="en-US"/>
        </w:rPr>
        <w:t xml:space="preserve"> (en ml/m</w:t>
      </w:r>
      <w:r>
        <w:rPr>
          <w:vertAlign w:val="superscript"/>
          <w:lang w:val="fr-FR" w:eastAsia="en-US"/>
        </w:rPr>
        <w:t>3</w:t>
      </w:r>
      <w:r>
        <w:rPr>
          <w:lang w:val="fr-FR" w:eastAsia="en-US"/>
        </w:rPr>
        <w:t>) », remplacer « 966 » par « 1307 ».</w:t>
      </w:r>
    </w:p>
    <w:p w14:paraId="7FC5EB6B"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ST/SG/AC.10/C.3/2020/8, tel que modifié)</w:t>
      </w:r>
    </w:p>
    <w:p w14:paraId="66E56BAB" w14:textId="77777777" w:rsidR="006F4C01" w:rsidRPr="009216ED" w:rsidRDefault="006F4C01" w:rsidP="006F4C01">
      <w:pPr>
        <w:tabs>
          <w:tab w:val="left" w:pos="2268"/>
        </w:tabs>
        <w:kinsoku/>
        <w:overflowPunct/>
        <w:autoSpaceDE/>
        <w:autoSpaceDN/>
        <w:adjustRightInd/>
        <w:snapToGrid/>
        <w:spacing w:after="120"/>
        <w:ind w:left="2268" w:right="1134" w:hanging="1134"/>
        <w:jc w:val="both"/>
        <w:rPr>
          <w:lang w:val="fr-FR" w:eastAsia="en-US"/>
        </w:rPr>
      </w:pPr>
      <w:r w:rsidRPr="009216ED">
        <w:rPr>
          <w:lang w:val="fr-FR" w:eastAsia="en-US"/>
        </w:rPr>
        <w:t>4.1.4.1, P205 5), 6) et 7)</w:t>
      </w:r>
      <w:r w:rsidRPr="009216ED">
        <w:rPr>
          <w:lang w:val="fr-FR" w:eastAsia="en-US"/>
        </w:rPr>
        <w:tab/>
        <w:t>Remplacer « ISO 16111:2008 » par « ISO 16111:2008 ou ISO 16111:2018 ».</w:t>
      </w:r>
    </w:p>
    <w:p w14:paraId="0A606C72" w14:textId="77777777" w:rsidR="006F4C01" w:rsidRPr="009216ED" w:rsidRDefault="006F4C01" w:rsidP="006F4C01">
      <w:pPr>
        <w:kinsoku/>
        <w:overflowPunct/>
        <w:autoSpaceDE/>
        <w:autoSpaceDN/>
        <w:adjustRightInd/>
        <w:snapToGrid/>
        <w:spacing w:after="120"/>
        <w:ind w:left="2268" w:right="1134" w:hanging="1134"/>
        <w:jc w:val="both"/>
        <w:rPr>
          <w:i/>
          <w:iCs/>
          <w:lang w:val="fr-FR" w:eastAsia="en-US"/>
        </w:rPr>
      </w:pPr>
      <w:r w:rsidRPr="009216ED">
        <w:rPr>
          <w:i/>
          <w:iCs/>
          <w:lang w:val="fr-FR" w:eastAsia="en-US"/>
        </w:rPr>
        <w:t>(Document de référence : document informel INF.57, proposition 5)</w:t>
      </w:r>
    </w:p>
    <w:p w14:paraId="302D056A" w14:textId="77777777" w:rsidR="006F4C01" w:rsidRPr="009216ED" w:rsidRDefault="006F4C01" w:rsidP="006F4C01">
      <w:pPr>
        <w:tabs>
          <w:tab w:val="left" w:pos="2268"/>
        </w:tabs>
        <w:kinsoku/>
        <w:overflowPunct/>
        <w:autoSpaceDE/>
        <w:autoSpaceDN/>
        <w:adjustRightInd/>
        <w:snapToGrid/>
        <w:spacing w:after="120"/>
        <w:ind w:left="2268" w:right="1134" w:hanging="1134"/>
        <w:jc w:val="both"/>
        <w:rPr>
          <w:lang w:val="fr-FR" w:eastAsia="en-US"/>
        </w:rPr>
      </w:pPr>
      <w:r w:rsidRPr="009216ED">
        <w:rPr>
          <w:lang w:val="fr-FR" w:eastAsia="en-US"/>
        </w:rPr>
        <w:t>4.1.4.1, P205 7)</w:t>
      </w:r>
      <w:r w:rsidRPr="009216ED">
        <w:rPr>
          <w:lang w:val="fr-FR" w:eastAsia="en-US"/>
        </w:rPr>
        <w:tab/>
        <w:t>À la fin, ajouter la nouvelle phrase suivante : « Voir 6.2.2.4 pour déterminer quelle norme est applicable au moment des contrôles et épreuves périodiques. ».</w:t>
      </w:r>
    </w:p>
    <w:p w14:paraId="4A358F98" w14:textId="77777777" w:rsidR="006F4C01" w:rsidRPr="009216ED" w:rsidRDefault="006F4C01" w:rsidP="006F4C01">
      <w:pPr>
        <w:kinsoku/>
        <w:overflowPunct/>
        <w:autoSpaceDE/>
        <w:autoSpaceDN/>
        <w:adjustRightInd/>
        <w:snapToGrid/>
        <w:spacing w:after="120"/>
        <w:ind w:left="2268" w:right="1134" w:hanging="1134"/>
        <w:jc w:val="both"/>
        <w:rPr>
          <w:i/>
          <w:iCs/>
          <w:lang w:val="fr-FR" w:eastAsia="en-US"/>
        </w:rPr>
      </w:pPr>
      <w:r w:rsidRPr="009216ED">
        <w:rPr>
          <w:i/>
          <w:iCs/>
          <w:lang w:val="fr-FR" w:eastAsia="en-US"/>
        </w:rPr>
        <w:t>(Document de référence : document informel INF.57, proposition 5)</w:t>
      </w:r>
    </w:p>
    <w:p w14:paraId="03D29D21" w14:textId="77777777" w:rsidR="006F4C01" w:rsidRPr="009216ED" w:rsidRDefault="006F4C01" w:rsidP="006F4C01">
      <w:pPr>
        <w:tabs>
          <w:tab w:val="left" w:pos="2268"/>
        </w:tabs>
        <w:kinsoku/>
        <w:overflowPunct/>
        <w:autoSpaceDE/>
        <w:autoSpaceDN/>
        <w:adjustRightInd/>
        <w:snapToGrid/>
        <w:spacing w:after="120"/>
        <w:ind w:left="2268" w:right="1134" w:hanging="1134"/>
        <w:jc w:val="both"/>
        <w:rPr>
          <w:lang w:val="fr-FR" w:eastAsia="en-US"/>
        </w:rPr>
      </w:pPr>
      <w:r w:rsidRPr="009216ED">
        <w:rPr>
          <w:lang w:val="fr-FR" w:eastAsia="en-US"/>
        </w:rPr>
        <w:t>4.1.4.1, P208 1) a)</w:t>
      </w:r>
      <w:r w:rsidRPr="009216ED">
        <w:rPr>
          <w:lang w:val="fr-FR" w:eastAsia="en-US"/>
        </w:rPr>
        <w:tab/>
        <w:t xml:space="preserve">Remplacer « ISO </w:t>
      </w:r>
      <w:r w:rsidRPr="009216ED">
        <w:t>11513:2011 ou ISO 9809-1:2010</w:t>
      </w:r>
      <w:r w:rsidRPr="009216ED">
        <w:rPr>
          <w:lang w:val="fr-FR" w:eastAsia="en-US"/>
        </w:rPr>
        <w:t> » par « </w:t>
      </w:r>
      <w:r w:rsidRPr="009216ED">
        <w:t>ISO 11513:2011, ISO 11513:2019, ISO 9809-1:2010 ou ISO 9809-1:2019</w:t>
      </w:r>
      <w:r w:rsidRPr="009216ED">
        <w:rPr>
          <w:lang w:val="fr-FR" w:eastAsia="en-US"/>
        </w:rPr>
        <w:t> ».</w:t>
      </w:r>
    </w:p>
    <w:p w14:paraId="41E2A579" w14:textId="77777777" w:rsidR="006F4C01" w:rsidRPr="009216ED" w:rsidRDefault="006F4C01" w:rsidP="006F4C01">
      <w:pPr>
        <w:kinsoku/>
        <w:overflowPunct/>
        <w:autoSpaceDE/>
        <w:autoSpaceDN/>
        <w:adjustRightInd/>
        <w:snapToGrid/>
        <w:spacing w:after="120"/>
        <w:ind w:left="2268" w:right="1134" w:hanging="1134"/>
        <w:jc w:val="both"/>
        <w:rPr>
          <w:i/>
          <w:iCs/>
          <w:lang w:val="fr-FR" w:eastAsia="en-US"/>
        </w:rPr>
      </w:pPr>
      <w:r w:rsidRPr="009216ED">
        <w:rPr>
          <w:i/>
          <w:iCs/>
          <w:lang w:val="fr-FR" w:eastAsia="en-US"/>
        </w:rPr>
        <w:t>(Document de référence : document informel INF.57, proposition 7)</w:t>
      </w:r>
    </w:p>
    <w:p w14:paraId="2EF2EC6C" w14:textId="77777777" w:rsidR="006F4C01" w:rsidRPr="009216ED" w:rsidRDefault="006F4C01" w:rsidP="006F4C01">
      <w:pPr>
        <w:tabs>
          <w:tab w:val="left" w:pos="2268"/>
        </w:tabs>
        <w:kinsoku/>
        <w:overflowPunct/>
        <w:autoSpaceDE/>
        <w:autoSpaceDN/>
        <w:adjustRightInd/>
        <w:snapToGrid/>
        <w:spacing w:after="120"/>
        <w:ind w:left="2268" w:right="1134" w:hanging="1134"/>
        <w:jc w:val="both"/>
        <w:rPr>
          <w:lang w:val="fr-FR" w:eastAsia="en-US"/>
        </w:rPr>
      </w:pPr>
      <w:r w:rsidRPr="009216ED">
        <w:rPr>
          <w:lang w:val="fr-FR" w:eastAsia="en-US"/>
        </w:rPr>
        <w:t>4.1.4.1, P208 11)</w:t>
      </w:r>
      <w:r w:rsidRPr="009216ED">
        <w:rPr>
          <w:lang w:val="fr-FR" w:eastAsia="en-US"/>
        </w:rPr>
        <w:tab/>
        <w:t>Remplacer « à l’annexe A de la norme ISO 11513:2011 » par « à l’annexe A de la norme ISO 11513:2011 (applicable jusqu’au 31 décembre 2024) ou à l’annexe A de la norme ISO 11513:2019 ».</w:t>
      </w:r>
    </w:p>
    <w:p w14:paraId="3864C06E"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9216ED">
        <w:rPr>
          <w:i/>
          <w:iCs/>
          <w:lang w:val="fr-FR" w:eastAsia="en-US"/>
        </w:rPr>
        <w:lastRenderedPageBreak/>
        <w:t>(Document de référence : document informel INF.57, proposition 7)</w:t>
      </w:r>
    </w:p>
    <w:p w14:paraId="0C370399" w14:textId="77777777" w:rsidR="006F4C01" w:rsidRDefault="006F4C01" w:rsidP="006F4C01">
      <w:pPr>
        <w:pStyle w:val="SingleTxtG"/>
        <w:rPr>
          <w:lang w:val="fr-FR" w:eastAsia="en-US"/>
        </w:rPr>
      </w:pPr>
      <w:r>
        <w:rPr>
          <w:lang w:val="fr-FR" w:eastAsia="en-US"/>
        </w:rPr>
        <w:t>4.1.4.1, P408 2)</w:t>
      </w:r>
      <w:r>
        <w:rPr>
          <w:lang w:val="fr-FR" w:eastAsia="en-US"/>
        </w:rPr>
        <w:tab/>
        <w:t>À la fin, ajouter un nouveau Nota, libellé comme suit :</w:t>
      </w:r>
    </w:p>
    <w:p w14:paraId="3591AA92"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30498067"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0ECFAF56"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4.1.4.1, P621 1)</w:t>
      </w:r>
      <w:r>
        <w:rPr>
          <w:lang w:eastAsia="en-US"/>
        </w:rPr>
        <w:tab/>
        <w:t>Après « Fûts », modifier le texte entre parenthèses pour lire « (</w:t>
      </w:r>
      <w:r w:rsidRPr="003E774C">
        <w:rPr>
          <w:lang w:eastAsia="en-US"/>
        </w:rPr>
        <w:t>1A1, 1A2, 1B1, 1B2, 1N1, 1N2, 1H1, 1H2, 1D, 1G</w:t>
      </w:r>
      <w:r>
        <w:rPr>
          <w:lang w:eastAsia="en-US"/>
        </w:rPr>
        <w:t>) ».</w:t>
      </w:r>
      <w:r w:rsidRPr="00F27C46">
        <w:rPr>
          <w:lang w:eastAsia="en-US"/>
        </w:rPr>
        <w:t xml:space="preserve"> </w:t>
      </w:r>
      <w:r>
        <w:rPr>
          <w:lang w:eastAsia="en-US"/>
        </w:rPr>
        <w:t>Après « </w:t>
      </w:r>
      <w:r w:rsidRPr="000971FD">
        <w:rPr>
          <w:lang w:eastAsia="en-US"/>
        </w:rPr>
        <w:t>Bidons (jerricanes)</w:t>
      </w:r>
      <w:r>
        <w:rPr>
          <w:lang w:eastAsia="en-US"/>
        </w:rPr>
        <w:t> », modifier le texte entre parenthèses pour lire « (</w:t>
      </w:r>
      <w:r w:rsidRPr="009E650A">
        <w:rPr>
          <w:lang w:eastAsia="en-US"/>
        </w:rPr>
        <w:t>3A1, 3A2, 3B1, 3B2, 3H1, 3H2</w:t>
      </w:r>
      <w:r>
        <w:rPr>
          <w:lang w:eastAsia="en-US"/>
        </w:rPr>
        <w:t>) ».</w:t>
      </w:r>
    </w:p>
    <w:p w14:paraId="50862765"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ST/SG/AC.10/C.3/2020/24/Rev.1</w:t>
      </w:r>
      <w:r w:rsidRPr="00F7088C">
        <w:rPr>
          <w:i/>
          <w:iCs/>
          <w:lang w:eastAsia="en-US"/>
        </w:rPr>
        <w:t>)</w:t>
      </w:r>
    </w:p>
    <w:p w14:paraId="45A22D86" w14:textId="77777777" w:rsidR="006F4C01" w:rsidRDefault="006F4C01" w:rsidP="006F4C01">
      <w:pPr>
        <w:pStyle w:val="SingleTxtG"/>
        <w:rPr>
          <w:lang w:val="fr-FR" w:eastAsia="en-US"/>
        </w:rPr>
      </w:pPr>
      <w:r>
        <w:rPr>
          <w:lang w:val="fr-FR" w:eastAsia="en-US"/>
        </w:rPr>
        <w:t>4.1.4.1, P801 1)</w:t>
      </w:r>
      <w:r>
        <w:rPr>
          <w:lang w:val="fr-FR" w:eastAsia="en-US"/>
        </w:rPr>
        <w:tab/>
        <w:t>Après la première phrase, ajouter un nouveau Nota, libellé comme suit :</w:t>
      </w:r>
    </w:p>
    <w:p w14:paraId="79B953BB"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1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55CE15E8"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5E2B518D" w14:textId="77777777" w:rsidR="006F4C01" w:rsidRDefault="006F4C01" w:rsidP="006F4C01">
      <w:pPr>
        <w:pStyle w:val="SingleTxtG"/>
        <w:rPr>
          <w:lang w:val="fr-FR" w:eastAsia="en-US"/>
        </w:rPr>
      </w:pPr>
      <w:r>
        <w:rPr>
          <w:lang w:val="fr-FR" w:eastAsia="en-US"/>
        </w:rPr>
        <w:t>4.1.4.1, P801 2)</w:t>
      </w:r>
      <w:r>
        <w:rPr>
          <w:lang w:val="fr-FR" w:eastAsia="en-US"/>
        </w:rPr>
        <w:tab/>
        <w:t>Après la première phrase, ajouter un nouveau Nota, libellé comme suit :</w:t>
      </w:r>
    </w:p>
    <w:p w14:paraId="3EE47A1F"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2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5E2DC051"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1C37C117" w14:textId="77777777" w:rsidR="006F4C01" w:rsidRPr="0061541F" w:rsidRDefault="006F4C01" w:rsidP="006F4C01">
      <w:pPr>
        <w:spacing w:after="120"/>
        <w:ind w:left="1134" w:right="1134"/>
        <w:jc w:val="both"/>
        <w:rPr>
          <w:rFonts w:eastAsiaTheme="minorHAnsi"/>
          <w:lang w:val="fr-FR" w:eastAsia="en-US"/>
        </w:rPr>
      </w:pPr>
      <w:r w:rsidRPr="0061541F">
        <w:rPr>
          <w:rFonts w:eastAsiaTheme="minorHAnsi"/>
          <w:lang w:val="fr-FR" w:eastAsia="en-US"/>
        </w:rPr>
        <w:t>4.1.4.1, P903</w:t>
      </w:r>
      <w:r w:rsidRPr="0061541F">
        <w:rPr>
          <w:rFonts w:eastAsiaTheme="minorHAnsi"/>
          <w:lang w:val="fr-FR" w:eastAsia="en-US"/>
        </w:rPr>
        <w:tab/>
        <w:t>À la fin, après 5), ajouter un nouveau Nota, libellé comme suit</w:t>
      </w:r>
      <w:r>
        <w:rPr>
          <w:rFonts w:eastAsiaTheme="minorHAnsi"/>
          <w:lang w:val="fr-FR" w:eastAsia="en-US"/>
        </w:rPr>
        <w:t> </w:t>
      </w:r>
      <w:r w:rsidRPr="0061541F">
        <w:rPr>
          <w:rFonts w:eastAsiaTheme="minorHAnsi"/>
          <w:lang w:val="fr-FR" w:eastAsia="en-US"/>
        </w:rPr>
        <w:t>:</w:t>
      </w:r>
    </w:p>
    <w:p w14:paraId="21F744C8" w14:textId="77777777" w:rsidR="006F4C01" w:rsidRPr="0061541F" w:rsidRDefault="006F4C01" w:rsidP="006F4C01">
      <w:pPr>
        <w:spacing w:after="120"/>
        <w:ind w:left="1134" w:right="1134"/>
        <w:jc w:val="both"/>
        <w:rPr>
          <w:rFonts w:eastAsiaTheme="minorHAnsi"/>
          <w:lang w:val="fr-FR" w:eastAsia="en-US"/>
        </w:rPr>
      </w:pPr>
      <w:r w:rsidRPr="0061541F">
        <w:rPr>
          <w:rFonts w:eastAsiaTheme="minorHAnsi"/>
          <w:lang w:val="fr-FR" w:eastAsia="en-US"/>
        </w:rPr>
        <w:t>«</w:t>
      </w:r>
      <w:r>
        <w:rPr>
          <w:rFonts w:eastAsiaTheme="minorHAnsi"/>
          <w:lang w:val="fr-FR" w:eastAsia="en-US"/>
        </w:rPr>
        <w:t> </w:t>
      </w:r>
      <w:r w:rsidRPr="0061541F">
        <w:rPr>
          <w:rFonts w:eastAsiaTheme="minorHAnsi"/>
          <w:b/>
          <w:bCs/>
          <w:i/>
          <w:iCs/>
          <w:lang w:val="fr-FR" w:eastAsia="en-US"/>
        </w:rPr>
        <w:t>NOTA</w:t>
      </w:r>
      <w:r>
        <w:rPr>
          <w:rFonts w:eastAsiaTheme="minorHAnsi"/>
          <w:b/>
          <w:bCs/>
          <w:i/>
          <w:iCs/>
          <w:lang w:val="fr-FR" w:eastAsia="en-US"/>
        </w:rPr>
        <w:t> </w:t>
      </w:r>
      <w:r w:rsidRPr="0061541F">
        <w:rPr>
          <w:rFonts w:eastAsiaTheme="minorHAnsi"/>
          <w:b/>
          <w:bCs/>
          <w:i/>
          <w:iCs/>
          <w:lang w:val="fr-FR" w:eastAsia="en-US"/>
        </w:rPr>
        <w:t>:</w:t>
      </w:r>
      <w:r w:rsidRPr="0061541F">
        <w:rPr>
          <w:rFonts w:eastAsiaTheme="minorHAnsi"/>
          <w:i/>
          <w:iCs/>
          <w:lang w:val="fr-FR" w:eastAsia="en-US"/>
        </w:rPr>
        <w:t xml:space="preserve"> La masse nette des emballages autorisés aux paragraphes 2), 4) et 5) peut dépasser 400 kg (voir 4.1.3.3).</w:t>
      </w:r>
      <w:r>
        <w:rPr>
          <w:rFonts w:eastAsiaTheme="minorHAnsi"/>
          <w:lang w:val="fr-FR" w:eastAsia="en-US"/>
        </w:rPr>
        <w:t> </w:t>
      </w:r>
      <w:r w:rsidRPr="0061541F">
        <w:rPr>
          <w:rFonts w:eastAsiaTheme="minorHAnsi"/>
          <w:lang w:val="fr-FR" w:eastAsia="en-US"/>
        </w:rPr>
        <w:t>»</w:t>
      </w:r>
    </w:p>
    <w:p w14:paraId="261673B1" w14:textId="77777777" w:rsidR="006F4C01" w:rsidRPr="0061541F" w:rsidRDefault="006F4C01" w:rsidP="006F4C01">
      <w:pPr>
        <w:kinsoku/>
        <w:overflowPunct/>
        <w:autoSpaceDE/>
        <w:autoSpaceDN/>
        <w:adjustRightInd/>
        <w:snapToGrid/>
        <w:spacing w:after="120"/>
        <w:ind w:left="1134" w:right="1134"/>
        <w:jc w:val="both"/>
        <w:rPr>
          <w:i/>
          <w:iCs/>
          <w:lang w:val="fr-FR" w:eastAsia="en-US"/>
        </w:rPr>
      </w:pPr>
      <w:r w:rsidRPr="0061541F">
        <w:rPr>
          <w:i/>
          <w:iCs/>
          <w:lang w:val="fr-FR" w:eastAsia="en-US"/>
        </w:rPr>
        <w:t>(Document de référence : ST/SG/AC.10/C.3/2020/75)</w:t>
      </w:r>
    </w:p>
    <w:p w14:paraId="46610845" w14:textId="77777777" w:rsidR="006F4C01" w:rsidRDefault="006F4C01" w:rsidP="006F4C01">
      <w:pPr>
        <w:pStyle w:val="SingleTxtG"/>
        <w:rPr>
          <w:lang w:val="fr-FR" w:eastAsia="en-US"/>
        </w:rPr>
      </w:pPr>
      <w:r w:rsidRPr="0048389B">
        <w:rPr>
          <w:lang w:val="fr-FR" w:eastAsia="en-US"/>
        </w:rPr>
        <w:t>4.1.4.1, P905</w:t>
      </w:r>
      <w:r w:rsidRPr="0048389B">
        <w:rPr>
          <w:lang w:val="fr-FR" w:eastAsia="en-US"/>
        </w:rPr>
        <w:tab/>
      </w:r>
      <w:r w:rsidRPr="0048389B">
        <w:rPr>
          <w:lang w:val="fr-FR"/>
        </w:rPr>
        <w:t>Dans la deuxième ligne sous la ligne de titre, après la première phrase</w:t>
      </w:r>
      <w:r w:rsidRPr="0048389B">
        <w:rPr>
          <w:lang w:val="fr-FR" w:eastAsia="en-US"/>
        </w:rPr>
        <w:t>, ajouter un nouveau Nota, libellé comme suit</w:t>
      </w:r>
      <w:r>
        <w:rPr>
          <w:lang w:val="fr-FR" w:eastAsia="en-US"/>
        </w:rPr>
        <w:t> </w:t>
      </w:r>
      <w:r w:rsidRPr="0048389B">
        <w:rPr>
          <w:lang w:val="fr-FR" w:eastAsia="en-US"/>
        </w:rPr>
        <w:t>:</w:t>
      </w:r>
    </w:p>
    <w:p w14:paraId="13871709"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408B7130"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40820BC4" w14:textId="77777777" w:rsidR="006F4C01" w:rsidRDefault="006F4C01" w:rsidP="006F4C01">
      <w:pPr>
        <w:pStyle w:val="SingleTxtG"/>
        <w:rPr>
          <w:lang w:val="fr-FR" w:eastAsia="en-US"/>
        </w:rPr>
      </w:pPr>
      <w:r>
        <w:rPr>
          <w:lang w:val="fr-FR" w:eastAsia="en-US"/>
        </w:rPr>
        <w:t>4.1.4.1, P906 2)</w:t>
      </w:r>
      <w:r>
        <w:rPr>
          <w:lang w:val="fr-FR" w:eastAsia="en-US"/>
        </w:rPr>
        <w:tab/>
        <w:t>Sous l’alinéa b), ajouter un nouveau Nota, libellé comme suit :</w:t>
      </w:r>
    </w:p>
    <w:p w14:paraId="580A2310"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1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17EFF3E2" w14:textId="77777777" w:rsidR="006F4C01" w:rsidRDefault="006F4C01" w:rsidP="006F4C01">
      <w:pPr>
        <w:pStyle w:val="SingleTxtG"/>
        <w:ind w:left="2268"/>
        <w:rPr>
          <w:lang w:val="fr-FR" w:eastAsia="en-US"/>
        </w:rPr>
      </w:pPr>
      <w:r>
        <w:rPr>
          <w:lang w:val="fr-FR" w:eastAsia="en-US"/>
        </w:rPr>
        <w:t>Sous le dernier paragraphe avant les dispositions supplémentaires, ajouter un nouveau Nota, libellé comme suit :</w:t>
      </w:r>
    </w:p>
    <w:p w14:paraId="6B6BDB1F"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2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23C2330B"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6C2CED5B" w14:textId="77777777" w:rsidR="006F4C01" w:rsidRDefault="006F4C01" w:rsidP="006F4C01">
      <w:pPr>
        <w:pStyle w:val="SingleTxtG"/>
        <w:rPr>
          <w:lang w:val="fr-FR" w:eastAsia="en-US"/>
        </w:rPr>
      </w:pPr>
      <w:r>
        <w:rPr>
          <w:lang w:val="fr-FR" w:eastAsia="en-US"/>
        </w:rPr>
        <w:t>4.1.4.1, P907</w:t>
      </w:r>
      <w:r>
        <w:rPr>
          <w:lang w:val="fr-FR" w:eastAsia="en-US"/>
        </w:rPr>
        <w:tab/>
      </w:r>
      <w:r>
        <w:rPr>
          <w:lang w:val="fr-FR"/>
        </w:rPr>
        <w:t>À la fin</w:t>
      </w:r>
      <w:r>
        <w:rPr>
          <w:lang w:val="fr-FR" w:eastAsia="en-US"/>
        </w:rPr>
        <w:t>, ajouter un nouveau Nota, libellé comme suit :</w:t>
      </w:r>
    </w:p>
    <w:p w14:paraId="129ABD63"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55604638"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6972C894" w14:textId="77777777" w:rsidR="006F4C01" w:rsidRDefault="006F4C01" w:rsidP="006F4C01">
      <w:pPr>
        <w:pStyle w:val="SingleTxtG"/>
        <w:rPr>
          <w:lang w:val="fr-FR" w:eastAsia="en-US"/>
        </w:rPr>
      </w:pPr>
      <w:r>
        <w:rPr>
          <w:lang w:val="fr-FR" w:eastAsia="en-US"/>
        </w:rPr>
        <w:t>4.1.4.1, P909 3)</w:t>
      </w:r>
      <w:r>
        <w:rPr>
          <w:lang w:val="fr-FR" w:eastAsia="en-US"/>
        </w:rPr>
        <w:tab/>
        <w:t>À la fin, ajouter un nouveau Nota, libellé comme suit :</w:t>
      </w:r>
    </w:p>
    <w:p w14:paraId="7385C7BB"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1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6E4C3556"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7CA70D5D" w14:textId="77777777" w:rsidR="006F4C01" w:rsidRDefault="006F4C01" w:rsidP="006F4C01">
      <w:pPr>
        <w:pStyle w:val="SingleTxtG"/>
        <w:rPr>
          <w:lang w:val="fr-FR" w:eastAsia="en-US"/>
        </w:rPr>
      </w:pPr>
      <w:r>
        <w:rPr>
          <w:lang w:val="fr-FR" w:eastAsia="en-US"/>
        </w:rPr>
        <w:t>4.1.4.1, P909 4)</w:t>
      </w:r>
      <w:r>
        <w:rPr>
          <w:lang w:val="fr-FR" w:eastAsia="en-US"/>
        </w:rPr>
        <w:tab/>
        <w:t>À la fin, ajouter un nouveau Nota, libellé comme suit :</w:t>
      </w:r>
    </w:p>
    <w:p w14:paraId="2FB8A2FF"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2 :</w:t>
      </w:r>
      <w:r>
        <w:rPr>
          <w:rFonts w:eastAsiaTheme="minorHAnsi"/>
          <w:i/>
          <w:iCs/>
          <w:lang w:val="fr-FR" w:eastAsia="en-US"/>
        </w:rPr>
        <w:t xml:space="preserve"> La masse nette des emballages autorisés peut dépasser 400 kg (voir 4.1.3.3).</w:t>
      </w:r>
      <w:r>
        <w:rPr>
          <w:rFonts w:eastAsiaTheme="minorHAnsi"/>
          <w:lang w:val="fr-FR" w:eastAsia="en-US"/>
        </w:rPr>
        <w:t> »</w:t>
      </w:r>
    </w:p>
    <w:p w14:paraId="5951CE00"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3258CD23" w14:textId="77777777" w:rsidR="006F4C01" w:rsidRDefault="006F4C01" w:rsidP="006F4C01">
      <w:pPr>
        <w:pStyle w:val="SingleTxtG"/>
        <w:rPr>
          <w:lang w:val="fr-FR" w:eastAsia="en-US"/>
        </w:rPr>
      </w:pPr>
      <w:r>
        <w:rPr>
          <w:lang w:val="fr-FR" w:eastAsia="en-US"/>
        </w:rPr>
        <w:t>4.1.4.1, P910 3)</w:t>
      </w:r>
      <w:r>
        <w:rPr>
          <w:lang w:val="fr-FR" w:eastAsia="en-US"/>
        </w:rPr>
        <w:tab/>
      </w:r>
      <w:r>
        <w:rPr>
          <w:lang w:val="fr-FR"/>
        </w:rPr>
        <w:t>À la fin</w:t>
      </w:r>
      <w:r>
        <w:rPr>
          <w:lang w:val="fr-FR" w:eastAsia="en-US"/>
        </w:rPr>
        <w:t>, ajouter un nouveau Nota, libellé comme suit :</w:t>
      </w:r>
    </w:p>
    <w:p w14:paraId="13C28A37" w14:textId="77777777" w:rsidR="006F4C01" w:rsidRDefault="006F4C01" w:rsidP="006F4C01">
      <w:pPr>
        <w:pStyle w:val="SingleTxtG"/>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La masse nette des emballages autorisés peut dépasser 400 kg (voir 4.1.3.3). </w:t>
      </w:r>
      <w:r>
        <w:rPr>
          <w:rFonts w:eastAsiaTheme="minorHAnsi"/>
          <w:lang w:val="fr-FR" w:eastAsia="en-US"/>
        </w:rPr>
        <w:t>»</w:t>
      </w:r>
    </w:p>
    <w:p w14:paraId="293D12EF" w14:textId="77777777" w:rsidR="006F4C01" w:rsidRDefault="006F4C01" w:rsidP="006F4C01">
      <w:pPr>
        <w:tabs>
          <w:tab w:val="left" w:pos="2268"/>
        </w:tabs>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ST/SG/AC.10/C.3/2020/75)</w:t>
      </w:r>
    </w:p>
    <w:p w14:paraId="270C2215" w14:textId="77777777" w:rsidR="006F4C01" w:rsidRDefault="006F4C01" w:rsidP="006F4C01">
      <w:pPr>
        <w:kinsoku/>
        <w:overflowPunct/>
        <w:autoSpaceDE/>
        <w:adjustRightInd/>
        <w:snapToGrid/>
        <w:spacing w:after="120"/>
        <w:ind w:left="2268" w:right="1134" w:hanging="1134"/>
        <w:jc w:val="both"/>
        <w:rPr>
          <w:lang w:val="fr-FR" w:eastAsia="en-US"/>
        </w:rPr>
      </w:pPr>
      <w:r>
        <w:rPr>
          <w:lang w:val="fr-FR" w:eastAsia="en-US"/>
        </w:rPr>
        <w:t>4.1.4.1, P911</w:t>
      </w:r>
      <w:r>
        <w:rPr>
          <w:lang w:val="fr-FR" w:eastAsia="en-US"/>
        </w:rPr>
        <w:tab/>
        <w:t xml:space="preserve">Dans la note </w:t>
      </w:r>
      <w:r w:rsidRPr="00AA3565">
        <w:rPr>
          <w:vertAlign w:val="superscript"/>
          <w:lang w:val="fr-FR" w:eastAsia="en-US"/>
        </w:rPr>
        <w:t>a</w:t>
      </w:r>
      <w:r>
        <w:rPr>
          <w:lang w:val="fr-FR" w:eastAsia="en-US"/>
        </w:rPr>
        <w:t>, à la fin, ajouter un nouvel alinéa pour lire comme suit :</w:t>
      </w:r>
    </w:p>
    <w:p w14:paraId="17844F81" w14:textId="77777777" w:rsidR="006F4C01" w:rsidRDefault="006F4C01" w:rsidP="006F4C01">
      <w:pPr>
        <w:pStyle w:val="SingleTxtG"/>
        <w:tabs>
          <w:tab w:val="left" w:pos="2268"/>
        </w:tabs>
        <w:rPr>
          <w:lang w:val="fr-FR" w:eastAsia="en-US"/>
        </w:rPr>
      </w:pPr>
      <w:r>
        <w:rPr>
          <w:lang w:val="fr-FR" w:eastAsia="en-US"/>
        </w:rPr>
        <w:lastRenderedPageBreak/>
        <w:t>« i)</w:t>
      </w:r>
      <w:r>
        <w:rPr>
          <w:lang w:val="fr-FR" w:eastAsia="en-US"/>
        </w:rPr>
        <w:tab/>
        <w:t>Dans le cas de batteries multiples et d’équipements multiples contenant des batteries, des prescriptions additionnelles visant par exemple le nombre maximum de batteries et d’équipements seuls, le contenu énergétique total maximum des batteries et la disposition à l’intérieur du colis, y compris les séparations et les protections des pièces, doivent être envisagées. »</w:t>
      </w:r>
    </w:p>
    <w:p w14:paraId="49EAD377"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document informel INF.12, proposition 2)</w:t>
      </w:r>
    </w:p>
    <w:p w14:paraId="50BF60A2"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4.1.4.2, IBC07</w:t>
      </w:r>
      <w:r>
        <w:rPr>
          <w:lang w:eastAsia="en-US"/>
        </w:rPr>
        <w:tab/>
        <w:t>Ajouter la nouvelle disposition spéciale d’emballage suivante :</w:t>
      </w:r>
    </w:p>
    <w:p w14:paraId="58EB0FFA" w14:textId="77777777" w:rsidR="006F4C01" w:rsidRDefault="006F4C01" w:rsidP="006F4C01">
      <w:pPr>
        <w:tabs>
          <w:tab w:val="left" w:pos="2268"/>
        </w:tabs>
        <w:kinsoku/>
        <w:overflowPunct/>
        <w:autoSpaceDE/>
        <w:autoSpaceDN/>
        <w:adjustRightInd/>
        <w:snapToGrid/>
        <w:spacing w:after="120"/>
        <w:ind w:left="1134" w:right="1134"/>
        <w:jc w:val="both"/>
        <w:rPr>
          <w:lang w:eastAsia="en-US"/>
        </w:rPr>
      </w:pPr>
      <w:r>
        <w:rPr>
          <w:lang w:eastAsia="en-US"/>
        </w:rPr>
        <w:t>« B20</w:t>
      </w:r>
      <w:r>
        <w:rPr>
          <w:lang w:eastAsia="en-US"/>
        </w:rPr>
        <w:tab/>
      </w:r>
      <w:r w:rsidRPr="00845D80">
        <w:rPr>
          <w:lang w:eastAsia="en-US"/>
        </w:rPr>
        <w:t>Le No ONU 35</w:t>
      </w:r>
      <w:r>
        <w:rPr>
          <w:lang w:eastAsia="en-US"/>
        </w:rPr>
        <w:t>50</w:t>
      </w:r>
      <w:r w:rsidRPr="00845D80">
        <w:rPr>
          <w:lang w:eastAsia="en-US"/>
        </w:rPr>
        <w:t xml:space="preserve"> peut être transporté dans des GRV souples (13H3 ou 13H4) avec des doublures étanches aux pulvérulents pour empêcher toute fuite de poussière pendant le transport.</w:t>
      </w:r>
      <w:r>
        <w:rPr>
          <w:lang w:eastAsia="en-US"/>
        </w:rPr>
        <w:t> »</w:t>
      </w:r>
    </w:p>
    <w:p w14:paraId="4CD0BD97" w14:textId="77777777" w:rsidR="006F4C01" w:rsidRDefault="006F4C01" w:rsidP="006F4C01">
      <w:pPr>
        <w:pStyle w:val="SingleTxtG"/>
        <w:spacing w:before="120"/>
        <w:rPr>
          <w:i/>
        </w:rPr>
      </w:pPr>
      <w:r w:rsidRPr="00692350">
        <w:rPr>
          <w:i/>
        </w:rPr>
        <w:t xml:space="preserve">(Document de référence : </w:t>
      </w:r>
      <w:r>
        <w:rPr>
          <w:i/>
        </w:rPr>
        <w:t>document informel INF.45, tel que modifié</w:t>
      </w:r>
      <w:r w:rsidRPr="00692350">
        <w:rPr>
          <w:i/>
        </w:rPr>
        <w:t>)</w:t>
      </w:r>
    </w:p>
    <w:p w14:paraId="7F06268A"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4.1.4.2, IBC520</w:t>
      </w:r>
      <w:r>
        <w:rPr>
          <w:lang w:eastAsia="en-US"/>
        </w:rPr>
        <w:tab/>
        <w:t>Dans la deuxième phrase (troisième ligne), remplacer « Les préparations énumérées » par « </w:t>
      </w:r>
      <w:r w:rsidRPr="00137ECA">
        <w:rPr>
          <w:lang w:eastAsia="en-US"/>
        </w:rPr>
        <w:t xml:space="preserve">Les préparations énumérées </w:t>
      </w:r>
      <w:r>
        <w:rPr>
          <w:lang w:eastAsia="en-US"/>
        </w:rPr>
        <w:t xml:space="preserve">ni au 2.4.2.3.2.3 ni au 2.5.3.2.4 </w:t>
      </w:r>
      <w:r w:rsidRPr="00137ECA">
        <w:rPr>
          <w:lang w:eastAsia="en-US"/>
        </w:rPr>
        <w:t>mais énumérées</w:t>
      </w:r>
      <w:r>
        <w:rPr>
          <w:lang w:eastAsia="en-US"/>
        </w:rPr>
        <w:t> ».</w:t>
      </w:r>
    </w:p>
    <w:p w14:paraId="2A01706C"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ST/SG/AC.10/C.3/2020/6</w:t>
      </w:r>
      <w:r w:rsidRPr="00F7088C">
        <w:rPr>
          <w:i/>
          <w:iCs/>
          <w:lang w:eastAsia="en-US"/>
        </w:rPr>
        <w:t>)</w:t>
      </w:r>
    </w:p>
    <w:p w14:paraId="1442B57B" w14:textId="77777777" w:rsidR="006F4C01" w:rsidRDefault="006F4C01" w:rsidP="006F4C01">
      <w:pPr>
        <w:tabs>
          <w:tab w:val="left" w:pos="2268"/>
        </w:tabs>
        <w:kinsoku/>
        <w:overflowPunct/>
        <w:autoSpaceDE/>
        <w:adjustRightInd/>
        <w:snapToGrid/>
        <w:spacing w:after="120"/>
        <w:ind w:left="1134" w:right="1134"/>
        <w:jc w:val="both"/>
        <w:rPr>
          <w:lang w:val="fr-FR" w:eastAsia="en-US"/>
        </w:rPr>
      </w:pPr>
      <w:r>
        <w:rPr>
          <w:lang w:val="fr-FR" w:eastAsia="en-US"/>
        </w:rPr>
        <w:t>4.1.4.3, LP906</w:t>
      </w:r>
      <w:r>
        <w:rPr>
          <w:lang w:val="fr-FR" w:eastAsia="en-US"/>
        </w:rPr>
        <w:tab/>
        <w:t>Modifier la troisième phrase pour lire « Pour les batteries et pour les équipements seuls contenant des batteries. ».</w:t>
      </w:r>
    </w:p>
    <w:p w14:paraId="5E38E5C8" w14:textId="77777777" w:rsidR="006F4C01" w:rsidRDefault="006F4C01" w:rsidP="006F4C01">
      <w:pPr>
        <w:pStyle w:val="SingleTxtG"/>
        <w:tabs>
          <w:tab w:val="left" w:pos="2268"/>
        </w:tabs>
        <w:rPr>
          <w:lang w:val="fr-FR" w:eastAsia="en-US"/>
        </w:rPr>
      </w:pPr>
      <w:r>
        <w:rPr>
          <w:lang w:val="fr-FR" w:eastAsia="en-US"/>
        </w:rPr>
        <w:tab/>
      </w:r>
      <w:r>
        <w:rPr>
          <w:lang w:val="fr-FR" w:eastAsia="en-US"/>
        </w:rPr>
        <w:tab/>
        <w:t>Au point 2), modifier le deuxième paragraphe pour lire comme suit :</w:t>
      </w:r>
    </w:p>
    <w:p w14:paraId="47D4090A" w14:textId="77777777" w:rsidR="006F4C01" w:rsidRDefault="006F4C01" w:rsidP="006F4C01">
      <w:pPr>
        <w:pStyle w:val="SingleTxtG"/>
        <w:tabs>
          <w:tab w:val="left" w:pos="2268"/>
        </w:tabs>
        <w:rPr>
          <w:lang w:val="fr-FR" w:eastAsia="en-US"/>
        </w:rPr>
      </w:pPr>
      <w:r>
        <w:rPr>
          <w:lang w:val="fr-FR" w:eastAsia="en-US"/>
        </w:rPr>
        <w:t>« Un rapport établi à l’issue de la vérification doit être disponible à la demande. Doivent y être énumérés, au minimum, le nom des batteries, leur type tel que défini à la section 38.3.2.3 du Manuel d’épreuves et de critères, le nombre maximal de batteries, la masse totale des batteries, le contenu énergétique total des batteries, l'identification du grand emballage et les données d’épreuves, selon la méthode de vérification spécifiée par l'autorité compétente. »</w:t>
      </w:r>
    </w:p>
    <w:p w14:paraId="2C6BA73D" w14:textId="77777777" w:rsidR="006F4C01" w:rsidRDefault="006F4C01" w:rsidP="006F4C01">
      <w:pPr>
        <w:pStyle w:val="SingleTxtG"/>
        <w:tabs>
          <w:tab w:val="left" w:pos="2268"/>
        </w:tabs>
        <w:rPr>
          <w:lang w:val="fr-FR" w:eastAsia="en-US"/>
        </w:rPr>
      </w:pPr>
      <w:r>
        <w:rPr>
          <w:lang w:val="fr-FR" w:eastAsia="en-US"/>
        </w:rPr>
        <w:tab/>
        <w:t>Ajouter un quatrième point pour lire comme suit :</w:t>
      </w:r>
    </w:p>
    <w:p w14:paraId="38FBAA80" w14:textId="77777777" w:rsidR="006F4C01" w:rsidRDefault="006F4C01" w:rsidP="006F4C01">
      <w:pPr>
        <w:pStyle w:val="SingleTxtG"/>
        <w:tabs>
          <w:tab w:val="left" w:pos="2268"/>
        </w:tabs>
        <w:rPr>
          <w:lang w:val="fr-FR" w:eastAsia="en-US"/>
        </w:rPr>
      </w:pPr>
      <w:r>
        <w:rPr>
          <w:lang w:val="fr-FR" w:eastAsia="en-US"/>
        </w:rPr>
        <w:t>« 4)</w:t>
      </w:r>
      <w:r>
        <w:rPr>
          <w:lang w:val="fr-FR" w:eastAsia="en-US"/>
        </w:rPr>
        <w:tab/>
        <w:t>Les instructions spécifiques relatives aux conditions d’utilisation de l’emballage doivent être communiquées à l’expéditeur par les fabricants d'emballages et les distributeurs ultérieurs. Elles doivent préciser au minimum l’identification des batteries et des équipements seuls pouvant être contenus à l’intérieur de l’emballage, le nombre maximum de batteries contenues dans le colis et le total maximum du contenu énergétique des batteries, ainsi que la configuration à l’intérieur du colis, y compris les séparations et les protections utilisées pendant l’épreuve de vérification de la performance. »</w:t>
      </w:r>
    </w:p>
    <w:p w14:paraId="29C8B416" w14:textId="77777777" w:rsidR="006F4C01" w:rsidRDefault="006F4C01" w:rsidP="006F4C01">
      <w:pPr>
        <w:kinsoku/>
        <w:overflowPunct/>
        <w:autoSpaceDE/>
        <w:adjustRightInd/>
        <w:snapToGrid/>
        <w:spacing w:after="120"/>
        <w:ind w:left="2268" w:right="1134" w:hanging="1134"/>
        <w:jc w:val="both"/>
        <w:rPr>
          <w:lang w:val="fr-FR" w:eastAsia="en-US"/>
        </w:rPr>
      </w:pPr>
      <w:r>
        <w:rPr>
          <w:lang w:val="fr-FR" w:eastAsia="en-US"/>
        </w:rPr>
        <w:tab/>
        <w:t xml:space="preserve">Dans la note </w:t>
      </w:r>
      <w:r w:rsidRPr="00F6176C">
        <w:rPr>
          <w:vertAlign w:val="superscript"/>
          <w:lang w:val="fr-FR" w:eastAsia="en-US"/>
        </w:rPr>
        <w:t>a</w:t>
      </w:r>
      <w:r>
        <w:rPr>
          <w:lang w:val="fr-FR" w:eastAsia="en-US"/>
        </w:rPr>
        <w:t>, à la fin, ajouter un nouvel alinéa pour lire comme suit :</w:t>
      </w:r>
    </w:p>
    <w:p w14:paraId="13B183B1" w14:textId="77777777" w:rsidR="006F4C01" w:rsidRDefault="006F4C01" w:rsidP="006F4C01">
      <w:pPr>
        <w:pStyle w:val="SingleTxtG"/>
        <w:tabs>
          <w:tab w:val="left" w:pos="2268"/>
        </w:tabs>
        <w:rPr>
          <w:lang w:val="fr-FR" w:eastAsia="en-US"/>
        </w:rPr>
      </w:pPr>
      <w:r>
        <w:rPr>
          <w:lang w:val="fr-FR" w:eastAsia="en-US"/>
        </w:rPr>
        <w:t>« i)</w:t>
      </w:r>
      <w:r>
        <w:rPr>
          <w:lang w:val="fr-FR" w:eastAsia="en-US"/>
        </w:rPr>
        <w:tab/>
        <w:t>Dans le cas de batteries multiples et d’équipements multiples contenant des batteries, des prescriptions additionnelles visant par exemple le nombre maximum de batteries et d’équipements seuls, le contenu énergétique total maximum des batteries et la disposition à l’intérieur du colis, y compris les séparations et les protections des pièces, doivent être envisagées. »</w:t>
      </w:r>
    </w:p>
    <w:p w14:paraId="1C15CCA8"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document informel INF.12, proposition 1, telle que modifiée)</w:t>
      </w:r>
    </w:p>
    <w:p w14:paraId="0B591B15" w14:textId="77777777" w:rsidR="006F4C01" w:rsidRPr="002401F1" w:rsidRDefault="006F4C01" w:rsidP="006F4C01">
      <w:pPr>
        <w:tabs>
          <w:tab w:val="left" w:pos="2268"/>
        </w:tabs>
        <w:kinsoku/>
        <w:overflowPunct/>
        <w:autoSpaceDE/>
        <w:autoSpaceDN/>
        <w:adjustRightInd/>
        <w:snapToGrid/>
        <w:spacing w:after="120"/>
        <w:ind w:left="2268" w:right="1134" w:hanging="1134"/>
        <w:jc w:val="both"/>
        <w:rPr>
          <w:lang w:val="fr-FR" w:eastAsia="en-US"/>
        </w:rPr>
      </w:pPr>
      <w:r w:rsidRPr="002401F1">
        <w:rPr>
          <w:lang w:val="fr-FR" w:eastAsia="en-US"/>
        </w:rPr>
        <w:t>4.1.6.1.8</w:t>
      </w:r>
      <w:r w:rsidRPr="002401F1">
        <w:rPr>
          <w:lang w:val="fr-FR" w:eastAsia="en-US"/>
        </w:rPr>
        <w:tab/>
        <w:t>Dans l’avant-dernier paragraphe, dans la première phrase, remplacer « ISO 11117:1998 ou ISO 11117:2008 + Cor 1:2009 » par « </w:t>
      </w:r>
      <w:r w:rsidRPr="002401F1">
        <w:t>ISO 11117:1998, ISO 11117:2008 + Cor 1:2009 ou ISO 11117:2019</w:t>
      </w:r>
      <w:r w:rsidRPr="002401F1">
        <w:rPr>
          <w:lang w:val="fr-FR" w:eastAsia="en-US"/>
        </w:rPr>
        <w:t> ».</w:t>
      </w:r>
    </w:p>
    <w:p w14:paraId="7470A421" w14:textId="77777777" w:rsidR="006F4C01" w:rsidRPr="002401F1" w:rsidRDefault="006F4C01" w:rsidP="006F4C01">
      <w:pPr>
        <w:tabs>
          <w:tab w:val="left" w:pos="2268"/>
        </w:tabs>
        <w:kinsoku/>
        <w:overflowPunct/>
        <w:autoSpaceDE/>
        <w:autoSpaceDN/>
        <w:adjustRightInd/>
        <w:snapToGrid/>
        <w:spacing w:after="120"/>
        <w:ind w:left="2268" w:right="1134" w:hanging="1134"/>
        <w:jc w:val="both"/>
        <w:rPr>
          <w:lang w:val="fr-FR" w:eastAsia="en-US"/>
        </w:rPr>
      </w:pPr>
      <w:r w:rsidRPr="002401F1">
        <w:rPr>
          <w:lang w:val="fr-FR" w:eastAsia="en-US"/>
        </w:rPr>
        <w:tab/>
        <w:t>Dans la dernière phrase, remplacer « ISO 16111:2008 » par « ISO 16111:2008 ou ISO 16111:2018 ».</w:t>
      </w:r>
    </w:p>
    <w:p w14:paraId="20558C56"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2401F1">
        <w:rPr>
          <w:i/>
          <w:iCs/>
          <w:lang w:val="fr-FR" w:eastAsia="en-US"/>
        </w:rPr>
        <w:t>(Document de référence : document informel INF.57, propositions 5 et 9)</w:t>
      </w:r>
    </w:p>
    <w:p w14:paraId="0CF58CF2" w14:textId="77777777" w:rsidR="006F4C01" w:rsidRPr="00B53378" w:rsidRDefault="006F4C01" w:rsidP="006F4C01">
      <w:pPr>
        <w:kinsoku/>
        <w:overflowPunct/>
        <w:autoSpaceDE/>
        <w:autoSpaceDN/>
        <w:adjustRightInd/>
        <w:snapToGrid/>
        <w:spacing w:after="120"/>
        <w:ind w:left="2268" w:right="1134" w:hanging="1134"/>
        <w:jc w:val="both"/>
        <w:rPr>
          <w:lang w:val="fr-FR" w:eastAsia="en-US"/>
        </w:rPr>
      </w:pPr>
      <w:r>
        <w:rPr>
          <w:lang w:val="fr-FR" w:eastAsia="en-US"/>
        </w:rPr>
        <w:t>4.1.9.1.4</w:t>
      </w:r>
      <w:r>
        <w:rPr>
          <w:lang w:val="fr-FR" w:eastAsia="en-US"/>
        </w:rPr>
        <w:tab/>
        <w:t xml:space="preserve">Dans la première phrase, supprimer « , </w:t>
      </w:r>
      <w:r w:rsidRPr="00DD5181">
        <w:rPr>
          <w:lang w:val="fr-FR" w:eastAsia="en-US"/>
        </w:rPr>
        <w:t>des citernes, des grands récipients pour vrac</w:t>
      </w:r>
      <w:r>
        <w:rPr>
          <w:lang w:val="fr-FR" w:eastAsia="en-US"/>
        </w:rPr>
        <w:t> ».</w:t>
      </w:r>
    </w:p>
    <w:p w14:paraId="432CE140"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2401F1">
        <w:rPr>
          <w:i/>
          <w:iCs/>
          <w:lang w:val="fr-FR" w:eastAsia="en-US"/>
        </w:rPr>
        <w:t>(Document de référence : document informel INF.</w:t>
      </w:r>
      <w:r>
        <w:rPr>
          <w:i/>
          <w:iCs/>
          <w:lang w:val="fr-FR" w:eastAsia="en-US"/>
        </w:rPr>
        <w:t>30</w:t>
      </w:r>
      <w:r w:rsidRPr="002401F1">
        <w:rPr>
          <w:i/>
          <w:iCs/>
          <w:lang w:val="fr-FR" w:eastAsia="en-US"/>
        </w:rPr>
        <w:t>)</w:t>
      </w:r>
    </w:p>
    <w:p w14:paraId="2BCA3D14" w14:textId="77777777" w:rsidR="006F4C01" w:rsidRPr="00F7088C" w:rsidRDefault="006F4C01" w:rsidP="006F4C01">
      <w:pPr>
        <w:pStyle w:val="H1G"/>
        <w:rPr>
          <w:lang w:eastAsia="en-US"/>
        </w:rPr>
      </w:pPr>
      <w:r w:rsidRPr="00F7088C">
        <w:rPr>
          <w:lang w:val="fr-FR" w:eastAsia="en-US"/>
        </w:rPr>
        <w:lastRenderedPageBreak/>
        <w:tab/>
      </w:r>
      <w:r w:rsidRPr="00F7088C">
        <w:rPr>
          <w:lang w:val="fr-FR" w:eastAsia="en-US"/>
        </w:rPr>
        <w:tab/>
      </w:r>
      <w:r w:rsidRPr="00F7088C">
        <w:rPr>
          <w:lang w:eastAsia="en-US"/>
        </w:rPr>
        <w:t xml:space="preserve">Chapitre </w:t>
      </w:r>
      <w:r>
        <w:rPr>
          <w:lang w:eastAsia="en-US"/>
        </w:rPr>
        <w:t>4.2</w:t>
      </w:r>
    </w:p>
    <w:p w14:paraId="0895E02A"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4.2.5.2.6, T23</w:t>
      </w:r>
      <w:r>
        <w:rPr>
          <w:lang w:eastAsia="en-US"/>
        </w:rPr>
        <w:tab/>
      </w:r>
      <w:r>
        <w:rPr>
          <w:lang w:eastAsia="en-US"/>
        </w:rPr>
        <w:tab/>
      </w:r>
      <w:r>
        <w:rPr>
          <w:lang w:eastAsia="en-US"/>
        </w:rPr>
        <w:tab/>
        <w:t xml:space="preserve">Dans la dernière phrase du paragraphe sous la ligne de titre, remplacer « Les préparations </w:t>
      </w:r>
      <w:r>
        <w:rPr>
          <w:lang w:eastAsia="en-US"/>
        </w:rPr>
        <w:tab/>
        <w:t>énumérées » par « </w:t>
      </w:r>
      <w:r w:rsidRPr="00137ECA">
        <w:rPr>
          <w:lang w:eastAsia="en-US"/>
        </w:rPr>
        <w:t xml:space="preserve">Les préparations énumérées </w:t>
      </w:r>
      <w:r>
        <w:rPr>
          <w:lang w:eastAsia="en-US"/>
        </w:rPr>
        <w:t xml:space="preserve">ni au 2.4.2.3.2.3 ni au 2.5.3.2.4 </w:t>
      </w:r>
      <w:r w:rsidRPr="00137ECA">
        <w:rPr>
          <w:lang w:eastAsia="en-US"/>
        </w:rPr>
        <w:t>mais énumérées</w:t>
      </w:r>
      <w:r>
        <w:rPr>
          <w:lang w:eastAsia="en-US"/>
        </w:rPr>
        <w:t> ».</w:t>
      </w:r>
    </w:p>
    <w:p w14:paraId="78C57210"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ST/SG/AC.10/C.3/2020/6</w:t>
      </w:r>
      <w:r w:rsidRPr="00F7088C">
        <w:rPr>
          <w:i/>
          <w:iCs/>
          <w:lang w:eastAsia="en-US"/>
        </w:rPr>
        <w:t>)</w:t>
      </w:r>
    </w:p>
    <w:p w14:paraId="49B5C29A" w14:textId="77777777" w:rsidR="006F4C01" w:rsidRDefault="006F4C01" w:rsidP="006F4C01">
      <w:pPr>
        <w:pStyle w:val="H1G"/>
        <w:rPr>
          <w:lang w:val="fr-FR" w:eastAsia="en-US"/>
        </w:rPr>
      </w:pPr>
      <w:r>
        <w:rPr>
          <w:lang w:val="fr-FR" w:eastAsia="en-US"/>
        </w:rPr>
        <w:tab/>
      </w:r>
      <w:r>
        <w:rPr>
          <w:lang w:val="fr-FR" w:eastAsia="en-US"/>
        </w:rPr>
        <w:tab/>
        <w:t>Chapitre 5.2</w:t>
      </w:r>
    </w:p>
    <w:p w14:paraId="5CF77246" w14:textId="77777777" w:rsidR="006F4C01" w:rsidRDefault="006F4C01" w:rsidP="006F4C01">
      <w:pPr>
        <w:pStyle w:val="SingleTxtG"/>
        <w:ind w:left="2268" w:hanging="1134"/>
        <w:rPr>
          <w:rFonts w:eastAsiaTheme="minorHAnsi"/>
          <w:lang w:val="fr-FR" w:eastAsia="en-US"/>
        </w:rPr>
      </w:pPr>
      <w:r>
        <w:rPr>
          <w:lang w:val="fr-FR" w:eastAsia="en-US"/>
        </w:rPr>
        <w:t>5.2.1.9.2</w:t>
      </w:r>
      <w:r>
        <w:rPr>
          <w:lang w:val="fr-FR" w:eastAsia="en-US"/>
        </w:rPr>
        <w:tab/>
      </w:r>
      <w:r>
        <w:rPr>
          <w:rFonts w:eastAsiaTheme="minorHAnsi"/>
          <w:lang w:val="fr-FR" w:eastAsia="en-US"/>
        </w:rPr>
        <w:t>Enlever le double astérisque dans la figure 5.2.5 et supprimer la note correspondant à ce double astérisque sous la figure.</w:t>
      </w:r>
    </w:p>
    <w:p w14:paraId="1BE7C997" w14:textId="77777777" w:rsidR="006F4C01" w:rsidRDefault="006F4C01" w:rsidP="006F4C01">
      <w:pPr>
        <w:pStyle w:val="SingleTxtG"/>
        <w:tabs>
          <w:tab w:val="left" w:pos="2268"/>
        </w:tabs>
        <w:rPr>
          <w:rFonts w:eastAsiaTheme="minorHAnsi"/>
          <w:lang w:val="fr-FR" w:eastAsia="en-US"/>
        </w:rPr>
      </w:pPr>
      <w:r>
        <w:rPr>
          <w:rFonts w:eastAsiaTheme="minorHAnsi"/>
          <w:lang w:val="fr-FR" w:eastAsia="en-US"/>
        </w:rPr>
        <w:tab/>
      </w:r>
      <w:r>
        <w:rPr>
          <w:rFonts w:eastAsiaTheme="minorHAnsi"/>
          <w:lang w:val="fr-FR" w:eastAsia="en-US"/>
        </w:rPr>
        <w:tab/>
        <w:t>À la fin, ajouter un nouveau Nota pour lire comme suit :</w:t>
      </w:r>
    </w:p>
    <w:p w14:paraId="262D5763" w14:textId="77777777" w:rsidR="006F4C01" w:rsidRDefault="006F4C01" w:rsidP="006F4C01">
      <w:pPr>
        <w:pStyle w:val="SingleTxtG"/>
        <w:tabs>
          <w:tab w:val="left" w:pos="2268"/>
        </w:tabs>
        <w:rPr>
          <w:rFonts w:eastAsiaTheme="minorHAnsi"/>
          <w:lang w:val="fr-FR" w:eastAsia="en-US"/>
        </w:rPr>
      </w:pPr>
      <w:r>
        <w:rPr>
          <w:rFonts w:eastAsiaTheme="minorHAnsi"/>
          <w:lang w:val="fr-FR" w:eastAsia="en-US"/>
        </w:rPr>
        <w:t>« </w:t>
      </w:r>
      <w:r>
        <w:rPr>
          <w:rFonts w:eastAsiaTheme="minorHAnsi"/>
          <w:b/>
          <w:bCs/>
          <w:i/>
          <w:iCs/>
          <w:lang w:val="fr-FR" w:eastAsia="en-US"/>
        </w:rPr>
        <w:t>NOTA :</w:t>
      </w:r>
      <w:r>
        <w:rPr>
          <w:rFonts w:eastAsiaTheme="minorHAnsi"/>
          <w:i/>
          <w:iCs/>
          <w:lang w:val="fr-FR" w:eastAsia="en-US"/>
        </w:rPr>
        <w:t xml:space="preserve"> </w:t>
      </w:r>
      <w:r>
        <w:rPr>
          <w:rFonts w:eastAsiaTheme="minorHAnsi"/>
          <w:i/>
          <w:iCs/>
          <w:lang w:val="fr-FR" w:eastAsia="en-US"/>
        </w:rPr>
        <w:tab/>
        <w:t>La marque représentée à la figure 5.2.5 du 5.2.1.9 de la vingt et unième édition révisée des Recommandations relatives au transport des marchandises dangereuses, Règlement type, peut continuer à être appliquée jusqu’au 31 décembre 2026.</w:t>
      </w:r>
      <w:r>
        <w:rPr>
          <w:rFonts w:eastAsiaTheme="minorHAnsi"/>
          <w:lang w:val="fr-FR" w:eastAsia="en-US"/>
        </w:rPr>
        <w:t> »</w:t>
      </w:r>
    </w:p>
    <w:p w14:paraId="347E26EA"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ST/SG/AC.10/C.3/2020/76)</w:t>
      </w:r>
    </w:p>
    <w:p w14:paraId="66A7B074"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5.4</w:t>
      </w:r>
    </w:p>
    <w:p w14:paraId="4A293CFD"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5.4.1.4.3</w:t>
      </w:r>
      <w:r>
        <w:rPr>
          <w:lang w:eastAsia="en-US"/>
        </w:rPr>
        <w:tab/>
        <w:t>Ajouter le nouvel alinéa d) suivant :</w:t>
      </w:r>
    </w:p>
    <w:p w14:paraId="2B159080" w14:textId="77777777" w:rsidR="006F4C01" w:rsidRDefault="006F4C01" w:rsidP="006F4C01">
      <w:pPr>
        <w:tabs>
          <w:tab w:val="left" w:pos="2268"/>
        </w:tabs>
        <w:kinsoku/>
        <w:overflowPunct/>
        <w:autoSpaceDE/>
        <w:autoSpaceDN/>
        <w:adjustRightInd/>
        <w:snapToGrid/>
        <w:spacing w:after="120"/>
        <w:ind w:left="1134" w:right="1134"/>
        <w:jc w:val="both"/>
        <w:rPr>
          <w:lang w:eastAsia="en-US"/>
        </w:rPr>
      </w:pPr>
      <w:r>
        <w:rPr>
          <w:lang w:eastAsia="en-US"/>
        </w:rPr>
        <w:t>« d)</w:t>
      </w:r>
      <w:r>
        <w:rPr>
          <w:lang w:eastAsia="en-US"/>
        </w:rPr>
        <w:tab/>
      </w:r>
      <w:r w:rsidRPr="00FD79F6">
        <w:rPr>
          <w:lang w:eastAsia="en-US"/>
        </w:rPr>
        <w:t xml:space="preserve">Matières fondues : Lorsqu’une matière qui est un solide selon la définition donnée en 1.2.1 est présentée au transport à l’état fondu, il faut ajouter le qualificatif </w:t>
      </w:r>
      <w:r w:rsidRPr="00655B55">
        <w:rPr>
          <w:lang w:eastAsia="en-US"/>
        </w:rPr>
        <w:t>"</w:t>
      </w:r>
      <w:r w:rsidRPr="00FD79F6">
        <w:rPr>
          <w:lang w:eastAsia="en-US"/>
        </w:rPr>
        <w:t>FONDU</w:t>
      </w:r>
      <w:r w:rsidRPr="00655B55">
        <w:rPr>
          <w:lang w:eastAsia="en-US"/>
        </w:rPr>
        <w:t>"</w:t>
      </w:r>
      <w:r w:rsidRPr="00FD79F6">
        <w:rPr>
          <w:lang w:eastAsia="en-US"/>
        </w:rPr>
        <w:t xml:space="preserve"> dans la désignation officielle de transport, à moins qu’il ne figure déjà dans celle-ci (voir 3.1.2.5) ;</w:t>
      </w:r>
      <w:r>
        <w:rPr>
          <w:lang w:eastAsia="en-US"/>
        </w:rPr>
        <w:t> »</w:t>
      </w:r>
    </w:p>
    <w:p w14:paraId="75554920"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ab/>
        <w:t>Renuméroter l’alinéa d) existant en tant que e).</w:t>
      </w:r>
    </w:p>
    <w:p w14:paraId="63E34D87"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ab/>
        <w:t>Ajouter le nouvel alinéa f) suivant à la fin :</w:t>
      </w:r>
    </w:p>
    <w:p w14:paraId="22222C74" w14:textId="77777777" w:rsidR="006F4C01" w:rsidRDefault="006F4C01" w:rsidP="006F4C01">
      <w:pPr>
        <w:tabs>
          <w:tab w:val="left" w:pos="2268"/>
        </w:tabs>
        <w:kinsoku/>
        <w:overflowPunct/>
        <w:autoSpaceDE/>
        <w:autoSpaceDN/>
        <w:adjustRightInd/>
        <w:snapToGrid/>
        <w:spacing w:after="120"/>
        <w:ind w:left="1134" w:right="1134"/>
        <w:jc w:val="both"/>
        <w:rPr>
          <w:lang w:eastAsia="en-US"/>
        </w:rPr>
      </w:pPr>
      <w:r>
        <w:rPr>
          <w:lang w:eastAsia="en-US"/>
        </w:rPr>
        <w:t>« f)</w:t>
      </w:r>
      <w:r>
        <w:rPr>
          <w:lang w:eastAsia="en-US"/>
        </w:rPr>
        <w:tab/>
      </w:r>
      <w:r w:rsidRPr="002C690F">
        <w:rPr>
          <w:lang w:eastAsia="en-US"/>
        </w:rPr>
        <w:t xml:space="preserve">Matières stabilisées et matières stabilisées par régulation de température : À moins qu’il ne figure déjà dans la désignation officielle de transport, il faut ajouter le terme </w:t>
      </w:r>
      <w:r w:rsidRPr="00655B55">
        <w:rPr>
          <w:lang w:eastAsia="en-US"/>
        </w:rPr>
        <w:t>"</w:t>
      </w:r>
      <w:r w:rsidRPr="002C690F">
        <w:rPr>
          <w:lang w:eastAsia="en-US"/>
        </w:rPr>
        <w:t>STABILISÉ</w:t>
      </w:r>
      <w:r w:rsidRPr="00655B55">
        <w:rPr>
          <w:lang w:eastAsia="en-US"/>
        </w:rPr>
        <w:t>"</w:t>
      </w:r>
      <w:r w:rsidRPr="002C690F">
        <w:rPr>
          <w:lang w:eastAsia="en-US"/>
        </w:rPr>
        <w:t xml:space="preserve"> dans le cas d’une stabilisation, ou les termes </w:t>
      </w:r>
      <w:r w:rsidRPr="00655B55">
        <w:rPr>
          <w:lang w:eastAsia="en-US"/>
        </w:rPr>
        <w:t>"</w:t>
      </w:r>
      <w:r w:rsidRPr="002C690F">
        <w:rPr>
          <w:lang w:eastAsia="en-US"/>
        </w:rPr>
        <w:t>AVEC RÉGULATION DE TEMPÉRATURE</w:t>
      </w:r>
      <w:r w:rsidRPr="00655B55">
        <w:rPr>
          <w:lang w:eastAsia="en-US"/>
        </w:rPr>
        <w:t>"</w:t>
      </w:r>
      <w:r w:rsidRPr="002C690F">
        <w:rPr>
          <w:lang w:eastAsia="en-US"/>
        </w:rPr>
        <w:t xml:space="preserve"> si la stabilisation se fait par régulation de température ou par stabilisation chimique en combinaison avec la régulation de température (voir 3.1.2.6).</w:t>
      </w:r>
      <w:r>
        <w:rPr>
          <w:lang w:eastAsia="en-US"/>
        </w:rPr>
        <w:t> </w:t>
      </w:r>
      <w:r w:rsidRPr="002C690F">
        <w:rPr>
          <w:lang w:eastAsia="en-US"/>
        </w:rPr>
        <w:t>»</w:t>
      </w:r>
    </w:p>
    <w:p w14:paraId="14103403"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ST/SG/AC.10/C.3/2020/15</w:t>
      </w:r>
      <w:r w:rsidRPr="00F7088C">
        <w:rPr>
          <w:i/>
          <w:iCs/>
          <w:lang w:eastAsia="en-US"/>
        </w:rPr>
        <w:t>)</w:t>
      </w:r>
    </w:p>
    <w:p w14:paraId="4CA810B6" w14:textId="77777777" w:rsidR="006F4C01" w:rsidRDefault="006F4C01" w:rsidP="006F4C01">
      <w:pPr>
        <w:kinsoku/>
        <w:overflowPunct/>
        <w:autoSpaceDE/>
        <w:autoSpaceDN/>
        <w:adjustRightInd/>
        <w:snapToGrid/>
        <w:spacing w:after="120"/>
        <w:ind w:left="2268" w:right="1134" w:hanging="1134"/>
        <w:jc w:val="both"/>
        <w:rPr>
          <w:lang w:val="fr-FR" w:eastAsia="en-US"/>
        </w:rPr>
      </w:pPr>
      <w:r>
        <w:rPr>
          <w:lang w:val="fr-FR" w:eastAsia="en-US"/>
        </w:rPr>
        <w:t>5.4.1.5.3</w:t>
      </w:r>
      <w:r>
        <w:rPr>
          <w:lang w:val="fr-FR" w:eastAsia="en-US"/>
        </w:rPr>
        <w:tab/>
        <w:t>Modifier le paragraphe sous le titre pour lire comme suit :</w:t>
      </w:r>
    </w:p>
    <w:p w14:paraId="6695E3BE" w14:textId="77777777" w:rsidR="006F4C01" w:rsidRDefault="006F4C01" w:rsidP="006F4C01">
      <w:pPr>
        <w:kinsoku/>
        <w:overflowPunct/>
        <w:autoSpaceDE/>
        <w:autoSpaceDN/>
        <w:adjustRightInd/>
        <w:snapToGrid/>
        <w:spacing w:after="120"/>
        <w:ind w:left="1134" w:right="1134"/>
        <w:jc w:val="both"/>
        <w:rPr>
          <w:lang w:val="fr-FR" w:eastAsia="en-US"/>
        </w:rPr>
      </w:pPr>
      <w:r>
        <w:rPr>
          <w:lang w:val="fr-FR" w:eastAsia="en-US"/>
        </w:rPr>
        <w:t>« </w:t>
      </w:r>
      <w:r w:rsidRPr="00917EE8">
        <w:rPr>
          <w:lang w:val="fr-FR" w:eastAsia="en-US"/>
        </w:rPr>
        <w:t>Pour les marchandises dangereuses qui sont transportées dans un emballage de secours</w:t>
      </w:r>
      <w:r>
        <w:rPr>
          <w:lang w:val="fr-FR" w:eastAsia="en-US"/>
        </w:rPr>
        <w:t xml:space="preserve"> conformément au 4.1.1.18</w:t>
      </w:r>
      <w:r w:rsidRPr="00917EE8">
        <w:rPr>
          <w:lang w:val="fr-FR" w:eastAsia="en-US"/>
        </w:rPr>
        <w:t>, y</w:t>
      </w:r>
      <w:r>
        <w:rPr>
          <w:lang w:val="fr-FR" w:eastAsia="en-US"/>
        </w:rPr>
        <w:t xml:space="preserve"> </w:t>
      </w:r>
      <w:r w:rsidRPr="00917EE8">
        <w:rPr>
          <w:lang w:val="fr-FR" w:eastAsia="en-US"/>
        </w:rPr>
        <w:t xml:space="preserve">compris dans un grand emballage de secours, </w:t>
      </w:r>
      <w:r w:rsidRPr="00AD5F7F">
        <w:rPr>
          <w:lang w:val="fr-FR" w:eastAsia="en-US"/>
        </w:rPr>
        <w:t>des emballages de plus grande dimension ou des grands emballages d’un type et d’un niveau d’épreuve appropriés</w:t>
      </w:r>
      <w:r w:rsidRPr="00917EE8">
        <w:rPr>
          <w:lang w:val="fr-FR" w:eastAsia="en-US"/>
        </w:rPr>
        <w:t>, les mots</w:t>
      </w:r>
      <w:r>
        <w:rPr>
          <w:lang w:val="fr-FR" w:eastAsia="en-US"/>
        </w:rPr>
        <w:t xml:space="preserve"> </w:t>
      </w:r>
      <w:r w:rsidRPr="00917EE8">
        <w:rPr>
          <w:lang w:val="fr-FR" w:eastAsia="en-US"/>
        </w:rPr>
        <w:t>"EMBALLAGE DE SECOURS" doivent être ajoutés.</w:t>
      </w:r>
    </w:p>
    <w:p w14:paraId="1F4ED0C2" w14:textId="77777777" w:rsidR="006F4C01" w:rsidRDefault="006F4C01" w:rsidP="006F4C01">
      <w:pPr>
        <w:kinsoku/>
        <w:overflowPunct/>
        <w:autoSpaceDE/>
        <w:autoSpaceDN/>
        <w:adjustRightInd/>
        <w:snapToGrid/>
        <w:spacing w:after="120"/>
        <w:ind w:left="1134" w:right="1134"/>
        <w:jc w:val="both"/>
        <w:rPr>
          <w:lang w:val="fr-FR" w:eastAsia="en-US"/>
        </w:rPr>
      </w:pPr>
      <w:r w:rsidRPr="001E1579">
        <w:rPr>
          <w:lang w:val="fr-FR" w:eastAsia="en-US"/>
        </w:rPr>
        <w:t xml:space="preserve">Pour les marchandises dangereuses qui sont transportées dans un récipient à pression de secours conformément au 4.1.1.19, les mots </w:t>
      </w:r>
      <w:r w:rsidRPr="00AD5F7F">
        <w:rPr>
          <w:lang w:val="fr-FR" w:eastAsia="en-US"/>
        </w:rPr>
        <w:t>"</w:t>
      </w:r>
      <w:r w:rsidRPr="001E1579">
        <w:rPr>
          <w:lang w:val="fr-FR" w:eastAsia="en-US"/>
        </w:rPr>
        <w:t>RÉCIPIENT À PRESSION DE SECOURS</w:t>
      </w:r>
      <w:r w:rsidRPr="00AD5F7F">
        <w:rPr>
          <w:lang w:val="fr-FR" w:eastAsia="en-US"/>
        </w:rPr>
        <w:t>"</w:t>
      </w:r>
      <w:r w:rsidRPr="001E1579">
        <w:rPr>
          <w:lang w:val="fr-FR" w:eastAsia="en-US"/>
        </w:rPr>
        <w:t xml:space="preserve"> doivent être ajoutés.</w:t>
      </w:r>
      <w:r>
        <w:rPr>
          <w:lang w:val="fr-FR" w:eastAsia="en-US"/>
        </w:rPr>
        <w:t> ».</w:t>
      </w:r>
    </w:p>
    <w:p w14:paraId="2DAB690F"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2401F1">
        <w:rPr>
          <w:i/>
          <w:iCs/>
          <w:lang w:val="fr-FR" w:eastAsia="en-US"/>
        </w:rPr>
        <w:t>(Document de référence :</w:t>
      </w:r>
      <w:r>
        <w:rPr>
          <w:i/>
          <w:iCs/>
          <w:lang w:val="fr-FR" w:eastAsia="en-US"/>
        </w:rPr>
        <w:t xml:space="preserve"> </w:t>
      </w:r>
      <w:r w:rsidRPr="00327247">
        <w:rPr>
          <w:i/>
          <w:iCs/>
          <w:lang w:val="fr-FR" w:eastAsia="en-US"/>
        </w:rPr>
        <w:t>ST/SG/AC.10/C.3/2020/27</w:t>
      </w:r>
      <w:r w:rsidRPr="002401F1">
        <w:rPr>
          <w:i/>
          <w:iCs/>
          <w:lang w:val="fr-FR" w:eastAsia="en-US"/>
        </w:rPr>
        <w:t>)</w:t>
      </w:r>
    </w:p>
    <w:p w14:paraId="23EA4256"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5.4.1.5.4</w:t>
      </w:r>
      <w:r>
        <w:rPr>
          <w:lang w:eastAsia="en-US"/>
        </w:rPr>
        <w:tab/>
        <w:t xml:space="preserve">Remplacer « Si le mot </w:t>
      </w:r>
      <w:r w:rsidRPr="00655B55">
        <w:rPr>
          <w:lang w:eastAsia="en-US"/>
        </w:rPr>
        <w:t>"STABILISÉ" fait partie de</w:t>
      </w:r>
      <w:r>
        <w:rPr>
          <w:lang w:eastAsia="en-US"/>
        </w:rPr>
        <w:t xml:space="preserve"> » par « Si les mots </w:t>
      </w:r>
      <w:r w:rsidRPr="00655B55">
        <w:rPr>
          <w:lang w:eastAsia="en-US"/>
        </w:rPr>
        <w:t>"</w:t>
      </w:r>
      <w:r>
        <w:rPr>
          <w:lang w:eastAsia="en-US"/>
        </w:rPr>
        <w:t xml:space="preserve">AVEC </w:t>
      </w:r>
      <w:r w:rsidRPr="008F6BBF">
        <w:rPr>
          <w:lang w:eastAsia="en-US"/>
        </w:rPr>
        <w:t>RÉGULATION DE TEMPÉRATURE</w:t>
      </w:r>
      <w:r w:rsidRPr="00655B55">
        <w:rPr>
          <w:lang w:eastAsia="en-US"/>
        </w:rPr>
        <w:t xml:space="preserve">" </w:t>
      </w:r>
      <w:r>
        <w:rPr>
          <w:lang w:eastAsia="en-US"/>
        </w:rPr>
        <w:t>font</w:t>
      </w:r>
      <w:r w:rsidRPr="00655B55">
        <w:rPr>
          <w:lang w:eastAsia="en-US"/>
        </w:rPr>
        <w:t xml:space="preserve"> partie de</w:t>
      </w:r>
      <w:r>
        <w:rPr>
          <w:lang w:eastAsia="en-US"/>
        </w:rPr>
        <w:t> ». Supprimer « </w:t>
      </w:r>
      <w:r w:rsidRPr="00ED7178">
        <w:rPr>
          <w:lang w:eastAsia="en-US"/>
        </w:rPr>
        <w:t>lorsque la stabilisation est obtenue par régulation de température,</w:t>
      </w:r>
      <w:r>
        <w:rPr>
          <w:lang w:eastAsia="en-US"/>
        </w:rPr>
        <w:t> ».</w:t>
      </w:r>
    </w:p>
    <w:p w14:paraId="6CFFA792"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ST/SG/AC.10/C.3/2020/15</w:t>
      </w:r>
      <w:r w:rsidRPr="00F7088C">
        <w:rPr>
          <w:i/>
          <w:iCs/>
          <w:lang w:eastAsia="en-US"/>
        </w:rPr>
        <w:t>)</w:t>
      </w:r>
    </w:p>
    <w:p w14:paraId="26CC6D13" w14:textId="77777777" w:rsidR="006F4C01" w:rsidRDefault="006F4C01" w:rsidP="006F4C01">
      <w:pPr>
        <w:kinsoku/>
        <w:overflowPunct/>
        <w:autoSpaceDE/>
        <w:autoSpaceDN/>
        <w:adjustRightInd/>
        <w:snapToGrid/>
        <w:spacing w:after="120"/>
        <w:ind w:left="2268" w:right="1134" w:hanging="1134"/>
        <w:jc w:val="both"/>
        <w:rPr>
          <w:lang w:val="fr-FR" w:eastAsia="en-US"/>
        </w:rPr>
      </w:pPr>
      <w:r>
        <w:rPr>
          <w:lang w:val="fr-FR" w:eastAsia="en-US"/>
        </w:rPr>
        <w:t>5.4.1.5.12</w:t>
      </w:r>
      <w:r>
        <w:rPr>
          <w:lang w:val="fr-FR" w:eastAsia="en-US"/>
        </w:rPr>
        <w:tab/>
        <w:t>Modifier pour lire comme suit :</w:t>
      </w:r>
    </w:p>
    <w:p w14:paraId="0B812E13" w14:textId="77777777" w:rsidR="006F4C01" w:rsidRDefault="006F4C01" w:rsidP="006F4C01">
      <w:pPr>
        <w:kinsoku/>
        <w:overflowPunct/>
        <w:autoSpaceDE/>
        <w:autoSpaceDN/>
        <w:adjustRightInd/>
        <w:snapToGrid/>
        <w:spacing w:after="120"/>
        <w:ind w:left="1134" w:right="1134"/>
        <w:jc w:val="both"/>
        <w:rPr>
          <w:lang w:val="fr-FR" w:eastAsia="en-US"/>
        </w:rPr>
      </w:pPr>
      <w:r>
        <w:rPr>
          <w:lang w:val="fr-FR" w:eastAsia="en-US"/>
        </w:rPr>
        <w:t>« 5.4.1.5.12</w:t>
      </w:r>
      <w:r>
        <w:rPr>
          <w:lang w:val="fr-FR" w:eastAsia="en-US"/>
        </w:rPr>
        <w:tab/>
      </w:r>
      <w:r w:rsidRPr="007106AD">
        <w:rPr>
          <w:i/>
          <w:iCs/>
          <w:lang w:val="fr-FR" w:eastAsia="en-US"/>
        </w:rPr>
        <w:t>Rubriques supplémentaires en cas d’application de dispositions spéciales</w:t>
      </w:r>
    </w:p>
    <w:p w14:paraId="75D13CE8" w14:textId="77777777" w:rsidR="006F4C01" w:rsidRDefault="006F4C01" w:rsidP="006F4C01">
      <w:pPr>
        <w:tabs>
          <w:tab w:val="left" w:pos="1134"/>
        </w:tabs>
        <w:kinsoku/>
        <w:overflowPunct/>
        <w:autoSpaceDE/>
        <w:autoSpaceDN/>
        <w:adjustRightInd/>
        <w:snapToGrid/>
        <w:spacing w:after="120"/>
        <w:ind w:left="1134" w:right="1134"/>
        <w:jc w:val="both"/>
        <w:rPr>
          <w:lang w:val="fr-FR" w:eastAsia="en-US"/>
        </w:rPr>
      </w:pPr>
      <w:r>
        <w:rPr>
          <w:lang w:val="fr-FR" w:eastAsia="en-US"/>
        </w:rPr>
        <w:lastRenderedPageBreak/>
        <w:tab/>
      </w:r>
      <w:r w:rsidRPr="00735A0B">
        <w:rPr>
          <w:lang w:val="fr-FR" w:eastAsia="en-US"/>
        </w:rPr>
        <w:t>Lorsque, conformément à une disposition spéciale du chapitre 3.3, des informations supplémentaires sont nécessaires, ces informations doivent figurer dans le document de transport de marchandises dangereuses.</w:t>
      </w:r>
      <w:r>
        <w:rPr>
          <w:lang w:val="fr-FR" w:eastAsia="en-US"/>
        </w:rPr>
        <w:t> ».</w:t>
      </w:r>
    </w:p>
    <w:p w14:paraId="771A7E59"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2401F1">
        <w:rPr>
          <w:i/>
          <w:iCs/>
          <w:lang w:val="fr-FR" w:eastAsia="en-US"/>
        </w:rPr>
        <w:t>(Document de référence :</w:t>
      </w:r>
      <w:r>
        <w:rPr>
          <w:i/>
          <w:iCs/>
          <w:lang w:val="fr-FR" w:eastAsia="en-US"/>
        </w:rPr>
        <w:t xml:space="preserve"> </w:t>
      </w:r>
      <w:r w:rsidRPr="00327247">
        <w:rPr>
          <w:i/>
          <w:iCs/>
          <w:lang w:val="fr-FR" w:eastAsia="en-US"/>
        </w:rPr>
        <w:t>ST/SG/AC.10/C.3/2020/</w:t>
      </w:r>
      <w:r>
        <w:rPr>
          <w:i/>
          <w:iCs/>
          <w:lang w:val="fr-FR" w:eastAsia="en-US"/>
        </w:rPr>
        <w:t>11/Rev.1, option 1</w:t>
      </w:r>
      <w:r w:rsidRPr="002401F1">
        <w:rPr>
          <w:i/>
          <w:iCs/>
          <w:lang w:val="fr-FR" w:eastAsia="en-US"/>
        </w:rPr>
        <w:t>)</w:t>
      </w:r>
    </w:p>
    <w:p w14:paraId="4E6E1617"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6.1</w:t>
      </w:r>
    </w:p>
    <w:p w14:paraId="705250A3" w14:textId="77777777" w:rsidR="006F4C01" w:rsidRDefault="006F4C01" w:rsidP="006F4C01">
      <w:pPr>
        <w:pStyle w:val="SingleTxtG"/>
        <w:ind w:left="2268" w:hanging="1134"/>
        <w:rPr>
          <w:rFonts w:eastAsiaTheme="minorHAnsi"/>
          <w:lang w:val="fr-FR" w:eastAsia="en-US"/>
        </w:rPr>
      </w:pPr>
      <w:r>
        <w:rPr>
          <w:lang w:val="fr-FR" w:eastAsia="en-US"/>
        </w:rPr>
        <w:t>6.1.1.2</w:t>
      </w:r>
      <w:r>
        <w:rPr>
          <w:lang w:val="fr-FR" w:eastAsia="en-US"/>
        </w:rPr>
        <w:tab/>
      </w:r>
      <w:r>
        <w:rPr>
          <w:lang w:val="fr-FR" w:eastAsia="en-US"/>
        </w:rPr>
        <w:tab/>
      </w:r>
      <w:r>
        <w:rPr>
          <w:rFonts w:eastAsiaTheme="minorHAnsi"/>
          <w:lang w:val="fr-FR" w:eastAsia="en-US"/>
        </w:rPr>
        <w:t>Dans la deuxième phrase, remplacer « aux épreuves décrites » par « aux prescriptions décrites. ».</w:t>
      </w:r>
    </w:p>
    <w:p w14:paraId="20EC66B7"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ST/SG/AC.10/C.3/2020/28/Rev.1)</w:t>
      </w:r>
    </w:p>
    <w:p w14:paraId="282D4ABB"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6.1.1.4</w:t>
      </w:r>
      <w:r>
        <w:rPr>
          <w:lang w:eastAsia="en-US"/>
        </w:rPr>
        <w:tab/>
        <w:t>Dans le Nota, remplacer « ISO 16106:2006 » par « ISO 16106:2020 » et modifier le titre de la norme pour lire « Emballages de transport pour marchandises dangereuses – Emballages pour marchandises dangereuses, grands récipients pour vrac (GRV) et grands emballages – Lignes directrices pour l’application de la norme ISO. ».</w:t>
      </w:r>
    </w:p>
    <w:p w14:paraId="6C98B003"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ST/SG/AC.10/C.3/2020/50</w:t>
      </w:r>
      <w:r w:rsidRPr="00F7088C">
        <w:rPr>
          <w:i/>
          <w:iCs/>
          <w:lang w:eastAsia="en-US"/>
        </w:rPr>
        <w:t>)</w:t>
      </w:r>
    </w:p>
    <w:p w14:paraId="38A55941" w14:textId="77777777" w:rsidR="006F4C01" w:rsidRPr="00684533" w:rsidRDefault="006F4C01" w:rsidP="006F4C01">
      <w:pPr>
        <w:pStyle w:val="H1G"/>
        <w:rPr>
          <w:lang w:val="fr-FR" w:eastAsia="en-US"/>
        </w:rPr>
      </w:pPr>
      <w:r w:rsidRPr="00652134">
        <w:rPr>
          <w:lang w:val="fr-FR" w:eastAsia="en-US"/>
        </w:rPr>
        <w:tab/>
      </w:r>
      <w:r w:rsidRPr="00652134">
        <w:rPr>
          <w:lang w:val="fr-FR" w:eastAsia="en-US"/>
        </w:rPr>
        <w:tab/>
      </w:r>
      <w:r w:rsidRPr="00684533">
        <w:rPr>
          <w:lang w:val="fr-FR" w:eastAsia="en-US"/>
        </w:rPr>
        <w:t>Chapitre 6.2</w:t>
      </w:r>
    </w:p>
    <w:p w14:paraId="3A5DD753" w14:textId="77777777" w:rsidR="006F4C01" w:rsidRPr="00684533" w:rsidRDefault="006F4C01" w:rsidP="006F4C01">
      <w:pPr>
        <w:pStyle w:val="SingleTxtG"/>
        <w:ind w:left="2268" w:hanging="1134"/>
        <w:rPr>
          <w:lang w:val="fr-FR"/>
        </w:rPr>
      </w:pPr>
      <w:r w:rsidRPr="00684533">
        <w:rPr>
          <w:lang w:val="fr-FR" w:eastAsia="en-US"/>
        </w:rPr>
        <w:t>6.2.2.1.1</w:t>
      </w:r>
      <w:r w:rsidRPr="00684533">
        <w:rPr>
          <w:lang w:val="fr-FR" w:eastAsia="en-US"/>
        </w:rPr>
        <w:tab/>
      </w:r>
      <w:r w:rsidRPr="00684533">
        <w:rPr>
          <w:rFonts w:eastAsiaTheme="minorHAnsi"/>
          <w:lang w:val="fr-FR" w:eastAsia="en-US"/>
        </w:rPr>
        <w:t xml:space="preserve">Dans le tableau, pour « ISO 9809-1:2010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9809-1:2010</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6C77C757" w14:textId="77777777" w:rsidTr="007B6FD6">
        <w:tc>
          <w:tcPr>
            <w:tcW w:w="1544" w:type="dxa"/>
            <w:shd w:val="clear" w:color="auto" w:fill="auto"/>
          </w:tcPr>
          <w:p w14:paraId="3D1A5448" w14:textId="77777777" w:rsidR="006F4C01" w:rsidRPr="00684533" w:rsidRDefault="006F4C01" w:rsidP="007B6FD6">
            <w:pPr>
              <w:kinsoku/>
              <w:overflowPunct/>
              <w:autoSpaceDE/>
              <w:autoSpaceDN/>
              <w:adjustRightInd/>
              <w:snapToGrid/>
              <w:rPr>
                <w:lang w:val="fr-FR" w:eastAsia="en-US"/>
              </w:rPr>
            </w:pPr>
            <w:r w:rsidRPr="00684533">
              <w:rPr>
                <w:lang w:val="fr-FR" w:eastAsia="en-US"/>
              </w:rPr>
              <w:t xml:space="preserve">ISO 9809-1:2019 </w:t>
            </w:r>
          </w:p>
        </w:tc>
        <w:tc>
          <w:tcPr>
            <w:tcW w:w="4820" w:type="dxa"/>
            <w:shd w:val="clear" w:color="auto" w:fill="auto"/>
          </w:tcPr>
          <w:p w14:paraId="362032C9"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1: Bouteilles et tubes en acier trempé et revenu ayant une résistance à la traction inférieure à 1 100 MPa</w:t>
            </w:r>
          </w:p>
        </w:tc>
        <w:tc>
          <w:tcPr>
            <w:tcW w:w="1275" w:type="dxa"/>
            <w:shd w:val="clear" w:color="auto" w:fill="auto"/>
          </w:tcPr>
          <w:p w14:paraId="0C4920B0"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4A2758C7" w14:textId="77777777" w:rsidR="006F4C01" w:rsidRPr="00684533" w:rsidRDefault="006F4C01" w:rsidP="006F4C01">
      <w:pPr>
        <w:pStyle w:val="SingleTxtG"/>
        <w:tabs>
          <w:tab w:val="left" w:pos="2268"/>
        </w:tabs>
        <w:spacing w:before="120"/>
        <w:ind w:left="2268" w:hanging="1134"/>
        <w:rPr>
          <w:lang w:val="fr-FR"/>
        </w:rPr>
      </w:pPr>
      <w:r w:rsidRPr="00684533">
        <w:rPr>
          <w:lang w:val="fr-FR" w:eastAsia="en-US"/>
        </w:rPr>
        <w:tab/>
      </w:r>
      <w:r w:rsidRPr="00684533">
        <w:rPr>
          <w:lang w:val="fr-FR" w:eastAsia="en-US"/>
        </w:rPr>
        <w:tab/>
      </w:r>
      <w:r w:rsidRPr="00684533">
        <w:rPr>
          <w:rFonts w:eastAsiaTheme="minorHAnsi"/>
          <w:lang w:val="fr-FR" w:eastAsia="en-US"/>
        </w:rPr>
        <w:t xml:space="preserve">Dans le tableau, pour « ISO 9809-2:2010 », dans la colonne « Applicable à la fabrication », remplacer « Jusqu’à nouvel ordre » par « Jusqu’au 31 décembre 2026 ». </w:t>
      </w:r>
      <w:r w:rsidRPr="00684533">
        <w:rPr>
          <w:lang w:val="fr-FR"/>
        </w:rPr>
        <w:t>Après la rubrique existante pour la norme « I</w:t>
      </w:r>
      <w:r w:rsidRPr="00684533">
        <w:rPr>
          <w:rFonts w:eastAsiaTheme="minorHAnsi"/>
          <w:lang w:val="fr-FR" w:eastAsia="en-US"/>
        </w:rPr>
        <w:t>SO 9809-2:2010</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463C6B40" w14:textId="77777777" w:rsidTr="007B6FD6">
        <w:tc>
          <w:tcPr>
            <w:tcW w:w="1544" w:type="dxa"/>
            <w:shd w:val="clear" w:color="auto" w:fill="auto"/>
          </w:tcPr>
          <w:p w14:paraId="6285B404" w14:textId="77777777" w:rsidR="006F4C01" w:rsidRPr="00684533" w:rsidRDefault="006F4C01" w:rsidP="007B6FD6">
            <w:pPr>
              <w:kinsoku/>
              <w:overflowPunct/>
              <w:autoSpaceDE/>
              <w:autoSpaceDN/>
              <w:adjustRightInd/>
              <w:snapToGrid/>
              <w:rPr>
                <w:lang w:val="fr-FR" w:eastAsia="en-US"/>
              </w:rPr>
            </w:pPr>
            <w:r w:rsidRPr="00684533">
              <w:rPr>
                <w:lang w:val="fr-FR" w:eastAsia="en-US"/>
              </w:rPr>
              <w:t xml:space="preserve">ISO 9809-2:2019 </w:t>
            </w:r>
          </w:p>
        </w:tc>
        <w:tc>
          <w:tcPr>
            <w:tcW w:w="4820" w:type="dxa"/>
            <w:shd w:val="clear" w:color="auto" w:fill="auto"/>
          </w:tcPr>
          <w:p w14:paraId="3E57E29B"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2: Bouteilles et tubes en acier trempé et revenu ayant une résistance à la traction supérieure ou égale à 1 100 MPa</w:t>
            </w:r>
          </w:p>
        </w:tc>
        <w:tc>
          <w:tcPr>
            <w:tcW w:w="1275" w:type="dxa"/>
            <w:shd w:val="clear" w:color="auto" w:fill="auto"/>
          </w:tcPr>
          <w:p w14:paraId="4C9D3664"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16EB56AF" w14:textId="77777777" w:rsidR="006F4C01" w:rsidRPr="00684533" w:rsidRDefault="006F4C01" w:rsidP="006F4C01">
      <w:pPr>
        <w:pStyle w:val="SingleTxtG"/>
        <w:tabs>
          <w:tab w:val="left" w:pos="2268"/>
        </w:tabs>
        <w:spacing w:before="120"/>
        <w:ind w:left="2268" w:hanging="1134"/>
        <w:rPr>
          <w:lang w:val="fr-FR"/>
        </w:rPr>
      </w:pPr>
      <w:r w:rsidRPr="00684533">
        <w:rPr>
          <w:lang w:val="fr-FR" w:eastAsia="en-US"/>
        </w:rPr>
        <w:tab/>
      </w:r>
      <w:r w:rsidRPr="00684533">
        <w:rPr>
          <w:lang w:val="fr-FR" w:eastAsia="en-US"/>
        </w:rPr>
        <w:tab/>
      </w:r>
      <w:r w:rsidRPr="00684533">
        <w:rPr>
          <w:rFonts w:eastAsiaTheme="minorHAnsi"/>
          <w:lang w:val="fr-FR" w:eastAsia="en-US"/>
        </w:rPr>
        <w:t xml:space="preserve">Dans le tableau, pour « ISO 9809-3:2010 », dans la colonne « Applicable à la fabrication », remplacer « Jusqu’à nouvel ordre » par « Jusqu’au 31 décembre 2026 ». </w:t>
      </w:r>
      <w:r w:rsidRPr="00684533">
        <w:rPr>
          <w:lang w:val="fr-FR"/>
        </w:rPr>
        <w:t>Après la rubrique existante pour la norme « I</w:t>
      </w:r>
      <w:r w:rsidRPr="00684533">
        <w:rPr>
          <w:rFonts w:eastAsiaTheme="minorHAnsi"/>
          <w:lang w:val="fr-FR" w:eastAsia="en-US"/>
        </w:rPr>
        <w:t>SO 9809-3:2010</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0153FAF3" w14:textId="77777777" w:rsidTr="007B6FD6">
        <w:tc>
          <w:tcPr>
            <w:tcW w:w="1544" w:type="dxa"/>
            <w:shd w:val="clear" w:color="auto" w:fill="auto"/>
          </w:tcPr>
          <w:p w14:paraId="5D6948A5" w14:textId="77777777" w:rsidR="006F4C01" w:rsidRPr="00684533" w:rsidRDefault="006F4C01" w:rsidP="007B6FD6">
            <w:pPr>
              <w:kinsoku/>
              <w:overflowPunct/>
              <w:autoSpaceDE/>
              <w:autoSpaceDN/>
              <w:adjustRightInd/>
              <w:snapToGrid/>
              <w:rPr>
                <w:lang w:val="fr-FR" w:eastAsia="en-US"/>
              </w:rPr>
            </w:pPr>
            <w:r w:rsidRPr="00684533">
              <w:rPr>
                <w:lang w:val="fr-FR" w:eastAsia="en-US"/>
              </w:rPr>
              <w:t xml:space="preserve">ISO 9809-3:2019 </w:t>
            </w:r>
          </w:p>
        </w:tc>
        <w:tc>
          <w:tcPr>
            <w:tcW w:w="4820" w:type="dxa"/>
            <w:shd w:val="clear" w:color="auto" w:fill="auto"/>
          </w:tcPr>
          <w:p w14:paraId="2B14D050"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3: Bouteilles et tubes en acier normalisé</w:t>
            </w:r>
          </w:p>
        </w:tc>
        <w:tc>
          <w:tcPr>
            <w:tcW w:w="1275" w:type="dxa"/>
            <w:shd w:val="clear" w:color="auto" w:fill="auto"/>
          </w:tcPr>
          <w:p w14:paraId="588855E4"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0DCEFE11" w14:textId="77777777" w:rsidR="006F4C01" w:rsidRPr="00684533"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(Document de référence : document informel INF.57, propositions 1, 2 et 3)</w:t>
      </w:r>
    </w:p>
    <w:p w14:paraId="58F59815" w14:textId="77777777" w:rsidR="006F4C01" w:rsidRPr="00684533" w:rsidRDefault="006F4C01" w:rsidP="006F4C01">
      <w:pPr>
        <w:pStyle w:val="SingleTxtG"/>
        <w:rPr>
          <w:lang w:val="fr-FR"/>
        </w:rPr>
      </w:pPr>
      <w:r w:rsidRPr="00684533">
        <w:rPr>
          <w:lang w:val="fr-FR" w:eastAsia="en-US"/>
        </w:rPr>
        <w:t>6.2.2.1.2</w:t>
      </w:r>
      <w:r w:rsidRPr="00684533">
        <w:rPr>
          <w:lang w:val="fr-FR" w:eastAsia="en-US"/>
        </w:rPr>
        <w:tab/>
        <w:t xml:space="preserve">À la fin du tableau, </w:t>
      </w:r>
      <w:r w:rsidRPr="00684533">
        <w:rPr>
          <w:lang w:val="fr-FR"/>
        </w:rPr>
        <w:t>ajouter les nouvelles rubriques suivantes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1B9A73FE" w14:textId="77777777" w:rsidTr="007B6FD6">
        <w:tc>
          <w:tcPr>
            <w:tcW w:w="1544" w:type="dxa"/>
            <w:shd w:val="clear" w:color="auto" w:fill="auto"/>
          </w:tcPr>
          <w:p w14:paraId="60D85507"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9809-1:2019</w:t>
            </w:r>
          </w:p>
        </w:tc>
        <w:tc>
          <w:tcPr>
            <w:tcW w:w="4820" w:type="dxa"/>
            <w:shd w:val="clear" w:color="auto" w:fill="auto"/>
          </w:tcPr>
          <w:p w14:paraId="6642C535"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1: Bouteilles et tubes en acier trempé et revenu ayant une résistance à la traction inférieure à 1 100 MPa</w:t>
            </w:r>
          </w:p>
        </w:tc>
        <w:tc>
          <w:tcPr>
            <w:tcW w:w="1275" w:type="dxa"/>
            <w:shd w:val="clear" w:color="auto" w:fill="auto"/>
          </w:tcPr>
          <w:p w14:paraId="2A947007"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r w:rsidR="006F4C01" w:rsidRPr="00684533" w14:paraId="26E85C57" w14:textId="77777777" w:rsidTr="007B6FD6">
        <w:tc>
          <w:tcPr>
            <w:tcW w:w="1544" w:type="dxa"/>
            <w:shd w:val="clear" w:color="auto" w:fill="auto"/>
          </w:tcPr>
          <w:p w14:paraId="0F609AA3" w14:textId="77777777" w:rsidR="006F4C01" w:rsidRPr="00684533" w:rsidRDefault="006F4C01" w:rsidP="007B6FD6">
            <w:pPr>
              <w:kinsoku/>
              <w:overflowPunct/>
              <w:autoSpaceDE/>
              <w:autoSpaceDN/>
              <w:adjustRightInd/>
              <w:snapToGrid/>
              <w:rPr>
                <w:lang w:val="fr-FR" w:eastAsia="en-US"/>
              </w:rPr>
            </w:pPr>
            <w:r w:rsidRPr="00684533">
              <w:rPr>
                <w:lang w:val="fr-FR" w:eastAsia="en-US"/>
              </w:rPr>
              <w:lastRenderedPageBreak/>
              <w:t>ISO 9809-2:2019</w:t>
            </w:r>
          </w:p>
        </w:tc>
        <w:tc>
          <w:tcPr>
            <w:tcW w:w="4820" w:type="dxa"/>
            <w:shd w:val="clear" w:color="auto" w:fill="auto"/>
          </w:tcPr>
          <w:p w14:paraId="08191E02" w14:textId="77777777" w:rsidR="006F4C01" w:rsidRPr="00684533" w:rsidRDefault="006F4C01" w:rsidP="007B6FD6">
            <w:pPr>
              <w:kinsoku/>
              <w:overflowPunct/>
              <w:autoSpaceDE/>
              <w:autoSpaceDN/>
              <w:adjustRightInd/>
              <w:snapToGrid/>
              <w:jc w:val="both"/>
              <w:rPr>
                <w:iCs/>
                <w:color w:val="000000"/>
                <w:lang w:val="fr-FR" w:eastAsia="en-US"/>
              </w:rPr>
            </w:pPr>
            <w:r w:rsidRPr="00684533">
              <w:rPr>
                <w:iCs/>
                <w:color w:val="000000"/>
                <w:lang w:val="fr-FR" w:eastAsia="en-US"/>
              </w:rPr>
              <w:t>Bouteilles à gaz — Conception, construction et essais des bouteilles à gaz et des tubes rechargeables en acier sans soudure — Partie 2: Bouteilles et tubes en acier trempé et revenu ayant une résistance à la traction supérieure ou égale à 1 100 MPa</w:t>
            </w:r>
          </w:p>
        </w:tc>
        <w:tc>
          <w:tcPr>
            <w:tcW w:w="1275" w:type="dxa"/>
            <w:shd w:val="clear" w:color="auto" w:fill="auto"/>
          </w:tcPr>
          <w:p w14:paraId="46A0EE72" w14:textId="77777777" w:rsidR="006F4C01" w:rsidRPr="00684533" w:rsidRDefault="006F4C01" w:rsidP="007B6FD6">
            <w:pPr>
              <w:kinsoku/>
              <w:overflowPunct/>
              <w:autoSpaceDE/>
              <w:autoSpaceDN/>
              <w:adjustRightInd/>
              <w:snapToGrid/>
              <w:rPr>
                <w:rFonts w:eastAsiaTheme="minorHAnsi"/>
                <w:lang w:val="fr-FR" w:eastAsia="en-US"/>
              </w:rPr>
            </w:pPr>
            <w:r w:rsidRPr="00684533">
              <w:rPr>
                <w:rFonts w:eastAsiaTheme="minorHAnsi"/>
                <w:lang w:val="fr-FR" w:eastAsia="en-US"/>
              </w:rPr>
              <w:t>Jusqu’à nouvel ordre</w:t>
            </w:r>
          </w:p>
        </w:tc>
      </w:tr>
      <w:tr w:rsidR="006F4C01" w:rsidRPr="00684533" w14:paraId="30A802DB" w14:textId="77777777" w:rsidTr="007B6FD6">
        <w:tc>
          <w:tcPr>
            <w:tcW w:w="1544" w:type="dxa"/>
            <w:shd w:val="clear" w:color="auto" w:fill="auto"/>
          </w:tcPr>
          <w:p w14:paraId="3B2B2FAD" w14:textId="77777777" w:rsidR="006F4C01" w:rsidRPr="00684533" w:rsidRDefault="006F4C01" w:rsidP="007B6FD6">
            <w:pPr>
              <w:kinsoku/>
              <w:overflowPunct/>
              <w:autoSpaceDE/>
              <w:autoSpaceDN/>
              <w:adjustRightInd/>
              <w:snapToGrid/>
              <w:rPr>
                <w:lang w:val="fr-FR" w:eastAsia="en-US"/>
              </w:rPr>
            </w:pPr>
            <w:r w:rsidRPr="00684533">
              <w:rPr>
                <w:lang w:val="fr-FR" w:eastAsia="en-US"/>
              </w:rPr>
              <w:t xml:space="preserve">ISO 9809-3:2019 </w:t>
            </w:r>
          </w:p>
        </w:tc>
        <w:tc>
          <w:tcPr>
            <w:tcW w:w="4820" w:type="dxa"/>
            <w:shd w:val="clear" w:color="auto" w:fill="auto"/>
          </w:tcPr>
          <w:p w14:paraId="02D0D0ED"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3: Bouteilles et tubes en acier normalisé</w:t>
            </w:r>
          </w:p>
        </w:tc>
        <w:tc>
          <w:tcPr>
            <w:tcW w:w="1275" w:type="dxa"/>
            <w:shd w:val="clear" w:color="auto" w:fill="auto"/>
          </w:tcPr>
          <w:p w14:paraId="1FEBB5BE"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38826B51" w14:textId="77777777" w:rsidR="006F4C01" w:rsidRPr="00684533"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(Document de référence : document informel INF.57, propositions 1, 2</w:t>
      </w:r>
      <w:r>
        <w:rPr>
          <w:i/>
          <w:iCs/>
          <w:lang w:val="fr-FR" w:eastAsia="en-US"/>
        </w:rPr>
        <w:t xml:space="preserve"> and 3</w:t>
      </w:r>
      <w:r w:rsidRPr="00684533">
        <w:rPr>
          <w:i/>
          <w:iCs/>
          <w:lang w:val="fr-FR" w:eastAsia="en-US"/>
        </w:rPr>
        <w:t>)</w:t>
      </w:r>
    </w:p>
    <w:p w14:paraId="7E5BE182" w14:textId="77777777" w:rsidR="006F4C01" w:rsidRPr="00684533" w:rsidRDefault="006F4C01" w:rsidP="006F4C01">
      <w:pPr>
        <w:pStyle w:val="SingleTxtG"/>
        <w:ind w:left="2268" w:hanging="1134"/>
        <w:rPr>
          <w:lang w:val="fr-FR"/>
        </w:rPr>
      </w:pPr>
      <w:r w:rsidRPr="00684533">
        <w:rPr>
          <w:lang w:val="fr-FR" w:eastAsia="en-US"/>
        </w:rPr>
        <w:t>6.2.2.1.3</w:t>
      </w:r>
      <w:r w:rsidRPr="00684533">
        <w:rPr>
          <w:lang w:val="fr-FR" w:eastAsia="en-US"/>
        </w:rPr>
        <w:tab/>
      </w:r>
      <w:r w:rsidRPr="00684533">
        <w:rPr>
          <w:rFonts w:eastAsiaTheme="minorHAnsi"/>
          <w:lang w:val="fr-FR" w:eastAsia="en-US"/>
        </w:rPr>
        <w:t xml:space="preserve">Dans le premier tableau, pour « ISO 9809-1:2010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9809-1:2010</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196D620C" w14:textId="77777777" w:rsidTr="007B6FD6">
        <w:tc>
          <w:tcPr>
            <w:tcW w:w="1544" w:type="dxa"/>
            <w:shd w:val="clear" w:color="auto" w:fill="auto"/>
          </w:tcPr>
          <w:p w14:paraId="25E72553" w14:textId="77777777" w:rsidR="006F4C01" w:rsidRPr="00684533" w:rsidRDefault="006F4C01" w:rsidP="007B6FD6">
            <w:pPr>
              <w:kinsoku/>
              <w:overflowPunct/>
              <w:autoSpaceDE/>
              <w:autoSpaceDN/>
              <w:adjustRightInd/>
              <w:snapToGrid/>
              <w:rPr>
                <w:lang w:val="fr-FR" w:eastAsia="en-US"/>
              </w:rPr>
            </w:pPr>
            <w:r w:rsidRPr="00684533">
              <w:rPr>
                <w:lang w:val="fr-FR" w:eastAsia="en-US"/>
              </w:rPr>
              <w:t xml:space="preserve">ISO 9809-1:2019 </w:t>
            </w:r>
          </w:p>
        </w:tc>
        <w:tc>
          <w:tcPr>
            <w:tcW w:w="4820" w:type="dxa"/>
            <w:shd w:val="clear" w:color="auto" w:fill="auto"/>
          </w:tcPr>
          <w:p w14:paraId="2F8FA69D"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1: Bouteilles et tubes en acier trempé et revenu ayant une résistance à la traction inférieure à 1 100 MPa</w:t>
            </w:r>
          </w:p>
        </w:tc>
        <w:tc>
          <w:tcPr>
            <w:tcW w:w="1275" w:type="dxa"/>
            <w:shd w:val="clear" w:color="auto" w:fill="auto"/>
          </w:tcPr>
          <w:p w14:paraId="34F7971F"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14571B69" w14:textId="77777777" w:rsidR="006F4C01" w:rsidRPr="00684533" w:rsidRDefault="006F4C01" w:rsidP="006F4C01">
      <w:pPr>
        <w:pStyle w:val="SingleTxtG"/>
        <w:tabs>
          <w:tab w:val="left" w:pos="2268"/>
        </w:tabs>
        <w:spacing w:before="120"/>
        <w:ind w:left="2268" w:hanging="1134"/>
        <w:rPr>
          <w:lang w:val="fr-FR"/>
        </w:rPr>
      </w:pPr>
      <w:r w:rsidRPr="00684533">
        <w:rPr>
          <w:lang w:val="fr-FR" w:eastAsia="en-US"/>
        </w:rPr>
        <w:tab/>
      </w:r>
      <w:r w:rsidRPr="00684533">
        <w:rPr>
          <w:rFonts w:eastAsiaTheme="minorHAnsi"/>
          <w:lang w:val="fr-FR" w:eastAsia="en-US"/>
        </w:rPr>
        <w:t xml:space="preserve">Dans le premier tableau, pour « ISO 9809-3:2010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9809-3:2010</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07CCEAE7" w14:textId="77777777" w:rsidTr="007B6FD6">
        <w:tc>
          <w:tcPr>
            <w:tcW w:w="1544" w:type="dxa"/>
            <w:shd w:val="clear" w:color="auto" w:fill="auto"/>
          </w:tcPr>
          <w:p w14:paraId="6CC355B2" w14:textId="77777777" w:rsidR="006F4C01" w:rsidRPr="00684533" w:rsidRDefault="006F4C01" w:rsidP="007B6FD6">
            <w:pPr>
              <w:kinsoku/>
              <w:overflowPunct/>
              <w:autoSpaceDE/>
              <w:autoSpaceDN/>
              <w:adjustRightInd/>
              <w:snapToGrid/>
              <w:rPr>
                <w:lang w:val="fr-FR" w:eastAsia="en-US"/>
              </w:rPr>
            </w:pPr>
            <w:r w:rsidRPr="00684533">
              <w:rPr>
                <w:lang w:val="fr-FR" w:eastAsia="en-US"/>
              </w:rPr>
              <w:t xml:space="preserve">ISO 9809-3:2019 </w:t>
            </w:r>
          </w:p>
        </w:tc>
        <w:tc>
          <w:tcPr>
            <w:tcW w:w="4820" w:type="dxa"/>
            <w:shd w:val="clear" w:color="auto" w:fill="auto"/>
          </w:tcPr>
          <w:p w14:paraId="1CBB839B"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3: Bouteilles et tubes en acier normalisé</w:t>
            </w:r>
          </w:p>
        </w:tc>
        <w:tc>
          <w:tcPr>
            <w:tcW w:w="1275" w:type="dxa"/>
            <w:shd w:val="clear" w:color="auto" w:fill="auto"/>
          </w:tcPr>
          <w:p w14:paraId="60B48130"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5B5C58F0" w14:textId="77777777" w:rsidR="006F4C01" w:rsidRPr="00684533"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 xml:space="preserve"> (Document de référence : document informel INF.57, propositions 1 et 3)</w:t>
      </w:r>
    </w:p>
    <w:p w14:paraId="00CCD1CC" w14:textId="77777777" w:rsidR="006F4C01" w:rsidRPr="00684533" w:rsidRDefault="006F4C01" w:rsidP="006F4C01">
      <w:pPr>
        <w:pStyle w:val="SingleTxtG"/>
        <w:ind w:left="2268" w:hanging="1134"/>
        <w:rPr>
          <w:lang w:val="fr-FR"/>
        </w:rPr>
      </w:pPr>
      <w:r w:rsidRPr="00684533">
        <w:rPr>
          <w:lang w:val="fr-FR" w:eastAsia="en-US"/>
        </w:rPr>
        <w:t>6.2.2.1.4</w:t>
      </w:r>
      <w:r w:rsidRPr="00684533">
        <w:rPr>
          <w:lang w:val="fr-FR" w:eastAsia="en-US"/>
        </w:rPr>
        <w:tab/>
      </w:r>
      <w:r w:rsidRPr="00684533">
        <w:rPr>
          <w:rFonts w:eastAsiaTheme="minorHAnsi"/>
          <w:lang w:val="fr-FR" w:eastAsia="en-US"/>
        </w:rPr>
        <w:t xml:space="preserve">Dans le tableau, pour « ISO 21029-1:2004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21029-1:2004</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020078CD" w14:textId="77777777" w:rsidTr="007B6FD6">
        <w:tc>
          <w:tcPr>
            <w:tcW w:w="1544" w:type="dxa"/>
            <w:shd w:val="clear" w:color="auto" w:fill="auto"/>
          </w:tcPr>
          <w:p w14:paraId="4C993415"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21029-1:2018 + Amd.1:2019</w:t>
            </w:r>
          </w:p>
        </w:tc>
        <w:tc>
          <w:tcPr>
            <w:tcW w:w="4820" w:type="dxa"/>
            <w:shd w:val="clear" w:color="auto" w:fill="auto"/>
          </w:tcPr>
          <w:p w14:paraId="2C6FF395"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Récipients cryogéniques — Récipients transportables, isolés sous vide, d'un volume n'excédant pas 1 000 litres — Partie 1: Conception, fabrication, inspection et essais</w:t>
            </w:r>
          </w:p>
        </w:tc>
        <w:tc>
          <w:tcPr>
            <w:tcW w:w="1275" w:type="dxa"/>
            <w:shd w:val="clear" w:color="auto" w:fill="auto"/>
          </w:tcPr>
          <w:p w14:paraId="5DE053EC"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672711CF" w14:textId="77777777" w:rsidR="006F4C01" w:rsidRPr="00684533"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(Document de référence : document informel INF.57, proposition 4)</w:t>
      </w:r>
    </w:p>
    <w:p w14:paraId="60E31B06" w14:textId="77777777" w:rsidR="006F4C01" w:rsidRPr="00684533" w:rsidRDefault="006F4C01" w:rsidP="006F4C01">
      <w:pPr>
        <w:pStyle w:val="SingleTxtG"/>
        <w:ind w:left="2268" w:hanging="1134"/>
        <w:rPr>
          <w:lang w:val="fr-FR"/>
        </w:rPr>
      </w:pPr>
      <w:r w:rsidRPr="00684533">
        <w:rPr>
          <w:lang w:val="fr-FR" w:eastAsia="en-US"/>
        </w:rPr>
        <w:t>6.2.2.1.5</w:t>
      </w:r>
      <w:r w:rsidRPr="00684533">
        <w:rPr>
          <w:lang w:val="fr-FR" w:eastAsia="en-US"/>
        </w:rPr>
        <w:tab/>
      </w:r>
      <w:r w:rsidRPr="00684533">
        <w:rPr>
          <w:rFonts w:eastAsiaTheme="minorHAnsi"/>
          <w:lang w:val="fr-FR" w:eastAsia="en-US"/>
        </w:rPr>
        <w:t xml:space="preserve">Dans le tableau, pour « ISO 16111:2008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16111:2008</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2BF598E9" w14:textId="77777777" w:rsidTr="007B6FD6">
        <w:tc>
          <w:tcPr>
            <w:tcW w:w="1544" w:type="dxa"/>
            <w:shd w:val="clear" w:color="auto" w:fill="auto"/>
          </w:tcPr>
          <w:p w14:paraId="0390AA72"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16111:2018</w:t>
            </w:r>
          </w:p>
        </w:tc>
        <w:tc>
          <w:tcPr>
            <w:tcW w:w="4820" w:type="dxa"/>
            <w:shd w:val="clear" w:color="auto" w:fill="auto"/>
          </w:tcPr>
          <w:p w14:paraId="5FE79527"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Appareils de stockage de gaz transportables — Hydrogène absorbé dans un hydrure métallique réversible</w:t>
            </w:r>
          </w:p>
        </w:tc>
        <w:tc>
          <w:tcPr>
            <w:tcW w:w="1275" w:type="dxa"/>
            <w:shd w:val="clear" w:color="auto" w:fill="auto"/>
          </w:tcPr>
          <w:p w14:paraId="5251ECC8"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07F7FDD6" w14:textId="77777777" w:rsidR="006F4C01" w:rsidRPr="00684533"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(Document de référence : document informel INF.57, proposition 5)</w:t>
      </w:r>
    </w:p>
    <w:p w14:paraId="4FD1B064" w14:textId="77777777" w:rsidR="006F4C01" w:rsidRPr="00684533" w:rsidRDefault="006F4C01" w:rsidP="006F4C01">
      <w:pPr>
        <w:pStyle w:val="SingleTxtG"/>
        <w:ind w:left="2268" w:hanging="1134"/>
        <w:rPr>
          <w:lang w:val="fr-FR"/>
        </w:rPr>
      </w:pPr>
      <w:r w:rsidRPr="00684533">
        <w:rPr>
          <w:lang w:val="fr-FR" w:eastAsia="en-US"/>
        </w:rPr>
        <w:t>6.2.2.1.6</w:t>
      </w:r>
      <w:r w:rsidRPr="00684533">
        <w:rPr>
          <w:lang w:val="fr-FR" w:eastAsia="en-US"/>
        </w:rPr>
        <w:tab/>
      </w:r>
      <w:r w:rsidRPr="00684533">
        <w:rPr>
          <w:rFonts w:eastAsiaTheme="minorHAnsi"/>
          <w:lang w:val="fr-FR" w:eastAsia="en-US"/>
        </w:rPr>
        <w:t xml:space="preserve">Dans le tableau, pour « ISO 10961:2010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10961:2010</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0AD4781F" w14:textId="77777777" w:rsidTr="007B6FD6">
        <w:tc>
          <w:tcPr>
            <w:tcW w:w="1544" w:type="dxa"/>
            <w:shd w:val="clear" w:color="auto" w:fill="auto"/>
          </w:tcPr>
          <w:p w14:paraId="3A68C844"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10961:</w:t>
            </w:r>
            <w:r>
              <w:rPr>
                <w:lang w:val="fr-FR" w:eastAsia="en-US"/>
              </w:rPr>
              <w:t>2019</w:t>
            </w:r>
          </w:p>
        </w:tc>
        <w:tc>
          <w:tcPr>
            <w:tcW w:w="4820" w:type="dxa"/>
            <w:shd w:val="clear" w:color="auto" w:fill="auto"/>
          </w:tcPr>
          <w:p w14:paraId="60D7ADAC"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Cadres de bouteilles — Conception, fabrication, essais et inspection</w:t>
            </w:r>
          </w:p>
        </w:tc>
        <w:tc>
          <w:tcPr>
            <w:tcW w:w="1275" w:type="dxa"/>
            <w:shd w:val="clear" w:color="auto" w:fill="auto"/>
          </w:tcPr>
          <w:p w14:paraId="4D2E7893"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1410F323" w14:textId="77777777" w:rsidR="006F4C01" w:rsidRPr="00684533"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(Document de référence : document informel INF.57, proposition 6)</w:t>
      </w:r>
    </w:p>
    <w:p w14:paraId="01560198" w14:textId="77777777" w:rsidR="00134650" w:rsidRDefault="00134650">
      <w:pPr>
        <w:suppressAutoHyphens w:val="0"/>
        <w:kinsoku/>
        <w:overflowPunct/>
        <w:autoSpaceDE/>
        <w:autoSpaceDN/>
        <w:adjustRightInd/>
        <w:snapToGrid/>
        <w:spacing w:after="200" w:line="276" w:lineRule="auto"/>
        <w:rPr>
          <w:lang w:val="fr-FR" w:eastAsia="en-US"/>
        </w:rPr>
      </w:pPr>
      <w:r>
        <w:rPr>
          <w:lang w:val="fr-FR" w:eastAsia="en-US"/>
        </w:rPr>
        <w:br w:type="page"/>
      </w:r>
    </w:p>
    <w:p w14:paraId="694C5031" w14:textId="206943AD" w:rsidR="006F4C01" w:rsidRPr="00684533" w:rsidRDefault="006F4C01" w:rsidP="006F4C01">
      <w:pPr>
        <w:pStyle w:val="SingleTxtG"/>
        <w:ind w:left="2268" w:hanging="1134"/>
        <w:rPr>
          <w:lang w:val="fr-FR"/>
        </w:rPr>
      </w:pPr>
      <w:r w:rsidRPr="00684533">
        <w:rPr>
          <w:lang w:val="fr-FR" w:eastAsia="en-US"/>
        </w:rPr>
        <w:lastRenderedPageBreak/>
        <w:t>6.2.2.1.7</w:t>
      </w:r>
      <w:r w:rsidRPr="00684533">
        <w:rPr>
          <w:lang w:val="fr-FR" w:eastAsia="en-US"/>
        </w:rPr>
        <w:tab/>
      </w:r>
      <w:r w:rsidRPr="00684533">
        <w:rPr>
          <w:rFonts w:eastAsiaTheme="minorHAnsi"/>
          <w:lang w:val="fr-FR" w:eastAsia="en-US"/>
        </w:rPr>
        <w:t xml:space="preserve">Dans le tableau, pour « ISO 9809-1:2010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9809-1:2010</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0C13FCFD" w14:textId="77777777" w:rsidTr="007B6FD6">
        <w:tc>
          <w:tcPr>
            <w:tcW w:w="1544" w:type="dxa"/>
            <w:shd w:val="clear" w:color="auto" w:fill="auto"/>
          </w:tcPr>
          <w:p w14:paraId="2FAD56C5" w14:textId="77777777" w:rsidR="006F4C01" w:rsidRPr="00684533" w:rsidRDefault="006F4C01" w:rsidP="007B6FD6">
            <w:pPr>
              <w:kinsoku/>
              <w:overflowPunct/>
              <w:autoSpaceDE/>
              <w:autoSpaceDN/>
              <w:adjustRightInd/>
              <w:snapToGrid/>
              <w:rPr>
                <w:lang w:val="fr-FR" w:eastAsia="en-US"/>
              </w:rPr>
            </w:pPr>
            <w:r w:rsidRPr="00684533">
              <w:rPr>
                <w:lang w:val="fr-FR" w:eastAsia="en-US"/>
              </w:rPr>
              <w:t xml:space="preserve">ISO 9809-1:2019 </w:t>
            </w:r>
          </w:p>
        </w:tc>
        <w:tc>
          <w:tcPr>
            <w:tcW w:w="4820" w:type="dxa"/>
            <w:shd w:val="clear" w:color="auto" w:fill="auto"/>
          </w:tcPr>
          <w:p w14:paraId="27E69DC8"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Conception, construction et essais des bouteilles à gaz et des tubes rechargeables en acier sans soudure — Partie 1: Bouteilles et tubes en acier trempé et revenu ayant une résistance à la traction inférieure à 1 100 MPa</w:t>
            </w:r>
          </w:p>
        </w:tc>
        <w:tc>
          <w:tcPr>
            <w:tcW w:w="1275" w:type="dxa"/>
            <w:shd w:val="clear" w:color="auto" w:fill="auto"/>
          </w:tcPr>
          <w:p w14:paraId="553FCFCE"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75DD1FA4" w14:textId="77777777" w:rsidR="006F4C01" w:rsidRPr="00684533" w:rsidRDefault="006F4C01" w:rsidP="006F4C01">
      <w:pPr>
        <w:pStyle w:val="SingleTxtG"/>
        <w:tabs>
          <w:tab w:val="left" w:pos="2268"/>
        </w:tabs>
        <w:spacing w:before="120"/>
        <w:ind w:left="2268" w:hanging="1134"/>
        <w:rPr>
          <w:lang w:val="fr-FR"/>
        </w:rPr>
      </w:pPr>
      <w:r w:rsidRPr="00684533">
        <w:rPr>
          <w:lang w:val="fr-FR" w:eastAsia="en-US"/>
        </w:rPr>
        <w:tab/>
      </w:r>
      <w:r w:rsidRPr="00684533">
        <w:rPr>
          <w:lang w:val="fr-FR" w:eastAsia="en-US"/>
        </w:rPr>
        <w:tab/>
      </w:r>
      <w:r w:rsidRPr="00684533">
        <w:rPr>
          <w:rFonts w:eastAsiaTheme="minorHAnsi"/>
          <w:lang w:val="fr-FR" w:eastAsia="en-US"/>
        </w:rPr>
        <w:t xml:space="preserve">Dans le tableau, pour « ISO 11513:2011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11513:2011 </w:t>
      </w:r>
      <w:r w:rsidRPr="00684533">
        <w:rPr>
          <w:lang w:val="fr-FR"/>
        </w:rPr>
        <w:t>»,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1DBC8FB4" w14:textId="77777777" w:rsidTr="007B6FD6">
        <w:tc>
          <w:tcPr>
            <w:tcW w:w="1544" w:type="dxa"/>
            <w:shd w:val="clear" w:color="auto" w:fill="auto"/>
          </w:tcPr>
          <w:p w14:paraId="3F13DD73"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11513:2019</w:t>
            </w:r>
          </w:p>
        </w:tc>
        <w:tc>
          <w:tcPr>
            <w:tcW w:w="4820" w:type="dxa"/>
            <w:shd w:val="clear" w:color="auto" w:fill="auto"/>
          </w:tcPr>
          <w:p w14:paraId="78235CD1"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 xml:space="preserve">Bouteilles à gaz — Bouteilles en acier soudées rechargeables contenant des matériaux pour le stockage des gaz à une pression </w:t>
            </w:r>
            <w:proofErr w:type="spellStart"/>
            <w:r w:rsidRPr="00684533">
              <w:rPr>
                <w:iCs/>
                <w:color w:val="000000"/>
                <w:lang w:val="fr-FR" w:eastAsia="en-US"/>
              </w:rPr>
              <w:t>sub</w:t>
            </w:r>
            <w:proofErr w:type="spellEnd"/>
            <w:r w:rsidRPr="00684533">
              <w:rPr>
                <w:iCs/>
                <w:color w:val="000000"/>
                <w:lang w:val="fr-FR" w:eastAsia="en-US"/>
              </w:rPr>
              <w:t>-atmosphérique (à l'exclusion de l'acétylène) — Conception, fabrication, essais, utilisation et contrôle périodique</w:t>
            </w:r>
          </w:p>
        </w:tc>
        <w:tc>
          <w:tcPr>
            <w:tcW w:w="1275" w:type="dxa"/>
            <w:shd w:val="clear" w:color="auto" w:fill="auto"/>
          </w:tcPr>
          <w:p w14:paraId="7FACA82C"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65E1BFA2" w14:textId="77777777" w:rsidR="006F4C01" w:rsidRPr="00684533"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(Document de référence : document informel INF.57, propositions 1 et 7)</w:t>
      </w:r>
    </w:p>
    <w:p w14:paraId="2081A27D" w14:textId="77777777" w:rsidR="006F4C01" w:rsidRPr="00684533" w:rsidRDefault="006F4C01" w:rsidP="006F4C01">
      <w:pPr>
        <w:pStyle w:val="SingleTxtG"/>
        <w:ind w:left="2268" w:hanging="1134"/>
        <w:rPr>
          <w:lang w:val="fr-FR"/>
        </w:rPr>
      </w:pPr>
      <w:r w:rsidRPr="00684533">
        <w:rPr>
          <w:lang w:val="fr-FR" w:eastAsia="en-US"/>
        </w:rPr>
        <w:t>6.2.2.3</w:t>
      </w:r>
      <w:r w:rsidRPr="00684533">
        <w:rPr>
          <w:lang w:val="fr-FR" w:eastAsia="en-US"/>
        </w:rPr>
        <w:tab/>
      </w:r>
      <w:r w:rsidRPr="00684533">
        <w:rPr>
          <w:lang w:val="fr-FR" w:eastAsia="en-US"/>
        </w:rPr>
        <w:tab/>
      </w:r>
      <w:r w:rsidRPr="00684533">
        <w:rPr>
          <w:rFonts w:eastAsiaTheme="minorHAnsi"/>
          <w:lang w:val="fr-FR" w:eastAsia="en-US"/>
        </w:rPr>
        <w:t xml:space="preserve">Dans le premier tableau, pour « ISO 11117:2008 + Cor.1:2009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11117:2008 + Cor.1:2009</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50E6CDDC" w14:textId="77777777" w:rsidTr="007B6FD6">
        <w:tc>
          <w:tcPr>
            <w:tcW w:w="1544" w:type="dxa"/>
            <w:shd w:val="clear" w:color="auto" w:fill="auto"/>
          </w:tcPr>
          <w:p w14:paraId="284359D2"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11117:2019</w:t>
            </w:r>
          </w:p>
        </w:tc>
        <w:tc>
          <w:tcPr>
            <w:tcW w:w="4820" w:type="dxa"/>
            <w:shd w:val="clear" w:color="auto" w:fill="auto"/>
          </w:tcPr>
          <w:p w14:paraId="3AD9A0E9"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Chapeaux fermés et chapeaux ouverts de protection des robinets — Conception, construction et essais</w:t>
            </w:r>
          </w:p>
        </w:tc>
        <w:tc>
          <w:tcPr>
            <w:tcW w:w="1275" w:type="dxa"/>
            <w:shd w:val="clear" w:color="auto" w:fill="auto"/>
          </w:tcPr>
          <w:p w14:paraId="49FED965"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4174466A" w14:textId="77777777" w:rsidR="006F4C01" w:rsidRPr="00684533" w:rsidRDefault="006F4C01" w:rsidP="006F4C01">
      <w:pPr>
        <w:pStyle w:val="SingleTxtG"/>
        <w:spacing w:before="120"/>
        <w:ind w:left="2268" w:hanging="1134"/>
        <w:rPr>
          <w:rFonts w:eastAsiaTheme="minorHAnsi"/>
          <w:lang w:val="fr-FR" w:eastAsia="en-US"/>
        </w:rPr>
      </w:pPr>
      <w:r w:rsidRPr="00684533">
        <w:rPr>
          <w:lang w:val="fr-FR" w:eastAsia="en-US"/>
        </w:rPr>
        <w:tab/>
      </w:r>
      <w:r w:rsidRPr="00684533">
        <w:rPr>
          <w:lang w:val="fr-FR" w:eastAsia="en-US"/>
        </w:rPr>
        <w:tab/>
      </w:r>
      <w:r w:rsidRPr="00684533">
        <w:rPr>
          <w:rFonts w:eastAsiaTheme="minorHAnsi"/>
          <w:lang w:val="fr-FR" w:eastAsia="en-US"/>
        </w:rPr>
        <w:t xml:space="preserve">Dans le premier tableau, pour « ISO 17871:2015 », dans la colonne « Applicable à la fabrication », remplacer « Jusqu’à nouvel ordre » par « Jusqu’au 31 décembre 2026 ». Dans la colonne « Titre », ajouter le nouveau Nota suivant sous le titre : </w:t>
      </w:r>
    </w:p>
    <w:p w14:paraId="24BE3404" w14:textId="77777777" w:rsidR="006F4C01" w:rsidRPr="00684533" w:rsidRDefault="006F4C01" w:rsidP="006F4C01">
      <w:pPr>
        <w:pStyle w:val="SingleTxtG"/>
        <w:spacing w:before="120"/>
        <w:rPr>
          <w:rFonts w:eastAsiaTheme="minorHAnsi"/>
          <w:lang w:val="fr-FR" w:eastAsia="en-US"/>
        </w:rPr>
      </w:pPr>
      <w:r w:rsidRPr="00684533">
        <w:rPr>
          <w:rFonts w:eastAsiaTheme="minorHAnsi"/>
          <w:lang w:val="fr-FR" w:eastAsia="en-US"/>
        </w:rPr>
        <w:t>« </w:t>
      </w:r>
      <w:r w:rsidRPr="00684533">
        <w:rPr>
          <w:rFonts w:eastAsiaTheme="minorHAnsi"/>
          <w:b/>
          <w:bCs/>
          <w:i/>
          <w:iCs/>
          <w:lang w:val="fr-FR" w:eastAsia="en-US"/>
        </w:rPr>
        <w:t>NOTA :</w:t>
      </w:r>
      <w:r w:rsidRPr="00684533">
        <w:rPr>
          <w:rFonts w:eastAsiaTheme="minorHAnsi"/>
          <w:i/>
          <w:iCs/>
          <w:lang w:val="fr-FR" w:eastAsia="en-US"/>
        </w:rPr>
        <w:t xml:space="preserve"> Cette norme ne doit pas être utilisée pour les gaz inflammables.</w:t>
      </w:r>
      <w:r w:rsidRPr="00684533">
        <w:rPr>
          <w:rFonts w:eastAsiaTheme="minorHAnsi"/>
          <w:lang w:val="fr-FR" w:eastAsia="en-US"/>
        </w:rPr>
        <w:t> »</w:t>
      </w:r>
    </w:p>
    <w:p w14:paraId="2FDE3952" w14:textId="77777777" w:rsidR="006F4C01" w:rsidRPr="00684533" w:rsidRDefault="006F4C01" w:rsidP="006F4C01">
      <w:pPr>
        <w:pStyle w:val="SingleTxtG"/>
        <w:tabs>
          <w:tab w:val="left" w:pos="2268"/>
        </w:tabs>
        <w:spacing w:before="120"/>
        <w:ind w:left="2268" w:hanging="1134"/>
        <w:rPr>
          <w:lang w:val="fr-FR"/>
        </w:rPr>
      </w:pPr>
      <w:r w:rsidRPr="00684533">
        <w:rPr>
          <w:lang w:val="fr-FR"/>
        </w:rPr>
        <w:tab/>
        <w:t>Après la rubrique existante pour la norme « </w:t>
      </w:r>
      <w:r w:rsidRPr="00684533">
        <w:rPr>
          <w:rFonts w:eastAsiaTheme="minorHAnsi"/>
          <w:lang w:val="fr-FR" w:eastAsia="en-US"/>
        </w:rPr>
        <w:t>17871:2015</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658B1C33" w14:textId="77777777" w:rsidTr="007B6FD6">
        <w:tc>
          <w:tcPr>
            <w:tcW w:w="1544" w:type="dxa"/>
            <w:shd w:val="clear" w:color="auto" w:fill="auto"/>
          </w:tcPr>
          <w:p w14:paraId="7B49DDA5"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17871:2020</w:t>
            </w:r>
          </w:p>
        </w:tc>
        <w:tc>
          <w:tcPr>
            <w:tcW w:w="4820" w:type="dxa"/>
            <w:shd w:val="clear" w:color="auto" w:fill="auto"/>
          </w:tcPr>
          <w:p w14:paraId="5BC9017E"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Robinets de bouteilles à ouverture rapide — Spécifications et essais de type</w:t>
            </w:r>
          </w:p>
        </w:tc>
        <w:tc>
          <w:tcPr>
            <w:tcW w:w="1275" w:type="dxa"/>
            <w:shd w:val="clear" w:color="auto" w:fill="auto"/>
          </w:tcPr>
          <w:p w14:paraId="494B3708"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24C5B8C1" w14:textId="77777777" w:rsidR="006F4C01" w:rsidRPr="00684533" w:rsidRDefault="006F4C01" w:rsidP="006F4C01">
      <w:pPr>
        <w:pStyle w:val="SingleTxtG"/>
        <w:tabs>
          <w:tab w:val="left" w:pos="2268"/>
        </w:tabs>
        <w:spacing w:before="120"/>
        <w:ind w:left="2268" w:hanging="1134"/>
        <w:rPr>
          <w:lang w:val="fr-FR"/>
        </w:rPr>
      </w:pPr>
      <w:r w:rsidRPr="00684533">
        <w:rPr>
          <w:rFonts w:eastAsiaTheme="minorHAnsi"/>
          <w:lang w:val="fr-FR" w:eastAsia="en-US"/>
        </w:rPr>
        <w:tab/>
        <w:t xml:space="preserve">Dans le deuxième tableau, pour « ISO 16111:2008 », dans la colonne « Applicable à la fabrication », remplacer « Jusqu’à nouvel ordre » par « Jusqu’au 31 décembre 2026 ». </w:t>
      </w:r>
      <w:r w:rsidRPr="00684533">
        <w:rPr>
          <w:lang w:val="fr-FR"/>
        </w:rPr>
        <w:t>Après la rubrique existante pour la norme « </w:t>
      </w:r>
      <w:r w:rsidRPr="00684533">
        <w:rPr>
          <w:rFonts w:eastAsiaTheme="minorHAnsi"/>
          <w:lang w:val="fr-FR" w:eastAsia="en-US"/>
        </w:rPr>
        <w:t>ISO 16111:2008</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70A1BE49" w14:textId="77777777" w:rsidTr="007B6FD6">
        <w:tc>
          <w:tcPr>
            <w:tcW w:w="1544" w:type="dxa"/>
            <w:shd w:val="clear" w:color="auto" w:fill="auto"/>
          </w:tcPr>
          <w:p w14:paraId="504D90FD"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16111:2018</w:t>
            </w:r>
          </w:p>
        </w:tc>
        <w:tc>
          <w:tcPr>
            <w:tcW w:w="4820" w:type="dxa"/>
            <w:shd w:val="clear" w:color="auto" w:fill="auto"/>
          </w:tcPr>
          <w:p w14:paraId="4AC021AF"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Appareils de stockage de gaz transportables — Hydrogène absorbé dans un hydrure métallique réversible</w:t>
            </w:r>
          </w:p>
        </w:tc>
        <w:tc>
          <w:tcPr>
            <w:tcW w:w="1275" w:type="dxa"/>
            <w:shd w:val="clear" w:color="auto" w:fill="auto"/>
          </w:tcPr>
          <w:p w14:paraId="47D9265E"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080DE412" w14:textId="77777777" w:rsidR="006F4C01" w:rsidRPr="00684533" w:rsidRDefault="006F4C01" w:rsidP="006F4C01">
      <w:pPr>
        <w:kinsoku/>
        <w:overflowPunct/>
        <w:autoSpaceDE/>
        <w:autoSpaceDN/>
        <w:adjustRightInd/>
        <w:snapToGrid/>
        <w:spacing w:before="120" w:after="120"/>
        <w:ind w:left="1134" w:right="1134"/>
        <w:jc w:val="both"/>
        <w:rPr>
          <w:lang w:val="fr-FR" w:eastAsia="en-US"/>
        </w:rPr>
      </w:pPr>
      <w:r w:rsidRPr="00684533">
        <w:rPr>
          <w:i/>
          <w:iCs/>
          <w:lang w:val="fr-FR" w:eastAsia="en-US"/>
        </w:rPr>
        <w:t>(Document de référence : document informel INF.57, propositions 9 et 10 et amendement de conséquence)</w:t>
      </w:r>
    </w:p>
    <w:p w14:paraId="17F3293C" w14:textId="77777777" w:rsidR="006F4C01" w:rsidRPr="00684533" w:rsidRDefault="006F4C01" w:rsidP="006F4C01">
      <w:pPr>
        <w:pStyle w:val="SingleTxtG"/>
        <w:tabs>
          <w:tab w:val="left" w:pos="2268"/>
        </w:tabs>
        <w:spacing w:before="120"/>
        <w:ind w:left="2268" w:hanging="1134"/>
        <w:rPr>
          <w:lang w:val="fr-FR"/>
        </w:rPr>
      </w:pPr>
      <w:r w:rsidRPr="00684533">
        <w:rPr>
          <w:lang w:val="fr-FR" w:eastAsia="en-US"/>
        </w:rPr>
        <w:t>6.2.2.4</w:t>
      </w:r>
      <w:r w:rsidRPr="00684533">
        <w:rPr>
          <w:lang w:val="fr-FR" w:eastAsia="en-US"/>
        </w:rPr>
        <w:tab/>
      </w:r>
      <w:r w:rsidRPr="00684533">
        <w:rPr>
          <w:lang w:val="fr-FR" w:eastAsia="en-US"/>
        </w:rPr>
        <w:tab/>
      </w:r>
      <w:r w:rsidRPr="00684533">
        <w:rPr>
          <w:rFonts w:eastAsiaTheme="minorHAnsi"/>
          <w:lang w:val="fr-FR" w:eastAsia="en-US"/>
        </w:rPr>
        <w:t xml:space="preserve">Dans le premier tableau, pour « ISO 11513:2011 », dans la colonne « Applicable à la fabrication », remplacer « Jusqu’à nouvel ordre » par « Jusqu’au 31 décembre 2024 ». </w:t>
      </w:r>
      <w:r w:rsidRPr="00684533">
        <w:rPr>
          <w:lang w:val="fr-FR"/>
        </w:rPr>
        <w:t>Après la rubrique existante pour la norme « </w:t>
      </w:r>
      <w:r w:rsidRPr="00684533">
        <w:rPr>
          <w:rFonts w:eastAsiaTheme="minorHAnsi"/>
          <w:lang w:val="fr-FR" w:eastAsia="en-US"/>
        </w:rPr>
        <w:t>ISO 11513:2011 </w:t>
      </w:r>
      <w:r w:rsidRPr="00684533">
        <w:rPr>
          <w:lang w:val="fr-FR"/>
        </w:rPr>
        <w:t>»,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6001D54F" w14:textId="77777777" w:rsidTr="007B6FD6">
        <w:tc>
          <w:tcPr>
            <w:tcW w:w="1544" w:type="dxa"/>
            <w:shd w:val="clear" w:color="auto" w:fill="auto"/>
          </w:tcPr>
          <w:p w14:paraId="66819A18" w14:textId="77777777" w:rsidR="006F4C01" w:rsidRPr="00684533" w:rsidRDefault="006F4C01" w:rsidP="00134650">
            <w:pPr>
              <w:keepNext/>
              <w:keepLines/>
              <w:kinsoku/>
              <w:overflowPunct/>
              <w:autoSpaceDE/>
              <w:autoSpaceDN/>
              <w:adjustRightInd/>
              <w:snapToGrid/>
              <w:rPr>
                <w:lang w:val="fr-FR" w:eastAsia="en-US"/>
              </w:rPr>
            </w:pPr>
            <w:r w:rsidRPr="00684533">
              <w:rPr>
                <w:lang w:val="fr-FR" w:eastAsia="en-US"/>
              </w:rPr>
              <w:lastRenderedPageBreak/>
              <w:t>ISO 11513:2019</w:t>
            </w:r>
          </w:p>
        </w:tc>
        <w:tc>
          <w:tcPr>
            <w:tcW w:w="4820" w:type="dxa"/>
            <w:shd w:val="clear" w:color="auto" w:fill="auto"/>
          </w:tcPr>
          <w:p w14:paraId="15016682" w14:textId="77777777" w:rsidR="006F4C01" w:rsidRPr="00684533" w:rsidRDefault="006F4C01" w:rsidP="00134650">
            <w:pPr>
              <w:keepNext/>
              <w:keepLines/>
              <w:kinsoku/>
              <w:overflowPunct/>
              <w:autoSpaceDE/>
              <w:autoSpaceDN/>
              <w:adjustRightInd/>
              <w:snapToGrid/>
              <w:jc w:val="both"/>
              <w:rPr>
                <w:lang w:val="fr-FR" w:eastAsia="en-US"/>
              </w:rPr>
            </w:pPr>
            <w:r w:rsidRPr="00684533">
              <w:rPr>
                <w:iCs/>
                <w:color w:val="000000"/>
                <w:lang w:val="fr-FR" w:eastAsia="en-US"/>
              </w:rPr>
              <w:t xml:space="preserve">Bouteilles à gaz — Bouteilles en acier soudées rechargeables contenant des matériaux pour le stockage des gaz à une pression </w:t>
            </w:r>
            <w:proofErr w:type="spellStart"/>
            <w:r w:rsidRPr="00684533">
              <w:rPr>
                <w:iCs/>
                <w:color w:val="000000"/>
                <w:lang w:val="fr-FR" w:eastAsia="en-US"/>
              </w:rPr>
              <w:t>sub</w:t>
            </w:r>
            <w:proofErr w:type="spellEnd"/>
            <w:r w:rsidRPr="00684533">
              <w:rPr>
                <w:iCs/>
                <w:color w:val="000000"/>
                <w:lang w:val="fr-FR" w:eastAsia="en-US"/>
              </w:rPr>
              <w:t>-atmosphérique (à l'exclusion de l'acétylène) — Conception, fabrication, essais, utilisation et contrôle périodique</w:t>
            </w:r>
          </w:p>
        </w:tc>
        <w:tc>
          <w:tcPr>
            <w:tcW w:w="1275" w:type="dxa"/>
            <w:shd w:val="clear" w:color="auto" w:fill="auto"/>
          </w:tcPr>
          <w:p w14:paraId="71C65042" w14:textId="77777777" w:rsidR="006F4C01" w:rsidRPr="00684533" w:rsidRDefault="006F4C01" w:rsidP="00134650">
            <w:pPr>
              <w:keepNext/>
              <w:keepLines/>
              <w:kinsoku/>
              <w:overflowPunct/>
              <w:autoSpaceDE/>
              <w:autoSpaceDN/>
              <w:adjustRightInd/>
              <w:snapToGrid/>
              <w:rPr>
                <w:lang w:val="fr-FR" w:eastAsia="en-US"/>
              </w:rPr>
            </w:pPr>
            <w:r w:rsidRPr="00684533">
              <w:rPr>
                <w:rFonts w:eastAsiaTheme="minorHAnsi"/>
                <w:lang w:val="fr-FR" w:eastAsia="en-US"/>
              </w:rPr>
              <w:t>Jusqu’à nouvel ordre</w:t>
            </w:r>
          </w:p>
        </w:tc>
      </w:tr>
    </w:tbl>
    <w:p w14:paraId="41610FBD" w14:textId="77777777" w:rsidR="006F4C01" w:rsidRPr="00684533" w:rsidRDefault="006F4C01" w:rsidP="006F4C01">
      <w:pPr>
        <w:pStyle w:val="SingleTxtG"/>
        <w:spacing w:before="120"/>
        <w:ind w:left="2268" w:hanging="1134"/>
        <w:rPr>
          <w:lang w:val="fr-FR"/>
        </w:rPr>
      </w:pPr>
      <w:r w:rsidRPr="00684533">
        <w:rPr>
          <w:rFonts w:eastAsiaTheme="minorHAnsi"/>
          <w:lang w:val="fr-FR" w:eastAsia="en-US"/>
        </w:rPr>
        <w:tab/>
      </w:r>
      <w:r w:rsidRPr="00684533">
        <w:rPr>
          <w:rFonts w:eastAsiaTheme="minorHAnsi"/>
          <w:lang w:val="fr-FR" w:eastAsia="en-US"/>
        </w:rPr>
        <w:tab/>
        <w:t xml:space="preserve">Dans le premier tableau, pour « ISO 10462:2013 », dans la colonne « Applicable à la fabrication », remplacer « Jusqu’à nouvel ordre » par « Jusqu’au 31 décembre 2024 ». </w:t>
      </w:r>
      <w:r w:rsidRPr="00684533">
        <w:rPr>
          <w:lang w:val="fr-FR"/>
        </w:rPr>
        <w:t>Après la rubrique existante pour la norme « </w:t>
      </w:r>
      <w:r w:rsidRPr="00684533">
        <w:rPr>
          <w:rFonts w:eastAsiaTheme="minorHAnsi"/>
          <w:lang w:val="fr-FR" w:eastAsia="en-US"/>
        </w:rPr>
        <w:t>ISO 10462:2013</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55CDF581" w14:textId="77777777" w:rsidTr="007B6FD6">
        <w:tc>
          <w:tcPr>
            <w:tcW w:w="1544" w:type="dxa"/>
            <w:shd w:val="clear" w:color="auto" w:fill="auto"/>
          </w:tcPr>
          <w:p w14:paraId="43A5AFE9"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10462:2013 + Amd1:2019</w:t>
            </w:r>
          </w:p>
        </w:tc>
        <w:tc>
          <w:tcPr>
            <w:tcW w:w="4820" w:type="dxa"/>
            <w:shd w:val="clear" w:color="auto" w:fill="auto"/>
          </w:tcPr>
          <w:p w14:paraId="465A46D9"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Bouteilles à gaz — Bouteilles d'acétylène — Contrôle et entretien périodiques</w:t>
            </w:r>
          </w:p>
        </w:tc>
        <w:tc>
          <w:tcPr>
            <w:tcW w:w="1275" w:type="dxa"/>
            <w:shd w:val="clear" w:color="auto" w:fill="auto"/>
          </w:tcPr>
          <w:p w14:paraId="105CDE6F"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59504402" w14:textId="77777777" w:rsidR="006F4C01" w:rsidRPr="00684533" w:rsidRDefault="006F4C01" w:rsidP="006F4C01">
      <w:pPr>
        <w:pStyle w:val="SingleTxtG"/>
        <w:tabs>
          <w:tab w:val="left" w:pos="2268"/>
        </w:tabs>
        <w:spacing w:before="120"/>
        <w:rPr>
          <w:rFonts w:eastAsiaTheme="minorHAnsi"/>
          <w:lang w:val="fr-FR" w:eastAsia="en-US"/>
        </w:rPr>
      </w:pPr>
      <w:r w:rsidRPr="00684533">
        <w:rPr>
          <w:rFonts w:eastAsiaTheme="minorHAnsi"/>
          <w:lang w:val="fr-FR" w:eastAsia="en-US"/>
        </w:rPr>
        <w:tab/>
        <w:t>À la fin du premier tableau, ajouter la nouvelle ligne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02C0A9A7" w14:textId="77777777" w:rsidTr="007B6FD6">
        <w:tc>
          <w:tcPr>
            <w:tcW w:w="1544" w:type="dxa"/>
            <w:shd w:val="clear" w:color="auto" w:fill="auto"/>
          </w:tcPr>
          <w:p w14:paraId="774DDB03"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23088:2020</w:t>
            </w:r>
          </w:p>
        </w:tc>
        <w:tc>
          <w:tcPr>
            <w:tcW w:w="4820" w:type="dxa"/>
            <w:shd w:val="clear" w:color="auto" w:fill="auto"/>
          </w:tcPr>
          <w:p w14:paraId="00D7FD93" w14:textId="77777777" w:rsidR="006F4C01" w:rsidRPr="00684533" w:rsidRDefault="006F4C01" w:rsidP="007B6FD6">
            <w:pPr>
              <w:kinsoku/>
              <w:overflowPunct/>
              <w:autoSpaceDE/>
              <w:autoSpaceDN/>
              <w:adjustRightInd/>
              <w:snapToGrid/>
              <w:rPr>
                <w:lang w:val="fr-FR" w:eastAsia="en-US"/>
              </w:rPr>
            </w:pPr>
            <w:r w:rsidRPr="00684533">
              <w:rPr>
                <w:iCs/>
                <w:color w:val="000000"/>
                <w:lang w:val="fr-FR" w:eastAsia="en-US"/>
              </w:rPr>
              <w:t>Bouteilles à gaz — Contrôle et entretien périodiques des fûts sous pression en acier soudé — Capacités jusqu'à 1 000 l</w:t>
            </w:r>
          </w:p>
        </w:tc>
        <w:tc>
          <w:tcPr>
            <w:tcW w:w="1275" w:type="dxa"/>
            <w:shd w:val="clear" w:color="auto" w:fill="auto"/>
          </w:tcPr>
          <w:p w14:paraId="7927B110"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34392DD5" w14:textId="77777777" w:rsidR="006F4C01" w:rsidRPr="00684533" w:rsidRDefault="006F4C01" w:rsidP="006F4C01">
      <w:pPr>
        <w:pStyle w:val="SingleTxtG"/>
        <w:tabs>
          <w:tab w:val="left" w:pos="2268"/>
        </w:tabs>
        <w:spacing w:before="120"/>
        <w:ind w:left="2268" w:hanging="1134"/>
        <w:rPr>
          <w:lang w:val="fr-FR"/>
        </w:rPr>
      </w:pPr>
      <w:r w:rsidRPr="00684533">
        <w:rPr>
          <w:rFonts w:eastAsiaTheme="minorHAnsi"/>
          <w:lang w:val="fr-FR" w:eastAsia="en-US"/>
        </w:rPr>
        <w:tab/>
        <w:t xml:space="preserve">Dans le deuxième tableau, pour « ISO 16111:2008 », dans la colonne « Applicable à la fabrication », remplacer « Jusqu’à nouvel ordre » par « Jusqu’au 31 décembre 2024 ». </w:t>
      </w:r>
      <w:r w:rsidRPr="00684533">
        <w:rPr>
          <w:lang w:val="fr-FR"/>
        </w:rPr>
        <w:t>Après la rubrique existante pour la norme « </w:t>
      </w:r>
      <w:r w:rsidRPr="00684533">
        <w:rPr>
          <w:rFonts w:eastAsiaTheme="minorHAnsi"/>
          <w:lang w:val="fr-FR" w:eastAsia="en-US"/>
        </w:rPr>
        <w:t>ISO 16111:2008</w:t>
      </w:r>
      <w:r w:rsidRPr="00684533">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684533" w14:paraId="7F347FA8" w14:textId="77777777" w:rsidTr="007B6FD6">
        <w:tc>
          <w:tcPr>
            <w:tcW w:w="1544" w:type="dxa"/>
            <w:shd w:val="clear" w:color="auto" w:fill="auto"/>
          </w:tcPr>
          <w:p w14:paraId="10A006C5" w14:textId="77777777" w:rsidR="006F4C01" w:rsidRPr="00684533" w:rsidRDefault="006F4C01" w:rsidP="007B6FD6">
            <w:pPr>
              <w:kinsoku/>
              <w:overflowPunct/>
              <w:autoSpaceDE/>
              <w:autoSpaceDN/>
              <w:adjustRightInd/>
              <w:snapToGrid/>
              <w:rPr>
                <w:lang w:val="fr-FR" w:eastAsia="en-US"/>
              </w:rPr>
            </w:pPr>
            <w:r w:rsidRPr="00684533">
              <w:rPr>
                <w:lang w:val="fr-FR" w:eastAsia="en-US"/>
              </w:rPr>
              <w:t>ISO 16111:2018</w:t>
            </w:r>
          </w:p>
        </w:tc>
        <w:tc>
          <w:tcPr>
            <w:tcW w:w="4820" w:type="dxa"/>
            <w:shd w:val="clear" w:color="auto" w:fill="auto"/>
          </w:tcPr>
          <w:p w14:paraId="66307B7F" w14:textId="77777777" w:rsidR="006F4C01" w:rsidRPr="00684533" w:rsidRDefault="006F4C01" w:rsidP="007B6FD6">
            <w:pPr>
              <w:kinsoku/>
              <w:overflowPunct/>
              <w:autoSpaceDE/>
              <w:autoSpaceDN/>
              <w:adjustRightInd/>
              <w:snapToGrid/>
              <w:jc w:val="both"/>
              <w:rPr>
                <w:lang w:val="fr-FR" w:eastAsia="en-US"/>
              </w:rPr>
            </w:pPr>
            <w:r w:rsidRPr="00684533">
              <w:rPr>
                <w:iCs/>
                <w:color w:val="000000"/>
                <w:lang w:val="fr-FR" w:eastAsia="en-US"/>
              </w:rPr>
              <w:t>Appareils de stockage de gaz transportables — Hydrogène absorbé dans un hydrure métallique réversible</w:t>
            </w:r>
          </w:p>
        </w:tc>
        <w:tc>
          <w:tcPr>
            <w:tcW w:w="1275" w:type="dxa"/>
            <w:shd w:val="clear" w:color="auto" w:fill="auto"/>
          </w:tcPr>
          <w:p w14:paraId="6CFE9F5C" w14:textId="77777777" w:rsidR="006F4C01" w:rsidRPr="00684533" w:rsidRDefault="006F4C01" w:rsidP="007B6FD6">
            <w:pPr>
              <w:kinsoku/>
              <w:overflowPunct/>
              <w:autoSpaceDE/>
              <w:autoSpaceDN/>
              <w:adjustRightInd/>
              <w:snapToGrid/>
              <w:rPr>
                <w:lang w:val="fr-FR" w:eastAsia="en-US"/>
              </w:rPr>
            </w:pPr>
            <w:r w:rsidRPr="00684533">
              <w:rPr>
                <w:rFonts w:eastAsiaTheme="minorHAnsi"/>
                <w:lang w:val="fr-FR" w:eastAsia="en-US"/>
              </w:rPr>
              <w:t>Jusqu’à nouvel ordre</w:t>
            </w:r>
          </w:p>
        </w:tc>
      </w:tr>
    </w:tbl>
    <w:p w14:paraId="1C125E53" w14:textId="77777777" w:rsidR="006F4C01" w:rsidRDefault="006F4C01" w:rsidP="006F4C01">
      <w:pPr>
        <w:kinsoku/>
        <w:overflowPunct/>
        <w:autoSpaceDE/>
        <w:autoSpaceDN/>
        <w:adjustRightInd/>
        <w:snapToGrid/>
        <w:spacing w:before="120" w:after="120"/>
        <w:ind w:left="1134" w:right="1134"/>
        <w:jc w:val="both"/>
        <w:rPr>
          <w:i/>
          <w:iCs/>
          <w:lang w:val="fr-FR" w:eastAsia="en-US"/>
        </w:rPr>
      </w:pPr>
      <w:r w:rsidRPr="00684533">
        <w:rPr>
          <w:i/>
          <w:iCs/>
          <w:lang w:val="fr-FR" w:eastAsia="en-US"/>
        </w:rPr>
        <w:t>(Document de référence : document informel INF.57, propositions 5, 7, 11 et 12)</w:t>
      </w:r>
    </w:p>
    <w:p w14:paraId="07B9473C" w14:textId="77777777" w:rsidR="006F4C01" w:rsidRDefault="006F4C01" w:rsidP="006F4C01">
      <w:pPr>
        <w:pStyle w:val="SingleTxtG"/>
        <w:rPr>
          <w:rFonts w:eastAsiaTheme="minorHAnsi"/>
          <w:lang w:val="fr-FR" w:eastAsia="en-US"/>
        </w:rPr>
      </w:pPr>
      <w:r>
        <w:rPr>
          <w:lang w:val="fr-FR" w:eastAsia="en-US"/>
        </w:rPr>
        <w:t>6.2.4</w:t>
      </w:r>
      <w:r w:rsidRPr="00684533">
        <w:rPr>
          <w:lang w:val="fr-FR" w:eastAsia="en-US"/>
        </w:rPr>
        <w:tab/>
      </w:r>
      <w:r>
        <w:rPr>
          <w:lang w:val="fr-FR" w:eastAsia="en-US"/>
        </w:rPr>
        <w:tab/>
      </w:r>
      <w:r>
        <w:rPr>
          <w:rFonts w:eastAsiaTheme="minorHAnsi"/>
          <w:lang w:val="fr-FR" w:eastAsia="en-US"/>
        </w:rPr>
        <w:t>Ajouter un nouveau paragraphe sous le titre pour lire comme suit :</w:t>
      </w:r>
    </w:p>
    <w:p w14:paraId="69EE7B4C" w14:textId="77777777" w:rsidR="006F4C01" w:rsidRDefault="006F4C01" w:rsidP="006F4C01">
      <w:pPr>
        <w:pStyle w:val="SingleTxtG"/>
        <w:rPr>
          <w:rFonts w:eastAsiaTheme="minorHAnsi"/>
          <w:lang w:val="fr-FR" w:eastAsia="en-US"/>
        </w:rPr>
      </w:pPr>
      <w:r>
        <w:rPr>
          <w:rFonts w:eastAsiaTheme="minorHAnsi"/>
          <w:lang w:val="fr-FR" w:eastAsia="en-US"/>
        </w:rPr>
        <w:t>« 6.2.4.1</w:t>
      </w:r>
      <w:r>
        <w:rPr>
          <w:rFonts w:eastAsiaTheme="minorHAnsi"/>
          <w:lang w:val="fr-FR" w:eastAsia="en-US"/>
        </w:rPr>
        <w:tab/>
      </w:r>
      <w:r w:rsidRPr="003C7A04">
        <w:rPr>
          <w:rFonts w:eastAsiaTheme="minorHAnsi"/>
          <w:lang w:val="fr-FR" w:eastAsia="en-US"/>
        </w:rPr>
        <w:t>La pression intérieure des générateurs d’aérosols à 50 °C ne doit pas dépasser 1,2 MPa (12 bar) en cas d’utilisation de gaz liquéfié inflammable, 1,32 MPa (13,2 bar) en cas d’utilisation de gaz liquéfié non inflammable et 1,5 MPa (15 bar) en cas d’utilisation de gaz comprimé ou dissous non inflammable. Pour les mélanges de gaz, la limite la plus stricte s’applique.</w:t>
      </w:r>
      <w:r>
        <w:rPr>
          <w:rFonts w:eastAsiaTheme="minorHAnsi"/>
          <w:lang w:val="fr-FR" w:eastAsia="en-US"/>
        </w:rPr>
        <w:t> ».</w:t>
      </w:r>
    </w:p>
    <w:p w14:paraId="7CFCFCC8" w14:textId="77777777" w:rsidR="006F4C01" w:rsidRDefault="006F4C01" w:rsidP="006F4C01">
      <w:pPr>
        <w:kinsoku/>
        <w:overflowPunct/>
        <w:autoSpaceDE/>
        <w:autoSpaceDN/>
        <w:adjustRightInd/>
        <w:snapToGrid/>
        <w:spacing w:after="120"/>
        <w:ind w:left="2268" w:right="1134" w:hanging="1134"/>
        <w:jc w:val="both"/>
        <w:rPr>
          <w:rFonts w:eastAsiaTheme="minorHAnsi"/>
          <w:lang w:val="fr-FR" w:eastAsia="en-US"/>
        </w:rPr>
      </w:pPr>
      <w:r>
        <w:rPr>
          <w:rFonts w:eastAsiaTheme="minorHAnsi"/>
          <w:lang w:val="fr-FR" w:eastAsia="en-US"/>
        </w:rPr>
        <w:tab/>
        <w:t>Le paragraphe existant sous le titre devient 6.2.4.2.</w:t>
      </w:r>
    </w:p>
    <w:p w14:paraId="107A6D42" w14:textId="77777777" w:rsidR="006F4C01" w:rsidRDefault="006F4C01" w:rsidP="006F4C01">
      <w:pPr>
        <w:kinsoku/>
        <w:overflowPunct/>
        <w:autoSpaceDE/>
        <w:autoSpaceDN/>
        <w:adjustRightInd/>
        <w:snapToGrid/>
        <w:spacing w:after="120"/>
        <w:ind w:left="2268" w:right="1134" w:hanging="1134"/>
        <w:jc w:val="both"/>
        <w:rPr>
          <w:lang w:val="fr-FR" w:eastAsia="en-US"/>
        </w:rPr>
      </w:pPr>
      <w:r>
        <w:rPr>
          <w:rFonts w:eastAsiaTheme="minorHAnsi"/>
          <w:lang w:val="fr-FR" w:eastAsia="en-US"/>
        </w:rPr>
        <w:tab/>
        <w:t xml:space="preserve">Renuméroter 6.2.4.1 en 6.2.4.2.1, 6.2.4.1.1 en 6.2.4.2.1.1, 6.2.4.1.2 en 6.2.4.2.1.2, </w:t>
      </w:r>
      <w:r>
        <w:rPr>
          <w:lang w:val="fr-FR"/>
        </w:rPr>
        <w:t xml:space="preserve">6.2.4.2 en 6.2.4.2.2, </w:t>
      </w:r>
      <w:r>
        <w:rPr>
          <w:lang w:val="fr-FR" w:eastAsia="en-US"/>
        </w:rPr>
        <w:t xml:space="preserve">6.2.4.2.1 en </w:t>
      </w:r>
      <w:r w:rsidRPr="003C5846">
        <w:rPr>
          <w:lang w:val="fr-FR" w:eastAsia="en-US"/>
        </w:rPr>
        <w:t>6.2.4.2.2.1</w:t>
      </w:r>
      <w:r>
        <w:rPr>
          <w:lang w:val="fr-FR" w:eastAsia="en-US"/>
        </w:rPr>
        <w:t xml:space="preserve">, 6.2.4.2.2 en </w:t>
      </w:r>
      <w:r w:rsidRPr="005C6749">
        <w:rPr>
          <w:lang w:val="fr-FR" w:eastAsia="en-US"/>
        </w:rPr>
        <w:t>6.2.4.2.2.2</w:t>
      </w:r>
      <w:r>
        <w:rPr>
          <w:lang w:val="fr-FR" w:eastAsia="en-US"/>
        </w:rPr>
        <w:t xml:space="preserve">, 6.2.4.2.2.1 en </w:t>
      </w:r>
      <w:r w:rsidRPr="00D26B46">
        <w:rPr>
          <w:lang w:val="fr-FR" w:eastAsia="en-US"/>
        </w:rPr>
        <w:t>6.2.4.2.2.2.1</w:t>
      </w:r>
      <w:r>
        <w:rPr>
          <w:lang w:val="fr-FR" w:eastAsia="en-US"/>
        </w:rPr>
        <w:t xml:space="preserve">, </w:t>
      </w:r>
      <w:r w:rsidRPr="00E74AD1">
        <w:rPr>
          <w:lang w:val="fr-FR" w:eastAsia="en-US"/>
        </w:rPr>
        <w:t>6.2.4.2.2.2</w:t>
      </w:r>
      <w:r>
        <w:rPr>
          <w:lang w:val="fr-FR" w:eastAsia="en-US"/>
        </w:rPr>
        <w:t xml:space="preserve"> en </w:t>
      </w:r>
      <w:r w:rsidRPr="00F51A8B">
        <w:rPr>
          <w:lang w:val="fr-FR" w:eastAsia="en-US"/>
        </w:rPr>
        <w:t>6.2.4.2.2.2.2</w:t>
      </w:r>
      <w:r>
        <w:rPr>
          <w:lang w:val="fr-FR" w:eastAsia="en-US"/>
        </w:rPr>
        <w:t xml:space="preserve">, 6.2.4.2.3 en 6.2.4.2.2.3, </w:t>
      </w:r>
      <w:r w:rsidRPr="00A0062A">
        <w:rPr>
          <w:lang w:val="fr-FR" w:eastAsia="en-US"/>
        </w:rPr>
        <w:t>6.2.4.2.3.1</w:t>
      </w:r>
      <w:r>
        <w:rPr>
          <w:lang w:val="fr-FR" w:eastAsia="en-US"/>
        </w:rPr>
        <w:t xml:space="preserve"> en </w:t>
      </w:r>
      <w:r w:rsidRPr="00A0062A">
        <w:rPr>
          <w:lang w:val="fr-FR" w:eastAsia="en-US"/>
        </w:rPr>
        <w:t>6.2.4.2.2.3.1</w:t>
      </w:r>
      <w:r>
        <w:rPr>
          <w:lang w:val="fr-FR" w:eastAsia="en-US"/>
        </w:rPr>
        <w:t xml:space="preserve">, </w:t>
      </w:r>
      <w:r w:rsidRPr="001D753A">
        <w:rPr>
          <w:lang w:val="fr-FR" w:eastAsia="en-US"/>
        </w:rPr>
        <w:t>6.2.4.2.3.2</w:t>
      </w:r>
      <w:r>
        <w:rPr>
          <w:lang w:val="fr-FR" w:eastAsia="en-US"/>
        </w:rPr>
        <w:t xml:space="preserve"> en </w:t>
      </w:r>
      <w:r w:rsidRPr="001D753A">
        <w:rPr>
          <w:lang w:val="fr-FR" w:eastAsia="en-US"/>
        </w:rPr>
        <w:t>6.2.4.2.2.3.2</w:t>
      </w:r>
      <w:r>
        <w:rPr>
          <w:lang w:val="fr-FR" w:eastAsia="en-US"/>
        </w:rPr>
        <w:t xml:space="preserve"> et 6.2.4.3 en 6.2.4.2.3.</w:t>
      </w:r>
    </w:p>
    <w:p w14:paraId="43BE4655" w14:textId="77777777" w:rsidR="006F4C01" w:rsidRDefault="006F4C01" w:rsidP="006F4C01">
      <w:pPr>
        <w:kinsoku/>
        <w:overflowPunct/>
        <w:autoSpaceDE/>
        <w:autoSpaceDN/>
        <w:adjustRightInd/>
        <w:snapToGrid/>
        <w:spacing w:after="120"/>
        <w:ind w:left="2268" w:right="1134" w:hanging="1134"/>
        <w:jc w:val="both"/>
        <w:rPr>
          <w:rFonts w:eastAsiaTheme="minorHAnsi"/>
          <w:lang w:val="fr-FR" w:eastAsia="en-US"/>
        </w:rPr>
      </w:pPr>
      <w:r>
        <w:rPr>
          <w:lang w:val="fr-FR" w:eastAsia="en-US"/>
        </w:rPr>
        <w:tab/>
        <w:t xml:space="preserve">Dans le paragraphe renuméroté 6.2.4.2, </w:t>
      </w:r>
      <w:r>
        <w:rPr>
          <w:rFonts w:eastAsiaTheme="minorHAnsi"/>
          <w:lang w:val="fr-FR" w:eastAsia="en-US"/>
        </w:rPr>
        <w:t>remplacer « 6.2.4.1 » par « 6.2.4.2.1 » et « 6.2.4.2 » par « 6.2.4.2.2 ».</w:t>
      </w:r>
    </w:p>
    <w:p w14:paraId="759CFE0C" w14:textId="77777777" w:rsidR="006F4C01" w:rsidRDefault="006F4C01" w:rsidP="006F4C01">
      <w:pPr>
        <w:kinsoku/>
        <w:overflowPunct/>
        <w:autoSpaceDE/>
        <w:autoSpaceDN/>
        <w:adjustRightInd/>
        <w:snapToGrid/>
        <w:spacing w:after="120"/>
        <w:ind w:left="2268" w:right="1134" w:hanging="1134"/>
        <w:jc w:val="both"/>
        <w:rPr>
          <w:lang w:val="fr-FR"/>
        </w:rPr>
      </w:pPr>
      <w:r>
        <w:rPr>
          <w:lang w:val="fr-FR" w:eastAsia="en-US"/>
        </w:rPr>
        <w:tab/>
        <w:t xml:space="preserve">Dans le paragraphe renuméroté </w:t>
      </w:r>
      <w:r>
        <w:rPr>
          <w:lang w:val="fr-FR"/>
        </w:rPr>
        <w:t>6.2.4.2.2, remplacer « 6.2.4.2.1 » par « 6.2.4.2.2.1 » et « 6.2.4.2.2 ou 6.2.4.2.3 » par « 6.2.4.2.2.2 ou 6.2.4.2.2.3 ».</w:t>
      </w:r>
    </w:p>
    <w:p w14:paraId="22CB0407" w14:textId="77777777" w:rsidR="006F4C01" w:rsidRDefault="006F4C01" w:rsidP="006F4C01">
      <w:pPr>
        <w:kinsoku/>
        <w:overflowPunct/>
        <w:autoSpaceDE/>
        <w:autoSpaceDN/>
        <w:adjustRightInd/>
        <w:snapToGrid/>
        <w:spacing w:after="120"/>
        <w:ind w:left="2268" w:right="1134" w:hanging="1134"/>
        <w:jc w:val="both"/>
        <w:rPr>
          <w:lang w:val="fr-FR" w:eastAsia="en-US"/>
        </w:rPr>
      </w:pPr>
      <w:r>
        <w:rPr>
          <w:lang w:val="fr-FR" w:eastAsia="en-US"/>
        </w:rPr>
        <w:tab/>
        <w:t>Dans le paragraphe renuméroté 6.2.4.2.3, remplacer « 6.2.4.1 et 6.2.4.2 » par « 6.2.4.2.1 et 6.2.4.2.2 ».</w:t>
      </w:r>
    </w:p>
    <w:p w14:paraId="61664926" w14:textId="77777777" w:rsidR="006F4C01" w:rsidRDefault="006F4C01" w:rsidP="006F4C01">
      <w:pPr>
        <w:kinsoku/>
        <w:overflowPunct/>
        <w:autoSpaceDE/>
        <w:autoSpaceDN/>
        <w:adjustRightInd/>
        <w:snapToGrid/>
        <w:spacing w:after="120"/>
        <w:ind w:left="1134" w:right="1134"/>
        <w:jc w:val="both"/>
        <w:rPr>
          <w:i/>
          <w:iCs/>
          <w:lang w:val="fr-FR" w:eastAsia="en-US"/>
        </w:rPr>
      </w:pPr>
      <w:r w:rsidRPr="00684533">
        <w:rPr>
          <w:i/>
          <w:iCs/>
          <w:lang w:val="fr-FR" w:eastAsia="en-US"/>
        </w:rPr>
        <w:t xml:space="preserve">(Document de référence : </w:t>
      </w:r>
      <w:r w:rsidRPr="00692350">
        <w:rPr>
          <w:i/>
        </w:rPr>
        <w:t>ST/SG/AC.10/C.3/</w:t>
      </w:r>
      <w:r>
        <w:rPr>
          <w:i/>
        </w:rPr>
        <w:t>2020/43 tel que modifié pour la version anglaise</w:t>
      </w:r>
      <w:r w:rsidRPr="00684533">
        <w:rPr>
          <w:i/>
          <w:iCs/>
          <w:lang w:val="fr-FR" w:eastAsia="en-US"/>
        </w:rPr>
        <w:t>)</w:t>
      </w:r>
    </w:p>
    <w:p w14:paraId="2C111105"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6.3</w:t>
      </w:r>
    </w:p>
    <w:p w14:paraId="25C6BAF8" w14:textId="77777777" w:rsidR="006F4C01" w:rsidRDefault="006F4C01" w:rsidP="006F4C01">
      <w:pPr>
        <w:pStyle w:val="SingleTxtG"/>
        <w:rPr>
          <w:rFonts w:eastAsiaTheme="minorHAnsi"/>
          <w:lang w:val="fr-FR" w:eastAsia="en-US"/>
        </w:rPr>
      </w:pPr>
      <w:r>
        <w:rPr>
          <w:lang w:val="fr-FR" w:eastAsia="en-US"/>
        </w:rPr>
        <w:t>6.3.2.1</w:t>
      </w:r>
      <w:r>
        <w:rPr>
          <w:lang w:val="fr-FR" w:eastAsia="en-US"/>
        </w:rPr>
        <w:tab/>
      </w:r>
      <w:r>
        <w:rPr>
          <w:lang w:val="fr-FR" w:eastAsia="en-US"/>
        </w:rPr>
        <w:tab/>
      </w:r>
      <w:r>
        <w:rPr>
          <w:rFonts w:eastAsiaTheme="minorHAnsi"/>
          <w:lang w:val="fr-FR" w:eastAsia="en-US"/>
        </w:rPr>
        <w:t>Dans la deuxième phrase, remplacer « aux épreuves décrites » par « aux prescriptions décrites. ».</w:t>
      </w:r>
    </w:p>
    <w:p w14:paraId="53FF80E1"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ST/SG/AC.10/C.3/2020/28/Rev.1)</w:t>
      </w:r>
    </w:p>
    <w:p w14:paraId="1F01638A" w14:textId="77777777" w:rsidR="00134650" w:rsidRDefault="00134650">
      <w:pPr>
        <w:suppressAutoHyphens w:val="0"/>
        <w:kinsoku/>
        <w:overflowPunct/>
        <w:autoSpaceDE/>
        <w:autoSpaceDN/>
        <w:adjustRightInd/>
        <w:snapToGrid/>
        <w:spacing w:after="200" w:line="276" w:lineRule="auto"/>
        <w:rPr>
          <w:lang w:eastAsia="en-US"/>
        </w:rPr>
      </w:pPr>
      <w:r>
        <w:rPr>
          <w:lang w:eastAsia="en-US"/>
        </w:rPr>
        <w:br w:type="page"/>
      </w:r>
    </w:p>
    <w:p w14:paraId="0C0007D7" w14:textId="0FCBF84D"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lastRenderedPageBreak/>
        <w:t>6.3.2.2</w:t>
      </w:r>
      <w:r>
        <w:rPr>
          <w:lang w:eastAsia="en-US"/>
        </w:rPr>
        <w:tab/>
        <w:t>Dans le Nota, remplacer « ISO 16106:2006 » par « ISO 16106:2020 » et modifier le titre de la norme pour lire « Emballages de transport pour marchandises dangereuses – Emballages pour marchandises dangereuses, grands récipients pour vrac (GRV) et grands emballages – Lignes directrices pour l’application de la norme ISO. ».</w:t>
      </w:r>
    </w:p>
    <w:p w14:paraId="78397D3F"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ST/SG/AC.10/C.3/2020/50</w:t>
      </w:r>
      <w:r w:rsidRPr="00F7088C">
        <w:rPr>
          <w:i/>
          <w:iCs/>
          <w:lang w:eastAsia="en-US"/>
        </w:rPr>
        <w:t>)</w:t>
      </w:r>
    </w:p>
    <w:p w14:paraId="5086D84A" w14:textId="77777777" w:rsidR="006F4C01" w:rsidRPr="00652134" w:rsidRDefault="006F4C01" w:rsidP="006F4C01">
      <w:pPr>
        <w:pStyle w:val="H1G"/>
        <w:rPr>
          <w:lang w:val="fr-FR" w:eastAsia="en-US"/>
        </w:rPr>
      </w:pPr>
      <w:r w:rsidRPr="00652134">
        <w:rPr>
          <w:lang w:val="fr-FR" w:eastAsia="en-US"/>
        </w:rPr>
        <w:tab/>
      </w:r>
      <w:r w:rsidRPr="00652134">
        <w:rPr>
          <w:lang w:val="fr-FR" w:eastAsia="en-US"/>
        </w:rPr>
        <w:tab/>
        <w:t xml:space="preserve">Chapitre </w:t>
      </w:r>
      <w:r>
        <w:rPr>
          <w:lang w:val="fr-FR" w:eastAsia="en-US"/>
        </w:rPr>
        <w:t>6.4</w:t>
      </w:r>
    </w:p>
    <w:p w14:paraId="60247934" w14:textId="77777777" w:rsidR="006F4C01" w:rsidRPr="00F662C2" w:rsidRDefault="006F4C01" w:rsidP="006F4C01">
      <w:pPr>
        <w:tabs>
          <w:tab w:val="left" w:pos="2268"/>
        </w:tabs>
        <w:spacing w:after="120"/>
        <w:ind w:left="2268" w:right="1134" w:hanging="1134"/>
        <w:jc w:val="both"/>
        <w:rPr>
          <w:rFonts w:eastAsiaTheme="minorHAnsi"/>
          <w:lang w:val="fr-FR" w:eastAsia="en-US"/>
        </w:rPr>
      </w:pPr>
      <w:r w:rsidRPr="00F662C2">
        <w:rPr>
          <w:rFonts w:eastAsiaTheme="minorHAnsi"/>
          <w:lang w:val="fr-FR" w:eastAsia="en-US"/>
        </w:rPr>
        <w:t>6.4.12.1</w:t>
      </w:r>
      <w:r w:rsidRPr="00F662C2">
        <w:rPr>
          <w:rFonts w:eastAsiaTheme="minorHAnsi"/>
          <w:lang w:val="fr-FR" w:eastAsia="en-US"/>
        </w:rPr>
        <w:tab/>
      </w:r>
      <w:r>
        <w:rPr>
          <w:rFonts w:eastAsiaTheme="minorHAnsi"/>
          <w:lang w:val="fr-FR" w:eastAsia="en-US"/>
        </w:rPr>
        <w:t>Dans le premier tableau</w:t>
      </w:r>
      <w:r w:rsidRPr="00F662C2">
        <w:rPr>
          <w:rFonts w:eastAsiaTheme="minorHAnsi"/>
          <w:lang w:val="fr-FR" w:eastAsia="en-US"/>
        </w:rPr>
        <w:t xml:space="preserve">, </w:t>
      </w:r>
      <w:r>
        <w:rPr>
          <w:rFonts w:eastAsiaTheme="minorHAnsi"/>
          <w:lang w:val="fr-FR" w:eastAsia="en-US"/>
        </w:rPr>
        <w:t>supprimer « </w:t>
      </w:r>
      <w:r w:rsidRPr="00F662C2">
        <w:rPr>
          <w:rFonts w:eastAsiaTheme="minorHAnsi"/>
          <w:lang w:val="fr-FR" w:eastAsia="en-US"/>
        </w:rPr>
        <w:t>2.7.2.3.1.3, 2.7.2.3.1.4,</w:t>
      </w:r>
      <w:r>
        <w:rPr>
          <w:rFonts w:eastAsiaTheme="minorHAnsi"/>
          <w:lang w:val="fr-FR" w:eastAsia="en-US"/>
        </w:rPr>
        <w:t> » et, après « </w:t>
      </w:r>
      <w:r w:rsidRPr="00F662C2">
        <w:rPr>
          <w:rFonts w:eastAsiaTheme="minorHAnsi"/>
          <w:lang w:val="fr-FR" w:eastAsia="en-US"/>
        </w:rPr>
        <w:t>2.7.2.3.4.2</w:t>
      </w:r>
      <w:r>
        <w:rPr>
          <w:rFonts w:eastAsiaTheme="minorHAnsi"/>
          <w:lang w:val="fr-FR" w:eastAsia="en-US"/>
        </w:rPr>
        <w:t> », ajouter « </w:t>
      </w:r>
      <w:r w:rsidRPr="00F662C2">
        <w:rPr>
          <w:rFonts w:eastAsiaTheme="minorHAnsi"/>
          <w:lang w:val="fr-FR" w:eastAsia="en-US"/>
        </w:rPr>
        <w:t>, 2.7.2.3.4.3</w:t>
      </w:r>
      <w:r>
        <w:rPr>
          <w:rFonts w:eastAsiaTheme="minorHAnsi"/>
          <w:lang w:val="fr-FR" w:eastAsia="en-US"/>
        </w:rPr>
        <w:t> »</w:t>
      </w:r>
      <w:r w:rsidRPr="00F662C2">
        <w:rPr>
          <w:rFonts w:eastAsiaTheme="minorHAnsi"/>
          <w:lang w:val="fr-FR" w:eastAsia="en-US"/>
        </w:rPr>
        <w:t>.</w:t>
      </w:r>
    </w:p>
    <w:p w14:paraId="724AB66D"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Pr>
          <w:i/>
          <w:iCs/>
          <w:lang w:val="fr-FR" w:eastAsia="en-US"/>
        </w:rPr>
        <w:t>document informel INF.30</w:t>
      </w:r>
      <w:r w:rsidRPr="00684533">
        <w:rPr>
          <w:i/>
          <w:iCs/>
          <w:lang w:val="fr-FR" w:eastAsia="en-US"/>
        </w:rPr>
        <w:t>)</w:t>
      </w:r>
    </w:p>
    <w:p w14:paraId="37455B13" w14:textId="77777777" w:rsidR="006F4C01" w:rsidRDefault="006F4C01" w:rsidP="006F4C01">
      <w:pPr>
        <w:tabs>
          <w:tab w:val="left" w:pos="2268"/>
        </w:tabs>
        <w:spacing w:after="120"/>
        <w:ind w:left="2268" w:right="1134" w:hanging="1134"/>
        <w:jc w:val="both"/>
        <w:rPr>
          <w:rFonts w:eastAsiaTheme="minorHAnsi"/>
          <w:lang w:val="fr-FR" w:eastAsia="en-US"/>
        </w:rPr>
      </w:pPr>
      <w:r w:rsidRPr="00F662C2">
        <w:rPr>
          <w:rFonts w:eastAsiaTheme="minorHAnsi"/>
          <w:lang w:val="fr-FR" w:eastAsia="en-US"/>
        </w:rPr>
        <w:t>6.4.12.2</w:t>
      </w:r>
      <w:r w:rsidRPr="00F662C2">
        <w:rPr>
          <w:rFonts w:eastAsiaTheme="minorHAnsi"/>
          <w:lang w:val="fr-FR" w:eastAsia="en-US"/>
        </w:rPr>
        <w:tab/>
      </w:r>
      <w:r>
        <w:rPr>
          <w:rFonts w:eastAsiaTheme="minorHAnsi"/>
          <w:lang w:val="fr-FR" w:eastAsia="en-US"/>
        </w:rPr>
        <w:t>Supprimer « </w:t>
      </w:r>
      <w:r w:rsidRPr="00F662C2">
        <w:rPr>
          <w:rFonts w:eastAsiaTheme="minorHAnsi"/>
          <w:lang w:val="fr-FR" w:eastAsia="en-US"/>
        </w:rPr>
        <w:t>2.7.2.3.1.3, 2.7.2.3.1.4,</w:t>
      </w:r>
      <w:r>
        <w:rPr>
          <w:rFonts w:eastAsiaTheme="minorHAnsi"/>
          <w:lang w:val="fr-FR" w:eastAsia="en-US"/>
        </w:rPr>
        <w:t> »</w:t>
      </w:r>
      <w:r w:rsidRPr="00F662C2">
        <w:rPr>
          <w:rFonts w:eastAsiaTheme="minorHAnsi"/>
          <w:lang w:val="fr-FR" w:eastAsia="en-US"/>
        </w:rPr>
        <w:t xml:space="preserve"> </w:t>
      </w:r>
      <w:r>
        <w:rPr>
          <w:rFonts w:eastAsiaTheme="minorHAnsi"/>
          <w:lang w:val="fr-FR" w:eastAsia="en-US"/>
        </w:rPr>
        <w:t>et, après « </w:t>
      </w:r>
      <w:r w:rsidRPr="00F662C2">
        <w:rPr>
          <w:rFonts w:eastAsiaTheme="minorHAnsi"/>
          <w:lang w:val="fr-FR" w:eastAsia="en-US"/>
        </w:rPr>
        <w:t>2.7.2.3.4.2</w:t>
      </w:r>
      <w:r>
        <w:rPr>
          <w:rFonts w:eastAsiaTheme="minorHAnsi"/>
          <w:lang w:val="fr-FR" w:eastAsia="en-US"/>
        </w:rPr>
        <w:t> »</w:t>
      </w:r>
      <w:r w:rsidRPr="00F662C2">
        <w:rPr>
          <w:rFonts w:eastAsiaTheme="minorHAnsi"/>
          <w:lang w:val="fr-FR" w:eastAsia="en-US"/>
        </w:rPr>
        <w:t xml:space="preserve">, </w:t>
      </w:r>
      <w:r>
        <w:rPr>
          <w:rFonts w:eastAsiaTheme="minorHAnsi"/>
          <w:lang w:val="fr-FR" w:eastAsia="en-US"/>
        </w:rPr>
        <w:t>ajouter « </w:t>
      </w:r>
      <w:r w:rsidRPr="00F662C2">
        <w:rPr>
          <w:rFonts w:eastAsiaTheme="minorHAnsi"/>
          <w:lang w:val="fr-FR" w:eastAsia="en-US"/>
        </w:rPr>
        <w:t>, 2.7.2.3.4.3</w:t>
      </w:r>
      <w:r>
        <w:rPr>
          <w:rFonts w:eastAsiaTheme="minorHAnsi"/>
          <w:lang w:val="fr-FR" w:eastAsia="en-US"/>
        </w:rPr>
        <w:t> »</w:t>
      </w:r>
      <w:r w:rsidRPr="00F662C2">
        <w:rPr>
          <w:rFonts w:eastAsiaTheme="minorHAnsi"/>
          <w:lang w:val="fr-FR" w:eastAsia="en-US"/>
        </w:rPr>
        <w:t>.</w:t>
      </w:r>
    </w:p>
    <w:p w14:paraId="7AC3BBE5"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Pr>
          <w:i/>
          <w:iCs/>
          <w:lang w:val="fr-FR" w:eastAsia="en-US"/>
        </w:rPr>
        <w:t>document informel INF.30</w:t>
      </w:r>
      <w:r w:rsidRPr="00684533">
        <w:rPr>
          <w:i/>
          <w:iCs/>
          <w:lang w:val="fr-FR" w:eastAsia="en-US"/>
        </w:rPr>
        <w:t>)</w:t>
      </w:r>
    </w:p>
    <w:p w14:paraId="420C31C8" w14:textId="77777777" w:rsidR="006F4C01" w:rsidRPr="00DA64D8" w:rsidRDefault="006F4C01" w:rsidP="006F4C01">
      <w:pPr>
        <w:tabs>
          <w:tab w:val="left" w:pos="2268"/>
        </w:tabs>
        <w:spacing w:after="120"/>
        <w:ind w:left="2268" w:right="1134" w:hanging="1134"/>
        <w:jc w:val="both"/>
        <w:rPr>
          <w:rFonts w:eastAsiaTheme="minorHAnsi"/>
          <w:lang w:eastAsia="en-US"/>
        </w:rPr>
      </w:pPr>
      <w:r w:rsidRPr="00DA64D8">
        <w:rPr>
          <w:rFonts w:eastAsiaTheme="minorHAnsi"/>
          <w:lang w:val="fr-FR" w:eastAsia="en-US"/>
        </w:rPr>
        <w:t>6.4.24.1</w:t>
      </w:r>
      <w:r w:rsidRPr="00DA64D8">
        <w:rPr>
          <w:rFonts w:eastAsiaTheme="minorHAnsi"/>
          <w:lang w:val="fr-FR" w:eastAsia="en-US"/>
        </w:rPr>
        <w:tab/>
        <w:t>Modifier le titre placé au-dessus du paragraphe 6.4.24.1 comme suit : « Colis dont le modèle n’a pas à être agréé par l’autorité compétente en vertu des éditions de 1985, de 1985 (telle que modifiée en 1990), de 1996, de 1996 (révisée), de 1996 (telle que modifiée en 2003), de 2005, de 2009 et de 2012 du Règlement de transport des matières radioactives de l’AIEA ».</w:t>
      </w:r>
    </w:p>
    <w:p w14:paraId="68DEAD94"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41B6047F" w14:textId="77777777" w:rsidR="006F4C01" w:rsidRPr="00DA64D8" w:rsidRDefault="006F4C01" w:rsidP="006F4C01">
      <w:pPr>
        <w:tabs>
          <w:tab w:val="left" w:pos="2268"/>
        </w:tabs>
        <w:spacing w:after="120"/>
        <w:ind w:left="2268" w:right="1134" w:hanging="1134"/>
        <w:jc w:val="both"/>
        <w:rPr>
          <w:rFonts w:eastAsiaTheme="minorHAnsi"/>
          <w:lang w:eastAsia="en-US"/>
        </w:rPr>
      </w:pPr>
      <w:r w:rsidRPr="00DA64D8">
        <w:rPr>
          <w:rFonts w:eastAsiaTheme="minorHAnsi"/>
          <w:lang w:val="fr-FR" w:eastAsia="en-US"/>
        </w:rPr>
        <w:t>6.4.24.1 a)</w:t>
      </w:r>
      <w:r w:rsidRPr="00DA64D8">
        <w:rPr>
          <w:rFonts w:eastAsiaTheme="minorHAnsi"/>
          <w:lang w:val="fr-FR" w:eastAsia="en-US"/>
        </w:rPr>
        <w:tab/>
        <w:t>Modifier comme suit : « Les colis qui satisfont aux prescriptions des éditions de 1985 ou de 1985 (telle que modifiée en 1990) du Règlement de transport des matières radioactives de l’AIEA : ».</w:t>
      </w:r>
    </w:p>
    <w:p w14:paraId="7ED74E08"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24D97734" w14:textId="77777777" w:rsidR="006F4C01" w:rsidRPr="00DA64D8" w:rsidRDefault="006F4C01" w:rsidP="006F4C01">
      <w:pPr>
        <w:tabs>
          <w:tab w:val="left" w:pos="2268"/>
        </w:tabs>
        <w:spacing w:after="120"/>
        <w:ind w:left="2268" w:right="1134" w:hanging="1134"/>
        <w:jc w:val="both"/>
        <w:rPr>
          <w:rFonts w:eastAsiaTheme="minorHAnsi"/>
          <w:lang w:eastAsia="en-US"/>
        </w:rPr>
      </w:pPr>
      <w:r w:rsidRPr="00DA64D8">
        <w:rPr>
          <w:rFonts w:eastAsiaTheme="minorHAnsi"/>
          <w:lang w:val="fr-FR" w:eastAsia="en-US"/>
        </w:rPr>
        <w:t>6.4.24.1 b)</w:t>
      </w:r>
      <w:r w:rsidRPr="00DA64D8">
        <w:rPr>
          <w:rFonts w:eastAsiaTheme="minorHAnsi"/>
          <w:lang w:val="fr-FR" w:eastAsia="en-US"/>
        </w:rPr>
        <w:tab/>
        <w:t>Modifier comme suit : « Les colis qui satisfont aux dispositions des éditions de 1996, de 1996 (révisée), de 1996 (telle que modifiée en 2003), de 2005, de 2009 ou de 2012 du Règlement de transport des matières radioactives de l’AIEA : ».</w:t>
      </w:r>
    </w:p>
    <w:p w14:paraId="45BEC7C1"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430203FD" w14:textId="77777777" w:rsidR="006F4C01" w:rsidRPr="00DA64D8" w:rsidRDefault="006F4C01" w:rsidP="006F4C01">
      <w:pPr>
        <w:keepNext/>
        <w:keepLines/>
        <w:tabs>
          <w:tab w:val="left" w:pos="2268"/>
        </w:tabs>
        <w:spacing w:after="120"/>
        <w:ind w:left="2268" w:right="1134" w:hanging="1134"/>
        <w:jc w:val="both"/>
        <w:rPr>
          <w:rFonts w:eastAsiaTheme="minorHAnsi"/>
          <w:lang w:eastAsia="en-US"/>
        </w:rPr>
      </w:pPr>
      <w:r w:rsidRPr="00DA64D8">
        <w:rPr>
          <w:rFonts w:eastAsiaTheme="minorHAnsi"/>
          <w:lang w:val="fr-FR" w:eastAsia="en-US"/>
        </w:rPr>
        <w:t>6.4.24.2</w:t>
      </w:r>
      <w:r w:rsidRPr="00DA64D8">
        <w:rPr>
          <w:rFonts w:eastAsiaTheme="minorHAnsi"/>
          <w:lang w:val="fr-FR" w:eastAsia="en-US"/>
        </w:rPr>
        <w:tab/>
        <w:t>Modifier le titre placé au-dessus du paragraphe 6.4.24.2 comme suit : « Modèles de colis agréés par l’autorité compétente en vertu des éditions de 1985, de 1985 (telle que modifiée en 1990), de 1996, de 1996 (révisée), de 1996 (telle que modifiée en 2003), de 2005, de 2009 et de 2012 du Règlement de transport des matières radioactives de l’AIEA ».</w:t>
      </w:r>
    </w:p>
    <w:p w14:paraId="3F5FE8B0"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5D6E715E" w14:textId="77777777" w:rsidR="006F4C01" w:rsidRPr="00DA64D8" w:rsidRDefault="006F4C01" w:rsidP="006F4C01">
      <w:pPr>
        <w:tabs>
          <w:tab w:val="left" w:pos="2268"/>
        </w:tabs>
        <w:spacing w:after="120"/>
        <w:ind w:left="2268" w:right="1134" w:hanging="1134"/>
        <w:jc w:val="both"/>
        <w:rPr>
          <w:rFonts w:eastAsiaTheme="minorHAnsi"/>
          <w:lang w:val="fr-FR" w:eastAsia="en-US"/>
        </w:rPr>
      </w:pPr>
      <w:r w:rsidRPr="00DA64D8">
        <w:rPr>
          <w:rFonts w:eastAsiaTheme="minorHAnsi"/>
          <w:lang w:val="fr-FR" w:eastAsia="en-US"/>
        </w:rPr>
        <w:t>6.4.24.2 a)</w:t>
      </w:r>
      <w:r w:rsidRPr="00DA64D8">
        <w:rPr>
          <w:rFonts w:eastAsiaTheme="minorHAnsi"/>
          <w:lang w:val="fr-FR" w:eastAsia="en-US"/>
        </w:rPr>
        <w:tab/>
        <w:t>Modifier comme suit : « Les emballages qui ont été fabriqués suivant un modèle de colis agréé par l’autorité compétente en vertu des dispositions de l’édition de 1985 ou de l’édition de 1985 (telle que modifiée en 1990) du Règlement de transport des matières radioactives de l’AIEA peuvent encore être utilisés à condition que toutes les conditions suivantes soient réunies : ».</w:t>
      </w:r>
    </w:p>
    <w:p w14:paraId="70FFFD49"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27A4C711" w14:textId="77777777" w:rsidR="006F4C01" w:rsidRPr="00DA64D8" w:rsidRDefault="006F4C01" w:rsidP="006F4C01">
      <w:pPr>
        <w:tabs>
          <w:tab w:val="left" w:pos="2268"/>
        </w:tabs>
        <w:spacing w:after="120"/>
        <w:ind w:left="2268" w:right="1134" w:hanging="1134"/>
        <w:jc w:val="both"/>
        <w:rPr>
          <w:rFonts w:eastAsiaTheme="minorHAnsi"/>
          <w:lang w:val="fr-FR" w:eastAsia="en-US"/>
        </w:rPr>
      </w:pPr>
      <w:r w:rsidRPr="00DA64D8">
        <w:rPr>
          <w:rFonts w:eastAsiaTheme="minorHAnsi"/>
          <w:lang w:val="fr-FR" w:eastAsia="en-US"/>
        </w:rPr>
        <w:t>6.4.24.2 b)</w:t>
      </w:r>
      <w:r w:rsidRPr="00DA64D8">
        <w:rPr>
          <w:rFonts w:eastAsiaTheme="minorHAnsi"/>
          <w:lang w:val="fr-FR" w:eastAsia="en-US"/>
        </w:rPr>
        <w:tab/>
        <w:t>Modifier comme suit : « Les emballages qui ont été fabriqués suivant un modèle de colis agréé par l’autorité compétente en vertu des dispositions des éditions de 1996, de 1996 (révisée), de 1996 (telle que modifiée en 2003), de 2005, de 2009 et de 2012 du Règlement de transport des matières radioactives de l’AIEA, peuvent encore être utilisés à condition que toutes les conditions suivantes soient réunies : ».</w:t>
      </w:r>
    </w:p>
    <w:p w14:paraId="7775A03A" w14:textId="77777777" w:rsidR="006F4C01" w:rsidRDefault="006F4C01" w:rsidP="006F4C01">
      <w:pPr>
        <w:kinsoku/>
        <w:overflowPunct/>
        <w:autoSpaceDE/>
        <w:autoSpaceDN/>
        <w:adjustRightInd/>
        <w:snapToGrid/>
        <w:spacing w:after="120"/>
        <w:ind w:left="2268" w:right="1134" w:hanging="1134"/>
        <w:jc w:val="both"/>
        <w:rPr>
          <w:i/>
          <w:iCs/>
          <w:lang w:val="fr-FR" w:eastAsia="en-US"/>
        </w:rPr>
      </w:pPr>
      <w:bookmarkStart w:id="3" w:name="_Hlk36655002"/>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6D981758" w14:textId="77777777" w:rsidR="00FF0326" w:rsidRDefault="00FF0326">
      <w:pPr>
        <w:suppressAutoHyphens w:val="0"/>
        <w:kinsoku/>
        <w:overflowPunct/>
        <w:autoSpaceDE/>
        <w:autoSpaceDN/>
        <w:adjustRightInd/>
        <w:snapToGrid/>
        <w:spacing w:after="200" w:line="276" w:lineRule="auto"/>
        <w:rPr>
          <w:rFonts w:eastAsiaTheme="minorHAnsi"/>
          <w:lang w:val="fr-FR" w:eastAsia="en-US"/>
        </w:rPr>
      </w:pPr>
      <w:r>
        <w:rPr>
          <w:rFonts w:eastAsiaTheme="minorHAnsi"/>
          <w:lang w:val="fr-FR" w:eastAsia="en-US"/>
        </w:rPr>
        <w:br w:type="page"/>
      </w:r>
    </w:p>
    <w:p w14:paraId="7690D517" w14:textId="6A6CDE46" w:rsidR="006F4C01" w:rsidRPr="00DA64D8" w:rsidRDefault="006F4C01" w:rsidP="006F4C01">
      <w:pPr>
        <w:tabs>
          <w:tab w:val="left" w:pos="2268"/>
        </w:tabs>
        <w:spacing w:after="120"/>
        <w:ind w:left="2268" w:right="1134" w:hanging="1134"/>
        <w:jc w:val="both"/>
        <w:rPr>
          <w:rFonts w:eastAsiaTheme="minorHAnsi"/>
          <w:lang w:val="fr-FR" w:eastAsia="en-US"/>
        </w:rPr>
      </w:pPr>
      <w:r w:rsidRPr="00DA64D8">
        <w:rPr>
          <w:rFonts w:eastAsiaTheme="minorHAnsi"/>
          <w:lang w:val="fr-FR" w:eastAsia="en-US"/>
        </w:rPr>
        <w:lastRenderedPageBreak/>
        <w:t>6.4.24.3</w:t>
      </w:r>
      <w:r w:rsidRPr="00DA64D8">
        <w:rPr>
          <w:rFonts w:eastAsiaTheme="minorHAnsi"/>
          <w:lang w:val="fr-FR" w:eastAsia="en-US"/>
        </w:rPr>
        <w:tab/>
        <w:t>Supprimer « (Collection de Sécurité n° 6) ».</w:t>
      </w:r>
    </w:p>
    <w:bookmarkEnd w:id="3"/>
    <w:p w14:paraId="2D4BD5A8"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51506313" w14:textId="77777777" w:rsidR="006F4C01" w:rsidRPr="00DA64D8" w:rsidRDefault="006F4C01" w:rsidP="006F4C01">
      <w:pPr>
        <w:tabs>
          <w:tab w:val="left" w:pos="2268"/>
        </w:tabs>
        <w:spacing w:after="120"/>
        <w:ind w:left="2268" w:right="1134" w:hanging="1134"/>
        <w:jc w:val="both"/>
        <w:rPr>
          <w:rFonts w:eastAsiaTheme="minorHAnsi"/>
          <w:lang w:val="fr-FR" w:eastAsia="en-US"/>
        </w:rPr>
      </w:pPr>
      <w:r w:rsidRPr="00DA64D8">
        <w:rPr>
          <w:rFonts w:eastAsiaTheme="minorHAnsi"/>
          <w:lang w:val="fr-FR" w:eastAsia="en-US"/>
        </w:rPr>
        <w:t>6.4.24.4</w:t>
      </w:r>
      <w:r w:rsidRPr="00DA64D8">
        <w:rPr>
          <w:rFonts w:eastAsiaTheme="minorHAnsi"/>
          <w:lang w:val="fr-FR" w:eastAsia="en-US"/>
        </w:rPr>
        <w:tab/>
        <w:t>Modifier comme suit : « Il n’est pas permis de commencer après le 31 décembre 2028 une nouvelle fabrication d’emballages suivant un modèle de colis satisfaisant aux dispositions des éditions de 1996, de 1996 (révisée), de 1996 (telle que modifiée en 2003), de 2005, de 2009 et de 2012 du Règlement de transport des matières radioactives de l’AIEA. ».</w:t>
      </w:r>
    </w:p>
    <w:p w14:paraId="13F5AFF7"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1</w:t>
      </w:r>
      <w:r w:rsidRPr="00684533">
        <w:rPr>
          <w:i/>
          <w:iCs/>
          <w:lang w:val="fr-FR" w:eastAsia="en-US"/>
        </w:rPr>
        <w:t>)</w:t>
      </w:r>
    </w:p>
    <w:p w14:paraId="536C44F6" w14:textId="77777777" w:rsidR="006F4C01" w:rsidRPr="00DA64D8" w:rsidRDefault="006F4C01" w:rsidP="006F4C01">
      <w:pPr>
        <w:tabs>
          <w:tab w:val="left" w:pos="2268"/>
        </w:tabs>
        <w:spacing w:after="120"/>
        <w:ind w:left="2268" w:right="1134" w:hanging="1134"/>
        <w:jc w:val="both"/>
        <w:rPr>
          <w:rFonts w:eastAsiaTheme="minorHAnsi"/>
          <w:lang w:val="fr-FR" w:eastAsia="en-US"/>
        </w:rPr>
      </w:pPr>
      <w:r w:rsidRPr="00DA64D8">
        <w:rPr>
          <w:rFonts w:eastAsiaTheme="minorHAnsi"/>
          <w:lang w:val="fr-FR" w:eastAsia="en-US"/>
        </w:rPr>
        <w:t>6.4.24.5</w:t>
      </w:r>
      <w:r w:rsidRPr="00DA64D8">
        <w:rPr>
          <w:rFonts w:eastAsiaTheme="minorHAnsi"/>
          <w:lang w:val="fr-FR" w:eastAsia="en-US"/>
        </w:rPr>
        <w:tab/>
        <w:t>Dans le titre placé au-dessus du paragraphe 6.4.24.5, remplacer « (édition de 2009 du Règlement de transport des matières radioactives de l’AIEA (n</w:t>
      </w:r>
      <w:r w:rsidRPr="00DA64D8">
        <w:rPr>
          <w:rFonts w:eastAsiaTheme="minorHAnsi"/>
          <w:vertAlign w:val="superscript"/>
          <w:lang w:val="fr-FR" w:eastAsia="en-US"/>
        </w:rPr>
        <w:t>o</w:t>
      </w:r>
      <w:r w:rsidRPr="00DA64D8">
        <w:rPr>
          <w:rFonts w:eastAsiaTheme="minorHAnsi"/>
          <w:lang w:val="fr-FR" w:eastAsia="en-US"/>
        </w:rPr>
        <w:t> TS-R-1) » par « (édition de 2009 du Règlement de transport des matières radioactives de l’AIEA) ».</w:t>
      </w:r>
      <w:r>
        <w:rPr>
          <w:rFonts w:eastAsiaTheme="minorHAnsi"/>
          <w:lang w:val="fr-FR" w:eastAsia="en-US"/>
        </w:rPr>
        <w:t xml:space="preserve"> La deuxième modification ne s’applique pas au texte français.</w:t>
      </w:r>
    </w:p>
    <w:p w14:paraId="7B9E6DFA" w14:textId="77777777" w:rsidR="006F4C01" w:rsidRDefault="006F4C01" w:rsidP="006F4C01">
      <w:pPr>
        <w:kinsoku/>
        <w:overflowPunct/>
        <w:autoSpaceDE/>
        <w:autoSpaceDN/>
        <w:adjustRightInd/>
        <w:snapToGrid/>
        <w:spacing w:after="120"/>
        <w:ind w:left="2268" w:right="1134" w:hanging="1134"/>
        <w:jc w:val="both"/>
        <w:rPr>
          <w:i/>
          <w:iCs/>
          <w:lang w:val="fr-FR" w:eastAsia="en-US"/>
        </w:rPr>
      </w:pPr>
      <w:r w:rsidRPr="00684533">
        <w:rPr>
          <w:i/>
          <w:iCs/>
          <w:lang w:val="fr-FR" w:eastAsia="en-US"/>
        </w:rPr>
        <w:t xml:space="preserve">(Document de référence : </w:t>
      </w:r>
      <w:r w:rsidRPr="00007C2E">
        <w:rPr>
          <w:i/>
          <w:iCs/>
        </w:rPr>
        <w:t>ST/SG/AC.10/C.3/2020/</w:t>
      </w:r>
      <w:r>
        <w:rPr>
          <w:i/>
          <w:iCs/>
        </w:rPr>
        <w:t xml:space="preserve">1 et </w:t>
      </w:r>
      <w:r>
        <w:rPr>
          <w:i/>
          <w:iCs/>
          <w:lang w:val="fr-FR" w:eastAsia="en-US"/>
        </w:rPr>
        <w:t>document informel INF.24</w:t>
      </w:r>
      <w:r w:rsidRPr="00684533">
        <w:rPr>
          <w:i/>
          <w:iCs/>
          <w:lang w:val="fr-FR" w:eastAsia="en-US"/>
        </w:rPr>
        <w:t>)</w:t>
      </w:r>
    </w:p>
    <w:p w14:paraId="07EDFD25" w14:textId="77777777" w:rsidR="006F4C01" w:rsidRPr="00DA64D8" w:rsidRDefault="006F4C01" w:rsidP="006F4C01">
      <w:pPr>
        <w:tabs>
          <w:tab w:val="left" w:pos="2268"/>
        </w:tabs>
        <w:spacing w:after="120"/>
        <w:ind w:left="2268" w:right="1134" w:hanging="1134"/>
        <w:jc w:val="both"/>
        <w:rPr>
          <w:rFonts w:eastAsiaTheme="minorHAnsi"/>
          <w:lang w:val="fr-FR" w:eastAsia="en-US"/>
        </w:rPr>
      </w:pPr>
      <w:r w:rsidRPr="00DA64D8">
        <w:rPr>
          <w:rFonts w:eastAsiaTheme="minorHAnsi"/>
          <w:lang w:val="fr-FR" w:eastAsia="en-US"/>
        </w:rPr>
        <w:t>6.4.24.6</w:t>
      </w:r>
      <w:r w:rsidRPr="00DA64D8">
        <w:rPr>
          <w:rFonts w:eastAsiaTheme="minorHAnsi"/>
          <w:lang w:val="fr-FR" w:eastAsia="en-US"/>
        </w:rPr>
        <w:tab/>
        <w:t>Modifier le titre placé au-dessus du paragraphe 6.4.24.6 comme suit : « Matières radioactives sous forme spéciale agréées en vertu des éditions de 1985, de 1985 (telle que modifiée en 1990), de 1996, de 1996 (révisée), de 1996 (telle que modifiée en 2003), de 2005, de 2009 et de 2012 du Règlement de transport des matières radioactives de l’AIEA ».</w:t>
      </w:r>
    </w:p>
    <w:p w14:paraId="50152884" w14:textId="77777777" w:rsidR="006F4C01" w:rsidRDefault="006F4C01" w:rsidP="006F4C01">
      <w:pPr>
        <w:tabs>
          <w:tab w:val="left" w:pos="2268"/>
        </w:tabs>
        <w:spacing w:after="120"/>
        <w:ind w:left="2268" w:right="1134" w:hanging="1134"/>
        <w:jc w:val="both"/>
        <w:rPr>
          <w:rFonts w:eastAsiaTheme="minorHAnsi"/>
          <w:lang w:val="fr-FR" w:eastAsia="en-US"/>
        </w:rPr>
      </w:pPr>
      <w:bookmarkStart w:id="4" w:name="_Hlk36655076"/>
      <w:r w:rsidRPr="00DA64D8">
        <w:rPr>
          <w:rFonts w:eastAsiaTheme="minorHAnsi"/>
          <w:lang w:val="fr-FR" w:eastAsia="en-US"/>
        </w:rPr>
        <w:tab/>
        <w:t xml:space="preserve">Modifier </w:t>
      </w:r>
      <w:r>
        <w:rPr>
          <w:rFonts w:eastAsiaTheme="minorHAnsi"/>
          <w:lang w:val="fr-FR" w:eastAsia="en-US"/>
        </w:rPr>
        <w:t xml:space="preserve">le paragraphe pour lire comme </w:t>
      </w:r>
      <w:r w:rsidRPr="00DA64D8">
        <w:rPr>
          <w:rFonts w:eastAsiaTheme="minorHAnsi"/>
          <w:lang w:val="fr-FR" w:eastAsia="en-US"/>
        </w:rPr>
        <w:t xml:space="preserve">suit : </w:t>
      </w:r>
    </w:p>
    <w:p w14:paraId="56C03302" w14:textId="77777777" w:rsidR="006F4C01" w:rsidRPr="00DA64D8" w:rsidRDefault="006F4C01" w:rsidP="006F4C01">
      <w:pPr>
        <w:spacing w:after="120"/>
        <w:ind w:left="1134" w:right="1134"/>
        <w:jc w:val="both"/>
        <w:rPr>
          <w:rFonts w:eastAsiaTheme="minorHAnsi"/>
          <w:lang w:eastAsia="en-US"/>
        </w:rPr>
      </w:pPr>
      <w:r w:rsidRPr="00DA64D8">
        <w:rPr>
          <w:rFonts w:eastAsiaTheme="minorHAnsi"/>
          <w:lang w:val="fr-FR" w:eastAsia="en-US"/>
        </w:rPr>
        <w:t>« Les matières radioactives sous forme spéciale fabriquées suivant un modèle qui a reçu l’agrément unilatéral de l’autorité compétente en vertu des éditions de 1985, de 1985 (telle que modifiée en 1990), de 1996, de 1996 (révisée), de 1996 (telle que modifiée en 2003), de 2005, de 2009 et de 2012 du Règlement de transport des matières radioactives de l’AIEA, peuvent continuer d’être utilisées si elles satisfont au système de management obligatoire conformément aux prescriptions applicables énoncées au paragraphe 1.5.3.1. Aucune matière radioactive sous forme spéciale fabriquée suivant un modèle qui a reçu l’agrément unilatéral de l’autorité compétente en vertu des éditions de 1985 ou de 1985 (telle que modifiée en 1990) du Règlement de transport des matières radioactives de l’AIEA ne doit être fabriquée. Il n’est pas permis de commencer après le 31 décembre 2025 une nouvelle fabrication de matières radioactives sous forme spéciale suivant un modèle ayant reçu un agrément unilatéral de l’autorité compétente en vertu des éditions de 1996, de 1996 (révisée), de 1996 (telle que modifiée en 2003), de 2005, de 2009 et de 2012 du Règlement de transport des matières radioactives de l’AIEA. ».</w:t>
      </w:r>
    </w:p>
    <w:bookmarkEnd w:id="4"/>
    <w:p w14:paraId="2671B283" w14:textId="77777777" w:rsidR="006F4C01" w:rsidRPr="00A52956" w:rsidRDefault="006F4C01" w:rsidP="006F4C01">
      <w:pPr>
        <w:spacing w:after="120"/>
        <w:ind w:left="1134" w:right="1134"/>
        <w:jc w:val="both"/>
        <w:rPr>
          <w:i/>
        </w:rPr>
      </w:pPr>
      <w:r w:rsidRPr="00692350">
        <w:rPr>
          <w:i/>
        </w:rPr>
        <w:t>(Document de référence : ST/SG/AC.10/C.3/</w:t>
      </w:r>
      <w:r>
        <w:rPr>
          <w:i/>
        </w:rPr>
        <w:t>2020/1 tel que modifié suivant le document informel INF.24</w:t>
      </w:r>
      <w:r w:rsidRPr="00692350">
        <w:rPr>
          <w:i/>
        </w:rPr>
        <w:t>)</w:t>
      </w:r>
    </w:p>
    <w:p w14:paraId="72DA1CCF"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6.5</w:t>
      </w:r>
    </w:p>
    <w:p w14:paraId="34902D82" w14:textId="77777777" w:rsidR="006F4C01" w:rsidRDefault="006F4C01" w:rsidP="006F4C01">
      <w:pPr>
        <w:pStyle w:val="SingleTxtG"/>
        <w:rPr>
          <w:rFonts w:eastAsiaTheme="minorHAnsi"/>
          <w:lang w:val="fr-FR" w:eastAsia="en-US"/>
        </w:rPr>
      </w:pPr>
      <w:r>
        <w:rPr>
          <w:lang w:val="fr-FR" w:eastAsia="en-US"/>
        </w:rPr>
        <w:t>6.5.2.1</w:t>
      </w:r>
      <w:r>
        <w:rPr>
          <w:lang w:val="fr-FR" w:eastAsia="en-US"/>
        </w:rPr>
        <w:tab/>
        <w:t>.2</w:t>
      </w:r>
      <w:r>
        <w:rPr>
          <w:lang w:val="fr-FR" w:eastAsia="en-US"/>
        </w:rPr>
        <w:tab/>
      </w:r>
      <w:r>
        <w:rPr>
          <w:rFonts w:eastAsiaTheme="minorHAnsi"/>
          <w:lang w:val="fr-FR" w:eastAsia="en-US"/>
        </w:rPr>
        <w:t>Ajouter un nouveau 6.5.2.1.2 libellé comme suit :</w:t>
      </w:r>
    </w:p>
    <w:p w14:paraId="1A2E94E4" w14:textId="77777777" w:rsidR="006F4C01" w:rsidRDefault="006F4C01" w:rsidP="006F4C01">
      <w:pPr>
        <w:pStyle w:val="SingleTxtG"/>
        <w:rPr>
          <w:rFonts w:eastAsiaTheme="minorHAnsi"/>
          <w:lang w:val="fr-FR" w:eastAsia="en-US"/>
        </w:rPr>
      </w:pPr>
      <w:r>
        <w:rPr>
          <w:rFonts w:eastAsiaTheme="minorHAnsi"/>
          <w:lang w:val="fr-FR" w:eastAsia="en-US"/>
        </w:rPr>
        <w:t>« 6.5.2.1.2</w:t>
      </w:r>
      <w:r>
        <w:rPr>
          <w:rFonts w:eastAsiaTheme="minorHAnsi"/>
          <w:lang w:val="fr-FR" w:eastAsia="en-US"/>
        </w:rPr>
        <w:tab/>
        <w:t>Les GRV fabriqués avec des matières plastiques recyclée telles que définies au 1.2.1 doivent porter la marque "REC". Pour les GRV rigides, cette marque doit être placée à proximité des marques prescrites au 6.5.2.1.1. Pour le récipient intérieur des GRV composites, cette marque doit être placée à proximité des marques prescrites au 6.5.2.2.4. »</w:t>
      </w:r>
    </w:p>
    <w:p w14:paraId="0812BF4E" w14:textId="77777777" w:rsidR="006F4C01" w:rsidRDefault="006F4C01" w:rsidP="006F4C01">
      <w:pPr>
        <w:pStyle w:val="SingleTxtG"/>
        <w:ind w:left="2268"/>
        <w:rPr>
          <w:rFonts w:eastAsiaTheme="minorHAnsi"/>
          <w:lang w:val="fr-FR" w:eastAsia="en-US"/>
        </w:rPr>
      </w:pPr>
      <w:r>
        <w:t>Renuméroter les 6.5.2.1.2 et 6.5.2.1.3 actuels en 6.5.2.1.3 et 6.5.2.1.4 respectivement.</w:t>
      </w:r>
    </w:p>
    <w:p w14:paraId="5241C9F5"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document informel INF.47, proposition 1, telle que modifiée)</w:t>
      </w:r>
    </w:p>
    <w:p w14:paraId="40EDA5CE"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6.5.4.1</w:t>
      </w:r>
      <w:r>
        <w:rPr>
          <w:lang w:eastAsia="en-US"/>
        </w:rPr>
        <w:tab/>
        <w:t>Dans le Nota, remplacer « ISO 16106:2006 » par « ISO 16106:2020 »</w:t>
      </w:r>
      <w:r w:rsidRPr="00D842DF">
        <w:rPr>
          <w:lang w:eastAsia="en-US"/>
        </w:rPr>
        <w:t xml:space="preserve"> </w:t>
      </w:r>
      <w:r>
        <w:rPr>
          <w:lang w:eastAsia="en-US"/>
        </w:rPr>
        <w:t>et modifier le titre de la norme pour lire « Emballages de transport pour marchandises dangereuses – Emballages pour marchandises dangereuses, grands récipients pour vrac (GRV) et grands emballages – Lignes directrices pour l’application de la norme ISO. ».</w:t>
      </w:r>
    </w:p>
    <w:p w14:paraId="77FE9597"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lastRenderedPageBreak/>
        <w:tab/>
      </w:r>
      <w:r w:rsidRPr="00F7088C">
        <w:rPr>
          <w:i/>
          <w:iCs/>
          <w:lang w:eastAsia="en-US"/>
        </w:rPr>
        <w:t xml:space="preserve">(Document de référence : </w:t>
      </w:r>
      <w:r>
        <w:rPr>
          <w:i/>
          <w:iCs/>
          <w:lang w:eastAsia="en-US"/>
        </w:rPr>
        <w:t>ST/SG/AC.10/C.3/2020/50</w:t>
      </w:r>
      <w:r w:rsidRPr="00F7088C">
        <w:rPr>
          <w:i/>
          <w:iCs/>
          <w:lang w:eastAsia="en-US"/>
        </w:rPr>
        <w:t>)</w:t>
      </w:r>
    </w:p>
    <w:p w14:paraId="7CBDC62D"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6.6</w:t>
      </w:r>
    </w:p>
    <w:p w14:paraId="1768A429"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6.6.1.2</w:t>
      </w:r>
      <w:r>
        <w:rPr>
          <w:lang w:eastAsia="en-US"/>
        </w:rPr>
        <w:tab/>
        <w:t>Dans le Nota, remplacer « ISO 16106:2006 » par « ISO 16106:2020 »</w:t>
      </w:r>
      <w:r w:rsidRPr="00D842DF">
        <w:rPr>
          <w:lang w:eastAsia="en-US"/>
        </w:rPr>
        <w:t xml:space="preserve"> </w:t>
      </w:r>
      <w:r>
        <w:rPr>
          <w:lang w:eastAsia="en-US"/>
        </w:rPr>
        <w:t>et modifier le titre de la norme pour lire « Emballages de transport pour marchandises dangereuses – Emballages pour marchandises dangereuses, grands récipients pour vrac (GRV) et grands emballages – Lignes directrices pour l’application de la norme ISO. ».</w:t>
      </w:r>
    </w:p>
    <w:p w14:paraId="246E7D75"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ST/SG/AC.10/C.3/2020/50</w:t>
      </w:r>
      <w:r w:rsidRPr="00F7088C">
        <w:rPr>
          <w:i/>
          <w:iCs/>
          <w:lang w:eastAsia="en-US"/>
        </w:rPr>
        <w:t>)</w:t>
      </w:r>
    </w:p>
    <w:p w14:paraId="3DCFACB3" w14:textId="77777777" w:rsidR="006F4C01" w:rsidRDefault="006F4C01" w:rsidP="006F4C01">
      <w:pPr>
        <w:pStyle w:val="SingleTxtG"/>
        <w:ind w:left="2268" w:hanging="1134"/>
        <w:rPr>
          <w:rFonts w:eastAsiaTheme="minorHAnsi"/>
          <w:lang w:val="fr-FR" w:eastAsia="en-US"/>
        </w:rPr>
      </w:pPr>
      <w:r>
        <w:rPr>
          <w:lang w:val="fr-FR" w:eastAsia="en-US"/>
        </w:rPr>
        <w:t>6.6.1.3</w:t>
      </w:r>
      <w:r>
        <w:rPr>
          <w:lang w:val="fr-FR" w:eastAsia="en-US"/>
        </w:rPr>
        <w:tab/>
      </w:r>
      <w:r>
        <w:rPr>
          <w:lang w:val="fr-FR" w:eastAsia="en-US"/>
        </w:rPr>
        <w:tab/>
      </w:r>
      <w:r>
        <w:rPr>
          <w:rFonts w:eastAsiaTheme="minorHAnsi"/>
          <w:lang w:val="fr-FR" w:eastAsia="en-US"/>
        </w:rPr>
        <w:t>Dans la deuxième phrase, remplacer « aux épreuves décrites » par « aux prescriptions décrites. ».</w:t>
      </w:r>
    </w:p>
    <w:p w14:paraId="63211588"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ST/SG/AC.10/C.3/2020/28/Rev.1)</w:t>
      </w:r>
    </w:p>
    <w:p w14:paraId="0743FFB1" w14:textId="77777777" w:rsidR="006F4C01" w:rsidRPr="0086119F" w:rsidRDefault="006F4C01" w:rsidP="006F4C01">
      <w:pPr>
        <w:keepNext/>
        <w:keepLines/>
        <w:tabs>
          <w:tab w:val="right" w:pos="851"/>
        </w:tabs>
        <w:spacing w:before="360" w:after="240" w:line="270" w:lineRule="exact"/>
        <w:ind w:left="1134" w:right="1134" w:hanging="1134"/>
        <w:rPr>
          <w:b/>
          <w:sz w:val="24"/>
          <w:lang w:val="fr-FR"/>
        </w:rPr>
      </w:pPr>
      <w:r w:rsidRPr="0086119F">
        <w:rPr>
          <w:b/>
          <w:sz w:val="24"/>
          <w:lang w:val="fr-FR"/>
        </w:rPr>
        <w:tab/>
      </w:r>
      <w:r w:rsidRPr="0086119F">
        <w:rPr>
          <w:b/>
          <w:sz w:val="24"/>
          <w:lang w:val="fr-FR"/>
        </w:rPr>
        <w:tab/>
        <w:t>Chapitre 6.7</w:t>
      </w:r>
    </w:p>
    <w:p w14:paraId="56B4D163" w14:textId="77777777" w:rsidR="006F4C01" w:rsidRPr="0086119F" w:rsidRDefault="006F4C01" w:rsidP="006F4C01">
      <w:pPr>
        <w:pStyle w:val="SingleTxtG"/>
        <w:ind w:left="2268" w:hanging="1134"/>
        <w:rPr>
          <w:lang w:val="fr-FR"/>
        </w:rPr>
      </w:pPr>
      <w:r w:rsidRPr="0086119F">
        <w:rPr>
          <w:lang w:val="fr-FR"/>
        </w:rPr>
        <w:t>6.7.3.8.1.1</w:t>
      </w:r>
      <w:r w:rsidRPr="0086119F">
        <w:rPr>
          <w:lang w:val="fr-FR"/>
        </w:rPr>
        <w:tab/>
        <w:t>Supprimer la note de bas de page 4 et renuméroter les notes de bas de page du chapitre 6.7 en conséquence. Ajouter un nouveau Nota à la fin de 6.7.3.8.1.1 avec le texte de cette note comme suit :</w:t>
      </w:r>
    </w:p>
    <w:p w14:paraId="71D1A39F" w14:textId="77777777" w:rsidR="006F4C01" w:rsidRPr="0086119F" w:rsidRDefault="006F4C01" w:rsidP="006F4C01">
      <w:pPr>
        <w:kinsoku/>
        <w:overflowPunct/>
        <w:autoSpaceDE/>
        <w:autoSpaceDN/>
        <w:adjustRightInd/>
        <w:snapToGrid/>
        <w:spacing w:after="120"/>
        <w:ind w:left="1134" w:right="1134"/>
        <w:jc w:val="both"/>
        <w:rPr>
          <w:lang w:val="fr-FR" w:eastAsia="en-US"/>
        </w:rPr>
      </w:pPr>
      <w:r w:rsidRPr="0086119F">
        <w:rPr>
          <w:lang w:val="fr-FR" w:eastAsia="en-US"/>
        </w:rPr>
        <w:t>«</w:t>
      </w:r>
      <w:r>
        <w:rPr>
          <w:lang w:val="fr-FR" w:eastAsia="en-US"/>
        </w:rPr>
        <w:t> </w:t>
      </w:r>
      <w:r w:rsidRPr="0086119F">
        <w:rPr>
          <w:b/>
          <w:bCs/>
          <w:i/>
          <w:iCs/>
          <w:lang w:val="fr-FR" w:eastAsia="en-US"/>
        </w:rPr>
        <w:t>NOTA</w:t>
      </w:r>
      <w:r>
        <w:rPr>
          <w:b/>
          <w:bCs/>
          <w:i/>
          <w:iCs/>
          <w:lang w:val="fr-FR" w:eastAsia="en-US"/>
        </w:rPr>
        <w:t> </w:t>
      </w:r>
      <w:r w:rsidRPr="0086119F">
        <w:rPr>
          <w:b/>
          <w:bCs/>
          <w:i/>
          <w:iCs/>
          <w:lang w:val="fr-FR" w:eastAsia="en-US"/>
        </w:rPr>
        <w:t>:</w:t>
      </w:r>
      <w:r w:rsidRPr="0086119F">
        <w:rPr>
          <w:i/>
          <w:iCs/>
          <w:lang w:val="fr-FR" w:eastAsia="en-US"/>
        </w:rPr>
        <w:t xml:space="preserve"> Cette formule ne s’applique qu’aux gaz liquéfiés non réfrigérés dont la température critique est bien supérieure à la température à la condition d’accumulation. Pour les gaz qui ont des températures critiques proches de la température à la condition d’accumulation ou inférieure à celle-ci, le calcul du débit combiné des dispositifs de décompression doit tenir compte des autres propriétés thermodynamiques du gaz (voir par exemple CGA S-1.2-2003 “Pressure Relief </w:t>
      </w:r>
      <w:proofErr w:type="spellStart"/>
      <w:r w:rsidRPr="0086119F">
        <w:rPr>
          <w:i/>
          <w:iCs/>
          <w:lang w:val="fr-FR" w:eastAsia="en-US"/>
        </w:rPr>
        <w:t>Device</w:t>
      </w:r>
      <w:proofErr w:type="spellEnd"/>
      <w:r w:rsidRPr="0086119F">
        <w:rPr>
          <w:i/>
          <w:iCs/>
          <w:lang w:val="fr-FR" w:eastAsia="en-US"/>
        </w:rPr>
        <w:t xml:space="preserve"> Standards − Part 2 − Cargo and Portable Tanks for Compressed </w:t>
      </w:r>
      <w:proofErr w:type="spellStart"/>
      <w:r w:rsidRPr="0086119F">
        <w:rPr>
          <w:i/>
          <w:iCs/>
          <w:lang w:val="fr-FR" w:eastAsia="en-US"/>
        </w:rPr>
        <w:t>Gases</w:t>
      </w:r>
      <w:proofErr w:type="spellEnd"/>
      <w:r w:rsidRPr="0086119F">
        <w:rPr>
          <w:i/>
          <w:iCs/>
          <w:lang w:val="fr-FR" w:eastAsia="en-US"/>
        </w:rPr>
        <w:t>”).</w:t>
      </w:r>
      <w:r>
        <w:rPr>
          <w:lang w:val="fr-FR" w:eastAsia="en-US"/>
        </w:rPr>
        <w:t> </w:t>
      </w:r>
      <w:r w:rsidRPr="0086119F">
        <w:rPr>
          <w:lang w:val="fr-FR" w:eastAsia="en-US"/>
        </w:rPr>
        <w:t>».</w:t>
      </w:r>
    </w:p>
    <w:p w14:paraId="127EF0BE"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ST/SG/AC.10/C.3/2020/74, proposition 6)</w:t>
      </w:r>
    </w:p>
    <w:p w14:paraId="2AE664BE"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sidRPr="00F7088C">
        <w:rPr>
          <w:lang w:eastAsia="en-US"/>
        </w:rPr>
        <w:t xml:space="preserve">Chapitre </w:t>
      </w:r>
      <w:r>
        <w:rPr>
          <w:lang w:eastAsia="en-US"/>
        </w:rPr>
        <w:t>7.1</w:t>
      </w:r>
    </w:p>
    <w:p w14:paraId="63B39DF2" w14:textId="77777777" w:rsidR="006F4C01" w:rsidRDefault="006F4C01" w:rsidP="006F4C01">
      <w:pPr>
        <w:tabs>
          <w:tab w:val="left" w:pos="2268"/>
        </w:tabs>
        <w:kinsoku/>
        <w:overflowPunct/>
        <w:autoSpaceDE/>
        <w:autoSpaceDN/>
        <w:adjustRightInd/>
        <w:snapToGrid/>
        <w:spacing w:after="120"/>
        <w:ind w:left="2268" w:right="1134" w:hanging="1134"/>
        <w:jc w:val="both"/>
        <w:rPr>
          <w:lang w:eastAsia="en-US"/>
        </w:rPr>
      </w:pPr>
      <w:r>
        <w:rPr>
          <w:lang w:eastAsia="en-US"/>
        </w:rPr>
        <w:t>7.1.5.3.2 a)</w:t>
      </w:r>
      <w:r>
        <w:rPr>
          <w:lang w:eastAsia="en-US"/>
        </w:rPr>
        <w:tab/>
        <w:t xml:space="preserve">Remplacer « contient la mention </w:t>
      </w:r>
      <w:r w:rsidRPr="00655B55">
        <w:rPr>
          <w:lang w:eastAsia="en-US"/>
        </w:rPr>
        <w:t>"STABILISÉ"</w:t>
      </w:r>
      <w:r>
        <w:rPr>
          <w:lang w:eastAsia="en-US"/>
        </w:rPr>
        <w:t xml:space="preserve"> » par « contient la mention </w:t>
      </w:r>
      <w:r w:rsidRPr="00655B55">
        <w:rPr>
          <w:lang w:eastAsia="en-US"/>
        </w:rPr>
        <w:t>"</w:t>
      </w:r>
      <w:r>
        <w:rPr>
          <w:lang w:eastAsia="en-US"/>
        </w:rPr>
        <w:t xml:space="preserve">AVEC </w:t>
      </w:r>
      <w:r w:rsidRPr="008F6BBF">
        <w:rPr>
          <w:lang w:eastAsia="en-US"/>
        </w:rPr>
        <w:t>RÉGULATION DE TEMPÉRATURE</w:t>
      </w:r>
      <w:r w:rsidRPr="00655B55">
        <w:rPr>
          <w:lang w:eastAsia="en-US"/>
        </w:rPr>
        <w:t>"</w:t>
      </w:r>
      <w:r>
        <w:rPr>
          <w:lang w:eastAsia="en-US"/>
        </w:rPr>
        <w:t> ».</w:t>
      </w:r>
    </w:p>
    <w:p w14:paraId="7CBF2D58" w14:textId="77777777" w:rsidR="006F4C01" w:rsidRPr="00F7088C" w:rsidRDefault="006F4C01" w:rsidP="006F4C01">
      <w:pPr>
        <w:kinsoku/>
        <w:overflowPunct/>
        <w:autoSpaceDE/>
        <w:autoSpaceDN/>
        <w:adjustRightInd/>
        <w:snapToGrid/>
        <w:spacing w:after="120"/>
        <w:ind w:left="1134" w:right="1134"/>
        <w:jc w:val="both"/>
        <w:rPr>
          <w:i/>
          <w:iCs/>
          <w:lang w:eastAsia="en-US"/>
        </w:rPr>
      </w:pPr>
      <w:r w:rsidRPr="00F7088C">
        <w:rPr>
          <w:lang w:eastAsia="en-US"/>
        </w:rPr>
        <w:tab/>
      </w:r>
      <w:r w:rsidRPr="00F7088C">
        <w:rPr>
          <w:i/>
          <w:iCs/>
          <w:lang w:eastAsia="en-US"/>
        </w:rPr>
        <w:t xml:space="preserve">(Document de référence : </w:t>
      </w:r>
      <w:r>
        <w:rPr>
          <w:i/>
          <w:iCs/>
          <w:lang w:eastAsia="en-US"/>
        </w:rPr>
        <w:t>ST/SG/AC.10/C.3/2020/15 tel que modifié</w:t>
      </w:r>
      <w:r w:rsidRPr="00F7088C">
        <w:rPr>
          <w:i/>
          <w:iCs/>
          <w:lang w:eastAsia="en-US"/>
        </w:rPr>
        <w:t>)</w:t>
      </w:r>
    </w:p>
    <w:p w14:paraId="4D3B8067" w14:textId="77777777" w:rsidR="006F4C01" w:rsidRPr="0086119F" w:rsidRDefault="006F4C01" w:rsidP="006F4C01">
      <w:pPr>
        <w:pStyle w:val="SingleTxtG"/>
        <w:ind w:left="2268" w:hanging="1134"/>
        <w:rPr>
          <w:lang w:val="fr-FR"/>
        </w:rPr>
      </w:pPr>
      <w:r w:rsidRPr="0086119F">
        <w:rPr>
          <w:lang w:val="fr-FR"/>
        </w:rPr>
        <w:t>7.1.5.3.2 b)</w:t>
      </w:r>
      <w:r w:rsidRPr="0086119F">
        <w:rPr>
          <w:lang w:val="fr-FR"/>
        </w:rPr>
        <w:tab/>
        <w:t xml:space="preserve">Supprimer la note de bas de page 1. </w:t>
      </w:r>
    </w:p>
    <w:p w14:paraId="7EB9DDEF"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ST/SG/AC.10/C.3/2020/74, proposition 7)</w:t>
      </w:r>
    </w:p>
    <w:p w14:paraId="3B8416F4" w14:textId="77777777" w:rsidR="006F4C01" w:rsidRDefault="006F4C01" w:rsidP="006F4C01">
      <w:pPr>
        <w:pStyle w:val="H1G"/>
        <w:tabs>
          <w:tab w:val="left" w:pos="2268"/>
        </w:tabs>
        <w:rPr>
          <w:rFonts w:eastAsiaTheme="minorHAnsi"/>
          <w:lang w:val="fr-FR" w:eastAsia="en-US"/>
        </w:rPr>
      </w:pPr>
      <w:r>
        <w:rPr>
          <w:rFonts w:eastAsiaTheme="minorHAnsi"/>
          <w:lang w:val="fr-FR" w:eastAsia="en-US"/>
        </w:rPr>
        <w:tab/>
      </w:r>
      <w:r>
        <w:rPr>
          <w:rFonts w:eastAsiaTheme="minorHAnsi"/>
          <w:lang w:val="fr-FR" w:eastAsia="en-US"/>
        </w:rPr>
        <w:tab/>
      </w:r>
      <w:r w:rsidRPr="00DA64D8">
        <w:rPr>
          <w:rFonts w:eastAsiaTheme="minorHAnsi"/>
          <w:lang w:val="fr-FR" w:eastAsia="en-US"/>
        </w:rPr>
        <w:t>Tableau de correspondance entre le Règlement de transport des matières radioactives de l’AIEA</w:t>
      </w:r>
      <w:r>
        <w:rPr>
          <w:rFonts w:eastAsiaTheme="minorHAnsi"/>
          <w:lang w:val="fr-FR" w:eastAsia="en-US"/>
        </w:rPr>
        <w:t xml:space="preserve"> et le Règlement type</w:t>
      </w:r>
    </w:p>
    <w:p w14:paraId="557175AB" w14:textId="77777777" w:rsidR="006F4C01" w:rsidRDefault="006F4C01" w:rsidP="006F4C01">
      <w:pPr>
        <w:spacing w:after="120"/>
        <w:ind w:left="1134" w:right="1134"/>
        <w:jc w:val="both"/>
        <w:rPr>
          <w:rFonts w:eastAsiaTheme="minorHAnsi"/>
          <w:lang w:val="fr-FR" w:eastAsia="en-US"/>
        </w:rPr>
      </w:pPr>
      <w:r w:rsidRPr="00DA64D8">
        <w:rPr>
          <w:rFonts w:eastAsiaTheme="minorHAnsi"/>
          <w:lang w:val="fr-FR" w:eastAsia="en-US"/>
        </w:rPr>
        <w:t>Dans le « Tableau de correspondance entre les numéros de paragraphe dans le Règlement de transport des matières radioactives de l’AIEA... », supprimer « SSR-6 (Rev.1) » et dans la ligne de titre du tableau, remplacer « SSR-6 » par « Règlement de l’AIEA (édition de 2018) ».</w:t>
      </w:r>
      <w:r>
        <w:rPr>
          <w:rFonts w:eastAsiaTheme="minorHAnsi"/>
          <w:lang w:val="fr-FR" w:eastAsia="en-US"/>
        </w:rPr>
        <w:t xml:space="preserve"> </w:t>
      </w:r>
      <w:r w:rsidRPr="00DA64D8">
        <w:rPr>
          <w:rFonts w:eastAsiaTheme="minorHAnsi"/>
          <w:lang w:val="fr-FR" w:eastAsia="en-US"/>
        </w:rPr>
        <w:t xml:space="preserve">Dans le </w:t>
      </w:r>
      <w:r>
        <w:rPr>
          <w:rFonts w:eastAsiaTheme="minorHAnsi"/>
          <w:lang w:val="fr-FR" w:eastAsia="en-US"/>
        </w:rPr>
        <w:t xml:space="preserve">titre du </w:t>
      </w:r>
      <w:r w:rsidRPr="00DA64D8">
        <w:rPr>
          <w:rFonts w:eastAsiaTheme="minorHAnsi"/>
          <w:lang w:val="fr-FR" w:eastAsia="en-US"/>
        </w:rPr>
        <w:t>« Tableau de correspondance entre les numéros de paragraphe dans le Règlement de transport des matières radioactives de l’AIEA... »</w:t>
      </w:r>
      <w:r>
        <w:rPr>
          <w:rFonts w:eastAsiaTheme="minorHAnsi"/>
          <w:lang w:val="fr-FR" w:eastAsia="en-US"/>
        </w:rPr>
        <w:t>, remplacer « LES NUMEROS DE PARAGRAPHE » par « LES NUMEROS DE PARAGRAPHE, TABLEAUX ET FIGURES » et remplacer « </w:t>
      </w:r>
      <w:r w:rsidRPr="0042275F">
        <w:rPr>
          <w:rFonts w:eastAsiaTheme="minorHAnsi"/>
          <w:lang w:val="fr-FR" w:eastAsia="en-US"/>
        </w:rPr>
        <w:t>LE RÈGLEMENT DE TRANSPORT</w:t>
      </w:r>
      <w:r>
        <w:rPr>
          <w:rFonts w:eastAsiaTheme="minorHAnsi"/>
          <w:lang w:val="fr-FR" w:eastAsia="en-US"/>
        </w:rPr>
        <w:t xml:space="preserve"> </w:t>
      </w:r>
      <w:r w:rsidRPr="0042275F">
        <w:rPr>
          <w:rFonts w:eastAsiaTheme="minorHAnsi"/>
          <w:lang w:val="fr-FR" w:eastAsia="en-US"/>
        </w:rPr>
        <w:t>DES MATIÈRES RADIOACTIVES DE L'AIEA (ÉDITION de 2018</w:t>
      </w:r>
      <w:r>
        <w:rPr>
          <w:rFonts w:eastAsiaTheme="minorHAnsi"/>
          <w:lang w:val="fr-FR" w:eastAsia="en-US"/>
        </w:rPr>
        <w:t xml:space="preserve"> </w:t>
      </w:r>
      <w:r w:rsidRPr="0042275F">
        <w:rPr>
          <w:rFonts w:eastAsiaTheme="minorHAnsi"/>
          <w:lang w:val="fr-FR" w:eastAsia="en-US"/>
        </w:rPr>
        <w:t>SSR-6 (</w:t>
      </w:r>
      <w:proofErr w:type="spellStart"/>
      <w:r w:rsidRPr="0042275F">
        <w:rPr>
          <w:rFonts w:eastAsiaTheme="minorHAnsi"/>
          <w:lang w:val="fr-FR" w:eastAsia="en-US"/>
        </w:rPr>
        <w:t>Rev</w:t>
      </w:r>
      <w:proofErr w:type="spellEnd"/>
      <w:r w:rsidRPr="0042275F">
        <w:rPr>
          <w:rFonts w:eastAsiaTheme="minorHAnsi"/>
          <w:lang w:val="fr-FR" w:eastAsia="en-US"/>
        </w:rPr>
        <w:t>. 1))</w:t>
      </w:r>
      <w:r>
        <w:rPr>
          <w:rFonts w:eastAsiaTheme="minorHAnsi"/>
          <w:lang w:val="fr-FR" w:eastAsia="en-US"/>
        </w:rPr>
        <w:t> » par « </w:t>
      </w:r>
      <w:r w:rsidRPr="0042275F">
        <w:rPr>
          <w:rFonts w:eastAsiaTheme="minorHAnsi"/>
          <w:lang w:val="fr-FR" w:eastAsia="en-US"/>
        </w:rPr>
        <w:t xml:space="preserve">L'ÉDITION </w:t>
      </w:r>
      <w:r>
        <w:rPr>
          <w:rFonts w:eastAsiaTheme="minorHAnsi"/>
          <w:lang w:val="fr-FR" w:eastAsia="en-US"/>
        </w:rPr>
        <w:t>DE</w:t>
      </w:r>
      <w:r w:rsidRPr="0042275F">
        <w:rPr>
          <w:rFonts w:eastAsiaTheme="minorHAnsi"/>
          <w:lang w:val="fr-FR" w:eastAsia="en-US"/>
        </w:rPr>
        <w:t xml:space="preserve"> 2018</w:t>
      </w:r>
      <w:r>
        <w:rPr>
          <w:rFonts w:eastAsiaTheme="minorHAnsi"/>
          <w:lang w:val="fr-FR" w:eastAsia="en-US"/>
        </w:rPr>
        <w:t xml:space="preserve"> </w:t>
      </w:r>
      <w:r w:rsidRPr="00DA64D8">
        <w:rPr>
          <w:rFonts w:eastAsiaTheme="minorHAnsi"/>
          <w:lang w:val="fr-FR" w:eastAsia="en-US"/>
        </w:rPr>
        <w:t>DU REGLEMENT DE TRANSPORT DES MATIERES RADIOACTIVES DE L’AIEA</w:t>
      </w:r>
      <w:r>
        <w:rPr>
          <w:rFonts w:eastAsiaTheme="minorHAnsi"/>
          <w:lang w:val="fr-FR" w:eastAsia="en-US"/>
        </w:rPr>
        <w:t> ». Ajouter un titre au-dessus du premier tableau pour lire « </w:t>
      </w:r>
      <w:r w:rsidRPr="00DA64D8">
        <w:rPr>
          <w:rFonts w:eastAsiaTheme="minorHAnsi"/>
          <w:lang w:val="fr-FR" w:eastAsia="en-US"/>
        </w:rPr>
        <w:t>correspondance entre les numéros de paragraphe</w:t>
      </w:r>
      <w:r>
        <w:rPr>
          <w:rFonts w:eastAsiaTheme="minorHAnsi"/>
          <w:lang w:val="fr-FR" w:eastAsia="en-US"/>
        </w:rPr>
        <w:t xml:space="preserve"> ». Dans la ligne de titre du premier tableau, remplacer « SSR-6 » par « AIEA » et « ONU » par « Règlement type ». Remplacer le titre commun aux deuxième et troisième tableaux par un titre au-dessus du deuxième </w:t>
      </w:r>
      <w:r>
        <w:rPr>
          <w:rFonts w:eastAsiaTheme="minorHAnsi"/>
          <w:lang w:val="fr-FR" w:eastAsia="en-US"/>
        </w:rPr>
        <w:lastRenderedPageBreak/>
        <w:t>tableau libellé « Correspondance entre les numéros de tableau » et un titre au-dessus du troisième tableau libellé « Correspondance entre les numéros de figure ». Dans la ligne de titre du deuxième tableau, remplacer « Tableau SSR-6 » par « AIEA » et « Règlement type ONU » par « Règlement type ». Dans la ligne de titre du troisième tableau, remplacer « Tableau SSR-6 » par « AIEA » et « Règlement type ONU » par « Règlement type ».</w:t>
      </w:r>
    </w:p>
    <w:p w14:paraId="7CBBF197" w14:textId="77777777" w:rsidR="006F4C01" w:rsidRPr="00A52956" w:rsidRDefault="006F4C01" w:rsidP="006F4C01">
      <w:pPr>
        <w:spacing w:after="120"/>
        <w:ind w:left="1134" w:right="1134"/>
        <w:jc w:val="both"/>
        <w:rPr>
          <w:i/>
        </w:rPr>
      </w:pPr>
      <w:r w:rsidRPr="00692350">
        <w:rPr>
          <w:i/>
        </w:rPr>
        <w:t xml:space="preserve">(Document de référence : </w:t>
      </w:r>
      <w:r>
        <w:rPr>
          <w:i/>
        </w:rPr>
        <w:t>document informel INF.24</w:t>
      </w:r>
      <w:r w:rsidRPr="00692350">
        <w:rPr>
          <w:i/>
        </w:rPr>
        <w:t>)</w:t>
      </w:r>
    </w:p>
    <w:p w14:paraId="51303134" w14:textId="77777777" w:rsidR="006F4C01" w:rsidRDefault="006F4C01" w:rsidP="006F4C01">
      <w:pPr>
        <w:pStyle w:val="H1G"/>
        <w:rPr>
          <w:lang w:val="fr-FR" w:eastAsia="en-US"/>
        </w:rPr>
      </w:pPr>
      <w:r w:rsidRPr="00557F17">
        <w:rPr>
          <w:lang w:val="fr-FR" w:eastAsia="en-US"/>
        </w:rPr>
        <w:tab/>
      </w:r>
      <w:r w:rsidRPr="00557F17">
        <w:rPr>
          <w:lang w:val="fr-FR" w:eastAsia="en-US"/>
        </w:rPr>
        <w:tab/>
      </w:r>
      <w:r w:rsidRPr="00EB58A3">
        <w:rPr>
          <w:lang w:val="fr-FR" w:eastAsia="en-US"/>
        </w:rPr>
        <w:t>Document ST/SG/AC.10/C.3/2020/59, Partie I, adopté avec les modifications suivantes :</w:t>
      </w:r>
    </w:p>
    <w:p w14:paraId="40DC81C4" w14:textId="77777777" w:rsidR="006F4C01" w:rsidRPr="00C33758" w:rsidRDefault="006F4C01" w:rsidP="006F4C01">
      <w:pPr>
        <w:pStyle w:val="SingleTxtG"/>
        <w:rPr>
          <w:lang w:val="fr-FR" w:eastAsia="en-US"/>
        </w:rPr>
      </w:pPr>
      <w:r w:rsidRPr="008A4C30">
        <w:rPr>
          <w:lang w:val="fr-FR" w:eastAsia="en-US"/>
        </w:rPr>
        <w:t>2.8.3.2</w:t>
      </w:r>
      <w:r>
        <w:rPr>
          <w:lang w:val="fr-FR" w:eastAsia="en-US"/>
        </w:rPr>
        <w:tab/>
      </w:r>
      <w:r>
        <w:rPr>
          <w:lang w:val="fr-FR" w:eastAsia="en-US"/>
        </w:rPr>
        <w:tab/>
        <w:t>Supprimer les crochets.</w:t>
      </w:r>
    </w:p>
    <w:p w14:paraId="666B08ED" w14:textId="77777777" w:rsidR="006F4C01" w:rsidRDefault="006F4C01" w:rsidP="006F4C01">
      <w:pPr>
        <w:pStyle w:val="SingleTxtG"/>
        <w:rPr>
          <w:lang w:val="fr-FR" w:eastAsia="en-US"/>
        </w:rPr>
      </w:pPr>
      <w:r>
        <w:rPr>
          <w:lang w:val="fr-FR" w:eastAsia="en-US"/>
        </w:rPr>
        <w:t>5.2.1.7.1 et 5.2.1.7.2</w:t>
      </w:r>
      <w:r>
        <w:rPr>
          <w:lang w:val="fr-FR" w:eastAsia="en-US"/>
        </w:rPr>
        <w:tab/>
        <w:t>Les modifications ne s’appliquent pas au texte français.</w:t>
      </w:r>
    </w:p>
    <w:p w14:paraId="33426C4D" w14:textId="77777777" w:rsidR="006F4C01" w:rsidRDefault="006F4C01" w:rsidP="006F4C01">
      <w:pPr>
        <w:pStyle w:val="SingleTxtG"/>
        <w:rPr>
          <w:lang w:val="fr-FR" w:eastAsia="en-US"/>
        </w:rPr>
      </w:pPr>
      <w:r>
        <w:rPr>
          <w:lang w:val="fr-FR" w:eastAsia="en-US"/>
        </w:rPr>
        <w:t>6.2.1.4.4 b)</w:t>
      </w:r>
      <w:r>
        <w:rPr>
          <w:lang w:val="fr-FR" w:eastAsia="en-US"/>
        </w:rPr>
        <w:tab/>
        <w:t>Modifier pour lire :</w:t>
      </w:r>
    </w:p>
    <w:p w14:paraId="164197A6" w14:textId="77777777" w:rsidR="006F4C01" w:rsidRDefault="006F4C01" w:rsidP="006F4C01">
      <w:pPr>
        <w:pStyle w:val="SingleTxtG"/>
        <w:tabs>
          <w:tab w:val="left" w:pos="2268"/>
        </w:tabs>
        <w:rPr>
          <w:lang w:val="fr-FR" w:eastAsia="en-US"/>
        </w:rPr>
      </w:pPr>
      <w:r>
        <w:rPr>
          <w:lang w:val="fr-FR" w:eastAsia="en-US"/>
        </w:rPr>
        <w:t>« </w:t>
      </w:r>
      <w:r w:rsidRPr="00F75341">
        <w:rPr>
          <w:lang w:val="fr-FR" w:eastAsia="en-US"/>
        </w:rPr>
        <w:t>b)</w:t>
      </w:r>
      <w:r>
        <w:rPr>
          <w:lang w:val="fr-FR" w:eastAsia="en-US"/>
        </w:rPr>
        <w:tab/>
      </w:r>
      <w:r w:rsidRPr="00F75341">
        <w:rPr>
          <w:lang w:val="fr-FR" w:eastAsia="en-US"/>
        </w:rPr>
        <w:t>En une évaluation de la conformité séparée portant sur l’enveloppe de la bouteille vide et une évaluation de la conformité supplémentaire portant sur l’enveloppe de la bouteille avec la matière poreuse qu’elle contient.</w:t>
      </w:r>
      <w:r>
        <w:rPr>
          <w:lang w:val="fr-FR" w:eastAsia="en-US"/>
        </w:rPr>
        <w:t> ».</w:t>
      </w:r>
    </w:p>
    <w:p w14:paraId="6D636E54" w14:textId="77777777" w:rsidR="006F4C01" w:rsidRPr="00B37C88" w:rsidRDefault="006F4C01" w:rsidP="006F4C01">
      <w:pPr>
        <w:pStyle w:val="SingleTxtG"/>
        <w:rPr>
          <w:lang w:val="fr-FR"/>
        </w:rPr>
      </w:pPr>
      <w:r w:rsidRPr="00B37C88">
        <w:rPr>
          <w:lang w:val="fr-FR" w:eastAsia="en-US"/>
        </w:rPr>
        <w:t>6.2.2.1.9</w:t>
      </w:r>
      <w:r w:rsidRPr="00B37C88">
        <w:rPr>
          <w:lang w:val="fr-FR" w:eastAsia="en-US"/>
        </w:rPr>
        <w:tab/>
      </w:r>
      <w:r w:rsidRPr="00B37C88">
        <w:rPr>
          <w:rFonts w:eastAsiaTheme="minorHAnsi"/>
          <w:lang w:val="fr-FR" w:eastAsia="en-US"/>
        </w:rPr>
        <w:t xml:space="preserve">Dans le tableau, pour « ISO 11118:2015 », dans la colonne « Applicable à la fabrication », remplacer « Jusqu’à nouvel ordre » par « Jusqu’au 31 décembre 2026 ». </w:t>
      </w:r>
      <w:r w:rsidRPr="00B37C88">
        <w:rPr>
          <w:lang w:val="fr-FR"/>
        </w:rPr>
        <w:t>Après la rubrique existante pour la norme « </w:t>
      </w:r>
      <w:r w:rsidRPr="00B37C88">
        <w:rPr>
          <w:rFonts w:eastAsiaTheme="minorHAnsi"/>
          <w:lang w:val="fr-FR" w:eastAsia="en-US"/>
        </w:rPr>
        <w:t>ISO 11118:2015</w:t>
      </w:r>
      <w:r w:rsidRPr="00B37C88">
        <w:rPr>
          <w:lang w:val="fr-FR"/>
        </w:rPr>
        <w:t> », ajouter la nouvelle rubrique suivante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6F4C01" w:rsidRPr="00B37C88" w14:paraId="454F2BC4" w14:textId="77777777" w:rsidTr="007B6FD6">
        <w:tc>
          <w:tcPr>
            <w:tcW w:w="1544" w:type="dxa"/>
            <w:shd w:val="clear" w:color="auto" w:fill="auto"/>
          </w:tcPr>
          <w:p w14:paraId="1A8C811B" w14:textId="77777777" w:rsidR="006F4C01" w:rsidRPr="00B37C88" w:rsidRDefault="006F4C01" w:rsidP="007B6FD6">
            <w:pPr>
              <w:kinsoku/>
              <w:overflowPunct/>
              <w:autoSpaceDE/>
              <w:autoSpaceDN/>
              <w:adjustRightInd/>
              <w:snapToGrid/>
              <w:rPr>
                <w:lang w:val="fr-FR" w:eastAsia="en-US"/>
              </w:rPr>
            </w:pPr>
            <w:r w:rsidRPr="00B37C88">
              <w:rPr>
                <w:lang w:val="fr-FR" w:eastAsia="en-US"/>
              </w:rPr>
              <w:t>ISO 11118:2015 +Amd.1:2019</w:t>
            </w:r>
          </w:p>
        </w:tc>
        <w:tc>
          <w:tcPr>
            <w:tcW w:w="4820" w:type="dxa"/>
            <w:shd w:val="clear" w:color="auto" w:fill="auto"/>
          </w:tcPr>
          <w:p w14:paraId="1B41B490" w14:textId="77777777" w:rsidR="006F4C01" w:rsidRPr="00B37C88" w:rsidRDefault="006F4C01" w:rsidP="007B6FD6">
            <w:pPr>
              <w:kinsoku/>
              <w:overflowPunct/>
              <w:autoSpaceDE/>
              <w:autoSpaceDN/>
              <w:adjustRightInd/>
              <w:snapToGrid/>
              <w:jc w:val="both"/>
              <w:rPr>
                <w:lang w:val="fr-FR" w:eastAsia="en-US"/>
              </w:rPr>
            </w:pPr>
            <w:r w:rsidRPr="00B37C88">
              <w:rPr>
                <w:iCs/>
                <w:color w:val="000000"/>
                <w:lang w:val="fr-FR" w:eastAsia="en-US"/>
              </w:rPr>
              <w:t>Bouteilles à gaz — Bouteilles à gaz métalliques non rechargeables — Spécifications et méthodes d'essai</w:t>
            </w:r>
          </w:p>
        </w:tc>
        <w:tc>
          <w:tcPr>
            <w:tcW w:w="1275" w:type="dxa"/>
            <w:shd w:val="clear" w:color="auto" w:fill="auto"/>
          </w:tcPr>
          <w:p w14:paraId="42B8C44A" w14:textId="77777777" w:rsidR="006F4C01" w:rsidRPr="00B37C88" w:rsidRDefault="006F4C01" w:rsidP="007B6FD6">
            <w:pPr>
              <w:kinsoku/>
              <w:overflowPunct/>
              <w:autoSpaceDE/>
              <w:autoSpaceDN/>
              <w:adjustRightInd/>
              <w:snapToGrid/>
              <w:rPr>
                <w:lang w:val="fr-FR" w:eastAsia="en-US"/>
              </w:rPr>
            </w:pPr>
            <w:r w:rsidRPr="00B37C88">
              <w:rPr>
                <w:rFonts w:eastAsiaTheme="minorHAnsi"/>
                <w:lang w:val="fr-FR" w:eastAsia="en-US"/>
              </w:rPr>
              <w:t>Jusqu’à nouvel ordre</w:t>
            </w:r>
          </w:p>
        </w:tc>
      </w:tr>
    </w:tbl>
    <w:p w14:paraId="094ED2BA" w14:textId="77777777" w:rsidR="006F4C01" w:rsidRPr="00B37C88" w:rsidRDefault="006F4C01" w:rsidP="006F4C01">
      <w:pPr>
        <w:kinsoku/>
        <w:overflowPunct/>
        <w:autoSpaceDE/>
        <w:autoSpaceDN/>
        <w:adjustRightInd/>
        <w:snapToGrid/>
        <w:spacing w:before="120" w:after="120"/>
        <w:ind w:left="2268" w:right="1134" w:hanging="1134"/>
        <w:jc w:val="both"/>
        <w:rPr>
          <w:i/>
          <w:iCs/>
          <w:lang w:val="fr-FR" w:eastAsia="en-US"/>
        </w:rPr>
      </w:pPr>
      <w:r w:rsidRPr="00B37C88">
        <w:rPr>
          <w:i/>
          <w:iCs/>
          <w:lang w:val="fr-FR" w:eastAsia="en-US"/>
        </w:rPr>
        <w:t>(Document de référence : document informel INF.57, proposition 8)</w:t>
      </w:r>
    </w:p>
    <w:p w14:paraId="2FF6D8DA" w14:textId="1991C65E" w:rsidR="006F4C01" w:rsidRDefault="006F4C01" w:rsidP="006F4C01">
      <w:pPr>
        <w:pStyle w:val="H1G"/>
        <w:rPr>
          <w:lang w:val="fr-FR" w:eastAsia="en-US"/>
        </w:rPr>
      </w:pPr>
      <w:r w:rsidRPr="00557F17">
        <w:rPr>
          <w:lang w:val="fr-FR" w:eastAsia="en-US"/>
        </w:rPr>
        <w:tab/>
      </w:r>
      <w:r w:rsidRPr="00557F17">
        <w:rPr>
          <w:lang w:val="fr-FR" w:eastAsia="en-US"/>
        </w:rPr>
        <w:tab/>
      </w:r>
      <w:r w:rsidRPr="00EB58A3">
        <w:rPr>
          <w:lang w:val="fr-FR" w:eastAsia="en-US"/>
        </w:rPr>
        <w:t xml:space="preserve">Document </w:t>
      </w:r>
      <w:r>
        <w:rPr>
          <w:lang w:val="fr-FR" w:eastAsia="en-US"/>
        </w:rPr>
        <w:t>informel INF.38</w:t>
      </w:r>
      <w:r w:rsidRPr="00EB58A3">
        <w:rPr>
          <w:lang w:val="fr-FR" w:eastAsia="en-US"/>
        </w:rPr>
        <w:t xml:space="preserve">, </w:t>
      </w:r>
      <w:r>
        <w:rPr>
          <w:lang w:val="fr-FR" w:eastAsia="en-US"/>
        </w:rPr>
        <w:t xml:space="preserve">annexe </w:t>
      </w:r>
      <w:r w:rsidR="00F612C4">
        <w:rPr>
          <w:lang w:val="fr-FR" w:eastAsia="en-US"/>
        </w:rPr>
        <w:t>2</w:t>
      </w:r>
      <w:r w:rsidRPr="00EB58A3">
        <w:rPr>
          <w:lang w:val="fr-FR" w:eastAsia="en-US"/>
        </w:rPr>
        <w:t>, adopté</w:t>
      </w:r>
      <w:r>
        <w:rPr>
          <w:lang w:val="fr-FR" w:eastAsia="en-US"/>
        </w:rPr>
        <w:t>.</w:t>
      </w:r>
    </w:p>
    <w:p w14:paraId="2BE9EE46" w14:textId="77777777" w:rsidR="006F4C01" w:rsidRDefault="006F4C01" w:rsidP="006F4C01">
      <w:pPr>
        <w:pStyle w:val="H1G"/>
        <w:rPr>
          <w:i/>
          <w:iCs/>
          <w:lang w:val="fr-FR" w:eastAsia="en-US"/>
        </w:rPr>
      </w:pPr>
      <w:r>
        <w:rPr>
          <w:lang w:val="fr-FR" w:eastAsia="en-US"/>
        </w:rPr>
        <w:tab/>
      </w:r>
      <w:r>
        <w:rPr>
          <w:lang w:val="fr-FR" w:eastAsia="en-US"/>
        </w:rPr>
        <w:tab/>
      </w:r>
      <w:r>
        <w:rPr>
          <w:lang w:val="fr-FR" w:eastAsia="en-US"/>
        </w:rPr>
        <w:tab/>
        <w:t>Document informel INF.43, annexes I, II et III adoptées.</w:t>
      </w:r>
    </w:p>
    <w:p w14:paraId="4866CD6B" w14:textId="77777777" w:rsidR="006F4C01" w:rsidRPr="00305B5E" w:rsidRDefault="006F4C01" w:rsidP="006F4C01">
      <w:pPr>
        <w:pStyle w:val="HChG"/>
        <w:rPr>
          <w:lang w:val="fr-FR"/>
        </w:rPr>
      </w:pPr>
      <w:r w:rsidRPr="00305B5E">
        <w:rPr>
          <w:lang w:val="fr-FR"/>
        </w:rPr>
        <w:tab/>
        <w:t>II.</w:t>
      </w:r>
      <w:r w:rsidRPr="00305B5E">
        <w:rPr>
          <w:lang w:val="fr-FR"/>
        </w:rPr>
        <w:tab/>
        <w:t xml:space="preserve">Projet d’amendements à la septième édition révisée du Manuel d’épreuves et de critères (ST/SG/AC.10/11/Rev.7) </w:t>
      </w:r>
    </w:p>
    <w:p w14:paraId="2AE3617B" w14:textId="77777777" w:rsidR="006F4C01" w:rsidRPr="0086119F" w:rsidRDefault="006F4C01" w:rsidP="006F4C01">
      <w:pPr>
        <w:keepNext/>
        <w:keepLines/>
        <w:tabs>
          <w:tab w:val="right" w:pos="851"/>
        </w:tabs>
        <w:spacing w:before="360" w:after="240" w:line="270" w:lineRule="exact"/>
        <w:ind w:left="1134" w:right="1134" w:hanging="1134"/>
        <w:rPr>
          <w:b/>
          <w:sz w:val="24"/>
          <w:lang w:val="fr-FR"/>
        </w:rPr>
      </w:pPr>
      <w:r w:rsidRPr="0086119F">
        <w:rPr>
          <w:b/>
          <w:sz w:val="24"/>
          <w:lang w:val="fr-FR"/>
        </w:rPr>
        <w:tab/>
      </w:r>
      <w:r w:rsidRPr="0086119F">
        <w:rPr>
          <w:b/>
          <w:sz w:val="24"/>
          <w:lang w:val="fr-FR"/>
        </w:rPr>
        <w:tab/>
        <w:t>Table des matières générale</w:t>
      </w:r>
    </w:p>
    <w:p w14:paraId="701F7CD4" w14:textId="77777777" w:rsidR="006F4C01" w:rsidRPr="0086119F" w:rsidRDefault="006F4C01" w:rsidP="006F4C01">
      <w:pPr>
        <w:tabs>
          <w:tab w:val="left" w:pos="2268"/>
        </w:tabs>
        <w:spacing w:after="120"/>
        <w:ind w:left="1134" w:right="1134"/>
        <w:jc w:val="both"/>
        <w:rPr>
          <w:lang w:val="fr-FR"/>
        </w:rPr>
      </w:pPr>
      <w:r w:rsidRPr="0086119F">
        <w:rPr>
          <w:lang w:val="fr-FR"/>
        </w:rPr>
        <w:t>13</w:t>
      </w:r>
      <w:r w:rsidRPr="0086119F">
        <w:rPr>
          <w:lang w:val="fr-FR"/>
        </w:rPr>
        <w:tab/>
        <w:t>Remplacer « est une matière explosible instable » par « peut être affectée à une division ».</w:t>
      </w:r>
    </w:p>
    <w:p w14:paraId="0304C65B" w14:textId="77777777" w:rsidR="006F4C01" w:rsidRPr="0086119F" w:rsidRDefault="006F4C01" w:rsidP="006F4C01">
      <w:pPr>
        <w:tabs>
          <w:tab w:val="left" w:pos="2268"/>
        </w:tabs>
        <w:spacing w:after="120"/>
        <w:ind w:left="1134" w:right="1134"/>
        <w:jc w:val="both"/>
        <w:rPr>
          <w:lang w:val="fr-FR"/>
        </w:rPr>
      </w:pPr>
      <w:r w:rsidRPr="0086119F">
        <w:rPr>
          <w:lang w:val="fr-FR"/>
        </w:rPr>
        <w:t>14</w:t>
      </w:r>
      <w:r w:rsidRPr="0086119F">
        <w:rPr>
          <w:lang w:val="fr-FR"/>
        </w:rPr>
        <w:tab/>
        <w:t>Remplacer « </w:t>
      </w:r>
      <w:r w:rsidRPr="0086119F">
        <w:rPr>
          <w:szCs w:val="22"/>
          <w:lang w:val="fr-FR"/>
        </w:rPr>
        <w:t>sont trop dangereux pour le transport et sont classés</w:t>
      </w:r>
      <w:r w:rsidRPr="0086119F">
        <w:rPr>
          <w:szCs w:val="22"/>
          <w:lang w:val="fr-FR"/>
        </w:rPr>
        <w:br/>
        <w:t>comme des explosifs instables selon le GHS » par « peut être affecté à une division ».</w:t>
      </w:r>
    </w:p>
    <w:p w14:paraId="693A55EA"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7DFEEF70" w14:textId="77777777" w:rsidR="006F4C01" w:rsidRPr="0086119F" w:rsidRDefault="006F4C01" w:rsidP="006F4C01">
      <w:pPr>
        <w:keepNext/>
        <w:keepLines/>
        <w:tabs>
          <w:tab w:val="right" w:pos="851"/>
        </w:tabs>
        <w:spacing w:before="360" w:after="240" w:line="270" w:lineRule="exact"/>
        <w:ind w:left="1134" w:right="1134" w:hanging="1134"/>
        <w:rPr>
          <w:b/>
          <w:sz w:val="24"/>
          <w:lang w:val="fr-FR"/>
        </w:rPr>
      </w:pPr>
      <w:r w:rsidRPr="0086119F">
        <w:rPr>
          <w:b/>
          <w:sz w:val="24"/>
          <w:lang w:val="fr-FR"/>
        </w:rPr>
        <w:tab/>
      </w:r>
      <w:r w:rsidRPr="0086119F">
        <w:rPr>
          <w:b/>
          <w:sz w:val="24"/>
          <w:lang w:val="fr-FR"/>
        </w:rPr>
        <w:tab/>
        <w:t>Section 10</w:t>
      </w:r>
    </w:p>
    <w:p w14:paraId="38348F14" w14:textId="77777777" w:rsidR="006F4C01" w:rsidRPr="0086119F" w:rsidRDefault="006F4C01" w:rsidP="006F4C01">
      <w:pPr>
        <w:tabs>
          <w:tab w:val="left" w:pos="2268"/>
        </w:tabs>
        <w:spacing w:after="120"/>
        <w:ind w:left="1134" w:right="1134"/>
        <w:jc w:val="both"/>
        <w:rPr>
          <w:lang w:val="fr-FR"/>
        </w:rPr>
      </w:pPr>
      <w:r w:rsidRPr="0086119F">
        <w:rPr>
          <w:lang w:val="fr-FR"/>
        </w:rPr>
        <w:t>10.1.2</w:t>
      </w:r>
      <w:r w:rsidRPr="0086119F">
        <w:rPr>
          <w:lang w:val="fr-FR"/>
        </w:rPr>
        <w:tab/>
        <w:t>Modifier pour lire comme suit :</w:t>
      </w:r>
    </w:p>
    <w:p w14:paraId="5361C19D" w14:textId="77777777" w:rsidR="006F4C01" w:rsidRPr="0086119F" w:rsidRDefault="006F4C01" w:rsidP="006F4C01">
      <w:pPr>
        <w:pStyle w:val="SingleTxtG"/>
        <w:rPr>
          <w:lang w:val="fr-FR"/>
        </w:rPr>
      </w:pPr>
      <w:r w:rsidRPr="0086119F">
        <w:rPr>
          <w:lang w:val="fr-FR"/>
        </w:rPr>
        <w:t>« 10.1.2</w:t>
      </w:r>
      <w:r w:rsidRPr="0086119F">
        <w:rPr>
          <w:lang w:val="fr-FR"/>
        </w:rPr>
        <w:tab/>
        <w:t xml:space="preserve">La classe de danger des matières et objets explosibles du SGH couvre tous les secteurs. La classe 1 du Règlement type est une subdivision de cette classe et porte sur les matières et objets explosibles configurés pour le transport. </w:t>
      </w:r>
    </w:p>
    <w:p w14:paraId="684D8B95" w14:textId="77777777" w:rsidR="006F4C01" w:rsidRPr="0086119F" w:rsidRDefault="006F4C01" w:rsidP="006F4C01">
      <w:pPr>
        <w:pStyle w:val="SingleTxtG"/>
        <w:rPr>
          <w:lang w:val="fr-FR"/>
        </w:rPr>
      </w:pPr>
      <w:r w:rsidRPr="0086119F">
        <w:rPr>
          <w:lang w:val="fr-FR"/>
        </w:rPr>
        <w:t xml:space="preserve">Les marchandises de la classe 1 doivent être affectées à l’une des six divisions de danger en fonction de la nature du danger qu’elles présentent (voir le chapitre 2.1, par. 2.1.1.4 du Règlement type) et à l’un des 13 groupes de compatibilité auxquels sont affectés les matières et objets explosibles. La division, et au besoin le groupe de compatibilité, est également </w:t>
      </w:r>
      <w:r w:rsidRPr="0086119F">
        <w:rPr>
          <w:lang w:val="fr-FR"/>
        </w:rPr>
        <w:lastRenderedPageBreak/>
        <w:t>utilisée comme base pour la classification dans la classe de danger du SGH pour les matières et objets explosibles (voir sect. 2.1.2 du chapitre 2.1 du SGH). En outre, la classe de danger du SGH comprend également des matières et objets explosibles qui ne sont pas affectés à une division.</w:t>
      </w:r>
    </w:p>
    <w:p w14:paraId="01F0D462" w14:textId="77777777" w:rsidR="006F4C01" w:rsidRPr="0086119F" w:rsidRDefault="006F4C01" w:rsidP="006F4C01">
      <w:pPr>
        <w:pStyle w:val="SingleTxtG"/>
        <w:rPr>
          <w:lang w:val="fr-FR"/>
        </w:rPr>
      </w:pPr>
      <w:r w:rsidRPr="0086119F">
        <w:rPr>
          <w:lang w:val="fr-FR"/>
        </w:rPr>
        <w:t>Les matières et objets explosibles qui ne sont pas affectés à une division sont interdits au transport. ».</w:t>
      </w:r>
    </w:p>
    <w:p w14:paraId="0F1073BE" w14:textId="77777777" w:rsidR="006F4C01" w:rsidRPr="0086119F" w:rsidRDefault="006F4C01" w:rsidP="006F4C01">
      <w:pPr>
        <w:pStyle w:val="SingleTxtG"/>
        <w:ind w:left="2268"/>
      </w:pPr>
      <w:r w:rsidRPr="0086119F">
        <w:rPr>
          <w:lang w:val="fr-FR"/>
        </w:rPr>
        <w:t>Le texte existant au 10.1.2, de « </w:t>
      </w:r>
      <w:r w:rsidRPr="0086119F">
        <w:t>La procédure générale de classement… » jusqu’à la fin, est transféré en un nouveau 10.1.3 comme suit :</w:t>
      </w:r>
    </w:p>
    <w:p w14:paraId="05350616" w14:textId="77777777" w:rsidR="006F4C01" w:rsidRPr="0086119F" w:rsidRDefault="006F4C01" w:rsidP="006F4C01">
      <w:pPr>
        <w:pStyle w:val="SingleTxtG"/>
        <w:rPr>
          <w:spacing w:val="-2"/>
          <w:lang w:val="fr-FR"/>
        </w:rPr>
      </w:pPr>
      <w:r w:rsidRPr="0086119F">
        <w:t>« 10.1.3</w:t>
      </w:r>
      <w:r w:rsidRPr="0086119F">
        <w:tab/>
      </w:r>
      <w:r w:rsidRPr="0086119F">
        <w:rPr>
          <w:spacing w:val="-2"/>
          <w:lang w:val="fr-FR"/>
        </w:rPr>
        <w:t>La procédure générale de classement d’une matière ou d’un objet examiné en vue de sa classification dans la classe des matières et objets explosibles est représentée schématiquement à la figure 10.1. L’évaluation se fait en deux étapes. Dans la première, on vérifie la capacité d’une matière ou d’un objet à exploser et on détermine sa stabilité et sa sensitivité tant chimique que physique. Pour garantir une classification uniforme entre les responsables de la classification, il leur est recommandé, en s’aidant du diagramme de décision de la figure 10.2, d’analyser systématiquement les données des épreuves en fonction des critères applicables. Si la matière ou l’objet est provisoirement accepté dans la classe des matières et objets explosibles, on doit alors passer à la seconde étape qui consiste à l’affecter à la division appropriée en utilisant les diagrammes de décision des figures 10.3 et 10.5. L’affectation à un groupe de compatibilité ne se fait pas sur la base des résultats d’épreuves, sauf pour les groupes N et S. Dans le cas du groupe de compatibilité S, l’autorité compétente peut décider de renoncer aux épreuves, si une classification est possible par analogie sur la base des résultats d’épreuves effectuées sur un objet comparable. ».</w:t>
      </w:r>
    </w:p>
    <w:p w14:paraId="5E373E1A"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856498F" w14:textId="77777777" w:rsidR="006F4C01" w:rsidRPr="0086119F" w:rsidRDefault="006F4C01" w:rsidP="006F4C01">
      <w:pPr>
        <w:pStyle w:val="SingleTxtG"/>
        <w:tabs>
          <w:tab w:val="left" w:pos="2268"/>
        </w:tabs>
        <w:ind w:left="2268" w:hanging="1134"/>
        <w:rPr>
          <w:spacing w:val="-2"/>
          <w:lang w:val="fr-FR"/>
        </w:rPr>
      </w:pPr>
      <w:r w:rsidRPr="0086119F">
        <w:rPr>
          <w:spacing w:val="-2"/>
          <w:lang w:val="fr-FR"/>
        </w:rPr>
        <w:t>10.1.3</w:t>
      </w:r>
      <w:r w:rsidRPr="0086119F">
        <w:rPr>
          <w:spacing w:val="-2"/>
          <w:lang w:val="fr-FR"/>
        </w:rPr>
        <w:tab/>
        <w:t>Renuméroter en tant que 10.1.4. Dans la première phrase, remplacer « présentés au transport » par « configurés pour le transport ». Dans la dernière phrase, remplacer « pour le transport » par « dans la configuration de transport ».</w:t>
      </w:r>
    </w:p>
    <w:p w14:paraId="7150ABD1"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3EDC6BF5" w14:textId="77777777" w:rsidR="006F4C01" w:rsidRPr="0086119F" w:rsidRDefault="006F4C01" w:rsidP="006F4C01">
      <w:pPr>
        <w:pStyle w:val="SingleTxtG"/>
        <w:tabs>
          <w:tab w:val="left" w:pos="2268"/>
        </w:tabs>
        <w:rPr>
          <w:spacing w:val="-2"/>
          <w:lang w:val="fr-FR"/>
        </w:rPr>
      </w:pPr>
      <w:r w:rsidRPr="0086119F">
        <w:rPr>
          <w:spacing w:val="-2"/>
          <w:lang w:val="fr-FR"/>
        </w:rPr>
        <w:t>10.1.4</w:t>
      </w:r>
      <w:r w:rsidRPr="0086119F">
        <w:rPr>
          <w:spacing w:val="-2"/>
          <w:lang w:val="fr-FR"/>
        </w:rPr>
        <w:tab/>
        <w:t>Renuméroter en tant que 10.1.5.</w:t>
      </w:r>
    </w:p>
    <w:p w14:paraId="292679BC"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4418F212" w14:textId="77777777" w:rsidR="006F4C01" w:rsidRPr="0086119F" w:rsidRDefault="006F4C01" w:rsidP="006F4C01">
      <w:pPr>
        <w:pStyle w:val="SingleTxtG"/>
        <w:tabs>
          <w:tab w:val="left" w:pos="2268"/>
        </w:tabs>
        <w:ind w:left="2268" w:hanging="1134"/>
        <w:rPr>
          <w:lang w:val="fr-FR"/>
        </w:rPr>
      </w:pPr>
      <w:r w:rsidRPr="0086119F">
        <w:rPr>
          <w:lang w:val="fr-FR"/>
        </w:rPr>
        <w:t>Figure 10.1</w:t>
      </w:r>
      <w:r w:rsidRPr="0086119F">
        <w:rPr>
          <w:lang w:val="fr-FR"/>
        </w:rPr>
        <w:tab/>
        <w:t>Dans la case « CLASSER comme MATIÈRE OU OBJET EXPLOSIBLE INSTABLE », remplacer « INSTABLE » par « - Pas d’affectation à une division ».</w:t>
      </w:r>
    </w:p>
    <w:p w14:paraId="0C0B6F0A"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2DAF8596" w14:textId="77777777" w:rsidR="006F4C01" w:rsidRPr="0086119F" w:rsidRDefault="006F4C01" w:rsidP="006F4C01">
      <w:pPr>
        <w:tabs>
          <w:tab w:val="left" w:pos="2268"/>
        </w:tabs>
        <w:spacing w:after="120"/>
        <w:ind w:left="2268" w:right="1134" w:hanging="1134"/>
        <w:jc w:val="both"/>
        <w:rPr>
          <w:lang w:val="fr-FR"/>
        </w:rPr>
      </w:pPr>
      <w:r w:rsidRPr="0086119F">
        <w:rPr>
          <w:lang w:val="fr-FR"/>
        </w:rPr>
        <w:t>Figure 10.2</w:t>
      </w:r>
      <w:r w:rsidRPr="0086119F">
        <w:rPr>
          <w:lang w:val="fr-FR"/>
        </w:rPr>
        <w:tab/>
        <w:t>Modifier le texte dans la case 13 pour lire : « Est-elle trop sensible pour être affectée à une division sous la forme éprouvée ? ».</w:t>
      </w:r>
    </w:p>
    <w:p w14:paraId="41A492C0" w14:textId="77777777" w:rsidR="006F4C01" w:rsidRPr="0086119F" w:rsidRDefault="006F4C01" w:rsidP="006F4C01">
      <w:pPr>
        <w:tabs>
          <w:tab w:val="left" w:pos="2268"/>
        </w:tabs>
        <w:spacing w:after="120"/>
        <w:ind w:left="2268" w:right="1134"/>
        <w:jc w:val="both"/>
        <w:rPr>
          <w:lang w:val="fr-FR"/>
        </w:rPr>
      </w:pPr>
      <w:r w:rsidRPr="0086119F">
        <w:rPr>
          <w:lang w:val="fr-FR"/>
        </w:rPr>
        <w:t>Modifier le texte dans la case 16 pour lire : « L’objet, l’objet emballé ou la matière emballée sont-ils trop sensibles pour être affectés à une division ? ».</w:t>
      </w:r>
    </w:p>
    <w:p w14:paraId="619E9F9F" w14:textId="77777777" w:rsidR="006F4C01" w:rsidRPr="0086119F" w:rsidRDefault="006F4C01" w:rsidP="006F4C01">
      <w:pPr>
        <w:tabs>
          <w:tab w:val="left" w:pos="2268"/>
        </w:tabs>
        <w:spacing w:after="120"/>
        <w:ind w:left="2268" w:right="1134"/>
        <w:jc w:val="both"/>
        <w:rPr>
          <w:lang w:val="fr-FR"/>
        </w:rPr>
      </w:pPr>
      <w:r w:rsidRPr="0086119F">
        <w:rPr>
          <w:lang w:val="fr-FR"/>
        </w:rPr>
        <w:t>Modifier le texte dans la case 17 pour lire : « CLASSER comme matière ou objet explosible – Pas d’affectation à une division ».</w:t>
      </w:r>
    </w:p>
    <w:p w14:paraId="1D5E88BB" w14:textId="77777777" w:rsidR="006F4C01" w:rsidRPr="0086119F" w:rsidRDefault="006F4C01" w:rsidP="006F4C01">
      <w:pPr>
        <w:tabs>
          <w:tab w:val="left" w:pos="2268"/>
        </w:tabs>
        <w:spacing w:after="120"/>
        <w:ind w:left="2268" w:right="1134"/>
        <w:jc w:val="both"/>
        <w:rPr>
          <w:lang w:val="fr-FR"/>
        </w:rPr>
      </w:pPr>
      <w:r w:rsidRPr="0086119F">
        <w:rPr>
          <w:lang w:val="fr-FR"/>
        </w:rPr>
        <w:t>Modifier le texte dans la case 19 pour lire : « ACCEPTER PROVISOIREMENT EN TANT QUE MATIERE OU OBJET EXPLOSIBLE (passer à la figure 10.3) ».</w:t>
      </w:r>
    </w:p>
    <w:p w14:paraId="4EB02BF9"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 et</w:t>
      </w:r>
      <w:r w:rsidRPr="0086119F">
        <w:rPr>
          <w:i/>
        </w:rPr>
        <w:t xml:space="preserve"> document informel INF.38, § 14)</w:t>
      </w:r>
    </w:p>
    <w:p w14:paraId="5793D895" w14:textId="77777777" w:rsidR="006F4C01" w:rsidRPr="0086119F" w:rsidRDefault="006F4C01" w:rsidP="006F4C01">
      <w:pPr>
        <w:tabs>
          <w:tab w:val="left" w:pos="2268"/>
        </w:tabs>
        <w:spacing w:after="120"/>
        <w:ind w:left="2268" w:right="1134" w:hanging="1134"/>
        <w:jc w:val="both"/>
        <w:rPr>
          <w:lang w:val="fr-FR"/>
        </w:rPr>
      </w:pPr>
      <w:r w:rsidRPr="0086119F">
        <w:rPr>
          <w:lang w:val="fr-FR"/>
        </w:rPr>
        <w:t>Figure 10.4</w:t>
      </w:r>
      <w:r w:rsidRPr="0086119F">
        <w:rPr>
          <w:lang w:val="fr-FR"/>
        </w:rPr>
        <w:tab/>
        <w:t>Modifier le texte dans la case 6 pour lire : « Classement comme matière explosible – Pas d’affectation à une division ».</w:t>
      </w:r>
    </w:p>
    <w:p w14:paraId="5DE89FE6" w14:textId="77777777" w:rsidR="006F4C01" w:rsidRPr="0086119F" w:rsidRDefault="006F4C01" w:rsidP="006F4C01">
      <w:pPr>
        <w:tabs>
          <w:tab w:val="left" w:pos="2268"/>
        </w:tabs>
        <w:spacing w:after="120"/>
        <w:ind w:left="2268" w:right="1134" w:hanging="1134"/>
        <w:jc w:val="both"/>
        <w:rPr>
          <w:lang w:val="fr-FR"/>
        </w:rPr>
      </w:pPr>
      <w:r w:rsidRPr="0086119F">
        <w:rPr>
          <w:lang w:val="fr-FR"/>
        </w:rPr>
        <w:tab/>
        <w:t>Dans la case 7, supprimer « autre qu’instable ».</w:t>
      </w:r>
    </w:p>
    <w:p w14:paraId="404B173E"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w:t>
      </w:r>
      <w:r w:rsidRPr="0086119F">
        <w:rPr>
          <w:i/>
        </w:rPr>
        <w:t>)</w:t>
      </w:r>
    </w:p>
    <w:p w14:paraId="1BC77374" w14:textId="77777777" w:rsidR="006F4C01" w:rsidRPr="0086119F" w:rsidRDefault="006F4C01" w:rsidP="006F4C01">
      <w:pPr>
        <w:tabs>
          <w:tab w:val="left" w:pos="2268"/>
        </w:tabs>
        <w:spacing w:after="120"/>
        <w:ind w:left="2268" w:right="1134" w:hanging="1134"/>
        <w:jc w:val="both"/>
        <w:rPr>
          <w:lang w:val="fr-FR"/>
        </w:rPr>
      </w:pPr>
      <w:r w:rsidRPr="0086119F">
        <w:rPr>
          <w:lang w:val="fr-FR"/>
        </w:rPr>
        <w:t>10.3.1.1</w:t>
      </w:r>
      <w:r w:rsidRPr="0086119F">
        <w:rPr>
          <w:lang w:val="fr-FR"/>
        </w:rPr>
        <w:tab/>
        <w:t>Modifier pour lire comme suit :</w:t>
      </w:r>
    </w:p>
    <w:p w14:paraId="4DA4D905" w14:textId="77777777" w:rsidR="006F4C01" w:rsidRPr="0086119F" w:rsidRDefault="006F4C01" w:rsidP="006F4C01">
      <w:pPr>
        <w:tabs>
          <w:tab w:val="left" w:pos="2268"/>
        </w:tabs>
        <w:spacing w:after="120"/>
        <w:ind w:left="1134" w:right="1134"/>
        <w:jc w:val="both"/>
        <w:rPr>
          <w:lang w:val="fr-FR"/>
        </w:rPr>
      </w:pPr>
      <w:r w:rsidRPr="0086119F">
        <w:rPr>
          <w:lang w:val="fr-FR"/>
        </w:rPr>
        <w:lastRenderedPageBreak/>
        <w:t>« 10.3.1.1</w:t>
      </w:r>
      <w:r w:rsidRPr="0086119F">
        <w:rPr>
          <w:lang w:val="fr-FR"/>
        </w:rPr>
        <w:tab/>
        <w:t>La procédure d’acceptation vise à déterminer si une matière telle que présentée pour la classification est susceptible d’appartenir à la classe des matières et objets explosibles. À cette fin, on contrôle qu’une matière n’est pas trop insensible pour relever de cette classe ou est acceptée comme matière explosible mais est considérée comme trop sensible aux sollicitations mécaniques, à la chaleur ou à la flamme pour être affectée à une division ou si l’objet proprement dit ou l’objet emballé est accepté comme objet explosible mais considéré comme trop sensible aux chocs ou à la chaleur pour être affecté à une division. ».</w:t>
      </w:r>
    </w:p>
    <w:p w14:paraId="48267147"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w:t>
      </w:r>
      <w:r w:rsidRPr="0086119F">
        <w:rPr>
          <w:i/>
        </w:rPr>
        <w:t>)</w:t>
      </w:r>
    </w:p>
    <w:p w14:paraId="05D4902E" w14:textId="77777777" w:rsidR="006F4C01" w:rsidRPr="0086119F" w:rsidRDefault="006F4C01" w:rsidP="006F4C01">
      <w:pPr>
        <w:tabs>
          <w:tab w:val="left" w:pos="2268"/>
        </w:tabs>
        <w:spacing w:after="120"/>
        <w:ind w:left="2268" w:right="1134" w:hanging="1134"/>
        <w:jc w:val="both"/>
        <w:rPr>
          <w:lang w:val="fr-FR"/>
        </w:rPr>
      </w:pPr>
      <w:r w:rsidRPr="0086119F">
        <w:rPr>
          <w:lang w:val="fr-FR"/>
        </w:rPr>
        <w:t>10.3.2.4</w:t>
      </w:r>
      <w:r w:rsidRPr="0086119F">
        <w:rPr>
          <w:lang w:val="fr-FR"/>
        </w:rPr>
        <w:tab/>
        <w:t>Au début, remplacer « Est-elle instable » par « Est-elle trop sensible pour être affectée à une division ».</w:t>
      </w:r>
    </w:p>
    <w:p w14:paraId="46ABF0F4"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w:t>
      </w:r>
      <w:r w:rsidRPr="0086119F">
        <w:rPr>
          <w:i/>
        </w:rPr>
        <w:t>)</w:t>
      </w:r>
    </w:p>
    <w:p w14:paraId="4D479BFA" w14:textId="77777777" w:rsidR="006F4C01" w:rsidRPr="0086119F" w:rsidRDefault="006F4C01" w:rsidP="006F4C01">
      <w:pPr>
        <w:tabs>
          <w:tab w:val="left" w:pos="2268"/>
        </w:tabs>
        <w:spacing w:after="120"/>
        <w:ind w:left="2268" w:right="1134" w:hanging="1134"/>
        <w:jc w:val="both"/>
        <w:rPr>
          <w:lang w:val="fr-FR"/>
        </w:rPr>
      </w:pPr>
      <w:r w:rsidRPr="0086119F">
        <w:rPr>
          <w:lang w:val="fr-FR"/>
        </w:rPr>
        <w:t>10.3.2.5</w:t>
      </w:r>
      <w:r w:rsidRPr="0086119F">
        <w:rPr>
          <w:lang w:val="fr-FR"/>
        </w:rPr>
        <w:tab/>
        <w:t>Au début, remplacer « sont-ils des matières ou objets explosibles instables » par « sont-ils des matières ou objets explosibles trop sensibles pour être affectés à une division ».</w:t>
      </w:r>
    </w:p>
    <w:p w14:paraId="4F37AFC5"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w:t>
      </w:r>
      <w:r w:rsidRPr="0086119F">
        <w:rPr>
          <w:i/>
        </w:rPr>
        <w:t>)</w:t>
      </w:r>
    </w:p>
    <w:p w14:paraId="265EEC43" w14:textId="77777777" w:rsidR="006F4C01" w:rsidRDefault="006F4C01" w:rsidP="006F4C01">
      <w:pPr>
        <w:tabs>
          <w:tab w:val="left" w:pos="2268"/>
        </w:tabs>
        <w:spacing w:after="120"/>
        <w:ind w:left="2268" w:right="1134" w:hanging="1134"/>
        <w:jc w:val="both"/>
        <w:rPr>
          <w:lang w:val="fr-FR"/>
        </w:rPr>
      </w:pPr>
      <w:r w:rsidRPr="0086119F">
        <w:rPr>
          <w:lang w:val="fr-FR"/>
        </w:rPr>
        <w:t>10.4.1.1</w:t>
      </w:r>
      <w:r w:rsidRPr="0086119F">
        <w:rPr>
          <w:lang w:val="fr-FR"/>
        </w:rPr>
        <w:tab/>
        <w:t>Au début, remplacer les deux premières phrases par</w:t>
      </w:r>
      <w:r>
        <w:rPr>
          <w:lang w:val="fr-FR"/>
        </w:rPr>
        <w:t> :</w:t>
      </w:r>
    </w:p>
    <w:p w14:paraId="229A9C0F" w14:textId="77777777" w:rsidR="006F4C01" w:rsidRDefault="006F4C01" w:rsidP="006F4C01">
      <w:pPr>
        <w:spacing w:after="120"/>
        <w:ind w:left="1134" w:right="1134"/>
        <w:jc w:val="both"/>
        <w:rPr>
          <w:lang w:val="fr-FR"/>
        </w:rPr>
      </w:pPr>
      <w:r w:rsidRPr="0086119F">
        <w:rPr>
          <w:lang w:val="fr-FR"/>
        </w:rPr>
        <w:t>« À moins d’être considérés trop sensibles pour être affectés à une division, les matières et objets explosibles peuvent être affectés à l’une des six divisions de danger, selon le type de danger qu’ils présentent (voir 2.1.1.4 du Règlement type et 2.1.2 du SGH). L’affectation à une division est une condition préalable au transport de matières et objets explosibles (voir par. 10.1.2). La procédure d’affectation (fig. 10.3 et 10.5) décrit de quelle manière on affecte les matières et les objets explosibles à une division. Les matières et objets explosibles peuvent également être classés d’office dans la division 1.1. ».</w:t>
      </w:r>
    </w:p>
    <w:p w14:paraId="2061BD7F" w14:textId="77777777" w:rsidR="006F4C01" w:rsidRPr="0086119F" w:rsidRDefault="006F4C01" w:rsidP="006F4C01">
      <w:pPr>
        <w:spacing w:after="120"/>
        <w:ind w:left="1134" w:right="1134"/>
        <w:jc w:val="both"/>
        <w:rPr>
          <w:lang w:val="fr-FR"/>
        </w:rPr>
      </w:pPr>
      <w:r>
        <w:rPr>
          <w:lang w:val="fr-FR"/>
        </w:rPr>
        <w:tab/>
      </w:r>
      <w:r>
        <w:rPr>
          <w:lang w:val="fr-FR"/>
        </w:rPr>
        <w:tab/>
      </w:r>
      <w:r>
        <w:rPr>
          <w:lang w:val="fr-FR"/>
        </w:rPr>
        <w:tab/>
        <w:t>L’amendement à la phrase suivante ne s’applique pas au texte français.</w:t>
      </w:r>
    </w:p>
    <w:p w14:paraId="60AF8701" w14:textId="77777777" w:rsidR="006F4C01" w:rsidRPr="0086119F" w:rsidRDefault="006F4C01" w:rsidP="006F4C01">
      <w:pPr>
        <w:tabs>
          <w:tab w:val="left" w:pos="2268"/>
        </w:tabs>
        <w:spacing w:after="120"/>
        <w:ind w:left="2268" w:right="1134" w:hanging="1134"/>
        <w:jc w:val="both"/>
        <w:rPr>
          <w:lang w:val="fr-FR"/>
        </w:rPr>
      </w:pPr>
      <w:r w:rsidRPr="0086119F">
        <w:rPr>
          <w:lang w:val="fr-FR"/>
        </w:rPr>
        <w:tab/>
        <w:t>Dans l’avant-dernière phrase, remplacer « 2.1.1.2 b) du SGH » par « 2.1.1.2.1 b) du SGH ».</w:t>
      </w:r>
    </w:p>
    <w:p w14:paraId="48DB1159"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 et</w:t>
      </w:r>
      <w:r w:rsidRPr="0086119F">
        <w:rPr>
          <w:i/>
        </w:rPr>
        <w:t xml:space="preserve"> document informel INF.38, § 14)</w:t>
      </w:r>
    </w:p>
    <w:p w14:paraId="173550F6" w14:textId="77777777" w:rsidR="006F4C01" w:rsidRPr="0086119F" w:rsidRDefault="006F4C01" w:rsidP="006F4C01">
      <w:pPr>
        <w:tabs>
          <w:tab w:val="left" w:pos="2268"/>
        </w:tabs>
        <w:spacing w:after="120"/>
        <w:ind w:left="2268" w:right="1134" w:hanging="1134"/>
        <w:jc w:val="both"/>
        <w:rPr>
          <w:lang w:val="fr-FR"/>
        </w:rPr>
      </w:pPr>
      <w:r w:rsidRPr="0086119F">
        <w:rPr>
          <w:lang w:val="fr-FR"/>
        </w:rPr>
        <w:t>Figure 10.6 a)</w:t>
      </w:r>
      <w:r w:rsidRPr="0086119F">
        <w:rPr>
          <w:lang w:val="fr-FR"/>
        </w:rPr>
        <w:tab/>
        <w:t>Au point 7, modifier l’information pour la case 13 pour lire : « Est-elle trop sensible pour être affectée à une division sous la forme éprouvée ? ».</w:t>
      </w:r>
    </w:p>
    <w:p w14:paraId="736FA7BC"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1D82C43F" w14:textId="77777777" w:rsidR="006F4C01" w:rsidRPr="0086119F" w:rsidRDefault="006F4C01" w:rsidP="006F4C01">
      <w:pPr>
        <w:tabs>
          <w:tab w:val="left" w:pos="2268"/>
        </w:tabs>
        <w:spacing w:after="120"/>
        <w:ind w:left="2268" w:right="1134" w:hanging="1134"/>
        <w:jc w:val="both"/>
        <w:rPr>
          <w:lang w:val="fr-FR"/>
        </w:rPr>
      </w:pPr>
      <w:r w:rsidRPr="0086119F">
        <w:rPr>
          <w:lang w:val="fr-FR"/>
        </w:rPr>
        <w:t>Figure 10.6 b)</w:t>
      </w:r>
      <w:r w:rsidRPr="0086119F">
        <w:rPr>
          <w:lang w:val="fr-FR"/>
        </w:rPr>
        <w:tab/>
        <w:t>Modifier le texte dans la case 13 pour lire : « Est-elle trop sensible pour être affectée à une division sous la forme éprouvée ? ».</w:t>
      </w:r>
    </w:p>
    <w:p w14:paraId="3CAF5C8F" w14:textId="77777777" w:rsidR="006F4C01" w:rsidRPr="0086119F" w:rsidRDefault="006F4C01" w:rsidP="006F4C01">
      <w:pPr>
        <w:tabs>
          <w:tab w:val="left" w:pos="2268"/>
        </w:tabs>
        <w:spacing w:after="120"/>
        <w:ind w:left="2268" w:right="1134"/>
        <w:jc w:val="both"/>
        <w:rPr>
          <w:lang w:val="fr-FR"/>
        </w:rPr>
      </w:pPr>
      <w:r w:rsidRPr="0086119F">
        <w:rPr>
          <w:lang w:val="fr-FR"/>
        </w:rPr>
        <w:t>Modifier le texte dans la case 16 pour lire : « L’objet, l’objet emballé ou la matière emballée sont-ils trop sensibles pour être affectés à une division ? ».</w:t>
      </w:r>
    </w:p>
    <w:p w14:paraId="2E7EB237" w14:textId="77777777" w:rsidR="006F4C01" w:rsidRPr="0086119F" w:rsidRDefault="006F4C01" w:rsidP="006F4C01">
      <w:pPr>
        <w:tabs>
          <w:tab w:val="left" w:pos="2268"/>
        </w:tabs>
        <w:spacing w:after="120"/>
        <w:ind w:left="2268" w:right="1134"/>
        <w:jc w:val="both"/>
        <w:rPr>
          <w:lang w:val="fr-FR"/>
        </w:rPr>
      </w:pPr>
      <w:r w:rsidRPr="0086119F">
        <w:rPr>
          <w:lang w:val="fr-FR"/>
        </w:rPr>
        <w:t>Modifier le texte dans la case 17 pour lire : « CLASSER comme matière ou objet explosible – Pas d’affectation à une division ».</w:t>
      </w:r>
    </w:p>
    <w:p w14:paraId="4D87C0C5" w14:textId="77777777" w:rsidR="006F4C01" w:rsidRPr="0086119F" w:rsidRDefault="006F4C01" w:rsidP="006F4C01">
      <w:pPr>
        <w:tabs>
          <w:tab w:val="left" w:pos="2268"/>
        </w:tabs>
        <w:spacing w:after="120"/>
        <w:ind w:left="2268" w:right="1134"/>
        <w:jc w:val="both"/>
        <w:rPr>
          <w:lang w:val="fr-FR"/>
        </w:rPr>
      </w:pPr>
      <w:r w:rsidRPr="0086119F">
        <w:rPr>
          <w:lang w:val="fr-FR"/>
        </w:rPr>
        <w:t>Modifier le texte dans la case 19 pour lire : « ACCEPTER PROVISOIREMENT EN TANT QUE MATIERE OU OBJET EXPLOSIBLE (passer à la figure 10.3) ».</w:t>
      </w:r>
    </w:p>
    <w:p w14:paraId="6BFB28C5"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 et</w:t>
      </w:r>
      <w:r w:rsidRPr="0086119F">
        <w:rPr>
          <w:i/>
        </w:rPr>
        <w:t xml:space="preserve"> document informel INF.38, § 14)</w:t>
      </w:r>
    </w:p>
    <w:p w14:paraId="1D57FA4A" w14:textId="77777777" w:rsidR="006F4C01" w:rsidRPr="0086119F" w:rsidRDefault="006F4C01" w:rsidP="006F4C01">
      <w:pPr>
        <w:tabs>
          <w:tab w:val="left" w:pos="2268"/>
        </w:tabs>
        <w:spacing w:after="120"/>
        <w:ind w:left="2268" w:right="1134" w:hanging="1134"/>
        <w:jc w:val="both"/>
        <w:rPr>
          <w:lang w:val="fr-FR"/>
        </w:rPr>
      </w:pPr>
      <w:r w:rsidRPr="0086119F">
        <w:rPr>
          <w:lang w:val="fr-FR"/>
        </w:rPr>
        <w:t>Figure 10.7 a)</w:t>
      </w:r>
      <w:r w:rsidRPr="0086119F">
        <w:rPr>
          <w:lang w:val="fr-FR"/>
        </w:rPr>
        <w:tab/>
        <w:t>Au point 11, modifier l’information pour la case 13 pour lire : « Est-elle trop sensible pour être affectée à une division sous la forme éprouvée ? ».</w:t>
      </w:r>
    </w:p>
    <w:p w14:paraId="5329B1F0"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19C21DA" w14:textId="77777777" w:rsidR="006F4C01" w:rsidRPr="0086119F" w:rsidRDefault="006F4C01" w:rsidP="006F4C01">
      <w:pPr>
        <w:tabs>
          <w:tab w:val="left" w:pos="2268"/>
        </w:tabs>
        <w:spacing w:after="120"/>
        <w:ind w:left="2268" w:right="1134" w:hanging="1134"/>
        <w:jc w:val="both"/>
        <w:rPr>
          <w:lang w:val="fr-FR"/>
        </w:rPr>
      </w:pPr>
      <w:r w:rsidRPr="0086119F">
        <w:rPr>
          <w:lang w:val="fr-FR"/>
        </w:rPr>
        <w:t>Figure 10.7 b)</w:t>
      </w:r>
      <w:r w:rsidRPr="0086119F">
        <w:rPr>
          <w:lang w:val="fr-FR"/>
        </w:rPr>
        <w:tab/>
        <w:t>Modifier le texte dans la case 13 pour lire : « Est-elle trop sensible pour être affectée à une division sous la forme éprouvée ? ».</w:t>
      </w:r>
    </w:p>
    <w:p w14:paraId="5DCB5D9E" w14:textId="77777777" w:rsidR="006F4C01" w:rsidRPr="0086119F" w:rsidRDefault="006F4C01" w:rsidP="006F4C01">
      <w:pPr>
        <w:tabs>
          <w:tab w:val="left" w:pos="2268"/>
        </w:tabs>
        <w:spacing w:after="120"/>
        <w:ind w:left="2268" w:right="1134"/>
        <w:jc w:val="both"/>
        <w:rPr>
          <w:lang w:val="fr-FR"/>
        </w:rPr>
      </w:pPr>
      <w:r w:rsidRPr="0086119F">
        <w:rPr>
          <w:lang w:val="fr-FR"/>
        </w:rPr>
        <w:t>Modifier le texte dans la case 16 pour lire : « L’objet, l’objet emballé ou la matière emballée sont-ils trop sensibles pour être affectés à une division ? ».</w:t>
      </w:r>
    </w:p>
    <w:p w14:paraId="5DD363CB" w14:textId="77777777" w:rsidR="006F4C01" w:rsidRPr="0086119F" w:rsidRDefault="006F4C01" w:rsidP="006F4C01">
      <w:pPr>
        <w:tabs>
          <w:tab w:val="left" w:pos="2268"/>
        </w:tabs>
        <w:spacing w:after="120"/>
        <w:ind w:left="2268" w:right="1134"/>
        <w:jc w:val="both"/>
        <w:rPr>
          <w:lang w:val="fr-FR"/>
        </w:rPr>
      </w:pPr>
      <w:r w:rsidRPr="0086119F">
        <w:rPr>
          <w:lang w:val="fr-FR"/>
        </w:rPr>
        <w:lastRenderedPageBreak/>
        <w:t>Modifier le texte dans la case 17 pour lire : « CLASSER comme matière ou objet explosible – Pas d’affectation à une division ».</w:t>
      </w:r>
    </w:p>
    <w:p w14:paraId="11A84F8C" w14:textId="77777777" w:rsidR="006F4C01" w:rsidRPr="0086119F" w:rsidRDefault="006F4C01" w:rsidP="006F4C01">
      <w:pPr>
        <w:tabs>
          <w:tab w:val="left" w:pos="2268"/>
        </w:tabs>
        <w:spacing w:after="120"/>
        <w:ind w:left="2268" w:right="1134"/>
        <w:jc w:val="both"/>
        <w:rPr>
          <w:lang w:val="fr-FR"/>
        </w:rPr>
      </w:pPr>
      <w:r w:rsidRPr="770036FD">
        <w:rPr>
          <w:lang w:val="fr-FR"/>
        </w:rPr>
        <w:t>Modifier le texte dans la case 19 pour lire : « ACCEPTER PROVISOIREMENT EN TANT QUE MATIERE OU OBJET EXPLOSIBLE ».</w:t>
      </w:r>
    </w:p>
    <w:p w14:paraId="01005773" w14:textId="77777777" w:rsidR="006F4C01" w:rsidRPr="0086119F" w:rsidRDefault="006F4C01" w:rsidP="006F4C01">
      <w:pPr>
        <w:spacing w:after="120"/>
        <w:ind w:left="1134" w:right="1134"/>
        <w:jc w:val="both"/>
        <w:rPr>
          <w:i/>
        </w:rPr>
      </w:pPr>
      <w:r w:rsidRPr="0086119F">
        <w:rPr>
          <w:i/>
        </w:rPr>
        <w:t>(Document de référence :</w:t>
      </w:r>
      <w:r w:rsidRPr="0086119F">
        <w:rPr>
          <w:i/>
          <w:iCs/>
          <w:lang w:val="fr-FR" w:eastAsia="en-US"/>
        </w:rPr>
        <w:t xml:space="preserve"> ST/SG/AC.10/C.3/2020/60 et</w:t>
      </w:r>
      <w:r w:rsidRPr="0086119F">
        <w:rPr>
          <w:i/>
        </w:rPr>
        <w:t xml:space="preserve"> document informel INF.38, § 14)</w:t>
      </w:r>
    </w:p>
    <w:p w14:paraId="052782FD" w14:textId="77777777" w:rsidR="006F4C01" w:rsidRPr="0086119F" w:rsidRDefault="006F4C01" w:rsidP="006F4C01">
      <w:pPr>
        <w:pStyle w:val="H1G"/>
        <w:rPr>
          <w:rFonts w:eastAsiaTheme="minorHAnsi"/>
          <w:lang w:val="fr-FR" w:eastAsia="en-US"/>
        </w:rPr>
      </w:pPr>
      <w:r w:rsidRPr="0086119F">
        <w:rPr>
          <w:rFonts w:eastAsiaTheme="minorHAnsi"/>
          <w:lang w:val="fr-FR" w:eastAsia="en-US"/>
        </w:rPr>
        <w:tab/>
      </w:r>
      <w:r w:rsidRPr="0086119F">
        <w:rPr>
          <w:rFonts w:eastAsiaTheme="minorHAnsi"/>
          <w:lang w:val="fr-FR" w:eastAsia="en-US"/>
        </w:rPr>
        <w:tab/>
        <w:t>Section 13</w:t>
      </w:r>
    </w:p>
    <w:p w14:paraId="57D8DDD4" w14:textId="77777777" w:rsidR="006F4C01" w:rsidRPr="0086119F" w:rsidRDefault="006F4C01" w:rsidP="006F4C01">
      <w:pPr>
        <w:pStyle w:val="SingleTxtG"/>
        <w:tabs>
          <w:tab w:val="left" w:pos="2268"/>
        </w:tabs>
        <w:rPr>
          <w:lang w:val="fr-FR" w:eastAsia="en-US"/>
        </w:rPr>
      </w:pPr>
      <w:r w:rsidRPr="0086119F">
        <w:rPr>
          <w:lang w:val="fr-FR" w:eastAsia="en-US"/>
        </w:rPr>
        <w:t>13.1</w:t>
      </w:r>
      <w:r w:rsidRPr="0086119F">
        <w:rPr>
          <w:lang w:val="fr-FR" w:eastAsia="en-US"/>
        </w:rPr>
        <w:tab/>
        <w:t>Modifier le paragraphe sous le titre pour lire comme suit et supprimer le Nota :</w:t>
      </w:r>
    </w:p>
    <w:p w14:paraId="35C30303" w14:textId="77777777" w:rsidR="006F4C01" w:rsidRPr="0086119F" w:rsidRDefault="006F4C01" w:rsidP="006F4C01">
      <w:pPr>
        <w:pStyle w:val="SingleTxtG"/>
        <w:tabs>
          <w:tab w:val="left" w:pos="2268"/>
        </w:tabs>
        <w:rPr>
          <w:lang w:val="fr-FR" w:eastAsia="en-US"/>
        </w:rPr>
      </w:pPr>
      <w:r w:rsidRPr="0086119F">
        <w:rPr>
          <w:lang w:val="fr-FR" w:eastAsia="en-US"/>
        </w:rPr>
        <w:t>« Cette série d’épreuves est utilisée pour répondre aux questions des cases 12 et 13 de la figure 10.2 en déterminant la sensibilité de la matière aux sollicitations mécaniques (choc et frottement), ainsi qu’à la chaleur et à la flamme. La réponse à la question de la case 12 est « non » si un résultat positif (+) est obtenu lors de l’épreuve du type 3 c) et si la matière est considérée comme trop sensible pour être affectée à une division. La réponse à la question de la case 13 est « oui » si un résultat positif (+) est obtenu pour l’un quelconque des types d’épreuve 3 a), 3 b) ou 3 d). Si un résultat positif (+) est obtenu, la matière est considérée comme trop sensible pour être affectée à une division dans la forme sous laquelle elle a été éprouvée mais elle peut être soit placée dans un objet, soit flegmatisée, soit emballée pour réduire sa sensibilité aux sollicitations externes. ».</w:t>
      </w:r>
    </w:p>
    <w:p w14:paraId="15576162"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543FB787"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13.4.1.1</w:t>
      </w:r>
      <w:r w:rsidRPr="0086119F">
        <w:rPr>
          <w:lang w:val="fr-FR" w:eastAsia="en-US"/>
        </w:rPr>
        <w:tab/>
      </w:r>
      <w:r w:rsidRPr="0086119F">
        <w:rPr>
          <w:lang w:val="fr-FR" w:eastAsia="en-US"/>
        </w:rPr>
        <w:tab/>
        <w:t>Dans la première phrase, remplacer « une matière explosible instable » par « trop sensible pour être affectée à une division ».</w:t>
      </w:r>
    </w:p>
    <w:p w14:paraId="2B70A876"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1BFB785B"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13.4.1.4.1</w:t>
      </w:r>
      <w:r w:rsidRPr="0086119F">
        <w:rPr>
          <w:lang w:val="fr-FR" w:eastAsia="en-US"/>
        </w:rPr>
        <w:tab/>
      </w:r>
      <w:r w:rsidRPr="0086119F">
        <w:rPr>
          <w:lang w:val="fr-FR" w:eastAsia="en-US"/>
        </w:rPr>
        <w:tab/>
        <w:t>Dans la première phrase, remplacer « une matière explosible instable » par « trop sensible pour être affectée à une division ».</w:t>
      </w:r>
    </w:p>
    <w:p w14:paraId="19450B76"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8D55D86"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13.4.1.4.2</w:t>
      </w:r>
      <w:r w:rsidRPr="0086119F">
        <w:rPr>
          <w:lang w:val="fr-FR" w:eastAsia="en-US"/>
        </w:rPr>
        <w:tab/>
      </w:r>
      <w:r w:rsidRPr="0086119F">
        <w:rPr>
          <w:lang w:val="fr-FR" w:eastAsia="en-US"/>
        </w:rPr>
        <w:tab/>
        <w:t>Dans la première phrase, remplacer « une matière explosible instable » par « trop sensible pour être affectée à une division ».</w:t>
      </w:r>
    </w:p>
    <w:p w14:paraId="7C71A53C"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2EDCDA8C"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13.4.2.</w:t>
      </w:r>
      <w:r>
        <w:rPr>
          <w:lang w:val="fr-FR" w:eastAsia="en-US"/>
        </w:rPr>
        <w:t>1</w:t>
      </w:r>
      <w:r w:rsidRPr="0086119F">
        <w:rPr>
          <w:lang w:val="fr-FR" w:eastAsia="en-US"/>
        </w:rPr>
        <w:tab/>
      </w:r>
      <w:r>
        <w:rPr>
          <w:lang w:val="fr-FR" w:eastAsia="en-US"/>
        </w:rPr>
        <w:t>D</w:t>
      </w:r>
      <w:r w:rsidRPr="0086119F">
        <w:rPr>
          <w:lang w:val="fr-FR" w:eastAsia="en-US"/>
        </w:rPr>
        <w:t>ans la première phrase, remplacer « une matière explosible instable » par « trop sensible pour être affectée à une division ».</w:t>
      </w:r>
    </w:p>
    <w:p w14:paraId="69B8E820"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75AE0776"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13.4.2.4</w:t>
      </w:r>
      <w:r w:rsidRPr="0086119F">
        <w:rPr>
          <w:lang w:val="fr-FR" w:eastAsia="en-US"/>
        </w:rPr>
        <w:tab/>
        <w:t>Dans le paragraphe après les alinéas, dans la première phrase, remplacer « une matière explosible instable » par « trop sensible pour être affectée à une division ».</w:t>
      </w:r>
    </w:p>
    <w:p w14:paraId="30613307"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1BEF6272"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13.4.3.1</w:t>
      </w:r>
      <w:r w:rsidRPr="0086119F">
        <w:rPr>
          <w:lang w:val="fr-FR" w:eastAsia="en-US"/>
        </w:rPr>
        <w:tab/>
      </w:r>
      <w:r w:rsidRPr="0086119F">
        <w:rPr>
          <w:lang w:val="fr-FR" w:eastAsia="en-US"/>
        </w:rPr>
        <w:tab/>
        <w:t>Dans la première phrase, remplacer « une matière explosible instable » par « trop sensible pour être affectée à une division ».</w:t>
      </w:r>
    </w:p>
    <w:p w14:paraId="49A06D28"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2A8864C9"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13.4.3.4.1</w:t>
      </w:r>
      <w:r w:rsidRPr="0086119F">
        <w:rPr>
          <w:lang w:val="fr-FR" w:eastAsia="en-US"/>
        </w:rPr>
        <w:tab/>
        <w:t>Dans le paragraphe après les alinéas, dans la première phrase, remplacer « une matière explosible instable » par « trop sensible pour être affectée à une division ». À la fin, remplacer « jugée comme n’étant pas une matière explosible instable » par « jugée comme trop sensible pour être affectée à une division ».</w:t>
      </w:r>
    </w:p>
    <w:p w14:paraId="4D8F30E9"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20A6A4B9" w14:textId="77777777" w:rsidR="00AF63CB" w:rsidRDefault="00AF63CB">
      <w:pPr>
        <w:suppressAutoHyphens w:val="0"/>
        <w:kinsoku/>
        <w:overflowPunct/>
        <w:autoSpaceDE/>
        <w:autoSpaceDN/>
        <w:adjustRightInd/>
        <w:snapToGrid/>
        <w:spacing w:after="200" w:line="276" w:lineRule="auto"/>
        <w:rPr>
          <w:lang w:val="fr-FR" w:eastAsia="en-US"/>
        </w:rPr>
      </w:pPr>
      <w:r>
        <w:rPr>
          <w:lang w:val="fr-FR" w:eastAsia="en-US"/>
        </w:rPr>
        <w:br w:type="page"/>
      </w:r>
    </w:p>
    <w:p w14:paraId="095435D6" w14:textId="3CA853E1" w:rsidR="006F4C01" w:rsidRPr="0086119F" w:rsidRDefault="006F4C01" w:rsidP="006F4C01">
      <w:pPr>
        <w:pStyle w:val="SingleTxtG"/>
        <w:tabs>
          <w:tab w:val="left" w:pos="2268"/>
        </w:tabs>
        <w:ind w:left="2268" w:hanging="1134"/>
        <w:rPr>
          <w:lang w:val="fr-FR" w:eastAsia="en-US"/>
        </w:rPr>
      </w:pPr>
      <w:r w:rsidRPr="0086119F">
        <w:rPr>
          <w:lang w:val="fr-FR" w:eastAsia="en-US"/>
        </w:rPr>
        <w:lastRenderedPageBreak/>
        <w:t>13.4.3.4.2</w:t>
      </w:r>
      <w:r w:rsidRPr="0086119F">
        <w:rPr>
          <w:lang w:val="fr-FR" w:eastAsia="en-US"/>
        </w:rPr>
        <w:tab/>
        <w:t>Dans le paragraphe après les alinéas, dans la troisième phrase, remplacer « une matière explosible instable » par « trop sensible pour être affectée à une division ». Dans l’avant-dernière phrase, remplacer « jugée comme n’étant pas une matière explosible instable » par « jugée comme trop sensible pour être affectée à une division ».</w:t>
      </w:r>
    </w:p>
    <w:p w14:paraId="7EA20863"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2928C044"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13.4.4.1</w:t>
      </w:r>
      <w:r w:rsidRPr="0086119F">
        <w:rPr>
          <w:lang w:val="fr-FR" w:eastAsia="en-US"/>
        </w:rPr>
        <w:tab/>
        <w:t>Remplacer « une matière explosible instable » par « trop sensible pour être affectée à une division ».</w:t>
      </w:r>
    </w:p>
    <w:p w14:paraId="1B64C5C0"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4031073"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13.4.4.4</w:t>
      </w:r>
      <w:r w:rsidRPr="0086119F">
        <w:rPr>
          <w:lang w:val="fr-FR" w:eastAsia="en-US"/>
        </w:rPr>
        <w:tab/>
        <w:t>Dans le paragraphe après les alinéas, dans la première phrase, remplacer « une matière explosible instable » par « trop sensible pour être affectée à une division ».</w:t>
      </w:r>
    </w:p>
    <w:p w14:paraId="049ABA03"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3EDEBB57"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13.4.5.1</w:t>
      </w:r>
      <w:r w:rsidRPr="0086119F">
        <w:rPr>
          <w:lang w:val="fr-FR" w:eastAsia="en-US"/>
        </w:rPr>
        <w:tab/>
        <w:t>Dans la première phrase, remplacer « une matière explosible instable » par « trop sensible pour être affectée à une division ».</w:t>
      </w:r>
    </w:p>
    <w:p w14:paraId="01C5BF91"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1A52D1AE"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13.4.5.4.3</w:t>
      </w:r>
      <w:r w:rsidRPr="0086119F">
        <w:rPr>
          <w:lang w:val="fr-FR" w:eastAsia="en-US"/>
        </w:rPr>
        <w:tab/>
        <w:t>Dans la première phrase, remplacer « une matière explosible instable » par « trop sensible pour être affectée à une division ».</w:t>
      </w:r>
    </w:p>
    <w:p w14:paraId="7642B5EF"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784A8BBB"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13.4.6.1</w:t>
      </w:r>
      <w:r w:rsidRPr="0086119F">
        <w:rPr>
          <w:lang w:val="fr-FR" w:eastAsia="en-US"/>
        </w:rPr>
        <w:tab/>
        <w:t>Remplacer « une matière explosible instable » par « trop sensible pour être affectée à une division ».</w:t>
      </w:r>
    </w:p>
    <w:p w14:paraId="5EDF7327"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3D518080"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13.4.6.4.1</w:t>
      </w:r>
      <w:r w:rsidRPr="0086119F">
        <w:rPr>
          <w:lang w:val="fr-FR" w:eastAsia="en-US"/>
        </w:rPr>
        <w:tab/>
        <w:t>Dans le paragraphe après les alinéas, dans la première phrase, remplacer « une matière explosible instable » par « trop sensible pour être affectée à une division ».</w:t>
      </w:r>
    </w:p>
    <w:p w14:paraId="7ABB8676"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7226684"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13.4.6.4.2</w:t>
      </w:r>
      <w:r w:rsidRPr="0086119F">
        <w:rPr>
          <w:lang w:val="fr-FR" w:eastAsia="en-US"/>
        </w:rPr>
        <w:tab/>
        <w:t>Dans le paragraphe après les alinéas, dans la première phrase, remplacer « une matière explosible instable » par « trop sensible pour être affectée à une division ».</w:t>
      </w:r>
    </w:p>
    <w:p w14:paraId="4DC37CFE"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5F9EE819"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13.4.7.1</w:t>
      </w:r>
      <w:r w:rsidRPr="0086119F">
        <w:rPr>
          <w:lang w:val="fr-FR" w:eastAsia="en-US"/>
        </w:rPr>
        <w:tab/>
        <w:t>Remplacer « une matière explosible instable » par « trop sensible pour être affectée à une division ».</w:t>
      </w:r>
    </w:p>
    <w:p w14:paraId="6E3B0063"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688AD916"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13.4.7.5.1</w:t>
      </w:r>
      <w:r w:rsidRPr="0086119F">
        <w:rPr>
          <w:lang w:val="fr-FR" w:eastAsia="en-US"/>
        </w:rPr>
        <w:tab/>
        <w:t>Dans la première phrase, remplacer « une matière explosible instable » par « trop sensible pour être affectée à une division ».</w:t>
      </w:r>
    </w:p>
    <w:p w14:paraId="31B71C66"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58C9551D"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13.4.7.5.2</w:t>
      </w:r>
      <w:r w:rsidRPr="0086119F">
        <w:rPr>
          <w:lang w:val="fr-FR" w:eastAsia="en-US"/>
        </w:rPr>
        <w:tab/>
        <w:t>Dans la première phrase, remplacer « une matière explosible instable » par « trop sensible pour être affectée à une division ».</w:t>
      </w:r>
    </w:p>
    <w:p w14:paraId="3ED30E21"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41D1E49A"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13.5.1.1</w:t>
      </w:r>
      <w:r w:rsidRPr="0086119F">
        <w:rPr>
          <w:lang w:val="fr-FR" w:eastAsia="en-US"/>
        </w:rPr>
        <w:tab/>
        <w:t>Remplacer « une matière explosible instable » par « trop sensible pour être affectée à une division ».</w:t>
      </w:r>
    </w:p>
    <w:p w14:paraId="2C3BAEE7"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8B1AE49"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13.5.1.4</w:t>
      </w:r>
      <w:r w:rsidRPr="0086119F">
        <w:rPr>
          <w:lang w:val="fr-FR" w:eastAsia="en-US"/>
        </w:rPr>
        <w:tab/>
        <w:t>Dans le paragraphe après les alinéas, dans la première phrase, remplacer « une matière explosible instable » par « trop sensible pour être affectée à une division ».</w:t>
      </w:r>
    </w:p>
    <w:p w14:paraId="2377DC3F"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4849196E"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lastRenderedPageBreak/>
        <w:t>13.5.2.1</w:t>
      </w:r>
      <w:r w:rsidRPr="0086119F">
        <w:rPr>
          <w:lang w:val="fr-FR" w:eastAsia="en-US"/>
        </w:rPr>
        <w:tab/>
        <w:t>Remplacer « une matière explosible instable » par « trop sensible pour être affectée à une division ».</w:t>
      </w:r>
    </w:p>
    <w:p w14:paraId="376161CF"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2DF21BAA"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13.5.2.4</w:t>
      </w:r>
      <w:r w:rsidRPr="0086119F">
        <w:rPr>
          <w:lang w:val="fr-FR" w:eastAsia="en-US"/>
        </w:rPr>
        <w:tab/>
        <w:t>Dans le paragraphe après les alinéas, dans la première phrase, remplacer « une matière explosible instable » par « trop sensible pour être affectée à une division ».</w:t>
      </w:r>
    </w:p>
    <w:p w14:paraId="3C1C1DF4"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1DB5E146"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13.5.3.1</w:t>
      </w:r>
      <w:r w:rsidRPr="0086119F">
        <w:rPr>
          <w:lang w:val="fr-FR" w:eastAsia="en-US"/>
        </w:rPr>
        <w:tab/>
        <w:t>Remplacer « une matière explosible instable » par « trop sensible pour être affectée à une division ».</w:t>
      </w:r>
    </w:p>
    <w:p w14:paraId="659006C8"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61610404"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13.5.3.4</w:t>
      </w:r>
      <w:r w:rsidRPr="0086119F">
        <w:rPr>
          <w:lang w:val="fr-FR" w:eastAsia="en-US"/>
        </w:rPr>
        <w:tab/>
        <w:t>Dans le paragraphe après les alinéas, dans la première phrase, remplacer « une matière explosible instable » par « trop sensible pour être affectée à une division ».</w:t>
      </w:r>
    </w:p>
    <w:p w14:paraId="61E3F3BA"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10A2474"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13.5.4.1</w:t>
      </w:r>
      <w:r w:rsidRPr="0086119F">
        <w:rPr>
          <w:lang w:val="fr-FR" w:eastAsia="en-US"/>
        </w:rPr>
        <w:tab/>
        <w:t>Remplacer « une matière explosible instable » par « trop sensible pour être affectée à une division ».</w:t>
      </w:r>
    </w:p>
    <w:p w14:paraId="7D252F9B"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16A059BA"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13.5.4.5</w:t>
      </w:r>
      <w:r w:rsidRPr="0086119F">
        <w:rPr>
          <w:lang w:val="fr-FR" w:eastAsia="en-US"/>
        </w:rPr>
        <w:tab/>
        <w:t>Dans la première phrase, remplacer « une matière explosible instable » par « trop sensible pour être affectée à une division ».</w:t>
      </w:r>
    </w:p>
    <w:p w14:paraId="209F02B9"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F3837FF"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13.6.1.3.1</w:t>
      </w:r>
      <w:r w:rsidRPr="0086119F">
        <w:rPr>
          <w:lang w:val="fr-FR" w:eastAsia="en-US"/>
        </w:rPr>
        <w:tab/>
      </w:r>
      <w:r w:rsidRPr="0086119F">
        <w:rPr>
          <w:lang w:val="fr-FR" w:eastAsia="en-US"/>
        </w:rPr>
        <w:tab/>
      </w:r>
      <w:r>
        <w:rPr>
          <w:lang w:val="fr-FR" w:eastAsia="en-US"/>
        </w:rPr>
        <w:t>Remplacer « </w:t>
      </w:r>
      <w:r w:rsidRPr="005B041C">
        <w:rPr>
          <w:lang w:val="fr-FR" w:eastAsia="en-US"/>
        </w:rPr>
        <w:t>thermiquement trop instable pour le transport et doit être catégorisée comme une matière explosible instable</w:t>
      </w:r>
      <w:r>
        <w:rPr>
          <w:lang w:val="fr-FR" w:eastAsia="en-US"/>
        </w:rPr>
        <w:t> » par « </w:t>
      </w:r>
      <w:r w:rsidRPr="00D41018">
        <w:rPr>
          <w:lang w:val="fr-FR" w:eastAsia="en-US"/>
        </w:rPr>
        <w:t>trop sensible pour être affectée à une division</w:t>
      </w:r>
      <w:r>
        <w:rPr>
          <w:lang w:val="fr-FR" w:eastAsia="en-US"/>
        </w:rPr>
        <w:t> ».</w:t>
      </w:r>
    </w:p>
    <w:p w14:paraId="7AC8DB5E"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694AC06"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13.6.1.4.2</w:t>
      </w:r>
      <w:r w:rsidRPr="0086119F">
        <w:rPr>
          <w:lang w:val="fr-FR" w:eastAsia="en-US"/>
        </w:rPr>
        <w:tab/>
      </w:r>
      <w:r>
        <w:rPr>
          <w:lang w:val="fr-FR" w:eastAsia="en-US"/>
        </w:rPr>
        <w:t>Remplacer « </w:t>
      </w:r>
      <w:r w:rsidRPr="000B4FA8">
        <w:rPr>
          <w:lang w:val="fr-FR" w:eastAsia="en-US"/>
        </w:rPr>
        <w:t>, doit être catégorisée comme explosible instable et ne doit pas être autorisée pour le transport</w:t>
      </w:r>
      <w:r>
        <w:rPr>
          <w:lang w:val="fr-FR" w:eastAsia="en-US"/>
        </w:rPr>
        <w:t> » par « </w:t>
      </w:r>
      <w:r w:rsidRPr="00AF70D3">
        <w:rPr>
          <w:lang w:val="fr-FR" w:eastAsia="en-US"/>
        </w:rPr>
        <w:t>et donc trop sensible pour être affectée à une division</w:t>
      </w:r>
      <w:r>
        <w:rPr>
          <w:lang w:val="fr-FR" w:eastAsia="en-US"/>
        </w:rPr>
        <w:t> ».</w:t>
      </w:r>
    </w:p>
    <w:p w14:paraId="109813DC"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353EA2CF"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13.6.2.4.2</w:t>
      </w:r>
      <w:r w:rsidRPr="0086119F">
        <w:rPr>
          <w:lang w:val="fr-FR" w:eastAsia="en-US"/>
        </w:rPr>
        <w:tab/>
      </w:r>
      <w:r>
        <w:rPr>
          <w:lang w:val="fr-FR" w:eastAsia="en-US"/>
        </w:rPr>
        <w:t>Remplacer « </w:t>
      </w:r>
      <w:r w:rsidRPr="000B4FA8">
        <w:rPr>
          <w:lang w:val="fr-FR" w:eastAsia="en-US"/>
        </w:rPr>
        <w:t>, doit être catégorisée comme explosible instable et ne doit pas être autorisée pour le transport</w:t>
      </w:r>
      <w:r>
        <w:rPr>
          <w:lang w:val="fr-FR" w:eastAsia="en-US"/>
        </w:rPr>
        <w:t> » par « </w:t>
      </w:r>
      <w:r w:rsidRPr="00AF70D3">
        <w:rPr>
          <w:lang w:val="fr-FR" w:eastAsia="en-US"/>
        </w:rPr>
        <w:t>et donc trop sensible pour être affectée à une division</w:t>
      </w:r>
      <w:r>
        <w:rPr>
          <w:lang w:val="fr-FR" w:eastAsia="en-US"/>
        </w:rPr>
        <w:t> ».</w:t>
      </w:r>
      <w:r w:rsidRPr="0086119F">
        <w:rPr>
          <w:lang w:val="fr-FR" w:eastAsia="en-US"/>
        </w:rPr>
        <w:t xml:space="preserve"> </w:t>
      </w:r>
    </w:p>
    <w:p w14:paraId="3EF8A868"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64616303"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13.7.1.3</w:t>
      </w:r>
      <w:r w:rsidRPr="0086119F">
        <w:rPr>
          <w:lang w:val="fr-FR" w:eastAsia="en-US"/>
        </w:rPr>
        <w:tab/>
        <w:t>Dans le paragraphe après les alinéas, dans la deuxième phrase, remplacer « une matière explosible instable » par « trop sensible pour être affectée à une division ».</w:t>
      </w:r>
    </w:p>
    <w:p w14:paraId="07206401"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0A91BC9" w14:textId="77777777" w:rsidR="006F4C01" w:rsidRPr="0086119F" w:rsidRDefault="006F4C01" w:rsidP="006F4C01">
      <w:pPr>
        <w:pStyle w:val="H1G"/>
        <w:rPr>
          <w:rFonts w:eastAsiaTheme="minorHAnsi"/>
          <w:lang w:val="fr-FR" w:eastAsia="en-US"/>
        </w:rPr>
      </w:pPr>
      <w:r w:rsidRPr="0086119F">
        <w:rPr>
          <w:rFonts w:eastAsiaTheme="minorHAnsi"/>
          <w:lang w:val="fr-FR" w:eastAsia="en-US"/>
        </w:rPr>
        <w:tab/>
      </w:r>
      <w:r w:rsidRPr="0086119F">
        <w:rPr>
          <w:rFonts w:eastAsiaTheme="minorHAnsi"/>
          <w:lang w:val="fr-FR" w:eastAsia="en-US"/>
        </w:rPr>
        <w:tab/>
        <w:t>Section 14</w:t>
      </w:r>
    </w:p>
    <w:p w14:paraId="729BA1F1"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14.1.1</w:t>
      </w:r>
      <w:r w:rsidRPr="0086119F">
        <w:rPr>
          <w:lang w:val="fr-FR" w:eastAsia="en-US"/>
        </w:rPr>
        <w:tab/>
        <w:t>Dans la première phrase, remplacer « trop dangereux pour être transportés » par « trop sensibles pour être affectés à une division ».</w:t>
      </w:r>
    </w:p>
    <w:p w14:paraId="57A09608"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46A8A379"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14.4.1.1</w:t>
      </w:r>
      <w:r w:rsidRPr="0086119F">
        <w:rPr>
          <w:lang w:val="fr-FR" w:eastAsia="en-US"/>
        </w:rPr>
        <w:tab/>
        <w:t>Dans la première phrase, remplacer « trop dangereux pour être transporté » par « trop sensible pour être affecté à une division ».</w:t>
      </w:r>
    </w:p>
    <w:p w14:paraId="4E942861"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24DDFFC2"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14.4.1.4</w:t>
      </w:r>
      <w:r w:rsidRPr="0086119F">
        <w:rPr>
          <w:lang w:val="fr-FR" w:eastAsia="en-US"/>
        </w:rPr>
        <w:tab/>
        <w:t>Dans la première phrase, remplacer « trop dangereux pour être transportés » par « trop sensibles pour être affectés à une division ».</w:t>
      </w:r>
    </w:p>
    <w:p w14:paraId="73A98C3E"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lastRenderedPageBreak/>
        <w:t>(Document de référence : ST/SG/AC.10/C.3/2020/60)</w:t>
      </w:r>
    </w:p>
    <w:p w14:paraId="4A760D66"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14.5.1.4</w:t>
      </w:r>
      <w:r w:rsidRPr="0086119F">
        <w:rPr>
          <w:lang w:val="fr-FR" w:eastAsia="en-US"/>
        </w:rPr>
        <w:tab/>
        <w:t>Dans le premier paragraphe, remplacer « trop dangereux pour être transporté » par « trop sensible pour être affecté à une division ».</w:t>
      </w:r>
    </w:p>
    <w:p w14:paraId="2DECEB08"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750157BD"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14.5.2.4</w:t>
      </w:r>
      <w:r w:rsidRPr="0086119F">
        <w:rPr>
          <w:lang w:val="fr-FR" w:eastAsia="en-US"/>
        </w:rPr>
        <w:tab/>
        <w:t>Dans la première phrase, remplacer « trop dangereux pour être transportés » par « trop sensibles pour être affectés à une division ».</w:t>
      </w:r>
    </w:p>
    <w:p w14:paraId="4F8FD297"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5B8EB81B" w14:textId="77777777" w:rsidR="006F4C01" w:rsidRPr="0086119F" w:rsidRDefault="006F4C01" w:rsidP="006F4C01">
      <w:pPr>
        <w:pStyle w:val="H1G"/>
        <w:rPr>
          <w:rFonts w:eastAsiaTheme="minorHAnsi"/>
          <w:lang w:val="fr-FR" w:eastAsia="en-US"/>
        </w:rPr>
      </w:pPr>
      <w:r w:rsidRPr="0086119F">
        <w:rPr>
          <w:rFonts w:eastAsiaTheme="minorHAnsi"/>
          <w:lang w:val="fr-FR" w:eastAsia="en-US"/>
        </w:rPr>
        <w:tab/>
      </w:r>
      <w:r w:rsidRPr="0086119F">
        <w:rPr>
          <w:rFonts w:eastAsiaTheme="minorHAnsi"/>
          <w:lang w:val="fr-FR" w:eastAsia="en-US"/>
        </w:rPr>
        <w:tab/>
        <w:t>Section 34</w:t>
      </w:r>
    </w:p>
    <w:p w14:paraId="0D39C811" w14:textId="77777777" w:rsidR="006F4C01" w:rsidRPr="0086119F" w:rsidRDefault="006F4C01" w:rsidP="006F4C01">
      <w:pPr>
        <w:pStyle w:val="SingleTxtG"/>
        <w:rPr>
          <w:rFonts w:eastAsiaTheme="minorHAnsi"/>
          <w:lang w:val="fr-FR" w:eastAsia="en-US"/>
        </w:rPr>
      </w:pPr>
      <w:r w:rsidRPr="0086119F">
        <w:rPr>
          <w:rFonts w:eastAsiaTheme="minorHAnsi"/>
          <w:lang w:val="fr-FR" w:eastAsia="en-US"/>
        </w:rPr>
        <w:t>34.4.1.2.6 et 34.4.3.2.3</w:t>
      </w:r>
      <w:r w:rsidRPr="0086119F">
        <w:rPr>
          <w:rFonts w:eastAsiaTheme="minorHAnsi"/>
          <w:lang w:val="fr-FR" w:eastAsia="en-US"/>
        </w:rPr>
        <w:tab/>
        <w:t>Ajouter le nouveau Nota suivant à la fin :</w:t>
      </w:r>
    </w:p>
    <w:p w14:paraId="7CBCE8FF" w14:textId="77777777" w:rsidR="006F4C01" w:rsidRPr="0086119F" w:rsidRDefault="006F4C01" w:rsidP="006F4C01">
      <w:pPr>
        <w:pStyle w:val="SingleTxtG"/>
        <w:rPr>
          <w:rFonts w:eastAsiaTheme="minorHAnsi"/>
          <w:lang w:val="fr-FR" w:eastAsia="en-US"/>
        </w:rPr>
      </w:pPr>
      <w:r w:rsidRPr="0086119F">
        <w:rPr>
          <w:rFonts w:eastAsiaTheme="minorHAnsi"/>
          <w:lang w:val="fr-FR" w:eastAsia="en-US"/>
        </w:rPr>
        <w:t xml:space="preserve">« </w:t>
      </w:r>
      <w:r w:rsidRPr="0086119F">
        <w:rPr>
          <w:rFonts w:eastAsiaTheme="minorHAnsi"/>
          <w:b/>
          <w:bCs/>
          <w:i/>
          <w:iCs/>
          <w:lang w:val="fr-FR" w:eastAsia="en-US"/>
        </w:rPr>
        <w:t>NOTA :</w:t>
      </w:r>
      <w:r w:rsidRPr="0086119F">
        <w:rPr>
          <w:rFonts w:eastAsiaTheme="minorHAnsi"/>
          <w:i/>
          <w:iCs/>
          <w:lang w:val="fr-FR" w:eastAsia="en-US"/>
        </w:rPr>
        <w:t xml:space="preserve"> Dans le cas d’une matière enrobée afin de réduire ou d’éliminer ses propriétés comburantes comportant une teneur importante (&gt;10 % en masse) de particules d’un diamètre inférieur à 500 μm, deux séries d’épreuves devraient être effectuées : la première avec la matière telle qu’elle est présentée, et la seconde avec des particules d’une taille inférieure à 500 μm obtenues par tamisage de la matière telle qu’elle est présentée. La matière ne doit pas être broyée avant d’être tamisée ou soumise à l’épreuve. Le classement final devrait être fondé sur les résultats d’épreuves selon les critères de classement les plus stricts.</w:t>
      </w:r>
      <w:r w:rsidRPr="0086119F">
        <w:rPr>
          <w:rFonts w:eastAsiaTheme="minorHAnsi"/>
          <w:lang w:val="fr-FR" w:eastAsia="en-US"/>
        </w:rPr>
        <w:t xml:space="preserve"> »</w:t>
      </w:r>
    </w:p>
    <w:p w14:paraId="76438102" w14:textId="77777777" w:rsidR="006F4C01" w:rsidRPr="0086119F"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ST/SG/AC.10/C.3/2020/30)</w:t>
      </w:r>
    </w:p>
    <w:p w14:paraId="16B92C08" w14:textId="77777777" w:rsidR="006F4C01" w:rsidRPr="00F7088C" w:rsidRDefault="006F4C01" w:rsidP="006F4C01">
      <w:pPr>
        <w:pStyle w:val="H1G"/>
        <w:rPr>
          <w:lang w:eastAsia="en-US"/>
        </w:rPr>
      </w:pPr>
      <w:r w:rsidRPr="00F7088C">
        <w:rPr>
          <w:lang w:val="fr-FR" w:eastAsia="en-US"/>
        </w:rPr>
        <w:tab/>
      </w:r>
      <w:r w:rsidRPr="00F7088C">
        <w:rPr>
          <w:lang w:val="fr-FR" w:eastAsia="en-US"/>
        </w:rPr>
        <w:tab/>
      </w:r>
      <w:r>
        <w:rPr>
          <w:lang w:eastAsia="en-US"/>
        </w:rPr>
        <w:t>Section 38</w:t>
      </w:r>
    </w:p>
    <w:p w14:paraId="58DADD96" w14:textId="77777777" w:rsidR="006F4C01" w:rsidRDefault="006F4C01" w:rsidP="006F4C01">
      <w:pPr>
        <w:tabs>
          <w:tab w:val="left" w:pos="2268"/>
        </w:tabs>
        <w:kinsoku/>
        <w:overflowPunct/>
        <w:autoSpaceDE/>
        <w:adjustRightInd/>
        <w:snapToGrid/>
        <w:spacing w:after="120"/>
        <w:ind w:left="1134" w:right="1134"/>
        <w:jc w:val="both"/>
        <w:rPr>
          <w:lang w:val="fr-FR" w:eastAsia="en-US"/>
        </w:rPr>
      </w:pPr>
      <w:r>
        <w:rPr>
          <w:lang w:val="fr-FR" w:eastAsia="en-US"/>
        </w:rPr>
        <w:t>38.3.5</w:t>
      </w:r>
      <w:r>
        <w:rPr>
          <w:lang w:val="fr-FR" w:eastAsia="en-US"/>
        </w:rPr>
        <w:tab/>
        <w:t>Modifier l’alinéa j) du résumé du procès-verbal d’épreuve pour lire comme suit :</w:t>
      </w:r>
    </w:p>
    <w:p w14:paraId="5F73A38C" w14:textId="77777777" w:rsidR="006F4C01" w:rsidRDefault="006F4C01" w:rsidP="006F4C01">
      <w:pPr>
        <w:tabs>
          <w:tab w:val="left" w:pos="2268"/>
        </w:tabs>
        <w:kinsoku/>
        <w:overflowPunct/>
        <w:autoSpaceDE/>
        <w:adjustRightInd/>
        <w:snapToGrid/>
        <w:spacing w:after="120"/>
        <w:ind w:left="1134" w:right="1134"/>
        <w:jc w:val="both"/>
        <w:rPr>
          <w:lang w:val="fr-FR" w:eastAsia="en-US"/>
        </w:rPr>
      </w:pPr>
      <w:r>
        <w:rPr>
          <w:lang w:val="fr-FR" w:eastAsia="en-US"/>
        </w:rPr>
        <w:t>« j)</w:t>
      </w:r>
      <w:r>
        <w:rPr>
          <w:lang w:val="fr-FR" w:eastAsia="en-US"/>
        </w:rPr>
        <w:tab/>
      </w:r>
      <w:r>
        <w:rPr>
          <w:rFonts w:eastAsiaTheme="minorHAnsi"/>
          <w:lang w:val="fr-FR" w:eastAsia="en-US"/>
        </w:rPr>
        <w:t>Comme indication de la validité des informations fournies : nom et qualité de la personne responsable. ».</w:t>
      </w:r>
    </w:p>
    <w:p w14:paraId="72562CD0" w14:textId="77777777" w:rsidR="006F4C01" w:rsidRDefault="006F4C01" w:rsidP="006F4C01">
      <w:pPr>
        <w:kinsoku/>
        <w:overflowPunct/>
        <w:autoSpaceDE/>
        <w:adjustRightInd/>
        <w:snapToGrid/>
        <w:spacing w:after="120"/>
        <w:ind w:left="2268" w:right="1134" w:hanging="1134"/>
        <w:jc w:val="both"/>
        <w:rPr>
          <w:i/>
          <w:iCs/>
          <w:lang w:val="fr-FR" w:eastAsia="en-US"/>
        </w:rPr>
      </w:pPr>
      <w:r>
        <w:rPr>
          <w:i/>
          <w:iCs/>
          <w:lang w:val="fr-FR" w:eastAsia="en-US"/>
        </w:rPr>
        <w:t>(Document de référence : ST/SG/AC.10/C.3/2020/77, tel que modifié)</w:t>
      </w:r>
    </w:p>
    <w:p w14:paraId="6F022A89" w14:textId="77777777" w:rsidR="006F4C01" w:rsidRDefault="006F4C01" w:rsidP="006F4C01">
      <w:pPr>
        <w:pStyle w:val="H1G"/>
        <w:rPr>
          <w:lang w:val="fr-FR"/>
        </w:rPr>
      </w:pPr>
      <w:r>
        <w:rPr>
          <w:lang w:val="fr-FR"/>
        </w:rPr>
        <w:tab/>
      </w:r>
      <w:r>
        <w:rPr>
          <w:lang w:val="fr-FR"/>
        </w:rPr>
        <w:tab/>
        <w:t>Section 41</w:t>
      </w:r>
    </w:p>
    <w:p w14:paraId="4126B717" w14:textId="77777777" w:rsidR="006F4C01" w:rsidRDefault="006F4C01" w:rsidP="006F4C01">
      <w:pPr>
        <w:pStyle w:val="SingleTxtG"/>
        <w:tabs>
          <w:tab w:val="left" w:pos="2268"/>
        </w:tabs>
        <w:rPr>
          <w:lang w:val="fr-FR"/>
        </w:rPr>
      </w:pPr>
      <w:r>
        <w:rPr>
          <w:lang w:val="fr-FR"/>
        </w:rPr>
        <w:t>41.1.3</w:t>
      </w:r>
      <w:r>
        <w:rPr>
          <w:lang w:val="fr-FR"/>
        </w:rPr>
        <w:tab/>
        <w:t>Ajouter le nouveau paragraphe suivant :</w:t>
      </w:r>
    </w:p>
    <w:p w14:paraId="054AC7CC" w14:textId="77777777" w:rsidR="006F4C01" w:rsidRDefault="006F4C01" w:rsidP="006F4C01">
      <w:pPr>
        <w:pStyle w:val="SingleTxtG"/>
        <w:tabs>
          <w:tab w:val="left" w:pos="2268"/>
        </w:tabs>
        <w:rPr>
          <w:lang w:val="fr-FR"/>
        </w:rPr>
      </w:pPr>
      <w:r>
        <w:rPr>
          <w:lang w:val="fr-FR"/>
        </w:rPr>
        <w:t>« 41.1.3</w:t>
      </w:r>
      <w:r>
        <w:rPr>
          <w:lang w:val="fr-FR"/>
        </w:rPr>
        <w:tab/>
      </w:r>
      <w:r w:rsidRPr="002A390E">
        <w:rPr>
          <w:lang w:val="fr-FR"/>
        </w:rPr>
        <w:t>La citerne mobile ou le CGEM soumis à l’essai dynamique de résistance aux impacts longitudinaux doivent être secs avant le début de l’essai. Si la capacité du laboratoire ou de l’organisme de vérification à repérer les sources de fuite potentielles est altérée par les conditions météorologiques, par exemple en cas de pluie ou de neige, l’essai de résistance aux impacts doit être interrompu. Il ne pourra reprendre que lorsque la citerne mobile ou le CGEM seront secs et que la pluie ou la neige aura cessé.</w:t>
      </w:r>
      <w:r>
        <w:rPr>
          <w:lang w:val="fr-FR"/>
        </w:rPr>
        <w:t> ».</w:t>
      </w:r>
    </w:p>
    <w:p w14:paraId="20DF99CE" w14:textId="77777777" w:rsidR="006F4C01" w:rsidRPr="00A52956" w:rsidRDefault="006F4C01" w:rsidP="006F4C01">
      <w:pPr>
        <w:spacing w:after="120"/>
        <w:ind w:left="1134" w:right="1134"/>
        <w:jc w:val="both"/>
        <w:rPr>
          <w:i/>
        </w:rPr>
      </w:pPr>
      <w:r w:rsidRPr="00692350">
        <w:rPr>
          <w:i/>
        </w:rPr>
        <w:t>(Document de référence : ST/SG/AC.10/C.3/</w:t>
      </w:r>
      <w:r>
        <w:rPr>
          <w:i/>
        </w:rPr>
        <w:t>2020/5/Add.1</w:t>
      </w:r>
      <w:r w:rsidRPr="00692350">
        <w:rPr>
          <w:i/>
        </w:rPr>
        <w:t>)</w:t>
      </w:r>
    </w:p>
    <w:p w14:paraId="3D1C2C42" w14:textId="77777777" w:rsidR="006F4C01" w:rsidRPr="0086119F" w:rsidRDefault="006F4C01" w:rsidP="006F4C01">
      <w:pPr>
        <w:pStyle w:val="H1G"/>
        <w:rPr>
          <w:rFonts w:eastAsiaTheme="minorHAnsi"/>
          <w:lang w:val="fr-FR" w:eastAsia="en-US"/>
        </w:rPr>
      </w:pPr>
      <w:r w:rsidRPr="0086119F">
        <w:rPr>
          <w:rFonts w:eastAsiaTheme="minorHAnsi"/>
          <w:lang w:val="fr-FR" w:eastAsia="en-US"/>
        </w:rPr>
        <w:tab/>
      </w:r>
      <w:r w:rsidRPr="0086119F">
        <w:rPr>
          <w:rFonts w:eastAsiaTheme="minorHAnsi"/>
          <w:lang w:val="fr-FR" w:eastAsia="en-US"/>
        </w:rPr>
        <w:tab/>
        <w:t>Section 51</w:t>
      </w:r>
    </w:p>
    <w:p w14:paraId="7CDAB132" w14:textId="77777777" w:rsidR="006F4C01" w:rsidRPr="0086119F" w:rsidRDefault="006F4C01" w:rsidP="006F4C01">
      <w:pPr>
        <w:pStyle w:val="SingleTxtG"/>
        <w:tabs>
          <w:tab w:val="left" w:pos="2268"/>
        </w:tabs>
        <w:ind w:left="2268" w:hanging="1134"/>
        <w:rPr>
          <w:lang w:val="fr-FR" w:eastAsia="en-US"/>
        </w:rPr>
      </w:pPr>
      <w:r w:rsidRPr="0086119F">
        <w:rPr>
          <w:lang w:val="fr-FR" w:eastAsia="en-US"/>
        </w:rPr>
        <w:t>51.2.1</w:t>
      </w:r>
      <w:r w:rsidRPr="0086119F">
        <w:rPr>
          <w:lang w:val="fr-FR" w:eastAsia="en-US"/>
        </w:rPr>
        <w:tab/>
        <w:t>Dans la note de bas de page 1, modifier la première phrase pour lire comme suit : « Une matière explosible du chapitre 2.1 du SGH considérée comme trop sensible pour être affectée à une division peut aussi être stabilisée par désensibilisation et être classée dans les matières explosibles désensibilisées, à condition qu’elle satisfasse à tous les critères énoncés au chapitre 2.17 du SGH. ».</w:t>
      </w:r>
    </w:p>
    <w:p w14:paraId="6CCCC778" w14:textId="77777777" w:rsidR="006F4C01" w:rsidRDefault="006F4C01" w:rsidP="006F4C01">
      <w:pPr>
        <w:tabs>
          <w:tab w:val="left" w:pos="2268"/>
        </w:tabs>
        <w:kinsoku/>
        <w:overflowPunct/>
        <w:autoSpaceDE/>
        <w:autoSpaceDN/>
        <w:adjustRightInd/>
        <w:snapToGrid/>
        <w:spacing w:after="120"/>
        <w:ind w:left="2268" w:right="1134" w:hanging="1134"/>
        <w:jc w:val="both"/>
        <w:rPr>
          <w:i/>
          <w:iCs/>
          <w:lang w:val="fr-FR" w:eastAsia="en-US"/>
        </w:rPr>
      </w:pPr>
      <w:r w:rsidRPr="0086119F">
        <w:rPr>
          <w:i/>
          <w:iCs/>
          <w:lang w:val="fr-FR" w:eastAsia="en-US"/>
        </w:rPr>
        <w:t>(Document de référence : ST/SG/AC.10/C.3/2020/60)</w:t>
      </w:r>
    </w:p>
    <w:p w14:paraId="070D2DA0" w14:textId="77777777" w:rsidR="006F4C01" w:rsidRDefault="006F4C01" w:rsidP="006F4C01">
      <w:pPr>
        <w:keepNext/>
        <w:keepLines/>
        <w:tabs>
          <w:tab w:val="right" w:pos="851"/>
        </w:tabs>
        <w:kinsoku/>
        <w:overflowPunct/>
        <w:autoSpaceDE/>
        <w:autoSpaceDN/>
        <w:adjustRightInd/>
        <w:snapToGrid/>
        <w:spacing w:before="360" w:after="240" w:line="270" w:lineRule="exact"/>
        <w:ind w:left="1134" w:right="1134" w:hanging="1134"/>
        <w:rPr>
          <w:b/>
          <w:sz w:val="24"/>
          <w:lang w:val="fr-FR" w:eastAsia="en-US"/>
        </w:rPr>
      </w:pPr>
      <w:r w:rsidRPr="00557F17">
        <w:rPr>
          <w:b/>
          <w:sz w:val="24"/>
          <w:lang w:val="fr-FR" w:eastAsia="en-US"/>
        </w:rPr>
        <w:lastRenderedPageBreak/>
        <w:tab/>
      </w:r>
      <w:r w:rsidRPr="00557F17">
        <w:rPr>
          <w:b/>
          <w:sz w:val="24"/>
          <w:lang w:val="fr-FR" w:eastAsia="en-US"/>
        </w:rPr>
        <w:tab/>
      </w:r>
      <w:r w:rsidRPr="00EB58A3">
        <w:rPr>
          <w:b/>
          <w:sz w:val="24"/>
          <w:lang w:val="fr-FR" w:eastAsia="en-US"/>
        </w:rPr>
        <w:t>Document ST/SG/AC.10/C.3/2020/59, Partie II, adopté avec les modifications suivantes :</w:t>
      </w:r>
    </w:p>
    <w:p w14:paraId="1F9BFD50" w14:textId="77777777" w:rsidR="006F4C01" w:rsidRPr="00557F17" w:rsidRDefault="006F4C01" w:rsidP="006F4C01">
      <w:pPr>
        <w:pStyle w:val="SingleTxtG"/>
        <w:rPr>
          <w:lang w:val="fr-FR" w:eastAsia="en-US"/>
        </w:rPr>
      </w:pPr>
      <w:r>
        <w:rPr>
          <w:lang w:val="fr-FR" w:eastAsia="en-US"/>
        </w:rPr>
        <w:t>Section 20</w:t>
      </w:r>
      <w:r>
        <w:rPr>
          <w:lang w:val="fr-FR" w:eastAsia="en-US"/>
        </w:rPr>
        <w:tab/>
        <w:t>Supprimer tous les crochets.</w:t>
      </w:r>
    </w:p>
    <w:p w14:paraId="3E51A3A7" w14:textId="7810287F" w:rsidR="006F4C01" w:rsidRDefault="006F4C01" w:rsidP="006F4C01">
      <w:pPr>
        <w:pStyle w:val="H1G"/>
        <w:rPr>
          <w:lang w:val="fr-FR" w:eastAsia="en-US"/>
        </w:rPr>
      </w:pPr>
      <w:r w:rsidRPr="00557F17">
        <w:rPr>
          <w:lang w:val="fr-FR" w:eastAsia="en-US"/>
        </w:rPr>
        <w:tab/>
      </w:r>
      <w:r w:rsidRPr="00557F17">
        <w:rPr>
          <w:lang w:val="fr-FR" w:eastAsia="en-US"/>
        </w:rPr>
        <w:tab/>
      </w:r>
      <w:r w:rsidRPr="00EB58A3">
        <w:rPr>
          <w:lang w:val="fr-FR" w:eastAsia="en-US"/>
        </w:rPr>
        <w:t xml:space="preserve">Document </w:t>
      </w:r>
      <w:r>
        <w:rPr>
          <w:lang w:val="fr-FR" w:eastAsia="en-US"/>
        </w:rPr>
        <w:t>informel INF.38</w:t>
      </w:r>
      <w:r w:rsidRPr="00EB58A3">
        <w:rPr>
          <w:lang w:val="fr-FR" w:eastAsia="en-US"/>
        </w:rPr>
        <w:t xml:space="preserve">, </w:t>
      </w:r>
      <w:r>
        <w:rPr>
          <w:lang w:val="fr-FR" w:eastAsia="en-US"/>
        </w:rPr>
        <w:t xml:space="preserve">annexe </w:t>
      </w:r>
      <w:r w:rsidR="00F612C4">
        <w:rPr>
          <w:lang w:val="fr-FR" w:eastAsia="en-US"/>
        </w:rPr>
        <w:t>3</w:t>
      </w:r>
      <w:r w:rsidRPr="00EB58A3">
        <w:rPr>
          <w:lang w:val="fr-FR" w:eastAsia="en-US"/>
        </w:rPr>
        <w:t>, adopté</w:t>
      </w:r>
      <w:r>
        <w:rPr>
          <w:lang w:val="fr-FR" w:eastAsia="en-US"/>
        </w:rPr>
        <w:t>.</w:t>
      </w:r>
    </w:p>
    <w:p w14:paraId="79A8FE7C" w14:textId="60107707" w:rsidR="00137EEB" w:rsidRPr="00A33B84" w:rsidRDefault="00137EEB" w:rsidP="00137EEB">
      <w:pPr>
        <w:keepNext/>
        <w:keepLines/>
        <w:tabs>
          <w:tab w:val="right" w:pos="851"/>
        </w:tabs>
        <w:spacing w:before="360" w:after="240" w:line="300" w:lineRule="exact"/>
        <w:ind w:left="1134" w:right="1134" w:hanging="1134"/>
        <w:rPr>
          <w:b/>
          <w:sz w:val="28"/>
          <w:lang w:val="fr-FR"/>
        </w:rPr>
      </w:pPr>
      <w:r w:rsidRPr="00A33B84">
        <w:rPr>
          <w:b/>
          <w:sz w:val="28"/>
          <w:lang w:val="fr-FR"/>
        </w:rPr>
        <w:tab/>
        <w:t>I</w:t>
      </w:r>
      <w:r>
        <w:rPr>
          <w:b/>
          <w:sz w:val="28"/>
          <w:lang w:val="fr-FR"/>
        </w:rPr>
        <w:t>II</w:t>
      </w:r>
      <w:r w:rsidRPr="00A33B84">
        <w:rPr>
          <w:b/>
          <w:sz w:val="28"/>
          <w:lang w:val="fr-FR"/>
        </w:rPr>
        <w:t>.</w:t>
      </w:r>
      <w:r w:rsidRPr="00A33B84">
        <w:rPr>
          <w:b/>
          <w:sz w:val="28"/>
          <w:lang w:val="fr-FR"/>
        </w:rPr>
        <w:tab/>
      </w:r>
      <w:r>
        <w:rPr>
          <w:b/>
          <w:sz w:val="28"/>
          <w:lang w:val="fr-FR"/>
        </w:rPr>
        <w:t>Correction</w:t>
      </w:r>
      <w:r w:rsidRPr="00A33B84">
        <w:rPr>
          <w:b/>
          <w:sz w:val="28"/>
          <w:lang w:val="fr-FR"/>
        </w:rPr>
        <w:t xml:space="preserve"> à la </w:t>
      </w:r>
      <w:r w:rsidRPr="00137EEB">
        <w:rPr>
          <w:b/>
          <w:sz w:val="28"/>
          <w:lang w:val="fr-FR"/>
        </w:rPr>
        <w:t>septième édition révisée du Manuel d’épreuves et de critères (ST/SG/AC.10/11/Rev.7</w:t>
      </w:r>
      <w:r w:rsidRPr="00A33B84">
        <w:rPr>
          <w:b/>
          <w:sz w:val="28"/>
          <w:lang w:val="fr-FR"/>
        </w:rPr>
        <w:t xml:space="preserve">) </w:t>
      </w:r>
    </w:p>
    <w:p w14:paraId="079DE55B" w14:textId="6842EB4E" w:rsidR="00F360C6" w:rsidRPr="005E6FE5" w:rsidRDefault="00F360C6" w:rsidP="0041735B">
      <w:pPr>
        <w:pStyle w:val="H23G"/>
      </w:pPr>
      <w:r>
        <w:rPr>
          <w:lang w:val="fr-FR" w:eastAsia="en-US"/>
        </w:rPr>
        <w:tab/>
      </w:r>
      <w:r>
        <w:rPr>
          <w:lang w:val="fr-FR" w:eastAsia="en-US"/>
        </w:rPr>
        <w:tab/>
      </w:r>
      <w:r w:rsidRPr="005E6FE5">
        <w:rPr>
          <w:lang w:val="fr-FR" w:eastAsia="en-US"/>
        </w:rPr>
        <w:t>Section</w:t>
      </w:r>
      <w:r w:rsidRPr="005E6FE5">
        <w:rPr>
          <w:lang w:val="fr-FR"/>
        </w:rPr>
        <w:t xml:space="preserve"> 11, 11.4.1.2.1, deuxième phrase</w:t>
      </w:r>
    </w:p>
    <w:p w14:paraId="4F748CA1" w14:textId="77777777" w:rsidR="00F360C6" w:rsidRPr="005E6FE5" w:rsidRDefault="00F360C6" w:rsidP="00F360C6">
      <w:pPr>
        <w:pStyle w:val="SingleTxtG"/>
      </w:pPr>
      <w:r w:rsidRPr="005E6FE5">
        <w:rPr>
          <w:i/>
          <w:iCs/>
          <w:lang w:val="fr-FR"/>
        </w:rPr>
        <w:t>Au lieu de</w:t>
      </w:r>
      <w:r w:rsidRPr="005E6FE5">
        <w:rPr>
          <w:lang w:val="fr-FR"/>
        </w:rPr>
        <w:t xml:space="preserve"> 40 ± 2 mm de diamètre extérieur </w:t>
      </w:r>
      <w:r w:rsidRPr="005E6FE5">
        <w:rPr>
          <w:i/>
          <w:iCs/>
          <w:lang w:val="fr-FR"/>
        </w:rPr>
        <w:t>lire</w:t>
      </w:r>
      <w:r w:rsidRPr="005E6FE5">
        <w:rPr>
          <w:lang w:val="fr-FR"/>
        </w:rPr>
        <w:t xml:space="preserve"> 48 ± 2 mm de diamètre extérieur</w:t>
      </w:r>
    </w:p>
    <w:p w14:paraId="32F5AA76" w14:textId="519FC9EA" w:rsidR="00137EEB" w:rsidRDefault="00137EEB" w:rsidP="00F360C6">
      <w:pPr>
        <w:spacing w:after="120"/>
        <w:ind w:left="1134" w:right="1134"/>
        <w:jc w:val="both"/>
        <w:rPr>
          <w:i/>
        </w:rPr>
      </w:pPr>
      <w:r w:rsidRPr="00692350">
        <w:rPr>
          <w:i/>
        </w:rPr>
        <w:t xml:space="preserve">(Document de référence : </w:t>
      </w:r>
      <w:r w:rsidR="00701116">
        <w:rPr>
          <w:i/>
        </w:rPr>
        <w:t>d</w:t>
      </w:r>
      <w:r w:rsidR="00701116" w:rsidRPr="00701116">
        <w:rPr>
          <w:i/>
        </w:rPr>
        <w:t xml:space="preserve">ocument informel INF.38, annexe </w:t>
      </w:r>
      <w:r w:rsidR="00F612C4">
        <w:rPr>
          <w:i/>
        </w:rPr>
        <w:t>3</w:t>
      </w:r>
      <w:r w:rsidR="00701116">
        <w:rPr>
          <w:i/>
        </w:rPr>
        <w:t xml:space="preserve">, </w:t>
      </w:r>
      <w:r w:rsidR="00B14AB4">
        <w:rPr>
          <w:i/>
        </w:rPr>
        <w:t>amendement</w:t>
      </w:r>
      <w:r w:rsidR="00A40866">
        <w:rPr>
          <w:i/>
        </w:rPr>
        <w:t xml:space="preserve"> 4</w:t>
      </w:r>
      <w:r w:rsidRPr="00692350">
        <w:rPr>
          <w:i/>
        </w:rPr>
        <w:t>)</w:t>
      </w:r>
    </w:p>
    <w:p w14:paraId="5D002358" w14:textId="3EE54538" w:rsidR="006F4C01" w:rsidRPr="00A33B84" w:rsidRDefault="006F4C01" w:rsidP="006F4C01">
      <w:pPr>
        <w:keepNext/>
        <w:keepLines/>
        <w:tabs>
          <w:tab w:val="right" w:pos="851"/>
        </w:tabs>
        <w:spacing w:before="360" w:after="240" w:line="300" w:lineRule="exact"/>
        <w:ind w:left="1134" w:right="1134" w:hanging="1134"/>
        <w:rPr>
          <w:b/>
          <w:sz w:val="28"/>
          <w:lang w:val="fr-FR"/>
        </w:rPr>
      </w:pPr>
      <w:r w:rsidRPr="00A33B84">
        <w:rPr>
          <w:b/>
          <w:sz w:val="28"/>
          <w:lang w:val="fr-FR"/>
        </w:rPr>
        <w:tab/>
      </w:r>
      <w:r w:rsidR="00137EEB" w:rsidRPr="00A33B84">
        <w:rPr>
          <w:b/>
          <w:sz w:val="28"/>
          <w:lang w:val="fr-FR"/>
        </w:rPr>
        <w:t>I</w:t>
      </w:r>
      <w:r w:rsidR="00137EEB">
        <w:rPr>
          <w:b/>
          <w:sz w:val="28"/>
          <w:lang w:val="fr-FR"/>
        </w:rPr>
        <w:t>V</w:t>
      </w:r>
      <w:r w:rsidRPr="00A33B84">
        <w:rPr>
          <w:b/>
          <w:sz w:val="28"/>
          <w:lang w:val="fr-FR"/>
        </w:rPr>
        <w:t>.</w:t>
      </w:r>
      <w:r w:rsidRPr="00A33B84">
        <w:rPr>
          <w:b/>
          <w:sz w:val="28"/>
          <w:lang w:val="fr-FR"/>
        </w:rPr>
        <w:tab/>
      </w:r>
      <w:r>
        <w:rPr>
          <w:b/>
          <w:sz w:val="28"/>
          <w:lang w:val="fr-FR"/>
        </w:rPr>
        <w:t>Correction</w:t>
      </w:r>
      <w:r w:rsidRPr="00A33B84">
        <w:rPr>
          <w:b/>
          <w:sz w:val="28"/>
          <w:lang w:val="fr-FR"/>
        </w:rPr>
        <w:t xml:space="preserve"> à la vingt et unième édition révisée des Recommandations relatives au transport des marchandises dangereuses, Règlement type (ST/SG/AC.10/1/Rev.21) </w:t>
      </w:r>
    </w:p>
    <w:p w14:paraId="6958D376" w14:textId="77777777" w:rsidR="006F4C01" w:rsidRDefault="006F4C01" w:rsidP="0041735B">
      <w:pPr>
        <w:pStyle w:val="H23G"/>
        <w:rPr>
          <w:lang w:val="fr-FR" w:eastAsia="en-US"/>
        </w:rPr>
      </w:pPr>
      <w:r w:rsidRPr="00652134">
        <w:rPr>
          <w:lang w:val="fr-FR" w:eastAsia="en-US"/>
        </w:rPr>
        <w:tab/>
      </w:r>
      <w:r w:rsidRPr="00652134">
        <w:rPr>
          <w:lang w:val="fr-FR" w:eastAsia="en-US"/>
        </w:rPr>
        <w:tab/>
        <w:t xml:space="preserve">Chapitre </w:t>
      </w:r>
      <w:r>
        <w:rPr>
          <w:lang w:val="fr-FR" w:eastAsia="en-US"/>
        </w:rPr>
        <w:t>6.4, 6.4.24.3</w:t>
      </w:r>
    </w:p>
    <w:p w14:paraId="0FB556AC" w14:textId="77777777" w:rsidR="006F4C01" w:rsidRPr="00A52956" w:rsidRDefault="006F4C01" w:rsidP="006F4C01">
      <w:pPr>
        <w:spacing w:after="120"/>
        <w:ind w:left="1134" w:right="1134"/>
        <w:jc w:val="both"/>
        <w:rPr>
          <w:rFonts w:eastAsiaTheme="minorHAnsi"/>
          <w:lang w:eastAsia="en-US"/>
        </w:rPr>
      </w:pPr>
      <w:r w:rsidRPr="00A52956">
        <w:rPr>
          <w:rFonts w:eastAsiaTheme="minorHAnsi"/>
          <w:i/>
          <w:lang w:val="fr-FR" w:eastAsia="en-US"/>
        </w:rPr>
        <w:t>Supprimer</w:t>
      </w:r>
      <w:r w:rsidRPr="00A52956">
        <w:rPr>
          <w:rFonts w:eastAsiaTheme="minorHAnsi"/>
          <w:lang w:val="fr-FR" w:eastAsia="en-US"/>
        </w:rPr>
        <w:t xml:space="preserve"> de 1973 et 1973 (version amendée),</w:t>
      </w:r>
    </w:p>
    <w:p w14:paraId="3ACAC12D" w14:textId="77777777" w:rsidR="006F4C01" w:rsidRDefault="006F4C01" w:rsidP="006F4C01">
      <w:pPr>
        <w:spacing w:after="120"/>
        <w:ind w:left="1134" w:right="1134"/>
        <w:jc w:val="both"/>
        <w:rPr>
          <w:i/>
        </w:rPr>
      </w:pPr>
      <w:r w:rsidRPr="00692350">
        <w:rPr>
          <w:i/>
        </w:rPr>
        <w:t>(Document de référence : ST/SG/AC.10/C.3/</w:t>
      </w:r>
      <w:r>
        <w:rPr>
          <w:i/>
        </w:rPr>
        <w:t>2020/1</w:t>
      </w:r>
      <w:r w:rsidRPr="00692350">
        <w:rPr>
          <w:i/>
        </w:rPr>
        <w:t>)</w:t>
      </w:r>
    </w:p>
    <w:p w14:paraId="0F61BA23" w14:textId="77777777" w:rsidR="006F4C01" w:rsidRPr="001442B6" w:rsidRDefault="006F4C01" w:rsidP="006F4C01">
      <w:pPr>
        <w:spacing w:before="240"/>
        <w:jc w:val="center"/>
        <w:rPr>
          <w:u w:val="single"/>
        </w:rPr>
      </w:pPr>
      <w:r>
        <w:rPr>
          <w:u w:val="single"/>
        </w:rPr>
        <w:tab/>
      </w:r>
      <w:r>
        <w:rPr>
          <w:u w:val="single"/>
        </w:rPr>
        <w:tab/>
      </w:r>
      <w:r>
        <w:rPr>
          <w:u w:val="single"/>
        </w:rPr>
        <w:tab/>
      </w:r>
    </w:p>
    <w:p w14:paraId="18446CBD" w14:textId="140C5073" w:rsidR="00C342CE" w:rsidRDefault="00C342CE">
      <w:pPr>
        <w:suppressAutoHyphens w:val="0"/>
        <w:kinsoku/>
        <w:overflowPunct/>
        <w:autoSpaceDE/>
        <w:autoSpaceDN/>
        <w:adjustRightInd/>
        <w:snapToGrid/>
        <w:spacing w:after="200" w:line="276" w:lineRule="auto"/>
        <w:rPr>
          <w:b/>
          <w:lang w:val="fr-FR"/>
        </w:rPr>
      </w:pPr>
    </w:p>
    <w:p w14:paraId="377711B0" w14:textId="6DEE5278" w:rsidR="00C342CE" w:rsidRDefault="00C342CE">
      <w:pPr>
        <w:suppressAutoHyphens w:val="0"/>
        <w:kinsoku/>
        <w:overflowPunct/>
        <w:autoSpaceDE/>
        <w:autoSpaceDN/>
        <w:adjustRightInd/>
        <w:snapToGrid/>
        <w:spacing w:after="200" w:line="276" w:lineRule="auto"/>
        <w:rPr>
          <w:b/>
          <w:lang w:val="fr-FR"/>
        </w:rPr>
      </w:pPr>
    </w:p>
    <w:p w14:paraId="6ADEB503" w14:textId="77777777" w:rsidR="00C342CE" w:rsidRPr="00692350" w:rsidRDefault="00C342CE">
      <w:pPr>
        <w:suppressAutoHyphens w:val="0"/>
        <w:kinsoku/>
        <w:overflowPunct/>
        <w:autoSpaceDE/>
        <w:autoSpaceDN/>
        <w:adjustRightInd/>
        <w:snapToGrid/>
        <w:spacing w:after="200" w:line="276" w:lineRule="auto"/>
        <w:rPr>
          <w:b/>
          <w:lang w:val="fr-FR"/>
        </w:rPr>
      </w:pPr>
    </w:p>
    <w:sectPr w:rsidR="00C342CE" w:rsidRPr="00692350" w:rsidSect="00D35A4A">
      <w:headerReference w:type="even" r:id="rId12"/>
      <w:headerReference w:type="default" r:id="rId13"/>
      <w:footerReference w:type="even" r:id="rId14"/>
      <w:footerReference w:type="defaul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9504A" w14:textId="77777777" w:rsidR="004239ED" w:rsidRDefault="004239ED" w:rsidP="00F95C08">
      <w:pPr>
        <w:spacing w:line="240" w:lineRule="auto"/>
      </w:pPr>
    </w:p>
  </w:endnote>
  <w:endnote w:type="continuationSeparator" w:id="0">
    <w:p w14:paraId="656168CF" w14:textId="77777777" w:rsidR="004239ED" w:rsidRPr="00AC3823" w:rsidRDefault="004239ED" w:rsidP="00AC3823">
      <w:pPr>
        <w:pStyle w:val="Footer"/>
      </w:pPr>
    </w:p>
  </w:endnote>
  <w:endnote w:type="continuationNotice" w:id="1">
    <w:p w14:paraId="1D03E6A3" w14:textId="77777777" w:rsidR="004239ED" w:rsidRDefault="004239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0700" w14:textId="77777777" w:rsidR="00EC7AF4" w:rsidRPr="00D35A4A" w:rsidRDefault="00EC7AF4" w:rsidP="00D35A4A">
    <w:pPr>
      <w:pStyle w:val="Footer"/>
      <w:tabs>
        <w:tab w:val="right" w:pos="9638"/>
      </w:tabs>
      <w:rPr>
        <w:sz w:val="18"/>
      </w:rPr>
    </w:pPr>
    <w:r w:rsidRPr="00D35A4A">
      <w:rPr>
        <w:b/>
        <w:sz w:val="18"/>
      </w:rPr>
      <w:fldChar w:fldCharType="begin"/>
    </w:r>
    <w:r w:rsidRPr="00D35A4A">
      <w:rPr>
        <w:b/>
        <w:sz w:val="18"/>
      </w:rPr>
      <w:instrText xml:space="preserve"> PAGE  \* MERGEFORMAT </w:instrText>
    </w:r>
    <w:r w:rsidRPr="00D35A4A">
      <w:rPr>
        <w:b/>
        <w:sz w:val="18"/>
      </w:rPr>
      <w:fldChar w:fldCharType="separate"/>
    </w:r>
    <w:r w:rsidRPr="00D35A4A">
      <w:rPr>
        <w:b/>
        <w:noProof/>
        <w:sz w:val="18"/>
      </w:rPr>
      <w:t>2</w:t>
    </w:r>
    <w:r w:rsidRPr="00D35A4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4F81" w14:textId="77777777" w:rsidR="00EC7AF4" w:rsidRPr="00D35A4A" w:rsidRDefault="00EC7AF4" w:rsidP="00D35A4A">
    <w:pPr>
      <w:pStyle w:val="Footer"/>
      <w:tabs>
        <w:tab w:val="right" w:pos="9638"/>
      </w:tabs>
      <w:rPr>
        <w:b/>
        <w:sz w:val="18"/>
      </w:rPr>
    </w:pPr>
    <w:r>
      <w:tab/>
    </w:r>
    <w:r w:rsidRPr="00D35A4A">
      <w:rPr>
        <w:b/>
        <w:sz w:val="18"/>
      </w:rPr>
      <w:fldChar w:fldCharType="begin"/>
    </w:r>
    <w:r w:rsidRPr="00D35A4A">
      <w:rPr>
        <w:b/>
        <w:sz w:val="18"/>
      </w:rPr>
      <w:instrText xml:space="preserve"> PAGE  \* MERGEFORMAT </w:instrText>
    </w:r>
    <w:r w:rsidRPr="00D35A4A">
      <w:rPr>
        <w:b/>
        <w:sz w:val="18"/>
      </w:rPr>
      <w:fldChar w:fldCharType="separate"/>
    </w:r>
    <w:r w:rsidRPr="00D35A4A">
      <w:rPr>
        <w:b/>
        <w:noProof/>
        <w:sz w:val="18"/>
      </w:rPr>
      <w:t>3</w:t>
    </w:r>
    <w:r w:rsidRPr="00D35A4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66823" w14:textId="77777777" w:rsidR="004239ED" w:rsidRPr="00AC3823" w:rsidRDefault="004239ED" w:rsidP="00AC3823">
      <w:pPr>
        <w:pStyle w:val="Footer"/>
        <w:tabs>
          <w:tab w:val="right" w:pos="2155"/>
        </w:tabs>
        <w:spacing w:after="80" w:line="240" w:lineRule="atLeast"/>
        <w:ind w:left="680"/>
        <w:rPr>
          <w:u w:val="single"/>
        </w:rPr>
      </w:pPr>
      <w:r>
        <w:rPr>
          <w:u w:val="single"/>
        </w:rPr>
        <w:tab/>
      </w:r>
    </w:p>
  </w:footnote>
  <w:footnote w:type="continuationSeparator" w:id="0">
    <w:p w14:paraId="315E7D9B" w14:textId="77777777" w:rsidR="004239ED" w:rsidRPr="00AC3823" w:rsidRDefault="004239ED" w:rsidP="00AC3823">
      <w:pPr>
        <w:pStyle w:val="Footer"/>
        <w:tabs>
          <w:tab w:val="right" w:pos="2155"/>
        </w:tabs>
        <w:spacing w:after="80" w:line="240" w:lineRule="atLeast"/>
        <w:ind w:left="680"/>
        <w:rPr>
          <w:u w:val="single"/>
        </w:rPr>
      </w:pPr>
      <w:r>
        <w:rPr>
          <w:u w:val="single"/>
        </w:rPr>
        <w:tab/>
      </w:r>
    </w:p>
  </w:footnote>
  <w:footnote w:type="continuationNotice" w:id="1">
    <w:p w14:paraId="165A9DA0" w14:textId="77777777" w:rsidR="004239ED" w:rsidRPr="00AC3823" w:rsidRDefault="004239ED">
      <w:pPr>
        <w:spacing w:line="240" w:lineRule="auto"/>
        <w:rPr>
          <w:sz w:val="2"/>
          <w:szCs w:val="2"/>
        </w:rPr>
      </w:pPr>
    </w:p>
  </w:footnote>
  <w:footnote w:id="2">
    <w:p w14:paraId="6115E61B" w14:textId="21455F6E" w:rsidR="009F367F" w:rsidRDefault="009F367F" w:rsidP="00E831ED">
      <w:pPr>
        <w:pStyle w:val="FootnoteText"/>
        <w:ind w:left="1418" w:hanging="284"/>
      </w:pPr>
      <w:r>
        <w:rPr>
          <w:rStyle w:val="FootnoteReference"/>
        </w:rPr>
        <w:footnoteRef/>
      </w:r>
      <w:r>
        <w:t xml:space="preserve"> </w:t>
      </w:r>
      <w:r w:rsidR="00E831ED">
        <w:tab/>
      </w:r>
      <w:r w:rsidR="00BC5083">
        <w:t>Pour raisons pratiques, cette annexe</w:t>
      </w:r>
      <w:r w:rsidR="00975B37">
        <w:t xml:space="preserve"> est publiée comme addendum avec le symbole</w:t>
      </w:r>
      <w:r w:rsidR="00AE18BE">
        <w:t xml:space="preserve"> ST/SG/AC.10/C.3/114/Add.1.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2A02" w14:textId="48759F19" w:rsidR="00EC7AF4" w:rsidRPr="00D35A4A" w:rsidRDefault="00C342CE">
    <w:pPr>
      <w:pStyle w:val="Header"/>
    </w:pPr>
    <w:r>
      <w:t>ST/SG/AC.10/C.3/114/Add.1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4084" w14:textId="41E7149A" w:rsidR="00EC7AF4" w:rsidRPr="00D35A4A" w:rsidRDefault="00C342CE" w:rsidP="00D35A4A">
    <w:pPr>
      <w:pStyle w:val="Header"/>
      <w:jc w:val="right"/>
    </w:pPr>
    <w:r>
      <w:t>ST/SG/AC.10/C.3/114/Add.1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09D0957"/>
    <w:multiLevelType w:val="hybridMultilevel"/>
    <w:tmpl w:val="91CA64F8"/>
    <w:lvl w:ilvl="0" w:tplc="D668EFF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B73102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4"/>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1"/>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4A"/>
    <w:rsid w:val="00017F94"/>
    <w:rsid w:val="00023842"/>
    <w:rsid w:val="000305D3"/>
    <w:rsid w:val="00032FCC"/>
    <w:rsid w:val="000334F9"/>
    <w:rsid w:val="0007796D"/>
    <w:rsid w:val="000B7790"/>
    <w:rsid w:val="00111A5A"/>
    <w:rsid w:val="00111F2F"/>
    <w:rsid w:val="00117EF7"/>
    <w:rsid w:val="00132EA9"/>
    <w:rsid w:val="00134650"/>
    <w:rsid w:val="00137EEB"/>
    <w:rsid w:val="00140592"/>
    <w:rsid w:val="0014365E"/>
    <w:rsid w:val="00167865"/>
    <w:rsid w:val="00176178"/>
    <w:rsid w:val="001A7F45"/>
    <w:rsid w:val="001D51EA"/>
    <w:rsid w:val="001F525A"/>
    <w:rsid w:val="00223272"/>
    <w:rsid w:val="00237BBE"/>
    <w:rsid w:val="0024779E"/>
    <w:rsid w:val="00283190"/>
    <w:rsid w:val="002832AC"/>
    <w:rsid w:val="002A4E32"/>
    <w:rsid w:val="002D50BF"/>
    <w:rsid w:val="002D7C93"/>
    <w:rsid w:val="00313DB4"/>
    <w:rsid w:val="0038761F"/>
    <w:rsid w:val="003B107D"/>
    <w:rsid w:val="003B2477"/>
    <w:rsid w:val="003D7A64"/>
    <w:rsid w:val="004049E1"/>
    <w:rsid w:val="0041735B"/>
    <w:rsid w:val="004239ED"/>
    <w:rsid w:val="004401DE"/>
    <w:rsid w:val="00441C3B"/>
    <w:rsid w:val="00446FE5"/>
    <w:rsid w:val="00452396"/>
    <w:rsid w:val="00485482"/>
    <w:rsid w:val="004927E2"/>
    <w:rsid w:val="004A1905"/>
    <w:rsid w:val="004B6952"/>
    <w:rsid w:val="004E468C"/>
    <w:rsid w:val="004E5684"/>
    <w:rsid w:val="004E7943"/>
    <w:rsid w:val="00503921"/>
    <w:rsid w:val="00523677"/>
    <w:rsid w:val="005505B7"/>
    <w:rsid w:val="00573BE5"/>
    <w:rsid w:val="00584DC4"/>
    <w:rsid w:val="00586ED3"/>
    <w:rsid w:val="00596AA9"/>
    <w:rsid w:val="005D1617"/>
    <w:rsid w:val="005F24AF"/>
    <w:rsid w:val="00614255"/>
    <w:rsid w:val="00667963"/>
    <w:rsid w:val="0068456F"/>
    <w:rsid w:val="00692350"/>
    <w:rsid w:val="006A7B4C"/>
    <w:rsid w:val="006C0F63"/>
    <w:rsid w:val="006D434F"/>
    <w:rsid w:val="006E016F"/>
    <w:rsid w:val="006F4C01"/>
    <w:rsid w:val="00701116"/>
    <w:rsid w:val="0071601D"/>
    <w:rsid w:val="0072098B"/>
    <w:rsid w:val="00746C90"/>
    <w:rsid w:val="007513FE"/>
    <w:rsid w:val="00755D57"/>
    <w:rsid w:val="007564D8"/>
    <w:rsid w:val="007A62E6"/>
    <w:rsid w:val="007B6FD6"/>
    <w:rsid w:val="007F4BA0"/>
    <w:rsid w:val="0080684C"/>
    <w:rsid w:val="00814AE5"/>
    <w:rsid w:val="00866FA9"/>
    <w:rsid w:val="00871C75"/>
    <w:rsid w:val="008776DC"/>
    <w:rsid w:val="008B40CD"/>
    <w:rsid w:val="008D1004"/>
    <w:rsid w:val="008E450D"/>
    <w:rsid w:val="008F2DD0"/>
    <w:rsid w:val="009705C8"/>
    <w:rsid w:val="009744DF"/>
    <w:rsid w:val="00975B37"/>
    <w:rsid w:val="009B3F9C"/>
    <w:rsid w:val="009C1CF4"/>
    <w:rsid w:val="009F367F"/>
    <w:rsid w:val="00A30353"/>
    <w:rsid w:val="00A40866"/>
    <w:rsid w:val="00A76ACF"/>
    <w:rsid w:val="00AC3823"/>
    <w:rsid w:val="00AE18BE"/>
    <w:rsid w:val="00AE281C"/>
    <w:rsid w:val="00AE323C"/>
    <w:rsid w:val="00AF45E3"/>
    <w:rsid w:val="00AF63CB"/>
    <w:rsid w:val="00B00181"/>
    <w:rsid w:val="00B00B0D"/>
    <w:rsid w:val="00B14AB4"/>
    <w:rsid w:val="00B43381"/>
    <w:rsid w:val="00B765F7"/>
    <w:rsid w:val="00BA0CA9"/>
    <w:rsid w:val="00BA4A2A"/>
    <w:rsid w:val="00BB784A"/>
    <w:rsid w:val="00BC1C65"/>
    <w:rsid w:val="00BC5083"/>
    <w:rsid w:val="00BD0B50"/>
    <w:rsid w:val="00C02897"/>
    <w:rsid w:val="00C0445E"/>
    <w:rsid w:val="00C342CE"/>
    <w:rsid w:val="00C56EE9"/>
    <w:rsid w:val="00C57435"/>
    <w:rsid w:val="00C85C63"/>
    <w:rsid w:val="00C91407"/>
    <w:rsid w:val="00C96CEE"/>
    <w:rsid w:val="00D01B55"/>
    <w:rsid w:val="00D3439C"/>
    <w:rsid w:val="00D35A4A"/>
    <w:rsid w:val="00D418DC"/>
    <w:rsid w:val="00DB1831"/>
    <w:rsid w:val="00DD29F2"/>
    <w:rsid w:val="00DD3BFD"/>
    <w:rsid w:val="00DF6678"/>
    <w:rsid w:val="00E17B8C"/>
    <w:rsid w:val="00E7253A"/>
    <w:rsid w:val="00E831ED"/>
    <w:rsid w:val="00EA38FB"/>
    <w:rsid w:val="00EC21F9"/>
    <w:rsid w:val="00EC59D4"/>
    <w:rsid w:val="00EC7AF4"/>
    <w:rsid w:val="00ED12F7"/>
    <w:rsid w:val="00EF2E22"/>
    <w:rsid w:val="00F01738"/>
    <w:rsid w:val="00F203AE"/>
    <w:rsid w:val="00F360C6"/>
    <w:rsid w:val="00F612C4"/>
    <w:rsid w:val="00F660DF"/>
    <w:rsid w:val="00F730C8"/>
    <w:rsid w:val="00F95C08"/>
    <w:rsid w:val="00FC694A"/>
    <w:rsid w:val="00FE22A1"/>
    <w:rsid w:val="00FF032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88103"/>
  <w15:docId w15:val="{83DA2279-38A9-42B4-83BA-38081C6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584DC4"/>
    <w:pPr>
      <w:keepNext/>
      <w:keepLines/>
      <w:numPr>
        <w:numId w:val="17"/>
      </w:numPr>
      <w:spacing w:after="0" w:line="240" w:lineRule="auto"/>
      <w:ind w:right="0"/>
      <w:jc w:val="left"/>
      <w:outlineLvl w:val="0"/>
    </w:pPr>
  </w:style>
  <w:style w:type="paragraph" w:styleId="Heading2">
    <w:name w:val="heading 2"/>
    <w:basedOn w:val="Normal"/>
    <w:next w:val="Normal"/>
    <w:link w:val="Heading2Char"/>
    <w:semiHidden/>
    <w:qFormat/>
    <w:rsid w:val="00023842"/>
    <w:pPr>
      <w:numPr>
        <w:ilvl w:val="1"/>
        <w:numId w:val="17"/>
      </w:numPr>
      <w:outlineLvl w:val="1"/>
    </w:pPr>
  </w:style>
  <w:style w:type="paragraph" w:styleId="Heading3">
    <w:name w:val="heading 3"/>
    <w:basedOn w:val="Normal"/>
    <w:next w:val="Normal"/>
    <w:link w:val="Heading3Char"/>
    <w:semiHidden/>
    <w:qFormat/>
    <w:rsid w:val="00023842"/>
    <w:pPr>
      <w:numPr>
        <w:ilvl w:val="2"/>
        <w:numId w:val="17"/>
      </w:numPr>
      <w:outlineLvl w:val="2"/>
    </w:pPr>
  </w:style>
  <w:style w:type="paragraph" w:styleId="Heading4">
    <w:name w:val="heading 4"/>
    <w:basedOn w:val="Normal"/>
    <w:next w:val="Normal"/>
    <w:link w:val="Heading4Char"/>
    <w:semiHidden/>
    <w:qFormat/>
    <w:rsid w:val="00023842"/>
    <w:pPr>
      <w:numPr>
        <w:ilvl w:val="3"/>
        <w:numId w:val="17"/>
      </w:numPr>
      <w:outlineLvl w:val="3"/>
    </w:pPr>
  </w:style>
  <w:style w:type="paragraph" w:styleId="Heading5">
    <w:name w:val="heading 5"/>
    <w:basedOn w:val="Normal"/>
    <w:next w:val="Normal"/>
    <w:link w:val="Heading5Char"/>
    <w:semiHidden/>
    <w:qFormat/>
    <w:rsid w:val="00023842"/>
    <w:pPr>
      <w:numPr>
        <w:ilvl w:val="4"/>
        <w:numId w:val="17"/>
      </w:numPr>
      <w:outlineLvl w:val="4"/>
    </w:pPr>
  </w:style>
  <w:style w:type="paragraph" w:styleId="Heading6">
    <w:name w:val="heading 6"/>
    <w:basedOn w:val="Normal"/>
    <w:next w:val="Normal"/>
    <w:link w:val="Heading6Char"/>
    <w:semiHidden/>
    <w:qFormat/>
    <w:rsid w:val="00023842"/>
    <w:pPr>
      <w:numPr>
        <w:ilvl w:val="5"/>
        <w:numId w:val="17"/>
      </w:numPr>
      <w:outlineLvl w:val="5"/>
    </w:pPr>
  </w:style>
  <w:style w:type="paragraph" w:styleId="Heading7">
    <w:name w:val="heading 7"/>
    <w:basedOn w:val="Normal"/>
    <w:next w:val="Normal"/>
    <w:link w:val="Heading7Char"/>
    <w:semiHidden/>
    <w:qFormat/>
    <w:rsid w:val="00023842"/>
    <w:pPr>
      <w:numPr>
        <w:ilvl w:val="6"/>
        <w:numId w:val="17"/>
      </w:numPr>
      <w:outlineLvl w:val="6"/>
    </w:pPr>
  </w:style>
  <w:style w:type="paragraph" w:styleId="Heading8">
    <w:name w:val="heading 8"/>
    <w:basedOn w:val="Normal"/>
    <w:next w:val="Normal"/>
    <w:link w:val="Heading8Char"/>
    <w:semiHidden/>
    <w:qFormat/>
    <w:rsid w:val="00023842"/>
    <w:pPr>
      <w:numPr>
        <w:ilvl w:val="7"/>
        <w:numId w:val="17"/>
      </w:numPr>
      <w:outlineLvl w:val="7"/>
    </w:pPr>
  </w:style>
  <w:style w:type="paragraph" w:styleId="Heading9">
    <w:name w:val="heading 9"/>
    <w:basedOn w:val="Normal"/>
    <w:next w:val="Normal"/>
    <w:link w:val="Heading9Char"/>
    <w:semiHidden/>
    <w:qFormat/>
    <w:rsid w:val="00023842"/>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584DC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584DC4"/>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584DC4"/>
    <w:pPr>
      <w:spacing w:line="240" w:lineRule="auto"/>
    </w:pPr>
    <w:rPr>
      <w:sz w:val="16"/>
    </w:rPr>
  </w:style>
  <w:style w:type="character" w:customStyle="1" w:styleId="FooterChar">
    <w:name w:val="Footer Char"/>
    <w:aliases w:val="3_G Char"/>
    <w:basedOn w:val="DefaultParagraphFont"/>
    <w:link w:val="Footer"/>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ar"/>
    <w:qFormat/>
    <w:rsid w:val="00584DC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84DC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584DC4"/>
    <w:pPr>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clear" w:pos="1701"/>
      </w:tabs>
      <w:spacing w:after="120"/>
      <w:ind w:right="1134"/>
      <w:jc w:val="both"/>
    </w:pPr>
  </w:style>
  <w:style w:type="character" w:styleId="FootnoteReference">
    <w:name w:val="footnote reference"/>
    <w:aliases w:val="4_G"/>
    <w:basedOn w:val="DefaultParagraphFont"/>
    <w:qFormat/>
    <w:rsid w:val="00584DC4"/>
    <w:rPr>
      <w:rFonts w:ascii="Times New Roman" w:hAnsi="Times New Roman"/>
      <w:sz w:val="18"/>
      <w:vertAlign w:val="superscript"/>
      <w:lang w:val="fr-CH"/>
    </w:rPr>
  </w:style>
  <w:style w:type="character" w:styleId="EndnoteReference">
    <w:name w:val="endnote reference"/>
    <w:aliases w:val="1_G"/>
    <w:basedOn w:val="FootnoteReference"/>
    <w:qFormat/>
    <w:rsid w:val="00584DC4"/>
    <w:rPr>
      <w:rFonts w:ascii="Times New Roman" w:hAnsi="Times New Roman"/>
      <w:sz w:val="18"/>
      <w:vertAlign w:val="superscript"/>
      <w:lang w:val="fr-CH"/>
    </w:rPr>
  </w:style>
  <w:style w:type="table" w:styleId="TableGrid">
    <w:name w:val="Table Grid"/>
    <w:basedOn w:val="TableNormal"/>
    <w:rsid w:val="00584DC4"/>
    <w:pPr>
      <w:suppressAutoHyphens/>
      <w:spacing w:after="0" w:line="240" w:lineRule="atLeas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584DC4"/>
    <w:rPr>
      <w:color w:val="0000FF"/>
      <w:u w:val="none"/>
    </w:rPr>
  </w:style>
  <w:style w:type="character" w:styleId="FollowedHyperlink">
    <w:name w:val="FollowedHyperlink"/>
    <w:basedOn w:val="DefaultParagraphFont"/>
    <w:unhideWhenUsed/>
    <w:rsid w:val="00584DC4"/>
    <w:rPr>
      <w:color w:val="0000FF"/>
      <w:u w:val="none"/>
    </w:rPr>
  </w:style>
  <w:style w:type="paragraph" w:styleId="FootnoteText">
    <w:name w:val="footnote text"/>
    <w:aliases w:val="5_G"/>
    <w:basedOn w:val="Normal"/>
    <w:link w:val="FootnoteTextChar"/>
    <w:qFormat/>
    <w:rsid w:val="00584DC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584DC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584DC4"/>
  </w:style>
  <w:style w:type="character" w:customStyle="1" w:styleId="EndnoteTextChar">
    <w:name w:val="Endnote Text Char"/>
    <w:aliases w:val="2_G Char"/>
    <w:basedOn w:val="DefaultParagraphFont"/>
    <w:link w:val="EndnoteText"/>
    <w:rsid w:val="00584DC4"/>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584DC4"/>
    <w:rPr>
      <w:rFonts w:ascii="Times New Roman" w:hAnsi="Times New Roman"/>
      <w:b/>
      <w:sz w:val="18"/>
      <w:lang w:val="fr-CH"/>
    </w:rPr>
  </w:style>
  <w:style w:type="character" w:customStyle="1" w:styleId="Heading1Char">
    <w:name w:val="Heading 1 Char"/>
    <w:aliases w:val="Table_G Char"/>
    <w:basedOn w:val="DefaultParagraphFont"/>
    <w:link w:val="Heading1"/>
    <w:rsid w:val="00584DC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32E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A9"/>
    <w:rPr>
      <w:rFonts w:ascii="Tahoma" w:hAnsi="Tahoma" w:cs="Tahoma"/>
      <w:sz w:val="16"/>
      <w:szCs w:val="16"/>
      <w:lang w:eastAsia="en-US"/>
    </w:rPr>
  </w:style>
  <w:style w:type="character" w:customStyle="1" w:styleId="SingleTxtGChar">
    <w:name w:val="_ Single Txt_G Char"/>
    <w:link w:val="SingleTxtG"/>
    <w:qFormat/>
    <w:rsid w:val="002D50BF"/>
  </w:style>
  <w:style w:type="character" w:customStyle="1" w:styleId="H23GChar">
    <w:name w:val="_ H_2/3_G Char"/>
    <w:link w:val="H23G"/>
    <w:rsid w:val="002D50BF"/>
    <w:rPr>
      <w:b/>
    </w:rPr>
  </w:style>
  <w:style w:type="character" w:customStyle="1" w:styleId="HChGChar">
    <w:name w:val="_ H _Ch_G Char"/>
    <w:link w:val="HChG"/>
    <w:rsid w:val="002D50BF"/>
    <w:rPr>
      <w:b/>
      <w:sz w:val="28"/>
    </w:rPr>
  </w:style>
  <w:style w:type="character" w:customStyle="1" w:styleId="H1GCar">
    <w:name w:val="_ H_1_G Car"/>
    <w:link w:val="H1G"/>
    <w:locked/>
    <w:rsid w:val="00237BBE"/>
    <w:rPr>
      <w:b/>
      <w:sz w:val="24"/>
    </w:rPr>
  </w:style>
  <w:style w:type="numbering" w:styleId="ArticleSection">
    <w:name w:val="Outline List 3"/>
    <w:basedOn w:val="NoList"/>
    <w:semiHidden/>
    <w:rsid w:val="00237BBE"/>
    <w:pPr>
      <w:numPr>
        <w:numId w:val="17"/>
      </w:numPr>
    </w:pPr>
  </w:style>
  <w:style w:type="paragraph" w:customStyle="1" w:styleId="OBbodytext">
    <w:name w:val="OB_body_text"/>
    <w:basedOn w:val="Normal"/>
    <w:link w:val="OBbodytextChar"/>
    <w:qFormat/>
    <w:rsid w:val="00237BBE"/>
    <w:pPr>
      <w:numPr>
        <w:ilvl w:val="12"/>
      </w:numPr>
      <w:tabs>
        <w:tab w:val="left" w:pos="1418"/>
      </w:tabs>
      <w:suppressAutoHyphens w:val="0"/>
      <w:kinsoku/>
      <w:overflowPunct/>
      <w:snapToGrid/>
      <w:spacing w:after="240" w:line="240" w:lineRule="auto"/>
      <w:jc w:val="both"/>
    </w:pPr>
    <w:rPr>
      <w:sz w:val="22"/>
      <w:szCs w:val="22"/>
      <w:lang w:val="fr-FR" w:eastAsia="fr-FR"/>
    </w:rPr>
  </w:style>
  <w:style w:type="character" w:customStyle="1" w:styleId="OBbodytextChar">
    <w:name w:val="OB_body_text Char"/>
    <w:basedOn w:val="DefaultParagraphFont"/>
    <w:link w:val="OBbodytext"/>
    <w:rsid w:val="00237BBE"/>
    <w:rPr>
      <w:sz w:val="22"/>
      <w:szCs w:val="22"/>
      <w:lang w:val="fr-FR" w:eastAsia="fr-FR"/>
    </w:rPr>
  </w:style>
  <w:style w:type="paragraph" w:customStyle="1" w:styleId="OB1subpara">
    <w:name w:val="OB_1subpara"/>
    <w:basedOn w:val="BodyTextIndent"/>
    <w:qFormat/>
    <w:rsid w:val="00237BBE"/>
    <w:pPr>
      <w:tabs>
        <w:tab w:val="left" w:pos="-1440"/>
        <w:tab w:val="left" w:pos="-142"/>
        <w:tab w:val="left" w:pos="1985"/>
        <w:tab w:val="left" w:pos="11518"/>
      </w:tabs>
      <w:suppressAutoHyphens w:val="0"/>
      <w:kinsoku/>
      <w:overflowPunct/>
      <w:autoSpaceDE/>
      <w:autoSpaceDN/>
      <w:adjustRightInd/>
      <w:snapToGrid/>
      <w:spacing w:after="240" w:line="240" w:lineRule="auto"/>
      <w:ind w:left="1985" w:hanging="567"/>
      <w:jc w:val="both"/>
    </w:pPr>
    <w:rPr>
      <w:sz w:val="22"/>
      <w:lang w:val="fr-FR" w:eastAsia="en-US"/>
    </w:rPr>
  </w:style>
  <w:style w:type="paragraph" w:styleId="BodyTextIndent">
    <w:name w:val="Body Text Indent"/>
    <w:basedOn w:val="Normal"/>
    <w:link w:val="BodyTextIndentChar"/>
    <w:uiPriority w:val="99"/>
    <w:semiHidden/>
    <w:unhideWhenUsed/>
    <w:rsid w:val="00237BBE"/>
    <w:pPr>
      <w:spacing w:after="120"/>
      <w:ind w:left="283"/>
    </w:pPr>
  </w:style>
  <w:style w:type="character" w:customStyle="1" w:styleId="BodyTextIndentChar">
    <w:name w:val="Body Text Indent Char"/>
    <w:basedOn w:val="DefaultParagraphFont"/>
    <w:link w:val="BodyTextIndent"/>
    <w:uiPriority w:val="99"/>
    <w:semiHidden/>
    <w:rsid w:val="00237BBE"/>
  </w:style>
  <w:style w:type="character" w:styleId="CommentReference">
    <w:name w:val="annotation reference"/>
    <w:basedOn w:val="DefaultParagraphFont"/>
    <w:uiPriority w:val="99"/>
    <w:semiHidden/>
    <w:unhideWhenUsed/>
    <w:rsid w:val="006F4C01"/>
    <w:rPr>
      <w:sz w:val="16"/>
      <w:szCs w:val="16"/>
    </w:rPr>
  </w:style>
  <w:style w:type="paragraph" w:styleId="CommentText">
    <w:name w:val="annotation text"/>
    <w:basedOn w:val="Normal"/>
    <w:link w:val="CommentTextChar"/>
    <w:uiPriority w:val="99"/>
    <w:semiHidden/>
    <w:unhideWhenUsed/>
    <w:rsid w:val="006F4C01"/>
    <w:pPr>
      <w:spacing w:line="240" w:lineRule="auto"/>
    </w:pPr>
  </w:style>
  <w:style w:type="character" w:customStyle="1" w:styleId="CommentTextChar">
    <w:name w:val="Comment Text Char"/>
    <w:basedOn w:val="DefaultParagraphFont"/>
    <w:link w:val="CommentText"/>
    <w:uiPriority w:val="99"/>
    <w:semiHidden/>
    <w:rsid w:val="006F4C01"/>
  </w:style>
  <w:style w:type="paragraph" w:styleId="CommentSubject">
    <w:name w:val="annotation subject"/>
    <w:basedOn w:val="CommentText"/>
    <w:next w:val="CommentText"/>
    <w:link w:val="CommentSubjectChar"/>
    <w:uiPriority w:val="99"/>
    <w:semiHidden/>
    <w:unhideWhenUsed/>
    <w:rsid w:val="006F4C01"/>
    <w:rPr>
      <w:b/>
      <w:bCs/>
    </w:rPr>
  </w:style>
  <w:style w:type="character" w:customStyle="1" w:styleId="CommentSubjectChar">
    <w:name w:val="Comment Subject Char"/>
    <w:basedOn w:val="CommentTextChar"/>
    <w:link w:val="CommentSubject"/>
    <w:uiPriority w:val="99"/>
    <w:semiHidden/>
    <w:rsid w:val="006F4C01"/>
    <w:rPr>
      <w:b/>
      <w:bCs/>
    </w:rPr>
  </w:style>
  <w:style w:type="character" w:customStyle="1" w:styleId="SingleTxtGZchnZchn">
    <w:name w:val="_ Single Txt_G Zchn Zchn"/>
    <w:rsid w:val="006F4C01"/>
  </w:style>
  <w:style w:type="paragraph" w:styleId="ListParagraph">
    <w:name w:val="List Paragraph"/>
    <w:basedOn w:val="Normal"/>
    <w:uiPriority w:val="34"/>
    <w:semiHidden/>
    <w:qFormat/>
    <w:rsid w:val="006F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ST\SGAC10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C0AE-F2EA-422A-846F-5482939C8536}">
  <ds:schemaRefs>
    <ds:schemaRef ds:uri="http://schemas.microsoft.com/sharepoint/v3/contenttype/forms"/>
  </ds:schemaRefs>
</ds:datastoreItem>
</file>

<file path=customXml/itemProps2.xml><?xml version="1.0" encoding="utf-8"?>
<ds:datastoreItem xmlns:ds="http://schemas.openxmlformats.org/officeDocument/2006/customXml" ds:itemID="{096A9D9B-56F4-4F34-BBEE-21692CC7D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2B45E5-32F5-4CDC-954A-DFEA7C15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6F9F3-3BBF-47C7-BF9C-4274B03B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SGAC10_F.dotm</Template>
  <TotalTime>33</TotalTime>
  <Pages>25</Pages>
  <Words>10733</Words>
  <Characters>56993</Characters>
  <Application>Microsoft Office Word</Application>
  <DocSecurity>0</DocSecurity>
  <Lines>1238</Lines>
  <Paragraphs>720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ST/SG/AC.10/C.3/112/Add.1</vt:lpstr>
      <vt:lpstr/>
    </vt:vector>
  </TitlesOfParts>
  <Company>DCM</Company>
  <LinksUpToDate>false</LinksUpToDate>
  <CharactersWithSpaces>67006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ST/SG/AC.10/C.3/112/Add.1</dc:title>
  <dc:subject/>
  <dc:creator>Rosa</dc:creator>
  <cp:keywords/>
  <cp:lastModifiedBy>Laurence Berthet</cp:lastModifiedBy>
  <cp:revision>46</cp:revision>
  <cp:lastPrinted>2020-12-22T10:43:00Z</cp:lastPrinted>
  <dcterms:created xsi:type="dcterms:W3CDTF">2020-12-22T10:08:00Z</dcterms:created>
  <dcterms:modified xsi:type="dcterms:W3CDTF">2020-12-22T20:47:00Z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9539600</vt:r8>
  </property>
</Properties>
</file>