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RPr="00F2162B" w14:paraId="026EB115" w14:textId="77777777" w:rsidTr="006476E1">
        <w:trPr>
          <w:trHeight w:val="851"/>
        </w:trPr>
        <w:tc>
          <w:tcPr>
            <w:tcW w:w="1259" w:type="dxa"/>
            <w:tcBorders>
              <w:top w:val="nil"/>
              <w:left w:val="nil"/>
              <w:bottom w:val="single" w:sz="4" w:space="0" w:color="auto"/>
              <w:right w:val="nil"/>
            </w:tcBorders>
          </w:tcPr>
          <w:p w14:paraId="684D5882" w14:textId="77777777" w:rsidR="00E52109" w:rsidRPr="002A32CB" w:rsidRDefault="00E52109" w:rsidP="004858F5"/>
        </w:tc>
        <w:tc>
          <w:tcPr>
            <w:tcW w:w="2236" w:type="dxa"/>
            <w:tcBorders>
              <w:top w:val="nil"/>
              <w:left w:val="nil"/>
              <w:bottom w:val="single" w:sz="4" w:space="0" w:color="auto"/>
              <w:right w:val="nil"/>
            </w:tcBorders>
            <w:vAlign w:val="bottom"/>
          </w:tcPr>
          <w:p w14:paraId="7A4967E3" w14:textId="77777777" w:rsidR="00E52109" w:rsidRPr="00F2162B" w:rsidRDefault="00E52109" w:rsidP="006476E1">
            <w:pPr>
              <w:spacing w:after="80" w:line="300" w:lineRule="exact"/>
              <w:rPr>
                <w:sz w:val="28"/>
                <w:szCs w:val="28"/>
              </w:rPr>
            </w:pPr>
            <w:r w:rsidRPr="00F2162B">
              <w:rPr>
                <w:sz w:val="28"/>
                <w:szCs w:val="28"/>
              </w:rPr>
              <w:t>United Nations</w:t>
            </w:r>
          </w:p>
        </w:tc>
        <w:tc>
          <w:tcPr>
            <w:tcW w:w="6144" w:type="dxa"/>
            <w:gridSpan w:val="2"/>
            <w:tcBorders>
              <w:top w:val="nil"/>
              <w:left w:val="nil"/>
              <w:bottom w:val="single" w:sz="4" w:space="0" w:color="auto"/>
              <w:right w:val="nil"/>
            </w:tcBorders>
            <w:vAlign w:val="bottom"/>
          </w:tcPr>
          <w:p w14:paraId="6D23688C" w14:textId="5324F436" w:rsidR="00E52109" w:rsidRPr="00F2162B" w:rsidRDefault="00927A11" w:rsidP="00927A11">
            <w:pPr>
              <w:suppressAutoHyphens w:val="0"/>
              <w:jc w:val="right"/>
            </w:pPr>
            <w:r w:rsidRPr="00F2162B">
              <w:rPr>
                <w:sz w:val="40"/>
              </w:rPr>
              <w:t>ST</w:t>
            </w:r>
            <w:r w:rsidRPr="00F2162B">
              <w:t>/SG/AC.10/C.3/11</w:t>
            </w:r>
            <w:r w:rsidR="000F009B">
              <w:t>4</w:t>
            </w:r>
            <w:r w:rsidRPr="00F2162B">
              <w:t>/Add.1</w:t>
            </w:r>
          </w:p>
        </w:tc>
      </w:tr>
      <w:tr w:rsidR="00E52109" w:rsidRPr="00F2162B" w14:paraId="6C6A2E41" w14:textId="77777777" w:rsidTr="006476E1">
        <w:trPr>
          <w:trHeight w:val="2835"/>
        </w:trPr>
        <w:tc>
          <w:tcPr>
            <w:tcW w:w="1259" w:type="dxa"/>
            <w:tcBorders>
              <w:top w:val="single" w:sz="4" w:space="0" w:color="auto"/>
              <w:left w:val="nil"/>
              <w:bottom w:val="single" w:sz="12" w:space="0" w:color="auto"/>
              <w:right w:val="nil"/>
            </w:tcBorders>
          </w:tcPr>
          <w:p w14:paraId="6B8C2D98" w14:textId="77777777" w:rsidR="00E52109" w:rsidRPr="00F2162B" w:rsidRDefault="00E52109" w:rsidP="006476E1">
            <w:pPr>
              <w:spacing w:before="120"/>
              <w:jc w:val="center"/>
            </w:pPr>
            <w:r w:rsidRPr="00F2162B">
              <w:rPr>
                <w:noProof/>
                <w:lang w:val="fr-CH" w:eastAsia="fr-CH"/>
              </w:rPr>
              <w:drawing>
                <wp:inline distT="0" distB="0" distL="0" distR="0" wp14:anchorId="65699897" wp14:editId="1F0FD77D">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7BBE1E8C" w14:textId="77777777" w:rsidR="00E52109" w:rsidRPr="00F2162B" w:rsidRDefault="00D94B05" w:rsidP="006476E1">
            <w:pPr>
              <w:spacing w:before="120" w:line="420" w:lineRule="exact"/>
              <w:rPr>
                <w:b/>
                <w:sz w:val="40"/>
                <w:szCs w:val="40"/>
              </w:rPr>
            </w:pPr>
            <w:r w:rsidRPr="00F2162B">
              <w:rPr>
                <w:b/>
                <w:sz w:val="40"/>
                <w:szCs w:val="40"/>
              </w:rPr>
              <w:t>Secretariat</w:t>
            </w:r>
          </w:p>
        </w:tc>
        <w:tc>
          <w:tcPr>
            <w:tcW w:w="2930" w:type="dxa"/>
            <w:tcBorders>
              <w:top w:val="single" w:sz="4" w:space="0" w:color="auto"/>
              <w:left w:val="nil"/>
              <w:bottom w:val="single" w:sz="12" w:space="0" w:color="auto"/>
              <w:right w:val="nil"/>
            </w:tcBorders>
          </w:tcPr>
          <w:p w14:paraId="47A6DB38" w14:textId="77777777" w:rsidR="00D94B05" w:rsidRPr="00F2162B" w:rsidRDefault="00927A11" w:rsidP="00927A11">
            <w:pPr>
              <w:suppressAutoHyphens w:val="0"/>
              <w:spacing w:before="240" w:line="240" w:lineRule="exact"/>
            </w:pPr>
            <w:r w:rsidRPr="00F2162B">
              <w:t>Distr.: General</w:t>
            </w:r>
          </w:p>
          <w:p w14:paraId="6734BEA5" w14:textId="0DED9166" w:rsidR="00927A11" w:rsidRPr="00F2162B" w:rsidRDefault="000F009B" w:rsidP="00927A11">
            <w:pPr>
              <w:suppressAutoHyphens w:val="0"/>
              <w:spacing w:line="240" w:lineRule="exact"/>
            </w:pPr>
            <w:r>
              <w:t>23 December 2020</w:t>
            </w:r>
          </w:p>
          <w:p w14:paraId="6D82AED5" w14:textId="77777777" w:rsidR="00927A11" w:rsidRPr="00F2162B" w:rsidRDefault="00F2162B" w:rsidP="00927A11">
            <w:pPr>
              <w:suppressAutoHyphens w:val="0"/>
              <w:spacing w:line="240" w:lineRule="exact"/>
            </w:pPr>
            <w:r w:rsidRPr="00F2162B">
              <w:t>English</w:t>
            </w:r>
          </w:p>
          <w:p w14:paraId="497A1AFD" w14:textId="77777777" w:rsidR="00927A11" w:rsidRPr="00F2162B" w:rsidRDefault="00927A11" w:rsidP="00927A11">
            <w:pPr>
              <w:suppressAutoHyphens w:val="0"/>
              <w:spacing w:line="240" w:lineRule="exact"/>
            </w:pPr>
            <w:r w:rsidRPr="00F2162B">
              <w:t>Original: English and French</w:t>
            </w:r>
          </w:p>
        </w:tc>
      </w:tr>
    </w:tbl>
    <w:p w14:paraId="407D655B" w14:textId="77777777" w:rsidR="00986B7B" w:rsidRPr="00F2162B" w:rsidRDefault="00986B7B" w:rsidP="00986B7B">
      <w:pPr>
        <w:spacing w:before="120"/>
        <w:rPr>
          <w:b/>
          <w:sz w:val="24"/>
          <w:szCs w:val="24"/>
        </w:rPr>
      </w:pPr>
      <w:r w:rsidRPr="00F2162B">
        <w:rPr>
          <w:b/>
          <w:sz w:val="24"/>
          <w:szCs w:val="24"/>
        </w:rPr>
        <w:t>Committee of Experts on the Transport of Dangerous Goods</w:t>
      </w:r>
      <w:r w:rsidRPr="00F2162B">
        <w:rPr>
          <w:b/>
          <w:sz w:val="24"/>
          <w:szCs w:val="24"/>
        </w:rPr>
        <w:br/>
        <w:t>and on the Globally Harmonized System of Classification</w:t>
      </w:r>
      <w:r w:rsidRPr="00F2162B">
        <w:rPr>
          <w:b/>
          <w:sz w:val="24"/>
          <w:szCs w:val="24"/>
        </w:rPr>
        <w:br/>
        <w:t>and Labelling of Chemicals</w:t>
      </w:r>
    </w:p>
    <w:p w14:paraId="25A623B6" w14:textId="77777777" w:rsidR="00986B7B" w:rsidRPr="00F2162B" w:rsidRDefault="00986B7B" w:rsidP="00986B7B">
      <w:pPr>
        <w:spacing w:before="120"/>
        <w:rPr>
          <w:rFonts w:ascii="Helv" w:hAnsi="Helv" w:cs="Helv"/>
          <w:b/>
          <w:color w:val="000000"/>
        </w:rPr>
      </w:pPr>
      <w:r w:rsidRPr="00F2162B">
        <w:rPr>
          <w:b/>
        </w:rPr>
        <w:t>Sub-Committee of Experts on the Transport of Dangerous Goods</w:t>
      </w:r>
    </w:p>
    <w:p w14:paraId="71B4B3D0" w14:textId="00B2B6DD" w:rsidR="00986B7B" w:rsidRPr="00F2162B" w:rsidRDefault="00986B7B" w:rsidP="00986B7B">
      <w:pPr>
        <w:pStyle w:val="HChG"/>
        <w:spacing w:before="240" w:after="120"/>
      </w:pPr>
      <w:r w:rsidRPr="00F2162B">
        <w:tab/>
      </w:r>
      <w:r w:rsidRPr="00F2162B">
        <w:tab/>
        <w:t>Report of the Sub-Committee of Experts on the Transport of Dangerous Goods on its fifty-s</w:t>
      </w:r>
      <w:r w:rsidR="000F009B">
        <w:t>eventh</w:t>
      </w:r>
      <w:r w:rsidRPr="00F2162B">
        <w:t xml:space="preserve"> session</w:t>
      </w:r>
    </w:p>
    <w:p w14:paraId="3C632355" w14:textId="3D7D3970" w:rsidR="00986B7B" w:rsidRPr="00F2162B" w:rsidRDefault="00986B7B" w:rsidP="00986B7B">
      <w:pPr>
        <w:pStyle w:val="H23G"/>
        <w:spacing w:before="120" w:after="240"/>
        <w:rPr>
          <w:b w:val="0"/>
        </w:rPr>
      </w:pPr>
      <w:r w:rsidRPr="00F2162B">
        <w:tab/>
      </w:r>
      <w:r w:rsidRPr="00F2162B">
        <w:tab/>
      </w:r>
      <w:r w:rsidRPr="00F2162B">
        <w:rPr>
          <w:b w:val="0"/>
        </w:rPr>
        <w:t xml:space="preserve">held in Geneva from </w:t>
      </w:r>
      <w:r w:rsidR="000F009B">
        <w:rPr>
          <w:b w:val="0"/>
        </w:rPr>
        <w:t>30 November to 8 December 2020</w:t>
      </w:r>
    </w:p>
    <w:p w14:paraId="424F3597" w14:textId="77777777" w:rsidR="00AF5DE1" w:rsidRPr="00F2162B" w:rsidRDefault="00F62BBA" w:rsidP="00F62BBA">
      <w:pPr>
        <w:pStyle w:val="H1G"/>
      </w:pPr>
      <w:r w:rsidRPr="00F2162B">
        <w:tab/>
      </w:r>
      <w:r w:rsidRPr="00F2162B">
        <w:tab/>
        <w:t>Addendum</w:t>
      </w:r>
    </w:p>
    <w:p w14:paraId="73C7C728" w14:textId="77777777" w:rsidR="00F62BBA" w:rsidRPr="00F2162B" w:rsidRDefault="00F62BBA" w:rsidP="00F62BBA">
      <w:pPr>
        <w:spacing w:line="200" w:lineRule="atLeast"/>
        <w:rPr>
          <w:sz w:val="28"/>
        </w:rPr>
      </w:pPr>
      <w:r w:rsidRPr="00F2162B">
        <w:rPr>
          <w:sz w:val="28"/>
        </w:rPr>
        <w:t>Contents</w:t>
      </w:r>
    </w:p>
    <w:p w14:paraId="5230398C" w14:textId="77777777" w:rsidR="00F62BBA" w:rsidRPr="00F2162B" w:rsidRDefault="00F62BBA" w:rsidP="00F62BBA">
      <w:pPr>
        <w:pStyle w:val="H1G"/>
        <w:rPr>
          <w:b w:val="0"/>
          <w:bCs/>
          <w:szCs w:val="24"/>
        </w:rPr>
      </w:pPr>
      <w:r w:rsidRPr="00F2162B">
        <w:rPr>
          <w:b w:val="0"/>
          <w:bCs/>
          <w:szCs w:val="24"/>
        </w:rPr>
        <w:tab/>
        <w:t>Annexes</w:t>
      </w:r>
    </w:p>
    <w:p w14:paraId="1F1C9EFB" w14:textId="34B8AE32" w:rsidR="00F62BBA" w:rsidRPr="00F2162B" w:rsidRDefault="00F62BBA" w:rsidP="00F62BBA">
      <w:pPr>
        <w:tabs>
          <w:tab w:val="right" w:pos="8929"/>
          <w:tab w:val="right" w:pos="9638"/>
        </w:tabs>
        <w:spacing w:after="120"/>
        <w:ind w:left="283"/>
      </w:pPr>
      <w:r w:rsidRPr="00F2162B">
        <w:rPr>
          <w:i/>
          <w:sz w:val="18"/>
        </w:rPr>
        <w:tab/>
      </w:r>
      <w:r w:rsidRPr="00F2162B">
        <w:rPr>
          <w:i/>
          <w:sz w:val="18"/>
        </w:rPr>
        <w:tab/>
        <w:t>Page</w:t>
      </w:r>
    </w:p>
    <w:p w14:paraId="1869E859" w14:textId="029C5333" w:rsidR="003021CF" w:rsidRPr="000035D5" w:rsidRDefault="003021CF" w:rsidP="00CD1B25">
      <w:pPr>
        <w:pStyle w:val="SingleTxtG"/>
        <w:numPr>
          <w:ilvl w:val="0"/>
          <w:numId w:val="14"/>
        </w:numPr>
        <w:ind w:left="1134" w:right="-142" w:hanging="567"/>
        <w:jc w:val="left"/>
      </w:pPr>
      <w:bookmarkStart w:id="0" w:name="_Hlk532993721"/>
      <w:r w:rsidRPr="00FF6872">
        <w:t xml:space="preserve">Draft amendments to the twenty-first revised edition of the Recommendations </w:t>
      </w:r>
      <w:r w:rsidR="00CD1B25">
        <w:br/>
      </w:r>
      <w:r w:rsidRPr="00FF6872">
        <w:t xml:space="preserve">on the Transport of Dangerous Goods, </w:t>
      </w:r>
      <w:r w:rsidR="00A222FD">
        <w:br/>
      </w:r>
      <w:r w:rsidRPr="00FF6872">
        <w:t>Model Regulations (ST/SG/AC.10/1/Rev.21</w:t>
      </w:r>
      <w:r w:rsidRPr="000035D5">
        <w:rPr>
          <w:bCs/>
        </w:rPr>
        <w:t>)</w:t>
      </w:r>
      <w:r w:rsidRPr="00D54AD9">
        <w:rPr>
          <w:bCs/>
          <w:vertAlign w:val="superscript"/>
        </w:rPr>
        <w:footnoteReference w:id="2"/>
      </w:r>
      <w:r>
        <w:rPr>
          <w:bCs/>
        </w:rPr>
        <w:t xml:space="preserve"> ……………………………………………</w:t>
      </w:r>
      <w:r w:rsidR="00CA6E2F">
        <w:rPr>
          <w:bCs/>
        </w:rPr>
        <w:t>..</w:t>
      </w:r>
      <w:r w:rsidR="00CD1B25">
        <w:rPr>
          <w:bCs/>
        </w:rPr>
        <w:tab/>
      </w:r>
      <w:r w:rsidR="00CD1B25">
        <w:rPr>
          <w:bCs/>
        </w:rPr>
        <w:tab/>
      </w:r>
      <w:r w:rsidR="00CD1B25">
        <w:rPr>
          <w:bCs/>
        </w:rPr>
        <w:tab/>
      </w:r>
      <w:r w:rsidR="00CA6E2F">
        <w:rPr>
          <w:bCs/>
        </w:rPr>
        <w:t>2</w:t>
      </w:r>
    </w:p>
    <w:p w14:paraId="32034D03" w14:textId="6F9EA145" w:rsidR="003021CF" w:rsidRPr="00546F65" w:rsidRDefault="003021CF" w:rsidP="00CA6E2F">
      <w:pPr>
        <w:pStyle w:val="SingleTxtG"/>
        <w:numPr>
          <w:ilvl w:val="0"/>
          <w:numId w:val="14"/>
        </w:numPr>
        <w:ind w:left="1134" w:right="-284" w:hanging="567"/>
        <w:jc w:val="left"/>
      </w:pPr>
      <w:r w:rsidRPr="00FF6872">
        <w:t xml:space="preserve">Draft amendments to the seventh revised edition of the Manual of </w:t>
      </w:r>
      <w:r w:rsidR="00CD1B25">
        <w:br/>
      </w:r>
      <w:r w:rsidRPr="00FF6872">
        <w:t>Tests and Criteria (ST/SG/AC.10/11/Rev.7)</w:t>
      </w:r>
      <w:r w:rsidRPr="007723B3">
        <w:rPr>
          <w:vertAlign w:val="superscript"/>
        </w:rPr>
        <w:t>1</w:t>
      </w:r>
      <w:r w:rsidRPr="00CA6E2F">
        <w:t xml:space="preserve"> </w:t>
      </w:r>
      <w:r w:rsidR="00CD1B25" w:rsidRPr="00CA6E2F">
        <w:t>…</w:t>
      </w:r>
      <w:r>
        <w:t>……………………………………………</w:t>
      </w:r>
      <w:r w:rsidR="00CA6E2F">
        <w:tab/>
      </w:r>
      <w:r w:rsidR="00CA6E2F">
        <w:tab/>
      </w:r>
      <w:r w:rsidR="00CA6E2F">
        <w:tab/>
        <w:t>16</w:t>
      </w:r>
    </w:p>
    <w:p w14:paraId="065616C4" w14:textId="4C72B2B5" w:rsidR="004D066D" w:rsidRDefault="004D066D" w:rsidP="009A7281">
      <w:pPr>
        <w:pStyle w:val="SingleTxtG"/>
        <w:numPr>
          <w:ilvl w:val="0"/>
          <w:numId w:val="14"/>
        </w:numPr>
        <w:ind w:left="1134" w:right="-284" w:hanging="567"/>
        <w:jc w:val="left"/>
      </w:pPr>
      <w:r w:rsidRPr="00CA6E2F">
        <w:tab/>
      </w:r>
      <w:r w:rsidRPr="00FF6872">
        <w:t xml:space="preserve">Corrections to the seventh revised </w:t>
      </w:r>
      <w:bookmarkStart w:id="1" w:name="_GoBack"/>
      <w:bookmarkEnd w:id="1"/>
      <w:r w:rsidRPr="00FF6872">
        <w:t xml:space="preserve">edition of the Manual of </w:t>
      </w:r>
      <w:r>
        <w:br/>
      </w:r>
      <w:r w:rsidRPr="00FF6872">
        <w:t>Tests and Criteria (ST/SG/AC.10/11/Rev.7)</w:t>
      </w:r>
      <w:r w:rsidRPr="007723B3">
        <w:rPr>
          <w:vertAlign w:val="superscript"/>
        </w:rPr>
        <w:t>1</w:t>
      </w:r>
      <w:r>
        <w:t>……</w:t>
      </w:r>
      <w:r w:rsidR="009A7281">
        <w:t>…………………………………</w:t>
      </w:r>
      <w:r>
        <w:t>……….</w:t>
      </w:r>
      <w:r w:rsidRPr="00E07DAE">
        <w:tab/>
      </w:r>
      <w:r>
        <w:tab/>
      </w:r>
      <w:r>
        <w:tab/>
        <w:t>22</w:t>
      </w:r>
    </w:p>
    <w:p w14:paraId="1AE34514" w14:textId="06FC87A8" w:rsidR="003021CF" w:rsidRDefault="003021CF" w:rsidP="00BE6BA8">
      <w:pPr>
        <w:pStyle w:val="SingleTxtG"/>
        <w:numPr>
          <w:ilvl w:val="0"/>
          <w:numId w:val="14"/>
        </w:numPr>
        <w:ind w:left="1134" w:right="-284" w:hanging="567"/>
        <w:jc w:val="left"/>
      </w:pPr>
      <w:r w:rsidRPr="00CA6E2F">
        <w:tab/>
      </w:r>
      <w:r w:rsidRPr="00FF6872">
        <w:t xml:space="preserve">Corrections to the twenty-first revised edition of the Recommendations on the </w:t>
      </w:r>
      <w:r w:rsidRPr="00FF6872">
        <w:br/>
        <w:t>Transport of Dangerous Goods, Model Regulations (ST/SG/AC.10/1/Rev.21)</w:t>
      </w:r>
      <w:r w:rsidRPr="007723B3">
        <w:rPr>
          <w:vertAlign w:val="superscript"/>
        </w:rPr>
        <w:t>1</w:t>
      </w:r>
      <w:r>
        <w:t>…………….</w:t>
      </w:r>
      <w:r w:rsidRPr="00E07DAE">
        <w:tab/>
      </w:r>
      <w:r w:rsidR="00CA6E2F">
        <w:tab/>
      </w:r>
      <w:r w:rsidR="007723B3">
        <w:tab/>
      </w:r>
      <w:r w:rsidR="00CA6E2F">
        <w:t>22</w:t>
      </w:r>
    </w:p>
    <w:p w14:paraId="284043F4" w14:textId="77777777" w:rsidR="003021CF" w:rsidRDefault="003021CF" w:rsidP="003021CF">
      <w:pPr>
        <w:suppressAutoHyphens w:val="0"/>
        <w:kinsoku/>
        <w:overflowPunct/>
        <w:autoSpaceDE/>
        <w:autoSpaceDN/>
        <w:adjustRightInd/>
        <w:snapToGrid/>
        <w:spacing w:after="200" w:line="276" w:lineRule="auto"/>
      </w:pPr>
    </w:p>
    <w:p w14:paraId="56988CF2" w14:textId="77777777" w:rsidR="003021CF" w:rsidRDefault="003021CF" w:rsidP="003021CF">
      <w:pPr>
        <w:suppressAutoHyphens w:val="0"/>
        <w:kinsoku/>
        <w:overflowPunct/>
        <w:autoSpaceDE/>
        <w:autoSpaceDN/>
        <w:adjustRightInd/>
        <w:snapToGrid/>
        <w:spacing w:after="200" w:line="276" w:lineRule="auto"/>
      </w:pPr>
    </w:p>
    <w:p w14:paraId="4F9E3A4E" w14:textId="77777777" w:rsidR="003021CF" w:rsidRDefault="003021CF" w:rsidP="00CA6E2F">
      <w:pPr>
        <w:pStyle w:val="SingleTxtG"/>
        <w:ind w:left="0" w:right="-142"/>
        <w:jc w:val="left"/>
      </w:pPr>
    </w:p>
    <w:p w14:paraId="3456ABA1" w14:textId="41E02953" w:rsidR="00F62BBA" w:rsidRDefault="00F62BBA" w:rsidP="003021CF">
      <w:pPr>
        <w:suppressAutoHyphens w:val="0"/>
        <w:kinsoku/>
        <w:overflowPunct/>
        <w:autoSpaceDE/>
        <w:autoSpaceDN/>
        <w:adjustRightInd/>
        <w:snapToGrid/>
        <w:spacing w:after="200" w:line="276" w:lineRule="auto"/>
      </w:pPr>
      <w:r w:rsidRPr="00F2162B">
        <w:br w:type="page"/>
      </w:r>
    </w:p>
    <w:p w14:paraId="1E19CBDB" w14:textId="77777777" w:rsidR="00CF309D" w:rsidRDefault="00CF309D" w:rsidP="00CF309D">
      <w:pPr>
        <w:pStyle w:val="HChG"/>
      </w:pPr>
      <w:r>
        <w:lastRenderedPageBreak/>
        <w:tab/>
        <w:t>I.</w:t>
      </w:r>
      <w:r>
        <w:tab/>
      </w:r>
      <w:r w:rsidRPr="00B231DF">
        <w:t>Draft amendments to the twent</w:t>
      </w:r>
      <w:r>
        <w:t>y-first</w:t>
      </w:r>
      <w:r w:rsidRPr="00B231DF">
        <w:t xml:space="preserve"> revised edition of the Recommendations on the Transport of Dangerous Goods, Model Regulations (ST/SG/AC.10/1/Rev.2</w:t>
      </w:r>
      <w:r>
        <w:t>1</w:t>
      </w:r>
      <w:r w:rsidRPr="00B231DF">
        <w:t>)</w:t>
      </w:r>
    </w:p>
    <w:p w14:paraId="5EAE56C4" w14:textId="77777777" w:rsidR="00CF309D" w:rsidRPr="00A20118" w:rsidRDefault="00CF309D" w:rsidP="00CF309D">
      <w:pPr>
        <w:pStyle w:val="H1G"/>
      </w:pPr>
      <w:r w:rsidRPr="00A20118">
        <w:tab/>
      </w:r>
      <w:r w:rsidRPr="00A20118">
        <w:tab/>
        <w:t>Chapter 1.2</w:t>
      </w:r>
    </w:p>
    <w:p w14:paraId="61437E9C" w14:textId="77777777" w:rsidR="00CF309D" w:rsidRPr="00A20118" w:rsidRDefault="00CF309D" w:rsidP="00CF309D">
      <w:pPr>
        <w:pStyle w:val="SingleTxtG"/>
        <w:ind w:left="2268" w:hanging="1134"/>
      </w:pPr>
      <w:r w:rsidRPr="00A20118">
        <w:t>1.2.1</w:t>
      </w:r>
      <w:r w:rsidRPr="00A20118">
        <w:tab/>
        <w:t>In the definition of “Recycled plastics material”, at the end of the Note, add the following new sentence: “</w:t>
      </w:r>
      <w:r w:rsidRPr="00A20118">
        <w:rPr>
          <w:i/>
          <w:iCs/>
        </w:rPr>
        <w:t>These guidelines have been developed based on the experience of the manufacturing of drums and jerricans from recycled plastics material and as such may need to be adapted for other types of packagings, IBCs and large packagings made of recycled plastics material.</w:t>
      </w:r>
      <w:r w:rsidRPr="00A20118">
        <w:t>”.</w:t>
      </w:r>
    </w:p>
    <w:p w14:paraId="755D059A" w14:textId="77777777" w:rsidR="00CF309D" w:rsidRPr="00A20118" w:rsidRDefault="00CF309D" w:rsidP="00CF309D">
      <w:pPr>
        <w:pStyle w:val="SingleTxtG"/>
        <w:rPr>
          <w:i/>
          <w:iCs/>
        </w:rPr>
      </w:pPr>
      <w:r w:rsidRPr="00A20118">
        <w:rPr>
          <w:i/>
          <w:iCs/>
        </w:rPr>
        <w:t>(Reference document: informal document INF.47, proposal 6, as amended)</w:t>
      </w:r>
    </w:p>
    <w:p w14:paraId="0CACEA79" w14:textId="77777777" w:rsidR="00CF309D" w:rsidRDefault="00CF309D" w:rsidP="00CF309D">
      <w:pPr>
        <w:pStyle w:val="SingleTxtG"/>
        <w:rPr>
          <w:lang w:val="en-US"/>
        </w:rPr>
      </w:pPr>
      <w:r>
        <w:rPr>
          <w:lang w:val="en-US"/>
        </w:rPr>
        <w:t xml:space="preserve">1.2.1 </w:t>
      </w:r>
      <w:r>
        <w:rPr>
          <w:lang w:val="en-US"/>
        </w:rPr>
        <w:tab/>
      </w:r>
      <w:r>
        <w:rPr>
          <w:lang w:val="en-US"/>
        </w:rPr>
        <w:tab/>
        <w:t>Add a new definition to read as follows:</w:t>
      </w:r>
    </w:p>
    <w:p w14:paraId="60ABCB71" w14:textId="77777777" w:rsidR="00CF309D" w:rsidRDefault="00CF309D" w:rsidP="00CF309D">
      <w:pPr>
        <w:pStyle w:val="SingleTxtG"/>
        <w:rPr>
          <w:lang w:val="en-US"/>
        </w:rPr>
      </w:pPr>
      <w:r>
        <w:rPr>
          <w:lang w:val="en-US"/>
        </w:rPr>
        <w:t>“"</w:t>
      </w:r>
      <w:r w:rsidRPr="007350F3">
        <w:rPr>
          <w:i/>
          <w:iCs/>
          <w:lang w:val="en-US"/>
        </w:rPr>
        <w:t>IAEA Regulations for the Safe Transport of Radioactive Material</w:t>
      </w:r>
      <w:r>
        <w:rPr>
          <w:lang w:val="en-US"/>
        </w:rPr>
        <w:t>" means one of the editions of those Regulations, as follows:</w:t>
      </w:r>
    </w:p>
    <w:p w14:paraId="39A8A3B0" w14:textId="77777777" w:rsidR="00CF309D" w:rsidRPr="007350F3" w:rsidRDefault="00CF309D" w:rsidP="00CF309D">
      <w:pPr>
        <w:pStyle w:val="SingleTxtG"/>
        <w:ind w:left="2268" w:hanging="567"/>
        <w:rPr>
          <w:lang w:val="en-US"/>
        </w:rPr>
      </w:pPr>
      <w:r>
        <w:rPr>
          <w:lang w:val="en-US"/>
        </w:rPr>
        <w:t>(a)</w:t>
      </w:r>
      <w:r>
        <w:rPr>
          <w:lang w:val="en-US"/>
        </w:rPr>
        <w:tab/>
        <w:t xml:space="preserve">For the </w:t>
      </w:r>
      <w:r w:rsidRPr="007350F3">
        <w:rPr>
          <w:lang w:val="en-US"/>
        </w:rPr>
        <w:t xml:space="preserve">1985, 1985 (as amended 1990) </w:t>
      </w:r>
      <w:r>
        <w:rPr>
          <w:lang w:val="en-US"/>
        </w:rPr>
        <w:t>e</w:t>
      </w:r>
      <w:r w:rsidRPr="007350F3">
        <w:rPr>
          <w:lang w:val="en-US"/>
        </w:rPr>
        <w:t>ditions: IAEA Safety Series No. 6</w:t>
      </w:r>
    </w:p>
    <w:p w14:paraId="159C7786" w14:textId="77777777" w:rsidR="00CF309D" w:rsidRPr="007350F3" w:rsidRDefault="00CF309D" w:rsidP="00CF309D">
      <w:pPr>
        <w:pStyle w:val="SingleTxtG"/>
        <w:ind w:left="2268" w:hanging="567"/>
        <w:rPr>
          <w:lang w:val="en-US"/>
        </w:rPr>
      </w:pPr>
      <w:r>
        <w:rPr>
          <w:lang w:val="en-US"/>
        </w:rPr>
        <w:t>(b)</w:t>
      </w:r>
      <w:r>
        <w:rPr>
          <w:lang w:val="en-US"/>
        </w:rPr>
        <w:tab/>
        <w:t xml:space="preserve">For the </w:t>
      </w:r>
      <w:r w:rsidRPr="007350F3">
        <w:rPr>
          <w:lang w:val="en-US"/>
        </w:rPr>
        <w:t>1996</w:t>
      </w:r>
      <w:r>
        <w:rPr>
          <w:lang w:val="en-US"/>
        </w:rPr>
        <w:t xml:space="preserve"> edition</w:t>
      </w:r>
      <w:r w:rsidRPr="007350F3">
        <w:rPr>
          <w:lang w:val="en-US"/>
        </w:rPr>
        <w:t>: IAEA Safety Series No. ST-1</w:t>
      </w:r>
    </w:p>
    <w:p w14:paraId="2EA20854" w14:textId="77777777" w:rsidR="00CF309D" w:rsidRPr="007350F3" w:rsidRDefault="00CF309D" w:rsidP="00CF309D">
      <w:pPr>
        <w:pStyle w:val="SingleTxtG"/>
        <w:ind w:left="2268" w:hanging="567"/>
        <w:rPr>
          <w:lang w:val="en-US"/>
        </w:rPr>
      </w:pPr>
      <w:r>
        <w:rPr>
          <w:lang w:val="en-US"/>
        </w:rPr>
        <w:t>(c)</w:t>
      </w:r>
      <w:r>
        <w:rPr>
          <w:lang w:val="en-US"/>
        </w:rPr>
        <w:tab/>
        <w:t xml:space="preserve">For the </w:t>
      </w:r>
      <w:r w:rsidRPr="007350F3">
        <w:rPr>
          <w:lang w:val="en-US"/>
        </w:rPr>
        <w:t>1996 (revised)</w:t>
      </w:r>
      <w:r>
        <w:rPr>
          <w:lang w:val="en-US"/>
        </w:rPr>
        <w:t xml:space="preserve"> edition</w:t>
      </w:r>
      <w:r w:rsidRPr="007350F3">
        <w:rPr>
          <w:lang w:val="en-US"/>
        </w:rPr>
        <w:t>: IAEA Safety Series No. TS-R-1 (ST-1, Revised)</w:t>
      </w:r>
    </w:p>
    <w:p w14:paraId="19263E48" w14:textId="77777777" w:rsidR="00CF309D" w:rsidRPr="007350F3" w:rsidRDefault="00CF309D" w:rsidP="00CF309D">
      <w:pPr>
        <w:pStyle w:val="SingleTxtG"/>
        <w:ind w:left="2268" w:hanging="567"/>
        <w:rPr>
          <w:lang w:val="en-US"/>
        </w:rPr>
      </w:pPr>
      <w:r>
        <w:rPr>
          <w:lang w:val="en-US"/>
        </w:rPr>
        <w:t>(d)</w:t>
      </w:r>
      <w:r w:rsidRPr="007350F3">
        <w:rPr>
          <w:lang w:val="en-US"/>
        </w:rPr>
        <w:tab/>
      </w:r>
      <w:r>
        <w:rPr>
          <w:lang w:val="en-US"/>
        </w:rPr>
        <w:t xml:space="preserve">For the </w:t>
      </w:r>
      <w:r w:rsidRPr="007350F3">
        <w:rPr>
          <w:lang w:val="en-US"/>
        </w:rPr>
        <w:t xml:space="preserve">1996 (as amended 2003), 2005, 2009 </w:t>
      </w:r>
      <w:r>
        <w:rPr>
          <w:lang w:val="en-US"/>
        </w:rPr>
        <w:t>e</w:t>
      </w:r>
      <w:r w:rsidRPr="007350F3">
        <w:rPr>
          <w:lang w:val="en-US"/>
        </w:rPr>
        <w:t>ditions: IAEA Safety Standards Series No. TS-R-1</w:t>
      </w:r>
    </w:p>
    <w:p w14:paraId="6B3019BC" w14:textId="77777777" w:rsidR="00CF309D" w:rsidRDefault="00CF309D" w:rsidP="00CF309D">
      <w:pPr>
        <w:pStyle w:val="SingleTxtG"/>
        <w:ind w:left="2268" w:hanging="567"/>
        <w:rPr>
          <w:lang w:val="en-US"/>
        </w:rPr>
      </w:pPr>
      <w:r>
        <w:rPr>
          <w:lang w:val="en-US"/>
        </w:rPr>
        <w:t>(e)</w:t>
      </w:r>
      <w:r>
        <w:rPr>
          <w:lang w:val="en-US"/>
        </w:rPr>
        <w:tab/>
        <w:t xml:space="preserve">For the </w:t>
      </w:r>
      <w:r w:rsidRPr="007350F3">
        <w:rPr>
          <w:lang w:val="en-US"/>
        </w:rPr>
        <w:t xml:space="preserve">2012 </w:t>
      </w:r>
      <w:r>
        <w:rPr>
          <w:lang w:val="en-US"/>
        </w:rPr>
        <w:t>e</w:t>
      </w:r>
      <w:r w:rsidRPr="007350F3">
        <w:rPr>
          <w:lang w:val="en-US"/>
        </w:rPr>
        <w:t>dition: IAEA Safety Standards Series No. SSR-6</w:t>
      </w:r>
    </w:p>
    <w:p w14:paraId="2F582960" w14:textId="77777777" w:rsidR="00CF309D" w:rsidRDefault="00CF309D" w:rsidP="00CF309D">
      <w:pPr>
        <w:pStyle w:val="SingleTxtG"/>
        <w:ind w:left="2268" w:hanging="567"/>
        <w:rPr>
          <w:lang w:val="en-US"/>
        </w:rPr>
      </w:pPr>
      <w:r>
        <w:rPr>
          <w:lang w:val="en-US"/>
        </w:rPr>
        <w:t>(f)</w:t>
      </w:r>
      <w:r>
        <w:rPr>
          <w:lang w:val="en-US"/>
        </w:rPr>
        <w:tab/>
        <w:t xml:space="preserve">For the 2018 edition: </w:t>
      </w:r>
      <w:r w:rsidRPr="00D03FBC">
        <w:rPr>
          <w:lang w:val="en-US"/>
        </w:rPr>
        <w:t>IAEA Safety Standards Series No. SSR</w:t>
      </w:r>
      <w:r w:rsidRPr="007350F3">
        <w:rPr>
          <w:lang w:val="en-US"/>
        </w:rPr>
        <w:t>-</w:t>
      </w:r>
      <w:r w:rsidRPr="00D03FBC">
        <w:rPr>
          <w:lang w:val="en-US"/>
        </w:rPr>
        <w:t>6 (Rev.1)</w:t>
      </w:r>
      <w:r>
        <w:rPr>
          <w:lang w:val="en-US"/>
        </w:rPr>
        <w:t>.”</w:t>
      </w:r>
    </w:p>
    <w:p w14:paraId="643806E3" w14:textId="77777777" w:rsidR="00CF309D" w:rsidRPr="00007C2E" w:rsidRDefault="00CF309D" w:rsidP="00CF309D">
      <w:pPr>
        <w:pStyle w:val="SingleTxtG"/>
        <w:rPr>
          <w:i/>
          <w:iCs/>
        </w:rPr>
      </w:pPr>
      <w:r w:rsidRPr="00007C2E">
        <w:rPr>
          <w:i/>
          <w:iCs/>
        </w:rPr>
        <w:t>(Reference document: ST/SG/AC.10/C.3/2020/</w:t>
      </w:r>
      <w:r>
        <w:rPr>
          <w:i/>
          <w:iCs/>
        </w:rPr>
        <w:t>1</w:t>
      </w:r>
      <w:r w:rsidRPr="00007C2E">
        <w:rPr>
          <w:i/>
          <w:iCs/>
        </w:rPr>
        <w:t>)</w:t>
      </w:r>
    </w:p>
    <w:p w14:paraId="546D2973" w14:textId="77777777" w:rsidR="00CF309D" w:rsidRPr="00007C2E" w:rsidRDefault="00CF309D" w:rsidP="00CF309D">
      <w:pPr>
        <w:pStyle w:val="H1G"/>
      </w:pPr>
      <w:r w:rsidRPr="00007C2E">
        <w:tab/>
      </w:r>
      <w:r w:rsidRPr="00007C2E">
        <w:tab/>
        <w:t xml:space="preserve">Chapter </w:t>
      </w:r>
      <w:r>
        <w:t>1.4</w:t>
      </w:r>
    </w:p>
    <w:p w14:paraId="7ADC0BB2" w14:textId="77777777" w:rsidR="00CF309D" w:rsidRDefault="00CF309D" w:rsidP="00CF309D">
      <w:pPr>
        <w:pStyle w:val="SingleTxtG"/>
        <w:ind w:left="2268" w:hanging="1134"/>
      </w:pPr>
      <w:r>
        <w:t>1.4.3.2.3</w:t>
      </w:r>
      <w:r>
        <w:tab/>
        <w:t>Delete footnotes 1 and 2. After “</w:t>
      </w:r>
      <w:r w:rsidRPr="008F1C91">
        <w:t>Convention on Physical Protection of Nuclear Material</w:t>
      </w:r>
      <w:r>
        <w:t>”, add</w:t>
      </w:r>
      <w:r w:rsidRPr="008F1C91">
        <w:t xml:space="preserve"> </w:t>
      </w:r>
      <w:r>
        <w:t>“</w:t>
      </w:r>
      <w:r w:rsidRPr="008F1C91">
        <w:t>(INFCIRC/274/Rev.1, IAEA, Vienna (1980))</w:t>
      </w:r>
      <w:r>
        <w:t>”. After “"</w:t>
      </w:r>
      <w:r w:rsidRPr="00B46535">
        <w:t>Nuclear Security Recommendations on Physical Protection of Nuclear Material and Nuclear Facilities</w:t>
      </w:r>
      <w:r>
        <w:t>"”, add</w:t>
      </w:r>
      <w:r w:rsidRPr="006E58EA">
        <w:t xml:space="preserve"> </w:t>
      </w:r>
      <w:r>
        <w:t>“</w:t>
      </w:r>
      <w:r w:rsidRPr="006E58EA">
        <w:t>(</w:t>
      </w:r>
      <w:r w:rsidRPr="00DA4286">
        <w:t>INFCIRC/225/Rev.5, IAEA, Vienna (2011)</w:t>
      </w:r>
      <w:r w:rsidRPr="006E58EA">
        <w:t>)</w:t>
      </w:r>
      <w:r>
        <w:t>”.</w:t>
      </w:r>
    </w:p>
    <w:p w14:paraId="66B9B395" w14:textId="77777777" w:rsidR="00CF309D" w:rsidRPr="00C25639" w:rsidRDefault="00CF309D" w:rsidP="00CF309D">
      <w:pPr>
        <w:pStyle w:val="SingleTxtG"/>
        <w:rPr>
          <w:i/>
          <w:iCs/>
        </w:rPr>
      </w:pPr>
      <w:r w:rsidRPr="00007C2E">
        <w:rPr>
          <w:i/>
          <w:iCs/>
        </w:rPr>
        <w:t>(Reference document: ST/SG/AC.10/C.3/2020/</w:t>
      </w:r>
      <w:r>
        <w:rPr>
          <w:i/>
          <w:iCs/>
        </w:rPr>
        <w:t>74, proposal 1, updated to reflect the current revision</w:t>
      </w:r>
      <w:r w:rsidRPr="00007C2E">
        <w:rPr>
          <w:i/>
          <w:iCs/>
        </w:rPr>
        <w:t>)</w:t>
      </w:r>
    </w:p>
    <w:p w14:paraId="7D2B4825" w14:textId="77777777" w:rsidR="00CF309D" w:rsidRPr="00007C2E" w:rsidRDefault="00CF309D" w:rsidP="00CF309D">
      <w:pPr>
        <w:pStyle w:val="H1G"/>
      </w:pPr>
      <w:r w:rsidRPr="00007C2E">
        <w:tab/>
      </w:r>
      <w:r w:rsidRPr="00007C2E">
        <w:tab/>
        <w:t xml:space="preserve">Chapter </w:t>
      </w:r>
      <w:r>
        <w:t>1.5</w:t>
      </w:r>
    </w:p>
    <w:p w14:paraId="007BBEAA" w14:textId="77777777" w:rsidR="00CF309D" w:rsidRDefault="00CF309D" w:rsidP="00CF309D">
      <w:pPr>
        <w:pStyle w:val="SingleTxtG"/>
        <w:ind w:left="2268" w:hanging="1134"/>
      </w:pPr>
      <w:r w:rsidRPr="00915159">
        <w:t>1.5.1.1</w:t>
      </w:r>
      <w:r w:rsidRPr="00915159">
        <w:tab/>
      </w:r>
      <w:r w:rsidRPr="00915159">
        <w:tab/>
        <w:t xml:space="preserve">Amend the second sentence to read </w:t>
      </w:r>
      <w:r>
        <w:t>“</w:t>
      </w:r>
      <w:r w:rsidRPr="00915159">
        <w:t>These Regulations are based on the</w:t>
      </w:r>
      <w:r w:rsidRPr="00915159">
        <w:rPr>
          <w:lang w:val="en-US"/>
        </w:rPr>
        <w:t xml:space="preserve"> </w:t>
      </w:r>
      <w:r>
        <w:rPr>
          <w:lang w:val="en-US"/>
        </w:rPr>
        <w:t>2018 e</w:t>
      </w:r>
      <w:r w:rsidRPr="005C2D0D">
        <w:rPr>
          <w:lang w:val="en-US"/>
        </w:rPr>
        <w:t xml:space="preserve">dition of </w:t>
      </w:r>
      <w:r>
        <w:rPr>
          <w:lang w:val="en-US"/>
        </w:rPr>
        <w:t xml:space="preserve">the </w:t>
      </w:r>
      <w:r w:rsidRPr="005C2D0D">
        <w:rPr>
          <w:lang w:val="en-US"/>
        </w:rPr>
        <w:t xml:space="preserve">IAEA </w:t>
      </w:r>
      <w:r w:rsidRPr="00205DF9">
        <w:rPr>
          <w:lang w:val="en-US"/>
        </w:rPr>
        <w:t>Regulations for the Safe Transport of Radioactive Material</w:t>
      </w:r>
      <w:r>
        <w:t>”.</w:t>
      </w:r>
    </w:p>
    <w:p w14:paraId="264E1FC1" w14:textId="77777777" w:rsidR="00CF309D" w:rsidRPr="00007C2E" w:rsidRDefault="00CF309D" w:rsidP="00CF309D">
      <w:pPr>
        <w:pStyle w:val="SingleTxtG"/>
        <w:rPr>
          <w:i/>
          <w:iCs/>
        </w:rPr>
      </w:pPr>
      <w:r w:rsidRPr="00007C2E">
        <w:rPr>
          <w:i/>
          <w:iCs/>
        </w:rPr>
        <w:t>(Reference document: ST/SG/AC.10/C.3/2020/</w:t>
      </w:r>
      <w:r>
        <w:rPr>
          <w:i/>
          <w:iCs/>
        </w:rPr>
        <w:t>1</w:t>
      </w:r>
      <w:r w:rsidRPr="00007C2E">
        <w:rPr>
          <w:i/>
          <w:iCs/>
        </w:rPr>
        <w:t>)</w:t>
      </w:r>
    </w:p>
    <w:p w14:paraId="1E24F819" w14:textId="77777777" w:rsidR="00CF309D" w:rsidRDefault="00CF309D" w:rsidP="00CF309D">
      <w:pPr>
        <w:pStyle w:val="H1G"/>
      </w:pPr>
      <w:r>
        <w:tab/>
      </w:r>
      <w:r>
        <w:tab/>
        <w:t>Chapter 2.4</w:t>
      </w:r>
    </w:p>
    <w:p w14:paraId="0B4E92EA" w14:textId="77777777" w:rsidR="00CF309D" w:rsidRPr="00D23FB7" w:rsidRDefault="00CF309D" w:rsidP="00CF309D">
      <w:pPr>
        <w:pStyle w:val="SingleTxtG"/>
        <w:ind w:left="2268" w:hanging="1134"/>
        <w:rPr>
          <w:lang w:val="en-US"/>
        </w:rPr>
      </w:pPr>
      <w:r w:rsidRPr="00782F2B">
        <w:t>2.4.2.3.2.3</w:t>
      </w:r>
      <w:r>
        <w:rPr>
          <w:lang w:val="en-US"/>
        </w:rPr>
        <w:tab/>
        <w:t>In the last sentence, after “The formulations” add “not listed in this provision but”.</w:t>
      </w:r>
    </w:p>
    <w:p w14:paraId="6066E333" w14:textId="77777777" w:rsidR="00CF309D" w:rsidRDefault="00CF309D" w:rsidP="00CF309D">
      <w:pPr>
        <w:pStyle w:val="SingleTxtG"/>
        <w:rPr>
          <w:i/>
          <w:iCs/>
        </w:rPr>
      </w:pPr>
      <w:r w:rsidRPr="00804977">
        <w:rPr>
          <w:i/>
          <w:iCs/>
        </w:rPr>
        <w:t>(Reference document: ST/SG/AC.10/C.3/20</w:t>
      </w:r>
      <w:r>
        <w:rPr>
          <w:i/>
          <w:iCs/>
        </w:rPr>
        <w:t>20</w:t>
      </w:r>
      <w:r w:rsidRPr="00804977">
        <w:rPr>
          <w:i/>
          <w:iCs/>
        </w:rPr>
        <w:t>/</w:t>
      </w:r>
      <w:r>
        <w:rPr>
          <w:i/>
          <w:iCs/>
        </w:rPr>
        <w:t>6</w:t>
      </w:r>
      <w:r w:rsidRPr="00804977">
        <w:rPr>
          <w:i/>
          <w:iCs/>
        </w:rPr>
        <w:t>)</w:t>
      </w:r>
    </w:p>
    <w:p w14:paraId="662708F5" w14:textId="77777777" w:rsidR="00CF309D" w:rsidRDefault="00CF309D" w:rsidP="00CF309D">
      <w:pPr>
        <w:pStyle w:val="SingleTxtG"/>
        <w:ind w:left="2268" w:hanging="1134"/>
        <w:rPr>
          <w:lang w:val="en-US"/>
        </w:rPr>
      </w:pPr>
      <w:r w:rsidRPr="00782F2B">
        <w:t>2.4.2.3.2.3</w:t>
      </w:r>
      <w:r>
        <w:rPr>
          <w:lang w:val="en-US"/>
        </w:rPr>
        <w:tab/>
        <w:t>In the table, add the following new entry in proper order:</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4"/>
        <w:gridCol w:w="677"/>
        <w:gridCol w:w="508"/>
        <w:gridCol w:w="222"/>
        <w:gridCol w:w="222"/>
        <w:gridCol w:w="544"/>
        <w:gridCol w:w="490"/>
      </w:tblGrid>
      <w:tr w:rsidR="00CF309D" w:rsidRPr="00206EA3" w14:paraId="768F3D6A" w14:textId="77777777" w:rsidTr="00784F4D">
        <w:trPr>
          <w:trHeight w:val="360"/>
        </w:trPr>
        <w:tc>
          <w:tcPr>
            <w:tcW w:w="0" w:type="auto"/>
            <w:shd w:val="clear" w:color="auto" w:fill="auto"/>
          </w:tcPr>
          <w:p w14:paraId="028F970B" w14:textId="77777777" w:rsidR="00CF309D" w:rsidRPr="00206EA3" w:rsidRDefault="00CF309D" w:rsidP="00784F4D">
            <w:pPr>
              <w:pStyle w:val="SingleTxtG"/>
              <w:tabs>
                <w:tab w:val="left" w:pos="1269"/>
              </w:tabs>
              <w:ind w:left="0" w:right="0"/>
              <w:jc w:val="left"/>
              <w:rPr>
                <w:lang w:val="en-US"/>
              </w:rPr>
            </w:pPr>
            <w:r w:rsidRPr="003631D0">
              <w:rPr>
                <w:noProof/>
              </w:rPr>
              <w:lastRenderedPageBreak/>
              <w:t>(7-Methoxy-5-methyl</w:t>
            </w:r>
            <w:r>
              <w:rPr>
                <w:noProof/>
              </w:rPr>
              <w:t>-b</w:t>
            </w:r>
            <w:r w:rsidRPr="003631D0">
              <w:rPr>
                <w:noProof/>
              </w:rPr>
              <w:t>enzothiophen-2-yl) boronic acid</w:t>
            </w:r>
          </w:p>
        </w:tc>
        <w:tc>
          <w:tcPr>
            <w:tcW w:w="0" w:type="auto"/>
            <w:shd w:val="clear" w:color="auto" w:fill="auto"/>
          </w:tcPr>
          <w:p w14:paraId="59A23405" w14:textId="77777777" w:rsidR="00CF309D" w:rsidRPr="00206EA3" w:rsidRDefault="00CF309D" w:rsidP="00784F4D">
            <w:pPr>
              <w:pStyle w:val="SingleTxtG"/>
              <w:ind w:left="0" w:right="7"/>
              <w:jc w:val="center"/>
              <w:rPr>
                <w:sz w:val="16"/>
                <w:lang w:val="en-US"/>
              </w:rPr>
            </w:pPr>
            <w:r w:rsidRPr="00206EA3">
              <w:rPr>
                <w:sz w:val="16"/>
                <w:lang w:val="en-US"/>
              </w:rPr>
              <w:t>8</w:t>
            </w:r>
            <w:r>
              <w:rPr>
                <w:sz w:val="16"/>
                <w:lang w:val="en-US"/>
              </w:rPr>
              <w:t>8</w:t>
            </w:r>
            <w:r w:rsidRPr="00206EA3">
              <w:rPr>
                <w:sz w:val="16"/>
                <w:lang w:val="en-US"/>
              </w:rPr>
              <w:t>-</w:t>
            </w:r>
            <w:r>
              <w:rPr>
                <w:sz w:val="16"/>
                <w:lang w:val="en-US"/>
              </w:rPr>
              <w:t>100</w:t>
            </w:r>
          </w:p>
        </w:tc>
        <w:tc>
          <w:tcPr>
            <w:tcW w:w="0" w:type="auto"/>
            <w:shd w:val="clear" w:color="auto" w:fill="auto"/>
          </w:tcPr>
          <w:p w14:paraId="3EB29868" w14:textId="77777777" w:rsidR="00CF309D" w:rsidRPr="00206EA3" w:rsidRDefault="00CF309D" w:rsidP="00784F4D">
            <w:pPr>
              <w:pStyle w:val="SingleTxtG"/>
              <w:ind w:left="0" w:right="7"/>
              <w:jc w:val="center"/>
              <w:rPr>
                <w:sz w:val="16"/>
                <w:lang w:val="en-US"/>
              </w:rPr>
            </w:pPr>
            <w:r w:rsidRPr="00206EA3">
              <w:rPr>
                <w:sz w:val="16"/>
                <w:lang w:val="en-US"/>
              </w:rPr>
              <w:t>OP</w:t>
            </w:r>
            <w:r>
              <w:rPr>
                <w:sz w:val="16"/>
                <w:lang w:val="en-US"/>
              </w:rPr>
              <w:t>7</w:t>
            </w:r>
          </w:p>
        </w:tc>
        <w:tc>
          <w:tcPr>
            <w:tcW w:w="0" w:type="auto"/>
            <w:shd w:val="clear" w:color="auto" w:fill="auto"/>
          </w:tcPr>
          <w:p w14:paraId="648DB089" w14:textId="77777777" w:rsidR="00CF309D" w:rsidRPr="00206EA3" w:rsidRDefault="00CF309D" w:rsidP="00784F4D">
            <w:pPr>
              <w:pStyle w:val="SingleTxtG"/>
              <w:ind w:left="0"/>
              <w:jc w:val="left"/>
              <w:rPr>
                <w:sz w:val="16"/>
                <w:lang w:val="en-US"/>
              </w:rPr>
            </w:pPr>
          </w:p>
        </w:tc>
        <w:tc>
          <w:tcPr>
            <w:tcW w:w="0" w:type="auto"/>
            <w:shd w:val="clear" w:color="auto" w:fill="auto"/>
          </w:tcPr>
          <w:p w14:paraId="2ABA610C" w14:textId="77777777" w:rsidR="00CF309D" w:rsidRPr="00206EA3" w:rsidRDefault="00CF309D" w:rsidP="00784F4D">
            <w:pPr>
              <w:pStyle w:val="SingleTxtG"/>
              <w:ind w:left="0"/>
              <w:jc w:val="left"/>
              <w:rPr>
                <w:sz w:val="16"/>
                <w:lang w:val="en-US"/>
              </w:rPr>
            </w:pPr>
          </w:p>
        </w:tc>
        <w:tc>
          <w:tcPr>
            <w:tcW w:w="0" w:type="auto"/>
            <w:shd w:val="clear" w:color="auto" w:fill="auto"/>
          </w:tcPr>
          <w:p w14:paraId="4B29C4B4" w14:textId="77777777" w:rsidR="00CF309D" w:rsidRPr="00206EA3" w:rsidRDefault="00CF309D" w:rsidP="00784F4D">
            <w:pPr>
              <w:pStyle w:val="SingleTxtG"/>
              <w:ind w:left="0" w:right="7"/>
              <w:jc w:val="center"/>
              <w:rPr>
                <w:sz w:val="16"/>
                <w:lang w:val="en-US"/>
              </w:rPr>
            </w:pPr>
            <w:r w:rsidRPr="00206EA3">
              <w:rPr>
                <w:sz w:val="16"/>
                <w:lang w:val="en-US"/>
              </w:rPr>
              <w:t>32</w:t>
            </w:r>
            <w:r>
              <w:rPr>
                <w:sz w:val="16"/>
                <w:lang w:val="en-US"/>
              </w:rPr>
              <w:t>30</w:t>
            </w:r>
          </w:p>
        </w:tc>
        <w:tc>
          <w:tcPr>
            <w:tcW w:w="0" w:type="auto"/>
            <w:shd w:val="clear" w:color="auto" w:fill="auto"/>
          </w:tcPr>
          <w:p w14:paraId="1C6C01D6" w14:textId="77777777" w:rsidR="00CF309D" w:rsidRPr="00206EA3" w:rsidRDefault="00CF309D" w:rsidP="00784F4D">
            <w:pPr>
              <w:pStyle w:val="SingleTxtG"/>
              <w:ind w:left="0" w:right="7"/>
              <w:jc w:val="center"/>
              <w:rPr>
                <w:sz w:val="16"/>
                <w:lang w:val="en-US"/>
              </w:rPr>
            </w:pPr>
            <w:r>
              <w:rPr>
                <w:sz w:val="16"/>
                <w:lang w:val="en-US"/>
              </w:rPr>
              <w:t>(11)</w:t>
            </w:r>
          </w:p>
        </w:tc>
      </w:tr>
    </w:tbl>
    <w:p w14:paraId="70340111" w14:textId="77777777" w:rsidR="00CF309D" w:rsidRDefault="00CF309D" w:rsidP="00CF309D">
      <w:pPr>
        <w:pStyle w:val="SingleTxtG"/>
        <w:spacing w:before="120"/>
        <w:ind w:left="2268" w:hanging="1134"/>
        <w:rPr>
          <w:lang w:val="en-US"/>
        </w:rPr>
      </w:pPr>
      <w:r>
        <w:rPr>
          <w:lang w:val="en-US"/>
        </w:rPr>
        <w:tab/>
        <w:t>Under the table, add the following new table note:</w:t>
      </w:r>
    </w:p>
    <w:p w14:paraId="1619E93B" w14:textId="77777777" w:rsidR="00CF309D" w:rsidRPr="009B1ED5" w:rsidRDefault="00CF309D" w:rsidP="00CF309D">
      <w:pPr>
        <w:pStyle w:val="SingleTxtG"/>
      </w:pPr>
      <w:r>
        <w:t>“</w:t>
      </w:r>
      <w:r w:rsidRPr="00755B18">
        <w:t>(11)</w:t>
      </w:r>
      <w:r>
        <w:tab/>
      </w:r>
      <w:r w:rsidRPr="00755B18">
        <w:t>The technical compound with the specified concentration limits may contain up to 12</w:t>
      </w:r>
      <w:r>
        <w:t> </w:t>
      </w:r>
      <w:r w:rsidRPr="00755B18">
        <w:t>% water and up to 1</w:t>
      </w:r>
      <w:r>
        <w:t> </w:t>
      </w:r>
      <w:r w:rsidRPr="00755B18">
        <w:t>% organic impurities.</w:t>
      </w:r>
      <w:r>
        <w:t>”</w:t>
      </w:r>
    </w:p>
    <w:p w14:paraId="7B15403E" w14:textId="77777777" w:rsidR="00CF309D" w:rsidRPr="00843762" w:rsidRDefault="00CF309D" w:rsidP="00CF309D">
      <w:pPr>
        <w:pStyle w:val="SingleTxtG"/>
        <w:rPr>
          <w:i/>
          <w:iCs/>
        </w:rPr>
      </w:pPr>
      <w:r w:rsidRPr="00804977">
        <w:rPr>
          <w:i/>
          <w:iCs/>
        </w:rPr>
        <w:t>(Reference document: ST/SG/AC.10/C.3/20</w:t>
      </w:r>
      <w:r>
        <w:rPr>
          <w:i/>
          <w:iCs/>
        </w:rPr>
        <w:t>20</w:t>
      </w:r>
      <w:r w:rsidRPr="00804977">
        <w:rPr>
          <w:i/>
          <w:iCs/>
        </w:rPr>
        <w:t>/</w:t>
      </w:r>
      <w:r>
        <w:rPr>
          <w:i/>
          <w:iCs/>
        </w:rPr>
        <w:t>12</w:t>
      </w:r>
      <w:r w:rsidRPr="00804977">
        <w:rPr>
          <w:i/>
          <w:iCs/>
        </w:rPr>
        <w:t>)</w:t>
      </w:r>
    </w:p>
    <w:p w14:paraId="794E731F" w14:textId="77777777" w:rsidR="00CF309D" w:rsidRDefault="00CF309D" w:rsidP="00CF309D">
      <w:pPr>
        <w:pStyle w:val="H1G"/>
      </w:pPr>
      <w:r>
        <w:tab/>
      </w:r>
      <w:r>
        <w:tab/>
        <w:t>Chapter 2.5</w:t>
      </w:r>
    </w:p>
    <w:p w14:paraId="51A35BFB" w14:textId="77777777" w:rsidR="00CF309D" w:rsidRPr="00D23FB7" w:rsidRDefault="00CF309D" w:rsidP="00CF309D">
      <w:pPr>
        <w:pStyle w:val="SingleTxtG"/>
        <w:ind w:left="2268" w:hanging="1134"/>
        <w:rPr>
          <w:lang w:val="en-US"/>
        </w:rPr>
      </w:pPr>
      <w:r w:rsidRPr="00782F2B">
        <w:t>2.</w:t>
      </w:r>
      <w:r>
        <w:t>5.3.2.4</w:t>
      </w:r>
      <w:r>
        <w:tab/>
      </w:r>
      <w:r>
        <w:rPr>
          <w:lang w:val="en-US"/>
        </w:rPr>
        <w:t>In the last sentence, after “The formulations” add “not listed in this provision but”.</w:t>
      </w:r>
    </w:p>
    <w:p w14:paraId="030C7F6F" w14:textId="77777777" w:rsidR="00CF309D" w:rsidRPr="00843762" w:rsidRDefault="00CF309D" w:rsidP="00CF309D">
      <w:pPr>
        <w:pStyle w:val="SingleTxtG"/>
        <w:rPr>
          <w:i/>
          <w:iCs/>
        </w:rPr>
      </w:pPr>
      <w:r w:rsidRPr="00804977">
        <w:rPr>
          <w:i/>
          <w:iCs/>
        </w:rPr>
        <w:t>(Reference document: ST/SG/AC.10/C.3/20</w:t>
      </w:r>
      <w:r>
        <w:rPr>
          <w:i/>
          <w:iCs/>
        </w:rPr>
        <w:t>20</w:t>
      </w:r>
      <w:r w:rsidRPr="00804977">
        <w:rPr>
          <w:i/>
          <w:iCs/>
        </w:rPr>
        <w:t>/</w:t>
      </w:r>
      <w:r>
        <w:rPr>
          <w:i/>
          <w:iCs/>
        </w:rPr>
        <w:t>6</w:t>
      </w:r>
      <w:r w:rsidRPr="00804977">
        <w:rPr>
          <w:i/>
          <w:iCs/>
        </w:rPr>
        <w:t>)</w:t>
      </w:r>
    </w:p>
    <w:p w14:paraId="1181713C" w14:textId="77777777" w:rsidR="00CF309D" w:rsidRDefault="00CF309D" w:rsidP="00CF309D">
      <w:pPr>
        <w:pStyle w:val="SingleTxtG"/>
        <w:ind w:left="2268" w:hanging="1134"/>
        <w:rPr>
          <w:lang w:val="en-US"/>
        </w:rPr>
      </w:pPr>
      <w:r w:rsidRPr="00782F2B">
        <w:t>2.</w:t>
      </w:r>
      <w:r>
        <w:t>5.3.2.4</w:t>
      </w:r>
      <w:r>
        <w:rPr>
          <w:lang w:val="en-US"/>
        </w:rPr>
        <w:tab/>
        <w:t>In the table, add the following new entries in proper 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79"/>
        <w:gridCol w:w="2837"/>
        <w:gridCol w:w="279"/>
        <w:gridCol w:w="360"/>
        <w:gridCol w:w="212"/>
        <w:gridCol w:w="283"/>
        <w:gridCol w:w="424"/>
        <w:gridCol w:w="426"/>
        <w:gridCol w:w="426"/>
        <w:gridCol w:w="426"/>
        <w:gridCol w:w="277"/>
      </w:tblGrid>
      <w:tr w:rsidR="00CF309D" w:rsidRPr="009C3E21" w14:paraId="75302C34" w14:textId="77777777" w:rsidTr="00784F4D">
        <w:trPr>
          <w:trHeight w:val="360"/>
        </w:trPr>
        <w:tc>
          <w:tcPr>
            <w:tcW w:w="1910" w:type="pct"/>
            <w:shd w:val="clear" w:color="auto" w:fill="auto"/>
          </w:tcPr>
          <w:p w14:paraId="2DE1CF36" w14:textId="77777777" w:rsidR="00CF309D" w:rsidRPr="009C3E21" w:rsidRDefault="00CF309D" w:rsidP="00784F4D">
            <w:pPr>
              <w:pStyle w:val="SingleTxtG"/>
              <w:tabs>
                <w:tab w:val="left" w:pos="1269"/>
              </w:tabs>
              <w:ind w:left="0" w:right="0"/>
              <w:jc w:val="left"/>
              <w:rPr>
                <w:sz w:val="16"/>
                <w:szCs w:val="16"/>
                <w:lang w:val="en-US"/>
              </w:rPr>
            </w:pPr>
            <w:r w:rsidRPr="009C3E21">
              <w:rPr>
                <w:rFonts w:hint="eastAsia"/>
                <w:sz w:val="16"/>
                <w:szCs w:val="16"/>
                <w:lang w:eastAsia="ja-JP"/>
              </w:rPr>
              <w:t>tert</w:t>
            </w:r>
            <w:r w:rsidRPr="009C3E21">
              <w:rPr>
                <w:sz w:val="16"/>
                <w:szCs w:val="16"/>
              </w:rPr>
              <w:t>-BUTYLPEROXY ISOPROPYLCARBONATE</w:t>
            </w:r>
          </w:p>
        </w:tc>
        <w:tc>
          <w:tcPr>
            <w:tcW w:w="1473" w:type="pct"/>
            <w:shd w:val="clear" w:color="auto" w:fill="auto"/>
          </w:tcPr>
          <w:p w14:paraId="4AD70EE0" w14:textId="77777777" w:rsidR="00CF309D" w:rsidRPr="009C3E21" w:rsidRDefault="00CF309D" w:rsidP="00784F4D">
            <w:pPr>
              <w:pStyle w:val="SingleTxtG"/>
              <w:ind w:left="0" w:right="7"/>
              <w:jc w:val="center"/>
              <w:rPr>
                <w:sz w:val="16"/>
                <w:szCs w:val="16"/>
                <w:lang w:val="en-US"/>
              </w:rPr>
            </w:pPr>
            <w:r w:rsidRPr="009C3E21">
              <w:rPr>
                <w:sz w:val="16"/>
                <w:szCs w:val="16"/>
              </w:rPr>
              <w:t>≤ 62</w:t>
            </w:r>
          </w:p>
        </w:tc>
        <w:tc>
          <w:tcPr>
            <w:tcW w:w="145" w:type="pct"/>
            <w:shd w:val="clear" w:color="auto" w:fill="auto"/>
          </w:tcPr>
          <w:p w14:paraId="3762936C" w14:textId="77777777" w:rsidR="00CF309D" w:rsidRPr="009C3E21" w:rsidRDefault="00CF309D" w:rsidP="00784F4D">
            <w:pPr>
              <w:pStyle w:val="SingleTxtG"/>
              <w:ind w:left="0" w:right="7"/>
              <w:jc w:val="center"/>
              <w:rPr>
                <w:sz w:val="16"/>
                <w:szCs w:val="16"/>
                <w:lang w:val="en-US"/>
              </w:rPr>
            </w:pPr>
          </w:p>
        </w:tc>
        <w:tc>
          <w:tcPr>
            <w:tcW w:w="187" w:type="pct"/>
            <w:shd w:val="clear" w:color="auto" w:fill="auto"/>
          </w:tcPr>
          <w:p w14:paraId="5BBE6D3A" w14:textId="77777777" w:rsidR="00CF309D" w:rsidRPr="009C3E21" w:rsidRDefault="00CF309D" w:rsidP="00784F4D">
            <w:pPr>
              <w:pStyle w:val="SingleTxtG"/>
              <w:ind w:left="0" w:right="-1639"/>
              <w:jc w:val="left"/>
              <w:rPr>
                <w:sz w:val="16"/>
                <w:szCs w:val="16"/>
                <w:lang w:val="en-US"/>
              </w:rPr>
            </w:pPr>
            <w:r w:rsidRPr="009C3E21">
              <w:rPr>
                <w:sz w:val="16"/>
                <w:szCs w:val="16"/>
              </w:rPr>
              <w:t>≥ 38</w:t>
            </w:r>
          </w:p>
        </w:tc>
        <w:tc>
          <w:tcPr>
            <w:tcW w:w="110" w:type="pct"/>
            <w:shd w:val="clear" w:color="auto" w:fill="auto"/>
          </w:tcPr>
          <w:p w14:paraId="33711F7D" w14:textId="77777777" w:rsidR="00CF309D" w:rsidRPr="009C3E21" w:rsidRDefault="00CF309D" w:rsidP="00784F4D">
            <w:pPr>
              <w:pStyle w:val="SingleTxtG"/>
              <w:ind w:left="0"/>
              <w:jc w:val="left"/>
              <w:rPr>
                <w:sz w:val="16"/>
                <w:szCs w:val="16"/>
                <w:lang w:val="en-US"/>
              </w:rPr>
            </w:pPr>
          </w:p>
        </w:tc>
        <w:tc>
          <w:tcPr>
            <w:tcW w:w="147" w:type="pct"/>
            <w:shd w:val="clear" w:color="auto" w:fill="auto"/>
          </w:tcPr>
          <w:p w14:paraId="15D1DAF3" w14:textId="77777777" w:rsidR="00CF309D" w:rsidRPr="009C3E21" w:rsidRDefault="00CF309D" w:rsidP="00784F4D">
            <w:pPr>
              <w:pStyle w:val="SingleTxtG"/>
              <w:ind w:left="0" w:right="7"/>
              <w:jc w:val="center"/>
              <w:rPr>
                <w:sz w:val="16"/>
                <w:szCs w:val="16"/>
                <w:lang w:val="en-US"/>
              </w:rPr>
            </w:pPr>
          </w:p>
        </w:tc>
        <w:tc>
          <w:tcPr>
            <w:tcW w:w="220" w:type="pct"/>
            <w:vAlign w:val="center"/>
          </w:tcPr>
          <w:p w14:paraId="2EC95C44" w14:textId="77777777" w:rsidR="00CF309D" w:rsidRPr="009C3E21" w:rsidRDefault="00CF309D" w:rsidP="00784F4D">
            <w:pPr>
              <w:pStyle w:val="SingleTxtG"/>
              <w:ind w:left="0" w:right="7"/>
              <w:jc w:val="center"/>
              <w:rPr>
                <w:sz w:val="16"/>
                <w:szCs w:val="16"/>
                <w:lang w:val="en-US"/>
              </w:rPr>
            </w:pPr>
            <w:r w:rsidRPr="009C3E21">
              <w:rPr>
                <w:sz w:val="16"/>
                <w:szCs w:val="16"/>
              </w:rPr>
              <w:t>OP7</w:t>
            </w:r>
          </w:p>
        </w:tc>
        <w:tc>
          <w:tcPr>
            <w:tcW w:w="221" w:type="pct"/>
            <w:vAlign w:val="center"/>
          </w:tcPr>
          <w:p w14:paraId="7DE57B2F" w14:textId="77777777" w:rsidR="00CF309D" w:rsidRPr="009C3E21" w:rsidRDefault="00CF309D" w:rsidP="00784F4D">
            <w:pPr>
              <w:pStyle w:val="SingleTxtG"/>
              <w:ind w:left="0" w:right="7"/>
              <w:jc w:val="center"/>
              <w:rPr>
                <w:sz w:val="16"/>
                <w:szCs w:val="16"/>
                <w:lang w:val="en-US"/>
              </w:rPr>
            </w:pPr>
          </w:p>
        </w:tc>
        <w:tc>
          <w:tcPr>
            <w:tcW w:w="221" w:type="pct"/>
            <w:vAlign w:val="center"/>
          </w:tcPr>
          <w:p w14:paraId="67B3BC26" w14:textId="77777777" w:rsidR="00CF309D" w:rsidRPr="009C3E21" w:rsidRDefault="00CF309D" w:rsidP="00784F4D">
            <w:pPr>
              <w:pStyle w:val="SingleTxtG"/>
              <w:ind w:left="0" w:right="7"/>
              <w:jc w:val="center"/>
              <w:rPr>
                <w:sz w:val="16"/>
                <w:szCs w:val="16"/>
                <w:lang w:val="en-US"/>
              </w:rPr>
            </w:pPr>
          </w:p>
        </w:tc>
        <w:tc>
          <w:tcPr>
            <w:tcW w:w="221" w:type="pct"/>
            <w:vAlign w:val="center"/>
          </w:tcPr>
          <w:p w14:paraId="7545E43B" w14:textId="77777777" w:rsidR="00CF309D" w:rsidRPr="009C3E21" w:rsidRDefault="00CF309D" w:rsidP="00784F4D">
            <w:pPr>
              <w:pStyle w:val="SingleTxtG"/>
              <w:ind w:left="0" w:right="7"/>
              <w:jc w:val="center"/>
              <w:rPr>
                <w:sz w:val="16"/>
                <w:szCs w:val="16"/>
                <w:lang w:val="en-US"/>
              </w:rPr>
            </w:pPr>
            <w:r w:rsidRPr="009C3E21">
              <w:rPr>
                <w:sz w:val="16"/>
                <w:szCs w:val="16"/>
              </w:rPr>
              <w:t>3105</w:t>
            </w:r>
          </w:p>
        </w:tc>
        <w:tc>
          <w:tcPr>
            <w:tcW w:w="144" w:type="pct"/>
            <w:shd w:val="clear" w:color="auto" w:fill="auto"/>
          </w:tcPr>
          <w:p w14:paraId="155190E4" w14:textId="77777777" w:rsidR="00CF309D" w:rsidRPr="009C3E21" w:rsidRDefault="00CF309D" w:rsidP="00784F4D">
            <w:pPr>
              <w:pStyle w:val="SingleTxtG"/>
              <w:ind w:left="0" w:right="7"/>
              <w:jc w:val="center"/>
              <w:rPr>
                <w:sz w:val="16"/>
                <w:szCs w:val="16"/>
                <w:lang w:val="en-US"/>
              </w:rPr>
            </w:pPr>
          </w:p>
        </w:tc>
      </w:tr>
      <w:tr w:rsidR="00CF309D" w:rsidRPr="009C3E21" w14:paraId="7B5D85E2" w14:textId="77777777" w:rsidTr="00784F4D">
        <w:trPr>
          <w:trHeight w:val="360"/>
        </w:trPr>
        <w:tc>
          <w:tcPr>
            <w:tcW w:w="1910" w:type="pct"/>
            <w:shd w:val="clear" w:color="auto" w:fill="auto"/>
            <w:vAlign w:val="center"/>
          </w:tcPr>
          <w:p w14:paraId="541CBBA1" w14:textId="77777777" w:rsidR="00CF309D" w:rsidRPr="009C3E21" w:rsidRDefault="00CF309D" w:rsidP="00784F4D">
            <w:pPr>
              <w:pStyle w:val="SingleTxtG"/>
              <w:tabs>
                <w:tab w:val="left" w:pos="1269"/>
              </w:tabs>
              <w:ind w:left="0" w:right="0"/>
              <w:jc w:val="left"/>
              <w:rPr>
                <w:sz w:val="16"/>
                <w:szCs w:val="16"/>
                <w:lang w:eastAsia="ja-JP"/>
              </w:rPr>
            </w:pPr>
            <w:r w:rsidRPr="009C3E21">
              <w:rPr>
                <w:rFonts w:hint="eastAsia"/>
                <w:sz w:val="16"/>
                <w:szCs w:val="16"/>
                <w:lang w:eastAsia="ja-JP"/>
              </w:rPr>
              <w:t>tert</w:t>
            </w:r>
            <w:r w:rsidRPr="009C3E21">
              <w:rPr>
                <w:sz w:val="16"/>
                <w:szCs w:val="16"/>
              </w:rPr>
              <w:t>-HEXYL PEROXYPIVALATE</w:t>
            </w:r>
          </w:p>
        </w:tc>
        <w:tc>
          <w:tcPr>
            <w:tcW w:w="1473" w:type="pct"/>
            <w:shd w:val="clear" w:color="auto" w:fill="auto"/>
            <w:vAlign w:val="center"/>
          </w:tcPr>
          <w:p w14:paraId="6D56E953" w14:textId="77777777" w:rsidR="00CF309D" w:rsidRPr="009C3E21" w:rsidRDefault="00CF309D" w:rsidP="00784F4D">
            <w:pPr>
              <w:pStyle w:val="SingleTxtG"/>
              <w:ind w:left="0" w:right="7"/>
              <w:jc w:val="center"/>
              <w:rPr>
                <w:sz w:val="16"/>
                <w:szCs w:val="16"/>
              </w:rPr>
            </w:pPr>
            <w:r w:rsidRPr="009C3E21">
              <w:rPr>
                <w:sz w:val="16"/>
                <w:szCs w:val="16"/>
              </w:rPr>
              <w:t>≤ 52 as a stable dispersion in water</w:t>
            </w:r>
          </w:p>
        </w:tc>
        <w:tc>
          <w:tcPr>
            <w:tcW w:w="145" w:type="pct"/>
            <w:shd w:val="clear" w:color="auto" w:fill="auto"/>
            <w:vAlign w:val="center"/>
          </w:tcPr>
          <w:p w14:paraId="3A420D30" w14:textId="77777777" w:rsidR="00CF309D" w:rsidRPr="009C3E21" w:rsidRDefault="00CF309D" w:rsidP="00784F4D">
            <w:pPr>
              <w:pStyle w:val="SingleTxtG"/>
              <w:ind w:left="0" w:right="7"/>
              <w:jc w:val="center"/>
              <w:rPr>
                <w:sz w:val="16"/>
                <w:szCs w:val="16"/>
                <w:lang w:val="en-US"/>
              </w:rPr>
            </w:pPr>
          </w:p>
        </w:tc>
        <w:tc>
          <w:tcPr>
            <w:tcW w:w="187" w:type="pct"/>
            <w:shd w:val="clear" w:color="auto" w:fill="auto"/>
            <w:vAlign w:val="center"/>
          </w:tcPr>
          <w:p w14:paraId="1300C3FB" w14:textId="77777777" w:rsidR="00CF309D" w:rsidRPr="009C3E21" w:rsidRDefault="00CF309D" w:rsidP="00784F4D">
            <w:pPr>
              <w:pStyle w:val="SingleTxtG"/>
              <w:ind w:left="0" w:right="-1639"/>
              <w:jc w:val="left"/>
              <w:rPr>
                <w:sz w:val="16"/>
                <w:szCs w:val="16"/>
              </w:rPr>
            </w:pPr>
          </w:p>
        </w:tc>
        <w:tc>
          <w:tcPr>
            <w:tcW w:w="110" w:type="pct"/>
            <w:shd w:val="clear" w:color="auto" w:fill="auto"/>
            <w:vAlign w:val="center"/>
          </w:tcPr>
          <w:p w14:paraId="1F6B29FC" w14:textId="77777777" w:rsidR="00CF309D" w:rsidRPr="009C3E21" w:rsidRDefault="00CF309D" w:rsidP="00784F4D">
            <w:pPr>
              <w:pStyle w:val="SingleTxtG"/>
              <w:ind w:left="0"/>
              <w:jc w:val="left"/>
              <w:rPr>
                <w:sz w:val="16"/>
                <w:szCs w:val="16"/>
                <w:lang w:val="en-US"/>
              </w:rPr>
            </w:pPr>
          </w:p>
        </w:tc>
        <w:tc>
          <w:tcPr>
            <w:tcW w:w="147" w:type="pct"/>
            <w:shd w:val="clear" w:color="auto" w:fill="auto"/>
            <w:vAlign w:val="center"/>
          </w:tcPr>
          <w:p w14:paraId="6D366C0E" w14:textId="77777777" w:rsidR="00CF309D" w:rsidRPr="009C3E21" w:rsidRDefault="00CF309D" w:rsidP="00784F4D">
            <w:pPr>
              <w:pStyle w:val="SingleTxtG"/>
              <w:ind w:left="0" w:right="7"/>
              <w:jc w:val="center"/>
              <w:rPr>
                <w:sz w:val="16"/>
                <w:szCs w:val="16"/>
                <w:lang w:val="en-US"/>
              </w:rPr>
            </w:pPr>
          </w:p>
        </w:tc>
        <w:tc>
          <w:tcPr>
            <w:tcW w:w="220" w:type="pct"/>
            <w:vAlign w:val="center"/>
          </w:tcPr>
          <w:p w14:paraId="5BDC482D" w14:textId="77777777" w:rsidR="00CF309D" w:rsidRPr="009C3E21" w:rsidRDefault="00CF309D" w:rsidP="00784F4D">
            <w:pPr>
              <w:pStyle w:val="SingleTxtG"/>
              <w:ind w:left="0" w:right="7"/>
              <w:jc w:val="center"/>
              <w:rPr>
                <w:sz w:val="16"/>
                <w:szCs w:val="16"/>
              </w:rPr>
            </w:pPr>
            <w:r w:rsidRPr="009C3E21">
              <w:rPr>
                <w:sz w:val="16"/>
                <w:szCs w:val="16"/>
              </w:rPr>
              <w:t>OP8</w:t>
            </w:r>
          </w:p>
        </w:tc>
        <w:tc>
          <w:tcPr>
            <w:tcW w:w="221" w:type="pct"/>
            <w:vAlign w:val="center"/>
          </w:tcPr>
          <w:p w14:paraId="2CC9C030" w14:textId="77777777" w:rsidR="00CF309D" w:rsidRPr="009C3E21" w:rsidRDefault="00CF309D" w:rsidP="00784F4D">
            <w:pPr>
              <w:pStyle w:val="SingleTxtG"/>
              <w:ind w:left="0" w:right="7"/>
              <w:jc w:val="center"/>
              <w:rPr>
                <w:sz w:val="16"/>
                <w:szCs w:val="16"/>
                <w:lang w:val="en-US"/>
              </w:rPr>
            </w:pPr>
            <w:r w:rsidRPr="009C3E21">
              <w:rPr>
                <w:sz w:val="16"/>
                <w:szCs w:val="16"/>
              </w:rPr>
              <w:t>+15</w:t>
            </w:r>
          </w:p>
        </w:tc>
        <w:tc>
          <w:tcPr>
            <w:tcW w:w="221" w:type="pct"/>
            <w:vAlign w:val="center"/>
          </w:tcPr>
          <w:p w14:paraId="52DEC31C" w14:textId="77777777" w:rsidR="00CF309D" w:rsidRPr="009C3E21" w:rsidRDefault="00CF309D" w:rsidP="00784F4D">
            <w:pPr>
              <w:pStyle w:val="SingleTxtG"/>
              <w:ind w:left="0" w:right="7"/>
              <w:jc w:val="center"/>
              <w:rPr>
                <w:sz w:val="16"/>
                <w:szCs w:val="16"/>
                <w:lang w:val="en-US"/>
              </w:rPr>
            </w:pPr>
            <w:r w:rsidRPr="009C3E21">
              <w:rPr>
                <w:sz w:val="16"/>
                <w:szCs w:val="16"/>
              </w:rPr>
              <w:t>+20</w:t>
            </w:r>
          </w:p>
        </w:tc>
        <w:tc>
          <w:tcPr>
            <w:tcW w:w="221" w:type="pct"/>
            <w:vAlign w:val="center"/>
          </w:tcPr>
          <w:p w14:paraId="46EFE290" w14:textId="77777777" w:rsidR="00CF309D" w:rsidRPr="009C3E21" w:rsidRDefault="00CF309D" w:rsidP="00784F4D">
            <w:pPr>
              <w:pStyle w:val="SingleTxtG"/>
              <w:ind w:left="0" w:right="7"/>
              <w:jc w:val="center"/>
              <w:rPr>
                <w:sz w:val="16"/>
                <w:szCs w:val="16"/>
              </w:rPr>
            </w:pPr>
            <w:r w:rsidRPr="009C3E21">
              <w:rPr>
                <w:sz w:val="16"/>
                <w:szCs w:val="16"/>
              </w:rPr>
              <w:t>3117</w:t>
            </w:r>
          </w:p>
        </w:tc>
        <w:tc>
          <w:tcPr>
            <w:tcW w:w="144" w:type="pct"/>
            <w:shd w:val="clear" w:color="auto" w:fill="auto"/>
          </w:tcPr>
          <w:p w14:paraId="7BD37C89" w14:textId="77777777" w:rsidR="00CF309D" w:rsidRPr="009C3E21" w:rsidRDefault="00CF309D" w:rsidP="00784F4D">
            <w:pPr>
              <w:pStyle w:val="SingleTxtG"/>
              <w:ind w:left="0" w:right="7"/>
              <w:jc w:val="center"/>
              <w:rPr>
                <w:sz w:val="16"/>
                <w:szCs w:val="16"/>
                <w:lang w:val="en-US"/>
              </w:rPr>
            </w:pPr>
          </w:p>
        </w:tc>
      </w:tr>
    </w:tbl>
    <w:p w14:paraId="4DE62184" w14:textId="77777777" w:rsidR="00CF309D" w:rsidRDefault="00CF309D" w:rsidP="00CF309D">
      <w:pPr>
        <w:pStyle w:val="SingleTxtG"/>
        <w:spacing w:before="120"/>
        <w:rPr>
          <w:i/>
          <w:iCs/>
        </w:rPr>
      </w:pPr>
      <w:r w:rsidRPr="00804977">
        <w:rPr>
          <w:i/>
          <w:iCs/>
        </w:rPr>
        <w:t>(Reference document: ST/SG/AC.10/C.3/20</w:t>
      </w:r>
      <w:r>
        <w:rPr>
          <w:i/>
          <w:iCs/>
        </w:rPr>
        <w:t>20</w:t>
      </w:r>
      <w:r w:rsidRPr="00804977">
        <w:rPr>
          <w:i/>
          <w:iCs/>
        </w:rPr>
        <w:t>/</w:t>
      </w:r>
      <w:r>
        <w:rPr>
          <w:i/>
          <w:iCs/>
        </w:rPr>
        <w:t>14</w:t>
      </w:r>
      <w:r w:rsidRPr="00804977">
        <w:rPr>
          <w:i/>
          <w:iCs/>
        </w:rPr>
        <w:t>)</w:t>
      </w:r>
    </w:p>
    <w:p w14:paraId="10A0ACE2" w14:textId="77777777" w:rsidR="00CF309D" w:rsidRDefault="00CF309D" w:rsidP="00CF309D">
      <w:pPr>
        <w:pStyle w:val="H1G"/>
      </w:pPr>
      <w:r>
        <w:tab/>
      </w:r>
      <w:r>
        <w:tab/>
        <w:t>Chapter 2.6</w:t>
      </w:r>
    </w:p>
    <w:p w14:paraId="7F150B1A" w14:textId="77777777" w:rsidR="00CF309D" w:rsidRPr="009541AC" w:rsidRDefault="00CF309D" w:rsidP="00CF309D">
      <w:pPr>
        <w:pStyle w:val="SingleTxtG"/>
        <w:ind w:left="2268" w:hanging="1134"/>
      </w:pPr>
      <w:r>
        <w:t xml:space="preserve">In Note 2 under the title of the Chapter, </w:t>
      </w:r>
      <w:r>
        <w:rPr>
          <w:lang w:val="en-US"/>
        </w:rPr>
        <w:t>at the end, add “or UN 3462”</w:t>
      </w:r>
      <w:r>
        <w:t>.</w:t>
      </w:r>
    </w:p>
    <w:p w14:paraId="6557DCB4" w14:textId="77777777" w:rsidR="00CF309D" w:rsidRPr="00843762" w:rsidRDefault="00CF309D" w:rsidP="00CF309D">
      <w:pPr>
        <w:pStyle w:val="SingleTxtG"/>
        <w:rPr>
          <w:i/>
          <w:iCs/>
        </w:rPr>
      </w:pPr>
      <w:r w:rsidRPr="00804977">
        <w:rPr>
          <w:i/>
          <w:iCs/>
        </w:rPr>
        <w:t>(Reference document: ST/SG/AC.10/C.3/20</w:t>
      </w:r>
      <w:r>
        <w:rPr>
          <w:i/>
          <w:iCs/>
        </w:rPr>
        <w:t>20</w:t>
      </w:r>
      <w:r w:rsidRPr="00804977">
        <w:rPr>
          <w:i/>
          <w:iCs/>
        </w:rPr>
        <w:t>/</w:t>
      </w:r>
      <w:r>
        <w:rPr>
          <w:i/>
          <w:iCs/>
        </w:rPr>
        <w:t>31</w:t>
      </w:r>
      <w:r w:rsidRPr="00804977">
        <w:rPr>
          <w:i/>
          <w:iCs/>
        </w:rPr>
        <w:t>)</w:t>
      </w:r>
    </w:p>
    <w:p w14:paraId="76BAD3C2" w14:textId="77777777" w:rsidR="00CF309D" w:rsidRPr="00007C2E" w:rsidRDefault="00CF309D" w:rsidP="00CF309D">
      <w:pPr>
        <w:pStyle w:val="H1G"/>
      </w:pPr>
      <w:r w:rsidRPr="00007C2E">
        <w:tab/>
      </w:r>
      <w:r w:rsidRPr="00007C2E">
        <w:tab/>
        <w:t xml:space="preserve">Chapter </w:t>
      </w:r>
      <w:r>
        <w:t>2.7</w:t>
      </w:r>
    </w:p>
    <w:p w14:paraId="785AA8AB" w14:textId="77777777" w:rsidR="00CF309D" w:rsidRPr="00A1094E" w:rsidRDefault="00CF309D" w:rsidP="00CF309D">
      <w:pPr>
        <w:pStyle w:val="SingleTxtG"/>
        <w:rPr>
          <w:lang w:val="en-US"/>
        </w:rPr>
      </w:pPr>
      <w:r w:rsidRPr="00A1094E">
        <w:rPr>
          <w:lang w:val="en-US"/>
        </w:rPr>
        <w:t>2.7.2.3.1.4</w:t>
      </w:r>
      <w:r>
        <w:t xml:space="preserve"> </w:t>
      </w:r>
      <w:r>
        <w:tab/>
        <w:t>Delete and add “</w:t>
      </w:r>
      <w:r w:rsidRPr="00A1094E">
        <w:rPr>
          <w:lang w:val="en-US"/>
        </w:rPr>
        <w:t>2.7.2.3.1.4</w:t>
      </w:r>
      <w:r w:rsidRPr="00A1094E">
        <w:rPr>
          <w:lang w:val="en-US"/>
        </w:rPr>
        <w:tab/>
      </w:r>
      <w:r w:rsidRPr="00C90D82">
        <w:rPr>
          <w:i/>
          <w:iCs/>
          <w:lang w:val="en-US"/>
        </w:rPr>
        <w:t>Deleted</w:t>
      </w:r>
      <w:r w:rsidRPr="00A1094E">
        <w:rPr>
          <w:lang w:val="en-US"/>
        </w:rPr>
        <w:t>.</w:t>
      </w:r>
      <w:r>
        <w:rPr>
          <w:lang w:val="en-US"/>
        </w:rPr>
        <w:t>”.</w:t>
      </w:r>
    </w:p>
    <w:p w14:paraId="4905973D" w14:textId="77777777" w:rsidR="00CF309D" w:rsidRPr="00007C2E" w:rsidRDefault="00CF309D" w:rsidP="00CF309D">
      <w:pPr>
        <w:pStyle w:val="SingleTxtG"/>
        <w:rPr>
          <w:i/>
          <w:iCs/>
        </w:rPr>
      </w:pPr>
      <w:bookmarkStart w:id="2" w:name="_Hlk58184598"/>
      <w:r w:rsidRPr="00007C2E">
        <w:rPr>
          <w:i/>
          <w:iCs/>
        </w:rPr>
        <w:t xml:space="preserve">(Reference document: </w:t>
      </w:r>
      <w:r>
        <w:rPr>
          <w:i/>
          <w:iCs/>
        </w:rPr>
        <w:t>informal document INF.</w:t>
      </w:r>
      <w:r>
        <w:rPr>
          <w:i/>
          <w:iCs/>
          <w:lang w:val="en-US"/>
        </w:rPr>
        <w:t>30</w:t>
      </w:r>
      <w:r w:rsidRPr="00007C2E">
        <w:rPr>
          <w:i/>
          <w:iCs/>
        </w:rPr>
        <w:t>)</w:t>
      </w:r>
    </w:p>
    <w:bookmarkEnd w:id="2"/>
    <w:p w14:paraId="7687E762" w14:textId="77777777" w:rsidR="00CF309D" w:rsidRDefault="00CF309D" w:rsidP="00CF309D">
      <w:pPr>
        <w:pStyle w:val="SingleTxtG"/>
        <w:rPr>
          <w:lang w:val="en-US"/>
        </w:rPr>
      </w:pPr>
      <w:r w:rsidRPr="00C90D82">
        <w:rPr>
          <w:lang w:val="en-US"/>
        </w:rPr>
        <w:t>2.7.2.3.1.5</w:t>
      </w:r>
      <w:r>
        <w:rPr>
          <w:lang w:val="en-US"/>
        </w:rPr>
        <w:tab/>
        <w:t>Delete and add “</w:t>
      </w:r>
      <w:r w:rsidRPr="00C90D82">
        <w:rPr>
          <w:lang w:val="en-US"/>
        </w:rPr>
        <w:t>2.7.2.3.1.5</w:t>
      </w:r>
      <w:r w:rsidRPr="00C90D82">
        <w:rPr>
          <w:lang w:val="en-US"/>
        </w:rPr>
        <w:tab/>
      </w:r>
      <w:r w:rsidRPr="00C90D82">
        <w:rPr>
          <w:i/>
          <w:iCs/>
          <w:lang w:val="en-US"/>
        </w:rPr>
        <w:t>Deleted</w:t>
      </w:r>
      <w:r w:rsidRPr="00C90D82">
        <w:rPr>
          <w:lang w:val="en-US"/>
        </w:rPr>
        <w:t>.</w:t>
      </w:r>
      <w:r>
        <w:rPr>
          <w:lang w:val="en-US"/>
        </w:rPr>
        <w:t>”.</w:t>
      </w:r>
    </w:p>
    <w:p w14:paraId="56C48DD7" w14:textId="77777777" w:rsidR="00CF309D" w:rsidRPr="00007C2E" w:rsidRDefault="00CF309D" w:rsidP="00CF309D">
      <w:pPr>
        <w:pStyle w:val="SingleTxtG"/>
        <w:rPr>
          <w:i/>
          <w:iCs/>
        </w:rPr>
      </w:pPr>
      <w:r w:rsidRPr="00007C2E">
        <w:rPr>
          <w:i/>
          <w:iCs/>
        </w:rPr>
        <w:t xml:space="preserve">(Reference document: </w:t>
      </w:r>
      <w:r>
        <w:rPr>
          <w:i/>
          <w:iCs/>
        </w:rPr>
        <w:t>informal document INF.</w:t>
      </w:r>
      <w:r>
        <w:rPr>
          <w:i/>
          <w:iCs/>
          <w:lang w:val="en-US"/>
        </w:rPr>
        <w:t>30</w:t>
      </w:r>
      <w:r w:rsidRPr="00007C2E">
        <w:rPr>
          <w:i/>
          <w:iCs/>
        </w:rPr>
        <w:t>)</w:t>
      </w:r>
    </w:p>
    <w:p w14:paraId="4D825908" w14:textId="77777777" w:rsidR="00CF309D" w:rsidRDefault="00CF309D" w:rsidP="00CF309D">
      <w:pPr>
        <w:pStyle w:val="SingleTxtG"/>
        <w:rPr>
          <w:lang w:val="en-US"/>
        </w:rPr>
      </w:pPr>
      <w:r>
        <w:rPr>
          <w:lang w:val="en-US"/>
        </w:rPr>
        <w:t>2.7.2.3.4</w:t>
      </w:r>
      <w:r>
        <w:rPr>
          <w:lang w:val="en-US"/>
        </w:rPr>
        <w:tab/>
        <w:t>Amend to read “</w:t>
      </w:r>
      <w:r w:rsidRPr="00B12B62">
        <w:rPr>
          <w:i/>
          <w:iCs/>
          <w:lang w:val="en-US"/>
        </w:rPr>
        <w:t>Low dispersible radioactive material</w:t>
      </w:r>
      <w:r>
        <w:rPr>
          <w:lang w:val="en-US"/>
        </w:rPr>
        <w:t>”.</w:t>
      </w:r>
    </w:p>
    <w:p w14:paraId="1C9E5F46" w14:textId="77777777" w:rsidR="00CF309D" w:rsidRPr="00007C2E" w:rsidRDefault="00CF309D" w:rsidP="00CF309D">
      <w:pPr>
        <w:pStyle w:val="SingleTxtG"/>
        <w:rPr>
          <w:i/>
          <w:iCs/>
        </w:rPr>
      </w:pPr>
      <w:r w:rsidRPr="00007C2E">
        <w:rPr>
          <w:i/>
          <w:iCs/>
        </w:rPr>
        <w:t xml:space="preserve">(Reference document: </w:t>
      </w:r>
      <w:r>
        <w:rPr>
          <w:i/>
          <w:iCs/>
        </w:rPr>
        <w:t>informal document INF.</w:t>
      </w:r>
      <w:r>
        <w:rPr>
          <w:i/>
          <w:iCs/>
          <w:lang w:val="en-US"/>
        </w:rPr>
        <w:t>30</w:t>
      </w:r>
      <w:r w:rsidRPr="00007C2E">
        <w:rPr>
          <w:i/>
          <w:iCs/>
        </w:rPr>
        <w:t>)</w:t>
      </w:r>
    </w:p>
    <w:p w14:paraId="02B9D255" w14:textId="77777777" w:rsidR="00CF309D" w:rsidRPr="00C90D82" w:rsidRDefault="00CF309D" w:rsidP="00CF309D">
      <w:pPr>
        <w:pStyle w:val="SingleTxtG"/>
      </w:pPr>
      <w:r>
        <w:rPr>
          <w:lang w:val="en-US"/>
        </w:rPr>
        <w:t>2.7.2.3.4.1 (c)</w:t>
      </w:r>
      <w:r>
        <w:rPr>
          <w:lang w:val="en-US"/>
        </w:rPr>
        <w:tab/>
      </w:r>
      <w:r>
        <w:rPr>
          <w:lang w:val="en-US"/>
        </w:rPr>
        <w:tab/>
        <w:t>In the first sentence, replace “2.7.2.3.1.4” by</w:t>
      </w:r>
      <w:r w:rsidRPr="00C90D82">
        <w:t xml:space="preserve"> </w:t>
      </w:r>
      <w:r>
        <w:t>“</w:t>
      </w:r>
      <w:r w:rsidRPr="00C90D82">
        <w:t>2.7.2.3.4.3</w:t>
      </w:r>
      <w:r>
        <w:t>”.</w:t>
      </w:r>
    </w:p>
    <w:p w14:paraId="2DC6A873" w14:textId="77777777" w:rsidR="00CF309D" w:rsidRPr="00007C2E" w:rsidRDefault="00CF309D" w:rsidP="00CF309D">
      <w:pPr>
        <w:pStyle w:val="SingleTxtG"/>
        <w:rPr>
          <w:i/>
          <w:iCs/>
        </w:rPr>
      </w:pPr>
      <w:r w:rsidRPr="00007C2E">
        <w:rPr>
          <w:i/>
          <w:iCs/>
        </w:rPr>
        <w:t xml:space="preserve">(Reference document: </w:t>
      </w:r>
      <w:r>
        <w:rPr>
          <w:i/>
          <w:iCs/>
        </w:rPr>
        <w:t>informal document INF.</w:t>
      </w:r>
      <w:r>
        <w:rPr>
          <w:i/>
          <w:iCs/>
          <w:lang w:val="en-US"/>
        </w:rPr>
        <w:t>30</w:t>
      </w:r>
      <w:r w:rsidRPr="00007C2E">
        <w:rPr>
          <w:i/>
          <w:iCs/>
        </w:rPr>
        <w:t>)</w:t>
      </w:r>
    </w:p>
    <w:p w14:paraId="393905A4" w14:textId="77777777" w:rsidR="00CF309D" w:rsidRDefault="00CF309D" w:rsidP="00CF309D">
      <w:pPr>
        <w:pStyle w:val="SingleTxtG"/>
        <w:rPr>
          <w:lang w:val="en-US"/>
        </w:rPr>
      </w:pPr>
      <w:r>
        <w:rPr>
          <w:lang w:val="en-US"/>
        </w:rPr>
        <w:t>2.7.2.3.4.3</w:t>
      </w:r>
      <w:r>
        <w:rPr>
          <w:lang w:val="en-US"/>
        </w:rPr>
        <w:tab/>
        <w:t>Insert a new paragraph 2.7.2.3.4.3 to read as follows:</w:t>
      </w:r>
    </w:p>
    <w:p w14:paraId="5B9A4875" w14:textId="77777777" w:rsidR="00CF309D" w:rsidRPr="00C9676E" w:rsidRDefault="00CF309D" w:rsidP="00CF309D">
      <w:pPr>
        <w:pStyle w:val="SingleTxtG"/>
        <w:rPr>
          <w:lang w:val="en-US"/>
        </w:rPr>
      </w:pPr>
      <w:r>
        <w:rPr>
          <w:lang w:val="en-US"/>
        </w:rPr>
        <w:t>“</w:t>
      </w:r>
      <w:r w:rsidRPr="00C90D82">
        <w:t>2.7.2.3.4.3</w:t>
      </w:r>
      <w:r w:rsidRPr="00C90D82">
        <w:tab/>
      </w:r>
      <w:r w:rsidRPr="00C90D82">
        <w:rPr>
          <w:lang w:val="en-US"/>
        </w:rPr>
        <w:t>A solid material sample representing the entire contents of the package shall be immersed for 7 days in water at ambient temperature. The volume of water to be used in the test shall be sufficient to ensure that at the end of the 7</w:t>
      </w:r>
      <w:r>
        <w:rPr>
          <w:lang w:val="en-US"/>
        </w:rPr>
        <w:t>-</w:t>
      </w:r>
      <w:r w:rsidRPr="00C90D82">
        <w:rPr>
          <w:lang w:val="en-US"/>
        </w:rPr>
        <w:t>day test period the free volume of the unabsorbed and unreacted water remaining shall be at least 10</w:t>
      </w:r>
      <w:r>
        <w:rPr>
          <w:lang w:val="en-US"/>
        </w:rPr>
        <w:t> </w:t>
      </w:r>
      <w:r w:rsidRPr="00C90D82">
        <w:rPr>
          <w:lang w:val="en-US"/>
        </w:rPr>
        <w:t>% of the volume of the solid test sample itself. The water shall have an initial pH of 6-8 and a maximum conductivity of 1 mS/m at 20 °C. The total activity of the free volume of water shall be measured following the 7</w:t>
      </w:r>
      <w:r>
        <w:rPr>
          <w:lang w:val="en-US"/>
        </w:rPr>
        <w:t>-</w:t>
      </w:r>
      <w:r w:rsidRPr="00C90D82">
        <w:rPr>
          <w:lang w:val="en-US"/>
        </w:rPr>
        <w:t xml:space="preserve">day immersion </w:t>
      </w:r>
      <w:r w:rsidRPr="00C9676E">
        <w:rPr>
          <w:lang w:val="en-US"/>
        </w:rPr>
        <w:t>of the test sample.”</w:t>
      </w:r>
    </w:p>
    <w:p w14:paraId="48DA8F37" w14:textId="77777777" w:rsidR="00CF309D" w:rsidRPr="00C9676E" w:rsidRDefault="00CF309D" w:rsidP="00CF309D">
      <w:pPr>
        <w:pStyle w:val="SingleTxtG"/>
        <w:ind w:left="2268"/>
      </w:pPr>
      <w:r w:rsidRPr="00C9676E">
        <w:rPr>
          <w:lang w:val="en-US"/>
        </w:rPr>
        <w:t>Renumber current paragraph 2.7.2.3.4.3 to 2.7.2.3.4.4 and replace “2.7.2.3.4.1 and 2.7.2.3.4.2” by “</w:t>
      </w:r>
      <w:r w:rsidRPr="00C9676E">
        <w:t>2.7.2.3.4.1, 2.7.2.3.4.2 and 2.7.2.3.4.3”.</w:t>
      </w:r>
    </w:p>
    <w:p w14:paraId="03B4FB3D" w14:textId="77777777" w:rsidR="00CF309D" w:rsidRPr="00007C2E" w:rsidRDefault="00CF309D" w:rsidP="00CF309D">
      <w:pPr>
        <w:pStyle w:val="SingleTxtG"/>
        <w:rPr>
          <w:i/>
          <w:iCs/>
        </w:rPr>
      </w:pPr>
      <w:r w:rsidRPr="00007C2E">
        <w:rPr>
          <w:i/>
          <w:iCs/>
        </w:rPr>
        <w:t xml:space="preserve">(Reference document: </w:t>
      </w:r>
      <w:r>
        <w:rPr>
          <w:i/>
          <w:iCs/>
        </w:rPr>
        <w:t>informal document INF.</w:t>
      </w:r>
      <w:r>
        <w:rPr>
          <w:i/>
          <w:iCs/>
          <w:lang w:val="en-US"/>
        </w:rPr>
        <w:t xml:space="preserve">30 and § 703 of the 2018 edition of </w:t>
      </w:r>
      <w:r w:rsidRPr="000F7497">
        <w:rPr>
          <w:i/>
          <w:iCs/>
          <w:lang w:val="en-US"/>
        </w:rPr>
        <w:t>the IAEA Regulations for the Safe Transport of Radioactive Material</w:t>
      </w:r>
      <w:r w:rsidRPr="00007C2E">
        <w:rPr>
          <w:i/>
          <w:iCs/>
        </w:rPr>
        <w:t>)</w:t>
      </w:r>
    </w:p>
    <w:p w14:paraId="511706DC" w14:textId="77777777" w:rsidR="00CF309D" w:rsidRPr="00A20118" w:rsidRDefault="00CF309D" w:rsidP="00CF309D">
      <w:pPr>
        <w:pStyle w:val="H1G"/>
      </w:pPr>
      <w:r w:rsidRPr="00A20118">
        <w:lastRenderedPageBreak/>
        <w:tab/>
      </w:r>
      <w:r w:rsidRPr="00A20118">
        <w:tab/>
        <w:t>Chapter 2.9</w:t>
      </w:r>
    </w:p>
    <w:p w14:paraId="7B6F0C7F" w14:textId="77777777" w:rsidR="00CF309D" w:rsidRDefault="00CF309D" w:rsidP="00CF309D">
      <w:pPr>
        <w:pStyle w:val="SingleTxtG"/>
        <w:ind w:left="2268" w:hanging="1134"/>
      </w:pPr>
      <w:r>
        <w:t>2.9.3.4.3.4 (a)</w:t>
      </w:r>
      <w:r>
        <w:tab/>
      </w:r>
      <w:r>
        <w:tab/>
      </w:r>
      <w:r w:rsidRPr="00915159">
        <w:tab/>
      </w:r>
      <w:r>
        <w:t>After (i), add a new note to read as follows:</w:t>
      </w:r>
    </w:p>
    <w:p w14:paraId="6E3F5786" w14:textId="77777777" w:rsidR="00CF309D" w:rsidRDefault="00CF309D" w:rsidP="00CF309D">
      <w:pPr>
        <w:pStyle w:val="SingleTxtG"/>
      </w:pPr>
      <w:r>
        <w:t>“</w:t>
      </w:r>
      <w:r w:rsidRPr="00E53001">
        <w:rPr>
          <w:b/>
          <w:bCs/>
          <w:i/>
          <w:iCs/>
        </w:rPr>
        <w:t>NOTE:</w:t>
      </w:r>
      <w:r>
        <w:rPr>
          <w:i/>
          <w:iCs/>
        </w:rPr>
        <w:tab/>
      </w:r>
      <w:r w:rsidRPr="00E53001">
        <w:rPr>
          <w:i/>
          <w:iCs/>
        </w:rPr>
        <w:t>In this situation, when ECx or NOEC of the tested mixture &gt; 0.1 mg/l, there is no need to classify for long-term hazard under these Regulations.</w:t>
      </w:r>
      <w:r>
        <w:t>”</w:t>
      </w:r>
    </w:p>
    <w:p w14:paraId="0F0DA565" w14:textId="77777777" w:rsidR="00CF309D" w:rsidRPr="00C25639" w:rsidRDefault="00CF309D" w:rsidP="00CF309D">
      <w:pPr>
        <w:pStyle w:val="SingleTxtG"/>
        <w:rPr>
          <w:i/>
          <w:iCs/>
        </w:rPr>
      </w:pPr>
      <w:r w:rsidRPr="00007C2E">
        <w:rPr>
          <w:i/>
          <w:iCs/>
        </w:rPr>
        <w:t>(Reference document: ST/SG/AC.10/C.3/2020/</w:t>
      </w:r>
      <w:r>
        <w:rPr>
          <w:i/>
          <w:iCs/>
        </w:rPr>
        <w:t>33, option 2</w:t>
      </w:r>
      <w:r w:rsidRPr="00007C2E">
        <w:rPr>
          <w:i/>
          <w:iCs/>
        </w:rPr>
        <w:t>)</w:t>
      </w:r>
    </w:p>
    <w:p w14:paraId="198ED4F5" w14:textId="77777777" w:rsidR="00CF309D" w:rsidRPr="00A20118" w:rsidRDefault="00CF309D" w:rsidP="00CF309D">
      <w:pPr>
        <w:pStyle w:val="SingleTxtG"/>
        <w:ind w:left="2268" w:hanging="1134"/>
      </w:pPr>
      <w:r w:rsidRPr="00A20118">
        <w:t>2.9.4 (g)</w:t>
      </w:r>
      <w:r w:rsidRPr="00A20118">
        <w:tab/>
      </w:r>
      <w:r w:rsidRPr="00A20118">
        <w:tab/>
        <w:t>Amend the beginning of the sentence to read “Except for button cells installed in equipment (including circuit boards), manufacturers...”.</w:t>
      </w:r>
    </w:p>
    <w:p w14:paraId="178C7680" w14:textId="77777777" w:rsidR="00CF309D" w:rsidRPr="00A20118" w:rsidRDefault="00CF309D" w:rsidP="00CF309D">
      <w:pPr>
        <w:pStyle w:val="SingleTxtG"/>
        <w:rPr>
          <w:i/>
          <w:iCs/>
        </w:rPr>
      </w:pPr>
      <w:r w:rsidRPr="00A20118">
        <w:rPr>
          <w:i/>
          <w:iCs/>
        </w:rPr>
        <w:t>(Reference document: ST/SG/AC.10/C.3/2020/77, as amended)</w:t>
      </w:r>
    </w:p>
    <w:p w14:paraId="02AAC886" w14:textId="77777777" w:rsidR="00CF309D" w:rsidRDefault="00CF309D" w:rsidP="00CF309D">
      <w:pPr>
        <w:pStyle w:val="H1G"/>
      </w:pPr>
      <w:r>
        <w:tab/>
      </w:r>
      <w:r>
        <w:tab/>
        <w:t>Chapter 3.2, dangerous goods list</w:t>
      </w:r>
    </w:p>
    <w:p w14:paraId="6CDB5CBF" w14:textId="77777777" w:rsidR="00CF309D" w:rsidRPr="009541AC" w:rsidRDefault="00CF309D" w:rsidP="00CF309D">
      <w:pPr>
        <w:pStyle w:val="SingleTxtG"/>
        <w:ind w:left="2268" w:hanging="1134"/>
      </w:pPr>
      <w:r>
        <w:t xml:space="preserve">For UN 1002, in </w:t>
      </w:r>
      <w:r w:rsidRPr="007B24AA">
        <w:rPr>
          <w:lang w:val="en-US"/>
        </w:rPr>
        <w:t>column</w:t>
      </w:r>
      <w:r>
        <w:t xml:space="preserve"> (6), add “397”.</w:t>
      </w:r>
    </w:p>
    <w:p w14:paraId="368201B4" w14:textId="77777777" w:rsidR="00CF309D" w:rsidRPr="00843762" w:rsidRDefault="00CF309D" w:rsidP="00CF309D">
      <w:pPr>
        <w:pStyle w:val="SingleTxtG"/>
        <w:rPr>
          <w:i/>
          <w:iCs/>
        </w:rPr>
      </w:pPr>
      <w:r w:rsidRPr="00804977">
        <w:rPr>
          <w:i/>
          <w:iCs/>
        </w:rPr>
        <w:t>(Reference document: ST/SG/AC.10/C.3/20</w:t>
      </w:r>
      <w:r>
        <w:rPr>
          <w:i/>
          <w:iCs/>
        </w:rPr>
        <w:t>20</w:t>
      </w:r>
      <w:r w:rsidRPr="00804977">
        <w:rPr>
          <w:i/>
          <w:iCs/>
        </w:rPr>
        <w:t>/</w:t>
      </w:r>
      <w:r>
        <w:rPr>
          <w:i/>
          <w:iCs/>
        </w:rPr>
        <w:t>9</w:t>
      </w:r>
      <w:r w:rsidRPr="00804977">
        <w:rPr>
          <w:i/>
          <w:iCs/>
        </w:rPr>
        <w:t>)</w:t>
      </w:r>
    </w:p>
    <w:p w14:paraId="3488199A" w14:textId="77777777" w:rsidR="00CF309D" w:rsidRPr="00007C2E" w:rsidRDefault="00CF309D" w:rsidP="00CF309D">
      <w:pPr>
        <w:pStyle w:val="SingleTxtG"/>
        <w:ind w:left="2268" w:hanging="1134"/>
      </w:pPr>
      <w:r w:rsidRPr="00007C2E">
        <w:t xml:space="preserve">For UN 1012, in </w:t>
      </w:r>
      <w:r w:rsidRPr="00007C2E">
        <w:rPr>
          <w:lang w:val="en-US"/>
        </w:rPr>
        <w:t>column</w:t>
      </w:r>
      <w:r w:rsidRPr="00007C2E">
        <w:t xml:space="preserve"> (6), add “398”.</w:t>
      </w:r>
    </w:p>
    <w:p w14:paraId="644B0029" w14:textId="77777777" w:rsidR="00CF309D" w:rsidRPr="00007C2E" w:rsidRDefault="00CF309D" w:rsidP="00CF309D">
      <w:pPr>
        <w:pStyle w:val="SingleTxtG"/>
        <w:rPr>
          <w:i/>
          <w:iCs/>
        </w:rPr>
      </w:pPr>
      <w:r w:rsidRPr="00007C2E">
        <w:rPr>
          <w:i/>
          <w:iCs/>
        </w:rPr>
        <w:t>(Reference document: ST/SG/AC.10/C.3/2020/69)</w:t>
      </w:r>
    </w:p>
    <w:p w14:paraId="2C520F38" w14:textId="77777777" w:rsidR="00CF309D" w:rsidRPr="00007C2E" w:rsidRDefault="00CF309D" w:rsidP="00CF309D">
      <w:pPr>
        <w:pStyle w:val="SingleTxtG"/>
        <w:ind w:left="2268" w:hanging="1134"/>
      </w:pPr>
      <w:r>
        <w:t>Delete</w:t>
      </w:r>
      <w:r w:rsidRPr="00007C2E">
        <w:t xml:space="preserve"> </w:t>
      </w:r>
      <w:r>
        <w:t xml:space="preserve">the two entries for </w:t>
      </w:r>
      <w:r w:rsidRPr="00007C2E">
        <w:t>UN 1</w:t>
      </w:r>
      <w:r>
        <w:t>169</w:t>
      </w:r>
      <w:r w:rsidRPr="00007C2E">
        <w:t>.</w:t>
      </w:r>
    </w:p>
    <w:p w14:paraId="631EA784" w14:textId="77777777" w:rsidR="00CF309D" w:rsidRPr="00007C2E" w:rsidRDefault="00CF309D" w:rsidP="00CF309D">
      <w:pPr>
        <w:pStyle w:val="SingleTxtG"/>
        <w:rPr>
          <w:i/>
          <w:iCs/>
        </w:rPr>
      </w:pPr>
      <w:r w:rsidRPr="00007C2E">
        <w:rPr>
          <w:i/>
          <w:iCs/>
        </w:rPr>
        <w:t>(Reference document: ST/SG/AC.10/C.3/2020/</w:t>
      </w:r>
      <w:r>
        <w:rPr>
          <w:i/>
          <w:iCs/>
        </w:rPr>
        <w:t>38/Rev.1</w:t>
      </w:r>
      <w:r w:rsidRPr="00007C2E">
        <w:rPr>
          <w:i/>
          <w:iCs/>
        </w:rPr>
        <w:t>)</w:t>
      </w:r>
    </w:p>
    <w:p w14:paraId="2A0D5A6E" w14:textId="77777777" w:rsidR="00CF309D" w:rsidRPr="00007C2E" w:rsidRDefault="00CF309D" w:rsidP="00CF309D">
      <w:pPr>
        <w:pStyle w:val="SingleTxtG"/>
        <w:ind w:left="2268" w:hanging="1134"/>
      </w:pPr>
      <w:r w:rsidRPr="00007C2E">
        <w:t xml:space="preserve">For UN </w:t>
      </w:r>
      <w:r>
        <w:rPr>
          <w:rFonts w:eastAsia="Times New Roman"/>
          <w:lang w:eastAsia="en-US"/>
        </w:rPr>
        <w:t>1197</w:t>
      </w:r>
      <w:r w:rsidRPr="00007C2E">
        <w:t xml:space="preserve">, </w:t>
      </w:r>
      <w:r>
        <w:t>amend</w:t>
      </w:r>
      <w:r w:rsidRPr="00007C2E">
        <w:t xml:space="preserve"> </w:t>
      </w:r>
      <w:r w:rsidRPr="00007C2E">
        <w:rPr>
          <w:lang w:val="en-US"/>
        </w:rPr>
        <w:t>column</w:t>
      </w:r>
      <w:r w:rsidRPr="00007C2E">
        <w:t xml:space="preserve"> (</w:t>
      </w:r>
      <w:r>
        <w:t>2</w:t>
      </w:r>
      <w:r w:rsidRPr="00007C2E">
        <w:t>)</w:t>
      </w:r>
      <w:r>
        <w:t xml:space="preserve"> to read “EXTRACTS, LIQUID, for flavour or aroma”</w:t>
      </w:r>
      <w:r w:rsidRPr="00007C2E">
        <w:t>.</w:t>
      </w:r>
    </w:p>
    <w:p w14:paraId="5D5301E1" w14:textId="77777777" w:rsidR="00CF309D" w:rsidRPr="00007C2E" w:rsidRDefault="00CF309D" w:rsidP="00CF309D">
      <w:pPr>
        <w:pStyle w:val="SingleTxtG"/>
        <w:spacing w:before="120"/>
        <w:rPr>
          <w:i/>
          <w:iCs/>
        </w:rPr>
      </w:pPr>
      <w:r w:rsidRPr="00007C2E">
        <w:rPr>
          <w:i/>
          <w:iCs/>
        </w:rPr>
        <w:t>(Reference document: ST/SG/AC.10/C.3/2020/</w:t>
      </w:r>
      <w:r>
        <w:rPr>
          <w:i/>
          <w:iCs/>
        </w:rPr>
        <w:t>38/Rev.1, as amended</w:t>
      </w:r>
      <w:r w:rsidRPr="00007C2E">
        <w:rPr>
          <w:i/>
          <w:iCs/>
        </w:rPr>
        <w:t>)</w:t>
      </w:r>
    </w:p>
    <w:p w14:paraId="547BFF5C" w14:textId="77777777" w:rsidR="00CF309D" w:rsidRPr="009541AC" w:rsidRDefault="00CF309D" w:rsidP="00CF309D">
      <w:pPr>
        <w:pStyle w:val="SingleTxtG"/>
        <w:ind w:left="2268" w:hanging="1134"/>
      </w:pPr>
      <w:r>
        <w:t xml:space="preserve">For UN 1891, in </w:t>
      </w:r>
      <w:r w:rsidRPr="007B24AA">
        <w:rPr>
          <w:lang w:val="en-US"/>
        </w:rPr>
        <w:t>column</w:t>
      </w:r>
      <w:r>
        <w:t xml:space="preserve"> </w:t>
      </w:r>
      <w:r>
        <w:rPr>
          <w:lang w:val="en-US"/>
        </w:rPr>
        <w:t xml:space="preserve">(3), replace “6.1” by “3”. In column (4), add “6.1”. In column </w:t>
      </w:r>
      <w:r>
        <w:t>(7a), replace “100 ml” by “1 L”. In column (7b), replace “E4” by “E2”.</w:t>
      </w:r>
    </w:p>
    <w:p w14:paraId="34005878" w14:textId="77777777" w:rsidR="00CF309D" w:rsidRPr="00843762" w:rsidRDefault="00CF309D" w:rsidP="00CF309D">
      <w:pPr>
        <w:pStyle w:val="SingleTxtG"/>
        <w:rPr>
          <w:i/>
          <w:iCs/>
        </w:rPr>
      </w:pPr>
      <w:r w:rsidRPr="00804977">
        <w:rPr>
          <w:i/>
          <w:iCs/>
        </w:rPr>
        <w:t>(Reference document: ST/SG/AC.10/C.3/20</w:t>
      </w:r>
      <w:r>
        <w:rPr>
          <w:i/>
          <w:iCs/>
        </w:rPr>
        <w:t>20</w:t>
      </w:r>
      <w:r w:rsidRPr="00804977">
        <w:rPr>
          <w:i/>
          <w:iCs/>
        </w:rPr>
        <w:t>/</w:t>
      </w:r>
      <w:r>
        <w:rPr>
          <w:i/>
          <w:iCs/>
        </w:rPr>
        <w:t>72</w:t>
      </w:r>
      <w:r w:rsidRPr="00804977">
        <w:rPr>
          <w:i/>
          <w:iCs/>
        </w:rPr>
        <w:t>)</w:t>
      </w:r>
    </w:p>
    <w:p w14:paraId="0C4ECA97" w14:textId="77777777" w:rsidR="00CF309D" w:rsidRPr="009541AC" w:rsidRDefault="00CF309D" w:rsidP="00CF309D">
      <w:pPr>
        <w:pStyle w:val="SingleTxtG"/>
        <w:ind w:left="2268" w:hanging="1134"/>
      </w:pPr>
      <w:r>
        <w:t xml:space="preserve">For UN 3208, Packing group II, in </w:t>
      </w:r>
      <w:r w:rsidRPr="007B24AA">
        <w:rPr>
          <w:lang w:val="en-US"/>
        </w:rPr>
        <w:t>column</w:t>
      </w:r>
      <w:r>
        <w:t xml:space="preserve"> (7b), replace “E0” by “E2”.</w:t>
      </w:r>
    </w:p>
    <w:p w14:paraId="45BEB1E9" w14:textId="77777777" w:rsidR="00CF309D" w:rsidRPr="00843762" w:rsidRDefault="00CF309D" w:rsidP="00CF309D">
      <w:pPr>
        <w:pStyle w:val="SingleTxtG"/>
        <w:rPr>
          <w:i/>
          <w:iCs/>
        </w:rPr>
      </w:pPr>
      <w:r w:rsidRPr="00804977">
        <w:rPr>
          <w:i/>
          <w:iCs/>
        </w:rPr>
        <w:t>(Reference document: ST/SG/AC.10/C.3/20</w:t>
      </w:r>
      <w:r>
        <w:rPr>
          <w:i/>
          <w:iCs/>
        </w:rPr>
        <w:t>20</w:t>
      </w:r>
      <w:r w:rsidRPr="00804977">
        <w:rPr>
          <w:i/>
          <w:iCs/>
        </w:rPr>
        <w:t>/</w:t>
      </w:r>
      <w:r>
        <w:rPr>
          <w:i/>
          <w:iCs/>
        </w:rPr>
        <w:t>32</w:t>
      </w:r>
      <w:r w:rsidRPr="00804977">
        <w:rPr>
          <w:i/>
          <w:iCs/>
        </w:rPr>
        <w:t>)</w:t>
      </w:r>
    </w:p>
    <w:p w14:paraId="3FBC142E" w14:textId="77777777" w:rsidR="00CF309D" w:rsidRPr="009541AC" w:rsidRDefault="00CF309D" w:rsidP="00CF309D">
      <w:pPr>
        <w:pStyle w:val="SingleTxtG"/>
        <w:ind w:left="2268" w:hanging="1134"/>
      </w:pPr>
      <w:r>
        <w:t xml:space="preserve">For UN 3209, Packing group II, in </w:t>
      </w:r>
      <w:r w:rsidRPr="007B24AA">
        <w:rPr>
          <w:lang w:val="en-US"/>
        </w:rPr>
        <w:t>column</w:t>
      </w:r>
      <w:r>
        <w:t xml:space="preserve"> (7b), replace “E2” by “E0”.</w:t>
      </w:r>
    </w:p>
    <w:p w14:paraId="2D5F0F10" w14:textId="77777777" w:rsidR="00CF309D" w:rsidRPr="00843762" w:rsidRDefault="00CF309D" w:rsidP="00CF309D">
      <w:pPr>
        <w:pStyle w:val="SingleTxtG"/>
        <w:rPr>
          <w:i/>
          <w:iCs/>
        </w:rPr>
      </w:pPr>
      <w:r w:rsidRPr="00804977">
        <w:rPr>
          <w:i/>
          <w:iCs/>
        </w:rPr>
        <w:t>(Reference document: ST/SG/AC.10/C.3/20</w:t>
      </w:r>
      <w:r>
        <w:rPr>
          <w:i/>
          <w:iCs/>
        </w:rPr>
        <w:t>20</w:t>
      </w:r>
      <w:r w:rsidRPr="00804977">
        <w:rPr>
          <w:i/>
          <w:iCs/>
        </w:rPr>
        <w:t>/</w:t>
      </w:r>
      <w:r>
        <w:rPr>
          <w:i/>
          <w:iCs/>
        </w:rPr>
        <w:t>78, paragraph 5</w:t>
      </w:r>
      <w:r w:rsidRPr="00804977">
        <w:rPr>
          <w:i/>
          <w:iCs/>
        </w:rPr>
        <w:t>)</w:t>
      </w:r>
    </w:p>
    <w:p w14:paraId="32D1B74C" w14:textId="77777777" w:rsidR="00CF309D" w:rsidRDefault="00CF309D" w:rsidP="00CF309D">
      <w:pPr>
        <w:pStyle w:val="SingleTxtG"/>
        <w:ind w:left="2268" w:hanging="1134"/>
      </w:pPr>
      <w:r>
        <w:t xml:space="preserve">Add the </w:t>
      </w:r>
      <w:r w:rsidRPr="007B24AA">
        <w:rPr>
          <w:lang w:val="en-US"/>
        </w:rPr>
        <w:t>following</w:t>
      </w:r>
      <w:r>
        <w:t xml:space="preserve"> new entry:</w:t>
      </w:r>
    </w:p>
    <w:tbl>
      <w:tblPr>
        <w:tblW w:w="4196"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
        <w:gridCol w:w="3262"/>
        <w:gridCol w:w="283"/>
        <w:gridCol w:w="284"/>
        <w:gridCol w:w="283"/>
        <w:gridCol w:w="286"/>
        <w:gridCol w:w="284"/>
        <w:gridCol w:w="423"/>
        <w:gridCol w:w="710"/>
        <w:gridCol w:w="713"/>
        <w:gridCol w:w="423"/>
        <w:gridCol w:w="562"/>
      </w:tblGrid>
      <w:tr w:rsidR="00CF309D" w:rsidRPr="009C3E21" w14:paraId="09692B72" w14:textId="77777777" w:rsidTr="00784F4D">
        <w:trPr>
          <w:trHeight w:val="360"/>
        </w:trPr>
        <w:tc>
          <w:tcPr>
            <w:tcW w:w="351" w:type="pct"/>
            <w:shd w:val="clear" w:color="auto" w:fill="auto"/>
          </w:tcPr>
          <w:p w14:paraId="3271BA53" w14:textId="77777777" w:rsidR="00CF309D" w:rsidRPr="009C3E21" w:rsidRDefault="00CF309D" w:rsidP="00784F4D">
            <w:pPr>
              <w:pStyle w:val="SingleTxtG"/>
              <w:tabs>
                <w:tab w:val="left" w:pos="1269"/>
              </w:tabs>
              <w:ind w:left="0" w:right="0"/>
              <w:jc w:val="center"/>
              <w:rPr>
                <w:sz w:val="16"/>
                <w:szCs w:val="16"/>
                <w:lang w:val="en-US"/>
              </w:rPr>
            </w:pPr>
            <w:r>
              <w:rPr>
                <w:sz w:val="16"/>
                <w:szCs w:val="16"/>
                <w:lang w:eastAsia="ja-JP"/>
              </w:rPr>
              <w:t>3550</w:t>
            </w:r>
          </w:p>
        </w:tc>
        <w:tc>
          <w:tcPr>
            <w:tcW w:w="2018" w:type="pct"/>
            <w:shd w:val="clear" w:color="auto" w:fill="auto"/>
          </w:tcPr>
          <w:p w14:paraId="5005C237" w14:textId="77777777" w:rsidR="00CF309D" w:rsidRPr="009C3E21" w:rsidRDefault="00CF309D" w:rsidP="00784F4D">
            <w:pPr>
              <w:pStyle w:val="SingleTxtG"/>
              <w:ind w:left="0" w:right="7"/>
              <w:jc w:val="left"/>
              <w:rPr>
                <w:sz w:val="16"/>
                <w:szCs w:val="16"/>
                <w:lang w:val="en-US"/>
              </w:rPr>
            </w:pPr>
            <w:r w:rsidRPr="00FA7744">
              <w:rPr>
                <w:rFonts w:hint="eastAsia"/>
                <w:sz w:val="16"/>
                <w:szCs w:val="16"/>
              </w:rPr>
              <w:t>COBALT DIHYDROXIDE POWDER, containing</w:t>
            </w:r>
            <w:r>
              <w:rPr>
                <w:sz w:val="16"/>
                <w:szCs w:val="16"/>
              </w:rPr>
              <w:t xml:space="preserve"> not less than</w:t>
            </w:r>
            <w:r w:rsidRPr="00FA7744">
              <w:rPr>
                <w:rFonts w:hint="eastAsia"/>
                <w:sz w:val="16"/>
                <w:szCs w:val="16"/>
              </w:rPr>
              <w:t xml:space="preserve"> 10 % respirable particles</w:t>
            </w:r>
          </w:p>
        </w:tc>
        <w:tc>
          <w:tcPr>
            <w:tcW w:w="175" w:type="pct"/>
          </w:tcPr>
          <w:p w14:paraId="07F89D70" w14:textId="77777777" w:rsidR="00CF309D" w:rsidRPr="009C3E21" w:rsidRDefault="00CF309D" w:rsidP="00784F4D">
            <w:pPr>
              <w:pStyle w:val="SingleTxtG"/>
              <w:ind w:left="0" w:right="7"/>
              <w:jc w:val="center"/>
              <w:rPr>
                <w:sz w:val="16"/>
                <w:szCs w:val="16"/>
                <w:lang w:val="en-US"/>
              </w:rPr>
            </w:pPr>
            <w:r>
              <w:rPr>
                <w:sz w:val="16"/>
                <w:szCs w:val="16"/>
                <w:lang w:val="en-US"/>
              </w:rPr>
              <w:t>6.1</w:t>
            </w:r>
          </w:p>
        </w:tc>
        <w:tc>
          <w:tcPr>
            <w:tcW w:w="176" w:type="pct"/>
            <w:shd w:val="clear" w:color="auto" w:fill="auto"/>
          </w:tcPr>
          <w:p w14:paraId="67BC82EA" w14:textId="77777777" w:rsidR="00CF309D" w:rsidRPr="009C3E21" w:rsidRDefault="00CF309D" w:rsidP="00784F4D">
            <w:pPr>
              <w:pStyle w:val="SingleTxtG"/>
              <w:ind w:left="0" w:right="7"/>
              <w:jc w:val="center"/>
              <w:rPr>
                <w:sz w:val="16"/>
                <w:szCs w:val="16"/>
                <w:lang w:val="en-US"/>
              </w:rPr>
            </w:pPr>
          </w:p>
        </w:tc>
        <w:tc>
          <w:tcPr>
            <w:tcW w:w="175" w:type="pct"/>
            <w:shd w:val="clear" w:color="auto" w:fill="auto"/>
          </w:tcPr>
          <w:p w14:paraId="45F731CF" w14:textId="77777777" w:rsidR="00CF309D" w:rsidRPr="009C3E21" w:rsidRDefault="00CF309D" w:rsidP="00784F4D">
            <w:pPr>
              <w:pStyle w:val="SingleTxtG"/>
              <w:ind w:left="0" w:right="7"/>
              <w:jc w:val="center"/>
              <w:rPr>
                <w:sz w:val="16"/>
                <w:szCs w:val="16"/>
                <w:lang w:val="en-US"/>
              </w:rPr>
            </w:pPr>
            <w:r>
              <w:rPr>
                <w:sz w:val="16"/>
                <w:szCs w:val="16"/>
                <w:lang w:val="en-US"/>
              </w:rPr>
              <w:t>I</w:t>
            </w:r>
          </w:p>
        </w:tc>
        <w:tc>
          <w:tcPr>
            <w:tcW w:w="177" w:type="pct"/>
            <w:shd w:val="clear" w:color="auto" w:fill="auto"/>
          </w:tcPr>
          <w:p w14:paraId="373EB422" w14:textId="77777777" w:rsidR="00CF309D" w:rsidRPr="009C3E21" w:rsidRDefault="00CF309D" w:rsidP="00784F4D">
            <w:pPr>
              <w:pStyle w:val="SingleTxtG"/>
              <w:ind w:left="0"/>
              <w:jc w:val="center"/>
              <w:rPr>
                <w:sz w:val="16"/>
                <w:szCs w:val="16"/>
                <w:lang w:val="en-US"/>
              </w:rPr>
            </w:pPr>
          </w:p>
        </w:tc>
        <w:tc>
          <w:tcPr>
            <w:tcW w:w="176" w:type="pct"/>
            <w:shd w:val="clear" w:color="auto" w:fill="auto"/>
          </w:tcPr>
          <w:p w14:paraId="7B913F56" w14:textId="77777777" w:rsidR="00CF309D" w:rsidRPr="009C3E21" w:rsidRDefault="00CF309D" w:rsidP="00784F4D">
            <w:pPr>
              <w:pStyle w:val="SingleTxtG"/>
              <w:ind w:left="0" w:right="7"/>
              <w:jc w:val="center"/>
              <w:rPr>
                <w:sz w:val="16"/>
                <w:szCs w:val="16"/>
                <w:lang w:val="en-US"/>
              </w:rPr>
            </w:pPr>
            <w:r>
              <w:rPr>
                <w:sz w:val="16"/>
                <w:szCs w:val="16"/>
                <w:lang w:val="en-US"/>
              </w:rPr>
              <w:t>0</w:t>
            </w:r>
          </w:p>
        </w:tc>
        <w:tc>
          <w:tcPr>
            <w:tcW w:w="262" w:type="pct"/>
          </w:tcPr>
          <w:p w14:paraId="0E37AEEC" w14:textId="77777777" w:rsidR="00CF309D" w:rsidRPr="009C3E21" w:rsidRDefault="00CF309D" w:rsidP="00784F4D">
            <w:pPr>
              <w:pStyle w:val="SingleTxtG"/>
              <w:ind w:left="0" w:right="7"/>
              <w:jc w:val="center"/>
              <w:rPr>
                <w:sz w:val="16"/>
                <w:szCs w:val="16"/>
                <w:lang w:val="en-US"/>
              </w:rPr>
            </w:pPr>
            <w:r>
              <w:rPr>
                <w:sz w:val="16"/>
                <w:szCs w:val="16"/>
                <w:lang w:val="en-US"/>
              </w:rPr>
              <w:t>E5</w:t>
            </w:r>
          </w:p>
        </w:tc>
        <w:tc>
          <w:tcPr>
            <w:tcW w:w="439" w:type="pct"/>
          </w:tcPr>
          <w:p w14:paraId="093E3DC6" w14:textId="77777777" w:rsidR="00CF309D" w:rsidRPr="009C3E21" w:rsidRDefault="00CF309D" w:rsidP="00784F4D">
            <w:pPr>
              <w:pStyle w:val="SingleTxtG"/>
              <w:ind w:left="0" w:right="7"/>
              <w:jc w:val="center"/>
              <w:rPr>
                <w:sz w:val="16"/>
                <w:szCs w:val="16"/>
                <w:lang w:val="en-US"/>
              </w:rPr>
            </w:pPr>
            <w:r>
              <w:rPr>
                <w:sz w:val="16"/>
                <w:szCs w:val="16"/>
                <w:lang w:val="en-US"/>
              </w:rPr>
              <w:t>P002</w:t>
            </w:r>
            <w:r>
              <w:rPr>
                <w:sz w:val="16"/>
                <w:szCs w:val="16"/>
                <w:lang w:val="en-US"/>
              </w:rPr>
              <w:br/>
              <w:t>IBC07</w:t>
            </w:r>
          </w:p>
        </w:tc>
        <w:tc>
          <w:tcPr>
            <w:tcW w:w="441" w:type="pct"/>
          </w:tcPr>
          <w:p w14:paraId="33D48496" w14:textId="77777777" w:rsidR="00CF309D" w:rsidRPr="009C3E21" w:rsidRDefault="00CF309D" w:rsidP="00784F4D">
            <w:pPr>
              <w:pStyle w:val="SingleTxtG"/>
              <w:ind w:left="0" w:right="7"/>
              <w:jc w:val="center"/>
              <w:rPr>
                <w:sz w:val="16"/>
                <w:szCs w:val="16"/>
                <w:lang w:val="en-US"/>
              </w:rPr>
            </w:pPr>
            <w:r>
              <w:rPr>
                <w:sz w:val="16"/>
                <w:szCs w:val="16"/>
                <w:lang w:val="en-US"/>
              </w:rPr>
              <w:br/>
              <w:t>B1, B20</w:t>
            </w:r>
          </w:p>
        </w:tc>
        <w:tc>
          <w:tcPr>
            <w:tcW w:w="262" w:type="pct"/>
          </w:tcPr>
          <w:p w14:paraId="7AEF360C" w14:textId="77777777" w:rsidR="00CF309D" w:rsidRPr="009C3E21" w:rsidRDefault="00CF309D" w:rsidP="00784F4D">
            <w:pPr>
              <w:pStyle w:val="SingleTxtG"/>
              <w:ind w:left="0" w:right="7"/>
              <w:jc w:val="center"/>
              <w:rPr>
                <w:sz w:val="16"/>
                <w:szCs w:val="16"/>
                <w:lang w:val="en-US"/>
              </w:rPr>
            </w:pPr>
            <w:r>
              <w:rPr>
                <w:sz w:val="16"/>
                <w:szCs w:val="16"/>
              </w:rPr>
              <w:t>T6</w:t>
            </w:r>
          </w:p>
        </w:tc>
        <w:tc>
          <w:tcPr>
            <w:tcW w:w="349" w:type="pct"/>
            <w:shd w:val="clear" w:color="auto" w:fill="auto"/>
          </w:tcPr>
          <w:p w14:paraId="45F9561B" w14:textId="77777777" w:rsidR="00CF309D" w:rsidRPr="009C3E21" w:rsidRDefault="00CF309D" w:rsidP="00784F4D">
            <w:pPr>
              <w:pStyle w:val="SingleTxtG"/>
              <w:ind w:left="0" w:right="7"/>
              <w:jc w:val="center"/>
              <w:rPr>
                <w:sz w:val="16"/>
                <w:szCs w:val="16"/>
                <w:lang w:val="en-US"/>
              </w:rPr>
            </w:pPr>
            <w:r>
              <w:rPr>
                <w:sz w:val="16"/>
                <w:szCs w:val="16"/>
                <w:lang w:val="en-US"/>
              </w:rPr>
              <w:t>TP33</w:t>
            </w:r>
          </w:p>
        </w:tc>
      </w:tr>
    </w:tbl>
    <w:p w14:paraId="22B45B87" w14:textId="77777777" w:rsidR="00CF309D" w:rsidRPr="00843762" w:rsidRDefault="00CF309D" w:rsidP="00CF309D">
      <w:pPr>
        <w:pStyle w:val="SingleTxtG"/>
        <w:spacing w:before="120"/>
        <w:rPr>
          <w:i/>
          <w:iCs/>
        </w:rPr>
      </w:pPr>
      <w:r w:rsidRPr="00804977">
        <w:rPr>
          <w:i/>
          <w:iCs/>
        </w:rPr>
        <w:t xml:space="preserve">(Reference document: </w:t>
      </w:r>
      <w:r>
        <w:rPr>
          <w:i/>
          <w:iCs/>
        </w:rPr>
        <w:t>informal document INF.45, as amended</w:t>
      </w:r>
      <w:r w:rsidRPr="00804977">
        <w:rPr>
          <w:i/>
          <w:iCs/>
        </w:rPr>
        <w:t>)</w:t>
      </w:r>
    </w:p>
    <w:p w14:paraId="7C281CD6" w14:textId="77777777" w:rsidR="00CF309D" w:rsidRDefault="00CF309D" w:rsidP="00CF309D">
      <w:pPr>
        <w:pStyle w:val="H1G"/>
      </w:pPr>
      <w:r>
        <w:tab/>
      </w:r>
      <w:r>
        <w:tab/>
        <w:t>Chapter 3.3</w:t>
      </w:r>
    </w:p>
    <w:p w14:paraId="29E732EF" w14:textId="77777777" w:rsidR="00CF309D" w:rsidRDefault="00CF309D" w:rsidP="00CF309D">
      <w:pPr>
        <w:pStyle w:val="SingleTxtG"/>
        <w:ind w:left="2268" w:hanging="1134"/>
      </w:pPr>
      <w:r>
        <w:t>SP 225</w:t>
      </w:r>
      <w:r>
        <w:tab/>
        <w:t>After (a), insert the following new note:</w:t>
      </w:r>
    </w:p>
    <w:p w14:paraId="2599B199" w14:textId="77777777" w:rsidR="00CF309D" w:rsidRPr="009541AC" w:rsidRDefault="00CF309D" w:rsidP="00CF309D">
      <w:pPr>
        <w:pStyle w:val="SingleTxtG"/>
      </w:pPr>
      <w:r>
        <w:t>“</w:t>
      </w:r>
      <w:r w:rsidRPr="000F6972">
        <w:rPr>
          <w:b/>
          <w:bCs/>
          <w:i/>
          <w:iCs/>
        </w:rPr>
        <w:t>NOTE:</w:t>
      </w:r>
      <w:r w:rsidRPr="000F6972">
        <w:rPr>
          <w:i/>
          <w:iCs/>
        </w:rPr>
        <w:tab/>
        <w:t>This entry applies to portable fire extinguishers, even if some components that are necessary for their proper functioning (e.g. hoses and nozzles) are temporarily detached, as long as the safety of the pressurized extinguishing agent containers is not compromised and the fire extinguishers continue to be identified as a portable fire extinguisher.</w:t>
      </w:r>
      <w:r>
        <w:t>”</w:t>
      </w:r>
    </w:p>
    <w:p w14:paraId="143F0BF5" w14:textId="77777777" w:rsidR="00CF309D" w:rsidRPr="00843762" w:rsidRDefault="00CF309D" w:rsidP="00CF309D">
      <w:pPr>
        <w:pStyle w:val="SingleTxtG"/>
        <w:rPr>
          <w:i/>
          <w:iCs/>
        </w:rPr>
      </w:pPr>
      <w:r w:rsidRPr="00804977">
        <w:rPr>
          <w:i/>
          <w:iCs/>
        </w:rPr>
        <w:t>(Reference document: ST/SG/AC.10/C.3/20</w:t>
      </w:r>
      <w:r>
        <w:rPr>
          <w:i/>
          <w:iCs/>
        </w:rPr>
        <w:t>20</w:t>
      </w:r>
      <w:r w:rsidRPr="00804977">
        <w:rPr>
          <w:i/>
          <w:iCs/>
        </w:rPr>
        <w:t>/</w:t>
      </w:r>
      <w:r>
        <w:rPr>
          <w:i/>
          <w:iCs/>
        </w:rPr>
        <w:t>10/Rev.1, as amended</w:t>
      </w:r>
      <w:r w:rsidRPr="00804977">
        <w:rPr>
          <w:i/>
          <w:iCs/>
        </w:rPr>
        <w:t>)</w:t>
      </w:r>
    </w:p>
    <w:p w14:paraId="51BA7385" w14:textId="77777777" w:rsidR="00CF309D" w:rsidRDefault="00CF309D" w:rsidP="00CF309D">
      <w:pPr>
        <w:pStyle w:val="SingleTxtG"/>
        <w:ind w:left="2268" w:hanging="1134"/>
        <w:rPr>
          <w:lang w:val="en-US"/>
        </w:rPr>
      </w:pPr>
      <w:r>
        <w:t>SP 397</w:t>
      </w:r>
      <w:r>
        <w:tab/>
      </w:r>
      <w:r>
        <w:rPr>
          <w:lang w:val="en-US"/>
        </w:rPr>
        <w:t>Add the following new special provision:</w:t>
      </w:r>
    </w:p>
    <w:p w14:paraId="78EE9406" w14:textId="77777777" w:rsidR="00CF309D" w:rsidRPr="009541AC" w:rsidRDefault="00CF309D" w:rsidP="00CF309D">
      <w:pPr>
        <w:pStyle w:val="SingleTxtG"/>
      </w:pPr>
      <w:r>
        <w:t>“397</w:t>
      </w:r>
      <w:r>
        <w:tab/>
      </w:r>
      <w:r w:rsidRPr="00C92FCD">
        <w:t>Mixtures of nitrogen and oxygen containing not less than 19.5</w:t>
      </w:r>
      <w:r>
        <w:t> </w:t>
      </w:r>
      <w:r w:rsidRPr="00C92FCD">
        <w:t>% and not more than 23.5</w:t>
      </w:r>
      <w:r>
        <w:t> </w:t>
      </w:r>
      <w:r w:rsidRPr="00C92FCD">
        <w:t>% oxygen by volume may be transported under this entry when no other oxidizing gases are present. A Division 5.1 subsidiary hazard label is not required for any concentrations within this limit.</w:t>
      </w:r>
      <w:r>
        <w:t>”</w:t>
      </w:r>
    </w:p>
    <w:p w14:paraId="73B19ACB" w14:textId="77777777" w:rsidR="00CF309D" w:rsidRPr="00843762" w:rsidRDefault="00CF309D" w:rsidP="00CF309D">
      <w:pPr>
        <w:pStyle w:val="SingleTxtG"/>
        <w:rPr>
          <w:i/>
          <w:iCs/>
        </w:rPr>
      </w:pPr>
      <w:r w:rsidRPr="00804977">
        <w:rPr>
          <w:i/>
          <w:iCs/>
        </w:rPr>
        <w:lastRenderedPageBreak/>
        <w:t>(Reference document: ST/SG/AC.10/C.3/20</w:t>
      </w:r>
      <w:r>
        <w:rPr>
          <w:i/>
          <w:iCs/>
        </w:rPr>
        <w:t>20</w:t>
      </w:r>
      <w:r w:rsidRPr="00804977">
        <w:rPr>
          <w:i/>
          <w:iCs/>
        </w:rPr>
        <w:t>/</w:t>
      </w:r>
      <w:r>
        <w:rPr>
          <w:i/>
          <w:iCs/>
        </w:rPr>
        <w:t>9</w:t>
      </w:r>
      <w:r w:rsidRPr="00804977">
        <w:rPr>
          <w:i/>
          <w:iCs/>
        </w:rPr>
        <w:t>)</w:t>
      </w:r>
    </w:p>
    <w:p w14:paraId="7F8C5E3F" w14:textId="77777777" w:rsidR="00CF309D" w:rsidRPr="00007C2E" w:rsidRDefault="00CF309D" w:rsidP="00CF309D">
      <w:pPr>
        <w:pStyle w:val="SingleTxtG"/>
        <w:ind w:left="2268" w:hanging="1134"/>
        <w:rPr>
          <w:lang w:val="en-US"/>
        </w:rPr>
      </w:pPr>
      <w:r w:rsidRPr="00007C2E">
        <w:t>SP 398</w:t>
      </w:r>
      <w:r w:rsidRPr="00007C2E">
        <w:tab/>
      </w:r>
      <w:r w:rsidRPr="00007C2E">
        <w:rPr>
          <w:lang w:val="en-US"/>
        </w:rPr>
        <w:t>Add the following new special provision:</w:t>
      </w:r>
    </w:p>
    <w:p w14:paraId="47088482" w14:textId="77777777" w:rsidR="00CF309D" w:rsidRPr="009541AC" w:rsidRDefault="00CF309D" w:rsidP="00CF309D">
      <w:pPr>
        <w:pStyle w:val="SingleTxtG"/>
      </w:pPr>
      <w:r w:rsidRPr="00007C2E">
        <w:t>“398</w:t>
      </w:r>
      <w:r w:rsidRPr="00007C2E">
        <w:tab/>
        <w:t>This entry applies to mixtures of butylenes, 1-butylene, cis-2-butylene and trans-2-butylene. For isobutylen</w:t>
      </w:r>
      <w:r w:rsidRPr="0086583C">
        <w:t>e, see UN 1055.</w:t>
      </w:r>
      <w:r>
        <w:t>”</w:t>
      </w:r>
    </w:p>
    <w:p w14:paraId="2CD03F2D" w14:textId="77777777" w:rsidR="00CF309D" w:rsidRPr="00843762" w:rsidRDefault="00CF309D" w:rsidP="00CF309D">
      <w:pPr>
        <w:pStyle w:val="SingleTxtG"/>
        <w:rPr>
          <w:i/>
          <w:iCs/>
        </w:rPr>
      </w:pPr>
      <w:r w:rsidRPr="00804977">
        <w:rPr>
          <w:i/>
          <w:iCs/>
        </w:rPr>
        <w:t>(Reference document: ST/SG/AC.10/C.3/20</w:t>
      </w:r>
      <w:r>
        <w:rPr>
          <w:i/>
          <w:iCs/>
        </w:rPr>
        <w:t>20</w:t>
      </w:r>
      <w:r w:rsidRPr="00804977">
        <w:rPr>
          <w:i/>
          <w:iCs/>
        </w:rPr>
        <w:t>/</w:t>
      </w:r>
      <w:r>
        <w:rPr>
          <w:i/>
          <w:iCs/>
        </w:rPr>
        <w:t>69</w:t>
      </w:r>
      <w:r w:rsidRPr="00804977">
        <w:rPr>
          <w:i/>
          <w:iCs/>
        </w:rPr>
        <w:t>)</w:t>
      </w:r>
    </w:p>
    <w:p w14:paraId="4C1473EB" w14:textId="77777777" w:rsidR="00CF309D" w:rsidRDefault="00CF309D" w:rsidP="00CF309D">
      <w:pPr>
        <w:pStyle w:val="H1G"/>
      </w:pPr>
      <w:r>
        <w:tab/>
      </w:r>
      <w:r>
        <w:tab/>
        <w:t>Alphabetical index</w:t>
      </w:r>
    </w:p>
    <w:p w14:paraId="47AFDEA7" w14:textId="77777777" w:rsidR="00CF309D" w:rsidRDefault="00CF309D" w:rsidP="00CF309D">
      <w:pPr>
        <w:pStyle w:val="SingleTxtG"/>
      </w:pPr>
      <w:r>
        <w:t>Amend the entry for “</w:t>
      </w:r>
      <w:r w:rsidRPr="00AD4934">
        <w:t>EXTRACTS, AROMATIC, LIQUID</w:t>
      </w:r>
      <w:r>
        <w:t>” to read as follows:</w:t>
      </w:r>
    </w:p>
    <w:tbl>
      <w:tblPr>
        <w:tblW w:w="7371"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3"/>
        <w:gridCol w:w="1559"/>
        <w:gridCol w:w="1559"/>
      </w:tblGrid>
      <w:tr w:rsidR="00CF309D" w:rsidRPr="0061569A" w14:paraId="52A9E684" w14:textId="77777777" w:rsidTr="00784F4D">
        <w:trPr>
          <w:cantSplit/>
          <w:trHeight w:val="403"/>
        </w:trPr>
        <w:tc>
          <w:tcPr>
            <w:tcW w:w="4253" w:type="dxa"/>
          </w:tcPr>
          <w:p w14:paraId="40FD962B" w14:textId="77777777" w:rsidR="00CF309D" w:rsidRPr="004C697D" w:rsidRDefault="00CF309D" w:rsidP="00784F4D">
            <w:pPr>
              <w:suppressAutoHyphens w:val="0"/>
              <w:kinsoku/>
              <w:overflowPunct/>
              <w:autoSpaceDE/>
              <w:autoSpaceDN/>
              <w:adjustRightInd/>
              <w:snapToGrid/>
              <w:spacing w:before="40" w:after="40" w:line="220" w:lineRule="exact"/>
              <w:ind w:right="113"/>
              <w:rPr>
                <w:rFonts w:eastAsia="Times New Roman"/>
                <w:lang w:val="en-US" w:eastAsia="en-US"/>
              </w:rPr>
            </w:pPr>
            <w:r w:rsidRPr="00AD4934">
              <w:t>Extracts, aromatic, liquid</w:t>
            </w:r>
          </w:p>
        </w:tc>
        <w:tc>
          <w:tcPr>
            <w:tcW w:w="1559" w:type="dxa"/>
          </w:tcPr>
          <w:p w14:paraId="5B76BFDE" w14:textId="77777777" w:rsidR="00CF309D" w:rsidRPr="0061569A" w:rsidRDefault="00CF309D" w:rsidP="00784F4D">
            <w:pPr>
              <w:kinsoku/>
              <w:overflowPunct/>
              <w:autoSpaceDE/>
              <w:autoSpaceDN/>
              <w:adjustRightInd/>
              <w:snapToGrid/>
              <w:spacing w:after="120"/>
              <w:ind w:left="284" w:hanging="284"/>
              <w:jc w:val="center"/>
              <w:rPr>
                <w:rFonts w:eastAsia="Times New Roman"/>
                <w:lang w:eastAsia="en-US"/>
              </w:rPr>
            </w:pPr>
            <w:r>
              <w:rPr>
                <w:rFonts w:eastAsia="Times New Roman"/>
                <w:lang w:eastAsia="en-US"/>
              </w:rPr>
              <w:t>3</w:t>
            </w:r>
          </w:p>
        </w:tc>
        <w:tc>
          <w:tcPr>
            <w:tcW w:w="1559" w:type="dxa"/>
          </w:tcPr>
          <w:p w14:paraId="75AB9617" w14:textId="77777777" w:rsidR="00CF309D" w:rsidRPr="0061569A" w:rsidRDefault="00CF309D" w:rsidP="00784F4D">
            <w:pPr>
              <w:kinsoku/>
              <w:overflowPunct/>
              <w:autoSpaceDE/>
              <w:autoSpaceDN/>
              <w:adjustRightInd/>
              <w:snapToGrid/>
              <w:spacing w:after="120"/>
              <w:ind w:left="284" w:hanging="284"/>
              <w:jc w:val="center"/>
              <w:rPr>
                <w:rFonts w:eastAsia="Times New Roman"/>
                <w:lang w:eastAsia="en-US"/>
              </w:rPr>
            </w:pPr>
            <w:r>
              <w:rPr>
                <w:rFonts w:eastAsia="Times New Roman"/>
                <w:lang w:eastAsia="en-US"/>
              </w:rPr>
              <w:t>See 1197</w:t>
            </w:r>
          </w:p>
        </w:tc>
      </w:tr>
    </w:tbl>
    <w:p w14:paraId="5AFD4106" w14:textId="77777777" w:rsidR="00CF309D" w:rsidRPr="00007C2E" w:rsidRDefault="00CF309D" w:rsidP="00CF309D">
      <w:pPr>
        <w:pStyle w:val="SingleTxtG"/>
        <w:spacing w:before="120"/>
        <w:rPr>
          <w:i/>
          <w:iCs/>
        </w:rPr>
      </w:pPr>
      <w:r w:rsidRPr="00007C2E">
        <w:rPr>
          <w:i/>
          <w:iCs/>
        </w:rPr>
        <w:t>(Reference document: ST/SG/AC.10/C.3/2020/</w:t>
      </w:r>
      <w:r>
        <w:rPr>
          <w:i/>
          <w:iCs/>
        </w:rPr>
        <w:t>38/Rev.1, as amended</w:t>
      </w:r>
      <w:r w:rsidRPr="00007C2E">
        <w:rPr>
          <w:i/>
          <w:iCs/>
        </w:rPr>
        <w:t>)</w:t>
      </w:r>
    </w:p>
    <w:p w14:paraId="40B472AC" w14:textId="77777777" w:rsidR="00CF309D" w:rsidRDefault="00CF309D" w:rsidP="00CF309D">
      <w:pPr>
        <w:pStyle w:val="SingleTxtG"/>
      </w:pPr>
      <w:r>
        <w:t>Amend the entry for “</w:t>
      </w:r>
      <w:r w:rsidRPr="00AD4934">
        <w:t xml:space="preserve">EXTRACTS, </w:t>
      </w:r>
      <w:r w:rsidRPr="00A541CF">
        <w:t>FLAVOURING</w:t>
      </w:r>
      <w:r w:rsidRPr="00AD4934">
        <w:t>, LIQUID</w:t>
      </w:r>
      <w:r>
        <w:t>” to read as follows:</w:t>
      </w:r>
    </w:p>
    <w:tbl>
      <w:tblPr>
        <w:tblW w:w="7371"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3"/>
        <w:gridCol w:w="1559"/>
        <w:gridCol w:w="1559"/>
      </w:tblGrid>
      <w:tr w:rsidR="00CF309D" w:rsidRPr="0061569A" w14:paraId="1BB4646C" w14:textId="77777777" w:rsidTr="00784F4D">
        <w:trPr>
          <w:cantSplit/>
          <w:trHeight w:val="403"/>
        </w:trPr>
        <w:tc>
          <w:tcPr>
            <w:tcW w:w="4253" w:type="dxa"/>
          </w:tcPr>
          <w:p w14:paraId="65A0151C" w14:textId="77777777" w:rsidR="00CF309D" w:rsidRPr="004C697D" w:rsidRDefault="00CF309D" w:rsidP="00784F4D">
            <w:pPr>
              <w:suppressAutoHyphens w:val="0"/>
              <w:kinsoku/>
              <w:overflowPunct/>
              <w:autoSpaceDE/>
              <w:autoSpaceDN/>
              <w:adjustRightInd/>
              <w:snapToGrid/>
              <w:spacing w:before="40" w:after="40" w:line="220" w:lineRule="exact"/>
              <w:ind w:right="113"/>
              <w:rPr>
                <w:rFonts w:eastAsia="Times New Roman"/>
                <w:lang w:val="en-US" w:eastAsia="en-US"/>
              </w:rPr>
            </w:pPr>
            <w:r w:rsidRPr="00AD4934">
              <w:t xml:space="preserve">Extracts, </w:t>
            </w:r>
            <w:r w:rsidRPr="00A541CF">
              <w:t>flavouring</w:t>
            </w:r>
            <w:r w:rsidRPr="00AD4934">
              <w:t>, liquid</w:t>
            </w:r>
          </w:p>
        </w:tc>
        <w:tc>
          <w:tcPr>
            <w:tcW w:w="1559" w:type="dxa"/>
          </w:tcPr>
          <w:p w14:paraId="4956D133" w14:textId="77777777" w:rsidR="00CF309D" w:rsidRPr="0061569A" w:rsidRDefault="00CF309D" w:rsidP="00784F4D">
            <w:pPr>
              <w:kinsoku/>
              <w:overflowPunct/>
              <w:autoSpaceDE/>
              <w:autoSpaceDN/>
              <w:adjustRightInd/>
              <w:snapToGrid/>
              <w:spacing w:after="120"/>
              <w:ind w:left="284" w:hanging="284"/>
              <w:jc w:val="center"/>
              <w:rPr>
                <w:rFonts w:eastAsia="Times New Roman"/>
                <w:lang w:eastAsia="en-US"/>
              </w:rPr>
            </w:pPr>
            <w:r>
              <w:rPr>
                <w:rFonts w:eastAsia="Times New Roman"/>
                <w:lang w:eastAsia="en-US"/>
              </w:rPr>
              <w:t>3</w:t>
            </w:r>
          </w:p>
        </w:tc>
        <w:tc>
          <w:tcPr>
            <w:tcW w:w="1559" w:type="dxa"/>
          </w:tcPr>
          <w:p w14:paraId="22A47F4D" w14:textId="77777777" w:rsidR="00CF309D" w:rsidRPr="0061569A" w:rsidRDefault="00CF309D" w:rsidP="00784F4D">
            <w:pPr>
              <w:kinsoku/>
              <w:overflowPunct/>
              <w:autoSpaceDE/>
              <w:autoSpaceDN/>
              <w:adjustRightInd/>
              <w:snapToGrid/>
              <w:spacing w:after="120"/>
              <w:ind w:left="284" w:hanging="284"/>
              <w:jc w:val="center"/>
              <w:rPr>
                <w:rFonts w:eastAsia="Times New Roman"/>
                <w:lang w:eastAsia="en-US"/>
              </w:rPr>
            </w:pPr>
            <w:r>
              <w:rPr>
                <w:rFonts w:eastAsia="Times New Roman"/>
                <w:lang w:eastAsia="en-US"/>
              </w:rPr>
              <w:t>See 1197</w:t>
            </w:r>
          </w:p>
        </w:tc>
      </w:tr>
    </w:tbl>
    <w:p w14:paraId="727D4698" w14:textId="77777777" w:rsidR="00CF309D" w:rsidRPr="00007C2E" w:rsidRDefault="00CF309D" w:rsidP="00CF309D">
      <w:pPr>
        <w:pStyle w:val="SingleTxtG"/>
        <w:spacing w:before="120"/>
        <w:rPr>
          <w:i/>
          <w:iCs/>
        </w:rPr>
      </w:pPr>
      <w:r w:rsidRPr="00007C2E">
        <w:rPr>
          <w:i/>
          <w:iCs/>
        </w:rPr>
        <w:t>(Reference document: ST/SG/AC.10/C.3/2020/</w:t>
      </w:r>
      <w:r>
        <w:rPr>
          <w:i/>
          <w:iCs/>
        </w:rPr>
        <w:t>38/Rev.1, as amended</w:t>
      </w:r>
      <w:r w:rsidRPr="00007C2E">
        <w:rPr>
          <w:i/>
          <w:iCs/>
        </w:rPr>
        <w:t>)</w:t>
      </w:r>
    </w:p>
    <w:p w14:paraId="4B0A1A5F" w14:textId="77777777" w:rsidR="00CF309D" w:rsidRDefault="00CF309D" w:rsidP="00CF309D">
      <w:pPr>
        <w:pStyle w:val="SingleTxtG"/>
      </w:pPr>
      <w:r>
        <w:t>Add the following new entries in alphabetical order:</w:t>
      </w:r>
    </w:p>
    <w:tbl>
      <w:tblPr>
        <w:tblW w:w="7371"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3"/>
        <w:gridCol w:w="1559"/>
        <w:gridCol w:w="1559"/>
      </w:tblGrid>
      <w:tr w:rsidR="00CF309D" w:rsidRPr="0061569A" w14:paraId="30714C12" w14:textId="77777777" w:rsidTr="00784F4D">
        <w:trPr>
          <w:cantSplit/>
          <w:trHeight w:val="403"/>
        </w:trPr>
        <w:tc>
          <w:tcPr>
            <w:tcW w:w="4253" w:type="dxa"/>
          </w:tcPr>
          <w:p w14:paraId="5DA290BE" w14:textId="77777777" w:rsidR="00CF309D" w:rsidRPr="004C697D" w:rsidRDefault="00CF309D" w:rsidP="00784F4D">
            <w:pPr>
              <w:suppressAutoHyphens w:val="0"/>
              <w:kinsoku/>
              <w:overflowPunct/>
              <w:autoSpaceDE/>
              <w:autoSpaceDN/>
              <w:adjustRightInd/>
              <w:snapToGrid/>
              <w:spacing w:before="40" w:after="40" w:line="220" w:lineRule="exact"/>
              <w:ind w:right="113"/>
              <w:rPr>
                <w:rFonts w:eastAsia="Times New Roman"/>
                <w:lang w:val="en-US" w:eastAsia="en-US"/>
              </w:rPr>
            </w:pPr>
            <w:r>
              <w:rPr>
                <w:rFonts w:eastAsia="Times New Roman"/>
                <w:lang w:eastAsia="en-US"/>
              </w:rPr>
              <w:t>1-butylene</w:t>
            </w:r>
          </w:p>
        </w:tc>
        <w:tc>
          <w:tcPr>
            <w:tcW w:w="1559" w:type="dxa"/>
          </w:tcPr>
          <w:p w14:paraId="4097A7E2" w14:textId="77777777" w:rsidR="00CF309D" w:rsidRPr="0061569A" w:rsidRDefault="00CF309D" w:rsidP="00784F4D">
            <w:pPr>
              <w:kinsoku/>
              <w:overflowPunct/>
              <w:autoSpaceDE/>
              <w:autoSpaceDN/>
              <w:adjustRightInd/>
              <w:snapToGrid/>
              <w:spacing w:after="120"/>
              <w:ind w:left="284" w:hanging="284"/>
              <w:jc w:val="center"/>
              <w:rPr>
                <w:rFonts w:eastAsia="Times New Roman"/>
                <w:lang w:eastAsia="en-US"/>
              </w:rPr>
            </w:pPr>
            <w:r>
              <w:rPr>
                <w:rFonts w:eastAsia="Times New Roman"/>
                <w:lang w:eastAsia="en-US"/>
              </w:rPr>
              <w:t>2</w:t>
            </w:r>
            <w:r w:rsidRPr="0061569A">
              <w:rPr>
                <w:rFonts w:eastAsia="Times New Roman"/>
                <w:lang w:eastAsia="en-US"/>
              </w:rPr>
              <w:t>.1</w:t>
            </w:r>
          </w:p>
        </w:tc>
        <w:tc>
          <w:tcPr>
            <w:tcW w:w="1559" w:type="dxa"/>
          </w:tcPr>
          <w:p w14:paraId="1510614C" w14:textId="77777777" w:rsidR="00CF309D" w:rsidRPr="0061569A" w:rsidRDefault="00CF309D" w:rsidP="00784F4D">
            <w:pPr>
              <w:kinsoku/>
              <w:overflowPunct/>
              <w:autoSpaceDE/>
              <w:autoSpaceDN/>
              <w:adjustRightInd/>
              <w:snapToGrid/>
              <w:spacing w:after="120"/>
              <w:ind w:left="284" w:hanging="284"/>
              <w:jc w:val="center"/>
              <w:rPr>
                <w:rFonts w:eastAsia="Times New Roman"/>
                <w:lang w:eastAsia="en-US"/>
              </w:rPr>
            </w:pPr>
            <w:r>
              <w:rPr>
                <w:rFonts w:eastAsia="Times New Roman"/>
                <w:lang w:eastAsia="en-US"/>
              </w:rPr>
              <w:t>See 1012</w:t>
            </w:r>
          </w:p>
        </w:tc>
      </w:tr>
      <w:tr w:rsidR="00CF309D" w:rsidRPr="0061569A" w14:paraId="1E34CA2E" w14:textId="77777777" w:rsidTr="00784F4D">
        <w:trPr>
          <w:cantSplit/>
          <w:trHeight w:val="403"/>
        </w:trPr>
        <w:tc>
          <w:tcPr>
            <w:tcW w:w="4253" w:type="dxa"/>
          </w:tcPr>
          <w:p w14:paraId="05800F81" w14:textId="77777777" w:rsidR="00CF309D" w:rsidRPr="004C697D" w:rsidRDefault="00CF309D" w:rsidP="00784F4D">
            <w:pPr>
              <w:suppressAutoHyphens w:val="0"/>
              <w:kinsoku/>
              <w:overflowPunct/>
              <w:autoSpaceDE/>
              <w:autoSpaceDN/>
              <w:adjustRightInd/>
              <w:snapToGrid/>
              <w:spacing w:before="40" w:after="40" w:line="220" w:lineRule="exact"/>
              <w:ind w:right="113"/>
              <w:rPr>
                <w:rFonts w:eastAsia="Times New Roman"/>
                <w:lang w:val="en-US" w:eastAsia="en-US"/>
              </w:rPr>
            </w:pPr>
            <w:r>
              <w:rPr>
                <w:rFonts w:eastAsia="Times New Roman"/>
                <w:lang w:eastAsia="en-US"/>
              </w:rPr>
              <w:t>cis-2-butylene</w:t>
            </w:r>
          </w:p>
        </w:tc>
        <w:tc>
          <w:tcPr>
            <w:tcW w:w="1559" w:type="dxa"/>
          </w:tcPr>
          <w:p w14:paraId="1CDF8DD9" w14:textId="77777777" w:rsidR="00CF309D" w:rsidRPr="0061569A" w:rsidRDefault="00CF309D" w:rsidP="00784F4D">
            <w:pPr>
              <w:kinsoku/>
              <w:overflowPunct/>
              <w:autoSpaceDE/>
              <w:autoSpaceDN/>
              <w:adjustRightInd/>
              <w:snapToGrid/>
              <w:spacing w:after="120"/>
              <w:ind w:left="284" w:hanging="284"/>
              <w:jc w:val="center"/>
              <w:rPr>
                <w:rFonts w:eastAsia="Times New Roman"/>
                <w:lang w:eastAsia="en-US"/>
              </w:rPr>
            </w:pPr>
            <w:r>
              <w:rPr>
                <w:rFonts w:eastAsia="Times New Roman"/>
                <w:lang w:eastAsia="en-US"/>
              </w:rPr>
              <w:t>2</w:t>
            </w:r>
            <w:r w:rsidRPr="0061569A">
              <w:rPr>
                <w:rFonts w:eastAsia="Times New Roman"/>
                <w:lang w:eastAsia="en-US"/>
              </w:rPr>
              <w:t>.1</w:t>
            </w:r>
          </w:p>
        </w:tc>
        <w:tc>
          <w:tcPr>
            <w:tcW w:w="1559" w:type="dxa"/>
          </w:tcPr>
          <w:p w14:paraId="47518A55" w14:textId="77777777" w:rsidR="00CF309D" w:rsidRPr="0061569A" w:rsidRDefault="00CF309D" w:rsidP="00784F4D">
            <w:pPr>
              <w:kinsoku/>
              <w:overflowPunct/>
              <w:autoSpaceDE/>
              <w:autoSpaceDN/>
              <w:adjustRightInd/>
              <w:snapToGrid/>
              <w:spacing w:after="120"/>
              <w:ind w:left="284" w:hanging="284"/>
              <w:jc w:val="center"/>
              <w:rPr>
                <w:rFonts w:eastAsia="Times New Roman"/>
                <w:lang w:eastAsia="en-US"/>
              </w:rPr>
            </w:pPr>
            <w:r>
              <w:rPr>
                <w:rFonts w:eastAsia="Times New Roman"/>
                <w:lang w:eastAsia="en-US"/>
              </w:rPr>
              <w:t>See 1012</w:t>
            </w:r>
          </w:p>
        </w:tc>
      </w:tr>
      <w:tr w:rsidR="00CF309D" w:rsidRPr="0061569A" w14:paraId="3B1529E5" w14:textId="77777777" w:rsidTr="00784F4D">
        <w:trPr>
          <w:cantSplit/>
          <w:trHeight w:val="403"/>
        </w:trPr>
        <w:tc>
          <w:tcPr>
            <w:tcW w:w="4253" w:type="dxa"/>
          </w:tcPr>
          <w:p w14:paraId="6A3CFE61" w14:textId="77777777" w:rsidR="00CF309D" w:rsidRPr="0061569A" w:rsidRDefault="00CF309D" w:rsidP="00784F4D">
            <w:pPr>
              <w:suppressAutoHyphens w:val="0"/>
              <w:kinsoku/>
              <w:overflowPunct/>
              <w:autoSpaceDE/>
              <w:autoSpaceDN/>
              <w:adjustRightInd/>
              <w:snapToGrid/>
              <w:spacing w:before="40" w:after="40" w:line="220" w:lineRule="exact"/>
              <w:ind w:right="113"/>
              <w:rPr>
                <w:rFonts w:eastAsia="Times New Roman"/>
                <w:lang w:eastAsia="en-US"/>
              </w:rPr>
            </w:pPr>
            <w:r w:rsidRPr="0061569A">
              <w:rPr>
                <w:rFonts w:eastAsia="Times New Roman"/>
                <w:lang w:eastAsia="en-US"/>
              </w:rPr>
              <w:t xml:space="preserve">COBALT DIHYDROXIDE POWDER, containing </w:t>
            </w:r>
            <w:r>
              <w:rPr>
                <w:rFonts w:eastAsia="Times New Roman"/>
                <w:lang w:eastAsia="en-US"/>
              </w:rPr>
              <w:t>not less than</w:t>
            </w:r>
            <w:r w:rsidRPr="0061569A">
              <w:rPr>
                <w:rFonts w:eastAsia="Times New Roman"/>
                <w:lang w:eastAsia="en-US"/>
              </w:rPr>
              <w:t xml:space="preserve"> 10 % respirable particles</w:t>
            </w:r>
          </w:p>
        </w:tc>
        <w:tc>
          <w:tcPr>
            <w:tcW w:w="1559" w:type="dxa"/>
          </w:tcPr>
          <w:p w14:paraId="40F7CDDE" w14:textId="77777777" w:rsidR="00CF309D" w:rsidRPr="0061569A" w:rsidRDefault="00CF309D" w:rsidP="00784F4D">
            <w:pPr>
              <w:kinsoku/>
              <w:overflowPunct/>
              <w:autoSpaceDE/>
              <w:autoSpaceDN/>
              <w:adjustRightInd/>
              <w:snapToGrid/>
              <w:spacing w:after="120"/>
              <w:ind w:left="284" w:hanging="284"/>
              <w:jc w:val="center"/>
              <w:rPr>
                <w:rFonts w:eastAsia="Times New Roman"/>
                <w:lang w:eastAsia="en-US"/>
              </w:rPr>
            </w:pPr>
            <w:r w:rsidRPr="0061569A">
              <w:rPr>
                <w:rFonts w:eastAsia="Times New Roman"/>
                <w:lang w:eastAsia="en-US"/>
              </w:rPr>
              <w:t>6.1</w:t>
            </w:r>
          </w:p>
        </w:tc>
        <w:tc>
          <w:tcPr>
            <w:tcW w:w="1559" w:type="dxa"/>
          </w:tcPr>
          <w:p w14:paraId="7DA1966F" w14:textId="77777777" w:rsidR="00CF309D" w:rsidRPr="0061569A" w:rsidRDefault="00CF309D" w:rsidP="00784F4D">
            <w:pPr>
              <w:kinsoku/>
              <w:overflowPunct/>
              <w:autoSpaceDE/>
              <w:autoSpaceDN/>
              <w:adjustRightInd/>
              <w:snapToGrid/>
              <w:spacing w:after="120"/>
              <w:ind w:left="284" w:hanging="284"/>
              <w:jc w:val="center"/>
              <w:rPr>
                <w:rFonts w:eastAsia="Times New Roman"/>
                <w:lang w:eastAsia="en-US"/>
              </w:rPr>
            </w:pPr>
            <w:r w:rsidRPr="0061569A">
              <w:rPr>
                <w:rFonts w:eastAsia="Times New Roman"/>
                <w:lang w:eastAsia="en-US"/>
              </w:rPr>
              <w:t>3550</w:t>
            </w:r>
          </w:p>
        </w:tc>
      </w:tr>
      <w:tr w:rsidR="00CF309D" w:rsidRPr="0061569A" w14:paraId="1593570A" w14:textId="77777777" w:rsidTr="00784F4D">
        <w:trPr>
          <w:cantSplit/>
          <w:trHeight w:val="403"/>
        </w:trPr>
        <w:tc>
          <w:tcPr>
            <w:tcW w:w="4253" w:type="dxa"/>
          </w:tcPr>
          <w:p w14:paraId="35F4FC8D" w14:textId="77777777" w:rsidR="00CF309D" w:rsidRPr="004C697D" w:rsidRDefault="00CF309D" w:rsidP="00784F4D">
            <w:pPr>
              <w:suppressAutoHyphens w:val="0"/>
              <w:kinsoku/>
              <w:overflowPunct/>
              <w:autoSpaceDE/>
              <w:autoSpaceDN/>
              <w:adjustRightInd/>
              <w:snapToGrid/>
              <w:spacing w:before="40" w:after="40" w:line="220" w:lineRule="exact"/>
              <w:ind w:right="113"/>
              <w:rPr>
                <w:rFonts w:eastAsia="Times New Roman"/>
                <w:lang w:val="en-US" w:eastAsia="en-US"/>
              </w:rPr>
            </w:pPr>
            <w:r>
              <w:t>EXTRACTS, LIQUID, for flavour or aroma</w:t>
            </w:r>
          </w:p>
        </w:tc>
        <w:tc>
          <w:tcPr>
            <w:tcW w:w="1559" w:type="dxa"/>
          </w:tcPr>
          <w:p w14:paraId="12897635" w14:textId="77777777" w:rsidR="00CF309D" w:rsidRPr="0061569A" w:rsidRDefault="00CF309D" w:rsidP="00784F4D">
            <w:pPr>
              <w:kinsoku/>
              <w:overflowPunct/>
              <w:autoSpaceDE/>
              <w:autoSpaceDN/>
              <w:adjustRightInd/>
              <w:snapToGrid/>
              <w:spacing w:after="120"/>
              <w:ind w:left="284" w:hanging="284"/>
              <w:jc w:val="center"/>
              <w:rPr>
                <w:rFonts w:eastAsia="Times New Roman"/>
                <w:lang w:eastAsia="en-US"/>
              </w:rPr>
            </w:pPr>
            <w:r>
              <w:rPr>
                <w:rFonts w:eastAsia="Times New Roman"/>
                <w:lang w:eastAsia="en-US"/>
              </w:rPr>
              <w:t>3</w:t>
            </w:r>
          </w:p>
        </w:tc>
        <w:tc>
          <w:tcPr>
            <w:tcW w:w="1559" w:type="dxa"/>
          </w:tcPr>
          <w:p w14:paraId="3E887F95" w14:textId="77777777" w:rsidR="00CF309D" w:rsidRPr="0061569A" w:rsidRDefault="00CF309D" w:rsidP="00784F4D">
            <w:pPr>
              <w:kinsoku/>
              <w:overflowPunct/>
              <w:autoSpaceDE/>
              <w:autoSpaceDN/>
              <w:adjustRightInd/>
              <w:snapToGrid/>
              <w:spacing w:after="120"/>
              <w:ind w:left="284" w:hanging="284"/>
              <w:jc w:val="center"/>
              <w:rPr>
                <w:rFonts w:eastAsia="Times New Roman"/>
                <w:lang w:eastAsia="en-US"/>
              </w:rPr>
            </w:pPr>
            <w:r>
              <w:rPr>
                <w:rFonts w:eastAsia="Times New Roman"/>
                <w:lang w:eastAsia="en-US"/>
              </w:rPr>
              <w:t>1197</w:t>
            </w:r>
          </w:p>
        </w:tc>
      </w:tr>
      <w:tr w:rsidR="00CF309D" w:rsidRPr="0061569A" w14:paraId="7711560D" w14:textId="77777777" w:rsidTr="00784F4D">
        <w:trPr>
          <w:cantSplit/>
          <w:trHeight w:val="403"/>
        </w:trPr>
        <w:tc>
          <w:tcPr>
            <w:tcW w:w="4253" w:type="dxa"/>
          </w:tcPr>
          <w:p w14:paraId="507EE14A" w14:textId="77777777" w:rsidR="00CF309D" w:rsidRDefault="00CF309D" w:rsidP="00784F4D">
            <w:pPr>
              <w:suppressAutoHyphens w:val="0"/>
              <w:kinsoku/>
              <w:overflowPunct/>
              <w:autoSpaceDE/>
              <w:autoSpaceDN/>
              <w:adjustRightInd/>
              <w:snapToGrid/>
              <w:spacing w:before="40" w:after="40" w:line="220" w:lineRule="exact"/>
              <w:ind w:right="113"/>
              <w:rPr>
                <w:rFonts w:eastAsia="Times New Roman"/>
                <w:lang w:eastAsia="en-US"/>
              </w:rPr>
            </w:pPr>
            <w:r>
              <w:rPr>
                <w:rFonts w:eastAsia="Times New Roman"/>
                <w:lang w:eastAsia="en-US"/>
              </w:rPr>
              <w:t>trans-2-butylene</w:t>
            </w:r>
          </w:p>
        </w:tc>
        <w:tc>
          <w:tcPr>
            <w:tcW w:w="1559" w:type="dxa"/>
          </w:tcPr>
          <w:p w14:paraId="2E95B8BD" w14:textId="77777777" w:rsidR="00CF309D" w:rsidRDefault="00CF309D" w:rsidP="00784F4D">
            <w:pPr>
              <w:kinsoku/>
              <w:overflowPunct/>
              <w:autoSpaceDE/>
              <w:autoSpaceDN/>
              <w:adjustRightInd/>
              <w:snapToGrid/>
              <w:spacing w:after="120"/>
              <w:ind w:left="284" w:hanging="284"/>
              <w:jc w:val="center"/>
              <w:rPr>
                <w:rFonts w:eastAsia="Times New Roman"/>
                <w:lang w:eastAsia="en-US"/>
              </w:rPr>
            </w:pPr>
            <w:r>
              <w:rPr>
                <w:rFonts w:eastAsia="Times New Roman"/>
                <w:lang w:eastAsia="en-US"/>
              </w:rPr>
              <w:t>2</w:t>
            </w:r>
            <w:r w:rsidRPr="0061569A">
              <w:rPr>
                <w:rFonts w:eastAsia="Times New Roman"/>
                <w:lang w:eastAsia="en-US"/>
              </w:rPr>
              <w:t>.1</w:t>
            </w:r>
          </w:p>
        </w:tc>
        <w:tc>
          <w:tcPr>
            <w:tcW w:w="1559" w:type="dxa"/>
          </w:tcPr>
          <w:p w14:paraId="40DCF0DE" w14:textId="77777777" w:rsidR="00CF309D" w:rsidRDefault="00CF309D" w:rsidP="00784F4D">
            <w:pPr>
              <w:kinsoku/>
              <w:overflowPunct/>
              <w:autoSpaceDE/>
              <w:autoSpaceDN/>
              <w:adjustRightInd/>
              <w:snapToGrid/>
              <w:spacing w:after="120"/>
              <w:ind w:left="284" w:hanging="284"/>
              <w:jc w:val="center"/>
              <w:rPr>
                <w:rFonts w:eastAsia="Times New Roman"/>
                <w:lang w:eastAsia="en-US"/>
              </w:rPr>
            </w:pPr>
            <w:r>
              <w:rPr>
                <w:rFonts w:eastAsia="Times New Roman"/>
                <w:lang w:eastAsia="en-US"/>
              </w:rPr>
              <w:t>See 1012</w:t>
            </w:r>
          </w:p>
        </w:tc>
      </w:tr>
    </w:tbl>
    <w:p w14:paraId="6F1F3604" w14:textId="77777777" w:rsidR="00CF309D" w:rsidRPr="00843762" w:rsidRDefault="00CF309D" w:rsidP="00CF309D">
      <w:pPr>
        <w:pStyle w:val="SingleTxtG"/>
        <w:spacing w:before="120"/>
        <w:rPr>
          <w:i/>
          <w:iCs/>
        </w:rPr>
      </w:pPr>
      <w:r w:rsidRPr="00804977">
        <w:rPr>
          <w:i/>
          <w:iCs/>
        </w:rPr>
        <w:t>(Reference document:</w:t>
      </w:r>
      <w:r w:rsidRPr="00F52909">
        <w:rPr>
          <w:i/>
          <w:iCs/>
        </w:rPr>
        <w:t xml:space="preserve"> </w:t>
      </w:r>
      <w:r w:rsidRPr="00804977">
        <w:rPr>
          <w:i/>
          <w:iCs/>
        </w:rPr>
        <w:t>ST/SG/AC.10/C.3/20</w:t>
      </w:r>
      <w:r>
        <w:rPr>
          <w:i/>
          <w:iCs/>
        </w:rPr>
        <w:t>20</w:t>
      </w:r>
      <w:r w:rsidRPr="00804977">
        <w:rPr>
          <w:i/>
          <w:iCs/>
        </w:rPr>
        <w:t>/</w:t>
      </w:r>
      <w:r>
        <w:rPr>
          <w:i/>
          <w:iCs/>
        </w:rPr>
        <w:t xml:space="preserve">69, informal document INF.45, as amended, and </w:t>
      </w:r>
      <w:r w:rsidRPr="00007C2E">
        <w:rPr>
          <w:i/>
          <w:iCs/>
        </w:rPr>
        <w:t>ST/SG/AC.10/C.3/2020/</w:t>
      </w:r>
      <w:r>
        <w:rPr>
          <w:i/>
          <w:iCs/>
        </w:rPr>
        <w:t>38/Rev.1, as amended</w:t>
      </w:r>
      <w:r w:rsidRPr="00804977">
        <w:rPr>
          <w:i/>
          <w:iCs/>
        </w:rPr>
        <w:t>)</w:t>
      </w:r>
    </w:p>
    <w:p w14:paraId="1B683D0E" w14:textId="77777777" w:rsidR="00CF309D" w:rsidRDefault="00CF309D" w:rsidP="00CF309D">
      <w:pPr>
        <w:pStyle w:val="H1G"/>
      </w:pPr>
      <w:r>
        <w:tab/>
      </w:r>
      <w:r>
        <w:tab/>
        <w:t>Chapter 4.1</w:t>
      </w:r>
    </w:p>
    <w:p w14:paraId="08FAF078" w14:textId="77777777" w:rsidR="00CF309D" w:rsidRPr="00D23FB7" w:rsidRDefault="00CF309D" w:rsidP="00CF309D">
      <w:pPr>
        <w:pStyle w:val="SingleTxtG"/>
        <w:ind w:left="2268" w:hanging="1134"/>
        <w:rPr>
          <w:lang w:val="en-US"/>
        </w:rPr>
      </w:pPr>
      <w:r>
        <w:t>4.1.1.19.2</w:t>
      </w:r>
      <w:r>
        <w:tab/>
      </w:r>
      <w:r>
        <w:rPr>
          <w:lang w:val="en-US"/>
        </w:rPr>
        <w:t>Delete the second sentence. In the fourth sentence, replace “1 000” by “3 000”.</w:t>
      </w:r>
    </w:p>
    <w:p w14:paraId="1DE7EFC8" w14:textId="77777777" w:rsidR="00CF309D" w:rsidRPr="00843762" w:rsidRDefault="00CF309D" w:rsidP="00CF309D">
      <w:pPr>
        <w:pStyle w:val="SingleTxtG"/>
        <w:rPr>
          <w:i/>
          <w:iCs/>
        </w:rPr>
      </w:pPr>
      <w:r w:rsidRPr="00804977">
        <w:rPr>
          <w:i/>
          <w:iCs/>
        </w:rPr>
        <w:t>(Reference document: ST/SG/AC.10/C.3/20</w:t>
      </w:r>
      <w:r>
        <w:rPr>
          <w:i/>
          <w:iCs/>
        </w:rPr>
        <w:t>20</w:t>
      </w:r>
      <w:r w:rsidRPr="00804977">
        <w:rPr>
          <w:i/>
          <w:iCs/>
        </w:rPr>
        <w:t>/</w:t>
      </w:r>
      <w:r>
        <w:rPr>
          <w:i/>
          <w:iCs/>
        </w:rPr>
        <w:t>18, proposal 3</w:t>
      </w:r>
      <w:r w:rsidRPr="00804977">
        <w:rPr>
          <w:i/>
          <w:iCs/>
        </w:rPr>
        <w:t>)</w:t>
      </w:r>
    </w:p>
    <w:p w14:paraId="65E68A5F" w14:textId="77777777" w:rsidR="00CF309D" w:rsidRPr="00A20118" w:rsidRDefault="00CF309D" w:rsidP="00CF309D">
      <w:pPr>
        <w:pStyle w:val="SingleTxtG"/>
        <w:ind w:left="2268" w:hanging="1134"/>
      </w:pPr>
      <w:r w:rsidRPr="00A20118">
        <w:t>4.1.3.3</w:t>
      </w:r>
      <w:r w:rsidRPr="00A20118">
        <w:tab/>
        <w:t>Add a new last sentence to read as follows:</w:t>
      </w:r>
    </w:p>
    <w:p w14:paraId="585739A0" w14:textId="77777777" w:rsidR="00CF309D" w:rsidRPr="00A20118" w:rsidRDefault="00CF309D" w:rsidP="00CF309D">
      <w:pPr>
        <w:pStyle w:val="SingleTxtG"/>
      </w:pPr>
      <w:r w:rsidRPr="00A20118">
        <w:t>“Where packagings which need not meet the requirements of 4.1.1.3 (e.g., crates, pallets, etc.) are authorized in a packing instruction or the special provisions named in the dangerous goods list, these packages are not subject to the mass or volume limits generally applicable to packagings conforming to the requirements of Chapter 6.1, unless otherwise indicated in the relevant packing instruction or special provision.”</w:t>
      </w:r>
    </w:p>
    <w:p w14:paraId="254A842C" w14:textId="77777777" w:rsidR="00CF309D" w:rsidRPr="00A20118" w:rsidRDefault="00CF309D" w:rsidP="00CF309D">
      <w:pPr>
        <w:pStyle w:val="SingleTxtG"/>
        <w:rPr>
          <w:i/>
          <w:iCs/>
        </w:rPr>
      </w:pPr>
      <w:r w:rsidRPr="00A20118">
        <w:rPr>
          <w:i/>
          <w:iCs/>
        </w:rPr>
        <w:t>(Reference document: ST/SG/AC.10/C.3/2020/75, as amended)</w:t>
      </w:r>
    </w:p>
    <w:p w14:paraId="36BD45AE" w14:textId="77777777" w:rsidR="00CF309D" w:rsidRPr="002D2841" w:rsidRDefault="00CF309D" w:rsidP="00CF309D">
      <w:pPr>
        <w:spacing w:after="120"/>
        <w:ind w:left="1134" w:right="1134"/>
        <w:jc w:val="both"/>
        <w:rPr>
          <w:rFonts w:eastAsia="Times New Roman"/>
          <w:lang w:eastAsia="en-US"/>
        </w:rPr>
      </w:pPr>
      <w:r w:rsidRPr="002D2841">
        <w:rPr>
          <w:rFonts w:eastAsia="Times New Roman"/>
          <w:lang w:eastAsia="en-US"/>
        </w:rPr>
        <w:t>4.1.4.1, P003</w:t>
      </w:r>
      <w:r w:rsidRPr="002D2841">
        <w:rPr>
          <w:rFonts w:eastAsia="Times New Roman"/>
          <w:lang w:eastAsia="en-US"/>
        </w:rPr>
        <w:tab/>
      </w:r>
      <w:r w:rsidRPr="00A20118">
        <w:rPr>
          <w:rFonts w:eastAsia="Times New Roman"/>
          <w:lang w:eastAsia="en-US"/>
        </w:rPr>
        <w:t>Under special packing provision</w:t>
      </w:r>
      <w:r w:rsidRPr="002D2841">
        <w:rPr>
          <w:rFonts w:eastAsia="Times New Roman"/>
          <w:lang w:eastAsia="en-US"/>
        </w:rPr>
        <w:t xml:space="preserve"> PP32, </w:t>
      </w:r>
      <w:r w:rsidRPr="00A20118">
        <w:rPr>
          <w:rFonts w:eastAsia="Times New Roman"/>
          <w:lang w:eastAsia="en-US"/>
        </w:rPr>
        <w:t>add a new Note to read as follows:</w:t>
      </w:r>
    </w:p>
    <w:p w14:paraId="1626F8CF" w14:textId="77777777" w:rsidR="00CF309D" w:rsidRPr="00A20118" w:rsidRDefault="00CF309D" w:rsidP="00CF309D">
      <w:pPr>
        <w:spacing w:after="120"/>
        <w:ind w:left="1134" w:right="1134"/>
        <w:jc w:val="both"/>
        <w:rPr>
          <w:rFonts w:eastAsiaTheme="minorHAnsi"/>
          <w:lang w:eastAsia="en-US"/>
        </w:rPr>
      </w:pPr>
      <w:r w:rsidRPr="00A20118">
        <w:rPr>
          <w:i/>
          <w:iCs/>
        </w:rPr>
        <w:t>“</w:t>
      </w:r>
      <w:r w:rsidRPr="00A20118">
        <w:rPr>
          <w:b/>
          <w:i/>
          <w:iCs/>
        </w:rPr>
        <w:t>NOTE:</w:t>
      </w:r>
      <w:r w:rsidRPr="00A20118">
        <w:rPr>
          <w:i/>
          <w:iCs/>
        </w:rPr>
        <w:t xml:space="preserve"> The packagings authorized may exceed a net mass of 400 kg (see 4.1.3.3).”</w:t>
      </w:r>
    </w:p>
    <w:p w14:paraId="7023D372" w14:textId="77777777" w:rsidR="00CF309D" w:rsidRPr="002D2841" w:rsidRDefault="00CF309D" w:rsidP="00CF309D">
      <w:pPr>
        <w:kinsoku/>
        <w:overflowPunct/>
        <w:autoSpaceDE/>
        <w:autoSpaceDN/>
        <w:adjustRightInd/>
        <w:snapToGrid/>
        <w:spacing w:after="120"/>
        <w:ind w:left="2268" w:right="1134" w:hanging="1134"/>
        <w:jc w:val="both"/>
        <w:rPr>
          <w:rFonts w:eastAsia="Times New Roman"/>
          <w:i/>
          <w:iCs/>
          <w:lang w:eastAsia="en-US"/>
        </w:rPr>
      </w:pPr>
      <w:r w:rsidRPr="002D2841">
        <w:rPr>
          <w:rFonts w:eastAsia="Times New Roman"/>
          <w:i/>
          <w:iCs/>
          <w:lang w:eastAsia="en-US"/>
        </w:rPr>
        <w:t>(</w:t>
      </w:r>
      <w:r w:rsidRPr="00A20118">
        <w:rPr>
          <w:i/>
          <w:iCs/>
        </w:rPr>
        <w:t xml:space="preserve">Reference document: </w:t>
      </w:r>
      <w:r w:rsidRPr="002D2841">
        <w:rPr>
          <w:rFonts w:eastAsia="Times New Roman"/>
          <w:i/>
          <w:iCs/>
          <w:lang w:eastAsia="en-US"/>
        </w:rPr>
        <w:t xml:space="preserve"> ST/SG/AC.10/C.3/2020/75)</w:t>
      </w:r>
    </w:p>
    <w:p w14:paraId="2973A9BC" w14:textId="77777777" w:rsidR="00CF309D" w:rsidRPr="002D2841" w:rsidRDefault="00CF309D" w:rsidP="00CF309D">
      <w:pPr>
        <w:spacing w:after="120"/>
        <w:ind w:left="1134" w:right="1134"/>
        <w:jc w:val="both"/>
        <w:rPr>
          <w:rFonts w:eastAsia="Times New Roman"/>
          <w:lang w:eastAsia="en-US"/>
        </w:rPr>
      </w:pPr>
      <w:r w:rsidRPr="002D2841">
        <w:rPr>
          <w:rFonts w:eastAsia="Times New Roman"/>
          <w:lang w:eastAsia="en-US"/>
        </w:rPr>
        <w:t xml:space="preserve">4.1.4.1, P004 </w:t>
      </w:r>
      <w:r w:rsidRPr="00A20118">
        <w:rPr>
          <w:rFonts w:eastAsia="Times New Roman"/>
          <w:lang w:eastAsia="en-US"/>
        </w:rPr>
        <w:t>(</w:t>
      </w:r>
      <w:r w:rsidRPr="002D2841">
        <w:rPr>
          <w:rFonts w:eastAsia="Times New Roman"/>
          <w:lang w:eastAsia="en-US"/>
        </w:rPr>
        <w:t>2)</w:t>
      </w:r>
      <w:r w:rsidRPr="002D2841">
        <w:rPr>
          <w:rFonts w:eastAsia="Times New Roman"/>
          <w:lang w:eastAsia="en-US"/>
        </w:rPr>
        <w:tab/>
      </w:r>
      <w:r w:rsidRPr="00A20118">
        <w:rPr>
          <w:rFonts w:eastAsia="Times New Roman"/>
          <w:lang w:eastAsia="en-US"/>
        </w:rPr>
        <w:t>Under the first paragraph, add a new Note to read as follows:</w:t>
      </w:r>
    </w:p>
    <w:p w14:paraId="55436BBC" w14:textId="77777777" w:rsidR="00CF309D" w:rsidRPr="00A20118" w:rsidRDefault="00CF309D" w:rsidP="00CF309D">
      <w:pPr>
        <w:spacing w:after="120"/>
        <w:ind w:left="1134" w:right="1134"/>
        <w:jc w:val="both"/>
        <w:rPr>
          <w:rFonts w:eastAsiaTheme="minorHAnsi"/>
          <w:lang w:eastAsia="en-US"/>
        </w:rPr>
      </w:pPr>
      <w:r w:rsidRPr="00A20118">
        <w:rPr>
          <w:i/>
          <w:iCs/>
        </w:rPr>
        <w:t>“</w:t>
      </w:r>
      <w:r w:rsidRPr="00A20118">
        <w:rPr>
          <w:b/>
          <w:i/>
          <w:iCs/>
        </w:rPr>
        <w:t>NOTE</w:t>
      </w:r>
      <w:r>
        <w:rPr>
          <w:b/>
          <w:i/>
          <w:iCs/>
        </w:rPr>
        <w:t xml:space="preserve"> 1</w:t>
      </w:r>
      <w:r w:rsidRPr="00A20118">
        <w:rPr>
          <w:b/>
          <w:i/>
          <w:iCs/>
        </w:rPr>
        <w:t>:</w:t>
      </w:r>
      <w:r w:rsidRPr="00A20118">
        <w:rPr>
          <w:i/>
          <w:iCs/>
        </w:rPr>
        <w:t xml:space="preserve"> The packagings authorized may exceed a net mass of 400 kg (see 4.1.3.3).”</w:t>
      </w:r>
    </w:p>
    <w:p w14:paraId="1688EE5B" w14:textId="77777777" w:rsidR="00CF309D" w:rsidRPr="002D2841" w:rsidRDefault="00CF309D" w:rsidP="00CF309D">
      <w:pPr>
        <w:kinsoku/>
        <w:overflowPunct/>
        <w:autoSpaceDE/>
        <w:autoSpaceDN/>
        <w:adjustRightInd/>
        <w:snapToGrid/>
        <w:spacing w:after="120"/>
        <w:ind w:left="2268" w:right="1134" w:hanging="1134"/>
        <w:jc w:val="both"/>
        <w:rPr>
          <w:rFonts w:eastAsia="Times New Roman"/>
          <w:i/>
          <w:iCs/>
          <w:lang w:eastAsia="en-US"/>
        </w:rPr>
      </w:pPr>
      <w:r w:rsidRPr="002D2841">
        <w:rPr>
          <w:rFonts w:eastAsia="Times New Roman"/>
          <w:i/>
          <w:iCs/>
          <w:lang w:eastAsia="en-US"/>
        </w:rPr>
        <w:t>(</w:t>
      </w:r>
      <w:r w:rsidRPr="00A20118">
        <w:rPr>
          <w:i/>
          <w:iCs/>
        </w:rPr>
        <w:t xml:space="preserve">Reference document: </w:t>
      </w:r>
      <w:r w:rsidRPr="002D2841">
        <w:rPr>
          <w:rFonts w:eastAsia="Times New Roman"/>
          <w:i/>
          <w:iCs/>
          <w:lang w:eastAsia="en-US"/>
        </w:rPr>
        <w:t xml:space="preserve"> ST/SG/AC.10/C.3/2020/75)</w:t>
      </w:r>
    </w:p>
    <w:p w14:paraId="1E2CD17B" w14:textId="77777777" w:rsidR="00CF309D" w:rsidRPr="002D2841" w:rsidRDefault="00CF309D" w:rsidP="00CF309D">
      <w:pPr>
        <w:spacing w:after="120"/>
        <w:ind w:left="1134" w:right="1134"/>
        <w:jc w:val="both"/>
        <w:rPr>
          <w:rFonts w:eastAsia="Times New Roman"/>
          <w:lang w:eastAsia="en-US"/>
        </w:rPr>
      </w:pPr>
      <w:r w:rsidRPr="002D2841">
        <w:rPr>
          <w:rFonts w:eastAsia="Times New Roman"/>
          <w:lang w:eastAsia="en-US"/>
        </w:rPr>
        <w:t xml:space="preserve">4.1.4.1, P004 </w:t>
      </w:r>
      <w:r w:rsidRPr="00A20118">
        <w:rPr>
          <w:rFonts w:eastAsia="Times New Roman"/>
          <w:lang w:eastAsia="en-US"/>
        </w:rPr>
        <w:t>(</w:t>
      </w:r>
      <w:r w:rsidRPr="002D2841">
        <w:rPr>
          <w:rFonts w:eastAsia="Times New Roman"/>
          <w:lang w:eastAsia="en-US"/>
        </w:rPr>
        <w:t>3)</w:t>
      </w:r>
      <w:r w:rsidRPr="002D2841">
        <w:rPr>
          <w:rFonts w:eastAsia="Times New Roman"/>
          <w:lang w:eastAsia="en-US"/>
        </w:rPr>
        <w:tab/>
      </w:r>
      <w:r w:rsidRPr="00A20118">
        <w:rPr>
          <w:rFonts w:eastAsia="Times New Roman"/>
          <w:lang w:eastAsia="en-US"/>
        </w:rPr>
        <w:t>At the end, add a new Note to read as follows:</w:t>
      </w:r>
    </w:p>
    <w:p w14:paraId="386D2CE8" w14:textId="77777777" w:rsidR="00CF309D" w:rsidRPr="00A20118" w:rsidRDefault="00CF309D" w:rsidP="00CF309D">
      <w:pPr>
        <w:spacing w:after="120"/>
        <w:ind w:left="1134" w:right="1134"/>
        <w:jc w:val="both"/>
        <w:rPr>
          <w:rFonts w:eastAsiaTheme="minorHAnsi"/>
          <w:lang w:eastAsia="en-US"/>
        </w:rPr>
      </w:pPr>
      <w:r w:rsidRPr="00A20118">
        <w:rPr>
          <w:i/>
          <w:iCs/>
        </w:rPr>
        <w:lastRenderedPageBreak/>
        <w:t>“</w:t>
      </w:r>
      <w:r w:rsidRPr="00A20118">
        <w:rPr>
          <w:b/>
          <w:i/>
          <w:iCs/>
        </w:rPr>
        <w:t>NOTE</w:t>
      </w:r>
      <w:r>
        <w:rPr>
          <w:b/>
          <w:i/>
          <w:iCs/>
        </w:rPr>
        <w:t xml:space="preserve"> 2</w:t>
      </w:r>
      <w:r w:rsidRPr="00A20118">
        <w:rPr>
          <w:b/>
          <w:i/>
          <w:iCs/>
        </w:rPr>
        <w:t>:</w:t>
      </w:r>
      <w:r w:rsidRPr="00A20118">
        <w:rPr>
          <w:i/>
          <w:iCs/>
        </w:rPr>
        <w:t xml:space="preserve"> The packagings authorized may exceed a net mass of 400 kg (see 4.1.3.3).”</w:t>
      </w:r>
    </w:p>
    <w:p w14:paraId="4F609639" w14:textId="77777777" w:rsidR="00CF309D" w:rsidRPr="002D2841" w:rsidRDefault="00CF309D" w:rsidP="00CF309D">
      <w:pPr>
        <w:kinsoku/>
        <w:overflowPunct/>
        <w:autoSpaceDE/>
        <w:autoSpaceDN/>
        <w:adjustRightInd/>
        <w:snapToGrid/>
        <w:spacing w:after="120"/>
        <w:ind w:left="2268" w:right="1134" w:hanging="1134"/>
        <w:jc w:val="both"/>
        <w:rPr>
          <w:rFonts w:eastAsia="Times New Roman"/>
          <w:i/>
          <w:iCs/>
          <w:lang w:eastAsia="en-US"/>
        </w:rPr>
      </w:pPr>
      <w:r w:rsidRPr="002D2841">
        <w:rPr>
          <w:rFonts w:eastAsia="Times New Roman"/>
          <w:i/>
          <w:iCs/>
          <w:lang w:eastAsia="en-US"/>
        </w:rPr>
        <w:t>(</w:t>
      </w:r>
      <w:r w:rsidRPr="00A20118">
        <w:rPr>
          <w:i/>
          <w:iCs/>
        </w:rPr>
        <w:t xml:space="preserve">Reference document: </w:t>
      </w:r>
      <w:r w:rsidRPr="002D2841">
        <w:rPr>
          <w:rFonts w:eastAsia="Times New Roman"/>
          <w:i/>
          <w:iCs/>
          <w:lang w:eastAsia="en-US"/>
        </w:rPr>
        <w:t xml:space="preserve"> ST/SG/AC.10/C.3/2020/75)</w:t>
      </w:r>
    </w:p>
    <w:p w14:paraId="476FEFA9" w14:textId="77777777" w:rsidR="00CF309D" w:rsidRPr="002D2841" w:rsidRDefault="00CF309D" w:rsidP="00CF309D">
      <w:pPr>
        <w:spacing w:after="120"/>
        <w:ind w:left="1134" w:right="1134"/>
        <w:jc w:val="both"/>
        <w:rPr>
          <w:rFonts w:eastAsia="Times New Roman"/>
          <w:lang w:eastAsia="en-US"/>
        </w:rPr>
      </w:pPr>
      <w:r w:rsidRPr="002D2841">
        <w:rPr>
          <w:rFonts w:eastAsia="Times New Roman"/>
          <w:lang w:eastAsia="en-US"/>
        </w:rPr>
        <w:t>4.1.4.1, P005</w:t>
      </w:r>
      <w:r w:rsidRPr="002D2841">
        <w:rPr>
          <w:rFonts w:eastAsia="Times New Roman"/>
          <w:lang w:eastAsia="en-US"/>
        </w:rPr>
        <w:tab/>
      </w:r>
      <w:r w:rsidRPr="00A20118">
        <w:rPr>
          <w:rFonts w:eastAsia="Times New Roman"/>
          <w:lang w:eastAsia="en-US"/>
        </w:rPr>
        <w:t>In the second row after the heading row, under the second paragraph, add a new Note to read as follows:</w:t>
      </w:r>
    </w:p>
    <w:p w14:paraId="2C49EFE7" w14:textId="77777777" w:rsidR="00CF309D" w:rsidRPr="00A20118" w:rsidRDefault="00CF309D" w:rsidP="00CF309D">
      <w:pPr>
        <w:spacing w:after="120"/>
        <w:ind w:left="1134" w:right="1134"/>
        <w:jc w:val="both"/>
        <w:rPr>
          <w:rFonts w:eastAsiaTheme="minorHAnsi"/>
          <w:lang w:eastAsia="en-US"/>
        </w:rPr>
      </w:pPr>
      <w:r w:rsidRPr="00A20118">
        <w:rPr>
          <w:i/>
          <w:iCs/>
        </w:rPr>
        <w:t>“</w:t>
      </w:r>
      <w:r w:rsidRPr="00A20118">
        <w:rPr>
          <w:b/>
          <w:i/>
          <w:iCs/>
        </w:rPr>
        <w:t>NOTE:</w:t>
      </w:r>
      <w:r w:rsidRPr="00A20118">
        <w:rPr>
          <w:i/>
          <w:iCs/>
        </w:rPr>
        <w:t xml:space="preserve"> The packagings authorized may exceed a net mass of 400 kg (see 4.1.3.3).”</w:t>
      </w:r>
    </w:p>
    <w:p w14:paraId="2B852BAA" w14:textId="77777777" w:rsidR="00CF309D" w:rsidRPr="002D2841" w:rsidRDefault="00CF309D" w:rsidP="00CF309D">
      <w:pPr>
        <w:kinsoku/>
        <w:overflowPunct/>
        <w:autoSpaceDE/>
        <w:autoSpaceDN/>
        <w:adjustRightInd/>
        <w:snapToGrid/>
        <w:spacing w:after="120"/>
        <w:ind w:left="2268" w:right="1134" w:hanging="1134"/>
        <w:jc w:val="both"/>
        <w:rPr>
          <w:rFonts w:eastAsia="Times New Roman"/>
          <w:i/>
          <w:iCs/>
          <w:lang w:eastAsia="en-US"/>
        </w:rPr>
      </w:pPr>
      <w:r w:rsidRPr="002D2841">
        <w:rPr>
          <w:rFonts w:eastAsia="Times New Roman"/>
          <w:i/>
          <w:iCs/>
          <w:lang w:eastAsia="en-US"/>
        </w:rPr>
        <w:t>(</w:t>
      </w:r>
      <w:r w:rsidRPr="00A20118">
        <w:rPr>
          <w:i/>
          <w:iCs/>
        </w:rPr>
        <w:t xml:space="preserve">Reference document: </w:t>
      </w:r>
      <w:r w:rsidRPr="002D2841">
        <w:rPr>
          <w:rFonts w:eastAsia="Times New Roman"/>
          <w:i/>
          <w:iCs/>
          <w:lang w:eastAsia="en-US"/>
        </w:rPr>
        <w:t xml:space="preserve"> ST/SG/AC.10/C.3/2020/75)</w:t>
      </w:r>
    </w:p>
    <w:p w14:paraId="2EE8DBD2" w14:textId="77777777" w:rsidR="00CF309D" w:rsidRPr="002D2841" w:rsidRDefault="00CF309D" w:rsidP="00CF309D">
      <w:pPr>
        <w:spacing w:after="120"/>
        <w:ind w:left="1134" w:right="1134"/>
        <w:jc w:val="both"/>
        <w:rPr>
          <w:rFonts w:eastAsia="Times New Roman"/>
          <w:lang w:eastAsia="en-US"/>
        </w:rPr>
      </w:pPr>
      <w:r w:rsidRPr="002D2841">
        <w:rPr>
          <w:rFonts w:eastAsia="Times New Roman"/>
          <w:lang w:eastAsia="en-US"/>
        </w:rPr>
        <w:t xml:space="preserve">4.1.4.1, P006 </w:t>
      </w:r>
      <w:r w:rsidRPr="00A20118">
        <w:rPr>
          <w:rFonts w:eastAsia="Times New Roman"/>
          <w:lang w:eastAsia="en-US"/>
        </w:rPr>
        <w:t>(</w:t>
      </w:r>
      <w:r w:rsidRPr="002D2841">
        <w:rPr>
          <w:rFonts w:eastAsia="Times New Roman"/>
          <w:lang w:eastAsia="en-US"/>
        </w:rPr>
        <w:t>2)</w:t>
      </w:r>
      <w:r w:rsidRPr="002D2841">
        <w:rPr>
          <w:rFonts w:eastAsia="Times New Roman"/>
          <w:lang w:eastAsia="en-US"/>
        </w:rPr>
        <w:tab/>
      </w:r>
      <w:r w:rsidRPr="00A20118">
        <w:rPr>
          <w:rFonts w:eastAsia="Times New Roman"/>
          <w:lang w:eastAsia="en-US"/>
        </w:rPr>
        <w:t>At the end, add a new Note to read as follows:</w:t>
      </w:r>
    </w:p>
    <w:p w14:paraId="3645D092" w14:textId="77777777" w:rsidR="00CF309D" w:rsidRPr="00A20118" w:rsidRDefault="00CF309D" w:rsidP="00CF309D">
      <w:pPr>
        <w:spacing w:after="120"/>
        <w:ind w:left="1134" w:right="1134"/>
        <w:jc w:val="both"/>
        <w:rPr>
          <w:rFonts w:eastAsiaTheme="minorHAnsi"/>
          <w:lang w:eastAsia="en-US"/>
        </w:rPr>
      </w:pPr>
      <w:r w:rsidRPr="00A20118">
        <w:rPr>
          <w:i/>
          <w:iCs/>
        </w:rPr>
        <w:t>“</w:t>
      </w:r>
      <w:r w:rsidRPr="00A20118">
        <w:rPr>
          <w:b/>
          <w:i/>
          <w:iCs/>
        </w:rPr>
        <w:t>NOTE:</w:t>
      </w:r>
      <w:r w:rsidRPr="00A20118">
        <w:rPr>
          <w:i/>
          <w:iCs/>
        </w:rPr>
        <w:t xml:space="preserve"> The packagings authorized may exceed a net mass of 400 kg (see 4.1.3.3).”</w:t>
      </w:r>
    </w:p>
    <w:p w14:paraId="2F5F3D3E" w14:textId="77777777" w:rsidR="00CF309D" w:rsidRPr="002D2841" w:rsidRDefault="00CF309D" w:rsidP="00CF309D">
      <w:pPr>
        <w:kinsoku/>
        <w:overflowPunct/>
        <w:autoSpaceDE/>
        <w:autoSpaceDN/>
        <w:adjustRightInd/>
        <w:snapToGrid/>
        <w:spacing w:after="120"/>
        <w:ind w:left="2268" w:right="1134" w:hanging="1134"/>
        <w:jc w:val="both"/>
        <w:rPr>
          <w:rFonts w:eastAsia="Times New Roman"/>
          <w:i/>
          <w:iCs/>
          <w:lang w:eastAsia="en-US"/>
        </w:rPr>
      </w:pPr>
      <w:r w:rsidRPr="002D2841">
        <w:rPr>
          <w:rFonts w:eastAsia="Times New Roman"/>
          <w:i/>
          <w:iCs/>
          <w:lang w:eastAsia="en-US"/>
        </w:rPr>
        <w:t>(</w:t>
      </w:r>
      <w:r w:rsidRPr="00A20118">
        <w:rPr>
          <w:i/>
          <w:iCs/>
        </w:rPr>
        <w:t xml:space="preserve">Reference document: </w:t>
      </w:r>
      <w:r w:rsidRPr="002D2841">
        <w:rPr>
          <w:rFonts w:eastAsia="Times New Roman"/>
          <w:i/>
          <w:iCs/>
          <w:lang w:eastAsia="en-US"/>
        </w:rPr>
        <w:t xml:space="preserve"> ST/SG/AC.10/C.3/2020/75)</w:t>
      </w:r>
    </w:p>
    <w:p w14:paraId="73BD42F2" w14:textId="77777777" w:rsidR="00CF309D" w:rsidRPr="002D2841" w:rsidRDefault="00CF309D" w:rsidP="00CF309D">
      <w:pPr>
        <w:spacing w:after="120"/>
        <w:ind w:left="1134" w:right="1134"/>
        <w:jc w:val="both"/>
        <w:rPr>
          <w:rFonts w:eastAsia="Times New Roman"/>
          <w:lang w:eastAsia="en-US"/>
        </w:rPr>
      </w:pPr>
      <w:r w:rsidRPr="002D2841">
        <w:rPr>
          <w:rFonts w:eastAsia="Times New Roman"/>
          <w:lang w:eastAsia="en-US"/>
        </w:rPr>
        <w:t>4.1.4.1, P130</w:t>
      </w:r>
      <w:r w:rsidRPr="002D2841">
        <w:rPr>
          <w:rFonts w:eastAsia="Times New Roman"/>
          <w:lang w:eastAsia="en-US"/>
        </w:rPr>
        <w:tab/>
      </w:r>
      <w:r w:rsidRPr="00A20118">
        <w:rPr>
          <w:rFonts w:eastAsia="Times New Roman"/>
          <w:lang w:eastAsia="en-US"/>
        </w:rPr>
        <w:t xml:space="preserve">Under special packing provision </w:t>
      </w:r>
      <w:r w:rsidRPr="002D2841">
        <w:rPr>
          <w:rFonts w:eastAsia="Times New Roman"/>
          <w:lang w:eastAsia="en-US"/>
        </w:rPr>
        <w:t xml:space="preserve">PP67, </w:t>
      </w:r>
      <w:r w:rsidRPr="00A20118">
        <w:rPr>
          <w:rFonts w:eastAsia="Times New Roman"/>
          <w:lang w:eastAsia="en-US"/>
        </w:rPr>
        <w:t>add a new Note to read as follows:</w:t>
      </w:r>
    </w:p>
    <w:p w14:paraId="3EBE2C6F" w14:textId="77777777" w:rsidR="00CF309D" w:rsidRPr="00A20118" w:rsidRDefault="00CF309D" w:rsidP="00CF309D">
      <w:pPr>
        <w:spacing w:after="120"/>
        <w:ind w:left="1134" w:right="1134"/>
        <w:jc w:val="both"/>
        <w:rPr>
          <w:rFonts w:eastAsiaTheme="minorHAnsi"/>
          <w:lang w:eastAsia="en-US"/>
        </w:rPr>
      </w:pPr>
      <w:r w:rsidRPr="00A20118">
        <w:rPr>
          <w:i/>
          <w:iCs/>
        </w:rPr>
        <w:t>“</w:t>
      </w:r>
      <w:r w:rsidRPr="00A20118">
        <w:rPr>
          <w:b/>
          <w:i/>
          <w:iCs/>
        </w:rPr>
        <w:t>NOTE:</w:t>
      </w:r>
      <w:r w:rsidRPr="00A20118">
        <w:rPr>
          <w:i/>
          <w:iCs/>
        </w:rPr>
        <w:t xml:space="preserve"> The packagings authorized may exceed a net mass of 400 kg (see 4.1.3.3).”</w:t>
      </w:r>
    </w:p>
    <w:p w14:paraId="20BB752B" w14:textId="77777777" w:rsidR="00CF309D" w:rsidRPr="002D2841" w:rsidRDefault="00CF309D" w:rsidP="00CF309D">
      <w:pPr>
        <w:kinsoku/>
        <w:overflowPunct/>
        <w:autoSpaceDE/>
        <w:autoSpaceDN/>
        <w:adjustRightInd/>
        <w:snapToGrid/>
        <w:spacing w:after="120"/>
        <w:ind w:left="2268" w:right="1134" w:hanging="1134"/>
        <w:jc w:val="both"/>
        <w:rPr>
          <w:rFonts w:eastAsia="Times New Roman"/>
          <w:i/>
          <w:iCs/>
          <w:lang w:eastAsia="en-US"/>
        </w:rPr>
      </w:pPr>
      <w:r w:rsidRPr="002D2841">
        <w:rPr>
          <w:rFonts w:eastAsia="Times New Roman"/>
          <w:i/>
          <w:iCs/>
          <w:lang w:eastAsia="en-US"/>
        </w:rPr>
        <w:t>(</w:t>
      </w:r>
      <w:r w:rsidRPr="00A20118">
        <w:rPr>
          <w:i/>
          <w:iCs/>
        </w:rPr>
        <w:t xml:space="preserve">Reference document: </w:t>
      </w:r>
      <w:r w:rsidRPr="002D2841">
        <w:rPr>
          <w:rFonts w:eastAsia="Times New Roman"/>
          <w:i/>
          <w:iCs/>
          <w:lang w:eastAsia="en-US"/>
        </w:rPr>
        <w:t xml:space="preserve"> ST/SG/AC.10/C.3/2020/75)</w:t>
      </w:r>
    </w:p>
    <w:p w14:paraId="528ABA1A" w14:textId="77777777" w:rsidR="00CF309D" w:rsidRPr="002D2841" w:rsidRDefault="00CF309D" w:rsidP="00CF309D">
      <w:pPr>
        <w:spacing w:after="120"/>
        <w:ind w:left="1134" w:right="1134"/>
        <w:jc w:val="both"/>
        <w:rPr>
          <w:rFonts w:eastAsia="Times New Roman"/>
          <w:lang w:eastAsia="en-US"/>
        </w:rPr>
      </w:pPr>
      <w:r w:rsidRPr="002D2841">
        <w:rPr>
          <w:rFonts w:eastAsia="Times New Roman"/>
          <w:lang w:eastAsia="en-US"/>
        </w:rPr>
        <w:t>4.1.4.1, P144</w:t>
      </w:r>
      <w:r w:rsidRPr="002D2841">
        <w:rPr>
          <w:rFonts w:eastAsia="Times New Roman"/>
          <w:lang w:eastAsia="en-US"/>
        </w:rPr>
        <w:tab/>
      </w:r>
      <w:r w:rsidRPr="00A20118">
        <w:rPr>
          <w:rFonts w:eastAsia="Times New Roman"/>
          <w:lang w:eastAsia="en-US"/>
        </w:rPr>
        <w:t xml:space="preserve">Under special packing provision </w:t>
      </w:r>
      <w:r w:rsidRPr="002D2841">
        <w:rPr>
          <w:rFonts w:eastAsia="Times New Roman"/>
          <w:lang w:eastAsia="en-US"/>
        </w:rPr>
        <w:t>PP</w:t>
      </w:r>
      <w:r>
        <w:rPr>
          <w:rFonts w:eastAsia="Times New Roman"/>
          <w:lang w:eastAsia="en-US"/>
        </w:rPr>
        <w:t>7</w:t>
      </w:r>
      <w:r w:rsidRPr="00A20118">
        <w:rPr>
          <w:rFonts w:eastAsia="Times New Roman"/>
          <w:lang w:eastAsia="en-US"/>
        </w:rPr>
        <w:t>7</w:t>
      </w:r>
      <w:r w:rsidRPr="002D2841">
        <w:rPr>
          <w:rFonts w:eastAsia="Times New Roman"/>
          <w:lang w:eastAsia="en-US"/>
        </w:rPr>
        <w:t xml:space="preserve">, </w:t>
      </w:r>
      <w:r w:rsidRPr="00A20118">
        <w:rPr>
          <w:rFonts w:eastAsia="Times New Roman"/>
          <w:lang w:eastAsia="en-US"/>
        </w:rPr>
        <w:t>add a new Note to read as follows:</w:t>
      </w:r>
    </w:p>
    <w:p w14:paraId="2F125C3A" w14:textId="77777777" w:rsidR="00CF309D" w:rsidRPr="00A20118" w:rsidRDefault="00CF309D" w:rsidP="00CF309D">
      <w:pPr>
        <w:spacing w:after="120"/>
        <w:ind w:left="1134" w:right="1134"/>
        <w:jc w:val="both"/>
        <w:rPr>
          <w:rFonts w:eastAsiaTheme="minorHAnsi"/>
          <w:lang w:eastAsia="en-US"/>
        </w:rPr>
      </w:pPr>
      <w:r w:rsidRPr="00A20118">
        <w:rPr>
          <w:i/>
          <w:iCs/>
        </w:rPr>
        <w:t>“</w:t>
      </w:r>
      <w:r w:rsidRPr="00A20118">
        <w:rPr>
          <w:b/>
          <w:i/>
          <w:iCs/>
        </w:rPr>
        <w:t>NOTE:</w:t>
      </w:r>
      <w:r w:rsidRPr="00A20118">
        <w:rPr>
          <w:i/>
          <w:iCs/>
        </w:rPr>
        <w:t xml:space="preserve"> The packagings authorized may exceed a net mass of 400 kg (see 4.1.3.3).”</w:t>
      </w:r>
    </w:p>
    <w:p w14:paraId="6E68DC4F" w14:textId="77777777" w:rsidR="00CF309D" w:rsidRPr="002D2841" w:rsidRDefault="00CF309D" w:rsidP="00CF309D">
      <w:pPr>
        <w:kinsoku/>
        <w:overflowPunct/>
        <w:autoSpaceDE/>
        <w:autoSpaceDN/>
        <w:adjustRightInd/>
        <w:snapToGrid/>
        <w:spacing w:after="120"/>
        <w:ind w:left="2268" w:right="1134" w:hanging="1134"/>
        <w:jc w:val="both"/>
        <w:rPr>
          <w:rFonts w:eastAsia="Times New Roman"/>
          <w:i/>
          <w:iCs/>
          <w:lang w:eastAsia="en-US"/>
        </w:rPr>
      </w:pPr>
      <w:r w:rsidRPr="002D2841">
        <w:rPr>
          <w:rFonts w:eastAsia="Times New Roman"/>
          <w:i/>
          <w:iCs/>
          <w:lang w:eastAsia="en-US"/>
        </w:rPr>
        <w:t>(</w:t>
      </w:r>
      <w:r w:rsidRPr="00A20118">
        <w:rPr>
          <w:i/>
          <w:iCs/>
        </w:rPr>
        <w:t xml:space="preserve">Reference document: </w:t>
      </w:r>
      <w:r w:rsidRPr="002D2841">
        <w:rPr>
          <w:rFonts w:eastAsia="Times New Roman"/>
          <w:i/>
          <w:iCs/>
          <w:lang w:eastAsia="en-US"/>
        </w:rPr>
        <w:t xml:space="preserve"> ST/SG/AC.10/C.3/2020/75)</w:t>
      </w:r>
    </w:p>
    <w:p w14:paraId="47D8A83A" w14:textId="77777777" w:rsidR="00CF309D" w:rsidRDefault="00CF309D" w:rsidP="00CF309D">
      <w:pPr>
        <w:pStyle w:val="SingleTxtG"/>
        <w:tabs>
          <w:tab w:val="left" w:pos="2268"/>
        </w:tabs>
        <w:rPr>
          <w:lang w:val="en-US"/>
        </w:rPr>
      </w:pPr>
      <w:r>
        <w:t>4.1.4.1, P200 (5)</w:t>
      </w:r>
      <w:r>
        <w:tab/>
      </w:r>
      <w:r>
        <w:rPr>
          <w:lang w:val="en-US"/>
        </w:rPr>
        <w:t>In special packing provision “z”, at the end, add the following:</w:t>
      </w:r>
    </w:p>
    <w:p w14:paraId="5DBA97B4" w14:textId="77777777" w:rsidR="00CF309D" w:rsidRDefault="00CF309D" w:rsidP="00CF309D">
      <w:pPr>
        <w:pStyle w:val="SingleTxtG"/>
        <w:tabs>
          <w:tab w:val="left" w:pos="2268"/>
        </w:tabs>
      </w:pPr>
      <w:r>
        <w:t>“Mixtures of fluorine and nitrogen with a fluorine concentration below 35 % by volume may be filled in pressure receptacles up to a maximum allowable working pressure for which the partial pressure of fluorine does not exceed 31 bar (abs.).</w:t>
      </w:r>
    </w:p>
    <w:p w14:paraId="5A5ABE0A" w14:textId="77777777" w:rsidR="00CF309D" w:rsidRDefault="00CF309D" w:rsidP="00CF309D">
      <w:pPr>
        <w:pStyle w:val="SingleTxtG"/>
        <w:tabs>
          <w:tab w:val="left" w:pos="2268"/>
        </w:tabs>
      </w:pPr>
      <m:oMathPara>
        <m:oMath>
          <m:r>
            <w:rPr>
              <w:rFonts w:ascii="Cambria Math" w:hAnsi="Cambria Math"/>
            </w:rPr>
            <m:t xml:space="preserve">working pressure </m:t>
          </m:r>
          <m:d>
            <m:dPr>
              <m:ctrlPr>
                <w:rPr>
                  <w:rFonts w:ascii="Cambria Math" w:hAnsi="Cambria Math"/>
                  <w:i/>
                </w:rPr>
              </m:ctrlPr>
            </m:dPr>
            <m:e>
              <m:r>
                <m:rPr>
                  <m:sty m:val="p"/>
                </m:rPr>
                <w:rPr>
                  <w:rFonts w:ascii="Cambria Math" w:hAnsi="Cambria Math"/>
                </w:rPr>
                <m:t>bar</m:t>
              </m:r>
            </m:e>
          </m:d>
          <m:r>
            <w:rPr>
              <w:rFonts w:ascii="Cambria Math" w:hAnsi="Cambria Math"/>
            </w:rPr>
            <m:t>&lt;</m:t>
          </m:r>
          <m:f>
            <m:fPr>
              <m:ctrlPr>
                <w:rPr>
                  <w:rFonts w:ascii="Cambria Math" w:hAnsi="Cambria Math"/>
                  <w:i/>
                </w:rPr>
              </m:ctrlPr>
            </m:fPr>
            <m:num>
              <m:r>
                <w:rPr>
                  <w:rFonts w:ascii="Cambria Math" w:hAnsi="Cambria Math"/>
                </w:rPr>
                <m:t>31</m:t>
              </m:r>
            </m:num>
            <m:den>
              <m:sSub>
                <m:sSubPr>
                  <m:ctrlPr>
                    <w:rPr>
                      <w:rFonts w:ascii="Cambria Math" w:hAnsi="Cambria Math"/>
                      <w:i/>
                    </w:rPr>
                  </m:ctrlPr>
                </m:sSubPr>
                <m:e>
                  <m:r>
                    <w:rPr>
                      <w:rFonts w:ascii="Cambria Math" w:hAnsi="Cambria Math"/>
                    </w:rPr>
                    <m:t>x</m:t>
                  </m:r>
                </m:e>
                <m:sub>
                  <m:r>
                    <w:rPr>
                      <w:rFonts w:ascii="Cambria Math" w:hAnsi="Cambria Math"/>
                    </w:rPr>
                    <m:t>f</m:t>
                  </m:r>
                </m:sub>
              </m:sSub>
            </m:den>
          </m:f>
          <m:r>
            <w:rPr>
              <w:rFonts w:ascii="Cambria Math" w:hAnsi="Cambria Math"/>
            </w:rPr>
            <m:t>-1</m:t>
          </m:r>
        </m:oMath>
      </m:oMathPara>
    </w:p>
    <w:p w14:paraId="663963D1" w14:textId="77777777" w:rsidR="00CF309D" w:rsidRDefault="00CF309D" w:rsidP="00CF309D">
      <w:pPr>
        <w:pStyle w:val="SingleTxtG"/>
        <w:tabs>
          <w:tab w:val="left" w:pos="2268"/>
        </w:tabs>
      </w:pPr>
      <w:r>
        <w:t xml:space="preserve">in which </w:t>
      </w:r>
      <w:r w:rsidRPr="009060C8">
        <w:rPr>
          <w:i/>
          <w:iCs/>
        </w:rPr>
        <w:t>x</w:t>
      </w:r>
      <w:r w:rsidRPr="009060C8">
        <w:rPr>
          <w:i/>
          <w:iCs/>
          <w:vertAlign w:val="subscript"/>
        </w:rPr>
        <w:t>f</w:t>
      </w:r>
      <w:r>
        <w:t xml:space="preserve"> = fluorine concentration in % by volume/100.</w:t>
      </w:r>
    </w:p>
    <w:p w14:paraId="42B72F21" w14:textId="77777777" w:rsidR="00CF309D" w:rsidRDefault="00CF309D" w:rsidP="00CF309D">
      <w:pPr>
        <w:pStyle w:val="SingleTxtG"/>
        <w:tabs>
          <w:tab w:val="left" w:pos="2268"/>
        </w:tabs>
      </w:pPr>
      <w:r>
        <w:t>Mixtures of fluorine and inert gases with a fluorine concentration below 35 % by volume may be filled in pressure receptacles up to a maximum allowable working pressure for which the partial pressure of fluorine does not exceed 31 bar (abs.), additionally taking the coefficient of nitrogen equivalency in accordance with ISO 10156:2017 into account when calculating the partial pressure.</w:t>
      </w:r>
    </w:p>
    <w:p w14:paraId="0897D58A" w14:textId="77777777" w:rsidR="00CF309D" w:rsidRPr="00A34A45" w:rsidRDefault="00CF309D" w:rsidP="00CF309D">
      <w:pPr>
        <w:spacing w:after="120"/>
        <w:ind w:left="1701" w:right="1134"/>
        <w:jc w:val="both"/>
        <w:rPr>
          <w:rFonts w:eastAsiaTheme="minorHAnsi"/>
          <w:lang w:val="fr-CH" w:eastAsia="en-US"/>
        </w:rPr>
      </w:pPr>
      <m:oMathPara>
        <m:oMath>
          <m:r>
            <w:rPr>
              <w:rFonts w:ascii="Cambria Math" w:hAnsi="Cambria Math"/>
            </w:rPr>
            <m:t>working pressure</m:t>
          </m:r>
          <m:r>
            <w:rPr>
              <w:rFonts w:ascii="Cambria Math" w:eastAsiaTheme="minorHAnsi" w:hAnsi="Cambria Math"/>
              <w:lang w:val="fr-CH" w:eastAsia="en-US"/>
            </w:rPr>
            <m:t xml:space="preserve"> </m:t>
          </m:r>
          <m:d>
            <m:dPr>
              <m:ctrlPr>
                <w:rPr>
                  <w:rFonts w:ascii="Cambria Math" w:eastAsiaTheme="minorHAnsi" w:hAnsi="Cambria Math"/>
                  <w:i/>
                  <w:lang w:val="fr-CH" w:eastAsia="en-US"/>
                </w:rPr>
              </m:ctrlPr>
            </m:dPr>
            <m:e>
              <m:r>
                <m:rPr>
                  <m:sty m:val="p"/>
                </m:rPr>
                <w:rPr>
                  <w:rFonts w:ascii="Cambria Math" w:eastAsiaTheme="minorHAnsi" w:hAnsi="Cambria Math"/>
                  <w:lang w:val="fr-CH" w:eastAsia="en-US"/>
                </w:rPr>
                <m:t>bar</m:t>
              </m:r>
            </m:e>
          </m:d>
          <m:r>
            <w:rPr>
              <w:rFonts w:ascii="Cambria Math" w:eastAsiaTheme="minorHAnsi" w:hAnsi="Cambria Math"/>
              <w:lang w:val="fr-CH" w:eastAsia="en-US"/>
            </w:rPr>
            <m:t>&lt;</m:t>
          </m:r>
          <m:f>
            <m:fPr>
              <m:ctrlPr>
                <w:rPr>
                  <w:rFonts w:ascii="Cambria Math" w:eastAsiaTheme="minorHAnsi" w:hAnsi="Cambria Math"/>
                  <w:i/>
                  <w:lang w:val="fr-CH" w:eastAsia="en-US"/>
                </w:rPr>
              </m:ctrlPr>
            </m:fPr>
            <m:num>
              <m:r>
                <w:rPr>
                  <w:rFonts w:ascii="Cambria Math" w:eastAsiaTheme="minorHAnsi" w:hAnsi="Cambria Math"/>
                  <w:lang w:val="fr-CH" w:eastAsia="en-US"/>
                </w:rPr>
                <m:t>31</m:t>
              </m:r>
            </m:num>
            <m:den>
              <m:sSub>
                <m:sSubPr>
                  <m:ctrlPr>
                    <w:rPr>
                      <w:rFonts w:ascii="Cambria Math" w:eastAsiaTheme="minorHAnsi" w:hAnsi="Cambria Math"/>
                      <w:i/>
                      <w:lang w:val="fr-CH" w:eastAsia="en-US"/>
                    </w:rPr>
                  </m:ctrlPr>
                </m:sSubPr>
                <m:e>
                  <m:r>
                    <w:rPr>
                      <w:rFonts w:ascii="Cambria Math" w:eastAsiaTheme="minorHAnsi" w:hAnsi="Cambria Math"/>
                      <w:lang w:val="fr-CH" w:eastAsia="en-US"/>
                    </w:rPr>
                    <m:t>x</m:t>
                  </m:r>
                </m:e>
                <m:sub>
                  <m:r>
                    <w:rPr>
                      <w:rFonts w:ascii="Cambria Math" w:eastAsiaTheme="minorHAnsi" w:hAnsi="Cambria Math"/>
                      <w:lang w:val="fr-CH" w:eastAsia="en-US"/>
                    </w:rPr>
                    <m:t>f</m:t>
                  </m:r>
                </m:sub>
              </m:sSub>
            </m:den>
          </m:f>
          <m:d>
            <m:dPr>
              <m:ctrlPr>
                <w:rPr>
                  <w:rFonts w:ascii="Cambria Math" w:eastAsiaTheme="minorHAnsi" w:hAnsi="Cambria Math"/>
                  <w:i/>
                  <w:lang w:val="fr-CH" w:eastAsia="en-US"/>
                </w:rPr>
              </m:ctrlPr>
            </m:dPr>
            <m:e>
              <m:sSub>
                <m:sSubPr>
                  <m:ctrlPr>
                    <w:rPr>
                      <w:rFonts w:ascii="Cambria Math" w:eastAsiaTheme="minorHAnsi" w:hAnsi="Cambria Math"/>
                      <w:i/>
                      <w:lang w:val="fr-CH" w:eastAsia="en-US"/>
                    </w:rPr>
                  </m:ctrlPr>
                </m:sSubPr>
                <m:e>
                  <m:r>
                    <w:rPr>
                      <w:rFonts w:ascii="Cambria Math" w:eastAsiaTheme="minorHAnsi" w:hAnsi="Cambria Math"/>
                      <w:lang w:val="fr-CH" w:eastAsia="en-US"/>
                    </w:rPr>
                    <m:t>x</m:t>
                  </m:r>
                </m:e>
                <m:sub>
                  <m:r>
                    <w:rPr>
                      <w:rFonts w:ascii="Cambria Math" w:eastAsiaTheme="minorHAnsi" w:hAnsi="Cambria Math"/>
                      <w:lang w:val="fr-CH" w:eastAsia="en-US"/>
                    </w:rPr>
                    <m:t>f</m:t>
                  </m:r>
                </m:sub>
              </m:sSub>
              <m:r>
                <w:rPr>
                  <w:rFonts w:ascii="Cambria Math" w:eastAsiaTheme="minorHAnsi" w:hAnsi="Cambria Math"/>
                  <w:lang w:val="fr-CH" w:eastAsia="en-US"/>
                </w:rPr>
                <m:t>+</m:t>
              </m:r>
              <m:sSub>
                <m:sSubPr>
                  <m:ctrlPr>
                    <w:rPr>
                      <w:rFonts w:ascii="Cambria Math" w:eastAsiaTheme="minorHAnsi" w:hAnsi="Cambria Math"/>
                      <w:i/>
                      <w:lang w:val="fr-CH" w:eastAsia="en-US"/>
                    </w:rPr>
                  </m:ctrlPr>
                </m:sSubPr>
                <m:e>
                  <m:r>
                    <w:rPr>
                      <w:rFonts w:ascii="Cambria Math" w:eastAsiaTheme="minorHAnsi" w:hAnsi="Cambria Math"/>
                      <w:lang w:val="fr-CH" w:eastAsia="en-US"/>
                    </w:rPr>
                    <m:t>K</m:t>
                  </m:r>
                </m:e>
                <m:sub>
                  <m:r>
                    <w:rPr>
                      <w:rFonts w:ascii="Cambria Math" w:eastAsiaTheme="minorHAnsi" w:hAnsi="Cambria Math"/>
                      <w:lang w:val="fr-CH" w:eastAsia="en-US"/>
                    </w:rPr>
                    <m:t>k</m:t>
                  </m:r>
                </m:sub>
              </m:sSub>
              <m:r>
                <w:rPr>
                  <w:rFonts w:ascii="Cambria Math" w:eastAsiaTheme="minorHAnsi" w:hAnsi="Cambria Math"/>
                  <w:lang w:val="fr-CH" w:eastAsia="en-US"/>
                </w:rPr>
                <m:t>×</m:t>
              </m:r>
              <m:sSub>
                <m:sSubPr>
                  <m:ctrlPr>
                    <w:rPr>
                      <w:rFonts w:ascii="Cambria Math" w:eastAsiaTheme="minorHAnsi" w:hAnsi="Cambria Math"/>
                      <w:i/>
                      <w:lang w:val="fr-CH" w:eastAsia="en-US"/>
                    </w:rPr>
                  </m:ctrlPr>
                </m:sSubPr>
                <m:e>
                  <m:r>
                    <w:rPr>
                      <w:rFonts w:ascii="Cambria Math" w:eastAsiaTheme="minorHAnsi" w:hAnsi="Cambria Math"/>
                      <w:lang w:val="fr-CH" w:eastAsia="en-US"/>
                    </w:rPr>
                    <m:t>x</m:t>
                  </m:r>
                </m:e>
                <m:sub>
                  <m:r>
                    <w:rPr>
                      <w:rFonts w:ascii="Cambria Math" w:eastAsiaTheme="minorHAnsi" w:hAnsi="Cambria Math"/>
                      <w:lang w:val="fr-CH" w:eastAsia="en-US"/>
                    </w:rPr>
                    <m:t>k</m:t>
                  </m:r>
                </m:sub>
              </m:sSub>
            </m:e>
          </m:d>
          <m:r>
            <w:rPr>
              <w:rFonts w:ascii="Cambria Math" w:eastAsiaTheme="minorHAnsi" w:hAnsi="Cambria Math"/>
              <w:lang w:val="fr-CH" w:eastAsia="en-US"/>
            </w:rPr>
            <m:t>-1</m:t>
          </m:r>
        </m:oMath>
      </m:oMathPara>
    </w:p>
    <w:p w14:paraId="43E7CCB9" w14:textId="77777777" w:rsidR="00CF309D" w:rsidRDefault="00CF309D" w:rsidP="00CF309D">
      <w:pPr>
        <w:pStyle w:val="SingleTxtG"/>
        <w:ind w:left="1985" w:hanging="851"/>
      </w:pPr>
      <w:r>
        <w:t>in which</w:t>
      </w:r>
      <w:r>
        <w:tab/>
      </w:r>
      <w:r w:rsidRPr="00AC6B55">
        <w:rPr>
          <w:i/>
          <w:iCs/>
        </w:rPr>
        <w:t>x</w:t>
      </w:r>
      <w:r w:rsidRPr="00AC6B55">
        <w:rPr>
          <w:i/>
          <w:iCs/>
          <w:vertAlign w:val="subscript"/>
        </w:rPr>
        <w:t>f</w:t>
      </w:r>
      <w:r>
        <w:t xml:space="preserve"> = fluorine concentration in % by volume/100;</w:t>
      </w:r>
    </w:p>
    <w:p w14:paraId="2EA5BAE3" w14:textId="77777777" w:rsidR="00CF309D" w:rsidRDefault="00CF309D" w:rsidP="00CF309D">
      <w:pPr>
        <w:pStyle w:val="SingleTxtG"/>
        <w:ind w:left="1985" w:hanging="851"/>
      </w:pPr>
      <w:r>
        <w:rPr>
          <w:i/>
          <w:iCs/>
        </w:rPr>
        <w:tab/>
      </w:r>
      <w:r w:rsidRPr="00552A33">
        <w:rPr>
          <w:i/>
          <w:iCs/>
        </w:rPr>
        <w:t>K</w:t>
      </w:r>
      <w:r w:rsidRPr="00552A33">
        <w:rPr>
          <w:i/>
          <w:iCs/>
          <w:vertAlign w:val="subscript"/>
        </w:rPr>
        <w:t>k</w:t>
      </w:r>
      <w:r>
        <w:t xml:space="preserve"> = coefficient of equivalency of an inert gas relative to nitrogen (coefficient of nitrogen equivalency);</w:t>
      </w:r>
    </w:p>
    <w:p w14:paraId="26FF5C99" w14:textId="77777777" w:rsidR="00CF309D" w:rsidRDefault="00CF309D" w:rsidP="00CF309D">
      <w:pPr>
        <w:pStyle w:val="SingleTxtG"/>
        <w:ind w:left="1985" w:hanging="851"/>
      </w:pPr>
      <w:r>
        <w:rPr>
          <w:i/>
          <w:iCs/>
        </w:rPr>
        <w:tab/>
      </w:r>
      <w:r w:rsidRPr="00C51AF6">
        <w:rPr>
          <w:i/>
          <w:iCs/>
        </w:rPr>
        <w:t>x</w:t>
      </w:r>
      <w:r w:rsidRPr="00C51AF6">
        <w:rPr>
          <w:i/>
          <w:iCs/>
          <w:vertAlign w:val="subscript"/>
        </w:rPr>
        <w:t>k</w:t>
      </w:r>
      <w:r>
        <w:t xml:space="preserve"> = inert gas concentration in % by volume/100.</w:t>
      </w:r>
    </w:p>
    <w:p w14:paraId="2D903406" w14:textId="77777777" w:rsidR="00CF309D" w:rsidRPr="00447645" w:rsidRDefault="00CF309D" w:rsidP="00CF309D">
      <w:pPr>
        <w:pStyle w:val="SingleTxtG"/>
        <w:tabs>
          <w:tab w:val="left" w:pos="2268"/>
        </w:tabs>
      </w:pPr>
      <w:r>
        <w:t>However, the working pressure for mixtures of fluorine and inert gases shall not exceed 200 bar. The minimum test pressure of pressure receptacles for mixtures of fluorine and inert gases equals 1.5 times the working pressure or 200 bar, with the greater value to be applied.”</w:t>
      </w:r>
    </w:p>
    <w:p w14:paraId="102886E0" w14:textId="77777777" w:rsidR="00CF309D" w:rsidRPr="00843762" w:rsidRDefault="00CF309D" w:rsidP="00CF309D">
      <w:pPr>
        <w:pStyle w:val="SingleTxtG"/>
        <w:rPr>
          <w:i/>
          <w:iCs/>
        </w:rPr>
      </w:pPr>
      <w:r w:rsidRPr="00804977">
        <w:rPr>
          <w:i/>
          <w:iCs/>
        </w:rPr>
        <w:t>(Reference document: ST/SG/AC.10/C.3/20</w:t>
      </w:r>
      <w:r>
        <w:rPr>
          <w:i/>
          <w:iCs/>
        </w:rPr>
        <w:t>20</w:t>
      </w:r>
      <w:r w:rsidRPr="00804977">
        <w:rPr>
          <w:i/>
          <w:iCs/>
        </w:rPr>
        <w:t>/</w:t>
      </w:r>
      <w:r>
        <w:rPr>
          <w:i/>
          <w:iCs/>
        </w:rPr>
        <w:t>19</w:t>
      </w:r>
      <w:r>
        <w:rPr>
          <w:i/>
          <w:iCs/>
          <w:lang w:val="en-US"/>
        </w:rPr>
        <w:t>/</w:t>
      </w:r>
      <w:r>
        <w:rPr>
          <w:i/>
          <w:iCs/>
        </w:rPr>
        <w:t>Rev.1</w:t>
      </w:r>
      <w:r w:rsidRPr="00804977">
        <w:rPr>
          <w:i/>
          <w:iCs/>
        </w:rPr>
        <w:t>)</w:t>
      </w:r>
    </w:p>
    <w:p w14:paraId="7DCAF7CB" w14:textId="77777777" w:rsidR="00CF309D" w:rsidRPr="00A20118" w:rsidRDefault="00CF309D" w:rsidP="00CF309D">
      <w:pPr>
        <w:spacing w:after="120"/>
        <w:ind w:left="1134" w:right="1134"/>
        <w:jc w:val="both"/>
      </w:pPr>
      <w:r w:rsidRPr="00A20118">
        <w:t>4.1.4.1, P200</w:t>
      </w:r>
      <w:r w:rsidRPr="00A20118">
        <w:tab/>
        <w:t>In table 2:</w:t>
      </w:r>
    </w:p>
    <w:p w14:paraId="6E911E54" w14:textId="77777777" w:rsidR="00CF309D" w:rsidRPr="00A20118" w:rsidRDefault="00CF309D" w:rsidP="00CF309D">
      <w:pPr>
        <w:pStyle w:val="Bullet1G"/>
        <w:numPr>
          <w:ilvl w:val="0"/>
          <w:numId w:val="1"/>
        </w:numPr>
        <w:tabs>
          <w:tab w:val="clear" w:pos="1701"/>
        </w:tabs>
        <w:kinsoku/>
        <w:overflowPunct/>
        <w:autoSpaceDE/>
        <w:autoSpaceDN/>
        <w:adjustRightInd/>
        <w:snapToGrid/>
        <w:ind w:left="2250" w:hanging="229"/>
      </w:pPr>
      <w:r w:rsidRPr="00A20118">
        <w:t>For UN 1008, replace “387” by “864” in column “LC</w:t>
      </w:r>
      <w:r w:rsidRPr="00A20118">
        <w:rPr>
          <w:vertAlign w:val="subscript"/>
        </w:rPr>
        <w:t>50</w:t>
      </w:r>
      <w:r w:rsidRPr="00A20118">
        <w:t xml:space="preserve"> ml/m</w:t>
      </w:r>
      <w:r w:rsidRPr="00A20118">
        <w:rPr>
          <w:vertAlign w:val="superscript"/>
        </w:rPr>
        <w:t>3</w:t>
      </w:r>
      <w:r w:rsidRPr="00A20118">
        <w:t>”.</w:t>
      </w:r>
    </w:p>
    <w:p w14:paraId="504578D2" w14:textId="77777777" w:rsidR="00CF309D" w:rsidRPr="00A20118" w:rsidRDefault="00CF309D" w:rsidP="00CF309D">
      <w:pPr>
        <w:pStyle w:val="Bullet1G"/>
        <w:numPr>
          <w:ilvl w:val="0"/>
          <w:numId w:val="1"/>
        </w:numPr>
        <w:tabs>
          <w:tab w:val="clear" w:pos="1701"/>
        </w:tabs>
        <w:kinsoku/>
        <w:overflowPunct/>
        <w:autoSpaceDE/>
        <w:autoSpaceDN/>
        <w:adjustRightInd/>
        <w:snapToGrid/>
        <w:ind w:left="2250" w:hanging="229"/>
      </w:pPr>
      <w:r w:rsidRPr="00A20118">
        <w:t>For UN 2196, replace “160” by “218” in column “LC</w:t>
      </w:r>
      <w:r w:rsidRPr="00A20118">
        <w:rPr>
          <w:vertAlign w:val="subscript"/>
        </w:rPr>
        <w:t>50</w:t>
      </w:r>
      <w:r w:rsidRPr="00A20118">
        <w:t xml:space="preserve"> ml/m</w:t>
      </w:r>
      <w:r w:rsidRPr="00A20118">
        <w:rPr>
          <w:vertAlign w:val="superscript"/>
        </w:rPr>
        <w:t>3</w:t>
      </w:r>
      <w:r w:rsidRPr="00A20118">
        <w:t>”, insert “X” in columns “Tubes”, “Pressure drums” and “MEGCs”, and delete “, k” in column “Special packing provisions”.</w:t>
      </w:r>
    </w:p>
    <w:p w14:paraId="1438F752" w14:textId="77777777" w:rsidR="00CF309D" w:rsidRPr="00A20118" w:rsidRDefault="00CF309D" w:rsidP="00CF309D">
      <w:pPr>
        <w:pStyle w:val="Bullet1G"/>
        <w:numPr>
          <w:ilvl w:val="0"/>
          <w:numId w:val="1"/>
        </w:numPr>
        <w:tabs>
          <w:tab w:val="clear" w:pos="1701"/>
        </w:tabs>
        <w:kinsoku/>
        <w:overflowPunct/>
        <w:autoSpaceDE/>
        <w:autoSpaceDN/>
        <w:adjustRightInd/>
        <w:snapToGrid/>
        <w:ind w:left="2250" w:hanging="229"/>
      </w:pPr>
      <w:r w:rsidRPr="00A20118">
        <w:t>For UN 2198, replace “190” by “261” in column “LC</w:t>
      </w:r>
      <w:r w:rsidRPr="00A20118">
        <w:rPr>
          <w:vertAlign w:val="subscript"/>
        </w:rPr>
        <w:t>50</w:t>
      </w:r>
      <w:r w:rsidRPr="00A20118">
        <w:t xml:space="preserve"> ml/m</w:t>
      </w:r>
      <w:r w:rsidRPr="00A20118">
        <w:rPr>
          <w:vertAlign w:val="superscript"/>
        </w:rPr>
        <w:t>3</w:t>
      </w:r>
      <w:r w:rsidRPr="00A20118">
        <w:t>”, insert “X” in columns “Tubes”, “Pressure drums” and “MEGCs”, and delete “k” in column “Special packing provisions” (twice).</w:t>
      </w:r>
    </w:p>
    <w:p w14:paraId="6874AEE6" w14:textId="77777777" w:rsidR="00CF309D" w:rsidRPr="00A20118" w:rsidRDefault="00CF309D" w:rsidP="00CF309D">
      <w:pPr>
        <w:pStyle w:val="SingleTxtG"/>
        <w:rPr>
          <w:i/>
          <w:iCs/>
        </w:rPr>
      </w:pPr>
      <w:r w:rsidRPr="00A20118">
        <w:rPr>
          <w:i/>
          <w:iCs/>
        </w:rPr>
        <w:lastRenderedPageBreak/>
        <w:t>(Reference document: ST/SG/AC.10/C.3/2020/8 as amended and informal document INF.41)</w:t>
      </w:r>
    </w:p>
    <w:p w14:paraId="5F668A8A" w14:textId="77777777" w:rsidR="00CF309D" w:rsidRPr="00A20118" w:rsidRDefault="00CF309D" w:rsidP="00CF309D">
      <w:pPr>
        <w:pStyle w:val="SingleTxtG"/>
        <w:tabs>
          <w:tab w:val="left" w:pos="2268"/>
        </w:tabs>
      </w:pPr>
      <w:r w:rsidRPr="00A20118">
        <w:t>4.1.4.1, P200</w:t>
      </w:r>
      <w:r w:rsidRPr="00A20118">
        <w:tab/>
        <w:t>In table 3, for UN 1052, replace “966” by “1307” in column “LC</w:t>
      </w:r>
      <w:r w:rsidRPr="00A20118">
        <w:rPr>
          <w:vertAlign w:val="subscript"/>
        </w:rPr>
        <w:t>50</w:t>
      </w:r>
      <w:r w:rsidRPr="00A20118">
        <w:t xml:space="preserve"> in ml/m</w:t>
      </w:r>
      <w:r w:rsidRPr="00A20118">
        <w:rPr>
          <w:vertAlign w:val="superscript"/>
        </w:rPr>
        <w:t>3</w:t>
      </w:r>
      <w:r w:rsidRPr="00A20118">
        <w:t>”.</w:t>
      </w:r>
    </w:p>
    <w:p w14:paraId="7BDDB9EE" w14:textId="77777777" w:rsidR="00CF309D" w:rsidRPr="00A20118" w:rsidRDefault="00CF309D" w:rsidP="00CF309D">
      <w:pPr>
        <w:pStyle w:val="SingleTxtG"/>
        <w:rPr>
          <w:i/>
          <w:iCs/>
        </w:rPr>
      </w:pPr>
      <w:r w:rsidRPr="00A20118">
        <w:rPr>
          <w:i/>
          <w:iCs/>
        </w:rPr>
        <w:t>(Reference document: ST/SG/AC.10/C.3/2020/8)</w:t>
      </w:r>
    </w:p>
    <w:p w14:paraId="0432CB96" w14:textId="77777777" w:rsidR="00CF309D" w:rsidRPr="00101547" w:rsidRDefault="00CF309D" w:rsidP="00CF309D">
      <w:pPr>
        <w:tabs>
          <w:tab w:val="left" w:pos="2268"/>
        </w:tabs>
        <w:kinsoku/>
        <w:overflowPunct/>
        <w:autoSpaceDE/>
        <w:autoSpaceDN/>
        <w:adjustRightInd/>
        <w:snapToGrid/>
        <w:spacing w:after="120"/>
        <w:ind w:left="2268" w:right="1134" w:hanging="1134"/>
        <w:jc w:val="both"/>
        <w:rPr>
          <w:lang w:eastAsia="en-US"/>
        </w:rPr>
      </w:pPr>
      <w:r w:rsidRPr="00101547">
        <w:rPr>
          <w:lang w:eastAsia="en-US"/>
        </w:rPr>
        <w:t>4.1.4.1, P205 (5), (6) and (7)</w:t>
      </w:r>
      <w:r w:rsidRPr="00101547">
        <w:rPr>
          <w:lang w:eastAsia="en-US"/>
        </w:rPr>
        <w:tab/>
        <w:t xml:space="preserve">Replace ISO </w:t>
      </w:r>
      <w:r>
        <w:rPr>
          <w:lang w:eastAsia="en-US"/>
        </w:rPr>
        <w:t>“</w:t>
      </w:r>
      <w:r w:rsidRPr="00101547">
        <w:rPr>
          <w:lang w:eastAsia="en-US"/>
        </w:rPr>
        <w:t>16111:2008</w:t>
      </w:r>
      <w:r>
        <w:rPr>
          <w:lang w:eastAsia="en-US"/>
        </w:rPr>
        <w:t>” by “</w:t>
      </w:r>
      <w:r w:rsidRPr="00101547">
        <w:rPr>
          <w:lang w:eastAsia="en-US"/>
        </w:rPr>
        <w:t xml:space="preserve">ISO 16111:2008 </w:t>
      </w:r>
      <w:r>
        <w:rPr>
          <w:lang w:eastAsia="en-US"/>
        </w:rPr>
        <w:t>or</w:t>
      </w:r>
      <w:r w:rsidRPr="00101547">
        <w:rPr>
          <w:lang w:eastAsia="en-US"/>
        </w:rPr>
        <w:t xml:space="preserve"> ISO 16111:2018</w:t>
      </w:r>
      <w:r>
        <w:rPr>
          <w:lang w:eastAsia="en-US"/>
        </w:rPr>
        <w:t>”</w:t>
      </w:r>
      <w:r w:rsidRPr="00101547">
        <w:rPr>
          <w:lang w:eastAsia="en-US"/>
        </w:rPr>
        <w:t>.</w:t>
      </w:r>
    </w:p>
    <w:p w14:paraId="2BB8F12A" w14:textId="77777777" w:rsidR="00CF309D" w:rsidRPr="00101547" w:rsidRDefault="00CF309D" w:rsidP="00CF309D">
      <w:pPr>
        <w:pStyle w:val="SingleTxtG"/>
        <w:rPr>
          <w:i/>
          <w:iCs/>
        </w:rPr>
      </w:pPr>
      <w:r w:rsidRPr="00101547">
        <w:rPr>
          <w:i/>
          <w:iCs/>
        </w:rPr>
        <w:t xml:space="preserve">(Reference document: informal document </w:t>
      </w:r>
      <w:r>
        <w:rPr>
          <w:i/>
          <w:iCs/>
        </w:rPr>
        <w:t>INF.57</w:t>
      </w:r>
      <w:r w:rsidRPr="00101547">
        <w:rPr>
          <w:i/>
          <w:iCs/>
        </w:rPr>
        <w:t>, proposal 5)</w:t>
      </w:r>
    </w:p>
    <w:p w14:paraId="7108B085" w14:textId="77777777" w:rsidR="00CF309D" w:rsidRPr="00101547" w:rsidRDefault="00CF309D" w:rsidP="00CF309D">
      <w:pPr>
        <w:tabs>
          <w:tab w:val="left" w:pos="2268"/>
        </w:tabs>
        <w:kinsoku/>
        <w:overflowPunct/>
        <w:autoSpaceDE/>
        <w:autoSpaceDN/>
        <w:adjustRightInd/>
        <w:snapToGrid/>
        <w:spacing w:after="120"/>
        <w:ind w:left="2268" w:right="1134" w:hanging="1134"/>
        <w:jc w:val="both"/>
        <w:rPr>
          <w:lang w:eastAsia="en-US"/>
        </w:rPr>
      </w:pPr>
      <w:r w:rsidRPr="00101547">
        <w:rPr>
          <w:lang w:eastAsia="en-US"/>
        </w:rPr>
        <w:t xml:space="preserve">4.1.4.1, P205 </w:t>
      </w:r>
      <w:r>
        <w:rPr>
          <w:lang w:eastAsia="en-US"/>
        </w:rPr>
        <w:t>(</w:t>
      </w:r>
      <w:r w:rsidRPr="00101547">
        <w:rPr>
          <w:lang w:eastAsia="en-US"/>
        </w:rPr>
        <w:t>7)</w:t>
      </w:r>
      <w:r w:rsidRPr="00101547">
        <w:rPr>
          <w:lang w:eastAsia="en-US"/>
        </w:rPr>
        <w:tab/>
      </w:r>
      <w:r>
        <w:rPr>
          <w:lang w:eastAsia="en-US"/>
        </w:rPr>
        <w:t>At the end, add the following new sentence</w:t>
      </w:r>
      <w:r w:rsidRPr="00101547">
        <w:rPr>
          <w:lang w:eastAsia="en-US"/>
        </w:rPr>
        <w:t xml:space="preserve">: </w:t>
      </w:r>
      <w:r>
        <w:rPr>
          <w:lang w:eastAsia="en-US"/>
        </w:rPr>
        <w:t>“</w:t>
      </w:r>
      <w:r>
        <w:t>See 6.2.2.4 to determine which standard is applicable at the time of periodic inspection and test.”</w:t>
      </w:r>
      <w:r w:rsidRPr="00101547">
        <w:rPr>
          <w:lang w:eastAsia="en-US"/>
        </w:rPr>
        <w:t>.</w:t>
      </w:r>
    </w:p>
    <w:p w14:paraId="7568DD77" w14:textId="77777777" w:rsidR="00CF309D" w:rsidRPr="00101547" w:rsidRDefault="00CF309D" w:rsidP="00CF309D">
      <w:pPr>
        <w:pStyle w:val="SingleTxtG"/>
        <w:rPr>
          <w:i/>
          <w:iCs/>
        </w:rPr>
      </w:pPr>
      <w:r w:rsidRPr="00101547">
        <w:rPr>
          <w:i/>
          <w:iCs/>
        </w:rPr>
        <w:t xml:space="preserve">(Reference document: informal document </w:t>
      </w:r>
      <w:r>
        <w:rPr>
          <w:i/>
          <w:iCs/>
        </w:rPr>
        <w:t>INF.57</w:t>
      </w:r>
      <w:r w:rsidRPr="00101547">
        <w:rPr>
          <w:i/>
          <w:iCs/>
        </w:rPr>
        <w:t>, proposal 5)</w:t>
      </w:r>
    </w:p>
    <w:p w14:paraId="530527DF" w14:textId="77777777" w:rsidR="00CF309D" w:rsidRPr="00101547" w:rsidRDefault="00CF309D" w:rsidP="00CF309D">
      <w:pPr>
        <w:tabs>
          <w:tab w:val="left" w:pos="2268"/>
        </w:tabs>
        <w:kinsoku/>
        <w:overflowPunct/>
        <w:autoSpaceDE/>
        <w:autoSpaceDN/>
        <w:adjustRightInd/>
        <w:snapToGrid/>
        <w:spacing w:after="120"/>
        <w:ind w:left="2268" w:right="1134" w:hanging="1134"/>
        <w:jc w:val="both"/>
        <w:rPr>
          <w:lang w:eastAsia="en-US"/>
        </w:rPr>
      </w:pPr>
      <w:r w:rsidRPr="00101547">
        <w:rPr>
          <w:lang w:eastAsia="en-US"/>
        </w:rPr>
        <w:t xml:space="preserve">4.1.4.1, P208 </w:t>
      </w:r>
      <w:r>
        <w:rPr>
          <w:lang w:eastAsia="en-US"/>
        </w:rPr>
        <w:t>(</w:t>
      </w:r>
      <w:r w:rsidRPr="00101547">
        <w:rPr>
          <w:lang w:eastAsia="en-US"/>
        </w:rPr>
        <w:t>1)</w:t>
      </w:r>
      <w:r>
        <w:rPr>
          <w:lang w:eastAsia="en-US"/>
        </w:rPr>
        <w:t>(</w:t>
      </w:r>
      <w:r w:rsidRPr="00101547">
        <w:rPr>
          <w:lang w:eastAsia="en-US"/>
        </w:rPr>
        <w:t>a)</w:t>
      </w:r>
      <w:r w:rsidRPr="00101547">
        <w:rPr>
          <w:lang w:eastAsia="en-US"/>
        </w:rPr>
        <w:tab/>
        <w:t xml:space="preserve">Replace </w:t>
      </w:r>
      <w:r>
        <w:rPr>
          <w:lang w:eastAsia="en-US"/>
        </w:rPr>
        <w:t>“</w:t>
      </w:r>
      <w:r w:rsidRPr="00101547">
        <w:rPr>
          <w:lang w:eastAsia="en-US"/>
        </w:rPr>
        <w:t xml:space="preserve">ISO </w:t>
      </w:r>
      <w:r w:rsidRPr="00101547">
        <w:t xml:space="preserve">11513:2011 </w:t>
      </w:r>
      <w:r>
        <w:t>or</w:t>
      </w:r>
      <w:r w:rsidRPr="00101547">
        <w:t xml:space="preserve"> ISO 9809-1:2010</w:t>
      </w:r>
      <w:r>
        <w:t>” by “</w:t>
      </w:r>
      <w:r w:rsidRPr="00101547">
        <w:t>ISO 11513:2011, ISO 11513:2019, ISO 9809-1:2010 o</w:t>
      </w:r>
      <w:r>
        <w:t>r</w:t>
      </w:r>
      <w:r w:rsidRPr="00101547">
        <w:t xml:space="preserve"> ISO 9809-1:2019</w:t>
      </w:r>
      <w:r>
        <w:rPr>
          <w:lang w:eastAsia="en-US"/>
        </w:rPr>
        <w:t>”</w:t>
      </w:r>
      <w:r w:rsidRPr="00101547">
        <w:rPr>
          <w:lang w:eastAsia="en-US"/>
        </w:rPr>
        <w:t>.</w:t>
      </w:r>
    </w:p>
    <w:p w14:paraId="07D789C8" w14:textId="77777777" w:rsidR="00CF309D" w:rsidRPr="00101547" w:rsidRDefault="00CF309D" w:rsidP="00CF309D">
      <w:pPr>
        <w:pStyle w:val="SingleTxtG"/>
        <w:rPr>
          <w:i/>
          <w:iCs/>
        </w:rPr>
      </w:pPr>
      <w:r w:rsidRPr="00101547">
        <w:rPr>
          <w:i/>
          <w:iCs/>
        </w:rPr>
        <w:t xml:space="preserve">(Reference document: informal document </w:t>
      </w:r>
      <w:r>
        <w:rPr>
          <w:i/>
          <w:iCs/>
        </w:rPr>
        <w:t>INF.57</w:t>
      </w:r>
      <w:r w:rsidRPr="00101547">
        <w:rPr>
          <w:i/>
          <w:iCs/>
        </w:rPr>
        <w:t>, proposal 7)</w:t>
      </w:r>
    </w:p>
    <w:p w14:paraId="72CD631E" w14:textId="77777777" w:rsidR="00CF309D" w:rsidRPr="00101547" w:rsidRDefault="00CF309D" w:rsidP="00CF309D">
      <w:pPr>
        <w:tabs>
          <w:tab w:val="left" w:pos="2268"/>
        </w:tabs>
        <w:kinsoku/>
        <w:overflowPunct/>
        <w:autoSpaceDE/>
        <w:autoSpaceDN/>
        <w:adjustRightInd/>
        <w:snapToGrid/>
        <w:spacing w:after="120"/>
        <w:ind w:left="2268" w:right="1134" w:hanging="1134"/>
        <w:jc w:val="both"/>
        <w:rPr>
          <w:lang w:eastAsia="en-US"/>
        </w:rPr>
      </w:pPr>
      <w:r w:rsidRPr="00101547">
        <w:rPr>
          <w:lang w:eastAsia="en-US"/>
        </w:rPr>
        <w:t xml:space="preserve">4.1.4.1, P208 </w:t>
      </w:r>
      <w:r>
        <w:rPr>
          <w:lang w:eastAsia="en-US"/>
        </w:rPr>
        <w:t>(</w:t>
      </w:r>
      <w:r w:rsidRPr="00101547">
        <w:rPr>
          <w:lang w:eastAsia="en-US"/>
        </w:rPr>
        <w:t>11)</w:t>
      </w:r>
      <w:r w:rsidRPr="00101547">
        <w:rPr>
          <w:lang w:eastAsia="en-US"/>
        </w:rPr>
        <w:tab/>
      </w:r>
      <w:r>
        <w:rPr>
          <w:lang w:eastAsia="en-US"/>
        </w:rPr>
        <w:t>R</w:t>
      </w:r>
      <w:r>
        <w:t>eplace “Annex A of ISO 11513:2011” by “Annex A of ISO 11513:2011 (applicable until 31 December 2024) or Annex A of ISO 11513:2019”</w:t>
      </w:r>
      <w:r w:rsidRPr="00101547">
        <w:rPr>
          <w:lang w:eastAsia="en-US"/>
        </w:rPr>
        <w:t>.</w:t>
      </w:r>
    </w:p>
    <w:p w14:paraId="4C606F35" w14:textId="77777777" w:rsidR="00CF309D" w:rsidRPr="00101547" w:rsidRDefault="00CF309D" w:rsidP="00CF309D">
      <w:pPr>
        <w:pStyle w:val="SingleTxtG"/>
        <w:rPr>
          <w:i/>
          <w:iCs/>
        </w:rPr>
      </w:pPr>
      <w:r w:rsidRPr="00101547">
        <w:rPr>
          <w:i/>
          <w:iCs/>
        </w:rPr>
        <w:t xml:space="preserve">(Reference document: informal document </w:t>
      </w:r>
      <w:r>
        <w:rPr>
          <w:i/>
          <w:iCs/>
        </w:rPr>
        <w:t>INF.57</w:t>
      </w:r>
      <w:r w:rsidRPr="00101547">
        <w:rPr>
          <w:i/>
          <w:iCs/>
        </w:rPr>
        <w:t>, proposal 7)</w:t>
      </w:r>
    </w:p>
    <w:p w14:paraId="2A972117" w14:textId="77777777" w:rsidR="00CF309D" w:rsidRPr="002D2841" w:rsidRDefault="00CF309D" w:rsidP="00CF309D">
      <w:pPr>
        <w:spacing w:after="120"/>
        <w:ind w:left="1134" w:right="1134"/>
        <w:jc w:val="both"/>
        <w:rPr>
          <w:rFonts w:eastAsia="Times New Roman"/>
          <w:lang w:eastAsia="en-US"/>
        </w:rPr>
      </w:pPr>
      <w:r w:rsidRPr="002D2841">
        <w:rPr>
          <w:rFonts w:eastAsia="Times New Roman"/>
          <w:lang w:eastAsia="en-US"/>
        </w:rPr>
        <w:t>4.1.4.1, P</w:t>
      </w:r>
      <w:r w:rsidRPr="00A20118">
        <w:rPr>
          <w:rFonts w:eastAsia="Times New Roman"/>
          <w:lang w:eastAsia="en-US"/>
        </w:rPr>
        <w:t>408 (2)</w:t>
      </w:r>
      <w:r w:rsidRPr="002D2841">
        <w:rPr>
          <w:rFonts w:eastAsia="Times New Roman"/>
          <w:lang w:eastAsia="en-US"/>
        </w:rPr>
        <w:tab/>
      </w:r>
      <w:r w:rsidRPr="00A20118">
        <w:rPr>
          <w:rFonts w:eastAsia="Times New Roman"/>
          <w:lang w:eastAsia="en-US"/>
        </w:rPr>
        <w:t>At the end</w:t>
      </w:r>
      <w:r w:rsidRPr="002D2841">
        <w:rPr>
          <w:rFonts w:eastAsia="Times New Roman"/>
          <w:lang w:eastAsia="en-US"/>
        </w:rPr>
        <w:t xml:space="preserve">, </w:t>
      </w:r>
      <w:r w:rsidRPr="00A20118">
        <w:rPr>
          <w:rFonts w:eastAsia="Times New Roman"/>
          <w:lang w:eastAsia="en-US"/>
        </w:rPr>
        <w:t>add a new Note to read as follows:</w:t>
      </w:r>
    </w:p>
    <w:p w14:paraId="02DD4B39" w14:textId="77777777" w:rsidR="00CF309D" w:rsidRPr="00A20118" w:rsidRDefault="00CF309D" w:rsidP="00CF309D">
      <w:pPr>
        <w:spacing w:after="120"/>
        <w:ind w:left="1134" w:right="1134"/>
        <w:jc w:val="both"/>
        <w:rPr>
          <w:rFonts w:eastAsiaTheme="minorHAnsi"/>
          <w:lang w:eastAsia="en-US"/>
        </w:rPr>
      </w:pPr>
      <w:r w:rsidRPr="00A20118">
        <w:rPr>
          <w:i/>
          <w:iCs/>
        </w:rPr>
        <w:t>“</w:t>
      </w:r>
      <w:r w:rsidRPr="00A20118">
        <w:rPr>
          <w:b/>
          <w:i/>
          <w:iCs/>
        </w:rPr>
        <w:t>NOTE:</w:t>
      </w:r>
      <w:r w:rsidRPr="00A20118">
        <w:rPr>
          <w:i/>
          <w:iCs/>
        </w:rPr>
        <w:t xml:space="preserve"> The packagings authorized may exceed a net mass of 400 kg (see 4.1.3.3).”</w:t>
      </w:r>
    </w:p>
    <w:p w14:paraId="7E9B7157" w14:textId="77777777" w:rsidR="00CF309D" w:rsidRPr="002D2841" w:rsidRDefault="00CF309D" w:rsidP="00CF309D">
      <w:pPr>
        <w:kinsoku/>
        <w:overflowPunct/>
        <w:autoSpaceDE/>
        <w:autoSpaceDN/>
        <w:adjustRightInd/>
        <w:snapToGrid/>
        <w:spacing w:after="120"/>
        <w:ind w:left="2268" w:right="1134" w:hanging="1134"/>
        <w:jc w:val="both"/>
        <w:rPr>
          <w:rFonts w:eastAsia="Times New Roman"/>
          <w:i/>
          <w:iCs/>
          <w:lang w:eastAsia="en-US"/>
        </w:rPr>
      </w:pPr>
      <w:r w:rsidRPr="002D2841">
        <w:rPr>
          <w:rFonts w:eastAsia="Times New Roman"/>
          <w:i/>
          <w:iCs/>
          <w:lang w:eastAsia="en-US"/>
        </w:rPr>
        <w:t>(</w:t>
      </w:r>
      <w:r w:rsidRPr="00A20118">
        <w:rPr>
          <w:i/>
          <w:iCs/>
        </w:rPr>
        <w:t xml:space="preserve">Reference document: </w:t>
      </w:r>
      <w:r w:rsidRPr="002D2841">
        <w:rPr>
          <w:rFonts w:eastAsia="Times New Roman"/>
          <w:i/>
          <w:iCs/>
          <w:lang w:eastAsia="en-US"/>
        </w:rPr>
        <w:t xml:space="preserve"> ST/SG/AC.10/C.3/2020/75)</w:t>
      </w:r>
    </w:p>
    <w:p w14:paraId="2C581A2F" w14:textId="77777777" w:rsidR="00CF309D" w:rsidRPr="00D23FB7" w:rsidRDefault="00CF309D" w:rsidP="00CF309D">
      <w:pPr>
        <w:pStyle w:val="SingleTxtG"/>
        <w:ind w:left="2268" w:hanging="1134"/>
        <w:rPr>
          <w:lang w:val="en-US"/>
        </w:rPr>
      </w:pPr>
      <w:r>
        <w:t>4.1.4.1, P621 (1)</w:t>
      </w:r>
      <w:r>
        <w:tab/>
      </w:r>
      <w:r>
        <w:rPr>
          <w:lang w:val="en-US"/>
        </w:rPr>
        <w:t xml:space="preserve">For “Drums”, amend the text </w:t>
      </w:r>
      <w:r w:rsidRPr="00D67537">
        <w:rPr>
          <w:lang w:val="en-US"/>
        </w:rPr>
        <w:t>in parenthese</w:t>
      </w:r>
      <w:r>
        <w:rPr>
          <w:lang w:val="en-US"/>
        </w:rPr>
        <w:t>s to read “</w:t>
      </w:r>
      <w:r w:rsidRPr="00605771">
        <w:rPr>
          <w:lang w:val="en-US"/>
        </w:rPr>
        <w:t>(1A1, 1A2, 1B1, 1B2, 1N1, 1N2, 1H1, 1H2, 1D, 1G)</w:t>
      </w:r>
      <w:r>
        <w:rPr>
          <w:lang w:val="en-US"/>
        </w:rPr>
        <w:t xml:space="preserve">”. For “Jerricans”, amend the text </w:t>
      </w:r>
      <w:r w:rsidRPr="00D67537">
        <w:rPr>
          <w:lang w:val="en-US"/>
        </w:rPr>
        <w:t>in parenthese</w:t>
      </w:r>
      <w:r>
        <w:rPr>
          <w:lang w:val="en-US"/>
        </w:rPr>
        <w:t>s to read “</w:t>
      </w:r>
      <w:r w:rsidRPr="00AF2AD9">
        <w:rPr>
          <w:lang w:val="en-US"/>
        </w:rPr>
        <w:t>(3A1, 3A2, 3B1, 3B2, 3H1, 3H2)</w:t>
      </w:r>
      <w:r>
        <w:rPr>
          <w:lang w:val="en-US"/>
        </w:rPr>
        <w:t>”.</w:t>
      </w:r>
    </w:p>
    <w:p w14:paraId="4AF14621" w14:textId="77777777" w:rsidR="00CF309D" w:rsidRPr="00843762" w:rsidRDefault="00CF309D" w:rsidP="00CF309D">
      <w:pPr>
        <w:pStyle w:val="SingleTxtG"/>
        <w:rPr>
          <w:i/>
          <w:iCs/>
        </w:rPr>
      </w:pPr>
      <w:r w:rsidRPr="00804977">
        <w:rPr>
          <w:i/>
          <w:iCs/>
        </w:rPr>
        <w:t>(Reference document: ST/SG/AC.10/C.3/20</w:t>
      </w:r>
      <w:r>
        <w:rPr>
          <w:i/>
          <w:iCs/>
        </w:rPr>
        <w:t>20</w:t>
      </w:r>
      <w:r w:rsidRPr="00804977">
        <w:rPr>
          <w:i/>
          <w:iCs/>
        </w:rPr>
        <w:t>/</w:t>
      </w:r>
      <w:r>
        <w:rPr>
          <w:i/>
          <w:iCs/>
        </w:rPr>
        <w:t>24/Rev.1</w:t>
      </w:r>
      <w:r w:rsidRPr="00804977">
        <w:rPr>
          <w:i/>
          <w:iCs/>
        </w:rPr>
        <w:t>)</w:t>
      </w:r>
    </w:p>
    <w:p w14:paraId="251C3DA7" w14:textId="77777777" w:rsidR="00CF309D" w:rsidRPr="002D2841" w:rsidRDefault="00CF309D" w:rsidP="00CF309D">
      <w:pPr>
        <w:spacing w:after="120"/>
        <w:ind w:left="1134" w:right="1134"/>
        <w:jc w:val="both"/>
        <w:rPr>
          <w:rFonts w:eastAsia="Times New Roman"/>
          <w:lang w:eastAsia="en-US"/>
        </w:rPr>
      </w:pPr>
      <w:r w:rsidRPr="002D2841">
        <w:rPr>
          <w:rFonts w:eastAsia="Times New Roman"/>
          <w:lang w:eastAsia="en-US"/>
        </w:rPr>
        <w:t>4.1.4.1, P</w:t>
      </w:r>
      <w:r w:rsidRPr="00A20118">
        <w:rPr>
          <w:rFonts w:eastAsia="Times New Roman"/>
          <w:lang w:eastAsia="en-US"/>
        </w:rPr>
        <w:t>801 (1)</w:t>
      </w:r>
      <w:r w:rsidRPr="002D2841">
        <w:rPr>
          <w:rFonts w:eastAsia="Times New Roman"/>
          <w:lang w:eastAsia="en-US"/>
        </w:rPr>
        <w:tab/>
      </w:r>
      <w:r w:rsidRPr="00A20118">
        <w:rPr>
          <w:rFonts w:eastAsia="Times New Roman"/>
          <w:lang w:eastAsia="en-US"/>
        </w:rPr>
        <w:t>After the first sentence</w:t>
      </w:r>
      <w:r w:rsidRPr="002D2841">
        <w:rPr>
          <w:rFonts w:eastAsia="Times New Roman"/>
          <w:lang w:eastAsia="en-US"/>
        </w:rPr>
        <w:t xml:space="preserve">, </w:t>
      </w:r>
      <w:r w:rsidRPr="00A20118">
        <w:rPr>
          <w:rFonts w:eastAsia="Times New Roman"/>
          <w:lang w:eastAsia="en-US"/>
        </w:rPr>
        <w:t>add a new Note to read as follows:</w:t>
      </w:r>
    </w:p>
    <w:p w14:paraId="4775E517" w14:textId="77777777" w:rsidR="00CF309D" w:rsidRPr="00A20118" w:rsidRDefault="00CF309D" w:rsidP="00CF309D">
      <w:pPr>
        <w:spacing w:after="120"/>
        <w:ind w:left="1134" w:right="1134"/>
        <w:jc w:val="both"/>
        <w:rPr>
          <w:rFonts w:eastAsiaTheme="minorHAnsi"/>
          <w:lang w:eastAsia="en-US"/>
        </w:rPr>
      </w:pPr>
      <w:r w:rsidRPr="00A20118">
        <w:rPr>
          <w:i/>
          <w:iCs/>
        </w:rPr>
        <w:t>“</w:t>
      </w:r>
      <w:r w:rsidRPr="00A20118">
        <w:rPr>
          <w:b/>
          <w:i/>
          <w:iCs/>
        </w:rPr>
        <w:t>NOTE 1:</w:t>
      </w:r>
      <w:r w:rsidRPr="00A20118">
        <w:rPr>
          <w:i/>
          <w:iCs/>
        </w:rPr>
        <w:t xml:space="preserve"> The packagings authorized may exceed a net mass of 400 kg (see 4.1.3.3).”</w:t>
      </w:r>
    </w:p>
    <w:p w14:paraId="10E290C1" w14:textId="77777777" w:rsidR="00CF309D" w:rsidRPr="002D2841" w:rsidRDefault="00CF309D" w:rsidP="00CF309D">
      <w:pPr>
        <w:kinsoku/>
        <w:overflowPunct/>
        <w:autoSpaceDE/>
        <w:autoSpaceDN/>
        <w:adjustRightInd/>
        <w:snapToGrid/>
        <w:spacing w:after="120"/>
        <w:ind w:left="2268" w:right="1134" w:hanging="1134"/>
        <w:jc w:val="both"/>
        <w:rPr>
          <w:rFonts w:eastAsia="Times New Roman"/>
          <w:i/>
          <w:iCs/>
          <w:lang w:eastAsia="en-US"/>
        </w:rPr>
      </w:pPr>
      <w:r w:rsidRPr="002D2841">
        <w:rPr>
          <w:rFonts w:eastAsia="Times New Roman"/>
          <w:i/>
          <w:iCs/>
          <w:lang w:eastAsia="en-US"/>
        </w:rPr>
        <w:t>(</w:t>
      </w:r>
      <w:r w:rsidRPr="00A20118">
        <w:rPr>
          <w:i/>
          <w:iCs/>
        </w:rPr>
        <w:t xml:space="preserve">Reference document: </w:t>
      </w:r>
      <w:r w:rsidRPr="002D2841">
        <w:rPr>
          <w:rFonts w:eastAsia="Times New Roman"/>
          <w:i/>
          <w:iCs/>
          <w:lang w:eastAsia="en-US"/>
        </w:rPr>
        <w:t xml:space="preserve"> ST/SG/AC.10/C.3/2020/75)</w:t>
      </w:r>
    </w:p>
    <w:p w14:paraId="5ED7F715" w14:textId="77777777" w:rsidR="00CF309D" w:rsidRPr="002D2841" w:rsidRDefault="00CF309D" w:rsidP="00CF309D">
      <w:pPr>
        <w:spacing w:after="120"/>
        <w:ind w:left="1134" w:right="1134"/>
        <w:jc w:val="both"/>
        <w:rPr>
          <w:rFonts w:eastAsia="Times New Roman"/>
          <w:lang w:eastAsia="en-US"/>
        </w:rPr>
      </w:pPr>
      <w:r w:rsidRPr="002D2841">
        <w:rPr>
          <w:rFonts w:eastAsia="Times New Roman"/>
          <w:lang w:eastAsia="en-US"/>
        </w:rPr>
        <w:t>4.1.4.1, P</w:t>
      </w:r>
      <w:r w:rsidRPr="00A20118">
        <w:rPr>
          <w:rFonts w:eastAsia="Times New Roman"/>
          <w:lang w:eastAsia="en-US"/>
        </w:rPr>
        <w:t>801 (2)</w:t>
      </w:r>
      <w:r w:rsidRPr="002D2841">
        <w:rPr>
          <w:rFonts w:eastAsia="Times New Roman"/>
          <w:lang w:eastAsia="en-US"/>
        </w:rPr>
        <w:tab/>
      </w:r>
      <w:r w:rsidRPr="00A20118">
        <w:rPr>
          <w:rFonts w:eastAsia="Times New Roman"/>
          <w:lang w:eastAsia="en-US"/>
        </w:rPr>
        <w:t>After the first sentence</w:t>
      </w:r>
      <w:r w:rsidRPr="002D2841">
        <w:rPr>
          <w:rFonts w:eastAsia="Times New Roman"/>
          <w:lang w:eastAsia="en-US"/>
        </w:rPr>
        <w:t xml:space="preserve">, </w:t>
      </w:r>
      <w:r w:rsidRPr="00A20118">
        <w:rPr>
          <w:rFonts w:eastAsia="Times New Roman"/>
          <w:lang w:eastAsia="en-US"/>
        </w:rPr>
        <w:t>add a new Note to read as follows:</w:t>
      </w:r>
    </w:p>
    <w:p w14:paraId="1E2EB899" w14:textId="77777777" w:rsidR="00CF309D" w:rsidRPr="00A20118" w:rsidRDefault="00CF309D" w:rsidP="00CF309D">
      <w:pPr>
        <w:spacing w:after="120"/>
        <w:ind w:left="1134" w:right="1134"/>
        <w:jc w:val="both"/>
        <w:rPr>
          <w:rFonts w:eastAsiaTheme="minorHAnsi"/>
          <w:lang w:eastAsia="en-US"/>
        </w:rPr>
      </w:pPr>
      <w:r w:rsidRPr="00A20118">
        <w:rPr>
          <w:i/>
          <w:iCs/>
        </w:rPr>
        <w:t>“</w:t>
      </w:r>
      <w:r w:rsidRPr="00A20118">
        <w:rPr>
          <w:b/>
          <w:i/>
          <w:iCs/>
        </w:rPr>
        <w:t>NOTE 2:</w:t>
      </w:r>
      <w:r w:rsidRPr="00A20118">
        <w:rPr>
          <w:i/>
          <w:iCs/>
        </w:rPr>
        <w:t xml:space="preserve"> The packagings authorized may exceed a net mass of 400 kg (see 4.1.3.3).”</w:t>
      </w:r>
    </w:p>
    <w:p w14:paraId="016C8281" w14:textId="77777777" w:rsidR="00CF309D" w:rsidRPr="002D2841" w:rsidRDefault="00CF309D" w:rsidP="00CF309D">
      <w:pPr>
        <w:kinsoku/>
        <w:overflowPunct/>
        <w:autoSpaceDE/>
        <w:autoSpaceDN/>
        <w:adjustRightInd/>
        <w:snapToGrid/>
        <w:spacing w:after="120"/>
        <w:ind w:left="2268" w:right="1134" w:hanging="1134"/>
        <w:jc w:val="both"/>
        <w:rPr>
          <w:rFonts w:eastAsia="Times New Roman"/>
          <w:i/>
          <w:iCs/>
          <w:lang w:eastAsia="en-US"/>
        </w:rPr>
      </w:pPr>
      <w:r w:rsidRPr="002D2841">
        <w:rPr>
          <w:rFonts w:eastAsia="Times New Roman"/>
          <w:i/>
          <w:iCs/>
          <w:lang w:eastAsia="en-US"/>
        </w:rPr>
        <w:t>(</w:t>
      </w:r>
      <w:r w:rsidRPr="00A20118">
        <w:rPr>
          <w:i/>
          <w:iCs/>
        </w:rPr>
        <w:t xml:space="preserve">Reference document: </w:t>
      </w:r>
      <w:r w:rsidRPr="002D2841">
        <w:rPr>
          <w:rFonts w:eastAsia="Times New Roman"/>
          <w:i/>
          <w:iCs/>
          <w:lang w:eastAsia="en-US"/>
        </w:rPr>
        <w:t xml:space="preserve"> ST/SG/AC.10/C.3/2020/75)</w:t>
      </w:r>
    </w:p>
    <w:p w14:paraId="3AD735D4" w14:textId="77777777" w:rsidR="00CF309D" w:rsidRPr="002D2841" w:rsidRDefault="00CF309D" w:rsidP="00CF309D">
      <w:pPr>
        <w:spacing w:after="120"/>
        <w:ind w:left="1134" w:right="1134"/>
        <w:jc w:val="both"/>
        <w:rPr>
          <w:rFonts w:eastAsia="Times New Roman"/>
          <w:lang w:eastAsia="en-US"/>
        </w:rPr>
      </w:pPr>
      <w:r w:rsidRPr="004231E8">
        <w:rPr>
          <w:lang w:eastAsia="en-US"/>
        </w:rPr>
        <w:t>4.1.4.1</w:t>
      </w:r>
      <w:r>
        <w:rPr>
          <w:lang w:eastAsia="en-US"/>
        </w:rPr>
        <w:t>, P903</w:t>
      </w:r>
      <w:r>
        <w:rPr>
          <w:lang w:eastAsia="en-US"/>
        </w:rPr>
        <w:tab/>
        <w:t xml:space="preserve">At the end, after (5), </w:t>
      </w:r>
      <w:r w:rsidRPr="00A20118">
        <w:rPr>
          <w:rFonts w:eastAsia="Times New Roman"/>
          <w:lang w:eastAsia="en-US"/>
        </w:rPr>
        <w:t>add a new Note to read as follows:</w:t>
      </w:r>
    </w:p>
    <w:p w14:paraId="6D38CAE0" w14:textId="77777777" w:rsidR="00CF309D" w:rsidRPr="00A20118" w:rsidRDefault="00CF309D" w:rsidP="00CF309D">
      <w:pPr>
        <w:spacing w:after="120"/>
        <w:ind w:left="1134" w:right="1134"/>
        <w:jc w:val="both"/>
        <w:rPr>
          <w:rFonts w:eastAsiaTheme="minorHAnsi"/>
          <w:lang w:eastAsia="en-US"/>
        </w:rPr>
      </w:pPr>
      <w:r w:rsidRPr="00A20118">
        <w:rPr>
          <w:i/>
          <w:iCs/>
        </w:rPr>
        <w:t>“</w:t>
      </w:r>
      <w:r w:rsidRPr="00A20118">
        <w:rPr>
          <w:b/>
          <w:i/>
          <w:iCs/>
        </w:rPr>
        <w:t>NOTE:</w:t>
      </w:r>
      <w:r w:rsidRPr="00A20118">
        <w:rPr>
          <w:i/>
          <w:iCs/>
        </w:rPr>
        <w:t xml:space="preserve"> The packagings authorized </w:t>
      </w:r>
      <w:r>
        <w:rPr>
          <w:i/>
          <w:iCs/>
        </w:rPr>
        <w:t xml:space="preserve">in (2), (4) and (5) </w:t>
      </w:r>
      <w:r w:rsidRPr="00A20118">
        <w:rPr>
          <w:i/>
          <w:iCs/>
        </w:rPr>
        <w:t>may exceed a net mass of 400 kg (see 4.1.3.3).”</w:t>
      </w:r>
    </w:p>
    <w:p w14:paraId="36CBD5E8" w14:textId="77777777" w:rsidR="00CF309D" w:rsidRDefault="00CF309D" w:rsidP="00CF309D">
      <w:pPr>
        <w:kinsoku/>
        <w:overflowPunct/>
        <w:autoSpaceDE/>
        <w:autoSpaceDN/>
        <w:adjustRightInd/>
        <w:snapToGrid/>
        <w:spacing w:after="120"/>
        <w:ind w:left="1134" w:right="1134"/>
        <w:jc w:val="both"/>
        <w:rPr>
          <w:rFonts w:eastAsia="Times New Roman"/>
          <w:i/>
          <w:iCs/>
          <w:lang w:eastAsia="en-US"/>
        </w:rPr>
      </w:pPr>
      <w:r w:rsidRPr="002D2841">
        <w:rPr>
          <w:rFonts w:eastAsia="Times New Roman"/>
          <w:i/>
          <w:iCs/>
          <w:lang w:eastAsia="en-US"/>
        </w:rPr>
        <w:t>(</w:t>
      </w:r>
      <w:r w:rsidRPr="00A20118">
        <w:rPr>
          <w:i/>
          <w:iCs/>
        </w:rPr>
        <w:t xml:space="preserve">Reference document: </w:t>
      </w:r>
      <w:r w:rsidRPr="002D2841">
        <w:rPr>
          <w:rFonts w:eastAsia="Times New Roman"/>
          <w:i/>
          <w:iCs/>
          <w:lang w:eastAsia="en-US"/>
        </w:rPr>
        <w:t xml:space="preserve"> ST/SG/AC.10/C.3/2020/75)</w:t>
      </w:r>
    </w:p>
    <w:p w14:paraId="44D9F9BA" w14:textId="77777777" w:rsidR="00CF309D" w:rsidRPr="002D2841" w:rsidRDefault="00CF309D" w:rsidP="00CF309D">
      <w:pPr>
        <w:spacing w:after="120"/>
        <w:ind w:left="1134" w:right="1134"/>
        <w:jc w:val="both"/>
        <w:rPr>
          <w:rFonts w:eastAsia="Times New Roman"/>
          <w:lang w:eastAsia="en-US"/>
        </w:rPr>
      </w:pPr>
      <w:r w:rsidRPr="002D2841">
        <w:rPr>
          <w:rFonts w:eastAsia="Times New Roman"/>
          <w:lang w:eastAsia="en-US"/>
        </w:rPr>
        <w:t xml:space="preserve">4.1.4.1, </w:t>
      </w:r>
      <w:r w:rsidRPr="00A20118">
        <w:rPr>
          <w:rFonts w:eastAsia="Times New Roman"/>
          <w:lang w:eastAsia="en-US"/>
        </w:rPr>
        <w:t>P905</w:t>
      </w:r>
      <w:r w:rsidRPr="002D2841">
        <w:rPr>
          <w:rFonts w:eastAsia="Times New Roman"/>
          <w:lang w:eastAsia="en-US"/>
        </w:rPr>
        <w:tab/>
      </w:r>
      <w:r w:rsidRPr="00A20118">
        <w:rPr>
          <w:rFonts w:eastAsia="Times New Roman"/>
          <w:lang w:eastAsia="en-US"/>
        </w:rPr>
        <w:t>In the second row after the heading row, after the first sentence, add a new Note to read as follows:</w:t>
      </w:r>
    </w:p>
    <w:p w14:paraId="794E233E" w14:textId="77777777" w:rsidR="00CF309D" w:rsidRPr="00A20118" w:rsidRDefault="00CF309D" w:rsidP="00CF309D">
      <w:pPr>
        <w:spacing w:after="120"/>
        <w:ind w:left="1134" w:right="1134"/>
        <w:jc w:val="both"/>
        <w:rPr>
          <w:rFonts w:eastAsiaTheme="minorHAnsi"/>
          <w:lang w:eastAsia="en-US"/>
        </w:rPr>
      </w:pPr>
      <w:r w:rsidRPr="00A20118">
        <w:rPr>
          <w:i/>
          <w:iCs/>
        </w:rPr>
        <w:t>“</w:t>
      </w:r>
      <w:r w:rsidRPr="00A20118">
        <w:rPr>
          <w:b/>
          <w:i/>
          <w:iCs/>
        </w:rPr>
        <w:t>NOTE:</w:t>
      </w:r>
      <w:r w:rsidRPr="00A20118">
        <w:rPr>
          <w:i/>
          <w:iCs/>
        </w:rPr>
        <w:t xml:space="preserve"> The packagings authorized may exceed a net mass of 400 kg (see 4.1.3.3).”</w:t>
      </w:r>
    </w:p>
    <w:p w14:paraId="45AAF716" w14:textId="77777777" w:rsidR="00CF309D" w:rsidRPr="002D2841" w:rsidRDefault="00CF309D" w:rsidP="00CF309D">
      <w:pPr>
        <w:kinsoku/>
        <w:overflowPunct/>
        <w:autoSpaceDE/>
        <w:autoSpaceDN/>
        <w:adjustRightInd/>
        <w:snapToGrid/>
        <w:spacing w:after="120"/>
        <w:ind w:left="2268" w:right="1134" w:hanging="1134"/>
        <w:jc w:val="both"/>
        <w:rPr>
          <w:rFonts w:eastAsia="Times New Roman"/>
          <w:i/>
          <w:iCs/>
          <w:lang w:eastAsia="en-US"/>
        </w:rPr>
      </w:pPr>
      <w:r w:rsidRPr="002D2841">
        <w:rPr>
          <w:rFonts w:eastAsia="Times New Roman"/>
          <w:i/>
          <w:iCs/>
          <w:lang w:eastAsia="en-US"/>
        </w:rPr>
        <w:t>(</w:t>
      </w:r>
      <w:r w:rsidRPr="00A20118">
        <w:rPr>
          <w:i/>
          <w:iCs/>
        </w:rPr>
        <w:t xml:space="preserve">Reference document: </w:t>
      </w:r>
      <w:r w:rsidRPr="002D2841">
        <w:rPr>
          <w:rFonts w:eastAsia="Times New Roman"/>
          <w:i/>
          <w:iCs/>
          <w:lang w:eastAsia="en-US"/>
        </w:rPr>
        <w:t xml:space="preserve"> ST/SG/AC.10/C.3/2020/75)</w:t>
      </w:r>
    </w:p>
    <w:p w14:paraId="4AD5E0AE" w14:textId="77777777" w:rsidR="00CF309D" w:rsidRPr="002D2841" w:rsidRDefault="00CF309D" w:rsidP="00CF309D">
      <w:pPr>
        <w:spacing w:after="120"/>
        <w:ind w:left="1134" w:right="1134"/>
        <w:jc w:val="both"/>
        <w:rPr>
          <w:rFonts w:eastAsia="Times New Roman"/>
          <w:lang w:eastAsia="en-US"/>
        </w:rPr>
      </w:pPr>
      <w:r w:rsidRPr="002D2841">
        <w:rPr>
          <w:rFonts w:eastAsia="Times New Roman"/>
          <w:lang w:eastAsia="en-US"/>
        </w:rPr>
        <w:t>4.1.4.1, P</w:t>
      </w:r>
      <w:r w:rsidRPr="00A20118">
        <w:rPr>
          <w:rFonts w:eastAsia="Times New Roman"/>
          <w:lang w:eastAsia="en-US"/>
        </w:rPr>
        <w:t>906 (2)</w:t>
      </w:r>
      <w:r w:rsidRPr="002D2841">
        <w:rPr>
          <w:rFonts w:eastAsia="Times New Roman"/>
          <w:lang w:eastAsia="en-US"/>
        </w:rPr>
        <w:tab/>
      </w:r>
      <w:r w:rsidRPr="00A20118">
        <w:rPr>
          <w:rFonts w:eastAsia="Times New Roman"/>
          <w:lang w:eastAsia="en-US"/>
        </w:rPr>
        <w:t>Under sub-paragraph (b)</w:t>
      </w:r>
      <w:r w:rsidRPr="002D2841">
        <w:rPr>
          <w:rFonts w:eastAsia="Times New Roman"/>
          <w:lang w:eastAsia="en-US"/>
        </w:rPr>
        <w:t xml:space="preserve">, </w:t>
      </w:r>
      <w:r w:rsidRPr="00A20118">
        <w:rPr>
          <w:rFonts w:eastAsia="Times New Roman"/>
          <w:lang w:eastAsia="en-US"/>
        </w:rPr>
        <w:t>add a new Note to read as follows:</w:t>
      </w:r>
    </w:p>
    <w:p w14:paraId="0A195D50" w14:textId="77777777" w:rsidR="00CF309D" w:rsidRPr="00A20118" w:rsidRDefault="00CF309D" w:rsidP="00CF309D">
      <w:pPr>
        <w:spacing w:after="120"/>
        <w:ind w:left="1134" w:right="1134"/>
        <w:jc w:val="both"/>
        <w:rPr>
          <w:rFonts w:eastAsiaTheme="minorHAnsi"/>
          <w:lang w:eastAsia="en-US"/>
        </w:rPr>
      </w:pPr>
      <w:r w:rsidRPr="00A20118">
        <w:rPr>
          <w:i/>
          <w:iCs/>
        </w:rPr>
        <w:t>“</w:t>
      </w:r>
      <w:r w:rsidRPr="00A20118">
        <w:rPr>
          <w:b/>
          <w:i/>
          <w:iCs/>
        </w:rPr>
        <w:t>NOTE</w:t>
      </w:r>
      <w:r>
        <w:rPr>
          <w:b/>
          <w:i/>
          <w:iCs/>
        </w:rPr>
        <w:t xml:space="preserve"> 1</w:t>
      </w:r>
      <w:r w:rsidRPr="00A20118">
        <w:rPr>
          <w:b/>
          <w:i/>
          <w:iCs/>
        </w:rPr>
        <w:t>:</w:t>
      </w:r>
      <w:r>
        <w:rPr>
          <w:i/>
          <w:iCs/>
        </w:rPr>
        <w:tab/>
      </w:r>
      <w:r w:rsidRPr="00A20118">
        <w:rPr>
          <w:i/>
          <w:iCs/>
        </w:rPr>
        <w:t>The packagings authorized may exceed a net mass of 400 kg (see 4.1.3.3).”</w:t>
      </w:r>
    </w:p>
    <w:p w14:paraId="0A1D8156" w14:textId="77777777" w:rsidR="00CF309D" w:rsidRPr="002D2841" w:rsidRDefault="00CF309D" w:rsidP="00CF309D">
      <w:pPr>
        <w:spacing w:after="120"/>
        <w:ind w:left="2268" w:right="1134"/>
        <w:jc w:val="both"/>
        <w:rPr>
          <w:rFonts w:eastAsia="Times New Roman"/>
          <w:lang w:eastAsia="en-US"/>
        </w:rPr>
      </w:pPr>
      <w:r w:rsidRPr="00A20118">
        <w:rPr>
          <w:rFonts w:eastAsia="Times New Roman"/>
          <w:lang w:eastAsia="en-US"/>
        </w:rPr>
        <w:t>Under the last paragraph, before the additional provisions</w:t>
      </w:r>
      <w:r w:rsidRPr="002D2841">
        <w:rPr>
          <w:rFonts w:eastAsia="Times New Roman"/>
          <w:lang w:eastAsia="en-US"/>
        </w:rPr>
        <w:t xml:space="preserve">, </w:t>
      </w:r>
      <w:r w:rsidRPr="00A20118">
        <w:rPr>
          <w:rFonts w:eastAsia="Times New Roman"/>
          <w:lang w:eastAsia="en-US"/>
        </w:rPr>
        <w:t>add a new Note to read as follows:</w:t>
      </w:r>
    </w:p>
    <w:p w14:paraId="28F7675B" w14:textId="77777777" w:rsidR="00CF309D" w:rsidRPr="00A20118" w:rsidRDefault="00CF309D" w:rsidP="00CF309D">
      <w:pPr>
        <w:spacing w:after="120"/>
        <w:ind w:left="1134" w:right="1134"/>
        <w:jc w:val="both"/>
        <w:rPr>
          <w:rFonts w:eastAsiaTheme="minorHAnsi"/>
          <w:lang w:eastAsia="en-US"/>
        </w:rPr>
      </w:pPr>
      <w:r w:rsidRPr="00A20118">
        <w:rPr>
          <w:i/>
          <w:iCs/>
        </w:rPr>
        <w:t>“</w:t>
      </w:r>
      <w:r w:rsidRPr="00A20118">
        <w:rPr>
          <w:b/>
          <w:i/>
          <w:iCs/>
        </w:rPr>
        <w:t>NOTE</w:t>
      </w:r>
      <w:r>
        <w:rPr>
          <w:b/>
          <w:i/>
          <w:iCs/>
        </w:rPr>
        <w:t xml:space="preserve"> 2</w:t>
      </w:r>
      <w:r w:rsidRPr="00A20118">
        <w:rPr>
          <w:b/>
          <w:i/>
          <w:iCs/>
        </w:rPr>
        <w:t>:</w:t>
      </w:r>
      <w:r>
        <w:rPr>
          <w:i/>
          <w:iCs/>
        </w:rPr>
        <w:tab/>
      </w:r>
      <w:r w:rsidRPr="00A20118">
        <w:rPr>
          <w:i/>
          <w:iCs/>
        </w:rPr>
        <w:t>The packagings authorized may exceed a net mass of 400 kg (see 4.1.3.3).”</w:t>
      </w:r>
    </w:p>
    <w:p w14:paraId="3644E0DB" w14:textId="77777777" w:rsidR="00CF309D" w:rsidRPr="002D2841" w:rsidRDefault="00CF309D" w:rsidP="00CF309D">
      <w:pPr>
        <w:kinsoku/>
        <w:overflowPunct/>
        <w:autoSpaceDE/>
        <w:autoSpaceDN/>
        <w:adjustRightInd/>
        <w:snapToGrid/>
        <w:spacing w:after="120"/>
        <w:ind w:left="2268" w:right="1134" w:hanging="1134"/>
        <w:jc w:val="both"/>
        <w:rPr>
          <w:rFonts w:eastAsia="Times New Roman"/>
          <w:i/>
          <w:iCs/>
          <w:lang w:eastAsia="en-US"/>
        </w:rPr>
      </w:pPr>
      <w:r w:rsidRPr="002D2841">
        <w:rPr>
          <w:rFonts w:eastAsia="Times New Roman"/>
          <w:i/>
          <w:iCs/>
          <w:lang w:eastAsia="en-US"/>
        </w:rPr>
        <w:t>(</w:t>
      </w:r>
      <w:r w:rsidRPr="00A20118">
        <w:rPr>
          <w:i/>
          <w:iCs/>
        </w:rPr>
        <w:t xml:space="preserve">Reference document: </w:t>
      </w:r>
      <w:r w:rsidRPr="002D2841">
        <w:rPr>
          <w:rFonts w:eastAsia="Times New Roman"/>
          <w:i/>
          <w:iCs/>
          <w:lang w:eastAsia="en-US"/>
        </w:rPr>
        <w:t xml:space="preserve"> ST/SG/AC.10/C.3/2020/75)</w:t>
      </w:r>
    </w:p>
    <w:p w14:paraId="0B730063" w14:textId="77777777" w:rsidR="00CF309D" w:rsidRPr="002D2841" w:rsidRDefault="00CF309D" w:rsidP="00CF309D">
      <w:pPr>
        <w:spacing w:after="120"/>
        <w:ind w:left="1134" w:right="1134"/>
        <w:jc w:val="both"/>
        <w:rPr>
          <w:rFonts w:eastAsia="Times New Roman"/>
          <w:lang w:eastAsia="en-US"/>
        </w:rPr>
      </w:pPr>
      <w:r w:rsidRPr="002D2841">
        <w:rPr>
          <w:rFonts w:eastAsia="Times New Roman"/>
          <w:lang w:eastAsia="en-US"/>
        </w:rPr>
        <w:lastRenderedPageBreak/>
        <w:t xml:space="preserve">4.1.4.1, </w:t>
      </w:r>
      <w:r w:rsidRPr="00A20118">
        <w:rPr>
          <w:rFonts w:eastAsia="Times New Roman"/>
          <w:lang w:eastAsia="en-US"/>
        </w:rPr>
        <w:t>P907</w:t>
      </w:r>
      <w:r w:rsidRPr="002D2841">
        <w:rPr>
          <w:rFonts w:eastAsia="Times New Roman"/>
          <w:lang w:eastAsia="en-US"/>
        </w:rPr>
        <w:tab/>
      </w:r>
      <w:r w:rsidRPr="00A20118">
        <w:rPr>
          <w:rFonts w:eastAsia="Times New Roman"/>
          <w:lang w:eastAsia="en-US"/>
        </w:rPr>
        <w:t>At the end</w:t>
      </w:r>
      <w:r w:rsidRPr="002D2841">
        <w:rPr>
          <w:rFonts w:eastAsia="Times New Roman"/>
          <w:lang w:eastAsia="en-US"/>
        </w:rPr>
        <w:t xml:space="preserve">, </w:t>
      </w:r>
      <w:r w:rsidRPr="00A20118">
        <w:rPr>
          <w:rFonts w:eastAsia="Times New Roman"/>
          <w:lang w:eastAsia="en-US"/>
        </w:rPr>
        <w:t>add a new Note to read as follows:</w:t>
      </w:r>
    </w:p>
    <w:p w14:paraId="55E28CBD" w14:textId="77777777" w:rsidR="00CF309D" w:rsidRPr="00A20118" w:rsidRDefault="00CF309D" w:rsidP="00CF309D">
      <w:pPr>
        <w:spacing w:after="120"/>
        <w:ind w:left="1134" w:right="1134"/>
        <w:jc w:val="both"/>
        <w:rPr>
          <w:rFonts w:eastAsiaTheme="minorHAnsi"/>
          <w:lang w:eastAsia="en-US"/>
        </w:rPr>
      </w:pPr>
      <w:r w:rsidRPr="00A20118">
        <w:rPr>
          <w:i/>
          <w:iCs/>
        </w:rPr>
        <w:t>“</w:t>
      </w:r>
      <w:r w:rsidRPr="00A20118">
        <w:rPr>
          <w:b/>
          <w:i/>
          <w:iCs/>
        </w:rPr>
        <w:t>NOTE:</w:t>
      </w:r>
      <w:r w:rsidRPr="00A20118">
        <w:rPr>
          <w:i/>
          <w:iCs/>
        </w:rPr>
        <w:t xml:space="preserve"> The packagings authorized may exceed a net mass of 400 kg (see 4.1.3.3).”</w:t>
      </w:r>
    </w:p>
    <w:p w14:paraId="6F3E0008" w14:textId="77777777" w:rsidR="00CF309D" w:rsidRPr="002D2841" w:rsidRDefault="00CF309D" w:rsidP="00CF309D">
      <w:pPr>
        <w:kinsoku/>
        <w:overflowPunct/>
        <w:autoSpaceDE/>
        <w:autoSpaceDN/>
        <w:adjustRightInd/>
        <w:snapToGrid/>
        <w:spacing w:after="120"/>
        <w:ind w:left="2268" w:right="1134" w:hanging="1134"/>
        <w:jc w:val="both"/>
        <w:rPr>
          <w:rFonts w:eastAsia="Times New Roman"/>
          <w:i/>
          <w:iCs/>
          <w:lang w:eastAsia="en-US"/>
        </w:rPr>
      </w:pPr>
      <w:r w:rsidRPr="002D2841">
        <w:rPr>
          <w:rFonts w:eastAsia="Times New Roman"/>
          <w:i/>
          <w:iCs/>
          <w:lang w:eastAsia="en-US"/>
        </w:rPr>
        <w:t>(</w:t>
      </w:r>
      <w:r w:rsidRPr="00A20118">
        <w:rPr>
          <w:i/>
          <w:iCs/>
        </w:rPr>
        <w:t xml:space="preserve">Reference document: </w:t>
      </w:r>
      <w:r w:rsidRPr="002D2841">
        <w:rPr>
          <w:rFonts w:eastAsia="Times New Roman"/>
          <w:i/>
          <w:iCs/>
          <w:lang w:eastAsia="en-US"/>
        </w:rPr>
        <w:t xml:space="preserve"> ST/SG/AC.10/C.3/2020/75)</w:t>
      </w:r>
    </w:p>
    <w:p w14:paraId="389416C9" w14:textId="77777777" w:rsidR="00CF309D" w:rsidRPr="002D2841" w:rsidRDefault="00CF309D" w:rsidP="00CF309D">
      <w:pPr>
        <w:spacing w:after="120"/>
        <w:ind w:left="1134" w:right="1134"/>
        <w:jc w:val="both"/>
        <w:rPr>
          <w:rFonts w:eastAsia="Times New Roman"/>
          <w:lang w:eastAsia="en-US"/>
        </w:rPr>
      </w:pPr>
      <w:r w:rsidRPr="002D2841">
        <w:rPr>
          <w:rFonts w:eastAsia="Times New Roman"/>
          <w:lang w:eastAsia="en-US"/>
        </w:rPr>
        <w:t>4.1.4.1, P</w:t>
      </w:r>
      <w:r w:rsidRPr="00A20118">
        <w:rPr>
          <w:rFonts w:eastAsia="Times New Roman"/>
          <w:lang w:eastAsia="en-US"/>
        </w:rPr>
        <w:t>909 (3)</w:t>
      </w:r>
      <w:r w:rsidRPr="002D2841">
        <w:rPr>
          <w:rFonts w:eastAsia="Times New Roman"/>
          <w:lang w:eastAsia="en-US"/>
        </w:rPr>
        <w:tab/>
      </w:r>
      <w:r w:rsidRPr="00A20118">
        <w:rPr>
          <w:rFonts w:eastAsia="Times New Roman"/>
          <w:lang w:eastAsia="en-US"/>
        </w:rPr>
        <w:t>At the end</w:t>
      </w:r>
      <w:r w:rsidRPr="002D2841">
        <w:rPr>
          <w:rFonts w:eastAsia="Times New Roman"/>
          <w:lang w:eastAsia="en-US"/>
        </w:rPr>
        <w:t xml:space="preserve">, </w:t>
      </w:r>
      <w:r w:rsidRPr="00A20118">
        <w:rPr>
          <w:rFonts w:eastAsia="Times New Roman"/>
          <w:lang w:eastAsia="en-US"/>
        </w:rPr>
        <w:t>add a new Note to read as follows:</w:t>
      </w:r>
    </w:p>
    <w:p w14:paraId="243AFBCE" w14:textId="77777777" w:rsidR="00CF309D" w:rsidRPr="00A20118" w:rsidRDefault="00CF309D" w:rsidP="00CF309D">
      <w:pPr>
        <w:spacing w:after="120"/>
        <w:ind w:left="1134" w:right="1134"/>
        <w:jc w:val="both"/>
        <w:rPr>
          <w:rFonts w:eastAsiaTheme="minorHAnsi"/>
          <w:lang w:eastAsia="en-US"/>
        </w:rPr>
      </w:pPr>
      <w:r w:rsidRPr="00A20118">
        <w:rPr>
          <w:i/>
          <w:iCs/>
        </w:rPr>
        <w:t>“</w:t>
      </w:r>
      <w:r w:rsidRPr="00A20118">
        <w:rPr>
          <w:b/>
          <w:i/>
          <w:iCs/>
        </w:rPr>
        <w:t>NOTE 1:</w:t>
      </w:r>
      <w:r w:rsidRPr="00A20118">
        <w:rPr>
          <w:i/>
          <w:iCs/>
        </w:rPr>
        <w:t xml:space="preserve"> The packagings authorized may exceed a net mass of 400 kg (see 4.1.3.3).”</w:t>
      </w:r>
    </w:p>
    <w:p w14:paraId="05DADF10" w14:textId="77777777" w:rsidR="00CF309D" w:rsidRPr="002D2841" w:rsidRDefault="00CF309D" w:rsidP="00CF309D">
      <w:pPr>
        <w:kinsoku/>
        <w:overflowPunct/>
        <w:autoSpaceDE/>
        <w:autoSpaceDN/>
        <w:adjustRightInd/>
        <w:snapToGrid/>
        <w:spacing w:after="120"/>
        <w:ind w:left="2268" w:right="1134" w:hanging="1134"/>
        <w:jc w:val="both"/>
        <w:rPr>
          <w:rFonts w:eastAsia="Times New Roman"/>
          <w:i/>
          <w:iCs/>
          <w:lang w:eastAsia="en-US"/>
        </w:rPr>
      </w:pPr>
      <w:r w:rsidRPr="002D2841">
        <w:rPr>
          <w:rFonts w:eastAsia="Times New Roman"/>
          <w:i/>
          <w:iCs/>
          <w:lang w:eastAsia="en-US"/>
        </w:rPr>
        <w:t>(</w:t>
      </w:r>
      <w:r w:rsidRPr="00A20118">
        <w:rPr>
          <w:i/>
          <w:iCs/>
        </w:rPr>
        <w:t xml:space="preserve">Reference document: </w:t>
      </w:r>
      <w:r w:rsidRPr="002D2841">
        <w:rPr>
          <w:rFonts w:eastAsia="Times New Roman"/>
          <w:i/>
          <w:iCs/>
          <w:lang w:eastAsia="en-US"/>
        </w:rPr>
        <w:t xml:space="preserve"> ST/SG/AC.10/C.3/2020/75)</w:t>
      </w:r>
    </w:p>
    <w:p w14:paraId="38AC1865" w14:textId="77777777" w:rsidR="00CF309D" w:rsidRPr="002D2841" w:rsidRDefault="00CF309D" w:rsidP="00CF309D">
      <w:pPr>
        <w:spacing w:after="120"/>
        <w:ind w:left="1134" w:right="1134"/>
        <w:jc w:val="both"/>
        <w:rPr>
          <w:rFonts w:eastAsia="Times New Roman"/>
          <w:lang w:eastAsia="en-US"/>
        </w:rPr>
      </w:pPr>
      <w:r w:rsidRPr="002D2841">
        <w:rPr>
          <w:rFonts w:eastAsia="Times New Roman"/>
          <w:lang w:eastAsia="en-US"/>
        </w:rPr>
        <w:t>4.1.4.1, P</w:t>
      </w:r>
      <w:r w:rsidRPr="00A20118">
        <w:rPr>
          <w:rFonts w:eastAsia="Times New Roman"/>
          <w:lang w:eastAsia="en-US"/>
        </w:rPr>
        <w:t>909 (4)</w:t>
      </w:r>
      <w:r w:rsidRPr="002D2841">
        <w:rPr>
          <w:rFonts w:eastAsia="Times New Roman"/>
          <w:lang w:eastAsia="en-US"/>
        </w:rPr>
        <w:tab/>
      </w:r>
      <w:r w:rsidRPr="00A20118">
        <w:rPr>
          <w:rFonts w:eastAsia="Times New Roman"/>
          <w:lang w:eastAsia="en-US"/>
        </w:rPr>
        <w:t>At the end</w:t>
      </w:r>
      <w:r w:rsidRPr="002D2841">
        <w:rPr>
          <w:rFonts w:eastAsia="Times New Roman"/>
          <w:lang w:eastAsia="en-US"/>
        </w:rPr>
        <w:t xml:space="preserve">, </w:t>
      </w:r>
      <w:r w:rsidRPr="00A20118">
        <w:rPr>
          <w:rFonts w:eastAsia="Times New Roman"/>
          <w:lang w:eastAsia="en-US"/>
        </w:rPr>
        <w:t>add a new Note to read as follows:</w:t>
      </w:r>
    </w:p>
    <w:p w14:paraId="3D309B48" w14:textId="77777777" w:rsidR="00CF309D" w:rsidRPr="00A20118" w:rsidRDefault="00CF309D" w:rsidP="00CF309D">
      <w:pPr>
        <w:spacing w:after="120"/>
        <w:ind w:left="1134" w:right="1134"/>
        <w:jc w:val="both"/>
        <w:rPr>
          <w:rFonts w:eastAsiaTheme="minorHAnsi"/>
          <w:lang w:eastAsia="en-US"/>
        </w:rPr>
      </w:pPr>
      <w:r w:rsidRPr="00A20118">
        <w:rPr>
          <w:i/>
          <w:iCs/>
        </w:rPr>
        <w:t>“</w:t>
      </w:r>
      <w:r w:rsidRPr="00A20118">
        <w:rPr>
          <w:b/>
          <w:i/>
          <w:iCs/>
        </w:rPr>
        <w:t>NOTE 2:</w:t>
      </w:r>
      <w:r w:rsidRPr="00A20118">
        <w:rPr>
          <w:i/>
          <w:iCs/>
        </w:rPr>
        <w:t xml:space="preserve"> The packagings authorized may exceed a net mass of 400 kg (see 4.1.3.3).”</w:t>
      </w:r>
    </w:p>
    <w:p w14:paraId="0CC1E2AA" w14:textId="77777777" w:rsidR="00CF309D" w:rsidRPr="002D2841" w:rsidRDefault="00CF309D" w:rsidP="00CF309D">
      <w:pPr>
        <w:kinsoku/>
        <w:overflowPunct/>
        <w:autoSpaceDE/>
        <w:autoSpaceDN/>
        <w:adjustRightInd/>
        <w:snapToGrid/>
        <w:spacing w:after="120"/>
        <w:ind w:left="2268" w:right="1134" w:hanging="1134"/>
        <w:jc w:val="both"/>
        <w:rPr>
          <w:rFonts w:eastAsia="Times New Roman"/>
          <w:i/>
          <w:iCs/>
          <w:lang w:eastAsia="en-US"/>
        </w:rPr>
      </w:pPr>
      <w:r w:rsidRPr="002D2841">
        <w:rPr>
          <w:rFonts w:eastAsia="Times New Roman"/>
          <w:i/>
          <w:iCs/>
          <w:lang w:eastAsia="en-US"/>
        </w:rPr>
        <w:t>(</w:t>
      </w:r>
      <w:r w:rsidRPr="00A20118">
        <w:rPr>
          <w:i/>
          <w:iCs/>
        </w:rPr>
        <w:t xml:space="preserve">Reference document: </w:t>
      </w:r>
      <w:r w:rsidRPr="002D2841">
        <w:rPr>
          <w:rFonts w:eastAsia="Times New Roman"/>
          <w:i/>
          <w:iCs/>
          <w:lang w:eastAsia="en-US"/>
        </w:rPr>
        <w:t xml:space="preserve"> ST/SG/AC.10/C.3/2020/75)</w:t>
      </w:r>
    </w:p>
    <w:p w14:paraId="05214E81" w14:textId="77777777" w:rsidR="00CF309D" w:rsidRPr="002D2841" w:rsidRDefault="00CF309D" w:rsidP="00CF309D">
      <w:pPr>
        <w:spacing w:after="120"/>
        <w:ind w:left="1134" w:right="1134"/>
        <w:jc w:val="both"/>
        <w:rPr>
          <w:rFonts w:eastAsia="Times New Roman"/>
          <w:lang w:eastAsia="en-US"/>
        </w:rPr>
      </w:pPr>
      <w:r w:rsidRPr="002D2841">
        <w:rPr>
          <w:rFonts w:eastAsia="Times New Roman"/>
          <w:lang w:eastAsia="en-US"/>
        </w:rPr>
        <w:t xml:space="preserve">4.1.4.1, </w:t>
      </w:r>
      <w:r w:rsidRPr="00A20118">
        <w:rPr>
          <w:rFonts w:eastAsia="Times New Roman"/>
          <w:lang w:eastAsia="en-US"/>
        </w:rPr>
        <w:t>P910 (3)</w:t>
      </w:r>
      <w:r w:rsidRPr="002D2841">
        <w:rPr>
          <w:rFonts w:eastAsia="Times New Roman"/>
          <w:lang w:eastAsia="en-US"/>
        </w:rPr>
        <w:tab/>
      </w:r>
      <w:r w:rsidRPr="00A20118">
        <w:rPr>
          <w:rFonts w:eastAsia="Times New Roman"/>
          <w:lang w:eastAsia="en-US"/>
        </w:rPr>
        <w:t>At the end</w:t>
      </w:r>
      <w:r w:rsidRPr="002D2841">
        <w:rPr>
          <w:rFonts w:eastAsia="Times New Roman"/>
          <w:lang w:eastAsia="en-US"/>
        </w:rPr>
        <w:t xml:space="preserve">, </w:t>
      </w:r>
      <w:r w:rsidRPr="00A20118">
        <w:rPr>
          <w:rFonts w:eastAsia="Times New Roman"/>
          <w:lang w:eastAsia="en-US"/>
        </w:rPr>
        <w:t>add a new Note to read as follows:</w:t>
      </w:r>
    </w:p>
    <w:p w14:paraId="69CD6DEC" w14:textId="77777777" w:rsidR="00CF309D" w:rsidRPr="00A20118" w:rsidRDefault="00CF309D" w:rsidP="00CF309D">
      <w:pPr>
        <w:spacing w:after="120"/>
        <w:ind w:left="1134" w:right="1134"/>
        <w:jc w:val="both"/>
        <w:rPr>
          <w:rFonts w:eastAsiaTheme="minorHAnsi"/>
          <w:lang w:eastAsia="en-US"/>
        </w:rPr>
      </w:pPr>
      <w:r w:rsidRPr="00A20118">
        <w:rPr>
          <w:i/>
          <w:iCs/>
        </w:rPr>
        <w:t>“</w:t>
      </w:r>
      <w:r w:rsidRPr="00A20118">
        <w:rPr>
          <w:b/>
          <w:i/>
          <w:iCs/>
        </w:rPr>
        <w:t>NOTE:</w:t>
      </w:r>
      <w:r w:rsidRPr="00A20118">
        <w:rPr>
          <w:i/>
          <w:iCs/>
        </w:rPr>
        <w:t xml:space="preserve"> The packagings authorized may exceed a net mass of 400 kg (see 4.1.3.3).”</w:t>
      </w:r>
    </w:p>
    <w:p w14:paraId="08FEE662" w14:textId="77777777" w:rsidR="00CF309D" w:rsidRPr="002D2841" w:rsidRDefault="00CF309D" w:rsidP="00CF309D">
      <w:pPr>
        <w:kinsoku/>
        <w:overflowPunct/>
        <w:autoSpaceDE/>
        <w:autoSpaceDN/>
        <w:adjustRightInd/>
        <w:snapToGrid/>
        <w:spacing w:after="120"/>
        <w:ind w:left="2268" w:right="1134" w:hanging="1134"/>
        <w:jc w:val="both"/>
        <w:rPr>
          <w:rFonts w:eastAsia="Times New Roman"/>
          <w:i/>
          <w:iCs/>
          <w:lang w:eastAsia="en-US"/>
        </w:rPr>
      </w:pPr>
      <w:r w:rsidRPr="002D2841">
        <w:rPr>
          <w:rFonts w:eastAsia="Times New Roman"/>
          <w:i/>
          <w:iCs/>
          <w:lang w:eastAsia="en-US"/>
        </w:rPr>
        <w:t>(</w:t>
      </w:r>
      <w:r w:rsidRPr="00A20118">
        <w:rPr>
          <w:i/>
          <w:iCs/>
        </w:rPr>
        <w:t xml:space="preserve">Reference document: </w:t>
      </w:r>
      <w:r w:rsidRPr="002D2841">
        <w:rPr>
          <w:rFonts w:eastAsia="Times New Roman"/>
          <w:i/>
          <w:iCs/>
          <w:lang w:eastAsia="en-US"/>
        </w:rPr>
        <w:t xml:space="preserve"> ST/SG/AC.10/C.3/2020/75)</w:t>
      </w:r>
    </w:p>
    <w:p w14:paraId="35D8E371" w14:textId="77777777" w:rsidR="00CF309D" w:rsidRPr="00A20118" w:rsidRDefault="00CF309D" w:rsidP="00CF309D">
      <w:pPr>
        <w:pStyle w:val="SingleTxtG"/>
        <w:ind w:left="2268" w:hanging="1134"/>
      </w:pPr>
      <w:r w:rsidRPr="00A20118">
        <w:t>4.1.4.</w:t>
      </w:r>
      <w:r>
        <w:t>1</w:t>
      </w:r>
      <w:r w:rsidRPr="00A20118">
        <w:t>, P911</w:t>
      </w:r>
      <w:r w:rsidRPr="00A20118">
        <w:tab/>
        <w:t xml:space="preserve">In note </w:t>
      </w:r>
      <w:r w:rsidRPr="00A20118">
        <w:rPr>
          <w:vertAlign w:val="superscript"/>
        </w:rPr>
        <w:t>a</w:t>
      </w:r>
      <w:r w:rsidRPr="00A20118">
        <w:t>, at the end, add a new indent to read as follows:</w:t>
      </w:r>
    </w:p>
    <w:p w14:paraId="5C9A3579" w14:textId="77777777" w:rsidR="00CF309D" w:rsidRPr="00A20118" w:rsidRDefault="00CF309D" w:rsidP="00CF309D">
      <w:pPr>
        <w:pStyle w:val="SingleTxtG"/>
      </w:pPr>
      <w:r w:rsidRPr="00A20118">
        <w:t>“(i)</w:t>
      </w:r>
      <w:r w:rsidRPr="00A20118">
        <w:tab/>
        <w:t>In the case of multiple batteries and multiple items of equipment containing batteries, additional requirements such as the maximum number of batteries and items of equipment, the total maximum energy content of the batteries, and the configuration inside the package, including separations and protections of the parts, shall be considered.”</w:t>
      </w:r>
    </w:p>
    <w:p w14:paraId="2302517A" w14:textId="77777777" w:rsidR="00CF309D" w:rsidRPr="00A20118" w:rsidRDefault="00CF309D" w:rsidP="00CF309D">
      <w:pPr>
        <w:pStyle w:val="SingleTxtG"/>
        <w:rPr>
          <w:i/>
          <w:iCs/>
        </w:rPr>
      </w:pPr>
      <w:r w:rsidRPr="00A20118">
        <w:rPr>
          <w:i/>
          <w:iCs/>
        </w:rPr>
        <w:t>(Reference document: informal document INF.12, proposal 2)</w:t>
      </w:r>
    </w:p>
    <w:p w14:paraId="2AFC8C17" w14:textId="77777777" w:rsidR="00CF309D" w:rsidRDefault="00CF309D" w:rsidP="00CF309D">
      <w:pPr>
        <w:pStyle w:val="SingleTxtG"/>
        <w:ind w:left="2268" w:hanging="1134"/>
        <w:rPr>
          <w:lang w:val="en-US"/>
        </w:rPr>
      </w:pPr>
      <w:r>
        <w:t>4.1.4.2, IBC07</w:t>
      </w:r>
      <w:r>
        <w:tab/>
      </w:r>
      <w:r>
        <w:rPr>
          <w:lang w:val="en-US"/>
        </w:rPr>
        <w:t>Add the following new special packing provision:</w:t>
      </w:r>
    </w:p>
    <w:p w14:paraId="35970EDF" w14:textId="77777777" w:rsidR="00CF309D" w:rsidRPr="000D2FA1" w:rsidRDefault="00CF309D" w:rsidP="00CF309D">
      <w:pPr>
        <w:pStyle w:val="SingleTxtG"/>
      </w:pPr>
      <w:r w:rsidRPr="005F29D3">
        <w:tab/>
        <w:t>“</w:t>
      </w:r>
      <w:r w:rsidRPr="005F29D3">
        <w:rPr>
          <w:b/>
          <w:bCs/>
        </w:rPr>
        <w:t>B</w:t>
      </w:r>
      <w:r>
        <w:rPr>
          <w:b/>
          <w:bCs/>
        </w:rPr>
        <w:t>20</w:t>
      </w:r>
      <w:r>
        <w:tab/>
      </w:r>
      <w:r>
        <w:tab/>
      </w:r>
      <w:r w:rsidRPr="005F29D3">
        <w:t>UN 35</w:t>
      </w:r>
      <w:r>
        <w:t>50</w:t>
      </w:r>
      <w:r w:rsidRPr="005F29D3">
        <w:t xml:space="preserve"> may be transported in flexible IBCs (13H3 or 13H4) with </w:t>
      </w:r>
      <w:r>
        <w:t>siftproof</w:t>
      </w:r>
      <w:r w:rsidRPr="005F29D3">
        <w:t xml:space="preserve"> liners to prevent any egress of dust during transport.”</w:t>
      </w:r>
    </w:p>
    <w:p w14:paraId="7F22438B" w14:textId="77777777" w:rsidR="00CF309D" w:rsidRPr="00843762" w:rsidRDefault="00CF309D" w:rsidP="00CF309D">
      <w:pPr>
        <w:pStyle w:val="SingleTxtG"/>
        <w:rPr>
          <w:i/>
          <w:iCs/>
        </w:rPr>
      </w:pPr>
      <w:r w:rsidRPr="00804977">
        <w:rPr>
          <w:i/>
          <w:iCs/>
        </w:rPr>
        <w:t xml:space="preserve">(Reference document: </w:t>
      </w:r>
      <w:r>
        <w:rPr>
          <w:i/>
          <w:iCs/>
        </w:rPr>
        <w:t>informal document INF.45, as amended</w:t>
      </w:r>
      <w:r w:rsidRPr="00804977">
        <w:rPr>
          <w:i/>
          <w:iCs/>
        </w:rPr>
        <w:t>)</w:t>
      </w:r>
    </w:p>
    <w:p w14:paraId="60863716" w14:textId="77777777" w:rsidR="00CF309D" w:rsidRPr="00D23FB7" w:rsidRDefault="00CF309D" w:rsidP="00CF309D">
      <w:pPr>
        <w:pStyle w:val="SingleTxtG"/>
        <w:ind w:left="2268" w:hanging="1134"/>
        <w:rPr>
          <w:lang w:val="en-US"/>
        </w:rPr>
      </w:pPr>
      <w:r>
        <w:t>4.1.4.2, IBC520</w:t>
      </w:r>
      <w:r>
        <w:tab/>
      </w:r>
      <w:r>
        <w:rPr>
          <w:lang w:val="en-US"/>
        </w:rPr>
        <w:t>In the second sentence (third row), after “The formulations” add “not listed in 2.4.2.3.2.3 and 2.5.3.2.4 but”.</w:t>
      </w:r>
    </w:p>
    <w:p w14:paraId="17FC301F" w14:textId="77777777" w:rsidR="00CF309D" w:rsidRPr="00843762" w:rsidRDefault="00CF309D" w:rsidP="00CF309D">
      <w:pPr>
        <w:pStyle w:val="SingleTxtG"/>
        <w:rPr>
          <w:i/>
          <w:iCs/>
        </w:rPr>
      </w:pPr>
      <w:r w:rsidRPr="00804977">
        <w:rPr>
          <w:i/>
          <w:iCs/>
        </w:rPr>
        <w:t>(Reference document: ST/SG/AC.10/C.3/20</w:t>
      </w:r>
      <w:r>
        <w:rPr>
          <w:i/>
          <w:iCs/>
        </w:rPr>
        <w:t>20</w:t>
      </w:r>
      <w:r w:rsidRPr="00804977">
        <w:rPr>
          <w:i/>
          <w:iCs/>
        </w:rPr>
        <w:t>/</w:t>
      </w:r>
      <w:r>
        <w:rPr>
          <w:i/>
          <w:iCs/>
        </w:rPr>
        <w:t>6</w:t>
      </w:r>
      <w:r w:rsidRPr="00804977">
        <w:rPr>
          <w:i/>
          <w:iCs/>
        </w:rPr>
        <w:t>)</w:t>
      </w:r>
    </w:p>
    <w:p w14:paraId="40CEC2AB" w14:textId="77777777" w:rsidR="00CF309D" w:rsidRPr="00A20118" w:rsidRDefault="00CF309D" w:rsidP="00CF309D">
      <w:pPr>
        <w:pStyle w:val="SingleTxtG"/>
        <w:ind w:left="2268" w:hanging="1134"/>
      </w:pPr>
      <w:r w:rsidRPr="00A20118">
        <w:t>4.1.4.3, LP906</w:t>
      </w:r>
      <w:r w:rsidRPr="00A20118">
        <w:tab/>
        <w:t>Amend the third sentence to read “For batteries and items of equipment containing batteries:”.</w:t>
      </w:r>
    </w:p>
    <w:p w14:paraId="570EF6CE" w14:textId="77777777" w:rsidR="00CF309D" w:rsidRPr="00A20118" w:rsidRDefault="00CF309D" w:rsidP="00CF309D">
      <w:pPr>
        <w:pStyle w:val="SingleTxtG"/>
        <w:ind w:left="2268" w:hanging="1134"/>
      </w:pPr>
      <w:r w:rsidRPr="00A20118">
        <w:tab/>
        <w:t>In (2), amend the second paragraph to read as follows:</w:t>
      </w:r>
    </w:p>
    <w:p w14:paraId="741F311F" w14:textId="77777777" w:rsidR="00CF309D" w:rsidRPr="00A20118" w:rsidRDefault="00CF309D" w:rsidP="00CF309D">
      <w:pPr>
        <w:pStyle w:val="SingleTxtG"/>
      </w:pPr>
      <w:r w:rsidRPr="00A20118">
        <w:t>“A verification report shall be made available on request. As a minimum requirement, the name of the batteries, their type as defined in Section 38.3.2.3 of the Manual of Tests and Criteria, the maximum number of batteries, the total mass of batteries, the total energy content of the batteries, the large packaging identification and the test data according to the verification method as specified by the competent authority shall be listed in the verification report. A set of specific instructions describing the way to use the package shall also be part of the verification report.”</w:t>
      </w:r>
    </w:p>
    <w:p w14:paraId="6BAC6EDD" w14:textId="77777777" w:rsidR="00CF309D" w:rsidRPr="00A20118" w:rsidRDefault="00CF309D" w:rsidP="00CF309D">
      <w:pPr>
        <w:pStyle w:val="SingleTxtG"/>
        <w:ind w:left="2268" w:hanging="1134"/>
      </w:pPr>
      <w:r w:rsidRPr="00A20118">
        <w:tab/>
        <w:t>Add a fourth indent to read as follows:</w:t>
      </w:r>
    </w:p>
    <w:p w14:paraId="5126172F" w14:textId="77777777" w:rsidR="00CF309D" w:rsidRPr="00A20118" w:rsidRDefault="00CF309D" w:rsidP="00CF309D">
      <w:pPr>
        <w:pStyle w:val="SingleTxtG"/>
      </w:pPr>
      <w:r w:rsidRPr="00A20118">
        <w:t>“(4)</w:t>
      </w:r>
      <w:r w:rsidRPr="00A20118">
        <w:tab/>
        <w:t>The specific instructions for use of the package shall be made available by the packaging manufacturers and subsequent distributors to the consignor. They shall include at least the identification of the batteries and items of equipment that may be contained inside the packaging, the maximum number of batteries contained in the package and the maximum total of the batteries energy content, as well as the configuration inside the package, including the separations and protections used during the performance verification test.”</w:t>
      </w:r>
    </w:p>
    <w:p w14:paraId="3D544C80" w14:textId="77777777" w:rsidR="00CF309D" w:rsidRPr="00A20118" w:rsidRDefault="00CF309D" w:rsidP="00CF309D">
      <w:pPr>
        <w:pStyle w:val="SingleTxtG"/>
        <w:ind w:left="2268" w:hanging="1134"/>
      </w:pPr>
      <w:r w:rsidRPr="00A20118">
        <w:tab/>
        <w:t xml:space="preserve">In note </w:t>
      </w:r>
      <w:r w:rsidRPr="00A20118">
        <w:rPr>
          <w:vertAlign w:val="superscript"/>
        </w:rPr>
        <w:t>a</w:t>
      </w:r>
      <w:r w:rsidRPr="00A20118">
        <w:t>, at the end, add a new indent to read as follows:</w:t>
      </w:r>
    </w:p>
    <w:p w14:paraId="10BDA5A5" w14:textId="77777777" w:rsidR="00813891" w:rsidRDefault="00813891">
      <w:pPr>
        <w:suppressAutoHyphens w:val="0"/>
        <w:kinsoku/>
        <w:overflowPunct/>
        <w:autoSpaceDE/>
        <w:autoSpaceDN/>
        <w:adjustRightInd/>
        <w:snapToGrid/>
        <w:spacing w:after="200" w:line="276" w:lineRule="auto"/>
      </w:pPr>
      <w:r>
        <w:br w:type="page"/>
      </w:r>
    </w:p>
    <w:p w14:paraId="6607AFF3" w14:textId="07C44CA9" w:rsidR="00CF309D" w:rsidRPr="00A20118" w:rsidRDefault="00CF309D" w:rsidP="00CF309D">
      <w:pPr>
        <w:pStyle w:val="SingleTxtG"/>
      </w:pPr>
      <w:r w:rsidRPr="00A20118">
        <w:lastRenderedPageBreak/>
        <w:t>“(i)</w:t>
      </w:r>
      <w:r w:rsidRPr="00A20118">
        <w:tab/>
        <w:t>In the case of multiple batteries and multiple items of equipment containing batteries, additional requirements such as the maximum number of batteries and items of equipment, the total maximum energy content of the batteries, and the configuration inside the package, including separations and protections of the parts, shall be considered.”</w:t>
      </w:r>
    </w:p>
    <w:p w14:paraId="4FF5FB3B" w14:textId="77777777" w:rsidR="00CF309D" w:rsidRPr="00A20118" w:rsidRDefault="00CF309D" w:rsidP="00CF309D">
      <w:pPr>
        <w:pStyle w:val="SingleTxtG"/>
        <w:rPr>
          <w:i/>
          <w:iCs/>
        </w:rPr>
      </w:pPr>
      <w:r w:rsidRPr="00A20118">
        <w:rPr>
          <w:i/>
          <w:iCs/>
        </w:rPr>
        <w:t>(Reference document: informal document INF.12, proposal 1, as amended)</w:t>
      </w:r>
    </w:p>
    <w:p w14:paraId="2AB3ED3D" w14:textId="77777777" w:rsidR="00CF309D" w:rsidRPr="00101547" w:rsidRDefault="00CF309D" w:rsidP="00CF309D">
      <w:pPr>
        <w:tabs>
          <w:tab w:val="left" w:pos="2268"/>
        </w:tabs>
        <w:kinsoku/>
        <w:overflowPunct/>
        <w:autoSpaceDE/>
        <w:autoSpaceDN/>
        <w:adjustRightInd/>
        <w:snapToGrid/>
        <w:spacing w:after="120"/>
        <w:ind w:left="2268" w:right="1134" w:hanging="1134"/>
        <w:jc w:val="both"/>
        <w:rPr>
          <w:lang w:eastAsia="en-US"/>
        </w:rPr>
      </w:pPr>
      <w:r w:rsidRPr="00101547">
        <w:rPr>
          <w:lang w:eastAsia="en-US"/>
        </w:rPr>
        <w:t>4.1.6.1.8</w:t>
      </w:r>
      <w:r w:rsidRPr="00101547">
        <w:rPr>
          <w:lang w:eastAsia="en-US"/>
        </w:rPr>
        <w:tab/>
      </w:r>
      <w:r>
        <w:rPr>
          <w:lang w:eastAsia="en-US"/>
        </w:rPr>
        <w:t xml:space="preserve">In the </w:t>
      </w:r>
      <w:r>
        <w:t>penultimate paragraph, first sentence, replace “1SO 11117:1998 or ISO 11117:2008 + Cor 1:2009” by “1SO 11117:1998, ISO 11117:2008 + Cor 1:2009 or ISO 11117:2019”</w:t>
      </w:r>
      <w:r w:rsidRPr="00101547">
        <w:rPr>
          <w:lang w:eastAsia="en-US"/>
        </w:rPr>
        <w:t>.</w:t>
      </w:r>
    </w:p>
    <w:p w14:paraId="53A0F8BA" w14:textId="77777777" w:rsidR="00CF309D" w:rsidRPr="00101547" w:rsidRDefault="00CF309D" w:rsidP="00CF309D">
      <w:pPr>
        <w:tabs>
          <w:tab w:val="left" w:pos="2268"/>
        </w:tabs>
        <w:kinsoku/>
        <w:overflowPunct/>
        <w:autoSpaceDE/>
        <w:autoSpaceDN/>
        <w:adjustRightInd/>
        <w:snapToGrid/>
        <w:spacing w:after="120"/>
        <w:ind w:left="2268" w:right="1134" w:hanging="1134"/>
        <w:jc w:val="both"/>
        <w:rPr>
          <w:lang w:eastAsia="en-US"/>
        </w:rPr>
      </w:pPr>
      <w:r w:rsidRPr="00101547">
        <w:rPr>
          <w:lang w:eastAsia="en-US"/>
        </w:rPr>
        <w:tab/>
      </w:r>
      <w:r>
        <w:rPr>
          <w:lang w:eastAsia="en-US"/>
        </w:rPr>
        <w:t>I</w:t>
      </w:r>
      <w:r>
        <w:t>n the final sentence, replace “ISO 16111:2008” by “ISO 16111:2008 or ISO 16111:2018”</w:t>
      </w:r>
      <w:r w:rsidRPr="00101547">
        <w:rPr>
          <w:lang w:eastAsia="en-US"/>
        </w:rPr>
        <w:t>.</w:t>
      </w:r>
    </w:p>
    <w:p w14:paraId="6172E0EB" w14:textId="77777777" w:rsidR="00CF309D" w:rsidRPr="00101547" w:rsidRDefault="00CF309D" w:rsidP="00CF309D">
      <w:pPr>
        <w:pStyle w:val="SingleTxtG"/>
        <w:rPr>
          <w:i/>
          <w:iCs/>
        </w:rPr>
      </w:pPr>
      <w:r w:rsidRPr="00101547">
        <w:rPr>
          <w:i/>
          <w:iCs/>
        </w:rPr>
        <w:t xml:space="preserve">(Reference document: informal document </w:t>
      </w:r>
      <w:r>
        <w:rPr>
          <w:i/>
          <w:iCs/>
        </w:rPr>
        <w:t>INF.57</w:t>
      </w:r>
      <w:r w:rsidRPr="00101547">
        <w:rPr>
          <w:i/>
          <w:iCs/>
        </w:rPr>
        <w:t>, proposals 5 and 9)</w:t>
      </w:r>
    </w:p>
    <w:p w14:paraId="0F2B800D" w14:textId="77777777" w:rsidR="00CF309D" w:rsidRDefault="00CF309D" w:rsidP="00CF309D">
      <w:pPr>
        <w:pStyle w:val="SingleTxtG"/>
        <w:ind w:left="2268" w:hanging="1134"/>
        <w:rPr>
          <w:lang w:val="en-US"/>
        </w:rPr>
      </w:pPr>
      <w:r>
        <w:rPr>
          <w:lang w:val="en-US"/>
        </w:rPr>
        <w:t>4.1.9.1.4</w:t>
      </w:r>
      <w:r>
        <w:rPr>
          <w:lang w:val="en-US"/>
        </w:rPr>
        <w:tab/>
        <w:t xml:space="preserve">In the first sentence, delete “, </w:t>
      </w:r>
      <w:r w:rsidRPr="00D3716F">
        <w:rPr>
          <w:lang w:val="en-US"/>
        </w:rPr>
        <w:t>tanks, intermediate bulk containers</w:t>
      </w:r>
      <w:r>
        <w:rPr>
          <w:lang w:val="en-US"/>
        </w:rPr>
        <w:t>”.</w:t>
      </w:r>
    </w:p>
    <w:p w14:paraId="12DC1CB0" w14:textId="77777777" w:rsidR="00CF309D" w:rsidRPr="00007C2E" w:rsidRDefault="00CF309D" w:rsidP="00CF309D">
      <w:pPr>
        <w:pStyle w:val="SingleTxtG"/>
        <w:rPr>
          <w:i/>
          <w:iCs/>
        </w:rPr>
      </w:pPr>
      <w:r w:rsidRPr="00007C2E">
        <w:rPr>
          <w:i/>
          <w:iCs/>
        </w:rPr>
        <w:t xml:space="preserve">(Reference document: </w:t>
      </w:r>
      <w:r>
        <w:rPr>
          <w:i/>
          <w:iCs/>
        </w:rPr>
        <w:t>informal document INF.57</w:t>
      </w:r>
      <w:r w:rsidRPr="00007C2E">
        <w:rPr>
          <w:i/>
          <w:iCs/>
        </w:rPr>
        <w:t>)</w:t>
      </w:r>
    </w:p>
    <w:p w14:paraId="214534A0" w14:textId="77777777" w:rsidR="00CF309D" w:rsidRDefault="00CF309D" w:rsidP="00CF309D">
      <w:pPr>
        <w:pStyle w:val="H1G"/>
      </w:pPr>
      <w:r>
        <w:tab/>
      </w:r>
      <w:r>
        <w:tab/>
        <w:t>Chapter 4.2</w:t>
      </w:r>
    </w:p>
    <w:p w14:paraId="7700A9CD" w14:textId="77777777" w:rsidR="00CF309D" w:rsidRPr="00D23FB7" w:rsidRDefault="00CF309D" w:rsidP="00CF309D">
      <w:pPr>
        <w:pStyle w:val="SingleTxtG"/>
        <w:ind w:left="2268" w:hanging="1134"/>
        <w:rPr>
          <w:lang w:val="en-US"/>
        </w:rPr>
      </w:pPr>
      <w:r>
        <w:t>4.2.5.2.6, T23</w:t>
      </w:r>
      <w:r>
        <w:tab/>
      </w:r>
      <w:r>
        <w:tab/>
      </w:r>
      <w:r>
        <w:tab/>
      </w:r>
      <w:r>
        <w:rPr>
          <w:lang w:val="en-US"/>
        </w:rPr>
        <w:t>In the paragraph under the heading row, last sentence, after “The formulations” add “not listed in 2.4.2.3.2.3 and 2.5.3.2.4 but”.</w:t>
      </w:r>
    </w:p>
    <w:p w14:paraId="6F7F08D8" w14:textId="77777777" w:rsidR="00CF309D" w:rsidRPr="00843762" w:rsidRDefault="00CF309D" w:rsidP="00CF309D">
      <w:pPr>
        <w:pStyle w:val="SingleTxtG"/>
        <w:rPr>
          <w:i/>
          <w:iCs/>
        </w:rPr>
      </w:pPr>
      <w:r w:rsidRPr="00804977">
        <w:rPr>
          <w:i/>
          <w:iCs/>
        </w:rPr>
        <w:t>(Reference document: ST/SG/AC.10/C.3/20</w:t>
      </w:r>
      <w:r>
        <w:rPr>
          <w:i/>
          <w:iCs/>
        </w:rPr>
        <w:t>20</w:t>
      </w:r>
      <w:r w:rsidRPr="00804977">
        <w:rPr>
          <w:i/>
          <w:iCs/>
        </w:rPr>
        <w:t>/</w:t>
      </w:r>
      <w:r>
        <w:rPr>
          <w:i/>
          <w:iCs/>
        </w:rPr>
        <w:t>6</w:t>
      </w:r>
      <w:r w:rsidRPr="00804977">
        <w:rPr>
          <w:i/>
          <w:iCs/>
        </w:rPr>
        <w:t>)</w:t>
      </w:r>
    </w:p>
    <w:p w14:paraId="77832B8B" w14:textId="77777777" w:rsidR="00CF309D" w:rsidRPr="00A20118" w:rsidRDefault="00CF309D" w:rsidP="00CF309D">
      <w:pPr>
        <w:pStyle w:val="H1G"/>
      </w:pPr>
      <w:r w:rsidRPr="00A20118">
        <w:tab/>
      </w:r>
      <w:r w:rsidRPr="00A20118">
        <w:tab/>
        <w:t>Chapter 5.2</w:t>
      </w:r>
    </w:p>
    <w:p w14:paraId="7E2A750B" w14:textId="77777777" w:rsidR="00CF309D" w:rsidRPr="00A20118" w:rsidRDefault="00CF309D" w:rsidP="00CF309D">
      <w:pPr>
        <w:pStyle w:val="SingleTxtG"/>
        <w:ind w:left="2268" w:hanging="1134"/>
      </w:pPr>
      <w:r w:rsidRPr="00A20118">
        <w:t>5.2.1.9.2</w:t>
      </w:r>
      <w:r w:rsidRPr="00A20118">
        <w:tab/>
        <w:t>Remove the double asterisk in figure 5.2.5 and remove the note for the double asterisk below the figure.</w:t>
      </w:r>
    </w:p>
    <w:p w14:paraId="3DD92972" w14:textId="77777777" w:rsidR="00CF309D" w:rsidRPr="00A20118" w:rsidRDefault="00CF309D" w:rsidP="00CF309D">
      <w:pPr>
        <w:pStyle w:val="SingleTxtG"/>
        <w:ind w:left="2268" w:hanging="1134"/>
      </w:pPr>
      <w:r w:rsidRPr="00A20118">
        <w:tab/>
        <w:t>At the end, add a new note to read as follows:</w:t>
      </w:r>
    </w:p>
    <w:p w14:paraId="4F17DD65" w14:textId="77777777" w:rsidR="00CF309D" w:rsidRPr="00A20118" w:rsidRDefault="00CF309D" w:rsidP="00CF309D">
      <w:pPr>
        <w:pStyle w:val="SingleTxtG"/>
      </w:pPr>
      <w:r w:rsidRPr="00A20118">
        <w:t>“</w:t>
      </w:r>
      <w:r w:rsidRPr="00A20118">
        <w:rPr>
          <w:b/>
          <w:bCs/>
          <w:i/>
          <w:iCs/>
        </w:rPr>
        <w:t>NOTE:</w:t>
      </w:r>
      <w:r w:rsidRPr="00A20118">
        <w:rPr>
          <w:i/>
          <w:iCs/>
        </w:rPr>
        <w:tab/>
        <w:t>The mark shown in Figure 5.2.5 in 5.2.1.9 of the twenty-first revised edition of the Recommendations on the Transport of Dangerous Goods, Model Regulations, may continue to be applied until 31 December 2026.</w:t>
      </w:r>
      <w:r w:rsidRPr="00A20118">
        <w:t>”</w:t>
      </w:r>
    </w:p>
    <w:p w14:paraId="61954381" w14:textId="77777777" w:rsidR="00CF309D" w:rsidRPr="00A20118" w:rsidRDefault="00CF309D" w:rsidP="00CF309D">
      <w:pPr>
        <w:pStyle w:val="SingleTxtG"/>
        <w:rPr>
          <w:i/>
          <w:iCs/>
        </w:rPr>
      </w:pPr>
      <w:r w:rsidRPr="00A20118">
        <w:rPr>
          <w:i/>
          <w:iCs/>
        </w:rPr>
        <w:t>(Reference document: ST/SG/AC.10/C.3/2020/76)</w:t>
      </w:r>
    </w:p>
    <w:p w14:paraId="364BA792" w14:textId="77777777" w:rsidR="00CF309D" w:rsidRDefault="00CF309D" w:rsidP="00CF309D">
      <w:pPr>
        <w:pStyle w:val="H1G"/>
      </w:pPr>
      <w:r>
        <w:tab/>
      </w:r>
      <w:r>
        <w:tab/>
        <w:t>Chapter 5.4</w:t>
      </w:r>
    </w:p>
    <w:p w14:paraId="0F68619C" w14:textId="77777777" w:rsidR="00CF309D" w:rsidRDefault="00CF309D" w:rsidP="00CF309D">
      <w:pPr>
        <w:pStyle w:val="SingleTxtG"/>
        <w:ind w:left="2268" w:hanging="1134"/>
        <w:rPr>
          <w:lang w:val="en-US"/>
        </w:rPr>
      </w:pPr>
      <w:r>
        <w:t>5.4.1.4.3</w:t>
      </w:r>
      <w:r>
        <w:tab/>
      </w:r>
      <w:r>
        <w:tab/>
      </w:r>
      <w:r>
        <w:rPr>
          <w:lang w:val="en-US"/>
        </w:rPr>
        <w:t>After (c), add the following new indent:</w:t>
      </w:r>
    </w:p>
    <w:p w14:paraId="327561C8" w14:textId="77777777" w:rsidR="00CF309D" w:rsidRDefault="00CF309D" w:rsidP="00CF309D">
      <w:pPr>
        <w:pStyle w:val="SingleTxtG"/>
      </w:pPr>
      <w:r>
        <w:t>“</w:t>
      </w:r>
      <w:r w:rsidRPr="00287A2F">
        <w:t>(d)</w:t>
      </w:r>
      <w:r w:rsidRPr="00287A2F">
        <w:tab/>
        <w:t>Molten substances: When a substance, which is solid in accordance with the definition in 1.2.1, is offered for transport in the molten state, the qualifying word “MOLTEN” shall be added as part of the proper shipping name, unless it is already part of the proper shipping name (see 3.1.2.5);</w:t>
      </w:r>
      <w:r>
        <w:t>”</w:t>
      </w:r>
    </w:p>
    <w:p w14:paraId="5C3513C4" w14:textId="77777777" w:rsidR="00CF309D" w:rsidRDefault="00CF309D" w:rsidP="00CF309D">
      <w:pPr>
        <w:pStyle w:val="SingleTxtG"/>
        <w:ind w:left="2268" w:hanging="1134"/>
      </w:pPr>
      <w:r>
        <w:tab/>
      </w:r>
      <w:r>
        <w:tab/>
        <w:t>Renumber existing indent (d) to (e).</w:t>
      </w:r>
    </w:p>
    <w:p w14:paraId="7B44256F" w14:textId="77777777" w:rsidR="00CF309D" w:rsidRDefault="00CF309D" w:rsidP="00CF309D">
      <w:pPr>
        <w:pStyle w:val="SingleTxtG"/>
        <w:ind w:left="2268" w:hanging="1134"/>
      </w:pPr>
      <w:r>
        <w:tab/>
        <w:t>At the end, add the following new indent:</w:t>
      </w:r>
    </w:p>
    <w:p w14:paraId="005D0E5C" w14:textId="77777777" w:rsidR="00CF309D" w:rsidRPr="00C931CF" w:rsidRDefault="00CF309D" w:rsidP="00CF309D">
      <w:pPr>
        <w:pStyle w:val="SingleTxtG"/>
      </w:pPr>
      <w:r>
        <w:t>“</w:t>
      </w:r>
      <w:r w:rsidRPr="00722FBC">
        <w:t>(f)</w:t>
      </w:r>
      <w:r w:rsidRPr="00722FBC">
        <w:tab/>
        <w:t>Stabilized and temperature controlled substances: Unless already part of the proper shipping name the word “STABILIZED” shall be added to the proper shipping name if stabilization is used and the words “TEMPERATURE CONTROLLED” shall be added to the proper shipping name if stabilization is by temperature control or a combination of chemical stabilization and temperature control (see 3.1.2.6).</w:t>
      </w:r>
      <w:r>
        <w:t>”</w:t>
      </w:r>
    </w:p>
    <w:p w14:paraId="0CFC9CCB" w14:textId="77777777" w:rsidR="00CF309D" w:rsidRPr="00843762" w:rsidRDefault="00CF309D" w:rsidP="00CF309D">
      <w:pPr>
        <w:pStyle w:val="SingleTxtG"/>
        <w:rPr>
          <w:i/>
          <w:iCs/>
        </w:rPr>
      </w:pPr>
      <w:r w:rsidRPr="00804977">
        <w:rPr>
          <w:i/>
          <w:iCs/>
        </w:rPr>
        <w:t>(Reference document: ST/SG/AC.10/C.3/20</w:t>
      </w:r>
      <w:r>
        <w:rPr>
          <w:i/>
          <w:iCs/>
        </w:rPr>
        <w:t>20</w:t>
      </w:r>
      <w:r w:rsidRPr="00804977">
        <w:rPr>
          <w:i/>
          <w:iCs/>
        </w:rPr>
        <w:t>/</w:t>
      </w:r>
      <w:r>
        <w:rPr>
          <w:i/>
          <w:iCs/>
        </w:rPr>
        <w:t>15</w:t>
      </w:r>
      <w:r w:rsidRPr="00804977">
        <w:rPr>
          <w:i/>
          <w:iCs/>
        </w:rPr>
        <w:t>)</w:t>
      </w:r>
    </w:p>
    <w:p w14:paraId="5217C228" w14:textId="77777777" w:rsidR="00CF309D" w:rsidRDefault="00CF309D" w:rsidP="00CF309D">
      <w:pPr>
        <w:pStyle w:val="SingleTxtG"/>
      </w:pPr>
      <w:r>
        <w:t>5.4.1.5.3</w:t>
      </w:r>
      <w:r>
        <w:tab/>
        <w:t>Amend the paragraph below the heading to read as follows:</w:t>
      </w:r>
    </w:p>
    <w:p w14:paraId="4B865EEB" w14:textId="77777777" w:rsidR="00813891" w:rsidRDefault="00813891">
      <w:pPr>
        <w:suppressAutoHyphens w:val="0"/>
        <w:kinsoku/>
        <w:overflowPunct/>
        <w:autoSpaceDE/>
        <w:autoSpaceDN/>
        <w:adjustRightInd/>
        <w:snapToGrid/>
        <w:spacing w:after="200" w:line="276" w:lineRule="auto"/>
      </w:pPr>
      <w:r>
        <w:br w:type="page"/>
      </w:r>
    </w:p>
    <w:p w14:paraId="74805967" w14:textId="568871E6" w:rsidR="00CF309D" w:rsidRDefault="00CF309D" w:rsidP="00CF309D">
      <w:pPr>
        <w:pStyle w:val="SingleTxtG"/>
      </w:pPr>
      <w:r>
        <w:lastRenderedPageBreak/>
        <w:t>“For dangerous goods transported in salvage packagings in accordance with 4.1.1.18, including large salvage packagings, larger size packagings or large packagings of appropriate type and performance level to be used as a salvage packaging, the words “</w:t>
      </w:r>
      <w:r w:rsidRPr="00200406">
        <w:rPr>
          <w:b/>
          <w:bCs/>
        </w:rPr>
        <w:t>SALVAGE PACKAGING</w:t>
      </w:r>
      <w:r>
        <w:t xml:space="preserve">” shall be included. </w:t>
      </w:r>
    </w:p>
    <w:p w14:paraId="7AF2B003" w14:textId="77777777" w:rsidR="00CF309D" w:rsidRPr="0007453C" w:rsidRDefault="00CF309D" w:rsidP="00CF309D">
      <w:pPr>
        <w:pStyle w:val="SingleTxtG"/>
      </w:pPr>
      <w:r>
        <w:t>For dangerous goods transported in salvage pressure receptacles in accordance with 4.1.1.19, the words “</w:t>
      </w:r>
      <w:r w:rsidRPr="00200406">
        <w:rPr>
          <w:b/>
          <w:bCs/>
        </w:rPr>
        <w:t>SALVAGE PRESSURE RECEPTACLE</w:t>
      </w:r>
      <w:r>
        <w:t>” shall be included.”</w:t>
      </w:r>
    </w:p>
    <w:p w14:paraId="4B575CFF" w14:textId="77777777" w:rsidR="00CF309D" w:rsidRPr="00843762" w:rsidRDefault="00CF309D" w:rsidP="00CF309D">
      <w:pPr>
        <w:pStyle w:val="SingleTxtG"/>
        <w:rPr>
          <w:i/>
          <w:iCs/>
        </w:rPr>
      </w:pPr>
      <w:r w:rsidRPr="00804977">
        <w:rPr>
          <w:i/>
          <w:iCs/>
        </w:rPr>
        <w:t>(Reference document: ST/SG/AC.10/C.3/20</w:t>
      </w:r>
      <w:r>
        <w:rPr>
          <w:i/>
          <w:iCs/>
        </w:rPr>
        <w:t>20</w:t>
      </w:r>
      <w:r w:rsidRPr="00804977">
        <w:rPr>
          <w:i/>
          <w:iCs/>
        </w:rPr>
        <w:t>/</w:t>
      </w:r>
      <w:r>
        <w:rPr>
          <w:i/>
          <w:iCs/>
        </w:rPr>
        <w:t>27</w:t>
      </w:r>
      <w:r w:rsidRPr="00804977">
        <w:rPr>
          <w:i/>
          <w:iCs/>
        </w:rPr>
        <w:t>)</w:t>
      </w:r>
    </w:p>
    <w:p w14:paraId="719790DB" w14:textId="77777777" w:rsidR="00CF309D" w:rsidRPr="00D23FB7" w:rsidRDefault="00CF309D" w:rsidP="00CF309D">
      <w:pPr>
        <w:pStyle w:val="SingleTxtG"/>
        <w:ind w:left="2268" w:hanging="1134"/>
        <w:rPr>
          <w:lang w:val="en-US"/>
        </w:rPr>
      </w:pPr>
      <w:r>
        <w:t>5.4.1.5.4</w:t>
      </w:r>
      <w:r>
        <w:tab/>
      </w:r>
      <w:r>
        <w:tab/>
      </w:r>
      <w:r>
        <w:rPr>
          <w:lang w:val="en-US"/>
        </w:rPr>
        <w:t>Replace “If the word "STABILIZED" is part of” by “If the words "TEMPERATURE CONTROLLED" are part of” and delete “</w:t>
      </w:r>
      <w:r w:rsidRPr="00D507D2">
        <w:rPr>
          <w:lang w:val="en-US"/>
        </w:rPr>
        <w:t>when stabilization is by means of temperature control,</w:t>
      </w:r>
      <w:r>
        <w:rPr>
          <w:lang w:val="en-US"/>
        </w:rPr>
        <w:t>”.</w:t>
      </w:r>
    </w:p>
    <w:p w14:paraId="5E9D02D0" w14:textId="77777777" w:rsidR="00CF309D" w:rsidRPr="00843762" w:rsidRDefault="00CF309D" w:rsidP="00CF309D">
      <w:pPr>
        <w:pStyle w:val="SingleTxtG"/>
        <w:rPr>
          <w:i/>
          <w:iCs/>
        </w:rPr>
      </w:pPr>
      <w:r w:rsidRPr="00804977">
        <w:rPr>
          <w:i/>
          <w:iCs/>
        </w:rPr>
        <w:t>(Reference document: ST/SG/AC.10/C.3/20</w:t>
      </w:r>
      <w:r>
        <w:rPr>
          <w:i/>
          <w:iCs/>
        </w:rPr>
        <w:t>20</w:t>
      </w:r>
      <w:r w:rsidRPr="00804977">
        <w:rPr>
          <w:i/>
          <w:iCs/>
        </w:rPr>
        <w:t>/</w:t>
      </w:r>
      <w:r>
        <w:rPr>
          <w:i/>
          <w:iCs/>
        </w:rPr>
        <w:t>15</w:t>
      </w:r>
      <w:r w:rsidRPr="00804977">
        <w:rPr>
          <w:i/>
          <w:iCs/>
        </w:rPr>
        <w:t>)</w:t>
      </w:r>
    </w:p>
    <w:p w14:paraId="4881DD13" w14:textId="77777777" w:rsidR="00CF309D" w:rsidRDefault="00CF309D" w:rsidP="00CF309D">
      <w:pPr>
        <w:pStyle w:val="SingleTxtG"/>
      </w:pPr>
      <w:r>
        <w:t>5.4.1.5.12</w:t>
      </w:r>
      <w:r>
        <w:tab/>
        <w:t>Amend to read as follows:</w:t>
      </w:r>
    </w:p>
    <w:p w14:paraId="390AF0E1" w14:textId="77777777" w:rsidR="00CF309D" w:rsidRPr="0097288C" w:rsidRDefault="00CF309D" w:rsidP="00CF309D">
      <w:pPr>
        <w:pStyle w:val="SingleTxtG"/>
        <w:rPr>
          <w:i/>
          <w:iCs/>
        </w:rPr>
      </w:pPr>
      <w:r>
        <w:t>“5.4.1.5.12</w:t>
      </w:r>
      <w:r>
        <w:tab/>
      </w:r>
      <w:r w:rsidRPr="0097288C">
        <w:rPr>
          <w:i/>
          <w:iCs/>
        </w:rPr>
        <w:t>Additional entries in the case of the application of special provisions</w:t>
      </w:r>
    </w:p>
    <w:p w14:paraId="73C7AC72" w14:textId="77777777" w:rsidR="00CF309D" w:rsidRPr="0007453C" w:rsidRDefault="00CF309D" w:rsidP="00CF309D">
      <w:pPr>
        <w:pStyle w:val="SingleTxtG"/>
      </w:pPr>
      <w:r>
        <w:t>Where, in accordance with a special provision in Chapter 3.3, additional information is necessary, this additional information shall be included in the dangerous goods transport document.”</w:t>
      </w:r>
    </w:p>
    <w:p w14:paraId="4E2F80E8" w14:textId="77777777" w:rsidR="00CF309D" w:rsidRPr="00843762" w:rsidRDefault="00CF309D" w:rsidP="00CF309D">
      <w:pPr>
        <w:pStyle w:val="SingleTxtG"/>
        <w:rPr>
          <w:i/>
          <w:iCs/>
        </w:rPr>
      </w:pPr>
      <w:r w:rsidRPr="00804977">
        <w:rPr>
          <w:i/>
          <w:iCs/>
        </w:rPr>
        <w:t>(Reference document: ST/SG/AC.10/C.3/20</w:t>
      </w:r>
      <w:r>
        <w:rPr>
          <w:i/>
          <w:iCs/>
        </w:rPr>
        <w:t>20</w:t>
      </w:r>
      <w:r w:rsidRPr="00804977">
        <w:rPr>
          <w:i/>
          <w:iCs/>
        </w:rPr>
        <w:t>/</w:t>
      </w:r>
      <w:r>
        <w:rPr>
          <w:i/>
          <w:iCs/>
        </w:rPr>
        <w:t>11/</w:t>
      </w:r>
      <w:r>
        <w:rPr>
          <w:i/>
          <w:iCs/>
          <w:lang w:val="en-US"/>
        </w:rPr>
        <w:t>Rev.1</w:t>
      </w:r>
      <w:r>
        <w:rPr>
          <w:i/>
          <w:iCs/>
        </w:rPr>
        <w:t>, option 1</w:t>
      </w:r>
      <w:r w:rsidRPr="00804977">
        <w:rPr>
          <w:i/>
          <w:iCs/>
        </w:rPr>
        <w:t>)</w:t>
      </w:r>
    </w:p>
    <w:p w14:paraId="0F7128EA" w14:textId="77777777" w:rsidR="00CF309D" w:rsidRPr="00BB4643" w:rsidRDefault="00CF309D" w:rsidP="00CF309D">
      <w:pPr>
        <w:keepNext/>
        <w:keepLines/>
        <w:tabs>
          <w:tab w:val="right" w:pos="851"/>
        </w:tabs>
        <w:spacing w:before="360" w:after="240" w:line="270" w:lineRule="exact"/>
        <w:ind w:left="1134" w:right="1134" w:hanging="1134"/>
        <w:rPr>
          <w:rFonts w:eastAsia="Times New Roman"/>
          <w:b/>
          <w:sz w:val="24"/>
          <w:lang w:eastAsia="en-US"/>
        </w:rPr>
      </w:pPr>
      <w:r w:rsidRPr="00BB4643">
        <w:rPr>
          <w:rFonts w:eastAsia="Times New Roman"/>
          <w:b/>
          <w:sz w:val="24"/>
          <w:lang w:eastAsia="en-US"/>
        </w:rPr>
        <w:tab/>
      </w:r>
      <w:r w:rsidRPr="00BB4643">
        <w:rPr>
          <w:rFonts w:eastAsia="Times New Roman"/>
          <w:b/>
          <w:sz w:val="24"/>
          <w:lang w:eastAsia="en-US"/>
        </w:rPr>
        <w:tab/>
      </w:r>
      <w:r w:rsidRPr="00A20118">
        <w:rPr>
          <w:rFonts w:eastAsia="Times New Roman"/>
          <w:b/>
          <w:sz w:val="24"/>
          <w:lang w:eastAsia="en-US"/>
        </w:rPr>
        <w:t>Chapter</w:t>
      </w:r>
      <w:r w:rsidRPr="00BB4643">
        <w:rPr>
          <w:rFonts w:eastAsia="Times New Roman"/>
          <w:b/>
          <w:sz w:val="24"/>
          <w:lang w:eastAsia="en-US"/>
        </w:rPr>
        <w:t xml:space="preserve"> 6.1</w:t>
      </w:r>
    </w:p>
    <w:p w14:paraId="033B4A51" w14:textId="77777777" w:rsidR="00CF309D" w:rsidRPr="00BB4643" w:rsidRDefault="00CF309D" w:rsidP="00CF309D">
      <w:pPr>
        <w:spacing w:after="120"/>
        <w:ind w:left="2268" w:right="1134" w:hanging="1134"/>
        <w:jc w:val="both"/>
        <w:rPr>
          <w:rFonts w:eastAsiaTheme="minorHAnsi"/>
          <w:lang w:eastAsia="en-US"/>
        </w:rPr>
      </w:pPr>
      <w:r w:rsidRPr="00BB4643">
        <w:rPr>
          <w:rFonts w:eastAsia="Times New Roman"/>
          <w:lang w:eastAsia="en-US"/>
        </w:rPr>
        <w:t>6.1.1.2</w:t>
      </w:r>
      <w:r w:rsidRPr="00BB4643">
        <w:rPr>
          <w:rFonts w:eastAsia="Times New Roman"/>
          <w:lang w:eastAsia="en-US"/>
        </w:rPr>
        <w:tab/>
      </w:r>
      <w:r w:rsidRPr="00BB4643">
        <w:rPr>
          <w:rFonts w:eastAsia="Times New Roman"/>
          <w:lang w:eastAsia="en-US"/>
        </w:rPr>
        <w:tab/>
      </w:r>
      <w:r w:rsidRPr="00A20118">
        <w:rPr>
          <w:rFonts w:eastAsiaTheme="minorHAnsi"/>
          <w:lang w:eastAsia="en-US"/>
        </w:rPr>
        <w:t>In the second sentence</w:t>
      </w:r>
      <w:r w:rsidRPr="00BB4643">
        <w:rPr>
          <w:rFonts w:eastAsiaTheme="minorHAnsi"/>
          <w:lang w:eastAsia="en-US"/>
        </w:rPr>
        <w:t xml:space="preserve">, </w:t>
      </w:r>
      <w:r w:rsidRPr="00A20118">
        <w:rPr>
          <w:rFonts w:eastAsiaTheme="minorHAnsi"/>
          <w:lang w:eastAsia="en-US"/>
        </w:rPr>
        <w:t>replace “successfully to withstand the tests” by “to successfully fulfil the requirements”.</w:t>
      </w:r>
    </w:p>
    <w:p w14:paraId="149EA679" w14:textId="77777777" w:rsidR="00CF309D" w:rsidRDefault="00CF309D" w:rsidP="00CF309D">
      <w:pPr>
        <w:kinsoku/>
        <w:overflowPunct/>
        <w:autoSpaceDE/>
        <w:autoSpaceDN/>
        <w:adjustRightInd/>
        <w:snapToGrid/>
        <w:spacing w:after="120"/>
        <w:ind w:left="2268" w:right="1134" w:hanging="1134"/>
        <w:jc w:val="both"/>
        <w:rPr>
          <w:rFonts w:eastAsia="Times New Roman"/>
          <w:i/>
          <w:iCs/>
          <w:lang w:eastAsia="en-US"/>
        </w:rPr>
      </w:pPr>
      <w:r w:rsidRPr="00A20118">
        <w:rPr>
          <w:i/>
          <w:iCs/>
        </w:rPr>
        <w:t xml:space="preserve">(Reference document: </w:t>
      </w:r>
      <w:r w:rsidRPr="00BB4643">
        <w:rPr>
          <w:rFonts w:eastAsia="Times New Roman"/>
          <w:i/>
          <w:iCs/>
          <w:lang w:eastAsia="en-US"/>
        </w:rPr>
        <w:t>ST/SG/AC.10/C.3/2020/28/Rev.1)</w:t>
      </w:r>
    </w:p>
    <w:p w14:paraId="25652769" w14:textId="77777777" w:rsidR="00CF309D" w:rsidRDefault="00CF309D" w:rsidP="00CF309D">
      <w:pPr>
        <w:pStyle w:val="SingleTxtG"/>
        <w:ind w:left="2268" w:hanging="1134"/>
        <w:rPr>
          <w:lang w:val="en-US"/>
        </w:rPr>
      </w:pPr>
      <w:r>
        <w:t>6.1.1.4</w:t>
      </w:r>
      <w:r>
        <w:tab/>
      </w:r>
      <w:r>
        <w:tab/>
      </w:r>
      <w:r>
        <w:rPr>
          <w:lang w:val="en-US"/>
        </w:rPr>
        <w:t>In the Note, replace “ISO 16106:2006” by “ISO 16106:2020” and delete “</w:t>
      </w:r>
      <w:r w:rsidRPr="00D7302E">
        <w:rPr>
          <w:lang w:val="en-US"/>
        </w:rPr>
        <w:t>Packaging –</w:t>
      </w:r>
      <w:r>
        <w:rPr>
          <w:lang w:val="en-US"/>
        </w:rPr>
        <w:t>” in the standard’s title.</w:t>
      </w:r>
    </w:p>
    <w:p w14:paraId="34A59B25" w14:textId="77777777" w:rsidR="00CF309D" w:rsidRPr="00843762" w:rsidRDefault="00CF309D" w:rsidP="00CF309D">
      <w:pPr>
        <w:pStyle w:val="SingleTxtG"/>
        <w:rPr>
          <w:i/>
          <w:iCs/>
        </w:rPr>
      </w:pPr>
      <w:r w:rsidRPr="00804977">
        <w:rPr>
          <w:i/>
          <w:iCs/>
        </w:rPr>
        <w:t>(Reference document: ST/SG/AC.10/C.3/20</w:t>
      </w:r>
      <w:r>
        <w:rPr>
          <w:i/>
          <w:iCs/>
        </w:rPr>
        <w:t>20</w:t>
      </w:r>
      <w:r w:rsidRPr="00804977">
        <w:rPr>
          <w:i/>
          <w:iCs/>
        </w:rPr>
        <w:t>/</w:t>
      </w:r>
      <w:r>
        <w:rPr>
          <w:i/>
          <w:iCs/>
        </w:rPr>
        <w:t>50</w:t>
      </w:r>
      <w:r w:rsidRPr="00804977">
        <w:rPr>
          <w:i/>
          <w:iCs/>
        </w:rPr>
        <w:t>)</w:t>
      </w:r>
    </w:p>
    <w:p w14:paraId="503DB687" w14:textId="77777777" w:rsidR="00CF309D" w:rsidRDefault="00CF309D" w:rsidP="00CF309D">
      <w:pPr>
        <w:pStyle w:val="H1G"/>
      </w:pPr>
      <w:r>
        <w:tab/>
      </w:r>
      <w:r>
        <w:tab/>
        <w:t>Chapter 6.2</w:t>
      </w:r>
    </w:p>
    <w:p w14:paraId="6A903BF2" w14:textId="77777777" w:rsidR="00CF309D" w:rsidRPr="006403F5" w:rsidRDefault="00CF309D" w:rsidP="00CF309D">
      <w:pPr>
        <w:tabs>
          <w:tab w:val="left" w:pos="2268"/>
        </w:tabs>
        <w:kinsoku/>
        <w:overflowPunct/>
        <w:autoSpaceDE/>
        <w:autoSpaceDN/>
        <w:adjustRightInd/>
        <w:snapToGrid/>
        <w:spacing w:after="120"/>
        <w:ind w:left="2268" w:right="1134" w:hanging="1134"/>
        <w:jc w:val="both"/>
      </w:pPr>
      <w:r w:rsidRPr="006403F5">
        <w:rPr>
          <w:lang w:eastAsia="en-US"/>
        </w:rPr>
        <w:t>6.2.2.1.1</w:t>
      </w:r>
      <w:r w:rsidRPr="006403F5">
        <w:rPr>
          <w:lang w:eastAsia="en-US"/>
        </w:rPr>
        <w:tab/>
      </w:r>
      <w:r>
        <w:rPr>
          <w:rFonts w:eastAsiaTheme="minorHAnsi"/>
          <w:lang w:eastAsia="en-US"/>
        </w:rPr>
        <w:t xml:space="preserve">In the table, </w:t>
      </w:r>
      <w:r w:rsidRPr="00C41B8F">
        <w:t>for</w:t>
      </w:r>
      <w:r w:rsidRPr="006403F5">
        <w:rPr>
          <w:rFonts w:eastAsiaTheme="minorHAnsi"/>
          <w:lang w:eastAsia="en-US"/>
        </w:rPr>
        <w:t xml:space="preserve"> </w:t>
      </w:r>
      <w:r>
        <w:rPr>
          <w:rFonts w:eastAsiaTheme="minorHAnsi"/>
          <w:lang w:eastAsia="en-US"/>
        </w:rPr>
        <w:t>“</w:t>
      </w:r>
      <w:r w:rsidRPr="006403F5">
        <w:rPr>
          <w:rFonts w:eastAsiaTheme="minorHAnsi"/>
          <w:lang w:eastAsia="en-US"/>
        </w:rPr>
        <w:t>ISO 9809-1:2010</w:t>
      </w:r>
      <w:r>
        <w:rPr>
          <w:rFonts w:eastAsiaTheme="minorHAnsi"/>
          <w:lang w:eastAsia="en-US"/>
        </w:rPr>
        <w:t>”</w:t>
      </w:r>
      <w:r w:rsidRPr="006403F5">
        <w:rPr>
          <w:rFonts w:eastAsiaTheme="minorHAnsi"/>
          <w:lang w:eastAsia="en-US"/>
        </w:rPr>
        <w:t xml:space="preserve">, </w:t>
      </w:r>
      <w:r>
        <w:rPr>
          <w:rFonts w:eastAsiaTheme="minorHAnsi"/>
          <w:lang w:eastAsia="en-US"/>
        </w:rPr>
        <w:t>in column</w:t>
      </w:r>
      <w:r w:rsidRPr="006403F5">
        <w:rPr>
          <w:rFonts w:eastAsiaTheme="minorHAnsi"/>
          <w:lang w:eastAsia="en-US"/>
        </w:rPr>
        <w:t xml:space="preserve"> </w:t>
      </w:r>
      <w:r>
        <w:rPr>
          <w:rFonts w:eastAsiaTheme="minorHAnsi"/>
          <w:lang w:eastAsia="en-US"/>
        </w:rPr>
        <w:t>“</w:t>
      </w:r>
      <w:r w:rsidRPr="00FC3BF6">
        <w:rPr>
          <w:rFonts w:eastAsiaTheme="minorHAnsi"/>
          <w:lang w:eastAsia="en-US"/>
        </w:rPr>
        <w:t>Applicable for manufacture</w:t>
      </w:r>
      <w:r>
        <w:rPr>
          <w:rFonts w:eastAsiaTheme="minorHAnsi"/>
          <w:lang w:eastAsia="en-US"/>
        </w:rPr>
        <w:t>”</w:t>
      </w:r>
      <w:r w:rsidRPr="006403F5">
        <w:rPr>
          <w:rFonts w:eastAsiaTheme="minorHAnsi"/>
          <w:lang w:eastAsia="en-US"/>
        </w:rPr>
        <w:t xml:space="preserve">, </w:t>
      </w:r>
      <w:r>
        <w:rPr>
          <w:rFonts w:eastAsiaTheme="minorHAnsi"/>
          <w:lang w:eastAsia="en-US"/>
        </w:rPr>
        <w:t>replace</w:t>
      </w:r>
      <w:r w:rsidRPr="006403F5">
        <w:rPr>
          <w:rFonts w:eastAsiaTheme="minorHAnsi"/>
          <w:lang w:eastAsia="en-US"/>
        </w:rPr>
        <w:t xml:space="preserve"> </w:t>
      </w:r>
      <w:r>
        <w:rPr>
          <w:rFonts w:eastAsiaTheme="minorHAnsi"/>
          <w:lang w:eastAsia="en-US"/>
        </w:rPr>
        <w:t>“Until further notice” by “Until</w:t>
      </w:r>
      <w:r w:rsidRPr="006403F5">
        <w:rPr>
          <w:rFonts w:eastAsiaTheme="minorHAnsi"/>
          <w:lang w:eastAsia="en-US"/>
        </w:rPr>
        <w:t xml:space="preserve"> 31 </w:t>
      </w:r>
      <w:r>
        <w:rPr>
          <w:rFonts w:eastAsiaTheme="minorHAnsi"/>
          <w:lang w:eastAsia="en-US"/>
        </w:rPr>
        <w:t>December</w:t>
      </w:r>
      <w:r w:rsidRPr="006403F5">
        <w:rPr>
          <w:rFonts w:eastAsiaTheme="minorHAnsi"/>
          <w:lang w:eastAsia="en-US"/>
        </w:rPr>
        <w:t xml:space="preserve"> 2026</w:t>
      </w:r>
      <w:r>
        <w:rPr>
          <w:rFonts w:eastAsiaTheme="minorHAnsi"/>
          <w:lang w:eastAsia="en-US"/>
        </w:rPr>
        <w:t>”</w:t>
      </w:r>
      <w:r w:rsidRPr="006403F5">
        <w:rPr>
          <w:rFonts w:eastAsiaTheme="minorHAnsi"/>
          <w:lang w:eastAsia="en-US"/>
        </w:rPr>
        <w:t xml:space="preserve">. </w:t>
      </w:r>
      <w:r>
        <w:t>After the entry for</w:t>
      </w:r>
      <w:r w:rsidRPr="006403F5">
        <w:t xml:space="preserve"> </w:t>
      </w:r>
      <w:r>
        <w:t>“</w:t>
      </w:r>
      <w:r w:rsidRPr="006403F5">
        <w:rPr>
          <w:rFonts w:eastAsiaTheme="minorHAnsi"/>
          <w:lang w:eastAsia="en-US"/>
        </w:rPr>
        <w:t>ISO 9809-1:2010</w:t>
      </w:r>
      <w:r>
        <w:t>”</w:t>
      </w:r>
      <w:r w:rsidRPr="006403F5">
        <w:t xml:space="preserve">, </w:t>
      </w:r>
      <w:r>
        <w:t>add the following new entry:</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4820"/>
        <w:gridCol w:w="1275"/>
      </w:tblGrid>
      <w:tr w:rsidR="00CF309D" w:rsidRPr="006403F5" w14:paraId="43CC92EE" w14:textId="77777777" w:rsidTr="00784F4D">
        <w:tc>
          <w:tcPr>
            <w:tcW w:w="1544" w:type="dxa"/>
            <w:shd w:val="clear" w:color="auto" w:fill="auto"/>
          </w:tcPr>
          <w:p w14:paraId="3A58AA20" w14:textId="77777777" w:rsidR="00CF309D" w:rsidRPr="006403F5" w:rsidRDefault="00CF309D" w:rsidP="00784F4D">
            <w:pPr>
              <w:kinsoku/>
              <w:overflowPunct/>
              <w:autoSpaceDE/>
              <w:autoSpaceDN/>
              <w:adjustRightInd/>
              <w:snapToGrid/>
              <w:rPr>
                <w:lang w:eastAsia="en-US"/>
              </w:rPr>
            </w:pPr>
            <w:r w:rsidRPr="006403F5">
              <w:rPr>
                <w:lang w:eastAsia="en-US"/>
              </w:rPr>
              <w:t xml:space="preserve">ISO 9809-1:2019 </w:t>
            </w:r>
          </w:p>
        </w:tc>
        <w:tc>
          <w:tcPr>
            <w:tcW w:w="4820" w:type="dxa"/>
            <w:shd w:val="clear" w:color="auto" w:fill="auto"/>
          </w:tcPr>
          <w:p w14:paraId="76836716" w14:textId="77777777" w:rsidR="00CF309D" w:rsidRPr="006403F5" w:rsidRDefault="00CF309D" w:rsidP="00784F4D">
            <w:pPr>
              <w:kinsoku/>
              <w:overflowPunct/>
              <w:autoSpaceDE/>
              <w:autoSpaceDN/>
              <w:adjustRightInd/>
              <w:snapToGrid/>
              <w:jc w:val="both"/>
              <w:rPr>
                <w:lang w:eastAsia="en-US"/>
              </w:rPr>
            </w:pPr>
            <w:r w:rsidRPr="00C232BB">
              <w:rPr>
                <w:iCs/>
                <w:color w:val="000000"/>
              </w:rPr>
              <w:t>Gas cylinders — Design, construction and testing of refillable seamless steel gas cylinders and tubes — Part 1: Quenched and tempered steel cylinders and tubes with tensile strength less than 1 100 MPa</w:t>
            </w:r>
          </w:p>
        </w:tc>
        <w:tc>
          <w:tcPr>
            <w:tcW w:w="1275" w:type="dxa"/>
            <w:shd w:val="clear" w:color="auto" w:fill="auto"/>
          </w:tcPr>
          <w:p w14:paraId="2A16B28D" w14:textId="77777777" w:rsidR="00CF309D" w:rsidRPr="006403F5" w:rsidRDefault="00CF309D" w:rsidP="00784F4D">
            <w:pPr>
              <w:kinsoku/>
              <w:overflowPunct/>
              <w:autoSpaceDE/>
              <w:autoSpaceDN/>
              <w:adjustRightInd/>
              <w:snapToGrid/>
              <w:rPr>
                <w:lang w:eastAsia="en-US"/>
              </w:rPr>
            </w:pPr>
            <w:r>
              <w:rPr>
                <w:rFonts w:eastAsiaTheme="minorHAnsi"/>
                <w:lang w:eastAsia="en-US"/>
              </w:rPr>
              <w:t>Until further notice</w:t>
            </w:r>
          </w:p>
        </w:tc>
      </w:tr>
    </w:tbl>
    <w:p w14:paraId="1A2D87C9" w14:textId="77777777" w:rsidR="00CF309D" w:rsidRPr="006403F5" w:rsidRDefault="00CF309D" w:rsidP="00CF309D">
      <w:pPr>
        <w:tabs>
          <w:tab w:val="left" w:pos="2268"/>
        </w:tabs>
        <w:kinsoku/>
        <w:overflowPunct/>
        <w:autoSpaceDE/>
        <w:autoSpaceDN/>
        <w:adjustRightInd/>
        <w:snapToGrid/>
        <w:spacing w:before="120" w:after="120"/>
        <w:ind w:left="2268" w:right="1134" w:hanging="1134"/>
        <w:jc w:val="both"/>
      </w:pPr>
      <w:r w:rsidRPr="006403F5">
        <w:rPr>
          <w:lang w:eastAsia="en-US"/>
        </w:rPr>
        <w:tab/>
      </w:r>
      <w:r w:rsidRPr="006403F5">
        <w:rPr>
          <w:lang w:eastAsia="en-US"/>
        </w:rPr>
        <w:tab/>
      </w:r>
      <w:r>
        <w:rPr>
          <w:rFonts w:eastAsiaTheme="minorHAnsi"/>
          <w:lang w:eastAsia="en-US"/>
        </w:rPr>
        <w:t>In the table, for</w:t>
      </w:r>
      <w:r w:rsidRPr="006403F5">
        <w:rPr>
          <w:rFonts w:eastAsiaTheme="minorHAnsi"/>
          <w:lang w:eastAsia="en-US"/>
        </w:rPr>
        <w:t xml:space="preserve"> </w:t>
      </w:r>
      <w:r>
        <w:rPr>
          <w:rFonts w:eastAsiaTheme="minorHAnsi"/>
          <w:lang w:eastAsia="en-US"/>
        </w:rPr>
        <w:t>“</w:t>
      </w:r>
      <w:r w:rsidRPr="006403F5">
        <w:rPr>
          <w:rFonts w:eastAsiaTheme="minorHAnsi"/>
          <w:lang w:eastAsia="en-US"/>
        </w:rPr>
        <w:t>ISO 9809-2:2010</w:t>
      </w:r>
      <w:r>
        <w:rPr>
          <w:rFonts w:eastAsiaTheme="minorHAnsi"/>
          <w:lang w:eastAsia="en-US"/>
        </w:rPr>
        <w:t>”</w:t>
      </w:r>
      <w:r w:rsidRPr="006403F5">
        <w:rPr>
          <w:rFonts w:eastAsiaTheme="minorHAnsi"/>
          <w:lang w:eastAsia="en-US"/>
        </w:rPr>
        <w:t xml:space="preserve">, </w:t>
      </w:r>
      <w:r>
        <w:rPr>
          <w:rFonts w:eastAsiaTheme="minorHAnsi"/>
          <w:lang w:eastAsia="en-US"/>
        </w:rPr>
        <w:t>in column</w:t>
      </w:r>
      <w:r w:rsidRPr="006403F5">
        <w:rPr>
          <w:rFonts w:eastAsiaTheme="minorHAnsi"/>
          <w:lang w:eastAsia="en-US"/>
        </w:rPr>
        <w:t xml:space="preserve"> </w:t>
      </w:r>
      <w:r>
        <w:rPr>
          <w:rFonts w:eastAsiaTheme="minorHAnsi"/>
          <w:lang w:eastAsia="en-US"/>
        </w:rPr>
        <w:t>“Applicable for manufacture”</w:t>
      </w:r>
      <w:r w:rsidRPr="006403F5">
        <w:rPr>
          <w:rFonts w:eastAsiaTheme="minorHAnsi"/>
          <w:lang w:eastAsia="en-US"/>
        </w:rPr>
        <w:t xml:space="preserve">, </w:t>
      </w:r>
      <w:r>
        <w:rPr>
          <w:rFonts w:eastAsiaTheme="minorHAnsi"/>
          <w:lang w:eastAsia="en-US"/>
        </w:rPr>
        <w:t>replace</w:t>
      </w:r>
      <w:r w:rsidRPr="006403F5">
        <w:rPr>
          <w:rFonts w:eastAsiaTheme="minorHAnsi"/>
          <w:lang w:eastAsia="en-US"/>
        </w:rPr>
        <w:t xml:space="preserve"> </w:t>
      </w:r>
      <w:r>
        <w:rPr>
          <w:rFonts w:eastAsiaTheme="minorHAnsi"/>
          <w:lang w:eastAsia="en-US"/>
        </w:rPr>
        <w:t>“Until further notice” by “Until</w:t>
      </w:r>
      <w:r w:rsidRPr="006403F5">
        <w:rPr>
          <w:rFonts w:eastAsiaTheme="minorHAnsi"/>
          <w:lang w:eastAsia="en-US"/>
        </w:rPr>
        <w:t xml:space="preserve"> 31 </w:t>
      </w:r>
      <w:r>
        <w:rPr>
          <w:rFonts w:eastAsiaTheme="minorHAnsi"/>
          <w:lang w:eastAsia="en-US"/>
        </w:rPr>
        <w:t>December</w:t>
      </w:r>
      <w:r w:rsidRPr="006403F5">
        <w:rPr>
          <w:rFonts w:eastAsiaTheme="minorHAnsi"/>
          <w:lang w:eastAsia="en-US"/>
        </w:rPr>
        <w:t xml:space="preserve"> 2026</w:t>
      </w:r>
      <w:r>
        <w:rPr>
          <w:rFonts w:eastAsiaTheme="minorHAnsi"/>
          <w:lang w:eastAsia="en-US"/>
        </w:rPr>
        <w:t>”</w:t>
      </w:r>
      <w:r w:rsidRPr="006403F5">
        <w:rPr>
          <w:rFonts w:eastAsiaTheme="minorHAnsi"/>
          <w:lang w:eastAsia="en-US"/>
        </w:rPr>
        <w:t xml:space="preserve">. </w:t>
      </w:r>
      <w:r>
        <w:t>After the entry for</w:t>
      </w:r>
      <w:r w:rsidRPr="006403F5">
        <w:t xml:space="preserve"> </w:t>
      </w:r>
      <w:r>
        <w:t>“</w:t>
      </w:r>
      <w:r w:rsidRPr="006403F5">
        <w:t>I</w:t>
      </w:r>
      <w:r w:rsidRPr="006403F5">
        <w:rPr>
          <w:rFonts w:eastAsiaTheme="minorHAnsi"/>
          <w:lang w:eastAsia="en-US"/>
        </w:rPr>
        <w:t>SO 9809-2:2010</w:t>
      </w:r>
      <w:r>
        <w:t>”</w:t>
      </w:r>
      <w:r w:rsidRPr="006403F5">
        <w:t xml:space="preserve">, </w:t>
      </w:r>
      <w:r>
        <w:t>add the following new entry:</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4820"/>
        <w:gridCol w:w="1275"/>
      </w:tblGrid>
      <w:tr w:rsidR="00CF309D" w:rsidRPr="006403F5" w14:paraId="3B3D4576" w14:textId="77777777" w:rsidTr="00784F4D">
        <w:tc>
          <w:tcPr>
            <w:tcW w:w="1544" w:type="dxa"/>
            <w:shd w:val="clear" w:color="auto" w:fill="auto"/>
          </w:tcPr>
          <w:p w14:paraId="5FBEDCE5" w14:textId="77777777" w:rsidR="00CF309D" w:rsidRPr="006403F5" w:rsidRDefault="00CF309D" w:rsidP="00784F4D">
            <w:pPr>
              <w:kinsoku/>
              <w:overflowPunct/>
              <w:autoSpaceDE/>
              <w:autoSpaceDN/>
              <w:adjustRightInd/>
              <w:snapToGrid/>
              <w:rPr>
                <w:lang w:eastAsia="en-US"/>
              </w:rPr>
            </w:pPr>
            <w:r w:rsidRPr="006403F5">
              <w:rPr>
                <w:lang w:eastAsia="en-US"/>
              </w:rPr>
              <w:t xml:space="preserve">ISO 9809-2:2019 </w:t>
            </w:r>
          </w:p>
        </w:tc>
        <w:tc>
          <w:tcPr>
            <w:tcW w:w="4820" w:type="dxa"/>
            <w:shd w:val="clear" w:color="auto" w:fill="auto"/>
          </w:tcPr>
          <w:p w14:paraId="382D23D8" w14:textId="77777777" w:rsidR="00CF309D" w:rsidRPr="006403F5" w:rsidRDefault="00CF309D" w:rsidP="00784F4D">
            <w:pPr>
              <w:kinsoku/>
              <w:overflowPunct/>
              <w:autoSpaceDE/>
              <w:autoSpaceDN/>
              <w:adjustRightInd/>
              <w:snapToGrid/>
              <w:jc w:val="both"/>
              <w:rPr>
                <w:lang w:eastAsia="en-US"/>
              </w:rPr>
            </w:pPr>
            <w:r w:rsidRPr="00C232BB">
              <w:rPr>
                <w:iCs/>
              </w:rPr>
              <w:t>Gas cylinders – Design, construction and testing of refillable seamless steel gas cylinders and tubes – Part 2: Quenched and tempered steel cylinders and tubes with tensile strength greater than or equal to 1 100 MPa</w:t>
            </w:r>
          </w:p>
        </w:tc>
        <w:tc>
          <w:tcPr>
            <w:tcW w:w="1275" w:type="dxa"/>
            <w:shd w:val="clear" w:color="auto" w:fill="auto"/>
          </w:tcPr>
          <w:p w14:paraId="36C4E977" w14:textId="77777777" w:rsidR="00CF309D" w:rsidRPr="006403F5" w:rsidRDefault="00CF309D" w:rsidP="00784F4D">
            <w:pPr>
              <w:kinsoku/>
              <w:overflowPunct/>
              <w:autoSpaceDE/>
              <w:autoSpaceDN/>
              <w:adjustRightInd/>
              <w:snapToGrid/>
              <w:rPr>
                <w:lang w:eastAsia="en-US"/>
              </w:rPr>
            </w:pPr>
            <w:r>
              <w:rPr>
                <w:rFonts w:eastAsiaTheme="minorHAnsi"/>
                <w:lang w:eastAsia="en-US"/>
              </w:rPr>
              <w:t>Until further notice</w:t>
            </w:r>
          </w:p>
        </w:tc>
      </w:tr>
    </w:tbl>
    <w:p w14:paraId="389E816E" w14:textId="77777777" w:rsidR="00CF309D" w:rsidRPr="006403F5" w:rsidRDefault="00CF309D" w:rsidP="00CF309D">
      <w:pPr>
        <w:tabs>
          <w:tab w:val="left" w:pos="2268"/>
        </w:tabs>
        <w:kinsoku/>
        <w:overflowPunct/>
        <w:autoSpaceDE/>
        <w:autoSpaceDN/>
        <w:adjustRightInd/>
        <w:snapToGrid/>
        <w:spacing w:before="120" w:after="120"/>
        <w:ind w:left="2268" w:right="1134" w:hanging="1134"/>
        <w:jc w:val="both"/>
      </w:pPr>
      <w:r w:rsidRPr="006403F5">
        <w:rPr>
          <w:lang w:eastAsia="en-US"/>
        </w:rPr>
        <w:tab/>
      </w:r>
      <w:r w:rsidRPr="006403F5">
        <w:rPr>
          <w:lang w:eastAsia="en-US"/>
        </w:rPr>
        <w:tab/>
      </w:r>
      <w:r>
        <w:rPr>
          <w:rFonts w:eastAsiaTheme="minorHAnsi"/>
          <w:lang w:eastAsia="en-US"/>
        </w:rPr>
        <w:t>In the table, for</w:t>
      </w:r>
      <w:r w:rsidRPr="006403F5">
        <w:rPr>
          <w:rFonts w:eastAsiaTheme="minorHAnsi"/>
          <w:lang w:eastAsia="en-US"/>
        </w:rPr>
        <w:t xml:space="preserve"> </w:t>
      </w:r>
      <w:r>
        <w:rPr>
          <w:rFonts w:eastAsiaTheme="minorHAnsi"/>
          <w:lang w:eastAsia="en-US"/>
        </w:rPr>
        <w:t>“</w:t>
      </w:r>
      <w:r w:rsidRPr="006403F5">
        <w:rPr>
          <w:rFonts w:eastAsiaTheme="minorHAnsi"/>
          <w:lang w:eastAsia="en-US"/>
        </w:rPr>
        <w:t>ISO 9809-3:2010</w:t>
      </w:r>
      <w:r>
        <w:rPr>
          <w:rFonts w:eastAsiaTheme="minorHAnsi"/>
          <w:lang w:eastAsia="en-US"/>
        </w:rPr>
        <w:t>”</w:t>
      </w:r>
      <w:r w:rsidRPr="006403F5">
        <w:rPr>
          <w:rFonts w:eastAsiaTheme="minorHAnsi"/>
          <w:lang w:eastAsia="en-US"/>
        </w:rPr>
        <w:t xml:space="preserve">, </w:t>
      </w:r>
      <w:r>
        <w:rPr>
          <w:rFonts w:eastAsiaTheme="minorHAnsi"/>
          <w:lang w:eastAsia="en-US"/>
        </w:rPr>
        <w:t>in column</w:t>
      </w:r>
      <w:r w:rsidRPr="006403F5">
        <w:rPr>
          <w:rFonts w:eastAsiaTheme="minorHAnsi"/>
          <w:lang w:eastAsia="en-US"/>
        </w:rPr>
        <w:t xml:space="preserve"> </w:t>
      </w:r>
      <w:r>
        <w:rPr>
          <w:rFonts w:eastAsiaTheme="minorHAnsi"/>
          <w:lang w:eastAsia="en-US"/>
        </w:rPr>
        <w:t>“Applicable for manufacture”</w:t>
      </w:r>
      <w:r w:rsidRPr="006403F5">
        <w:rPr>
          <w:rFonts w:eastAsiaTheme="minorHAnsi"/>
          <w:lang w:eastAsia="en-US"/>
        </w:rPr>
        <w:t xml:space="preserve">, </w:t>
      </w:r>
      <w:r>
        <w:rPr>
          <w:rFonts w:eastAsiaTheme="minorHAnsi"/>
          <w:lang w:eastAsia="en-US"/>
        </w:rPr>
        <w:t>replace</w:t>
      </w:r>
      <w:r w:rsidRPr="006403F5">
        <w:rPr>
          <w:rFonts w:eastAsiaTheme="minorHAnsi"/>
          <w:lang w:eastAsia="en-US"/>
        </w:rPr>
        <w:t xml:space="preserve"> </w:t>
      </w:r>
      <w:r>
        <w:rPr>
          <w:rFonts w:eastAsiaTheme="minorHAnsi"/>
          <w:lang w:eastAsia="en-US"/>
        </w:rPr>
        <w:t>“Until further notice” by “Until</w:t>
      </w:r>
      <w:r w:rsidRPr="006403F5">
        <w:rPr>
          <w:rFonts w:eastAsiaTheme="minorHAnsi"/>
          <w:lang w:eastAsia="en-US"/>
        </w:rPr>
        <w:t xml:space="preserve"> 31 </w:t>
      </w:r>
      <w:r>
        <w:rPr>
          <w:rFonts w:eastAsiaTheme="minorHAnsi"/>
          <w:lang w:eastAsia="en-US"/>
        </w:rPr>
        <w:t>December</w:t>
      </w:r>
      <w:r w:rsidRPr="006403F5">
        <w:rPr>
          <w:rFonts w:eastAsiaTheme="minorHAnsi"/>
          <w:lang w:eastAsia="en-US"/>
        </w:rPr>
        <w:t xml:space="preserve"> 2026</w:t>
      </w:r>
      <w:r>
        <w:rPr>
          <w:rFonts w:eastAsiaTheme="minorHAnsi"/>
          <w:lang w:eastAsia="en-US"/>
        </w:rPr>
        <w:t>”</w:t>
      </w:r>
      <w:r w:rsidRPr="006403F5">
        <w:rPr>
          <w:rFonts w:eastAsiaTheme="minorHAnsi"/>
          <w:lang w:eastAsia="en-US"/>
        </w:rPr>
        <w:t xml:space="preserve">. </w:t>
      </w:r>
      <w:r>
        <w:t>After the entry for</w:t>
      </w:r>
      <w:r w:rsidRPr="006403F5">
        <w:t xml:space="preserve"> </w:t>
      </w:r>
      <w:r>
        <w:t>“</w:t>
      </w:r>
      <w:r w:rsidRPr="006403F5">
        <w:t>I</w:t>
      </w:r>
      <w:r w:rsidRPr="006403F5">
        <w:rPr>
          <w:rFonts w:eastAsiaTheme="minorHAnsi"/>
          <w:lang w:eastAsia="en-US"/>
        </w:rPr>
        <w:t>SO 9809-3:2010</w:t>
      </w:r>
      <w:r>
        <w:t>”</w:t>
      </w:r>
      <w:r w:rsidRPr="006403F5">
        <w:t xml:space="preserve">, </w:t>
      </w:r>
      <w:r>
        <w:t>add the following new entry:</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4820"/>
        <w:gridCol w:w="1275"/>
      </w:tblGrid>
      <w:tr w:rsidR="00CF309D" w:rsidRPr="006403F5" w14:paraId="4F370AEA" w14:textId="77777777" w:rsidTr="00784F4D">
        <w:tc>
          <w:tcPr>
            <w:tcW w:w="1544" w:type="dxa"/>
            <w:shd w:val="clear" w:color="auto" w:fill="auto"/>
          </w:tcPr>
          <w:p w14:paraId="33D83054" w14:textId="77777777" w:rsidR="00CF309D" w:rsidRPr="006403F5" w:rsidRDefault="00CF309D" w:rsidP="00784F4D">
            <w:pPr>
              <w:kinsoku/>
              <w:overflowPunct/>
              <w:autoSpaceDE/>
              <w:autoSpaceDN/>
              <w:adjustRightInd/>
              <w:snapToGrid/>
              <w:rPr>
                <w:lang w:eastAsia="en-US"/>
              </w:rPr>
            </w:pPr>
            <w:r w:rsidRPr="006403F5">
              <w:rPr>
                <w:lang w:eastAsia="en-US"/>
              </w:rPr>
              <w:t xml:space="preserve">ISO 9809-3:2019 </w:t>
            </w:r>
          </w:p>
        </w:tc>
        <w:tc>
          <w:tcPr>
            <w:tcW w:w="4820" w:type="dxa"/>
            <w:shd w:val="clear" w:color="auto" w:fill="auto"/>
          </w:tcPr>
          <w:p w14:paraId="07C2D86A" w14:textId="77777777" w:rsidR="00CF309D" w:rsidRPr="006403F5" w:rsidRDefault="00CF309D" w:rsidP="00784F4D">
            <w:pPr>
              <w:kinsoku/>
              <w:overflowPunct/>
              <w:autoSpaceDE/>
              <w:autoSpaceDN/>
              <w:adjustRightInd/>
              <w:snapToGrid/>
              <w:jc w:val="both"/>
              <w:rPr>
                <w:lang w:eastAsia="en-US"/>
              </w:rPr>
            </w:pPr>
            <w:r w:rsidRPr="00D172EB">
              <w:rPr>
                <w:iCs/>
                <w:color w:val="000000"/>
                <w:lang w:eastAsia="en-US"/>
              </w:rPr>
              <w:t>Gas cylinders — Design, construction and testing of refillable seamless steel gas cylinders and tubes — Part 3: Normalized steel cylinders and tubes</w:t>
            </w:r>
          </w:p>
        </w:tc>
        <w:tc>
          <w:tcPr>
            <w:tcW w:w="1275" w:type="dxa"/>
            <w:shd w:val="clear" w:color="auto" w:fill="auto"/>
          </w:tcPr>
          <w:p w14:paraId="58F52270" w14:textId="77777777" w:rsidR="00CF309D" w:rsidRPr="006403F5" w:rsidRDefault="00CF309D" w:rsidP="00784F4D">
            <w:pPr>
              <w:kinsoku/>
              <w:overflowPunct/>
              <w:autoSpaceDE/>
              <w:autoSpaceDN/>
              <w:adjustRightInd/>
              <w:snapToGrid/>
              <w:rPr>
                <w:lang w:eastAsia="en-US"/>
              </w:rPr>
            </w:pPr>
            <w:r>
              <w:rPr>
                <w:rFonts w:eastAsiaTheme="minorHAnsi"/>
                <w:lang w:eastAsia="en-US"/>
              </w:rPr>
              <w:t>Until further notice</w:t>
            </w:r>
          </w:p>
        </w:tc>
      </w:tr>
    </w:tbl>
    <w:p w14:paraId="0DAA7FE3" w14:textId="77777777" w:rsidR="00CF309D" w:rsidRPr="00101547" w:rsidRDefault="00CF309D" w:rsidP="00CF309D">
      <w:pPr>
        <w:pStyle w:val="SingleTxtG"/>
        <w:spacing w:before="120"/>
        <w:rPr>
          <w:i/>
          <w:iCs/>
        </w:rPr>
      </w:pPr>
      <w:r w:rsidRPr="00101547">
        <w:rPr>
          <w:i/>
          <w:iCs/>
        </w:rPr>
        <w:lastRenderedPageBreak/>
        <w:t xml:space="preserve">(Reference document: informal document </w:t>
      </w:r>
      <w:r>
        <w:rPr>
          <w:i/>
          <w:iCs/>
        </w:rPr>
        <w:t>INF.57</w:t>
      </w:r>
      <w:r w:rsidRPr="00101547">
        <w:rPr>
          <w:i/>
          <w:iCs/>
        </w:rPr>
        <w:t>, proposal</w:t>
      </w:r>
      <w:r>
        <w:rPr>
          <w:i/>
          <w:iCs/>
        </w:rPr>
        <w:t>s</w:t>
      </w:r>
      <w:r w:rsidRPr="00101547">
        <w:rPr>
          <w:i/>
          <w:iCs/>
        </w:rPr>
        <w:t xml:space="preserve"> </w:t>
      </w:r>
      <w:r>
        <w:rPr>
          <w:i/>
          <w:iCs/>
        </w:rPr>
        <w:t>1, 2 and 3</w:t>
      </w:r>
      <w:r w:rsidRPr="00101547">
        <w:rPr>
          <w:i/>
          <w:iCs/>
        </w:rPr>
        <w:t>)</w:t>
      </w:r>
    </w:p>
    <w:p w14:paraId="60F8E8E0" w14:textId="77777777" w:rsidR="00CF309D" w:rsidRPr="006403F5" w:rsidRDefault="00CF309D" w:rsidP="00CF309D">
      <w:pPr>
        <w:pStyle w:val="SingleTxtG"/>
      </w:pPr>
      <w:r w:rsidRPr="006403F5">
        <w:rPr>
          <w:lang w:eastAsia="en-US"/>
        </w:rPr>
        <w:t>6.2.2.1.2</w:t>
      </w:r>
      <w:r w:rsidRPr="006403F5">
        <w:rPr>
          <w:lang w:eastAsia="en-US"/>
        </w:rPr>
        <w:tab/>
      </w:r>
      <w:r>
        <w:rPr>
          <w:lang w:eastAsia="en-US"/>
        </w:rPr>
        <w:t>At the end of the table</w:t>
      </w:r>
      <w:r w:rsidRPr="006403F5">
        <w:rPr>
          <w:lang w:eastAsia="en-US"/>
        </w:rPr>
        <w:t xml:space="preserve">, </w:t>
      </w:r>
      <w:r>
        <w:t>add the following new entries:</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4820"/>
        <w:gridCol w:w="1275"/>
      </w:tblGrid>
      <w:tr w:rsidR="00CF309D" w:rsidRPr="006403F5" w14:paraId="2B127F16" w14:textId="77777777" w:rsidTr="00784F4D">
        <w:tc>
          <w:tcPr>
            <w:tcW w:w="1544" w:type="dxa"/>
            <w:shd w:val="clear" w:color="auto" w:fill="auto"/>
          </w:tcPr>
          <w:p w14:paraId="480AC92B" w14:textId="77777777" w:rsidR="00CF309D" w:rsidRPr="006403F5" w:rsidRDefault="00CF309D" w:rsidP="00784F4D">
            <w:pPr>
              <w:kinsoku/>
              <w:overflowPunct/>
              <w:autoSpaceDE/>
              <w:autoSpaceDN/>
              <w:adjustRightInd/>
              <w:snapToGrid/>
              <w:rPr>
                <w:lang w:eastAsia="en-US"/>
              </w:rPr>
            </w:pPr>
            <w:r w:rsidRPr="006403F5">
              <w:rPr>
                <w:lang w:eastAsia="en-US"/>
              </w:rPr>
              <w:t>ISO 9809-1:2019</w:t>
            </w:r>
          </w:p>
        </w:tc>
        <w:tc>
          <w:tcPr>
            <w:tcW w:w="4820" w:type="dxa"/>
            <w:shd w:val="clear" w:color="auto" w:fill="auto"/>
          </w:tcPr>
          <w:p w14:paraId="60D450C2" w14:textId="77777777" w:rsidR="00CF309D" w:rsidRPr="006403F5" w:rsidRDefault="00CF309D" w:rsidP="00784F4D">
            <w:pPr>
              <w:kinsoku/>
              <w:overflowPunct/>
              <w:autoSpaceDE/>
              <w:autoSpaceDN/>
              <w:adjustRightInd/>
              <w:snapToGrid/>
              <w:jc w:val="both"/>
              <w:rPr>
                <w:lang w:eastAsia="en-US"/>
              </w:rPr>
            </w:pPr>
            <w:r w:rsidRPr="00C232BB">
              <w:rPr>
                <w:iCs/>
                <w:color w:val="000000"/>
              </w:rPr>
              <w:t>Gas cylinders — Design, construction and testing of refillable seamless steel gas cylinders and tubes — Part 1: Quenched and tempered steel cylinders and tubes with tensile strength less than 1 100 MPa</w:t>
            </w:r>
          </w:p>
        </w:tc>
        <w:tc>
          <w:tcPr>
            <w:tcW w:w="1275" w:type="dxa"/>
            <w:shd w:val="clear" w:color="auto" w:fill="auto"/>
          </w:tcPr>
          <w:p w14:paraId="4C2B1005" w14:textId="77777777" w:rsidR="00CF309D" w:rsidRPr="006403F5" w:rsidRDefault="00CF309D" w:rsidP="00784F4D">
            <w:pPr>
              <w:kinsoku/>
              <w:overflowPunct/>
              <w:autoSpaceDE/>
              <w:autoSpaceDN/>
              <w:adjustRightInd/>
              <w:snapToGrid/>
              <w:rPr>
                <w:lang w:eastAsia="en-US"/>
              </w:rPr>
            </w:pPr>
            <w:r>
              <w:rPr>
                <w:rFonts w:eastAsiaTheme="minorHAnsi"/>
                <w:lang w:eastAsia="en-US"/>
              </w:rPr>
              <w:t>Until further notice</w:t>
            </w:r>
          </w:p>
        </w:tc>
      </w:tr>
      <w:tr w:rsidR="00CF309D" w:rsidRPr="006403F5" w14:paraId="6392A441" w14:textId="77777777" w:rsidTr="00784F4D">
        <w:tc>
          <w:tcPr>
            <w:tcW w:w="1544" w:type="dxa"/>
            <w:shd w:val="clear" w:color="auto" w:fill="auto"/>
          </w:tcPr>
          <w:p w14:paraId="7FA23EB6" w14:textId="77777777" w:rsidR="00CF309D" w:rsidRPr="006403F5" w:rsidRDefault="00CF309D" w:rsidP="00784F4D">
            <w:pPr>
              <w:kinsoku/>
              <w:overflowPunct/>
              <w:autoSpaceDE/>
              <w:autoSpaceDN/>
              <w:adjustRightInd/>
              <w:snapToGrid/>
              <w:rPr>
                <w:lang w:eastAsia="en-US"/>
              </w:rPr>
            </w:pPr>
            <w:r w:rsidRPr="006403F5">
              <w:rPr>
                <w:lang w:eastAsia="en-US"/>
              </w:rPr>
              <w:t>ISO 9809-2:2019</w:t>
            </w:r>
          </w:p>
        </w:tc>
        <w:tc>
          <w:tcPr>
            <w:tcW w:w="4820" w:type="dxa"/>
            <w:shd w:val="clear" w:color="auto" w:fill="auto"/>
          </w:tcPr>
          <w:p w14:paraId="0E4CD683" w14:textId="77777777" w:rsidR="00CF309D" w:rsidRPr="006403F5" w:rsidRDefault="00CF309D" w:rsidP="00784F4D">
            <w:pPr>
              <w:kinsoku/>
              <w:overflowPunct/>
              <w:autoSpaceDE/>
              <w:autoSpaceDN/>
              <w:adjustRightInd/>
              <w:snapToGrid/>
              <w:jc w:val="both"/>
              <w:rPr>
                <w:iCs/>
                <w:color w:val="000000"/>
                <w:lang w:eastAsia="en-US"/>
              </w:rPr>
            </w:pPr>
            <w:r w:rsidRPr="00C232BB">
              <w:rPr>
                <w:iCs/>
              </w:rPr>
              <w:t>Gas cylinders – Design, construction and testing of refillable seamless steel gas cylinders and tubes – Part 2: Quenched and tempered steel cylinders and tubes with tensile strength greater than or equal to 1 100 MPa</w:t>
            </w:r>
          </w:p>
        </w:tc>
        <w:tc>
          <w:tcPr>
            <w:tcW w:w="1275" w:type="dxa"/>
            <w:shd w:val="clear" w:color="auto" w:fill="auto"/>
          </w:tcPr>
          <w:p w14:paraId="34CE25F3" w14:textId="77777777" w:rsidR="00CF309D" w:rsidRPr="006403F5" w:rsidRDefault="00CF309D" w:rsidP="00784F4D">
            <w:pPr>
              <w:kinsoku/>
              <w:overflowPunct/>
              <w:autoSpaceDE/>
              <w:autoSpaceDN/>
              <w:adjustRightInd/>
              <w:snapToGrid/>
              <w:rPr>
                <w:rFonts w:eastAsiaTheme="minorHAnsi"/>
                <w:lang w:eastAsia="en-US"/>
              </w:rPr>
            </w:pPr>
            <w:r>
              <w:rPr>
                <w:rFonts w:eastAsiaTheme="minorHAnsi"/>
                <w:lang w:eastAsia="en-US"/>
              </w:rPr>
              <w:t>Until further notice</w:t>
            </w:r>
          </w:p>
        </w:tc>
      </w:tr>
      <w:tr w:rsidR="00CF309D" w:rsidRPr="006403F5" w14:paraId="215BF42B" w14:textId="77777777" w:rsidTr="00784F4D">
        <w:tc>
          <w:tcPr>
            <w:tcW w:w="1544" w:type="dxa"/>
            <w:shd w:val="clear" w:color="auto" w:fill="auto"/>
          </w:tcPr>
          <w:p w14:paraId="0BB44EAC" w14:textId="77777777" w:rsidR="00CF309D" w:rsidRPr="006403F5" w:rsidRDefault="00CF309D" w:rsidP="00784F4D">
            <w:pPr>
              <w:kinsoku/>
              <w:overflowPunct/>
              <w:autoSpaceDE/>
              <w:autoSpaceDN/>
              <w:adjustRightInd/>
              <w:snapToGrid/>
              <w:rPr>
                <w:lang w:eastAsia="en-US"/>
              </w:rPr>
            </w:pPr>
            <w:r w:rsidRPr="006403F5">
              <w:rPr>
                <w:lang w:eastAsia="en-US"/>
              </w:rPr>
              <w:t xml:space="preserve">ISO 9809-3:2019 </w:t>
            </w:r>
          </w:p>
        </w:tc>
        <w:tc>
          <w:tcPr>
            <w:tcW w:w="4820" w:type="dxa"/>
            <w:shd w:val="clear" w:color="auto" w:fill="auto"/>
          </w:tcPr>
          <w:p w14:paraId="1F3AD608" w14:textId="77777777" w:rsidR="00CF309D" w:rsidRPr="006403F5" w:rsidRDefault="00CF309D" w:rsidP="00784F4D">
            <w:pPr>
              <w:kinsoku/>
              <w:overflowPunct/>
              <w:autoSpaceDE/>
              <w:autoSpaceDN/>
              <w:adjustRightInd/>
              <w:snapToGrid/>
              <w:jc w:val="both"/>
              <w:rPr>
                <w:lang w:eastAsia="en-US"/>
              </w:rPr>
            </w:pPr>
            <w:r w:rsidRPr="00D172EB">
              <w:rPr>
                <w:iCs/>
                <w:color w:val="000000"/>
                <w:lang w:eastAsia="en-US"/>
              </w:rPr>
              <w:t>Gas cylinders — Design, construction and testing of refillable seamless steel gas cylinders and tubes — Part 3: Normalized steel cylinders and tubes</w:t>
            </w:r>
          </w:p>
        </w:tc>
        <w:tc>
          <w:tcPr>
            <w:tcW w:w="1275" w:type="dxa"/>
            <w:shd w:val="clear" w:color="auto" w:fill="auto"/>
          </w:tcPr>
          <w:p w14:paraId="2F31B791" w14:textId="77777777" w:rsidR="00CF309D" w:rsidRPr="006403F5" w:rsidRDefault="00CF309D" w:rsidP="00784F4D">
            <w:pPr>
              <w:kinsoku/>
              <w:overflowPunct/>
              <w:autoSpaceDE/>
              <w:autoSpaceDN/>
              <w:adjustRightInd/>
              <w:snapToGrid/>
              <w:rPr>
                <w:lang w:eastAsia="en-US"/>
              </w:rPr>
            </w:pPr>
            <w:r>
              <w:rPr>
                <w:rFonts w:eastAsiaTheme="minorHAnsi"/>
                <w:lang w:eastAsia="en-US"/>
              </w:rPr>
              <w:t>Until further notice</w:t>
            </w:r>
          </w:p>
        </w:tc>
      </w:tr>
    </w:tbl>
    <w:p w14:paraId="5FB2DBD4" w14:textId="77777777" w:rsidR="00CF309D" w:rsidRPr="00101547" w:rsidRDefault="00CF309D" w:rsidP="00CF309D">
      <w:pPr>
        <w:pStyle w:val="SingleTxtG"/>
        <w:spacing w:before="120"/>
        <w:rPr>
          <w:i/>
          <w:iCs/>
        </w:rPr>
      </w:pPr>
      <w:r w:rsidRPr="00101547">
        <w:rPr>
          <w:i/>
          <w:iCs/>
        </w:rPr>
        <w:t xml:space="preserve">(Reference document: informal document </w:t>
      </w:r>
      <w:r>
        <w:rPr>
          <w:i/>
          <w:iCs/>
        </w:rPr>
        <w:t>INF.57</w:t>
      </w:r>
      <w:r w:rsidRPr="00101547">
        <w:rPr>
          <w:i/>
          <w:iCs/>
        </w:rPr>
        <w:t>, proposal</w:t>
      </w:r>
      <w:r>
        <w:rPr>
          <w:i/>
          <w:iCs/>
        </w:rPr>
        <w:t>s</w:t>
      </w:r>
      <w:r w:rsidRPr="00101547">
        <w:rPr>
          <w:i/>
          <w:iCs/>
        </w:rPr>
        <w:t xml:space="preserve"> </w:t>
      </w:r>
      <w:r>
        <w:rPr>
          <w:i/>
          <w:iCs/>
        </w:rPr>
        <w:t>1, 2 and 3</w:t>
      </w:r>
      <w:r w:rsidRPr="00101547">
        <w:rPr>
          <w:i/>
          <w:iCs/>
        </w:rPr>
        <w:t>)</w:t>
      </w:r>
    </w:p>
    <w:p w14:paraId="6BA8356C" w14:textId="77777777" w:rsidR="00CF309D" w:rsidRPr="006403F5" w:rsidRDefault="00CF309D" w:rsidP="00CF309D">
      <w:pPr>
        <w:tabs>
          <w:tab w:val="left" w:pos="2268"/>
        </w:tabs>
        <w:kinsoku/>
        <w:overflowPunct/>
        <w:autoSpaceDE/>
        <w:autoSpaceDN/>
        <w:adjustRightInd/>
        <w:snapToGrid/>
        <w:spacing w:after="120"/>
        <w:ind w:left="2268" w:right="1134" w:hanging="1134"/>
        <w:jc w:val="both"/>
      </w:pPr>
      <w:r w:rsidRPr="006403F5">
        <w:rPr>
          <w:lang w:eastAsia="en-US"/>
        </w:rPr>
        <w:t>6.2.2.1.3</w:t>
      </w:r>
      <w:r w:rsidRPr="006403F5">
        <w:rPr>
          <w:lang w:eastAsia="en-US"/>
        </w:rPr>
        <w:tab/>
      </w:r>
      <w:r>
        <w:rPr>
          <w:rFonts w:eastAsiaTheme="minorHAnsi"/>
          <w:lang w:eastAsia="en-US"/>
        </w:rPr>
        <w:t>In the first table, for</w:t>
      </w:r>
      <w:r w:rsidRPr="006403F5">
        <w:rPr>
          <w:rFonts w:eastAsiaTheme="minorHAnsi"/>
          <w:lang w:eastAsia="en-US"/>
        </w:rPr>
        <w:t xml:space="preserve"> </w:t>
      </w:r>
      <w:r>
        <w:rPr>
          <w:rFonts w:eastAsiaTheme="minorHAnsi"/>
          <w:lang w:eastAsia="en-US"/>
        </w:rPr>
        <w:t>“</w:t>
      </w:r>
      <w:r w:rsidRPr="006403F5">
        <w:rPr>
          <w:rFonts w:eastAsiaTheme="minorHAnsi"/>
          <w:lang w:eastAsia="en-US"/>
        </w:rPr>
        <w:t>ISO 9809-1:2010</w:t>
      </w:r>
      <w:r>
        <w:rPr>
          <w:rFonts w:eastAsiaTheme="minorHAnsi"/>
          <w:lang w:eastAsia="en-US"/>
        </w:rPr>
        <w:t>”</w:t>
      </w:r>
      <w:r w:rsidRPr="006403F5">
        <w:rPr>
          <w:rFonts w:eastAsiaTheme="minorHAnsi"/>
          <w:lang w:eastAsia="en-US"/>
        </w:rPr>
        <w:t xml:space="preserve">, </w:t>
      </w:r>
      <w:r>
        <w:rPr>
          <w:rFonts w:eastAsiaTheme="minorHAnsi"/>
          <w:lang w:eastAsia="en-US"/>
        </w:rPr>
        <w:t>in column</w:t>
      </w:r>
      <w:r w:rsidRPr="006403F5">
        <w:rPr>
          <w:rFonts w:eastAsiaTheme="minorHAnsi"/>
          <w:lang w:eastAsia="en-US"/>
        </w:rPr>
        <w:t xml:space="preserve"> </w:t>
      </w:r>
      <w:r>
        <w:rPr>
          <w:rFonts w:eastAsiaTheme="minorHAnsi"/>
          <w:lang w:eastAsia="en-US"/>
        </w:rPr>
        <w:t>“Applicable for manufacture”</w:t>
      </w:r>
      <w:r w:rsidRPr="006403F5">
        <w:rPr>
          <w:rFonts w:eastAsiaTheme="minorHAnsi"/>
          <w:lang w:eastAsia="en-US"/>
        </w:rPr>
        <w:t xml:space="preserve">, </w:t>
      </w:r>
      <w:r>
        <w:rPr>
          <w:rFonts w:eastAsiaTheme="minorHAnsi"/>
          <w:lang w:eastAsia="en-US"/>
        </w:rPr>
        <w:t>replace</w:t>
      </w:r>
      <w:r w:rsidRPr="006403F5">
        <w:rPr>
          <w:rFonts w:eastAsiaTheme="minorHAnsi"/>
          <w:lang w:eastAsia="en-US"/>
        </w:rPr>
        <w:t xml:space="preserve"> </w:t>
      </w:r>
      <w:r>
        <w:rPr>
          <w:rFonts w:eastAsiaTheme="minorHAnsi"/>
          <w:lang w:eastAsia="en-US"/>
        </w:rPr>
        <w:t>“</w:t>
      </w:r>
      <w:r w:rsidRPr="00C41B8F">
        <w:t>Until</w:t>
      </w:r>
      <w:r>
        <w:rPr>
          <w:rFonts w:eastAsiaTheme="minorHAnsi"/>
          <w:lang w:eastAsia="en-US"/>
        </w:rPr>
        <w:t xml:space="preserve"> further notice” by “Until</w:t>
      </w:r>
      <w:r w:rsidRPr="006403F5">
        <w:rPr>
          <w:rFonts w:eastAsiaTheme="minorHAnsi"/>
          <w:lang w:eastAsia="en-US"/>
        </w:rPr>
        <w:t xml:space="preserve"> 31 </w:t>
      </w:r>
      <w:r>
        <w:rPr>
          <w:rFonts w:eastAsiaTheme="minorHAnsi"/>
          <w:lang w:eastAsia="en-US"/>
        </w:rPr>
        <w:t>December</w:t>
      </w:r>
      <w:r w:rsidRPr="006403F5">
        <w:rPr>
          <w:rFonts w:eastAsiaTheme="minorHAnsi"/>
          <w:lang w:eastAsia="en-US"/>
        </w:rPr>
        <w:t xml:space="preserve"> 2026</w:t>
      </w:r>
      <w:r>
        <w:rPr>
          <w:rFonts w:eastAsiaTheme="minorHAnsi"/>
          <w:lang w:eastAsia="en-US"/>
        </w:rPr>
        <w:t>”</w:t>
      </w:r>
      <w:r w:rsidRPr="006403F5">
        <w:rPr>
          <w:rFonts w:eastAsiaTheme="minorHAnsi"/>
          <w:lang w:eastAsia="en-US"/>
        </w:rPr>
        <w:t xml:space="preserve">. </w:t>
      </w:r>
      <w:r>
        <w:t>After the entry for</w:t>
      </w:r>
      <w:r w:rsidRPr="006403F5">
        <w:t xml:space="preserve"> </w:t>
      </w:r>
      <w:r>
        <w:t>“</w:t>
      </w:r>
      <w:r w:rsidRPr="006403F5">
        <w:rPr>
          <w:rFonts w:eastAsiaTheme="minorHAnsi"/>
          <w:lang w:eastAsia="en-US"/>
        </w:rPr>
        <w:t>ISO 9809-1:2010</w:t>
      </w:r>
      <w:r>
        <w:t>”</w:t>
      </w:r>
      <w:r w:rsidRPr="006403F5">
        <w:t xml:space="preserve">, </w:t>
      </w:r>
      <w:r>
        <w:t>add the following new entry:</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4820"/>
        <w:gridCol w:w="1275"/>
      </w:tblGrid>
      <w:tr w:rsidR="00CF309D" w:rsidRPr="006403F5" w14:paraId="6BB03DA6" w14:textId="77777777" w:rsidTr="00784F4D">
        <w:tc>
          <w:tcPr>
            <w:tcW w:w="1544" w:type="dxa"/>
            <w:shd w:val="clear" w:color="auto" w:fill="auto"/>
          </w:tcPr>
          <w:p w14:paraId="2F164F2B" w14:textId="77777777" w:rsidR="00CF309D" w:rsidRPr="006403F5" w:rsidRDefault="00CF309D" w:rsidP="00784F4D">
            <w:pPr>
              <w:kinsoku/>
              <w:overflowPunct/>
              <w:autoSpaceDE/>
              <w:autoSpaceDN/>
              <w:adjustRightInd/>
              <w:snapToGrid/>
              <w:rPr>
                <w:lang w:eastAsia="en-US"/>
              </w:rPr>
            </w:pPr>
            <w:r w:rsidRPr="006403F5">
              <w:rPr>
                <w:lang w:eastAsia="en-US"/>
              </w:rPr>
              <w:t xml:space="preserve">ISO 9809-1:2019 </w:t>
            </w:r>
          </w:p>
        </w:tc>
        <w:tc>
          <w:tcPr>
            <w:tcW w:w="4820" w:type="dxa"/>
            <w:shd w:val="clear" w:color="auto" w:fill="auto"/>
          </w:tcPr>
          <w:p w14:paraId="05E803DC" w14:textId="77777777" w:rsidR="00CF309D" w:rsidRPr="006403F5" w:rsidRDefault="00CF309D" w:rsidP="00784F4D">
            <w:pPr>
              <w:kinsoku/>
              <w:overflowPunct/>
              <w:autoSpaceDE/>
              <w:autoSpaceDN/>
              <w:adjustRightInd/>
              <w:snapToGrid/>
              <w:jc w:val="both"/>
              <w:rPr>
                <w:lang w:eastAsia="en-US"/>
              </w:rPr>
            </w:pPr>
            <w:r w:rsidRPr="00C232BB">
              <w:rPr>
                <w:iCs/>
                <w:color w:val="000000"/>
              </w:rPr>
              <w:t>Gas cylinders — Design, construction and testing of refillable seamless steel gas cylinders and tubes — Part 1: Quenched and tempered steel cylinders and tubes with tensile strength less than 1 100 MPa</w:t>
            </w:r>
          </w:p>
        </w:tc>
        <w:tc>
          <w:tcPr>
            <w:tcW w:w="1275" w:type="dxa"/>
            <w:shd w:val="clear" w:color="auto" w:fill="auto"/>
          </w:tcPr>
          <w:p w14:paraId="30E8BD3B" w14:textId="77777777" w:rsidR="00CF309D" w:rsidRPr="006403F5" w:rsidRDefault="00CF309D" w:rsidP="00784F4D">
            <w:pPr>
              <w:kinsoku/>
              <w:overflowPunct/>
              <w:autoSpaceDE/>
              <w:autoSpaceDN/>
              <w:adjustRightInd/>
              <w:snapToGrid/>
              <w:rPr>
                <w:lang w:eastAsia="en-US"/>
              </w:rPr>
            </w:pPr>
            <w:r>
              <w:rPr>
                <w:rFonts w:eastAsiaTheme="minorHAnsi"/>
                <w:lang w:eastAsia="en-US"/>
              </w:rPr>
              <w:t>Until further notice</w:t>
            </w:r>
          </w:p>
        </w:tc>
      </w:tr>
    </w:tbl>
    <w:p w14:paraId="6339F281" w14:textId="77777777" w:rsidR="00CF309D" w:rsidRPr="006403F5" w:rsidRDefault="00CF309D" w:rsidP="00CF309D">
      <w:pPr>
        <w:tabs>
          <w:tab w:val="left" w:pos="2268"/>
        </w:tabs>
        <w:kinsoku/>
        <w:overflowPunct/>
        <w:autoSpaceDE/>
        <w:autoSpaceDN/>
        <w:adjustRightInd/>
        <w:snapToGrid/>
        <w:spacing w:before="120" w:after="120"/>
        <w:ind w:left="2268" w:right="1134" w:hanging="1134"/>
        <w:jc w:val="both"/>
      </w:pPr>
      <w:r w:rsidRPr="006403F5">
        <w:rPr>
          <w:lang w:eastAsia="en-US"/>
        </w:rPr>
        <w:tab/>
      </w:r>
      <w:r>
        <w:rPr>
          <w:rFonts w:eastAsiaTheme="minorHAnsi"/>
          <w:lang w:eastAsia="en-US"/>
        </w:rPr>
        <w:t>In the first table, for</w:t>
      </w:r>
      <w:r w:rsidRPr="006403F5">
        <w:rPr>
          <w:rFonts w:eastAsiaTheme="minorHAnsi"/>
          <w:lang w:eastAsia="en-US"/>
        </w:rPr>
        <w:t xml:space="preserve"> </w:t>
      </w:r>
      <w:r>
        <w:rPr>
          <w:rFonts w:eastAsiaTheme="minorHAnsi"/>
          <w:lang w:eastAsia="en-US"/>
        </w:rPr>
        <w:t>“</w:t>
      </w:r>
      <w:r w:rsidRPr="006403F5">
        <w:rPr>
          <w:rFonts w:eastAsiaTheme="minorHAnsi"/>
          <w:lang w:eastAsia="en-US"/>
        </w:rPr>
        <w:t>ISO 9809-3:2010</w:t>
      </w:r>
      <w:r>
        <w:rPr>
          <w:rFonts w:eastAsiaTheme="minorHAnsi"/>
          <w:lang w:eastAsia="en-US"/>
        </w:rPr>
        <w:t>”</w:t>
      </w:r>
      <w:r w:rsidRPr="006403F5">
        <w:rPr>
          <w:rFonts w:eastAsiaTheme="minorHAnsi"/>
          <w:lang w:eastAsia="en-US"/>
        </w:rPr>
        <w:t xml:space="preserve">, </w:t>
      </w:r>
      <w:r>
        <w:rPr>
          <w:rFonts w:eastAsiaTheme="minorHAnsi"/>
          <w:lang w:eastAsia="en-US"/>
        </w:rPr>
        <w:t>in column</w:t>
      </w:r>
      <w:r w:rsidRPr="006403F5">
        <w:rPr>
          <w:rFonts w:eastAsiaTheme="minorHAnsi"/>
          <w:lang w:eastAsia="en-US"/>
        </w:rPr>
        <w:t xml:space="preserve"> </w:t>
      </w:r>
      <w:r>
        <w:rPr>
          <w:rFonts w:eastAsiaTheme="minorHAnsi"/>
          <w:lang w:eastAsia="en-US"/>
        </w:rPr>
        <w:t>“Applicable for manufacture”</w:t>
      </w:r>
      <w:r w:rsidRPr="006403F5">
        <w:rPr>
          <w:rFonts w:eastAsiaTheme="minorHAnsi"/>
          <w:lang w:eastAsia="en-US"/>
        </w:rPr>
        <w:t xml:space="preserve">, </w:t>
      </w:r>
      <w:r>
        <w:rPr>
          <w:rFonts w:eastAsiaTheme="minorHAnsi"/>
          <w:lang w:eastAsia="en-US"/>
        </w:rPr>
        <w:t>replace</w:t>
      </w:r>
      <w:r w:rsidRPr="006403F5">
        <w:rPr>
          <w:rFonts w:eastAsiaTheme="minorHAnsi"/>
          <w:lang w:eastAsia="en-US"/>
        </w:rPr>
        <w:t xml:space="preserve"> </w:t>
      </w:r>
      <w:r>
        <w:rPr>
          <w:rFonts w:eastAsiaTheme="minorHAnsi"/>
          <w:lang w:eastAsia="en-US"/>
        </w:rPr>
        <w:t>“</w:t>
      </w:r>
      <w:r w:rsidRPr="00C41B8F">
        <w:t>Until</w:t>
      </w:r>
      <w:r>
        <w:rPr>
          <w:rFonts w:eastAsiaTheme="minorHAnsi"/>
          <w:lang w:eastAsia="en-US"/>
        </w:rPr>
        <w:t xml:space="preserve"> further notice” by “Until</w:t>
      </w:r>
      <w:r w:rsidRPr="006403F5">
        <w:rPr>
          <w:rFonts w:eastAsiaTheme="minorHAnsi"/>
          <w:lang w:eastAsia="en-US"/>
        </w:rPr>
        <w:t xml:space="preserve"> 31 </w:t>
      </w:r>
      <w:r>
        <w:rPr>
          <w:rFonts w:eastAsiaTheme="minorHAnsi"/>
          <w:lang w:eastAsia="en-US"/>
        </w:rPr>
        <w:t>December</w:t>
      </w:r>
      <w:r w:rsidRPr="006403F5">
        <w:rPr>
          <w:rFonts w:eastAsiaTheme="minorHAnsi"/>
          <w:lang w:eastAsia="en-US"/>
        </w:rPr>
        <w:t xml:space="preserve"> 2026</w:t>
      </w:r>
      <w:r>
        <w:rPr>
          <w:rFonts w:eastAsiaTheme="minorHAnsi"/>
          <w:lang w:eastAsia="en-US"/>
        </w:rPr>
        <w:t>”</w:t>
      </w:r>
      <w:r w:rsidRPr="006403F5">
        <w:rPr>
          <w:rFonts w:eastAsiaTheme="minorHAnsi"/>
          <w:lang w:eastAsia="en-US"/>
        </w:rPr>
        <w:t xml:space="preserve">. </w:t>
      </w:r>
      <w:r>
        <w:t xml:space="preserve">After the entry </w:t>
      </w:r>
      <w:r w:rsidRPr="00E76AFA">
        <w:rPr>
          <w:rFonts w:eastAsiaTheme="minorHAnsi"/>
          <w:lang w:eastAsia="en-US"/>
        </w:rPr>
        <w:t>for</w:t>
      </w:r>
      <w:r w:rsidRPr="006403F5">
        <w:t xml:space="preserve"> </w:t>
      </w:r>
      <w:r>
        <w:t>“</w:t>
      </w:r>
      <w:r w:rsidRPr="006403F5">
        <w:rPr>
          <w:rFonts w:eastAsiaTheme="minorHAnsi"/>
          <w:lang w:eastAsia="en-US"/>
        </w:rPr>
        <w:t>ISO 9809-3:2010</w:t>
      </w:r>
      <w:r>
        <w:t>”</w:t>
      </w:r>
      <w:r w:rsidRPr="006403F5">
        <w:t xml:space="preserve">, </w:t>
      </w:r>
      <w:r>
        <w:t>add the following new entry:</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4820"/>
        <w:gridCol w:w="1275"/>
      </w:tblGrid>
      <w:tr w:rsidR="00CF309D" w:rsidRPr="006403F5" w14:paraId="2AE719A0" w14:textId="77777777" w:rsidTr="00784F4D">
        <w:tc>
          <w:tcPr>
            <w:tcW w:w="1544" w:type="dxa"/>
            <w:shd w:val="clear" w:color="auto" w:fill="auto"/>
          </w:tcPr>
          <w:p w14:paraId="4119199A" w14:textId="77777777" w:rsidR="00CF309D" w:rsidRPr="006403F5" w:rsidRDefault="00CF309D" w:rsidP="00784F4D">
            <w:pPr>
              <w:kinsoku/>
              <w:overflowPunct/>
              <w:autoSpaceDE/>
              <w:autoSpaceDN/>
              <w:adjustRightInd/>
              <w:snapToGrid/>
              <w:rPr>
                <w:lang w:eastAsia="en-US"/>
              </w:rPr>
            </w:pPr>
            <w:r w:rsidRPr="006403F5">
              <w:rPr>
                <w:lang w:eastAsia="en-US"/>
              </w:rPr>
              <w:t xml:space="preserve">ISO 9809-3:2019 </w:t>
            </w:r>
          </w:p>
        </w:tc>
        <w:tc>
          <w:tcPr>
            <w:tcW w:w="4820" w:type="dxa"/>
            <w:shd w:val="clear" w:color="auto" w:fill="auto"/>
          </w:tcPr>
          <w:p w14:paraId="7AF80182" w14:textId="77777777" w:rsidR="00CF309D" w:rsidRPr="006403F5" w:rsidRDefault="00CF309D" w:rsidP="00784F4D">
            <w:pPr>
              <w:kinsoku/>
              <w:overflowPunct/>
              <w:autoSpaceDE/>
              <w:autoSpaceDN/>
              <w:adjustRightInd/>
              <w:snapToGrid/>
              <w:jc w:val="both"/>
              <w:rPr>
                <w:lang w:eastAsia="en-US"/>
              </w:rPr>
            </w:pPr>
            <w:r w:rsidRPr="00D172EB">
              <w:rPr>
                <w:iCs/>
                <w:color w:val="000000"/>
                <w:lang w:eastAsia="en-US"/>
              </w:rPr>
              <w:t>Gas cylinders — Design, construction and testing of refillable seamless steel gas cylinders and tubes — Part 3: Normalized steel cylinders and tubes</w:t>
            </w:r>
          </w:p>
        </w:tc>
        <w:tc>
          <w:tcPr>
            <w:tcW w:w="1275" w:type="dxa"/>
            <w:shd w:val="clear" w:color="auto" w:fill="auto"/>
          </w:tcPr>
          <w:p w14:paraId="175ECCE5" w14:textId="77777777" w:rsidR="00CF309D" w:rsidRPr="006403F5" w:rsidRDefault="00CF309D" w:rsidP="00784F4D">
            <w:pPr>
              <w:kinsoku/>
              <w:overflowPunct/>
              <w:autoSpaceDE/>
              <w:autoSpaceDN/>
              <w:adjustRightInd/>
              <w:snapToGrid/>
              <w:rPr>
                <w:lang w:eastAsia="en-US"/>
              </w:rPr>
            </w:pPr>
            <w:r>
              <w:rPr>
                <w:rFonts w:eastAsiaTheme="minorHAnsi"/>
                <w:lang w:eastAsia="en-US"/>
              </w:rPr>
              <w:t>Until further notice</w:t>
            </w:r>
          </w:p>
        </w:tc>
      </w:tr>
    </w:tbl>
    <w:p w14:paraId="7ECEDDF2" w14:textId="77777777" w:rsidR="00CF309D" w:rsidRPr="00101547" w:rsidRDefault="00CF309D" w:rsidP="00CF309D">
      <w:pPr>
        <w:pStyle w:val="SingleTxtG"/>
        <w:spacing w:before="120"/>
        <w:rPr>
          <w:i/>
          <w:iCs/>
        </w:rPr>
      </w:pPr>
      <w:r w:rsidRPr="00101547">
        <w:rPr>
          <w:i/>
          <w:iCs/>
        </w:rPr>
        <w:t xml:space="preserve">(Reference document: informal document </w:t>
      </w:r>
      <w:r>
        <w:rPr>
          <w:i/>
          <w:iCs/>
        </w:rPr>
        <w:t>INF.57</w:t>
      </w:r>
      <w:r w:rsidRPr="00101547">
        <w:rPr>
          <w:i/>
          <w:iCs/>
        </w:rPr>
        <w:t>, proposal</w:t>
      </w:r>
      <w:r>
        <w:rPr>
          <w:i/>
          <w:iCs/>
        </w:rPr>
        <w:t>s</w:t>
      </w:r>
      <w:r w:rsidRPr="00101547">
        <w:rPr>
          <w:i/>
          <w:iCs/>
        </w:rPr>
        <w:t xml:space="preserve"> </w:t>
      </w:r>
      <w:r>
        <w:rPr>
          <w:i/>
          <w:iCs/>
        </w:rPr>
        <w:t>1 and 3</w:t>
      </w:r>
      <w:r w:rsidRPr="00101547">
        <w:rPr>
          <w:i/>
          <w:iCs/>
        </w:rPr>
        <w:t>)</w:t>
      </w:r>
    </w:p>
    <w:p w14:paraId="61259069" w14:textId="77777777" w:rsidR="00CF309D" w:rsidRPr="006403F5" w:rsidRDefault="00CF309D" w:rsidP="00CF309D">
      <w:pPr>
        <w:tabs>
          <w:tab w:val="left" w:pos="2268"/>
        </w:tabs>
        <w:kinsoku/>
        <w:overflowPunct/>
        <w:autoSpaceDE/>
        <w:autoSpaceDN/>
        <w:adjustRightInd/>
        <w:snapToGrid/>
        <w:spacing w:after="120"/>
        <w:ind w:left="2268" w:right="1134" w:hanging="1134"/>
        <w:jc w:val="both"/>
      </w:pPr>
      <w:r w:rsidRPr="006403F5">
        <w:rPr>
          <w:lang w:eastAsia="en-US"/>
        </w:rPr>
        <w:t>6.2.2.1.4</w:t>
      </w:r>
      <w:r w:rsidRPr="006403F5">
        <w:rPr>
          <w:lang w:eastAsia="en-US"/>
        </w:rPr>
        <w:tab/>
      </w:r>
      <w:r>
        <w:rPr>
          <w:rFonts w:eastAsiaTheme="minorHAnsi"/>
          <w:lang w:eastAsia="en-US"/>
        </w:rPr>
        <w:t>In the table, for</w:t>
      </w:r>
      <w:r w:rsidRPr="006403F5">
        <w:rPr>
          <w:rFonts w:eastAsiaTheme="minorHAnsi"/>
          <w:lang w:eastAsia="en-US"/>
        </w:rPr>
        <w:t xml:space="preserve"> </w:t>
      </w:r>
      <w:r>
        <w:rPr>
          <w:rFonts w:eastAsiaTheme="minorHAnsi"/>
          <w:lang w:eastAsia="en-US"/>
        </w:rPr>
        <w:t>“</w:t>
      </w:r>
      <w:r w:rsidRPr="006403F5">
        <w:rPr>
          <w:rFonts w:eastAsiaTheme="minorHAnsi"/>
          <w:lang w:eastAsia="en-US"/>
        </w:rPr>
        <w:t>ISO 21029-1:2004</w:t>
      </w:r>
      <w:r>
        <w:rPr>
          <w:rFonts w:eastAsiaTheme="minorHAnsi"/>
          <w:lang w:eastAsia="en-US"/>
        </w:rPr>
        <w:t>”</w:t>
      </w:r>
      <w:r w:rsidRPr="006403F5">
        <w:rPr>
          <w:rFonts w:eastAsiaTheme="minorHAnsi"/>
          <w:lang w:eastAsia="en-US"/>
        </w:rPr>
        <w:t xml:space="preserve">, </w:t>
      </w:r>
      <w:r>
        <w:rPr>
          <w:rFonts w:eastAsiaTheme="minorHAnsi"/>
          <w:lang w:eastAsia="en-US"/>
        </w:rPr>
        <w:t>in column</w:t>
      </w:r>
      <w:r w:rsidRPr="006403F5">
        <w:rPr>
          <w:rFonts w:eastAsiaTheme="minorHAnsi"/>
          <w:lang w:eastAsia="en-US"/>
        </w:rPr>
        <w:t xml:space="preserve"> </w:t>
      </w:r>
      <w:r>
        <w:rPr>
          <w:rFonts w:eastAsiaTheme="minorHAnsi"/>
          <w:lang w:eastAsia="en-US"/>
        </w:rPr>
        <w:t>“Applicable for manufacture”</w:t>
      </w:r>
      <w:r w:rsidRPr="006403F5">
        <w:rPr>
          <w:rFonts w:eastAsiaTheme="minorHAnsi"/>
          <w:lang w:eastAsia="en-US"/>
        </w:rPr>
        <w:t xml:space="preserve">, </w:t>
      </w:r>
      <w:r>
        <w:rPr>
          <w:rFonts w:eastAsiaTheme="minorHAnsi"/>
          <w:lang w:eastAsia="en-US"/>
        </w:rPr>
        <w:t>replace</w:t>
      </w:r>
      <w:r w:rsidRPr="006403F5">
        <w:rPr>
          <w:rFonts w:eastAsiaTheme="minorHAnsi"/>
          <w:lang w:eastAsia="en-US"/>
        </w:rPr>
        <w:t xml:space="preserve"> </w:t>
      </w:r>
      <w:r>
        <w:rPr>
          <w:rFonts w:eastAsiaTheme="minorHAnsi"/>
          <w:lang w:eastAsia="en-US"/>
        </w:rPr>
        <w:t xml:space="preserve">“Until further </w:t>
      </w:r>
      <w:r w:rsidRPr="00C41B8F">
        <w:t>notice</w:t>
      </w:r>
      <w:r>
        <w:rPr>
          <w:rFonts w:eastAsiaTheme="minorHAnsi"/>
          <w:lang w:eastAsia="en-US"/>
        </w:rPr>
        <w:t>” by “Until</w:t>
      </w:r>
      <w:r w:rsidRPr="006403F5">
        <w:rPr>
          <w:rFonts w:eastAsiaTheme="minorHAnsi"/>
          <w:lang w:eastAsia="en-US"/>
        </w:rPr>
        <w:t xml:space="preserve"> 31 </w:t>
      </w:r>
      <w:r>
        <w:rPr>
          <w:rFonts w:eastAsiaTheme="minorHAnsi"/>
          <w:lang w:eastAsia="en-US"/>
        </w:rPr>
        <w:t>December</w:t>
      </w:r>
      <w:r w:rsidRPr="006403F5">
        <w:rPr>
          <w:rFonts w:eastAsiaTheme="minorHAnsi"/>
          <w:lang w:eastAsia="en-US"/>
        </w:rPr>
        <w:t xml:space="preserve"> 2026</w:t>
      </w:r>
      <w:r>
        <w:rPr>
          <w:rFonts w:eastAsiaTheme="minorHAnsi"/>
          <w:lang w:eastAsia="en-US"/>
        </w:rPr>
        <w:t>”</w:t>
      </w:r>
      <w:r w:rsidRPr="006403F5">
        <w:rPr>
          <w:rFonts w:eastAsiaTheme="minorHAnsi"/>
          <w:lang w:eastAsia="en-US"/>
        </w:rPr>
        <w:t xml:space="preserve">. </w:t>
      </w:r>
      <w:r>
        <w:t>After the entry for</w:t>
      </w:r>
      <w:r w:rsidRPr="006403F5">
        <w:t xml:space="preserve"> </w:t>
      </w:r>
      <w:r>
        <w:t>“</w:t>
      </w:r>
      <w:r w:rsidRPr="006403F5">
        <w:rPr>
          <w:rFonts w:eastAsiaTheme="minorHAnsi"/>
          <w:lang w:eastAsia="en-US"/>
        </w:rPr>
        <w:t>ISO 21029-1:2004</w:t>
      </w:r>
      <w:r>
        <w:t>”</w:t>
      </w:r>
      <w:r w:rsidRPr="006403F5">
        <w:t xml:space="preserve">, </w:t>
      </w:r>
      <w:r>
        <w:t>add the following new entry:</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4820"/>
        <w:gridCol w:w="1275"/>
      </w:tblGrid>
      <w:tr w:rsidR="00CF309D" w:rsidRPr="006403F5" w14:paraId="357AAA5F" w14:textId="77777777" w:rsidTr="00784F4D">
        <w:tc>
          <w:tcPr>
            <w:tcW w:w="1544" w:type="dxa"/>
            <w:shd w:val="clear" w:color="auto" w:fill="auto"/>
          </w:tcPr>
          <w:p w14:paraId="792203F4" w14:textId="77777777" w:rsidR="00CF309D" w:rsidRPr="006403F5" w:rsidRDefault="00CF309D" w:rsidP="00784F4D">
            <w:pPr>
              <w:kinsoku/>
              <w:overflowPunct/>
              <w:autoSpaceDE/>
              <w:autoSpaceDN/>
              <w:adjustRightInd/>
              <w:snapToGrid/>
              <w:rPr>
                <w:lang w:eastAsia="en-US"/>
              </w:rPr>
            </w:pPr>
            <w:r w:rsidRPr="006403F5">
              <w:rPr>
                <w:lang w:eastAsia="en-US"/>
              </w:rPr>
              <w:t>ISO 21029-1:2018 + Amd.1:2019</w:t>
            </w:r>
          </w:p>
        </w:tc>
        <w:tc>
          <w:tcPr>
            <w:tcW w:w="4820" w:type="dxa"/>
            <w:shd w:val="clear" w:color="auto" w:fill="auto"/>
          </w:tcPr>
          <w:p w14:paraId="28FE927D" w14:textId="77777777" w:rsidR="00CF309D" w:rsidRPr="006403F5" w:rsidRDefault="00CF309D" w:rsidP="00784F4D">
            <w:pPr>
              <w:kinsoku/>
              <w:overflowPunct/>
              <w:autoSpaceDE/>
              <w:autoSpaceDN/>
              <w:adjustRightInd/>
              <w:snapToGrid/>
              <w:jc w:val="both"/>
              <w:rPr>
                <w:lang w:eastAsia="en-US"/>
              </w:rPr>
            </w:pPr>
            <w:r w:rsidRPr="00E35625">
              <w:rPr>
                <w:iCs/>
                <w:color w:val="000000"/>
                <w:lang w:eastAsia="en-US"/>
              </w:rPr>
              <w:t>Cryogenic vessels – Transportable vacuum insulated vessels of not more than 1 000 litres volume – Part 1: Design, fabrication, inspection and tests</w:t>
            </w:r>
          </w:p>
        </w:tc>
        <w:tc>
          <w:tcPr>
            <w:tcW w:w="1275" w:type="dxa"/>
            <w:shd w:val="clear" w:color="auto" w:fill="auto"/>
          </w:tcPr>
          <w:p w14:paraId="4946A026" w14:textId="77777777" w:rsidR="00CF309D" w:rsidRPr="006403F5" w:rsidRDefault="00CF309D" w:rsidP="00784F4D">
            <w:pPr>
              <w:kinsoku/>
              <w:overflowPunct/>
              <w:autoSpaceDE/>
              <w:autoSpaceDN/>
              <w:adjustRightInd/>
              <w:snapToGrid/>
              <w:rPr>
                <w:lang w:eastAsia="en-US"/>
              </w:rPr>
            </w:pPr>
            <w:r>
              <w:rPr>
                <w:rFonts w:eastAsiaTheme="minorHAnsi"/>
                <w:lang w:eastAsia="en-US"/>
              </w:rPr>
              <w:t>Until further notice</w:t>
            </w:r>
          </w:p>
        </w:tc>
      </w:tr>
    </w:tbl>
    <w:p w14:paraId="3DE6CCD0" w14:textId="77777777" w:rsidR="00CF309D" w:rsidRPr="00101547" w:rsidRDefault="00CF309D" w:rsidP="00CF309D">
      <w:pPr>
        <w:pStyle w:val="SingleTxtG"/>
        <w:spacing w:before="120"/>
        <w:rPr>
          <w:i/>
          <w:iCs/>
        </w:rPr>
      </w:pPr>
      <w:r w:rsidRPr="00101547">
        <w:rPr>
          <w:i/>
          <w:iCs/>
        </w:rPr>
        <w:t xml:space="preserve">(Reference document: informal document </w:t>
      </w:r>
      <w:r>
        <w:rPr>
          <w:i/>
          <w:iCs/>
        </w:rPr>
        <w:t>INF.57</w:t>
      </w:r>
      <w:r w:rsidRPr="00101547">
        <w:rPr>
          <w:i/>
          <w:iCs/>
        </w:rPr>
        <w:t>, proposal</w:t>
      </w:r>
      <w:r>
        <w:rPr>
          <w:i/>
          <w:iCs/>
        </w:rPr>
        <w:t xml:space="preserve"> 4</w:t>
      </w:r>
      <w:r w:rsidRPr="00101547">
        <w:rPr>
          <w:i/>
          <w:iCs/>
        </w:rPr>
        <w:t>)</w:t>
      </w:r>
    </w:p>
    <w:p w14:paraId="5A4C1A48" w14:textId="77777777" w:rsidR="00CF309D" w:rsidRPr="006403F5" w:rsidRDefault="00CF309D" w:rsidP="00CF309D">
      <w:pPr>
        <w:tabs>
          <w:tab w:val="left" w:pos="2268"/>
        </w:tabs>
        <w:kinsoku/>
        <w:overflowPunct/>
        <w:autoSpaceDE/>
        <w:autoSpaceDN/>
        <w:adjustRightInd/>
        <w:snapToGrid/>
        <w:spacing w:after="120"/>
        <w:ind w:left="2268" w:right="1134" w:hanging="1134"/>
        <w:jc w:val="both"/>
      </w:pPr>
      <w:r w:rsidRPr="006403F5">
        <w:rPr>
          <w:lang w:eastAsia="en-US"/>
        </w:rPr>
        <w:t>6.2.2.1.5</w:t>
      </w:r>
      <w:r w:rsidRPr="006403F5">
        <w:rPr>
          <w:lang w:eastAsia="en-US"/>
        </w:rPr>
        <w:tab/>
      </w:r>
      <w:r>
        <w:rPr>
          <w:rFonts w:eastAsiaTheme="minorHAnsi"/>
          <w:lang w:eastAsia="en-US"/>
        </w:rPr>
        <w:t xml:space="preserve">In the table, </w:t>
      </w:r>
      <w:r w:rsidRPr="00C41B8F">
        <w:t>for</w:t>
      </w:r>
      <w:r w:rsidRPr="006403F5">
        <w:rPr>
          <w:rFonts w:eastAsiaTheme="minorHAnsi"/>
          <w:lang w:eastAsia="en-US"/>
        </w:rPr>
        <w:t xml:space="preserve"> </w:t>
      </w:r>
      <w:r>
        <w:rPr>
          <w:rFonts w:eastAsiaTheme="minorHAnsi"/>
          <w:lang w:eastAsia="en-US"/>
        </w:rPr>
        <w:t>“</w:t>
      </w:r>
      <w:r w:rsidRPr="006403F5">
        <w:rPr>
          <w:rFonts w:eastAsiaTheme="minorHAnsi"/>
          <w:lang w:eastAsia="en-US"/>
        </w:rPr>
        <w:t>ISO 16111:2008</w:t>
      </w:r>
      <w:r>
        <w:rPr>
          <w:rFonts w:eastAsiaTheme="minorHAnsi"/>
          <w:lang w:eastAsia="en-US"/>
        </w:rPr>
        <w:t>”</w:t>
      </w:r>
      <w:r w:rsidRPr="006403F5">
        <w:rPr>
          <w:rFonts w:eastAsiaTheme="minorHAnsi"/>
          <w:lang w:eastAsia="en-US"/>
        </w:rPr>
        <w:t xml:space="preserve">, </w:t>
      </w:r>
      <w:r>
        <w:rPr>
          <w:rFonts w:eastAsiaTheme="minorHAnsi"/>
          <w:lang w:eastAsia="en-US"/>
        </w:rPr>
        <w:t>in column</w:t>
      </w:r>
      <w:r w:rsidRPr="006403F5">
        <w:rPr>
          <w:rFonts w:eastAsiaTheme="minorHAnsi"/>
          <w:lang w:eastAsia="en-US"/>
        </w:rPr>
        <w:t xml:space="preserve"> </w:t>
      </w:r>
      <w:r>
        <w:rPr>
          <w:rFonts w:eastAsiaTheme="minorHAnsi"/>
          <w:lang w:eastAsia="en-US"/>
        </w:rPr>
        <w:t>“Applicable for manufacture”</w:t>
      </w:r>
      <w:r w:rsidRPr="006403F5">
        <w:rPr>
          <w:rFonts w:eastAsiaTheme="minorHAnsi"/>
          <w:lang w:eastAsia="en-US"/>
        </w:rPr>
        <w:t xml:space="preserve">, </w:t>
      </w:r>
      <w:r>
        <w:rPr>
          <w:rFonts w:eastAsiaTheme="minorHAnsi"/>
          <w:lang w:eastAsia="en-US"/>
        </w:rPr>
        <w:t>replace</w:t>
      </w:r>
      <w:r w:rsidRPr="006403F5">
        <w:rPr>
          <w:rFonts w:eastAsiaTheme="minorHAnsi"/>
          <w:lang w:eastAsia="en-US"/>
        </w:rPr>
        <w:t xml:space="preserve"> </w:t>
      </w:r>
      <w:r>
        <w:rPr>
          <w:rFonts w:eastAsiaTheme="minorHAnsi"/>
          <w:lang w:eastAsia="en-US"/>
        </w:rPr>
        <w:t>“Until further notice” by “Until</w:t>
      </w:r>
      <w:r w:rsidRPr="006403F5">
        <w:rPr>
          <w:rFonts w:eastAsiaTheme="minorHAnsi"/>
          <w:lang w:eastAsia="en-US"/>
        </w:rPr>
        <w:t xml:space="preserve"> 31 </w:t>
      </w:r>
      <w:r>
        <w:rPr>
          <w:rFonts w:eastAsiaTheme="minorHAnsi"/>
          <w:lang w:eastAsia="en-US"/>
        </w:rPr>
        <w:t>December</w:t>
      </w:r>
      <w:r w:rsidRPr="006403F5">
        <w:rPr>
          <w:rFonts w:eastAsiaTheme="minorHAnsi"/>
          <w:lang w:eastAsia="en-US"/>
        </w:rPr>
        <w:t xml:space="preserve"> 2026</w:t>
      </w:r>
      <w:r>
        <w:rPr>
          <w:rFonts w:eastAsiaTheme="minorHAnsi"/>
          <w:lang w:eastAsia="en-US"/>
        </w:rPr>
        <w:t>”</w:t>
      </w:r>
      <w:r w:rsidRPr="006403F5">
        <w:rPr>
          <w:rFonts w:eastAsiaTheme="minorHAnsi"/>
          <w:lang w:eastAsia="en-US"/>
        </w:rPr>
        <w:t xml:space="preserve">. </w:t>
      </w:r>
      <w:r>
        <w:t>After the entry for</w:t>
      </w:r>
      <w:r w:rsidRPr="006403F5">
        <w:t xml:space="preserve"> </w:t>
      </w:r>
      <w:r>
        <w:t>“</w:t>
      </w:r>
      <w:r w:rsidRPr="006403F5">
        <w:rPr>
          <w:rFonts w:eastAsiaTheme="minorHAnsi"/>
          <w:lang w:eastAsia="en-US"/>
        </w:rPr>
        <w:t>ISO 16111:2008</w:t>
      </w:r>
      <w:r>
        <w:t>”</w:t>
      </w:r>
      <w:r w:rsidRPr="006403F5">
        <w:t xml:space="preserve">, </w:t>
      </w:r>
      <w:r>
        <w:t>add the following new entry:</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4820"/>
        <w:gridCol w:w="1275"/>
      </w:tblGrid>
      <w:tr w:rsidR="00CF309D" w:rsidRPr="006403F5" w14:paraId="0C9C18D0" w14:textId="77777777" w:rsidTr="00784F4D">
        <w:tc>
          <w:tcPr>
            <w:tcW w:w="1544" w:type="dxa"/>
            <w:shd w:val="clear" w:color="auto" w:fill="auto"/>
          </w:tcPr>
          <w:p w14:paraId="34992A60" w14:textId="77777777" w:rsidR="00CF309D" w:rsidRPr="006403F5" w:rsidRDefault="00CF309D" w:rsidP="00784F4D">
            <w:pPr>
              <w:kinsoku/>
              <w:overflowPunct/>
              <w:autoSpaceDE/>
              <w:autoSpaceDN/>
              <w:adjustRightInd/>
              <w:snapToGrid/>
              <w:rPr>
                <w:lang w:eastAsia="en-US"/>
              </w:rPr>
            </w:pPr>
            <w:r w:rsidRPr="006403F5">
              <w:rPr>
                <w:lang w:eastAsia="en-US"/>
              </w:rPr>
              <w:t>ISO 16111:2018</w:t>
            </w:r>
          </w:p>
        </w:tc>
        <w:tc>
          <w:tcPr>
            <w:tcW w:w="4820" w:type="dxa"/>
            <w:shd w:val="clear" w:color="auto" w:fill="auto"/>
          </w:tcPr>
          <w:p w14:paraId="72FB8621" w14:textId="77777777" w:rsidR="00CF309D" w:rsidRPr="006403F5" w:rsidRDefault="00CF309D" w:rsidP="00784F4D">
            <w:pPr>
              <w:kinsoku/>
              <w:overflowPunct/>
              <w:autoSpaceDE/>
              <w:autoSpaceDN/>
              <w:adjustRightInd/>
              <w:snapToGrid/>
              <w:jc w:val="both"/>
              <w:rPr>
                <w:lang w:eastAsia="en-US"/>
              </w:rPr>
            </w:pPr>
            <w:r w:rsidRPr="00C232BB">
              <w:rPr>
                <w:iCs/>
                <w:color w:val="000000"/>
              </w:rPr>
              <w:t>Transportable gas storage devices – Hydrogen absorbed in reversible metal hydride</w:t>
            </w:r>
          </w:p>
        </w:tc>
        <w:tc>
          <w:tcPr>
            <w:tcW w:w="1275" w:type="dxa"/>
            <w:shd w:val="clear" w:color="auto" w:fill="auto"/>
          </w:tcPr>
          <w:p w14:paraId="3655975A" w14:textId="77777777" w:rsidR="00CF309D" w:rsidRPr="006403F5" w:rsidRDefault="00CF309D" w:rsidP="00784F4D">
            <w:pPr>
              <w:kinsoku/>
              <w:overflowPunct/>
              <w:autoSpaceDE/>
              <w:autoSpaceDN/>
              <w:adjustRightInd/>
              <w:snapToGrid/>
              <w:rPr>
                <w:lang w:eastAsia="en-US"/>
              </w:rPr>
            </w:pPr>
            <w:r>
              <w:rPr>
                <w:rFonts w:eastAsiaTheme="minorHAnsi"/>
                <w:lang w:eastAsia="en-US"/>
              </w:rPr>
              <w:t>Until further notice</w:t>
            </w:r>
          </w:p>
        </w:tc>
      </w:tr>
    </w:tbl>
    <w:p w14:paraId="5B70911E" w14:textId="77777777" w:rsidR="00CF309D" w:rsidRPr="00101547" w:rsidRDefault="00CF309D" w:rsidP="00CF309D">
      <w:pPr>
        <w:pStyle w:val="SingleTxtG"/>
        <w:spacing w:before="120"/>
        <w:rPr>
          <w:i/>
          <w:iCs/>
        </w:rPr>
      </w:pPr>
      <w:r w:rsidRPr="00101547">
        <w:rPr>
          <w:i/>
          <w:iCs/>
        </w:rPr>
        <w:t xml:space="preserve">(Reference document: informal document </w:t>
      </w:r>
      <w:r>
        <w:rPr>
          <w:i/>
          <w:iCs/>
        </w:rPr>
        <w:t>INF.57</w:t>
      </w:r>
      <w:r w:rsidRPr="00101547">
        <w:rPr>
          <w:i/>
          <w:iCs/>
        </w:rPr>
        <w:t>, proposal</w:t>
      </w:r>
      <w:r>
        <w:rPr>
          <w:i/>
          <w:iCs/>
        </w:rPr>
        <w:t xml:space="preserve"> 5</w:t>
      </w:r>
      <w:r w:rsidRPr="00101547">
        <w:rPr>
          <w:i/>
          <w:iCs/>
        </w:rPr>
        <w:t>)</w:t>
      </w:r>
    </w:p>
    <w:p w14:paraId="087C1686" w14:textId="77777777" w:rsidR="00CF309D" w:rsidRPr="006403F5" w:rsidRDefault="00CF309D" w:rsidP="00CF309D">
      <w:pPr>
        <w:tabs>
          <w:tab w:val="left" w:pos="2268"/>
        </w:tabs>
        <w:kinsoku/>
        <w:overflowPunct/>
        <w:autoSpaceDE/>
        <w:autoSpaceDN/>
        <w:adjustRightInd/>
        <w:snapToGrid/>
        <w:spacing w:after="120"/>
        <w:ind w:left="2268" w:right="1134" w:hanging="1134"/>
        <w:jc w:val="both"/>
      </w:pPr>
      <w:r w:rsidRPr="006403F5">
        <w:rPr>
          <w:lang w:eastAsia="en-US"/>
        </w:rPr>
        <w:t>6.2.2.1.6</w:t>
      </w:r>
      <w:r w:rsidRPr="006403F5">
        <w:rPr>
          <w:lang w:eastAsia="en-US"/>
        </w:rPr>
        <w:tab/>
      </w:r>
      <w:r>
        <w:rPr>
          <w:rFonts w:eastAsiaTheme="minorHAnsi"/>
          <w:lang w:eastAsia="en-US"/>
        </w:rPr>
        <w:t>In the table, for</w:t>
      </w:r>
      <w:r w:rsidRPr="006403F5">
        <w:rPr>
          <w:rFonts w:eastAsiaTheme="minorHAnsi"/>
          <w:lang w:eastAsia="en-US"/>
        </w:rPr>
        <w:t xml:space="preserve"> </w:t>
      </w:r>
      <w:r>
        <w:rPr>
          <w:rFonts w:eastAsiaTheme="minorHAnsi"/>
          <w:lang w:eastAsia="en-US"/>
        </w:rPr>
        <w:t>“</w:t>
      </w:r>
      <w:r w:rsidRPr="006403F5">
        <w:rPr>
          <w:rFonts w:eastAsiaTheme="minorHAnsi"/>
          <w:lang w:eastAsia="en-US"/>
        </w:rPr>
        <w:t>ISO 10961:2010</w:t>
      </w:r>
      <w:r>
        <w:rPr>
          <w:rFonts w:eastAsiaTheme="minorHAnsi"/>
          <w:lang w:eastAsia="en-US"/>
        </w:rPr>
        <w:t>”</w:t>
      </w:r>
      <w:r w:rsidRPr="006403F5">
        <w:rPr>
          <w:rFonts w:eastAsiaTheme="minorHAnsi"/>
          <w:lang w:eastAsia="en-US"/>
        </w:rPr>
        <w:t xml:space="preserve">, </w:t>
      </w:r>
      <w:r>
        <w:rPr>
          <w:rFonts w:eastAsiaTheme="minorHAnsi"/>
          <w:lang w:eastAsia="en-US"/>
        </w:rPr>
        <w:t>in column</w:t>
      </w:r>
      <w:r w:rsidRPr="006403F5">
        <w:rPr>
          <w:rFonts w:eastAsiaTheme="minorHAnsi"/>
          <w:lang w:eastAsia="en-US"/>
        </w:rPr>
        <w:t xml:space="preserve"> </w:t>
      </w:r>
      <w:r>
        <w:rPr>
          <w:rFonts w:eastAsiaTheme="minorHAnsi"/>
          <w:lang w:eastAsia="en-US"/>
        </w:rPr>
        <w:t>“Applicable for manufacture”</w:t>
      </w:r>
      <w:r w:rsidRPr="006403F5">
        <w:rPr>
          <w:rFonts w:eastAsiaTheme="minorHAnsi"/>
          <w:lang w:eastAsia="en-US"/>
        </w:rPr>
        <w:t xml:space="preserve">, </w:t>
      </w:r>
      <w:r>
        <w:rPr>
          <w:rFonts w:eastAsiaTheme="minorHAnsi"/>
          <w:lang w:eastAsia="en-US"/>
        </w:rPr>
        <w:t>replace</w:t>
      </w:r>
      <w:r w:rsidRPr="006403F5">
        <w:rPr>
          <w:rFonts w:eastAsiaTheme="minorHAnsi"/>
          <w:lang w:eastAsia="en-US"/>
        </w:rPr>
        <w:t xml:space="preserve"> </w:t>
      </w:r>
      <w:r>
        <w:rPr>
          <w:rFonts w:eastAsiaTheme="minorHAnsi"/>
          <w:lang w:eastAsia="en-US"/>
        </w:rPr>
        <w:t>“Until further notice” by “Until</w:t>
      </w:r>
      <w:r w:rsidRPr="006403F5">
        <w:rPr>
          <w:rFonts w:eastAsiaTheme="minorHAnsi"/>
          <w:lang w:eastAsia="en-US"/>
        </w:rPr>
        <w:t xml:space="preserve"> 31 </w:t>
      </w:r>
      <w:r>
        <w:rPr>
          <w:rFonts w:eastAsiaTheme="minorHAnsi"/>
          <w:lang w:eastAsia="en-US"/>
        </w:rPr>
        <w:t>December</w:t>
      </w:r>
      <w:r w:rsidRPr="006403F5">
        <w:rPr>
          <w:rFonts w:eastAsiaTheme="minorHAnsi"/>
          <w:lang w:eastAsia="en-US"/>
        </w:rPr>
        <w:t xml:space="preserve"> 2026</w:t>
      </w:r>
      <w:r>
        <w:rPr>
          <w:rFonts w:eastAsiaTheme="minorHAnsi"/>
          <w:lang w:eastAsia="en-US"/>
        </w:rPr>
        <w:t>”</w:t>
      </w:r>
      <w:r w:rsidRPr="006403F5">
        <w:rPr>
          <w:rFonts w:eastAsiaTheme="minorHAnsi"/>
          <w:lang w:eastAsia="en-US"/>
        </w:rPr>
        <w:t xml:space="preserve">. </w:t>
      </w:r>
      <w:r>
        <w:t>After the entry for</w:t>
      </w:r>
      <w:r w:rsidRPr="006403F5">
        <w:t xml:space="preserve"> </w:t>
      </w:r>
      <w:r>
        <w:t>“</w:t>
      </w:r>
      <w:r w:rsidRPr="006403F5">
        <w:rPr>
          <w:rFonts w:eastAsiaTheme="minorHAnsi"/>
          <w:lang w:eastAsia="en-US"/>
        </w:rPr>
        <w:t>ISO 10961:2010</w:t>
      </w:r>
      <w:r>
        <w:t>”</w:t>
      </w:r>
      <w:r w:rsidRPr="006403F5">
        <w:t xml:space="preserve">, </w:t>
      </w:r>
      <w:r>
        <w:t>add the following new entry:</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4820"/>
        <w:gridCol w:w="1275"/>
      </w:tblGrid>
      <w:tr w:rsidR="00CF309D" w:rsidRPr="006403F5" w14:paraId="0EC07BA8" w14:textId="77777777" w:rsidTr="00784F4D">
        <w:tc>
          <w:tcPr>
            <w:tcW w:w="1544" w:type="dxa"/>
            <w:shd w:val="clear" w:color="auto" w:fill="auto"/>
          </w:tcPr>
          <w:p w14:paraId="1B78D85E" w14:textId="77777777" w:rsidR="00CF309D" w:rsidRPr="00DA2CDB" w:rsidRDefault="00CF309D" w:rsidP="00784F4D">
            <w:pPr>
              <w:kinsoku/>
              <w:overflowPunct/>
              <w:autoSpaceDE/>
              <w:autoSpaceDN/>
              <w:adjustRightInd/>
              <w:snapToGrid/>
              <w:rPr>
                <w:lang w:eastAsia="en-US"/>
              </w:rPr>
            </w:pPr>
            <w:r w:rsidRPr="00DA2CDB">
              <w:rPr>
                <w:lang w:eastAsia="en-US"/>
              </w:rPr>
              <w:t>ISO 10961:2019</w:t>
            </w:r>
          </w:p>
        </w:tc>
        <w:tc>
          <w:tcPr>
            <w:tcW w:w="4820" w:type="dxa"/>
            <w:shd w:val="clear" w:color="auto" w:fill="auto"/>
          </w:tcPr>
          <w:p w14:paraId="06113EC8" w14:textId="77777777" w:rsidR="00CF309D" w:rsidRPr="00DA2CDB" w:rsidRDefault="00CF309D" w:rsidP="00784F4D">
            <w:pPr>
              <w:kinsoku/>
              <w:overflowPunct/>
              <w:autoSpaceDE/>
              <w:autoSpaceDN/>
              <w:adjustRightInd/>
              <w:snapToGrid/>
              <w:jc w:val="both"/>
              <w:rPr>
                <w:lang w:eastAsia="en-US"/>
              </w:rPr>
            </w:pPr>
            <w:r w:rsidRPr="00DA2CDB">
              <w:rPr>
                <w:iCs/>
                <w:color w:val="000000"/>
              </w:rPr>
              <w:t>Gas cylinders – Cylinder bundles – Design, manufacture, testing and inspection</w:t>
            </w:r>
          </w:p>
        </w:tc>
        <w:tc>
          <w:tcPr>
            <w:tcW w:w="1275" w:type="dxa"/>
            <w:shd w:val="clear" w:color="auto" w:fill="auto"/>
          </w:tcPr>
          <w:p w14:paraId="5EA22DB6" w14:textId="77777777" w:rsidR="00CF309D" w:rsidRPr="006403F5" w:rsidRDefault="00CF309D" w:rsidP="00784F4D">
            <w:pPr>
              <w:kinsoku/>
              <w:overflowPunct/>
              <w:autoSpaceDE/>
              <w:autoSpaceDN/>
              <w:adjustRightInd/>
              <w:snapToGrid/>
              <w:rPr>
                <w:lang w:eastAsia="en-US"/>
              </w:rPr>
            </w:pPr>
            <w:r w:rsidRPr="00DA2CDB">
              <w:rPr>
                <w:rFonts w:eastAsiaTheme="minorHAnsi"/>
                <w:lang w:eastAsia="en-US"/>
              </w:rPr>
              <w:t>Until further notice</w:t>
            </w:r>
          </w:p>
        </w:tc>
      </w:tr>
    </w:tbl>
    <w:p w14:paraId="09549C06" w14:textId="77777777" w:rsidR="00CF309D" w:rsidRPr="00101547" w:rsidRDefault="00CF309D" w:rsidP="00CF309D">
      <w:pPr>
        <w:pStyle w:val="SingleTxtG"/>
        <w:spacing w:before="120"/>
        <w:rPr>
          <w:i/>
          <w:iCs/>
        </w:rPr>
      </w:pPr>
      <w:r w:rsidRPr="00101547">
        <w:rPr>
          <w:i/>
          <w:iCs/>
        </w:rPr>
        <w:t xml:space="preserve">(Reference document: informal document </w:t>
      </w:r>
      <w:r>
        <w:rPr>
          <w:i/>
          <w:iCs/>
        </w:rPr>
        <w:t>INF.57</w:t>
      </w:r>
      <w:r w:rsidRPr="00101547">
        <w:rPr>
          <w:i/>
          <w:iCs/>
        </w:rPr>
        <w:t>, proposal</w:t>
      </w:r>
      <w:r>
        <w:rPr>
          <w:i/>
          <w:iCs/>
        </w:rPr>
        <w:t xml:space="preserve"> 6</w:t>
      </w:r>
      <w:r w:rsidRPr="00101547">
        <w:rPr>
          <w:i/>
          <w:iCs/>
        </w:rPr>
        <w:t>)</w:t>
      </w:r>
    </w:p>
    <w:p w14:paraId="0DF24A4E" w14:textId="77777777" w:rsidR="00CF309D" w:rsidRPr="006403F5" w:rsidRDefault="00CF309D" w:rsidP="00CF309D">
      <w:pPr>
        <w:tabs>
          <w:tab w:val="left" w:pos="2268"/>
        </w:tabs>
        <w:kinsoku/>
        <w:overflowPunct/>
        <w:autoSpaceDE/>
        <w:autoSpaceDN/>
        <w:adjustRightInd/>
        <w:snapToGrid/>
        <w:spacing w:after="120"/>
        <w:ind w:left="2268" w:right="1134" w:hanging="1134"/>
        <w:jc w:val="both"/>
      </w:pPr>
      <w:r w:rsidRPr="006403F5">
        <w:rPr>
          <w:lang w:eastAsia="en-US"/>
        </w:rPr>
        <w:lastRenderedPageBreak/>
        <w:t>6.2.2.1.7</w:t>
      </w:r>
      <w:r w:rsidRPr="006403F5">
        <w:rPr>
          <w:lang w:eastAsia="en-US"/>
        </w:rPr>
        <w:tab/>
      </w:r>
      <w:r>
        <w:rPr>
          <w:rFonts w:eastAsiaTheme="minorHAnsi"/>
          <w:lang w:eastAsia="en-US"/>
        </w:rPr>
        <w:t>In the table, for</w:t>
      </w:r>
      <w:r w:rsidRPr="006403F5">
        <w:rPr>
          <w:rFonts w:eastAsiaTheme="minorHAnsi"/>
          <w:lang w:eastAsia="en-US"/>
        </w:rPr>
        <w:t xml:space="preserve"> </w:t>
      </w:r>
      <w:r>
        <w:rPr>
          <w:rFonts w:eastAsiaTheme="minorHAnsi"/>
          <w:lang w:eastAsia="en-US"/>
        </w:rPr>
        <w:t>“</w:t>
      </w:r>
      <w:r w:rsidRPr="006403F5">
        <w:rPr>
          <w:rFonts w:eastAsiaTheme="minorHAnsi"/>
          <w:lang w:eastAsia="en-US"/>
        </w:rPr>
        <w:t>ISO 9809-1:2010</w:t>
      </w:r>
      <w:r>
        <w:rPr>
          <w:rFonts w:eastAsiaTheme="minorHAnsi"/>
          <w:lang w:eastAsia="en-US"/>
        </w:rPr>
        <w:t>”</w:t>
      </w:r>
      <w:r w:rsidRPr="006403F5">
        <w:rPr>
          <w:rFonts w:eastAsiaTheme="minorHAnsi"/>
          <w:lang w:eastAsia="en-US"/>
        </w:rPr>
        <w:t xml:space="preserve">, </w:t>
      </w:r>
      <w:r>
        <w:rPr>
          <w:rFonts w:eastAsiaTheme="minorHAnsi"/>
          <w:lang w:eastAsia="en-US"/>
        </w:rPr>
        <w:t>in column</w:t>
      </w:r>
      <w:r w:rsidRPr="006403F5">
        <w:rPr>
          <w:rFonts w:eastAsiaTheme="minorHAnsi"/>
          <w:lang w:eastAsia="en-US"/>
        </w:rPr>
        <w:t xml:space="preserve"> </w:t>
      </w:r>
      <w:r>
        <w:rPr>
          <w:rFonts w:eastAsiaTheme="minorHAnsi"/>
          <w:lang w:eastAsia="en-US"/>
        </w:rPr>
        <w:t>“Applicable for manufacture”</w:t>
      </w:r>
      <w:r w:rsidRPr="006403F5">
        <w:rPr>
          <w:rFonts w:eastAsiaTheme="minorHAnsi"/>
          <w:lang w:eastAsia="en-US"/>
        </w:rPr>
        <w:t xml:space="preserve">, </w:t>
      </w:r>
      <w:r>
        <w:rPr>
          <w:rFonts w:eastAsiaTheme="minorHAnsi"/>
          <w:lang w:eastAsia="en-US"/>
        </w:rPr>
        <w:t>replace</w:t>
      </w:r>
      <w:r w:rsidRPr="006403F5">
        <w:rPr>
          <w:rFonts w:eastAsiaTheme="minorHAnsi"/>
          <w:lang w:eastAsia="en-US"/>
        </w:rPr>
        <w:t xml:space="preserve"> </w:t>
      </w:r>
      <w:r>
        <w:rPr>
          <w:rFonts w:eastAsiaTheme="minorHAnsi"/>
          <w:lang w:eastAsia="en-US"/>
        </w:rPr>
        <w:t xml:space="preserve">“Until further </w:t>
      </w:r>
      <w:r w:rsidRPr="00C41B8F">
        <w:t>notice</w:t>
      </w:r>
      <w:r>
        <w:rPr>
          <w:rFonts w:eastAsiaTheme="minorHAnsi"/>
          <w:lang w:eastAsia="en-US"/>
        </w:rPr>
        <w:t>” by “Until</w:t>
      </w:r>
      <w:r w:rsidRPr="006403F5">
        <w:rPr>
          <w:rFonts w:eastAsiaTheme="minorHAnsi"/>
          <w:lang w:eastAsia="en-US"/>
        </w:rPr>
        <w:t xml:space="preserve"> 31 </w:t>
      </w:r>
      <w:r>
        <w:rPr>
          <w:rFonts w:eastAsiaTheme="minorHAnsi"/>
          <w:lang w:eastAsia="en-US"/>
        </w:rPr>
        <w:t>December</w:t>
      </w:r>
      <w:r w:rsidRPr="006403F5">
        <w:rPr>
          <w:rFonts w:eastAsiaTheme="minorHAnsi"/>
          <w:lang w:eastAsia="en-US"/>
        </w:rPr>
        <w:t xml:space="preserve"> 2026</w:t>
      </w:r>
      <w:r>
        <w:rPr>
          <w:rFonts w:eastAsiaTheme="minorHAnsi"/>
          <w:lang w:eastAsia="en-US"/>
        </w:rPr>
        <w:t>”</w:t>
      </w:r>
      <w:r w:rsidRPr="006403F5">
        <w:rPr>
          <w:rFonts w:eastAsiaTheme="minorHAnsi"/>
          <w:lang w:eastAsia="en-US"/>
        </w:rPr>
        <w:t xml:space="preserve">. </w:t>
      </w:r>
      <w:r>
        <w:t>After the entry for</w:t>
      </w:r>
      <w:r w:rsidRPr="006403F5">
        <w:t xml:space="preserve"> </w:t>
      </w:r>
      <w:r>
        <w:t>“</w:t>
      </w:r>
      <w:r w:rsidRPr="006403F5">
        <w:rPr>
          <w:rFonts w:eastAsiaTheme="minorHAnsi"/>
          <w:lang w:eastAsia="en-US"/>
        </w:rPr>
        <w:t>ISO 9809-1:2010</w:t>
      </w:r>
      <w:r>
        <w:t>”</w:t>
      </w:r>
      <w:r w:rsidRPr="006403F5">
        <w:t xml:space="preserve">, </w:t>
      </w:r>
      <w:r>
        <w:t>add the following new entry:</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4820"/>
        <w:gridCol w:w="1275"/>
      </w:tblGrid>
      <w:tr w:rsidR="00CF309D" w:rsidRPr="006403F5" w14:paraId="6119EDBB" w14:textId="77777777" w:rsidTr="00784F4D">
        <w:tc>
          <w:tcPr>
            <w:tcW w:w="1544" w:type="dxa"/>
            <w:shd w:val="clear" w:color="auto" w:fill="auto"/>
          </w:tcPr>
          <w:p w14:paraId="231947B0" w14:textId="77777777" w:rsidR="00CF309D" w:rsidRPr="006403F5" w:rsidRDefault="00CF309D" w:rsidP="00784F4D">
            <w:pPr>
              <w:kinsoku/>
              <w:overflowPunct/>
              <w:autoSpaceDE/>
              <w:autoSpaceDN/>
              <w:adjustRightInd/>
              <w:snapToGrid/>
              <w:rPr>
                <w:lang w:eastAsia="en-US"/>
              </w:rPr>
            </w:pPr>
            <w:r w:rsidRPr="006403F5">
              <w:rPr>
                <w:lang w:eastAsia="en-US"/>
              </w:rPr>
              <w:t xml:space="preserve">ISO 9809-1:2019 </w:t>
            </w:r>
          </w:p>
        </w:tc>
        <w:tc>
          <w:tcPr>
            <w:tcW w:w="4820" w:type="dxa"/>
            <w:shd w:val="clear" w:color="auto" w:fill="auto"/>
          </w:tcPr>
          <w:p w14:paraId="1BDFEB01" w14:textId="77777777" w:rsidR="00CF309D" w:rsidRPr="006403F5" w:rsidRDefault="00CF309D" w:rsidP="00784F4D">
            <w:pPr>
              <w:kinsoku/>
              <w:overflowPunct/>
              <w:autoSpaceDE/>
              <w:autoSpaceDN/>
              <w:adjustRightInd/>
              <w:snapToGrid/>
              <w:jc w:val="both"/>
              <w:rPr>
                <w:lang w:eastAsia="en-US"/>
              </w:rPr>
            </w:pPr>
            <w:r w:rsidRPr="00C232BB">
              <w:rPr>
                <w:iCs/>
                <w:color w:val="000000"/>
              </w:rPr>
              <w:t>Gas cylinders — Design, construction and testing of refillable seamless steel gas cylinders and tubes — Part 1: Quenched and tempered steel cylinders and tubes with tensile strength less than 1 100 MPa</w:t>
            </w:r>
          </w:p>
        </w:tc>
        <w:tc>
          <w:tcPr>
            <w:tcW w:w="1275" w:type="dxa"/>
            <w:shd w:val="clear" w:color="auto" w:fill="auto"/>
          </w:tcPr>
          <w:p w14:paraId="78474473" w14:textId="77777777" w:rsidR="00CF309D" w:rsidRPr="006403F5" w:rsidRDefault="00CF309D" w:rsidP="00784F4D">
            <w:pPr>
              <w:kinsoku/>
              <w:overflowPunct/>
              <w:autoSpaceDE/>
              <w:autoSpaceDN/>
              <w:adjustRightInd/>
              <w:snapToGrid/>
              <w:rPr>
                <w:lang w:eastAsia="en-US"/>
              </w:rPr>
            </w:pPr>
            <w:r>
              <w:rPr>
                <w:rFonts w:eastAsiaTheme="minorHAnsi"/>
                <w:lang w:eastAsia="en-US"/>
              </w:rPr>
              <w:t>Until further notice</w:t>
            </w:r>
          </w:p>
        </w:tc>
      </w:tr>
    </w:tbl>
    <w:p w14:paraId="3AC205D0" w14:textId="77777777" w:rsidR="00CF309D" w:rsidRPr="006403F5" w:rsidRDefault="00CF309D" w:rsidP="00CF309D">
      <w:pPr>
        <w:tabs>
          <w:tab w:val="left" w:pos="2268"/>
        </w:tabs>
        <w:kinsoku/>
        <w:overflowPunct/>
        <w:autoSpaceDE/>
        <w:autoSpaceDN/>
        <w:adjustRightInd/>
        <w:snapToGrid/>
        <w:spacing w:before="120" w:after="120"/>
        <w:ind w:left="2268" w:right="1134" w:hanging="1134"/>
        <w:jc w:val="both"/>
      </w:pPr>
      <w:r w:rsidRPr="006403F5">
        <w:rPr>
          <w:lang w:eastAsia="en-US"/>
        </w:rPr>
        <w:tab/>
      </w:r>
      <w:r w:rsidRPr="006403F5">
        <w:rPr>
          <w:lang w:eastAsia="en-US"/>
        </w:rPr>
        <w:tab/>
      </w:r>
      <w:r>
        <w:rPr>
          <w:rFonts w:eastAsiaTheme="minorHAnsi"/>
          <w:lang w:eastAsia="en-US"/>
        </w:rPr>
        <w:t>In the table, for</w:t>
      </w:r>
      <w:r w:rsidRPr="006403F5">
        <w:rPr>
          <w:rFonts w:eastAsiaTheme="minorHAnsi"/>
          <w:lang w:eastAsia="en-US"/>
        </w:rPr>
        <w:t xml:space="preserve"> </w:t>
      </w:r>
      <w:r>
        <w:rPr>
          <w:rFonts w:eastAsiaTheme="minorHAnsi"/>
          <w:lang w:eastAsia="en-US"/>
        </w:rPr>
        <w:t>“</w:t>
      </w:r>
      <w:r w:rsidRPr="006403F5">
        <w:rPr>
          <w:rFonts w:eastAsiaTheme="minorHAnsi"/>
          <w:lang w:eastAsia="en-US"/>
        </w:rPr>
        <w:t>ISO 11513:2011</w:t>
      </w:r>
      <w:r>
        <w:rPr>
          <w:rFonts w:eastAsiaTheme="minorHAnsi"/>
          <w:lang w:eastAsia="en-US"/>
        </w:rPr>
        <w:t>”</w:t>
      </w:r>
      <w:r w:rsidRPr="006403F5">
        <w:rPr>
          <w:rFonts w:eastAsiaTheme="minorHAnsi"/>
          <w:lang w:eastAsia="en-US"/>
        </w:rPr>
        <w:t xml:space="preserve">, </w:t>
      </w:r>
      <w:r>
        <w:rPr>
          <w:rFonts w:eastAsiaTheme="minorHAnsi"/>
          <w:lang w:eastAsia="en-US"/>
        </w:rPr>
        <w:t>in column</w:t>
      </w:r>
      <w:r w:rsidRPr="006403F5">
        <w:rPr>
          <w:rFonts w:eastAsiaTheme="minorHAnsi"/>
          <w:lang w:eastAsia="en-US"/>
        </w:rPr>
        <w:t xml:space="preserve"> </w:t>
      </w:r>
      <w:r>
        <w:rPr>
          <w:rFonts w:eastAsiaTheme="minorHAnsi"/>
          <w:lang w:eastAsia="en-US"/>
        </w:rPr>
        <w:t>“Applicable for manufacture”</w:t>
      </w:r>
      <w:r w:rsidRPr="006403F5">
        <w:rPr>
          <w:rFonts w:eastAsiaTheme="minorHAnsi"/>
          <w:lang w:eastAsia="en-US"/>
        </w:rPr>
        <w:t xml:space="preserve">, </w:t>
      </w:r>
      <w:r>
        <w:rPr>
          <w:rFonts w:eastAsiaTheme="minorHAnsi"/>
          <w:lang w:eastAsia="en-US"/>
        </w:rPr>
        <w:t>replace</w:t>
      </w:r>
      <w:r w:rsidRPr="006403F5">
        <w:rPr>
          <w:rFonts w:eastAsiaTheme="minorHAnsi"/>
          <w:lang w:eastAsia="en-US"/>
        </w:rPr>
        <w:t xml:space="preserve"> </w:t>
      </w:r>
      <w:r>
        <w:rPr>
          <w:rFonts w:eastAsiaTheme="minorHAnsi"/>
          <w:lang w:eastAsia="en-US"/>
        </w:rPr>
        <w:t xml:space="preserve">“Until further </w:t>
      </w:r>
      <w:r w:rsidRPr="00C41B8F">
        <w:t>notice</w:t>
      </w:r>
      <w:r>
        <w:rPr>
          <w:rFonts w:eastAsiaTheme="minorHAnsi"/>
          <w:lang w:eastAsia="en-US"/>
        </w:rPr>
        <w:t>” by “Until</w:t>
      </w:r>
      <w:r w:rsidRPr="006403F5">
        <w:rPr>
          <w:rFonts w:eastAsiaTheme="minorHAnsi"/>
          <w:lang w:eastAsia="en-US"/>
        </w:rPr>
        <w:t xml:space="preserve"> 31 </w:t>
      </w:r>
      <w:r>
        <w:rPr>
          <w:rFonts w:eastAsiaTheme="minorHAnsi"/>
          <w:lang w:eastAsia="en-US"/>
        </w:rPr>
        <w:t>December</w:t>
      </w:r>
      <w:r w:rsidRPr="006403F5">
        <w:rPr>
          <w:rFonts w:eastAsiaTheme="minorHAnsi"/>
          <w:lang w:eastAsia="en-US"/>
        </w:rPr>
        <w:t xml:space="preserve"> 2026</w:t>
      </w:r>
      <w:r>
        <w:rPr>
          <w:rFonts w:eastAsiaTheme="minorHAnsi"/>
          <w:lang w:eastAsia="en-US"/>
        </w:rPr>
        <w:t>”</w:t>
      </w:r>
      <w:r w:rsidRPr="006403F5">
        <w:rPr>
          <w:rFonts w:eastAsiaTheme="minorHAnsi"/>
          <w:lang w:eastAsia="en-US"/>
        </w:rPr>
        <w:t xml:space="preserve">. </w:t>
      </w:r>
      <w:r>
        <w:t>After the entry for</w:t>
      </w:r>
      <w:r w:rsidRPr="006403F5">
        <w:t xml:space="preserve"> </w:t>
      </w:r>
      <w:r>
        <w:t>“</w:t>
      </w:r>
      <w:r w:rsidRPr="006403F5">
        <w:rPr>
          <w:rFonts w:eastAsiaTheme="minorHAnsi"/>
          <w:lang w:eastAsia="en-US"/>
        </w:rPr>
        <w:t>ISO 11513:2011</w:t>
      </w:r>
      <w:r>
        <w:rPr>
          <w:rFonts w:eastAsiaTheme="minorHAnsi"/>
          <w:lang w:eastAsia="en-US"/>
        </w:rPr>
        <w:t>”</w:t>
      </w:r>
      <w:r w:rsidRPr="006403F5">
        <w:t xml:space="preserve">, </w:t>
      </w:r>
      <w:r>
        <w:t>add the following new entry:</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4820"/>
        <w:gridCol w:w="1275"/>
      </w:tblGrid>
      <w:tr w:rsidR="00CF309D" w:rsidRPr="006403F5" w14:paraId="30DA748E" w14:textId="77777777" w:rsidTr="00784F4D">
        <w:tc>
          <w:tcPr>
            <w:tcW w:w="1544" w:type="dxa"/>
            <w:shd w:val="clear" w:color="auto" w:fill="auto"/>
          </w:tcPr>
          <w:p w14:paraId="4065BF19" w14:textId="77777777" w:rsidR="00CF309D" w:rsidRPr="006403F5" w:rsidRDefault="00CF309D" w:rsidP="00784F4D">
            <w:pPr>
              <w:kinsoku/>
              <w:overflowPunct/>
              <w:autoSpaceDE/>
              <w:autoSpaceDN/>
              <w:adjustRightInd/>
              <w:snapToGrid/>
              <w:rPr>
                <w:lang w:eastAsia="en-US"/>
              </w:rPr>
            </w:pPr>
            <w:r w:rsidRPr="006403F5">
              <w:rPr>
                <w:lang w:eastAsia="en-US"/>
              </w:rPr>
              <w:t>ISO 11513:2019</w:t>
            </w:r>
          </w:p>
        </w:tc>
        <w:tc>
          <w:tcPr>
            <w:tcW w:w="4820" w:type="dxa"/>
            <w:shd w:val="clear" w:color="auto" w:fill="auto"/>
          </w:tcPr>
          <w:p w14:paraId="1A610750" w14:textId="77777777" w:rsidR="00CF309D" w:rsidRPr="006403F5" w:rsidRDefault="00CF309D" w:rsidP="00784F4D">
            <w:pPr>
              <w:kinsoku/>
              <w:overflowPunct/>
              <w:autoSpaceDE/>
              <w:autoSpaceDN/>
              <w:adjustRightInd/>
              <w:snapToGrid/>
              <w:jc w:val="both"/>
              <w:rPr>
                <w:lang w:eastAsia="en-US"/>
              </w:rPr>
            </w:pPr>
            <w:r w:rsidRPr="00C232BB">
              <w:rPr>
                <w:iCs/>
                <w:color w:val="000000"/>
              </w:rPr>
              <w:t>Gas cylinders – Refillable welded steel cylinders containing materials for sub-atmospheric gas packaging (excluding acetylene) – Design, construction, testing, use and periodic inspection</w:t>
            </w:r>
          </w:p>
        </w:tc>
        <w:tc>
          <w:tcPr>
            <w:tcW w:w="1275" w:type="dxa"/>
            <w:shd w:val="clear" w:color="auto" w:fill="auto"/>
          </w:tcPr>
          <w:p w14:paraId="17624AC0" w14:textId="77777777" w:rsidR="00CF309D" w:rsidRPr="006403F5" w:rsidRDefault="00CF309D" w:rsidP="00784F4D">
            <w:pPr>
              <w:kinsoku/>
              <w:overflowPunct/>
              <w:autoSpaceDE/>
              <w:autoSpaceDN/>
              <w:adjustRightInd/>
              <w:snapToGrid/>
              <w:rPr>
                <w:lang w:eastAsia="en-US"/>
              </w:rPr>
            </w:pPr>
            <w:r>
              <w:rPr>
                <w:rFonts w:eastAsiaTheme="minorHAnsi"/>
                <w:lang w:eastAsia="en-US"/>
              </w:rPr>
              <w:t>Until further notice</w:t>
            </w:r>
          </w:p>
        </w:tc>
      </w:tr>
    </w:tbl>
    <w:p w14:paraId="47B62608" w14:textId="77777777" w:rsidR="00CF309D" w:rsidRPr="00101547" w:rsidRDefault="00CF309D" w:rsidP="00CF309D">
      <w:pPr>
        <w:pStyle w:val="SingleTxtG"/>
        <w:spacing w:before="120"/>
        <w:rPr>
          <w:i/>
          <w:iCs/>
        </w:rPr>
      </w:pPr>
      <w:r w:rsidRPr="00101547">
        <w:rPr>
          <w:i/>
          <w:iCs/>
        </w:rPr>
        <w:t xml:space="preserve">(Reference document: informal document </w:t>
      </w:r>
      <w:r>
        <w:rPr>
          <w:i/>
          <w:iCs/>
        </w:rPr>
        <w:t>INF.57</w:t>
      </w:r>
      <w:r w:rsidRPr="00101547">
        <w:rPr>
          <w:i/>
          <w:iCs/>
        </w:rPr>
        <w:t>, proposal</w:t>
      </w:r>
      <w:r>
        <w:rPr>
          <w:i/>
          <w:iCs/>
        </w:rPr>
        <w:t>s</w:t>
      </w:r>
      <w:r w:rsidRPr="00101547">
        <w:rPr>
          <w:i/>
          <w:iCs/>
        </w:rPr>
        <w:t xml:space="preserve"> </w:t>
      </w:r>
      <w:r>
        <w:rPr>
          <w:i/>
          <w:iCs/>
        </w:rPr>
        <w:t>1 and 7</w:t>
      </w:r>
      <w:r w:rsidRPr="00101547">
        <w:rPr>
          <w:i/>
          <w:iCs/>
        </w:rPr>
        <w:t>)</w:t>
      </w:r>
    </w:p>
    <w:p w14:paraId="31DDCE75" w14:textId="77777777" w:rsidR="00CF309D" w:rsidRPr="006403F5" w:rsidRDefault="00CF309D" w:rsidP="00CF309D">
      <w:pPr>
        <w:tabs>
          <w:tab w:val="left" w:pos="2268"/>
        </w:tabs>
        <w:kinsoku/>
        <w:overflowPunct/>
        <w:autoSpaceDE/>
        <w:autoSpaceDN/>
        <w:adjustRightInd/>
        <w:snapToGrid/>
        <w:spacing w:after="120"/>
        <w:ind w:left="2268" w:right="1134" w:hanging="1134"/>
        <w:jc w:val="both"/>
      </w:pPr>
      <w:r w:rsidRPr="006403F5">
        <w:rPr>
          <w:lang w:eastAsia="en-US"/>
        </w:rPr>
        <w:t>6.2.2.3</w:t>
      </w:r>
      <w:r w:rsidRPr="006403F5">
        <w:rPr>
          <w:lang w:eastAsia="en-US"/>
        </w:rPr>
        <w:tab/>
      </w:r>
      <w:r w:rsidRPr="006403F5">
        <w:rPr>
          <w:lang w:eastAsia="en-US"/>
        </w:rPr>
        <w:tab/>
      </w:r>
      <w:r>
        <w:rPr>
          <w:rFonts w:eastAsiaTheme="minorHAnsi"/>
          <w:lang w:eastAsia="en-US"/>
        </w:rPr>
        <w:t>In the first table, for</w:t>
      </w:r>
      <w:r w:rsidRPr="006403F5">
        <w:rPr>
          <w:rFonts w:eastAsiaTheme="minorHAnsi"/>
          <w:lang w:eastAsia="en-US"/>
        </w:rPr>
        <w:t xml:space="preserve"> </w:t>
      </w:r>
      <w:r>
        <w:rPr>
          <w:rFonts w:eastAsiaTheme="minorHAnsi"/>
          <w:lang w:eastAsia="en-US"/>
        </w:rPr>
        <w:t>“</w:t>
      </w:r>
      <w:r w:rsidRPr="006403F5">
        <w:rPr>
          <w:rFonts w:eastAsiaTheme="minorHAnsi"/>
          <w:lang w:eastAsia="en-US"/>
        </w:rPr>
        <w:t>ISO 11117:2008 + Cor.1:2009</w:t>
      </w:r>
      <w:r>
        <w:rPr>
          <w:rFonts w:eastAsiaTheme="minorHAnsi"/>
          <w:lang w:eastAsia="en-US"/>
        </w:rPr>
        <w:t>”</w:t>
      </w:r>
      <w:r w:rsidRPr="006403F5">
        <w:rPr>
          <w:rFonts w:eastAsiaTheme="minorHAnsi"/>
          <w:lang w:eastAsia="en-US"/>
        </w:rPr>
        <w:t xml:space="preserve">, </w:t>
      </w:r>
      <w:r>
        <w:rPr>
          <w:rFonts w:eastAsiaTheme="minorHAnsi"/>
          <w:lang w:eastAsia="en-US"/>
        </w:rPr>
        <w:t>in column</w:t>
      </w:r>
      <w:r w:rsidRPr="006403F5">
        <w:rPr>
          <w:rFonts w:eastAsiaTheme="minorHAnsi"/>
          <w:lang w:eastAsia="en-US"/>
        </w:rPr>
        <w:t xml:space="preserve"> </w:t>
      </w:r>
      <w:r>
        <w:rPr>
          <w:rFonts w:eastAsiaTheme="minorHAnsi"/>
          <w:lang w:eastAsia="en-US"/>
        </w:rPr>
        <w:t>“Applicable for manufacture”</w:t>
      </w:r>
      <w:r w:rsidRPr="006403F5">
        <w:rPr>
          <w:rFonts w:eastAsiaTheme="minorHAnsi"/>
          <w:lang w:eastAsia="en-US"/>
        </w:rPr>
        <w:t xml:space="preserve">, </w:t>
      </w:r>
      <w:r>
        <w:rPr>
          <w:rFonts w:eastAsiaTheme="minorHAnsi"/>
          <w:lang w:eastAsia="en-US"/>
        </w:rPr>
        <w:t>replace</w:t>
      </w:r>
      <w:r w:rsidRPr="006403F5">
        <w:rPr>
          <w:rFonts w:eastAsiaTheme="minorHAnsi"/>
          <w:lang w:eastAsia="en-US"/>
        </w:rPr>
        <w:t xml:space="preserve"> </w:t>
      </w:r>
      <w:r>
        <w:rPr>
          <w:rFonts w:eastAsiaTheme="minorHAnsi"/>
          <w:lang w:eastAsia="en-US"/>
        </w:rPr>
        <w:t>“Until further notice” by “Until</w:t>
      </w:r>
      <w:r w:rsidRPr="006403F5">
        <w:rPr>
          <w:rFonts w:eastAsiaTheme="minorHAnsi"/>
          <w:lang w:eastAsia="en-US"/>
        </w:rPr>
        <w:t xml:space="preserve"> 31 </w:t>
      </w:r>
      <w:r>
        <w:rPr>
          <w:rFonts w:eastAsiaTheme="minorHAnsi"/>
          <w:lang w:eastAsia="en-US"/>
        </w:rPr>
        <w:t>December</w:t>
      </w:r>
      <w:r w:rsidRPr="006403F5">
        <w:rPr>
          <w:rFonts w:eastAsiaTheme="minorHAnsi"/>
          <w:lang w:eastAsia="en-US"/>
        </w:rPr>
        <w:t xml:space="preserve"> 2026</w:t>
      </w:r>
      <w:r>
        <w:rPr>
          <w:rFonts w:eastAsiaTheme="minorHAnsi"/>
          <w:lang w:eastAsia="en-US"/>
        </w:rPr>
        <w:t>”</w:t>
      </w:r>
      <w:r w:rsidRPr="006403F5">
        <w:rPr>
          <w:rFonts w:eastAsiaTheme="minorHAnsi"/>
          <w:lang w:eastAsia="en-US"/>
        </w:rPr>
        <w:t xml:space="preserve">. </w:t>
      </w:r>
      <w:r>
        <w:t>After the entry for</w:t>
      </w:r>
      <w:r w:rsidRPr="006403F5">
        <w:t xml:space="preserve"> </w:t>
      </w:r>
      <w:r>
        <w:t>“</w:t>
      </w:r>
      <w:r w:rsidRPr="006403F5">
        <w:rPr>
          <w:rFonts w:eastAsiaTheme="minorHAnsi"/>
          <w:lang w:eastAsia="en-US"/>
        </w:rPr>
        <w:t>ISO 11117:2008 + Cor.1:2009</w:t>
      </w:r>
      <w:r>
        <w:t>”</w:t>
      </w:r>
      <w:r w:rsidRPr="006403F5">
        <w:t xml:space="preserve">, </w:t>
      </w:r>
      <w:r>
        <w:t>add the following new entry:</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4820"/>
        <w:gridCol w:w="1275"/>
      </w:tblGrid>
      <w:tr w:rsidR="00CF309D" w:rsidRPr="006403F5" w14:paraId="79CCC51D" w14:textId="77777777" w:rsidTr="00784F4D">
        <w:tc>
          <w:tcPr>
            <w:tcW w:w="1544" w:type="dxa"/>
            <w:shd w:val="clear" w:color="auto" w:fill="auto"/>
          </w:tcPr>
          <w:p w14:paraId="25463845" w14:textId="77777777" w:rsidR="00CF309D" w:rsidRPr="006403F5" w:rsidRDefault="00CF309D" w:rsidP="00784F4D">
            <w:pPr>
              <w:kinsoku/>
              <w:overflowPunct/>
              <w:autoSpaceDE/>
              <w:autoSpaceDN/>
              <w:adjustRightInd/>
              <w:snapToGrid/>
              <w:rPr>
                <w:lang w:eastAsia="en-US"/>
              </w:rPr>
            </w:pPr>
            <w:r w:rsidRPr="006403F5">
              <w:rPr>
                <w:lang w:eastAsia="en-US"/>
              </w:rPr>
              <w:t>ISO 11117:2019</w:t>
            </w:r>
          </w:p>
        </w:tc>
        <w:tc>
          <w:tcPr>
            <w:tcW w:w="4820" w:type="dxa"/>
            <w:shd w:val="clear" w:color="auto" w:fill="auto"/>
          </w:tcPr>
          <w:p w14:paraId="11E979C6" w14:textId="77777777" w:rsidR="00CF309D" w:rsidRPr="006403F5" w:rsidRDefault="00CF309D" w:rsidP="00784F4D">
            <w:pPr>
              <w:kinsoku/>
              <w:overflowPunct/>
              <w:autoSpaceDE/>
              <w:autoSpaceDN/>
              <w:adjustRightInd/>
              <w:snapToGrid/>
              <w:jc w:val="both"/>
              <w:rPr>
                <w:lang w:eastAsia="en-US"/>
              </w:rPr>
            </w:pPr>
            <w:r w:rsidRPr="00C232BB">
              <w:rPr>
                <w:iCs/>
                <w:color w:val="000000"/>
              </w:rPr>
              <w:t>Gas cylinders – Valve protection caps and guards – Design, construction and tests</w:t>
            </w:r>
          </w:p>
        </w:tc>
        <w:tc>
          <w:tcPr>
            <w:tcW w:w="1275" w:type="dxa"/>
            <w:shd w:val="clear" w:color="auto" w:fill="auto"/>
          </w:tcPr>
          <w:p w14:paraId="44F15814" w14:textId="77777777" w:rsidR="00CF309D" w:rsidRPr="006403F5" w:rsidRDefault="00CF309D" w:rsidP="00784F4D">
            <w:pPr>
              <w:kinsoku/>
              <w:overflowPunct/>
              <w:autoSpaceDE/>
              <w:autoSpaceDN/>
              <w:adjustRightInd/>
              <w:snapToGrid/>
              <w:rPr>
                <w:lang w:eastAsia="en-US"/>
              </w:rPr>
            </w:pPr>
            <w:r>
              <w:rPr>
                <w:rFonts w:eastAsiaTheme="minorHAnsi"/>
                <w:lang w:eastAsia="en-US"/>
              </w:rPr>
              <w:t>Until further notice</w:t>
            </w:r>
          </w:p>
        </w:tc>
      </w:tr>
    </w:tbl>
    <w:p w14:paraId="3FB2DF2C" w14:textId="77777777" w:rsidR="00CF309D" w:rsidRPr="006403F5" w:rsidRDefault="00CF309D" w:rsidP="00CF309D">
      <w:pPr>
        <w:tabs>
          <w:tab w:val="left" w:pos="2268"/>
        </w:tabs>
        <w:kinsoku/>
        <w:overflowPunct/>
        <w:autoSpaceDE/>
        <w:autoSpaceDN/>
        <w:adjustRightInd/>
        <w:snapToGrid/>
        <w:spacing w:before="120" w:after="120"/>
        <w:ind w:left="2268" w:right="1134" w:hanging="1134"/>
        <w:jc w:val="both"/>
        <w:rPr>
          <w:rFonts w:eastAsiaTheme="minorHAnsi"/>
          <w:lang w:eastAsia="en-US"/>
        </w:rPr>
      </w:pPr>
      <w:r w:rsidRPr="006403F5">
        <w:rPr>
          <w:lang w:eastAsia="en-US"/>
        </w:rPr>
        <w:tab/>
      </w:r>
      <w:r w:rsidRPr="006403F5">
        <w:rPr>
          <w:lang w:eastAsia="en-US"/>
        </w:rPr>
        <w:tab/>
      </w:r>
      <w:r>
        <w:rPr>
          <w:rFonts w:eastAsiaTheme="minorHAnsi"/>
          <w:lang w:eastAsia="en-US"/>
        </w:rPr>
        <w:t>In the first table, for</w:t>
      </w:r>
      <w:r w:rsidRPr="006403F5">
        <w:rPr>
          <w:rFonts w:eastAsiaTheme="minorHAnsi"/>
          <w:lang w:eastAsia="en-US"/>
        </w:rPr>
        <w:t xml:space="preserve"> </w:t>
      </w:r>
      <w:r>
        <w:rPr>
          <w:rFonts w:eastAsiaTheme="minorHAnsi"/>
          <w:lang w:eastAsia="en-US"/>
        </w:rPr>
        <w:t>“</w:t>
      </w:r>
      <w:r w:rsidRPr="006403F5">
        <w:rPr>
          <w:rFonts w:eastAsiaTheme="minorHAnsi"/>
          <w:lang w:eastAsia="en-US"/>
        </w:rPr>
        <w:t>ISO 17871:2015</w:t>
      </w:r>
      <w:r>
        <w:rPr>
          <w:rFonts w:eastAsiaTheme="minorHAnsi"/>
          <w:lang w:eastAsia="en-US"/>
        </w:rPr>
        <w:t>”</w:t>
      </w:r>
      <w:r w:rsidRPr="006403F5">
        <w:rPr>
          <w:rFonts w:eastAsiaTheme="minorHAnsi"/>
          <w:lang w:eastAsia="en-US"/>
        </w:rPr>
        <w:t xml:space="preserve">, </w:t>
      </w:r>
      <w:r>
        <w:rPr>
          <w:rFonts w:eastAsiaTheme="minorHAnsi"/>
          <w:lang w:eastAsia="en-US"/>
        </w:rPr>
        <w:t>in column</w:t>
      </w:r>
      <w:r w:rsidRPr="006403F5">
        <w:rPr>
          <w:rFonts w:eastAsiaTheme="minorHAnsi"/>
          <w:lang w:eastAsia="en-US"/>
        </w:rPr>
        <w:t xml:space="preserve"> </w:t>
      </w:r>
      <w:r>
        <w:rPr>
          <w:rFonts w:eastAsiaTheme="minorHAnsi"/>
          <w:lang w:eastAsia="en-US"/>
        </w:rPr>
        <w:t>“Applicable for manufacture”</w:t>
      </w:r>
      <w:r w:rsidRPr="006403F5">
        <w:rPr>
          <w:rFonts w:eastAsiaTheme="minorHAnsi"/>
          <w:lang w:eastAsia="en-US"/>
        </w:rPr>
        <w:t xml:space="preserve">, </w:t>
      </w:r>
      <w:r>
        <w:rPr>
          <w:rFonts w:eastAsiaTheme="minorHAnsi"/>
          <w:lang w:eastAsia="en-US"/>
        </w:rPr>
        <w:t>replace</w:t>
      </w:r>
      <w:r w:rsidRPr="006403F5">
        <w:rPr>
          <w:rFonts w:eastAsiaTheme="minorHAnsi"/>
          <w:lang w:eastAsia="en-US"/>
        </w:rPr>
        <w:t xml:space="preserve"> </w:t>
      </w:r>
      <w:r>
        <w:rPr>
          <w:rFonts w:eastAsiaTheme="minorHAnsi"/>
          <w:lang w:eastAsia="en-US"/>
        </w:rPr>
        <w:t>“Until further notice” by “Until</w:t>
      </w:r>
      <w:r w:rsidRPr="006403F5">
        <w:rPr>
          <w:rFonts w:eastAsiaTheme="minorHAnsi"/>
          <w:lang w:eastAsia="en-US"/>
        </w:rPr>
        <w:t xml:space="preserve"> 31 </w:t>
      </w:r>
      <w:r>
        <w:rPr>
          <w:rFonts w:eastAsiaTheme="minorHAnsi"/>
          <w:lang w:eastAsia="en-US"/>
        </w:rPr>
        <w:t>December</w:t>
      </w:r>
      <w:r w:rsidRPr="006403F5">
        <w:rPr>
          <w:rFonts w:eastAsiaTheme="minorHAnsi"/>
          <w:lang w:eastAsia="en-US"/>
        </w:rPr>
        <w:t xml:space="preserve"> 2026</w:t>
      </w:r>
      <w:r>
        <w:rPr>
          <w:rFonts w:eastAsiaTheme="minorHAnsi"/>
          <w:lang w:eastAsia="en-US"/>
        </w:rPr>
        <w:t>”</w:t>
      </w:r>
      <w:r w:rsidRPr="006403F5">
        <w:rPr>
          <w:rFonts w:eastAsiaTheme="minorHAnsi"/>
          <w:lang w:eastAsia="en-US"/>
        </w:rPr>
        <w:t xml:space="preserve">. </w:t>
      </w:r>
      <w:r>
        <w:rPr>
          <w:rFonts w:eastAsiaTheme="minorHAnsi"/>
          <w:lang w:eastAsia="en-US"/>
        </w:rPr>
        <w:t>In the column</w:t>
      </w:r>
      <w:r w:rsidRPr="006403F5">
        <w:rPr>
          <w:rFonts w:eastAsiaTheme="minorHAnsi"/>
          <w:lang w:eastAsia="en-US"/>
        </w:rPr>
        <w:t xml:space="preserve"> </w:t>
      </w:r>
      <w:r>
        <w:rPr>
          <w:rFonts w:eastAsiaTheme="minorHAnsi"/>
          <w:lang w:eastAsia="en-US"/>
        </w:rPr>
        <w:t>“Title”</w:t>
      </w:r>
      <w:r w:rsidRPr="006403F5">
        <w:rPr>
          <w:rFonts w:eastAsiaTheme="minorHAnsi"/>
          <w:lang w:eastAsia="en-US"/>
        </w:rPr>
        <w:t xml:space="preserve">, </w:t>
      </w:r>
      <w:r>
        <w:rPr>
          <w:rFonts w:eastAsiaTheme="minorHAnsi"/>
          <w:lang w:eastAsia="en-US"/>
        </w:rPr>
        <w:t>Add the following new note under the title</w:t>
      </w:r>
      <w:r w:rsidRPr="006403F5">
        <w:rPr>
          <w:rFonts w:eastAsiaTheme="minorHAnsi"/>
          <w:lang w:eastAsia="en-US"/>
        </w:rPr>
        <w:t xml:space="preserve">: </w:t>
      </w:r>
    </w:p>
    <w:p w14:paraId="4C287BB7" w14:textId="77777777" w:rsidR="00CF309D" w:rsidRPr="006403F5" w:rsidRDefault="00CF309D" w:rsidP="00CF309D">
      <w:pPr>
        <w:pStyle w:val="SingleTxtG"/>
        <w:spacing w:before="120"/>
        <w:rPr>
          <w:rFonts w:eastAsiaTheme="minorHAnsi"/>
          <w:lang w:eastAsia="en-US"/>
        </w:rPr>
      </w:pPr>
      <w:r>
        <w:rPr>
          <w:rFonts w:eastAsiaTheme="minorHAnsi"/>
          <w:lang w:eastAsia="en-US"/>
        </w:rPr>
        <w:t>“</w:t>
      </w:r>
      <w:r w:rsidRPr="00DD712B">
        <w:rPr>
          <w:rFonts w:eastAsiaTheme="minorHAnsi"/>
          <w:b/>
          <w:bCs/>
          <w:i/>
          <w:iCs/>
          <w:lang w:eastAsia="en-US"/>
        </w:rPr>
        <w:t xml:space="preserve">NOTE: </w:t>
      </w:r>
      <w:r w:rsidRPr="00757D8A">
        <w:rPr>
          <w:rFonts w:eastAsiaTheme="minorHAnsi"/>
          <w:i/>
          <w:iCs/>
          <w:lang w:eastAsia="en-US"/>
        </w:rPr>
        <w:t>This standard shall not be used for flammable gases.</w:t>
      </w:r>
      <w:r>
        <w:rPr>
          <w:rFonts w:eastAsiaTheme="minorHAnsi"/>
          <w:lang w:eastAsia="en-US"/>
        </w:rPr>
        <w:t>”</w:t>
      </w:r>
    </w:p>
    <w:p w14:paraId="481F086D" w14:textId="77777777" w:rsidR="00CF309D" w:rsidRPr="006403F5" w:rsidRDefault="00CF309D" w:rsidP="00CF309D">
      <w:pPr>
        <w:tabs>
          <w:tab w:val="left" w:pos="2268"/>
        </w:tabs>
        <w:kinsoku/>
        <w:overflowPunct/>
        <w:autoSpaceDE/>
        <w:autoSpaceDN/>
        <w:adjustRightInd/>
        <w:snapToGrid/>
        <w:spacing w:after="120"/>
        <w:ind w:left="2268" w:right="1134" w:hanging="1134"/>
        <w:jc w:val="both"/>
      </w:pPr>
      <w:r w:rsidRPr="006403F5">
        <w:tab/>
      </w:r>
      <w:r>
        <w:t>After the entry for</w:t>
      </w:r>
      <w:r w:rsidRPr="006403F5">
        <w:t xml:space="preserve"> </w:t>
      </w:r>
      <w:r>
        <w:t>“</w:t>
      </w:r>
      <w:r w:rsidRPr="006403F5">
        <w:rPr>
          <w:rFonts w:eastAsiaTheme="minorHAnsi"/>
          <w:lang w:eastAsia="en-US"/>
        </w:rPr>
        <w:t>17871:2015</w:t>
      </w:r>
      <w:r>
        <w:t>”</w:t>
      </w:r>
      <w:r w:rsidRPr="006403F5">
        <w:t xml:space="preserve">, </w:t>
      </w:r>
      <w:r>
        <w:t>add the following new entry:</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4820"/>
        <w:gridCol w:w="1275"/>
      </w:tblGrid>
      <w:tr w:rsidR="00CF309D" w:rsidRPr="006403F5" w14:paraId="13C51BBD" w14:textId="77777777" w:rsidTr="00784F4D">
        <w:tc>
          <w:tcPr>
            <w:tcW w:w="1544" w:type="dxa"/>
            <w:shd w:val="clear" w:color="auto" w:fill="auto"/>
          </w:tcPr>
          <w:p w14:paraId="69931B7B" w14:textId="77777777" w:rsidR="00CF309D" w:rsidRPr="006403F5" w:rsidRDefault="00CF309D" w:rsidP="00784F4D">
            <w:pPr>
              <w:kinsoku/>
              <w:overflowPunct/>
              <w:autoSpaceDE/>
              <w:autoSpaceDN/>
              <w:adjustRightInd/>
              <w:snapToGrid/>
              <w:rPr>
                <w:lang w:eastAsia="en-US"/>
              </w:rPr>
            </w:pPr>
            <w:r w:rsidRPr="006403F5">
              <w:rPr>
                <w:lang w:eastAsia="en-US"/>
              </w:rPr>
              <w:t>ISO 17871:2020</w:t>
            </w:r>
          </w:p>
        </w:tc>
        <w:tc>
          <w:tcPr>
            <w:tcW w:w="4820" w:type="dxa"/>
            <w:shd w:val="clear" w:color="auto" w:fill="auto"/>
          </w:tcPr>
          <w:p w14:paraId="4B922E60" w14:textId="77777777" w:rsidR="00CF309D" w:rsidRPr="006403F5" w:rsidRDefault="00CF309D" w:rsidP="00784F4D">
            <w:pPr>
              <w:kinsoku/>
              <w:overflowPunct/>
              <w:autoSpaceDE/>
              <w:autoSpaceDN/>
              <w:adjustRightInd/>
              <w:snapToGrid/>
              <w:jc w:val="both"/>
              <w:rPr>
                <w:lang w:eastAsia="en-US"/>
              </w:rPr>
            </w:pPr>
            <w:r w:rsidRPr="000331B5">
              <w:rPr>
                <w:iCs/>
                <w:color w:val="000000"/>
                <w:lang w:eastAsia="en-US"/>
              </w:rPr>
              <w:t>Gas cylinders – Quick-release cylinder valves – Specification and type testing.</w:t>
            </w:r>
          </w:p>
        </w:tc>
        <w:tc>
          <w:tcPr>
            <w:tcW w:w="1275" w:type="dxa"/>
            <w:shd w:val="clear" w:color="auto" w:fill="auto"/>
          </w:tcPr>
          <w:p w14:paraId="4209F9E8" w14:textId="77777777" w:rsidR="00CF309D" w:rsidRPr="006403F5" w:rsidRDefault="00CF309D" w:rsidP="00784F4D">
            <w:pPr>
              <w:kinsoku/>
              <w:overflowPunct/>
              <w:autoSpaceDE/>
              <w:autoSpaceDN/>
              <w:adjustRightInd/>
              <w:snapToGrid/>
              <w:rPr>
                <w:lang w:eastAsia="en-US"/>
              </w:rPr>
            </w:pPr>
            <w:r>
              <w:rPr>
                <w:rFonts w:eastAsiaTheme="minorHAnsi"/>
                <w:lang w:eastAsia="en-US"/>
              </w:rPr>
              <w:t>Until further notice</w:t>
            </w:r>
          </w:p>
        </w:tc>
      </w:tr>
    </w:tbl>
    <w:p w14:paraId="0BC5EF11" w14:textId="77777777" w:rsidR="00CF309D" w:rsidRPr="006403F5" w:rsidRDefault="00CF309D" w:rsidP="00CF309D">
      <w:pPr>
        <w:tabs>
          <w:tab w:val="left" w:pos="2268"/>
        </w:tabs>
        <w:kinsoku/>
        <w:overflowPunct/>
        <w:autoSpaceDE/>
        <w:autoSpaceDN/>
        <w:adjustRightInd/>
        <w:snapToGrid/>
        <w:spacing w:before="120" w:after="120"/>
        <w:ind w:left="2268" w:right="1134" w:hanging="1134"/>
        <w:jc w:val="both"/>
      </w:pPr>
      <w:r w:rsidRPr="006403F5">
        <w:rPr>
          <w:rFonts w:eastAsiaTheme="minorHAnsi"/>
          <w:lang w:eastAsia="en-US"/>
        </w:rPr>
        <w:tab/>
      </w:r>
      <w:r>
        <w:rPr>
          <w:rFonts w:eastAsiaTheme="minorHAnsi"/>
          <w:lang w:eastAsia="en-US"/>
        </w:rPr>
        <w:t>In the second table, for</w:t>
      </w:r>
      <w:r w:rsidRPr="006403F5">
        <w:rPr>
          <w:rFonts w:eastAsiaTheme="minorHAnsi"/>
          <w:lang w:eastAsia="en-US"/>
        </w:rPr>
        <w:t xml:space="preserve"> </w:t>
      </w:r>
      <w:r>
        <w:rPr>
          <w:rFonts w:eastAsiaTheme="minorHAnsi"/>
          <w:lang w:eastAsia="en-US"/>
        </w:rPr>
        <w:t>“</w:t>
      </w:r>
      <w:r w:rsidRPr="006403F5">
        <w:rPr>
          <w:rFonts w:eastAsiaTheme="minorHAnsi"/>
          <w:lang w:eastAsia="en-US"/>
        </w:rPr>
        <w:t>ISO 16111:2008</w:t>
      </w:r>
      <w:r>
        <w:rPr>
          <w:rFonts w:eastAsiaTheme="minorHAnsi"/>
          <w:lang w:eastAsia="en-US"/>
        </w:rPr>
        <w:t>”</w:t>
      </w:r>
      <w:r w:rsidRPr="006403F5">
        <w:rPr>
          <w:rFonts w:eastAsiaTheme="minorHAnsi"/>
          <w:lang w:eastAsia="en-US"/>
        </w:rPr>
        <w:t xml:space="preserve">, </w:t>
      </w:r>
      <w:r>
        <w:rPr>
          <w:rFonts w:eastAsiaTheme="minorHAnsi"/>
          <w:lang w:eastAsia="en-US"/>
        </w:rPr>
        <w:t>in column</w:t>
      </w:r>
      <w:r w:rsidRPr="006403F5">
        <w:rPr>
          <w:rFonts w:eastAsiaTheme="minorHAnsi"/>
          <w:lang w:eastAsia="en-US"/>
        </w:rPr>
        <w:t xml:space="preserve"> </w:t>
      </w:r>
      <w:r>
        <w:rPr>
          <w:rFonts w:eastAsiaTheme="minorHAnsi"/>
          <w:lang w:eastAsia="en-US"/>
        </w:rPr>
        <w:t>“Applicable for manufacture”</w:t>
      </w:r>
      <w:r w:rsidRPr="006403F5">
        <w:rPr>
          <w:rFonts w:eastAsiaTheme="minorHAnsi"/>
          <w:lang w:eastAsia="en-US"/>
        </w:rPr>
        <w:t xml:space="preserve">, </w:t>
      </w:r>
      <w:r>
        <w:rPr>
          <w:rFonts w:eastAsiaTheme="minorHAnsi"/>
          <w:lang w:eastAsia="en-US"/>
        </w:rPr>
        <w:t>replace</w:t>
      </w:r>
      <w:r w:rsidRPr="006403F5">
        <w:rPr>
          <w:rFonts w:eastAsiaTheme="minorHAnsi"/>
          <w:lang w:eastAsia="en-US"/>
        </w:rPr>
        <w:t xml:space="preserve"> </w:t>
      </w:r>
      <w:r>
        <w:rPr>
          <w:rFonts w:eastAsiaTheme="minorHAnsi"/>
          <w:lang w:eastAsia="en-US"/>
        </w:rPr>
        <w:t>“</w:t>
      </w:r>
      <w:r w:rsidRPr="00C41B8F">
        <w:t>Until</w:t>
      </w:r>
      <w:r>
        <w:rPr>
          <w:rFonts w:eastAsiaTheme="minorHAnsi"/>
          <w:lang w:eastAsia="en-US"/>
        </w:rPr>
        <w:t xml:space="preserve"> further notice” by “Until</w:t>
      </w:r>
      <w:r w:rsidRPr="006403F5">
        <w:rPr>
          <w:rFonts w:eastAsiaTheme="minorHAnsi"/>
          <w:lang w:eastAsia="en-US"/>
        </w:rPr>
        <w:t xml:space="preserve"> 31 </w:t>
      </w:r>
      <w:r>
        <w:rPr>
          <w:rFonts w:eastAsiaTheme="minorHAnsi"/>
          <w:lang w:eastAsia="en-US"/>
        </w:rPr>
        <w:t>December</w:t>
      </w:r>
      <w:r w:rsidRPr="006403F5">
        <w:rPr>
          <w:rFonts w:eastAsiaTheme="minorHAnsi"/>
          <w:lang w:eastAsia="en-US"/>
        </w:rPr>
        <w:t xml:space="preserve"> 2026</w:t>
      </w:r>
      <w:r>
        <w:rPr>
          <w:rFonts w:eastAsiaTheme="minorHAnsi"/>
          <w:lang w:eastAsia="en-US"/>
        </w:rPr>
        <w:t>”</w:t>
      </w:r>
      <w:r w:rsidRPr="006403F5">
        <w:rPr>
          <w:rFonts w:eastAsiaTheme="minorHAnsi"/>
          <w:lang w:eastAsia="en-US"/>
        </w:rPr>
        <w:t xml:space="preserve">. </w:t>
      </w:r>
      <w:r>
        <w:t>After the entry for</w:t>
      </w:r>
      <w:r w:rsidRPr="006403F5">
        <w:t xml:space="preserve"> </w:t>
      </w:r>
      <w:r>
        <w:t>“</w:t>
      </w:r>
      <w:r w:rsidRPr="006403F5">
        <w:rPr>
          <w:rFonts w:eastAsiaTheme="minorHAnsi"/>
          <w:lang w:eastAsia="en-US"/>
        </w:rPr>
        <w:t>ISO 16111:2008</w:t>
      </w:r>
      <w:r>
        <w:t>”</w:t>
      </w:r>
      <w:r w:rsidRPr="006403F5">
        <w:t xml:space="preserve">, </w:t>
      </w:r>
      <w:r>
        <w:t>add the following new entry:</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4820"/>
        <w:gridCol w:w="1275"/>
      </w:tblGrid>
      <w:tr w:rsidR="00CF309D" w:rsidRPr="006403F5" w14:paraId="48DB7AF2" w14:textId="77777777" w:rsidTr="00784F4D">
        <w:tc>
          <w:tcPr>
            <w:tcW w:w="1544" w:type="dxa"/>
            <w:shd w:val="clear" w:color="auto" w:fill="auto"/>
          </w:tcPr>
          <w:p w14:paraId="437104A4" w14:textId="77777777" w:rsidR="00CF309D" w:rsidRPr="006403F5" w:rsidRDefault="00CF309D" w:rsidP="00784F4D">
            <w:pPr>
              <w:kinsoku/>
              <w:overflowPunct/>
              <w:autoSpaceDE/>
              <w:autoSpaceDN/>
              <w:adjustRightInd/>
              <w:snapToGrid/>
              <w:rPr>
                <w:lang w:eastAsia="en-US"/>
              </w:rPr>
            </w:pPr>
            <w:r w:rsidRPr="006403F5">
              <w:rPr>
                <w:lang w:eastAsia="en-US"/>
              </w:rPr>
              <w:t>ISO 16111:2018</w:t>
            </w:r>
          </w:p>
        </w:tc>
        <w:tc>
          <w:tcPr>
            <w:tcW w:w="4820" w:type="dxa"/>
            <w:shd w:val="clear" w:color="auto" w:fill="auto"/>
          </w:tcPr>
          <w:p w14:paraId="61CBDA86" w14:textId="77777777" w:rsidR="00CF309D" w:rsidRPr="006403F5" w:rsidRDefault="00CF309D" w:rsidP="00784F4D">
            <w:pPr>
              <w:kinsoku/>
              <w:overflowPunct/>
              <w:autoSpaceDE/>
              <w:autoSpaceDN/>
              <w:adjustRightInd/>
              <w:snapToGrid/>
              <w:jc w:val="both"/>
              <w:rPr>
                <w:lang w:eastAsia="en-US"/>
              </w:rPr>
            </w:pPr>
            <w:r w:rsidRPr="000B66D7">
              <w:rPr>
                <w:iCs/>
                <w:color w:val="000000"/>
                <w:lang w:eastAsia="en-US"/>
              </w:rPr>
              <w:t>Transportable gas storage devices – Hydrogen absorbed in reversible metal hydride</w:t>
            </w:r>
          </w:p>
        </w:tc>
        <w:tc>
          <w:tcPr>
            <w:tcW w:w="1275" w:type="dxa"/>
            <w:shd w:val="clear" w:color="auto" w:fill="auto"/>
          </w:tcPr>
          <w:p w14:paraId="648B2370" w14:textId="77777777" w:rsidR="00CF309D" w:rsidRPr="006403F5" w:rsidRDefault="00CF309D" w:rsidP="00784F4D">
            <w:pPr>
              <w:kinsoku/>
              <w:overflowPunct/>
              <w:autoSpaceDE/>
              <w:autoSpaceDN/>
              <w:adjustRightInd/>
              <w:snapToGrid/>
              <w:rPr>
                <w:lang w:eastAsia="en-US"/>
              </w:rPr>
            </w:pPr>
            <w:r>
              <w:rPr>
                <w:rFonts w:eastAsiaTheme="minorHAnsi"/>
                <w:lang w:eastAsia="en-US"/>
              </w:rPr>
              <w:t>Until further notice</w:t>
            </w:r>
          </w:p>
        </w:tc>
      </w:tr>
    </w:tbl>
    <w:p w14:paraId="2708680A" w14:textId="77777777" w:rsidR="00CF309D" w:rsidRPr="00101547" w:rsidRDefault="00CF309D" w:rsidP="00CF309D">
      <w:pPr>
        <w:pStyle w:val="SingleTxtG"/>
        <w:spacing w:before="120"/>
        <w:rPr>
          <w:i/>
          <w:iCs/>
        </w:rPr>
      </w:pPr>
      <w:r w:rsidRPr="00101547">
        <w:rPr>
          <w:i/>
          <w:iCs/>
        </w:rPr>
        <w:t xml:space="preserve">(Reference document: informal document </w:t>
      </w:r>
      <w:r>
        <w:rPr>
          <w:i/>
          <w:iCs/>
        </w:rPr>
        <w:t>INF.57</w:t>
      </w:r>
      <w:r w:rsidRPr="00101547">
        <w:rPr>
          <w:i/>
          <w:iCs/>
        </w:rPr>
        <w:t>, proposal</w:t>
      </w:r>
      <w:r>
        <w:rPr>
          <w:i/>
          <w:iCs/>
        </w:rPr>
        <w:t xml:space="preserve"> 9 and 10 and consequential amendment</w:t>
      </w:r>
      <w:r w:rsidRPr="00101547">
        <w:rPr>
          <w:i/>
          <w:iCs/>
        </w:rPr>
        <w:t>)</w:t>
      </w:r>
    </w:p>
    <w:p w14:paraId="088BFE1C" w14:textId="77777777" w:rsidR="00CF309D" w:rsidRPr="00C927F3" w:rsidRDefault="00CF309D" w:rsidP="00CF309D">
      <w:pPr>
        <w:tabs>
          <w:tab w:val="left" w:pos="2268"/>
        </w:tabs>
        <w:kinsoku/>
        <w:overflowPunct/>
        <w:autoSpaceDE/>
        <w:autoSpaceDN/>
        <w:adjustRightInd/>
        <w:snapToGrid/>
        <w:spacing w:after="120"/>
        <w:ind w:left="2268" w:right="1134" w:hanging="1134"/>
        <w:jc w:val="both"/>
        <w:rPr>
          <w:rFonts w:eastAsiaTheme="minorHAnsi"/>
          <w:lang w:eastAsia="en-US"/>
        </w:rPr>
      </w:pPr>
      <w:r w:rsidRPr="006403F5">
        <w:rPr>
          <w:lang w:eastAsia="en-US"/>
        </w:rPr>
        <w:t>6.2.2.4</w:t>
      </w:r>
      <w:r w:rsidRPr="006403F5">
        <w:rPr>
          <w:lang w:eastAsia="en-US"/>
        </w:rPr>
        <w:tab/>
      </w:r>
      <w:r w:rsidRPr="006403F5">
        <w:rPr>
          <w:lang w:eastAsia="en-US"/>
        </w:rPr>
        <w:tab/>
      </w:r>
      <w:r>
        <w:rPr>
          <w:rFonts w:eastAsiaTheme="minorHAnsi"/>
          <w:lang w:eastAsia="en-US"/>
        </w:rPr>
        <w:t>In the first table, for</w:t>
      </w:r>
      <w:r w:rsidRPr="006403F5">
        <w:rPr>
          <w:rFonts w:eastAsiaTheme="minorHAnsi"/>
          <w:lang w:eastAsia="en-US"/>
        </w:rPr>
        <w:t xml:space="preserve"> </w:t>
      </w:r>
      <w:r>
        <w:rPr>
          <w:rFonts w:eastAsiaTheme="minorHAnsi"/>
          <w:lang w:eastAsia="en-US"/>
        </w:rPr>
        <w:t>“</w:t>
      </w:r>
      <w:r w:rsidRPr="006403F5">
        <w:rPr>
          <w:rFonts w:eastAsiaTheme="minorHAnsi"/>
          <w:lang w:eastAsia="en-US"/>
        </w:rPr>
        <w:t>ISO 11513:2011</w:t>
      </w:r>
      <w:r>
        <w:rPr>
          <w:rFonts w:eastAsiaTheme="minorHAnsi"/>
          <w:lang w:eastAsia="en-US"/>
        </w:rPr>
        <w:t>”</w:t>
      </w:r>
      <w:r w:rsidRPr="006403F5">
        <w:rPr>
          <w:rFonts w:eastAsiaTheme="minorHAnsi"/>
          <w:lang w:eastAsia="en-US"/>
        </w:rPr>
        <w:t xml:space="preserve">, </w:t>
      </w:r>
      <w:r>
        <w:rPr>
          <w:rFonts w:eastAsiaTheme="minorHAnsi"/>
          <w:lang w:eastAsia="en-US"/>
        </w:rPr>
        <w:t>in column</w:t>
      </w:r>
      <w:r w:rsidRPr="006403F5">
        <w:rPr>
          <w:rFonts w:eastAsiaTheme="minorHAnsi"/>
          <w:lang w:eastAsia="en-US"/>
        </w:rPr>
        <w:t xml:space="preserve"> </w:t>
      </w:r>
      <w:r>
        <w:rPr>
          <w:rFonts w:eastAsiaTheme="minorHAnsi"/>
          <w:lang w:eastAsia="en-US"/>
        </w:rPr>
        <w:t>“Applicable for manufacture”</w:t>
      </w:r>
      <w:r w:rsidRPr="006403F5">
        <w:rPr>
          <w:rFonts w:eastAsiaTheme="minorHAnsi"/>
          <w:lang w:eastAsia="en-US"/>
        </w:rPr>
        <w:t xml:space="preserve">, </w:t>
      </w:r>
      <w:r>
        <w:rPr>
          <w:rFonts w:eastAsiaTheme="minorHAnsi"/>
          <w:lang w:eastAsia="en-US"/>
        </w:rPr>
        <w:t>replace</w:t>
      </w:r>
      <w:r w:rsidRPr="006403F5">
        <w:rPr>
          <w:rFonts w:eastAsiaTheme="minorHAnsi"/>
          <w:lang w:eastAsia="en-US"/>
        </w:rPr>
        <w:t xml:space="preserve"> </w:t>
      </w:r>
      <w:r>
        <w:rPr>
          <w:rFonts w:eastAsiaTheme="minorHAnsi"/>
          <w:lang w:eastAsia="en-US"/>
        </w:rPr>
        <w:t>“Until further notice” by “Until</w:t>
      </w:r>
      <w:r w:rsidRPr="006403F5">
        <w:rPr>
          <w:rFonts w:eastAsiaTheme="minorHAnsi"/>
          <w:lang w:eastAsia="en-US"/>
        </w:rPr>
        <w:t xml:space="preserve"> 31 </w:t>
      </w:r>
      <w:r>
        <w:rPr>
          <w:rFonts w:eastAsiaTheme="minorHAnsi"/>
          <w:lang w:eastAsia="en-US"/>
        </w:rPr>
        <w:t>December</w:t>
      </w:r>
      <w:r w:rsidRPr="006403F5">
        <w:rPr>
          <w:rFonts w:eastAsiaTheme="minorHAnsi"/>
          <w:lang w:eastAsia="en-US"/>
        </w:rPr>
        <w:t xml:space="preserve"> 2024</w:t>
      </w:r>
      <w:r>
        <w:rPr>
          <w:rFonts w:eastAsiaTheme="minorHAnsi"/>
          <w:lang w:eastAsia="en-US"/>
        </w:rPr>
        <w:t>”</w:t>
      </w:r>
      <w:r w:rsidRPr="006403F5">
        <w:rPr>
          <w:rFonts w:eastAsiaTheme="minorHAnsi"/>
          <w:lang w:eastAsia="en-US"/>
        </w:rPr>
        <w:t xml:space="preserve">. </w:t>
      </w:r>
      <w:r>
        <w:t>After the entry for</w:t>
      </w:r>
      <w:r w:rsidRPr="006403F5">
        <w:t xml:space="preserve"> </w:t>
      </w:r>
      <w:r>
        <w:t>“</w:t>
      </w:r>
      <w:r w:rsidRPr="006403F5">
        <w:rPr>
          <w:rFonts w:eastAsiaTheme="minorHAnsi"/>
          <w:lang w:eastAsia="en-US"/>
        </w:rPr>
        <w:t>ISO 11513:2011</w:t>
      </w:r>
      <w:r>
        <w:rPr>
          <w:rFonts w:eastAsiaTheme="minorHAnsi"/>
          <w:lang w:eastAsia="en-US"/>
        </w:rPr>
        <w:t>”</w:t>
      </w:r>
      <w:r w:rsidRPr="006403F5">
        <w:t xml:space="preserve">, </w:t>
      </w:r>
      <w:r>
        <w:t>add the following new entry:</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4820"/>
        <w:gridCol w:w="1275"/>
      </w:tblGrid>
      <w:tr w:rsidR="00CF309D" w:rsidRPr="006403F5" w14:paraId="07491B31" w14:textId="77777777" w:rsidTr="00784F4D">
        <w:tc>
          <w:tcPr>
            <w:tcW w:w="1544" w:type="dxa"/>
            <w:shd w:val="clear" w:color="auto" w:fill="auto"/>
          </w:tcPr>
          <w:p w14:paraId="7DA02DAB" w14:textId="77777777" w:rsidR="00CF309D" w:rsidRPr="006403F5" w:rsidRDefault="00CF309D" w:rsidP="00784F4D">
            <w:pPr>
              <w:kinsoku/>
              <w:overflowPunct/>
              <w:autoSpaceDE/>
              <w:autoSpaceDN/>
              <w:adjustRightInd/>
              <w:snapToGrid/>
              <w:rPr>
                <w:lang w:eastAsia="en-US"/>
              </w:rPr>
            </w:pPr>
            <w:r w:rsidRPr="006403F5">
              <w:rPr>
                <w:lang w:eastAsia="en-US"/>
              </w:rPr>
              <w:t>ISO 11513:2019</w:t>
            </w:r>
          </w:p>
        </w:tc>
        <w:tc>
          <w:tcPr>
            <w:tcW w:w="4820" w:type="dxa"/>
            <w:shd w:val="clear" w:color="auto" w:fill="auto"/>
          </w:tcPr>
          <w:p w14:paraId="0504ED7D" w14:textId="77777777" w:rsidR="00CF309D" w:rsidRPr="006403F5" w:rsidRDefault="00CF309D" w:rsidP="00784F4D">
            <w:pPr>
              <w:kinsoku/>
              <w:overflowPunct/>
              <w:autoSpaceDE/>
              <w:autoSpaceDN/>
              <w:adjustRightInd/>
              <w:snapToGrid/>
              <w:jc w:val="both"/>
              <w:rPr>
                <w:lang w:eastAsia="en-US"/>
              </w:rPr>
            </w:pPr>
            <w:r w:rsidRPr="00246643">
              <w:rPr>
                <w:iCs/>
                <w:color w:val="000000"/>
                <w:lang w:eastAsia="en-US"/>
              </w:rPr>
              <w:t>Gas cylinders – Refillable welded steel cylinders containing materials for sub-atmospheric gas packaging (excluding acetylene) – Design, construction, testing, use and periodic inspection</w:t>
            </w:r>
          </w:p>
        </w:tc>
        <w:tc>
          <w:tcPr>
            <w:tcW w:w="1275" w:type="dxa"/>
            <w:shd w:val="clear" w:color="auto" w:fill="auto"/>
          </w:tcPr>
          <w:p w14:paraId="29178B56" w14:textId="77777777" w:rsidR="00CF309D" w:rsidRPr="006403F5" w:rsidRDefault="00CF309D" w:rsidP="00784F4D">
            <w:pPr>
              <w:kinsoku/>
              <w:overflowPunct/>
              <w:autoSpaceDE/>
              <w:autoSpaceDN/>
              <w:adjustRightInd/>
              <w:snapToGrid/>
              <w:rPr>
                <w:lang w:eastAsia="en-US"/>
              </w:rPr>
            </w:pPr>
            <w:r>
              <w:rPr>
                <w:rFonts w:eastAsiaTheme="minorHAnsi"/>
                <w:lang w:eastAsia="en-US"/>
              </w:rPr>
              <w:t>Until further notice</w:t>
            </w:r>
          </w:p>
        </w:tc>
      </w:tr>
    </w:tbl>
    <w:p w14:paraId="1AA4DC14" w14:textId="77777777" w:rsidR="00CF309D" w:rsidRPr="006403F5" w:rsidRDefault="00CF309D" w:rsidP="00CF309D">
      <w:pPr>
        <w:tabs>
          <w:tab w:val="left" w:pos="2268"/>
        </w:tabs>
        <w:kinsoku/>
        <w:overflowPunct/>
        <w:autoSpaceDE/>
        <w:autoSpaceDN/>
        <w:adjustRightInd/>
        <w:snapToGrid/>
        <w:spacing w:before="120" w:after="120"/>
        <w:ind w:left="2268" w:right="1134" w:hanging="1134"/>
        <w:jc w:val="both"/>
      </w:pPr>
      <w:r w:rsidRPr="006403F5">
        <w:rPr>
          <w:rFonts w:eastAsiaTheme="minorHAnsi"/>
          <w:lang w:eastAsia="en-US"/>
        </w:rPr>
        <w:tab/>
      </w:r>
      <w:r w:rsidRPr="006403F5">
        <w:rPr>
          <w:rFonts w:eastAsiaTheme="minorHAnsi"/>
          <w:lang w:eastAsia="en-US"/>
        </w:rPr>
        <w:tab/>
      </w:r>
      <w:r>
        <w:rPr>
          <w:rFonts w:eastAsiaTheme="minorHAnsi"/>
          <w:lang w:eastAsia="en-US"/>
        </w:rPr>
        <w:t>In the first table, for</w:t>
      </w:r>
      <w:r w:rsidRPr="006403F5">
        <w:rPr>
          <w:rFonts w:eastAsiaTheme="minorHAnsi"/>
          <w:lang w:eastAsia="en-US"/>
        </w:rPr>
        <w:t xml:space="preserve"> </w:t>
      </w:r>
      <w:r>
        <w:rPr>
          <w:rFonts w:eastAsiaTheme="minorHAnsi"/>
          <w:lang w:eastAsia="en-US"/>
        </w:rPr>
        <w:t>“</w:t>
      </w:r>
      <w:r w:rsidRPr="006403F5">
        <w:rPr>
          <w:rFonts w:eastAsiaTheme="minorHAnsi"/>
          <w:lang w:eastAsia="en-US"/>
        </w:rPr>
        <w:t>ISO 10462:2013</w:t>
      </w:r>
      <w:r>
        <w:rPr>
          <w:rFonts w:eastAsiaTheme="minorHAnsi"/>
          <w:lang w:eastAsia="en-US"/>
        </w:rPr>
        <w:t>”</w:t>
      </w:r>
      <w:r w:rsidRPr="006403F5">
        <w:rPr>
          <w:rFonts w:eastAsiaTheme="minorHAnsi"/>
          <w:lang w:eastAsia="en-US"/>
        </w:rPr>
        <w:t xml:space="preserve">, </w:t>
      </w:r>
      <w:r>
        <w:rPr>
          <w:rFonts w:eastAsiaTheme="minorHAnsi"/>
          <w:lang w:eastAsia="en-US"/>
        </w:rPr>
        <w:t>in column</w:t>
      </w:r>
      <w:r w:rsidRPr="006403F5">
        <w:rPr>
          <w:rFonts w:eastAsiaTheme="minorHAnsi"/>
          <w:lang w:eastAsia="en-US"/>
        </w:rPr>
        <w:t xml:space="preserve"> </w:t>
      </w:r>
      <w:r>
        <w:rPr>
          <w:rFonts w:eastAsiaTheme="minorHAnsi"/>
          <w:lang w:eastAsia="en-US"/>
        </w:rPr>
        <w:t>“Applicable for manufacture”</w:t>
      </w:r>
      <w:r w:rsidRPr="006403F5">
        <w:rPr>
          <w:rFonts w:eastAsiaTheme="minorHAnsi"/>
          <w:lang w:eastAsia="en-US"/>
        </w:rPr>
        <w:t xml:space="preserve">, </w:t>
      </w:r>
      <w:r>
        <w:rPr>
          <w:rFonts w:eastAsiaTheme="minorHAnsi"/>
          <w:lang w:eastAsia="en-US"/>
        </w:rPr>
        <w:t>replace</w:t>
      </w:r>
      <w:r w:rsidRPr="006403F5">
        <w:rPr>
          <w:rFonts w:eastAsiaTheme="minorHAnsi"/>
          <w:lang w:eastAsia="en-US"/>
        </w:rPr>
        <w:t xml:space="preserve"> </w:t>
      </w:r>
      <w:r>
        <w:rPr>
          <w:rFonts w:eastAsiaTheme="minorHAnsi"/>
          <w:lang w:eastAsia="en-US"/>
        </w:rPr>
        <w:t>“</w:t>
      </w:r>
      <w:r w:rsidRPr="00C41B8F">
        <w:t>Until</w:t>
      </w:r>
      <w:r>
        <w:rPr>
          <w:rFonts w:eastAsiaTheme="minorHAnsi"/>
          <w:lang w:eastAsia="en-US"/>
        </w:rPr>
        <w:t xml:space="preserve"> further notice” by “Until</w:t>
      </w:r>
      <w:r w:rsidRPr="006403F5">
        <w:rPr>
          <w:rFonts w:eastAsiaTheme="minorHAnsi"/>
          <w:lang w:eastAsia="en-US"/>
        </w:rPr>
        <w:t xml:space="preserve"> 31 </w:t>
      </w:r>
      <w:r>
        <w:rPr>
          <w:rFonts w:eastAsiaTheme="minorHAnsi"/>
          <w:lang w:eastAsia="en-US"/>
        </w:rPr>
        <w:t>December</w:t>
      </w:r>
      <w:r w:rsidRPr="006403F5">
        <w:rPr>
          <w:rFonts w:eastAsiaTheme="minorHAnsi"/>
          <w:lang w:eastAsia="en-US"/>
        </w:rPr>
        <w:t xml:space="preserve"> 2024</w:t>
      </w:r>
      <w:r>
        <w:rPr>
          <w:rFonts w:eastAsiaTheme="minorHAnsi"/>
          <w:lang w:eastAsia="en-US"/>
        </w:rPr>
        <w:t>”</w:t>
      </w:r>
      <w:r w:rsidRPr="006403F5">
        <w:rPr>
          <w:rFonts w:eastAsiaTheme="minorHAnsi"/>
          <w:lang w:eastAsia="en-US"/>
        </w:rPr>
        <w:t xml:space="preserve">. </w:t>
      </w:r>
      <w:r>
        <w:t>After the entry for</w:t>
      </w:r>
      <w:r w:rsidRPr="006403F5">
        <w:t xml:space="preserve"> </w:t>
      </w:r>
      <w:r>
        <w:t>“</w:t>
      </w:r>
      <w:r w:rsidRPr="006403F5">
        <w:rPr>
          <w:rFonts w:eastAsiaTheme="minorHAnsi"/>
          <w:lang w:eastAsia="en-US"/>
        </w:rPr>
        <w:t>ISO 10462:2013</w:t>
      </w:r>
      <w:r>
        <w:t>“</w:t>
      </w:r>
      <w:r w:rsidRPr="006403F5">
        <w:t xml:space="preserve">, </w:t>
      </w:r>
      <w:r>
        <w:t>add the following new entry:</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4820"/>
        <w:gridCol w:w="1275"/>
      </w:tblGrid>
      <w:tr w:rsidR="00CF309D" w:rsidRPr="006403F5" w14:paraId="68314484" w14:textId="77777777" w:rsidTr="00784F4D">
        <w:tc>
          <w:tcPr>
            <w:tcW w:w="1544" w:type="dxa"/>
            <w:shd w:val="clear" w:color="auto" w:fill="auto"/>
          </w:tcPr>
          <w:p w14:paraId="419BA45C" w14:textId="77777777" w:rsidR="00CF309D" w:rsidRPr="006403F5" w:rsidRDefault="00CF309D" w:rsidP="00784F4D">
            <w:pPr>
              <w:kinsoku/>
              <w:overflowPunct/>
              <w:autoSpaceDE/>
              <w:autoSpaceDN/>
              <w:adjustRightInd/>
              <w:snapToGrid/>
              <w:rPr>
                <w:lang w:eastAsia="en-US"/>
              </w:rPr>
            </w:pPr>
            <w:r w:rsidRPr="006403F5">
              <w:rPr>
                <w:lang w:eastAsia="en-US"/>
              </w:rPr>
              <w:t>ISO 10462:2013 + Amd1:2019</w:t>
            </w:r>
          </w:p>
        </w:tc>
        <w:tc>
          <w:tcPr>
            <w:tcW w:w="4820" w:type="dxa"/>
            <w:shd w:val="clear" w:color="auto" w:fill="auto"/>
          </w:tcPr>
          <w:p w14:paraId="0AFD4700" w14:textId="77777777" w:rsidR="00CF309D" w:rsidRPr="006403F5" w:rsidRDefault="00CF309D" w:rsidP="00784F4D">
            <w:pPr>
              <w:kinsoku/>
              <w:overflowPunct/>
              <w:autoSpaceDE/>
              <w:autoSpaceDN/>
              <w:adjustRightInd/>
              <w:snapToGrid/>
              <w:jc w:val="both"/>
              <w:rPr>
                <w:lang w:eastAsia="en-US"/>
              </w:rPr>
            </w:pPr>
            <w:r w:rsidRPr="00C232BB">
              <w:rPr>
                <w:iCs/>
                <w:color w:val="000000"/>
              </w:rPr>
              <w:t>Gas cylinders – Acetylene cylinders – Periodic inspection and maintenance</w:t>
            </w:r>
          </w:p>
        </w:tc>
        <w:tc>
          <w:tcPr>
            <w:tcW w:w="1275" w:type="dxa"/>
            <w:shd w:val="clear" w:color="auto" w:fill="auto"/>
          </w:tcPr>
          <w:p w14:paraId="31997BDB" w14:textId="77777777" w:rsidR="00CF309D" w:rsidRPr="006403F5" w:rsidRDefault="00CF309D" w:rsidP="00784F4D">
            <w:pPr>
              <w:kinsoku/>
              <w:overflowPunct/>
              <w:autoSpaceDE/>
              <w:autoSpaceDN/>
              <w:adjustRightInd/>
              <w:snapToGrid/>
              <w:rPr>
                <w:lang w:eastAsia="en-US"/>
              </w:rPr>
            </w:pPr>
            <w:r>
              <w:rPr>
                <w:rFonts w:eastAsiaTheme="minorHAnsi"/>
                <w:lang w:eastAsia="en-US"/>
              </w:rPr>
              <w:t>Until further notice</w:t>
            </w:r>
          </w:p>
        </w:tc>
      </w:tr>
    </w:tbl>
    <w:p w14:paraId="451E727D" w14:textId="77777777" w:rsidR="00CF309D" w:rsidRPr="006403F5" w:rsidRDefault="00CF309D" w:rsidP="00CF309D">
      <w:pPr>
        <w:tabs>
          <w:tab w:val="left" w:pos="2268"/>
        </w:tabs>
        <w:kinsoku/>
        <w:overflowPunct/>
        <w:autoSpaceDE/>
        <w:autoSpaceDN/>
        <w:adjustRightInd/>
        <w:snapToGrid/>
        <w:spacing w:before="120" w:after="120"/>
        <w:ind w:left="2268" w:right="1134" w:hanging="1134"/>
        <w:jc w:val="both"/>
        <w:rPr>
          <w:rFonts w:eastAsiaTheme="minorHAnsi"/>
          <w:lang w:eastAsia="en-US"/>
        </w:rPr>
      </w:pPr>
      <w:r w:rsidRPr="006403F5">
        <w:rPr>
          <w:rFonts w:eastAsiaTheme="minorHAnsi"/>
          <w:lang w:eastAsia="en-US"/>
        </w:rPr>
        <w:tab/>
      </w:r>
      <w:r>
        <w:rPr>
          <w:rFonts w:eastAsiaTheme="minorHAnsi"/>
          <w:lang w:eastAsia="en-US"/>
        </w:rPr>
        <w:t>At the end of the first table</w:t>
      </w:r>
      <w:r w:rsidRPr="006403F5">
        <w:rPr>
          <w:rFonts w:eastAsiaTheme="minorHAnsi"/>
          <w:lang w:eastAsia="en-US"/>
        </w:rPr>
        <w:t xml:space="preserve">, </w:t>
      </w:r>
      <w:r>
        <w:rPr>
          <w:rFonts w:eastAsiaTheme="minorHAnsi"/>
          <w:lang w:eastAsia="en-US"/>
        </w:rPr>
        <w:t>add the following new entry</w:t>
      </w:r>
      <w:r w:rsidRPr="006403F5">
        <w:rPr>
          <w:rFonts w:eastAsiaTheme="minorHAnsi"/>
          <w:lang w:eastAsia="en-US"/>
        </w:rPr>
        <w:t>:</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4820"/>
        <w:gridCol w:w="1275"/>
      </w:tblGrid>
      <w:tr w:rsidR="00CF309D" w:rsidRPr="006403F5" w14:paraId="541F3CD4" w14:textId="77777777" w:rsidTr="00784F4D">
        <w:tc>
          <w:tcPr>
            <w:tcW w:w="1544" w:type="dxa"/>
            <w:shd w:val="clear" w:color="auto" w:fill="auto"/>
          </w:tcPr>
          <w:p w14:paraId="3C1B0CE3" w14:textId="77777777" w:rsidR="00CF309D" w:rsidRPr="006403F5" w:rsidRDefault="00CF309D" w:rsidP="00784F4D">
            <w:pPr>
              <w:kinsoku/>
              <w:overflowPunct/>
              <w:autoSpaceDE/>
              <w:autoSpaceDN/>
              <w:adjustRightInd/>
              <w:snapToGrid/>
              <w:rPr>
                <w:lang w:eastAsia="en-US"/>
              </w:rPr>
            </w:pPr>
            <w:r w:rsidRPr="006403F5">
              <w:rPr>
                <w:lang w:eastAsia="en-US"/>
              </w:rPr>
              <w:lastRenderedPageBreak/>
              <w:t>ISO 23088:2020</w:t>
            </w:r>
          </w:p>
        </w:tc>
        <w:tc>
          <w:tcPr>
            <w:tcW w:w="4820" w:type="dxa"/>
            <w:shd w:val="clear" w:color="auto" w:fill="auto"/>
          </w:tcPr>
          <w:p w14:paraId="74CA3462" w14:textId="77777777" w:rsidR="00CF309D" w:rsidRPr="00B75095" w:rsidRDefault="00CF309D" w:rsidP="00784F4D">
            <w:pPr>
              <w:kinsoku/>
              <w:overflowPunct/>
              <w:autoSpaceDE/>
              <w:autoSpaceDN/>
              <w:adjustRightInd/>
              <w:snapToGrid/>
              <w:rPr>
                <w:i/>
                <w:lang w:eastAsia="en-US"/>
              </w:rPr>
            </w:pPr>
            <w:r w:rsidRPr="00C232BB">
              <w:rPr>
                <w:iCs/>
                <w:color w:val="000000"/>
              </w:rPr>
              <w:t xml:space="preserve">Gas cylinders – Periodic inspection and testing of welded steel pressure drums — Capacities up to 1 000 </w:t>
            </w:r>
            <w:r>
              <w:rPr>
                <w:i/>
                <w:color w:val="000000"/>
              </w:rPr>
              <w:t>l</w:t>
            </w:r>
          </w:p>
        </w:tc>
        <w:tc>
          <w:tcPr>
            <w:tcW w:w="1275" w:type="dxa"/>
            <w:shd w:val="clear" w:color="auto" w:fill="auto"/>
          </w:tcPr>
          <w:p w14:paraId="0C487E3A" w14:textId="77777777" w:rsidR="00CF309D" w:rsidRPr="006403F5" w:rsidRDefault="00CF309D" w:rsidP="00784F4D">
            <w:pPr>
              <w:kinsoku/>
              <w:overflowPunct/>
              <w:autoSpaceDE/>
              <w:autoSpaceDN/>
              <w:adjustRightInd/>
              <w:snapToGrid/>
              <w:rPr>
                <w:lang w:eastAsia="en-US"/>
              </w:rPr>
            </w:pPr>
            <w:r>
              <w:rPr>
                <w:rFonts w:eastAsiaTheme="minorHAnsi"/>
                <w:lang w:eastAsia="en-US"/>
              </w:rPr>
              <w:t>Until further notice</w:t>
            </w:r>
          </w:p>
        </w:tc>
      </w:tr>
    </w:tbl>
    <w:p w14:paraId="4D6D6EFA" w14:textId="77777777" w:rsidR="00CF309D" w:rsidRPr="006403F5" w:rsidRDefault="00CF309D" w:rsidP="00CF309D">
      <w:pPr>
        <w:tabs>
          <w:tab w:val="left" w:pos="2268"/>
        </w:tabs>
        <w:kinsoku/>
        <w:overflowPunct/>
        <w:autoSpaceDE/>
        <w:autoSpaceDN/>
        <w:adjustRightInd/>
        <w:snapToGrid/>
        <w:spacing w:before="120" w:after="120"/>
        <w:ind w:left="2268" w:right="1134" w:hanging="1134"/>
        <w:jc w:val="both"/>
      </w:pPr>
      <w:r w:rsidRPr="006403F5">
        <w:rPr>
          <w:rFonts w:eastAsiaTheme="minorHAnsi"/>
          <w:lang w:eastAsia="en-US"/>
        </w:rPr>
        <w:tab/>
      </w:r>
      <w:r>
        <w:rPr>
          <w:rFonts w:eastAsiaTheme="minorHAnsi"/>
          <w:lang w:eastAsia="en-US"/>
        </w:rPr>
        <w:t>In the second table, for</w:t>
      </w:r>
      <w:r w:rsidRPr="006403F5">
        <w:rPr>
          <w:rFonts w:eastAsiaTheme="minorHAnsi"/>
          <w:lang w:eastAsia="en-US"/>
        </w:rPr>
        <w:t xml:space="preserve"> </w:t>
      </w:r>
      <w:r>
        <w:rPr>
          <w:rFonts w:eastAsiaTheme="minorHAnsi"/>
          <w:lang w:eastAsia="en-US"/>
        </w:rPr>
        <w:t>“</w:t>
      </w:r>
      <w:r w:rsidRPr="006403F5">
        <w:rPr>
          <w:rFonts w:eastAsiaTheme="minorHAnsi"/>
          <w:lang w:eastAsia="en-US"/>
        </w:rPr>
        <w:t>ISO 16111:2008</w:t>
      </w:r>
      <w:r>
        <w:rPr>
          <w:rFonts w:eastAsiaTheme="minorHAnsi"/>
          <w:lang w:eastAsia="en-US"/>
        </w:rPr>
        <w:t>”</w:t>
      </w:r>
      <w:r w:rsidRPr="006403F5">
        <w:rPr>
          <w:rFonts w:eastAsiaTheme="minorHAnsi"/>
          <w:lang w:eastAsia="en-US"/>
        </w:rPr>
        <w:t xml:space="preserve">, </w:t>
      </w:r>
      <w:r>
        <w:rPr>
          <w:rFonts w:eastAsiaTheme="minorHAnsi"/>
          <w:lang w:eastAsia="en-US"/>
        </w:rPr>
        <w:t>in column</w:t>
      </w:r>
      <w:r w:rsidRPr="006403F5">
        <w:rPr>
          <w:rFonts w:eastAsiaTheme="minorHAnsi"/>
          <w:lang w:eastAsia="en-US"/>
        </w:rPr>
        <w:t xml:space="preserve"> </w:t>
      </w:r>
      <w:r>
        <w:rPr>
          <w:rFonts w:eastAsiaTheme="minorHAnsi"/>
          <w:lang w:eastAsia="en-US"/>
        </w:rPr>
        <w:t>“Applicable for manufacture”</w:t>
      </w:r>
      <w:r w:rsidRPr="006403F5">
        <w:rPr>
          <w:rFonts w:eastAsiaTheme="minorHAnsi"/>
          <w:lang w:eastAsia="en-US"/>
        </w:rPr>
        <w:t xml:space="preserve">, </w:t>
      </w:r>
      <w:r>
        <w:rPr>
          <w:rFonts w:eastAsiaTheme="minorHAnsi"/>
          <w:lang w:eastAsia="en-US"/>
        </w:rPr>
        <w:t>replace</w:t>
      </w:r>
      <w:r w:rsidRPr="006403F5">
        <w:rPr>
          <w:rFonts w:eastAsiaTheme="minorHAnsi"/>
          <w:lang w:eastAsia="en-US"/>
        </w:rPr>
        <w:t xml:space="preserve"> </w:t>
      </w:r>
      <w:r>
        <w:rPr>
          <w:rFonts w:eastAsiaTheme="minorHAnsi"/>
          <w:lang w:eastAsia="en-US"/>
        </w:rPr>
        <w:t>“</w:t>
      </w:r>
      <w:r w:rsidRPr="00C41B8F">
        <w:t>Until</w:t>
      </w:r>
      <w:r>
        <w:rPr>
          <w:rFonts w:eastAsiaTheme="minorHAnsi"/>
          <w:lang w:eastAsia="en-US"/>
        </w:rPr>
        <w:t xml:space="preserve"> further notice” by “Until</w:t>
      </w:r>
      <w:r w:rsidRPr="006403F5">
        <w:rPr>
          <w:rFonts w:eastAsiaTheme="minorHAnsi"/>
          <w:lang w:eastAsia="en-US"/>
        </w:rPr>
        <w:t xml:space="preserve"> 31 </w:t>
      </w:r>
      <w:r>
        <w:rPr>
          <w:rFonts w:eastAsiaTheme="minorHAnsi"/>
          <w:lang w:eastAsia="en-US"/>
        </w:rPr>
        <w:t>December</w:t>
      </w:r>
      <w:r w:rsidRPr="006403F5">
        <w:rPr>
          <w:rFonts w:eastAsiaTheme="minorHAnsi"/>
          <w:lang w:eastAsia="en-US"/>
        </w:rPr>
        <w:t xml:space="preserve"> 2024</w:t>
      </w:r>
      <w:r>
        <w:rPr>
          <w:rFonts w:eastAsiaTheme="minorHAnsi"/>
          <w:lang w:eastAsia="en-US"/>
        </w:rPr>
        <w:t>”</w:t>
      </w:r>
      <w:r w:rsidRPr="006403F5">
        <w:rPr>
          <w:rFonts w:eastAsiaTheme="minorHAnsi"/>
          <w:lang w:eastAsia="en-US"/>
        </w:rPr>
        <w:t xml:space="preserve">. </w:t>
      </w:r>
      <w:r>
        <w:t>After the entry for</w:t>
      </w:r>
      <w:r w:rsidRPr="006403F5">
        <w:t xml:space="preserve"> </w:t>
      </w:r>
      <w:r>
        <w:t>“</w:t>
      </w:r>
      <w:r w:rsidRPr="006403F5">
        <w:rPr>
          <w:rFonts w:eastAsiaTheme="minorHAnsi"/>
          <w:lang w:eastAsia="en-US"/>
        </w:rPr>
        <w:t>ISO 16111:2008</w:t>
      </w:r>
      <w:r>
        <w:t>”</w:t>
      </w:r>
      <w:r w:rsidRPr="006403F5">
        <w:t xml:space="preserve">, </w:t>
      </w:r>
      <w:r>
        <w:t>add the following new entry:</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4820"/>
        <w:gridCol w:w="1275"/>
      </w:tblGrid>
      <w:tr w:rsidR="00CF309D" w:rsidRPr="006403F5" w14:paraId="1A14EDCA" w14:textId="77777777" w:rsidTr="00784F4D">
        <w:tc>
          <w:tcPr>
            <w:tcW w:w="1544" w:type="dxa"/>
            <w:shd w:val="clear" w:color="auto" w:fill="auto"/>
          </w:tcPr>
          <w:p w14:paraId="7A473E1D" w14:textId="77777777" w:rsidR="00CF309D" w:rsidRPr="006403F5" w:rsidRDefault="00CF309D" w:rsidP="00784F4D">
            <w:pPr>
              <w:kinsoku/>
              <w:overflowPunct/>
              <w:autoSpaceDE/>
              <w:autoSpaceDN/>
              <w:adjustRightInd/>
              <w:snapToGrid/>
              <w:rPr>
                <w:lang w:eastAsia="en-US"/>
              </w:rPr>
            </w:pPr>
            <w:r w:rsidRPr="006403F5">
              <w:rPr>
                <w:lang w:eastAsia="en-US"/>
              </w:rPr>
              <w:t>ISO 16111:2018</w:t>
            </w:r>
          </w:p>
        </w:tc>
        <w:tc>
          <w:tcPr>
            <w:tcW w:w="4820" w:type="dxa"/>
            <w:shd w:val="clear" w:color="auto" w:fill="auto"/>
          </w:tcPr>
          <w:p w14:paraId="1A26E1D0" w14:textId="77777777" w:rsidR="00CF309D" w:rsidRPr="006403F5" w:rsidRDefault="00CF309D" w:rsidP="00784F4D">
            <w:pPr>
              <w:kinsoku/>
              <w:overflowPunct/>
              <w:autoSpaceDE/>
              <w:autoSpaceDN/>
              <w:adjustRightInd/>
              <w:snapToGrid/>
              <w:jc w:val="both"/>
              <w:rPr>
                <w:lang w:eastAsia="en-US"/>
              </w:rPr>
            </w:pPr>
            <w:r w:rsidRPr="000D649F">
              <w:rPr>
                <w:iCs/>
                <w:color w:val="000000"/>
                <w:lang w:eastAsia="en-US"/>
              </w:rPr>
              <w:t>Transportable gas storage devices – Hydrogen absorbed in reversible metal hydride</w:t>
            </w:r>
          </w:p>
        </w:tc>
        <w:tc>
          <w:tcPr>
            <w:tcW w:w="1275" w:type="dxa"/>
            <w:shd w:val="clear" w:color="auto" w:fill="auto"/>
          </w:tcPr>
          <w:p w14:paraId="60B1A507" w14:textId="77777777" w:rsidR="00CF309D" w:rsidRPr="006403F5" w:rsidRDefault="00CF309D" w:rsidP="00784F4D">
            <w:pPr>
              <w:kinsoku/>
              <w:overflowPunct/>
              <w:autoSpaceDE/>
              <w:autoSpaceDN/>
              <w:adjustRightInd/>
              <w:snapToGrid/>
              <w:rPr>
                <w:lang w:eastAsia="en-US"/>
              </w:rPr>
            </w:pPr>
            <w:r>
              <w:rPr>
                <w:rFonts w:eastAsiaTheme="minorHAnsi"/>
                <w:lang w:eastAsia="en-US"/>
              </w:rPr>
              <w:t>Until further notice</w:t>
            </w:r>
          </w:p>
        </w:tc>
      </w:tr>
    </w:tbl>
    <w:p w14:paraId="2FF3159B" w14:textId="77777777" w:rsidR="00CF309D" w:rsidRPr="00101547" w:rsidRDefault="00CF309D" w:rsidP="00CF309D">
      <w:pPr>
        <w:pStyle w:val="SingleTxtG"/>
        <w:spacing w:before="120"/>
        <w:rPr>
          <w:i/>
          <w:iCs/>
        </w:rPr>
      </w:pPr>
      <w:r w:rsidRPr="00101547">
        <w:rPr>
          <w:i/>
          <w:iCs/>
        </w:rPr>
        <w:t xml:space="preserve">(Reference document: informal document </w:t>
      </w:r>
      <w:r>
        <w:rPr>
          <w:i/>
          <w:iCs/>
        </w:rPr>
        <w:t>INF.57</w:t>
      </w:r>
      <w:r w:rsidRPr="00101547">
        <w:rPr>
          <w:i/>
          <w:iCs/>
        </w:rPr>
        <w:t>, proposal</w:t>
      </w:r>
      <w:r>
        <w:rPr>
          <w:i/>
          <w:iCs/>
        </w:rPr>
        <w:t>s</w:t>
      </w:r>
      <w:r w:rsidRPr="00101547">
        <w:rPr>
          <w:i/>
          <w:iCs/>
        </w:rPr>
        <w:t xml:space="preserve"> </w:t>
      </w:r>
      <w:r>
        <w:rPr>
          <w:i/>
          <w:iCs/>
        </w:rPr>
        <w:t>5, 7, 11 and 12</w:t>
      </w:r>
      <w:r w:rsidRPr="00101547">
        <w:rPr>
          <w:i/>
          <w:iCs/>
        </w:rPr>
        <w:t>)</w:t>
      </w:r>
    </w:p>
    <w:p w14:paraId="1B90B021" w14:textId="77777777" w:rsidR="00CF309D" w:rsidRDefault="00CF309D" w:rsidP="00CF309D">
      <w:pPr>
        <w:pStyle w:val="SingleTxtG"/>
        <w:ind w:left="2268" w:hanging="1134"/>
      </w:pPr>
      <w:r>
        <w:t>6.2.4</w:t>
      </w:r>
      <w:r>
        <w:tab/>
        <w:t>Below the heading, add a new paragraph to read as follows:</w:t>
      </w:r>
    </w:p>
    <w:p w14:paraId="18C1AD25" w14:textId="77777777" w:rsidR="00CF309D" w:rsidRDefault="00CF309D" w:rsidP="00CF309D">
      <w:pPr>
        <w:pStyle w:val="SingleTxtG"/>
      </w:pPr>
      <w:r>
        <w:rPr>
          <w:lang w:val="en-US"/>
        </w:rPr>
        <w:t>“</w:t>
      </w:r>
      <w:r>
        <w:t>6.2.4.1</w:t>
      </w:r>
      <w:r>
        <w:tab/>
      </w:r>
      <w:r w:rsidRPr="007D3D0D">
        <w:t>The internal pressure of aerosol dispensers at 50 °C shall not exceed 1.2</w:t>
      </w:r>
      <w:r>
        <w:t> </w:t>
      </w:r>
      <w:r w:rsidRPr="007D3D0D">
        <w:t>MPa (12 bar) when using flammable liquefied gases, 1</w:t>
      </w:r>
      <w:r>
        <w:t>.</w:t>
      </w:r>
      <w:r w:rsidRPr="007D3D0D">
        <w:t>32 MPa (13.2 bar) when using non-flammable liquefied gases, and 1.5 MPa (15 bar) when using non-flammable compressed or dissolved gases.</w:t>
      </w:r>
      <w:r>
        <w:t xml:space="preserve"> In case of a mixture of several gases, the stricter limit shall apply.”</w:t>
      </w:r>
    </w:p>
    <w:p w14:paraId="591C1F09" w14:textId="77777777" w:rsidR="00CF309D" w:rsidRDefault="00CF309D" w:rsidP="00CF309D">
      <w:pPr>
        <w:pStyle w:val="SingleTxtG"/>
        <w:ind w:left="2268" w:hanging="1134"/>
        <w:rPr>
          <w:lang w:val="en-US"/>
        </w:rPr>
      </w:pPr>
      <w:r>
        <w:rPr>
          <w:lang w:val="en-US"/>
        </w:rPr>
        <w:tab/>
        <w:t>The existing paragraph below the title becomes 6.2.4.2.</w:t>
      </w:r>
    </w:p>
    <w:p w14:paraId="26DF77C2" w14:textId="77777777" w:rsidR="00CF309D" w:rsidRDefault="00CF309D" w:rsidP="00CF309D">
      <w:pPr>
        <w:pStyle w:val="SingleTxtG"/>
        <w:ind w:left="2268" w:hanging="1134"/>
        <w:rPr>
          <w:lang w:val="en-US"/>
        </w:rPr>
      </w:pPr>
      <w:r>
        <w:rPr>
          <w:lang w:val="en-US"/>
        </w:rPr>
        <w:tab/>
        <w:t>Renumber the following subparagraphs as follows: 6.2.4.1 to 6.2.4.2.1, 6.2.4.1.1 to 6.2.4.2.1.1, 6.2.4.1.2 to 6.2.4.2.1.2, 6.2.4.2 to 6.2.4.2.2, 6.2.4.2.1 to 6.2.4.2.2.1, 6.2.4.2.2 to 6.2.4.2.2.2, 6.2.4.2.2.1 to 6.2.4.2.2.2.1, 6.2.4.2.2.2 to 6.2.4.2.2.2.2, 6.2.4.2.3 to 6.2.4.2.2.3, 6.2.4.2.3.1 to 6.2.4.2.2.3.1, 6.2.4.2.3.2 to 6.2.4.2.2.3.2 and 6.2.4.3 to 6.2.4.2.3.</w:t>
      </w:r>
    </w:p>
    <w:p w14:paraId="66021EFF" w14:textId="77777777" w:rsidR="00CF309D" w:rsidRPr="001A78B8" w:rsidRDefault="00CF309D" w:rsidP="00CF309D">
      <w:pPr>
        <w:pStyle w:val="SingleTxtG"/>
        <w:ind w:left="2268" w:hanging="1134"/>
        <w:rPr>
          <w:lang w:val="en-US"/>
        </w:rPr>
      </w:pPr>
      <w:r>
        <w:rPr>
          <w:lang w:val="en-US"/>
        </w:rPr>
        <w:tab/>
        <w:t>In the renumbered 6.2.4.2, replace “6.2.4.2.2” by “6.2.4.2.2.2” and “6.2.4.2.3” by “6.2.4.2.2.3”.</w:t>
      </w:r>
    </w:p>
    <w:p w14:paraId="7A6C0E73" w14:textId="77777777" w:rsidR="00CF309D" w:rsidRPr="001A78B8" w:rsidRDefault="00CF309D" w:rsidP="00CF309D">
      <w:pPr>
        <w:pStyle w:val="SingleTxtG"/>
        <w:ind w:left="2268" w:hanging="1134"/>
        <w:rPr>
          <w:lang w:val="en-US"/>
        </w:rPr>
      </w:pPr>
      <w:r>
        <w:rPr>
          <w:lang w:val="en-US"/>
        </w:rPr>
        <w:tab/>
        <w:t>In the renumbered 6.2.4.2.2, replace “6.2.4.1” by “6.2.4.2.1” and “6.2.4.2” by “6.2.4.2.2”.</w:t>
      </w:r>
    </w:p>
    <w:p w14:paraId="1E734E9C" w14:textId="77777777" w:rsidR="00CF309D" w:rsidRPr="001A78B8" w:rsidRDefault="00CF309D" w:rsidP="00CF309D">
      <w:pPr>
        <w:pStyle w:val="SingleTxtG"/>
        <w:ind w:left="2268" w:hanging="1134"/>
        <w:rPr>
          <w:lang w:val="en-US"/>
        </w:rPr>
      </w:pPr>
      <w:r w:rsidRPr="00804977">
        <w:rPr>
          <w:i/>
          <w:iCs/>
        </w:rPr>
        <w:t xml:space="preserve"> </w:t>
      </w:r>
      <w:r>
        <w:rPr>
          <w:lang w:val="en-US"/>
        </w:rPr>
        <w:tab/>
        <w:t>In the renumbered 6.2.4.2.3, replace “6.2.4.1” by “6.2.4.2.1” and “6.2.4.2” by “6.2.4.2.2”.</w:t>
      </w:r>
    </w:p>
    <w:p w14:paraId="489B81D3" w14:textId="77777777" w:rsidR="00CF309D" w:rsidRPr="00843762" w:rsidRDefault="00CF309D" w:rsidP="00CF309D">
      <w:pPr>
        <w:pStyle w:val="SingleTxtG"/>
        <w:rPr>
          <w:i/>
          <w:iCs/>
        </w:rPr>
      </w:pPr>
      <w:r w:rsidRPr="00804977">
        <w:rPr>
          <w:i/>
          <w:iCs/>
        </w:rPr>
        <w:t>(Reference document: ST/SG/AC.10/C.3/20</w:t>
      </w:r>
      <w:r>
        <w:rPr>
          <w:i/>
          <w:iCs/>
        </w:rPr>
        <w:t>20</w:t>
      </w:r>
      <w:r w:rsidRPr="00804977">
        <w:rPr>
          <w:i/>
          <w:iCs/>
        </w:rPr>
        <w:t>/</w:t>
      </w:r>
      <w:r>
        <w:rPr>
          <w:i/>
          <w:iCs/>
        </w:rPr>
        <w:t>43, as amended</w:t>
      </w:r>
      <w:r w:rsidRPr="00804977">
        <w:rPr>
          <w:i/>
          <w:iCs/>
        </w:rPr>
        <w:t>)</w:t>
      </w:r>
    </w:p>
    <w:p w14:paraId="10D05C9D" w14:textId="77777777" w:rsidR="00CF309D" w:rsidRDefault="00CF309D" w:rsidP="00CF309D">
      <w:pPr>
        <w:pStyle w:val="H1G"/>
      </w:pPr>
      <w:r>
        <w:tab/>
      </w:r>
      <w:r>
        <w:tab/>
        <w:t>Chapter 6.3</w:t>
      </w:r>
    </w:p>
    <w:p w14:paraId="247DA829" w14:textId="77777777" w:rsidR="00CF309D" w:rsidRPr="00BB4643" w:rsidRDefault="00CF309D" w:rsidP="00CF309D">
      <w:pPr>
        <w:spacing w:after="120"/>
        <w:ind w:left="1134" w:right="1134"/>
        <w:jc w:val="both"/>
        <w:rPr>
          <w:rFonts w:eastAsiaTheme="minorHAnsi"/>
          <w:lang w:eastAsia="en-US"/>
        </w:rPr>
      </w:pPr>
      <w:r>
        <w:rPr>
          <w:rFonts w:eastAsia="Times New Roman"/>
          <w:lang w:eastAsia="en-US"/>
        </w:rPr>
        <w:t>6.3.2.1</w:t>
      </w:r>
      <w:r>
        <w:rPr>
          <w:rFonts w:eastAsia="Times New Roman"/>
          <w:lang w:eastAsia="en-US"/>
        </w:rPr>
        <w:tab/>
      </w:r>
      <w:r w:rsidRPr="00BB4643">
        <w:rPr>
          <w:rFonts w:eastAsia="Times New Roman"/>
          <w:lang w:eastAsia="en-US"/>
        </w:rPr>
        <w:tab/>
      </w:r>
      <w:r w:rsidRPr="00A20118">
        <w:rPr>
          <w:rFonts w:eastAsiaTheme="minorHAnsi"/>
          <w:lang w:eastAsia="en-US"/>
        </w:rPr>
        <w:t>In the second sentence</w:t>
      </w:r>
      <w:r w:rsidRPr="00BB4643">
        <w:rPr>
          <w:rFonts w:eastAsiaTheme="minorHAnsi"/>
          <w:lang w:eastAsia="en-US"/>
        </w:rPr>
        <w:t xml:space="preserve">, </w:t>
      </w:r>
      <w:r w:rsidRPr="00A20118">
        <w:rPr>
          <w:rFonts w:eastAsiaTheme="minorHAnsi"/>
          <w:lang w:eastAsia="en-US"/>
        </w:rPr>
        <w:t>replace “successfully to withstand the tests” by “to successfully fulfil the requirements”.</w:t>
      </w:r>
    </w:p>
    <w:p w14:paraId="03A8FE6C" w14:textId="77777777" w:rsidR="00CF309D" w:rsidRDefault="00CF309D" w:rsidP="00CF309D">
      <w:pPr>
        <w:kinsoku/>
        <w:overflowPunct/>
        <w:autoSpaceDE/>
        <w:autoSpaceDN/>
        <w:adjustRightInd/>
        <w:snapToGrid/>
        <w:spacing w:after="120"/>
        <w:ind w:left="2268" w:right="1134" w:hanging="1134"/>
        <w:jc w:val="both"/>
        <w:rPr>
          <w:rFonts w:eastAsia="Times New Roman"/>
          <w:i/>
          <w:iCs/>
          <w:lang w:eastAsia="en-US"/>
        </w:rPr>
      </w:pPr>
      <w:r w:rsidRPr="00A20118">
        <w:rPr>
          <w:i/>
          <w:iCs/>
        </w:rPr>
        <w:t xml:space="preserve">(Reference document: </w:t>
      </w:r>
      <w:r w:rsidRPr="00BB4643">
        <w:rPr>
          <w:rFonts w:eastAsia="Times New Roman"/>
          <w:i/>
          <w:iCs/>
          <w:lang w:eastAsia="en-US"/>
        </w:rPr>
        <w:t>ST/SG/AC.10/C.3/2020/28/Rev.1)</w:t>
      </w:r>
    </w:p>
    <w:p w14:paraId="05351A54" w14:textId="77777777" w:rsidR="00CF309D" w:rsidRDefault="00CF309D" w:rsidP="00CF309D">
      <w:pPr>
        <w:pStyle w:val="SingleTxtG"/>
        <w:ind w:left="2268" w:hanging="1134"/>
        <w:rPr>
          <w:lang w:val="en-US"/>
        </w:rPr>
      </w:pPr>
      <w:r>
        <w:t>6.3.2.2</w:t>
      </w:r>
      <w:r>
        <w:tab/>
      </w:r>
      <w:r>
        <w:tab/>
      </w:r>
      <w:r>
        <w:rPr>
          <w:lang w:val="en-US"/>
        </w:rPr>
        <w:t>In the Note, replace “ISO 16106:2006” by “ISO 16106:2020” and delete “</w:t>
      </w:r>
      <w:r w:rsidRPr="00D7302E">
        <w:rPr>
          <w:lang w:val="en-US"/>
        </w:rPr>
        <w:t>Packaging –</w:t>
      </w:r>
      <w:r>
        <w:rPr>
          <w:lang w:val="en-US"/>
        </w:rPr>
        <w:t>” in the standard’s title.</w:t>
      </w:r>
    </w:p>
    <w:p w14:paraId="613FB89E" w14:textId="77777777" w:rsidR="00CF309D" w:rsidRPr="00843762" w:rsidRDefault="00CF309D" w:rsidP="00CF309D">
      <w:pPr>
        <w:pStyle w:val="SingleTxtG"/>
        <w:rPr>
          <w:i/>
          <w:iCs/>
        </w:rPr>
      </w:pPr>
      <w:r w:rsidRPr="00804977">
        <w:rPr>
          <w:i/>
          <w:iCs/>
        </w:rPr>
        <w:t>(Reference document: ST/SG/AC.10/C.3/20</w:t>
      </w:r>
      <w:r>
        <w:rPr>
          <w:i/>
          <w:iCs/>
        </w:rPr>
        <w:t>20</w:t>
      </w:r>
      <w:r w:rsidRPr="00804977">
        <w:rPr>
          <w:i/>
          <w:iCs/>
        </w:rPr>
        <w:t>/</w:t>
      </w:r>
      <w:r>
        <w:rPr>
          <w:i/>
          <w:iCs/>
        </w:rPr>
        <w:t>50</w:t>
      </w:r>
      <w:r w:rsidRPr="00804977">
        <w:rPr>
          <w:i/>
          <w:iCs/>
        </w:rPr>
        <w:t>)</w:t>
      </w:r>
    </w:p>
    <w:p w14:paraId="649A76C3" w14:textId="77777777" w:rsidR="00CF309D" w:rsidRPr="00007C2E" w:rsidRDefault="00CF309D" w:rsidP="00CF309D">
      <w:pPr>
        <w:pStyle w:val="H1G"/>
      </w:pPr>
      <w:r w:rsidRPr="00007C2E">
        <w:tab/>
      </w:r>
      <w:r w:rsidRPr="00007C2E">
        <w:tab/>
        <w:t xml:space="preserve">Chapter </w:t>
      </w:r>
      <w:r>
        <w:t>6.4</w:t>
      </w:r>
    </w:p>
    <w:p w14:paraId="14CB103A" w14:textId="77777777" w:rsidR="00CF309D" w:rsidRPr="00C9676E" w:rsidRDefault="00CF309D" w:rsidP="00CF309D">
      <w:pPr>
        <w:pStyle w:val="SingleTxtG"/>
        <w:ind w:left="2268" w:hanging="1134"/>
        <w:rPr>
          <w:lang w:val="en-US"/>
        </w:rPr>
      </w:pPr>
      <w:r w:rsidRPr="00C9676E">
        <w:rPr>
          <w:lang w:val="en-US"/>
        </w:rPr>
        <w:t>6.4.12.1</w:t>
      </w:r>
      <w:r w:rsidRPr="00C9676E">
        <w:rPr>
          <w:lang w:val="en-US"/>
        </w:rPr>
        <w:tab/>
        <w:t>In the first sentence, delete “2.7.2.3.1.3, 2.7.2.3.1.4,” and after “2.7.2.3.4.2”, insert “, 2.7.2.3.4.3”.</w:t>
      </w:r>
    </w:p>
    <w:p w14:paraId="4D3A3E70" w14:textId="77777777" w:rsidR="00CF309D" w:rsidRPr="00007C2E" w:rsidRDefault="00CF309D" w:rsidP="00CF309D">
      <w:pPr>
        <w:pStyle w:val="SingleTxtG"/>
        <w:rPr>
          <w:i/>
          <w:iCs/>
        </w:rPr>
      </w:pPr>
      <w:r w:rsidRPr="00007C2E">
        <w:rPr>
          <w:i/>
          <w:iCs/>
        </w:rPr>
        <w:t xml:space="preserve">(Reference document: </w:t>
      </w:r>
      <w:r>
        <w:rPr>
          <w:i/>
          <w:iCs/>
        </w:rPr>
        <w:t>informal document INF.</w:t>
      </w:r>
      <w:r>
        <w:rPr>
          <w:i/>
          <w:iCs/>
          <w:lang w:val="en-US"/>
        </w:rPr>
        <w:t>30</w:t>
      </w:r>
      <w:r w:rsidRPr="00007C2E">
        <w:rPr>
          <w:i/>
          <w:iCs/>
        </w:rPr>
        <w:t>)</w:t>
      </w:r>
    </w:p>
    <w:p w14:paraId="4E7A1F76" w14:textId="77777777" w:rsidR="00CF309D" w:rsidRPr="00AE371B" w:rsidRDefault="00CF309D" w:rsidP="00CF309D">
      <w:pPr>
        <w:pStyle w:val="SingleTxtG"/>
        <w:rPr>
          <w:lang w:val="en-US"/>
        </w:rPr>
      </w:pPr>
      <w:r w:rsidRPr="00C9676E">
        <w:rPr>
          <w:lang w:val="en-US"/>
        </w:rPr>
        <w:t>6.4.12.2</w:t>
      </w:r>
      <w:r w:rsidRPr="00C9676E">
        <w:rPr>
          <w:lang w:val="en-US"/>
        </w:rPr>
        <w:tab/>
      </w:r>
      <w:r>
        <w:rPr>
          <w:lang w:val="en-US"/>
        </w:rPr>
        <w:t>D</w:t>
      </w:r>
      <w:r w:rsidRPr="00C9676E">
        <w:rPr>
          <w:lang w:val="en-US"/>
        </w:rPr>
        <w:t>elete “2.7.2.3.1.3, 2.7.2.3.1.4,” and after “</w:t>
      </w:r>
      <w:r w:rsidRPr="00AE371B">
        <w:rPr>
          <w:lang w:val="en-US"/>
        </w:rPr>
        <w:t>2.7.2.3.4.2</w:t>
      </w:r>
      <w:r>
        <w:rPr>
          <w:lang w:val="en-US"/>
        </w:rPr>
        <w:t>”, insert “</w:t>
      </w:r>
      <w:r w:rsidRPr="00AE371B">
        <w:rPr>
          <w:lang w:val="en-US"/>
        </w:rPr>
        <w:t>, 2.7.2.3.4.3</w:t>
      </w:r>
      <w:r>
        <w:rPr>
          <w:lang w:val="en-US"/>
        </w:rPr>
        <w:t>”</w:t>
      </w:r>
      <w:r w:rsidRPr="00AE371B">
        <w:rPr>
          <w:lang w:val="en-US"/>
        </w:rPr>
        <w:t>.</w:t>
      </w:r>
    </w:p>
    <w:p w14:paraId="3E15C45D" w14:textId="77777777" w:rsidR="00CF309D" w:rsidRPr="00007C2E" w:rsidRDefault="00CF309D" w:rsidP="00CF309D">
      <w:pPr>
        <w:pStyle w:val="SingleTxtG"/>
        <w:rPr>
          <w:i/>
          <w:iCs/>
        </w:rPr>
      </w:pPr>
      <w:r w:rsidRPr="00007C2E">
        <w:rPr>
          <w:i/>
          <w:iCs/>
        </w:rPr>
        <w:t xml:space="preserve">(Reference document: </w:t>
      </w:r>
      <w:r>
        <w:rPr>
          <w:i/>
          <w:iCs/>
        </w:rPr>
        <w:t>informal document INF.</w:t>
      </w:r>
      <w:r>
        <w:rPr>
          <w:i/>
          <w:iCs/>
          <w:lang w:val="en-US"/>
        </w:rPr>
        <w:t>30</w:t>
      </w:r>
      <w:r w:rsidRPr="00007C2E">
        <w:rPr>
          <w:i/>
          <w:iCs/>
        </w:rPr>
        <w:t>)</w:t>
      </w:r>
    </w:p>
    <w:p w14:paraId="641AFD19" w14:textId="77777777" w:rsidR="00CF309D" w:rsidRDefault="00CF309D" w:rsidP="00CF309D">
      <w:pPr>
        <w:pStyle w:val="SingleTxtG"/>
        <w:ind w:left="2268" w:hanging="1134"/>
      </w:pPr>
      <w:r>
        <w:t>6.4.24.1</w:t>
      </w:r>
      <w:r>
        <w:tab/>
        <w:t>Amend the heading above 6.4.24.1 to read “</w:t>
      </w:r>
      <w:r w:rsidRPr="009E560E">
        <w:t xml:space="preserve">Packages not requiring competent authority approval of design under the </w:t>
      </w:r>
      <w:r w:rsidRPr="005C2D0D">
        <w:rPr>
          <w:lang w:val="en-US"/>
        </w:rPr>
        <w:t xml:space="preserve">1985, 1985 (as amended 1990), 1996, 1996 (revised), 1996 (as amended 2003), 2005, 2009 and 2012 </w:t>
      </w:r>
      <w:r>
        <w:rPr>
          <w:lang w:val="en-US"/>
        </w:rPr>
        <w:t>e</w:t>
      </w:r>
      <w:r w:rsidRPr="005C2D0D">
        <w:rPr>
          <w:lang w:val="en-US"/>
        </w:rPr>
        <w:t>dition</w:t>
      </w:r>
      <w:r>
        <w:rPr>
          <w:lang w:val="en-US"/>
        </w:rPr>
        <w:t>s</w:t>
      </w:r>
      <w:r w:rsidRPr="005C2D0D">
        <w:rPr>
          <w:lang w:val="en-US"/>
        </w:rPr>
        <w:t xml:space="preserve"> of </w:t>
      </w:r>
      <w:r>
        <w:rPr>
          <w:lang w:val="en-US"/>
        </w:rPr>
        <w:t xml:space="preserve">the </w:t>
      </w:r>
      <w:r w:rsidRPr="005C2D0D">
        <w:rPr>
          <w:lang w:val="en-US"/>
        </w:rPr>
        <w:t xml:space="preserve">IAEA </w:t>
      </w:r>
      <w:r w:rsidRPr="00205DF9">
        <w:rPr>
          <w:lang w:val="en-US"/>
        </w:rPr>
        <w:t>Regulations for the Safe Transport of Radioactive Material</w:t>
      </w:r>
      <w:r>
        <w:t>”.</w:t>
      </w:r>
    </w:p>
    <w:p w14:paraId="7A6C95B3" w14:textId="77777777" w:rsidR="00CF309D" w:rsidRPr="00007C2E" w:rsidRDefault="00CF309D" w:rsidP="00CF309D">
      <w:pPr>
        <w:pStyle w:val="SingleTxtG"/>
        <w:rPr>
          <w:i/>
          <w:iCs/>
        </w:rPr>
      </w:pPr>
      <w:r w:rsidRPr="00007C2E">
        <w:rPr>
          <w:i/>
          <w:iCs/>
        </w:rPr>
        <w:t>(Reference document: ST/SG/AC.10/C.3/2020/</w:t>
      </w:r>
      <w:r>
        <w:rPr>
          <w:i/>
          <w:iCs/>
        </w:rPr>
        <w:t>1</w:t>
      </w:r>
      <w:r w:rsidRPr="00007C2E">
        <w:rPr>
          <w:i/>
          <w:iCs/>
        </w:rPr>
        <w:t>)</w:t>
      </w:r>
    </w:p>
    <w:p w14:paraId="32B7EA44" w14:textId="77777777" w:rsidR="00CF309D" w:rsidRDefault="00CF309D" w:rsidP="00CF309D">
      <w:pPr>
        <w:pStyle w:val="SingleTxtG"/>
        <w:ind w:left="2268" w:hanging="1134"/>
      </w:pPr>
      <w:r>
        <w:lastRenderedPageBreak/>
        <w:t>6.4.24.1 (a)</w:t>
      </w:r>
      <w:r>
        <w:tab/>
        <w:t>Amend to read “</w:t>
      </w:r>
      <w:r w:rsidRPr="00BE446E">
        <w:t xml:space="preserve">Packages that meet the requirements of the 1985 or 1985 (as amended 1990) </w:t>
      </w:r>
      <w:r w:rsidRPr="00D21CDF">
        <w:t>editions</w:t>
      </w:r>
      <w:r w:rsidRPr="005C2D0D">
        <w:rPr>
          <w:lang w:val="en-US"/>
        </w:rPr>
        <w:t xml:space="preserve"> of </w:t>
      </w:r>
      <w:r>
        <w:rPr>
          <w:lang w:val="en-US"/>
        </w:rPr>
        <w:t xml:space="preserve">the </w:t>
      </w:r>
      <w:r w:rsidRPr="005C2D0D">
        <w:rPr>
          <w:lang w:val="en-US"/>
        </w:rPr>
        <w:t xml:space="preserve">IAEA </w:t>
      </w:r>
      <w:r w:rsidRPr="00205DF9">
        <w:rPr>
          <w:lang w:val="en-US"/>
        </w:rPr>
        <w:t>Regulations for the Safe Transport of Radioactive Material</w:t>
      </w:r>
      <w:r w:rsidRPr="00BE446E">
        <w:t>:</w:t>
      </w:r>
      <w:r>
        <w:t>”.</w:t>
      </w:r>
    </w:p>
    <w:p w14:paraId="54A2FE74" w14:textId="77777777" w:rsidR="00CF309D" w:rsidRPr="00007C2E" w:rsidRDefault="00CF309D" w:rsidP="00CF309D">
      <w:pPr>
        <w:pStyle w:val="SingleTxtG"/>
        <w:rPr>
          <w:i/>
          <w:iCs/>
        </w:rPr>
      </w:pPr>
      <w:r w:rsidRPr="00007C2E">
        <w:rPr>
          <w:i/>
          <w:iCs/>
        </w:rPr>
        <w:t>(Reference document: ST/SG/AC.10/C.3/2020/</w:t>
      </w:r>
      <w:r>
        <w:rPr>
          <w:i/>
          <w:iCs/>
        </w:rPr>
        <w:t>1</w:t>
      </w:r>
      <w:r w:rsidRPr="00007C2E">
        <w:rPr>
          <w:i/>
          <w:iCs/>
        </w:rPr>
        <w:t>)</w:t>
      </w:r>
    </w:p>
    <w:p w14:paraId="0C089A7C" w14:textId="77777777" w:rsidR="00CF309D" w:rsidRDefault="00CF309D" w:rsidP="00CF309D">
      <w:pPr>
        <w:pStyle w:val="SingleTxtG"/>
        <w:ind w:left="2268" w:hanging="1134"/>
      </w:pPr>
      <w:r>
        <w:t>6.4.24.1 (b)</w:t>
      </w:r>
      <w:r>
        <w:tab/>
        <w:t>Amend to read “</w:t>
      </w:r>
      <w:r w:rsidRPr="00BE446E">
        <w:t xml:space="preserve">Packages that meet the requirements of the 1996, 1996 (revised), 1996 (as amended 2003), </w:t>
      </w:r>
      <w:r w:rsidRPr="005C2D0D">
        <w:rPr>
          <w:lang w:val="en-US"/>
        </w:rPr>
        <w:t xml:space="preserve">2005, 2009 </w:t>
      </w:r>
      <w:r>
        <w:rPr>
          <w:lang w:val="en-US"/>
        </w:rPr>
        <w:t>or</w:t>
      </w:r>
      <w:r w:rsidRPr="005C2D0D">
        <w:rPr>
          <w:lang w:val="en-US"/>
        </w:rPr>
        <w:t xml:space="preserve"> 2012 </w:t>
      </w:r>
      <w:r>
        <w:rPr>
          <w:lang w:val="en-US"/>
        </w:rPr>
        <w:t>e</w:t>
      </w:r>
      <w:r w:rsidRPr="005C2D0D">
        <w:rPr>
          <w:lang w:val="en-US"/>
        </w:rPr>
        <w:t>dition</w:t>
      </w:r>
      <w:r>
        <w:rPr>
          <w:lang w:val="en-US"/>
        </w:rPr>
        <w:t>s</w:t>
      </w:r>
      <w:r w:rsidRPr="005C2D0D">
        <w:rPr>
          <w:lang w:val="en-US"/>
        </w:rPr>
        <w:t xml:space="preserve"> of </w:t>
      </w:r>
      <w:r>
        <w:rPr>
          <w:lang w:val="en-US"/>
        </w:rPr>
        <w:t xml:space="preserve">the </w:t>
      </w:r>
      <w:r w:rsidRPr="005C2D0D">
        <w:rPr>
          <w:lang w:val="en-US"/>
        </w:rPr>
        <w:t xml:space="preserve">IAEA </w:t>
      </w:r>
      <w:r w:rsidRPr="00205DF9">
        <w:rPr>
          <w:lang w:val="en-US"/>
        </w:rPr>
        <w:t>Regulations for the Safe Transport of Radioactive Material</w:t>
      </w:r>
      <w:r w:rsidRPr="00BE446E">
        <w:t>:</w:t>
      </w:r>
      <w:r>
        <w:t>”.</w:t>
      </w:r>
    </w:p>
    <w:p w14:paraId="411B4191" w14:textId="77777777" w:rsidR="00CF309D" w:rsidRPr="00007C2E" w:rsidRDefault="00CF309D" w:rsidP="00CF309D">
      <w:pPr>
        <w:pStyle w:val="SingleTxtG"/>
        <w:rPr>
          <w:i/>
          <w:iCs/>
        </w:rPr>
      </w:pPr>
      <w:r w:rsidRPr="00007C2E">
        <w:rPr>
          <w:i/>
          <w:iCs/>
        </w:rPr>
        <w:t>(Reference document: ST/SG/AC.10/C.3/2020/</w:t>
      </w:r>
      <w:r>
        <w:rPr>
          <w:i/>
          <w:iCs/>
        </w:rPr>
        <w:t>1</w:t>
      </w:r>
      <w:r w:rsidRPr="00007C2E">
        <w:rPr>
          <w:i/>
          <w:iCs/>
        </w:rPr>
        <w:t>)</w:t>
      </w:r>
    </w:p>
    <w:p w14:paraId="4DAF2C32" w14:textId="77777777" w:rsidR="00CF309D" w:rsidRDefault="00CF309D" w:rsidP="00CF309D">
      <w:pPr>
        <w:pStyle w:val="SingleTxtG"/>
        <w:ind w:left="2268" w:hanging="1134"/>
      </w:pPr>
      <w:r>
        <w:t>6.4.24.2</w:t>
      </w:r>
      <w:r>
        <w:tab/>
        <w:t>Amend the heading above 6.4.24.2 to read “</w:t>
      </w:r>
      <w:r w:rsidRPr="00716185">
        <w:t>Packages designs approved under the 1985, 1985 (as amended 1990), 1996, 1996 (revised), 1996 (as amended 2003), 2005</w:t>
      </w:r>
      <w:r>
        <w:t xml:space="preserve">, </w:t>
      </w:r>
      <w:r w:rsidRPr="00716185">
        <w:t xml:space="preserve">2009 and 2012 </w:t>
      </w:r>
      <w:r>
        <w:rPr>
          <w:lang w:val="en-US"/>
        </w:rPr>
        <w:t>e</w:t>
      </w:r>
      <w:r w:rsidRPr="005C2D0D">
        <w:rPr>
          <w:lang w:val="en-US"/>
        </w:rPr>
        <w:t>dition</w:t>
      </w:r>
      <w:r>
        <w:rPr>
          <w:lang w:val="en-US"/>
        </w:rPr>
        <w:t>s</w:t>
      </w:r>
      <w:r w:rsidRPr="005C2D0D">
        <w:rPr>
          <w:lang w:val="en-US"/>
        </w:rPr>
        <w:t xml:space="preserve"> of </w:t>
      </w:r>
      <w:r>
        <w:rPr>
          <w:lang w:val="en-US"/>
        </w:rPr>
        <w:t xml:space="preserve">the </w:t>
      </w:r>
      <w:r w:rsidRPr="005C2D0D">
        <w:rPr>
          <w:lang w:val="en-US"/>
        </w:rPr>
        <w:t xml:space="preserve">IAEA </w:t>
      </w:r>
      <w:r w:rsidRPr="00205DF9">
        <w:rPr>
          <w:lang w:val="en-US"/>
        </w:rPr>
        <w:t>Regulations for the Safe Transport of Radioactive Material</w:t>
      </w:r>
      <w:r>
        <w:t>”.</w:t>
      </w:r>
    </w:p>
    <w:p w14:paraId="543F4FCE" w14:textId="77777777" w:rsidR="00CF309D" w:rsidRPr="00007C2E" w:rsidRDefault="00CF309D" w:rsidP="00CF309D">
      <w:pPr>
        <w:pStyle w:val="SingleTxtG"/>
        <w:rPr>
          <w:i/>
          <w:iCs/>
        </w:rPr>
      </w:pPr>
      <w:r w:rsidRPr="00007C2E">
        <w:rPr>
          <w:i/>
          <w:iCs/>
        </w:rPr>
        <w:t>(Reference document: ST/SG/AC.10/C.3/2020/</w:t>
      </w:r>
      <w:r>
        <w:rPr>
          <w:i/>
          <w:iCs/>
        </w:rPr>
        <w:t>1</w:t>
      </w:r>
      <w:r w:rsidRPr="00007C2E">
        <w:rPr>
          <w:i/>
          <w:iCs/>
        </w:rPr>
        <w:t>)</w:t>
      </w:r>
    </w:p>
    <w:p w14:paraId="1BE58348" w14:textId="77777777" w:rsidR="00CF309D" w:rsidRDefault="00CF309D" w:rsidP="00CF309D">
      <w:pPr>
        <w:pStyle w:val="SingleTxtG"/>
        <w:ind w:left="2268" w:hanging="1134"/>
      </w:pPr>
      <w:r>
        <w:t>6.4.24.2 (a)</w:t>
      </w:r>
      <w:r>
        <w:tab/>
        <w:t>Amend to read “</w:t>
      </w:r>
      <w:r w:rsidRPr="007F2C93">
        <w:t xml:space="preserve">Packagings that were manufactured to a package design approved by the competent authority under the provisions of the 1985 or 1985 (as amended 1990) </w:t>
      </w:r>
      <w:r>
        <w:rPr>
          <w:lang w:val="en-US"/>
        </w:rPr>
        <w:t>e</w:t>
      </w:r>
      <w:r w:rsidRPr="005C2D0D">
        <w:rPr>
          <w:lang w:val="en-US"/>
        </w:rPr>
        <w:t>dition</w:t>
      </w:r>
      <w:r>
        <w:rPr>
          <w:lang w:val="en-US"/>
        </w:rPr>
        <w:t>s</w:t>
      </w:r>
      <w:r w:rsidRPr="005C2D0D">
        <w:rPr>
          <w:lang w:val="en-US"/>
        </w:rPr>
        <w:t xml:space="preserve"> of </w:t>
      </w:r>
      <w:r>
        <w:rPr>
          <w:lang w:val="en-US"/>
        </w:rPr>
        <w:t xml:space="preserve">the </w:t>
      </w:r>
      <w:r w:rsidRPr="005C2D0D">
        <w:rPr>
          <w:lang w:val="en-US"/>
        </w:rPr>
        <w:t xml:space="preserve">IAEA </w:t>
      </w:r>
      <w:r w:rsidRPr="00205DF9">
        <w:rPr>
          <w:lang w:val="en-US"/>
        </w:rPr>
        <w:t>Regulations for the Safe Transport of Radioactive Material</w:t>
      </w:r>
      <w:r w:rsidRPr="007F2C93">
        <w:t xml:space="preserve"> may continue to be used provided that all of the following conditions are met:</w:t>
      </w:r>
      <w:r>
        <w:t>”.</w:t>
      </w:r>
    </w:p>
    <w:p w14:paraId="4EEA14C8" w14:textId="77777777" w:rsidR="00CF309D" w:rsidRPr="00007C2E" w:rsidRDefault="00CF309D" w:rsidP="00CF309D">
      <w:pPr>
        <w:pStyle w:val="SingleTxtG"/>
        <w:rPr>
          <w:i/>
          <w:iCs/>
        </w:rPr>
      </w:pPr>
      <w:r w:rsidRPr="00007C2E">
        <w:rPr>
          <w:i/>
          <w:iCs/>
        </w:rPr>
        <w:t>(Reference document: ST/SG/AC.10/C.3/2020/</w:t>
      </w:r>
      <w:r>
        <w:rPr>
          <w:i/>
          <w:iCs/>
        </w:rPr>
        <w:t>1</w:t>
      </w:r>
      <w:r w:rsidRPr="00007C2E">
        <w:rPr>
          <w:i/>
          <w:iCs/>
        </w:rPr>
        <w:t>)</w:t>
      </w:r>
    </w:p>
    <w:p w14:paraId="052C1C45" w14:textId="77777777" w:rsidR="00CF309D" w:rsidRDefault="00CF309D" w:rsidP="00CF309D">
      <w:pPr>
        <w:pStyle w:val="SingleTxtG"/>
        <w:ind w:left="2268" w:hanging="1134"/>
      </w:pPr>
      <w:r>
        <w:t>6.4.24.2 (b)</w:t>
      </w:r>
      <w:r>
        <w:tab/>
        <w:t>Amend to read “</w:t>
      </w:r>
      <w:r w:rsidRPr="007E62A1">
        <w:t>Packagings that were manufactured to a package design approved by the competent authority under the provisions of the 1996, 1996 (revised), 1996 (as amended 2003), 2005</w:t>
      </w:r>
      <w:r>
        <w:t xml:space="preserve">, </w:t>
      </w:r>
      <w:r w:rsidRPr="007E62A1">
        <w:t xml:space="preserve">2009 or 2012 </w:t>
      </w:r>
      <w:r>
        <w:rPr>
          <w:lang w:val="en-US"/>
        </w:rPr>
        <w:t>e</w:t>
      </w:r>
      <w:r w:rsidRPr="005C2D0D">
        <w:rPr>
          <w:lang w:val="en-US"/>
        </w:rPr>
        <w:t>dition</w:t>
      </w:r>
      <w:r>
        <w:rPr>
          <w:lang w:val="en-US"/>
        </w:rPr>
        <w:t>s</w:t>
      </w:r>
      <w:r w:rsidRPr="005C2D0D">
        <w:rPr>
          <w:lang w:val="en-US"/>
        </w:rPr>
        <w:t xml:space="preserve"> of </w:t>
      </w:r>
      <w:r>
        <w:rPr>
          <w:lang w:val="en-US"/>
        </w:rPr>
        <w:t xml:space="preserve">the </w:t>
      </w:r>
      <w:r w:rsidRPr="005C2D0D">
        <w:rPr>
          <w:lang w:val="en-US"/>
        </w:rPr>
        <w:t xml:space="preserve">IAEA </w:t>
      </w:r>
      <w:r w:rsidRPr="00205DF9">
        <w:rPr>
          <w:lang w:val="en-US"/>
        </w:rPr>
        <w:t xml:space="preserve">Regulations for the Safe Transport of </w:t>
      </w:r>
      <w:r w:rsidRPr="00D21CDF">
        <w:t>Radioactive</w:t>
      </w:r>
      <w:r w:rsidRPr="00205DF9">
        <w:rPr>
          <w:lang w:val="en-US"/>
        </w:rPr>
        <w:t xml:space="preserve"> Material</w:t>
      </w:r>
      <w:r w:rsidRPr="007E62A1">
        <w:t xml:space="preserve"> may continue to be used provided that all of the following conditions are met:</w:t>
      </w:r>
      <w:r>
        <w:t>”.</w:t>
      </w:r>
    </w:p>
    <w:p w14:paraId="08452DDB" w14:textId="77777777" w:rsidR="00CF309D" w:rsidRPr="00007C2E" w:rsidRDefault="00CF309D" w:rsidP="00CF309D">
      <w:pPr>
        <w:pStyle w:val="SingleTxtG"/>
        <w:rPr>
          <w:i/>
          <w:iCs/>
        </w:rPr>
      </w:pPr>
      <w:r w:rsidRPr="00007C2E">
        <w:rPr>
          <w:i/>
          <w:iCs/>
        </w:rPr>
        <w:t>(Reference document: ST/SG/AC.10/C.3/2020/</w:t>
      </w:r>
      <w:r>
        <w:rPr>
          <w:i/>
          <w:iCs/>
        </w:rPr>
        <w:t>1</w:t>
      </w:r>
      <w:r w:rsidRPr="00007C2E">
        <w:rPr>
          <w:i/>
          <w:iCs/>
        </w:rPr>
        <w:t>)</w:t>
      </w:r>
    </w:p>
    <w:p w14:paraId="60FCD32B" w14:textId="77777777" w:rsidR="00CF309D" w:rsidRDefault="00CF309D" w:rsidP="00CF309D">
      <w:pPr>
        <w:pStyle w:val="SingleTxtG"/>
        <w:ind w:left="2268" w:hanging="1134"/>
        <w:rPr>
          <w:lang w:val="en-US"/>
        </w:rPr>
      </w:pPr>
      <w:r>
        <w:t>6.4.24.3</w:t>
      </w:r>
      <w:r>
        <w:tab/>
        <w:t>Replace “</w:t>
      </w:r>
      <w:r w:rsidRPr="00CD2B6F">
        <w:t>Editions of IAEA Safety Series No.6</w:t>
      </w:r>
      <w:r>
        <w:t>” by “</w:t>
      </w:r>
      <w:r>
        <w:rPr>
          <w:lang w:val="en-US"/>
        </w:rPr>
        <w:t>e</w:t>
      </w:r>
      <w:r w:rsidRPr="005C2D0D">
        <w:rPr>
          <w:lang w:val="en-US"/>
        </w:rPr>
        <w:t>dition</w:t>
      </w:r>
      <w:r>
        <w:rPr>
          <w:lang w:val="en-US"/>
        </w:rPr>
        <w:t>s</w:t>
      </w:r>
      <w:r w:rsidRPr="005C2D0D">
        <w:rPr>
          <w:lang w:val="en-US"/>
        </w:rPr>
        <w:t xml:space="preserve"> of </w:t>
      </w:r>
      <w:r>
        <w:rPr>
          <w:lang w:val="en-US"/>
        </w:rPr>
        <w:t xml:space="preserve">the </w:t>
      </w:r>
      <w:r w:rsidRPr="005C2D0D">
        <w:rPr>
          <w:lang w:val="en-US"/>
        </w:rPr>
        <w:t xml:space="preserve">IAEA </w:t>
      </w:r>
      <w:r w:rsidRPr="00205DF9">
        <w:rPr>
          <w:lang w:val="en-US"/>
        </w:rPr>
        <w:t xml:space="preserve">Regulations for the </w:t>
      </w:r>
      <w:r w:rsidRPr="00D21CDF">
        <w:t>Safe</w:t>
      </w:r>
      <w:r w:rsidRPr="00205DF9">
        <w:rPr>
          <w:lang w:val="en-US"/>
        </w:rPr>
        <w:t xml:space="preserve"> Transport of Radioactive Material</w:t>
      </w:r>
      <w:r>
        <w:rPr>
          <w:lang w:val="en-US"/>
        </w:rPr>
        <w:t>”.</w:t>
      </w:r>
    </w:p>
    <w:p w14:paraId="5E3E03B1" w14:textId="77777777" w:rsidR="00CF309D" w:rsidRPr="00007C2E" w:rsidRDefault="00CF309D" w:rsidP="00CF309D">
      <w:pPr>
        <w:pStyle w:val="SingleTxtG"/>
        <w:rPr>
          <w:i/>
          <w:iCs/>
        </w:rPr>
      </w:pPr>
      <w:r w:rsidRPr="00007C2E">
        <w:rPr>
          <w:i/>
          <w:iCs/>
        </w:rPr>
        <w:t>(Reference document: ST/SG/AC.10/C.3/2020/</w:t>
      </w:r>
      <w:r>
        <w:rPr>
          <w:i/>
          <w:iCs/>
        </w:rPr>
        <w:t>1</w:t>
      </w:r>
      <w:r w:rsidRPr="00007C2E">
        <w:rPr>
          <w:i/>
          <w:iCs/>
        </w:rPr>
        <w:t>)</w:t>
      </w:r>
    </w:p>
    <w:p w14:paraId="0C208CCC" w14:textId="77777777" w:rsidR="00CF309D" w:rsidRDefault="00CF309D" w:rsidP="00CF309D">
      <w:pPr>
        <w:pStyle w:val="SingleTxtG"/>
        <w:ind w:left="2268" w:hanging="1134"/>
        <w:rPr>
          <w:lang w:val="en-US"/>
        </w:rPr>
      </w:pPr>
      <w:r>
        <w:rPr>
          <w:lang w:val="en-US"/>
        </w:rPr>
        <w:t>6.4.24.4</w:t>
      </w:r>
      <w:r>
        <w:rPr>
          <w:lang w:val="en-US"/>
        </w:rPr>
        <w:tab/>
        <w:t>Amend to read “</w:t>
      </w:r>
      <w:r w:rsidRPr="00CD2B6F">
        <w:rPr>
          <w:lang w:val="en-US"/>
        </w:rPr>
        <w:t>No new manufacture of packagings of a package design meeting the provisions of the 1996, 1996 (revised), 1996 (as amended 2003), 2005</w:t>
      </w:r>
      <w:r>
        <w:rPr>
          <w:lang w:val="en-US"/>
        </w:rPr>
        <w:t xml:space="preserve">, </w:t>
      </w:r>
      <w:r w:rsidRPr="00CD2B6F">
        <w:rPr>
          <w:lang w:val="en-US"/>
        </w:rPr>
        <w:t xml:space="preserve">2009 or 2012 </w:t>
      </w:r>
      <w:r>
        <w:rPr>
          <w:lang w:val="en-US"/>
        </w:rPr>
        <w:t>e</w:t>
      </w:r>
      <w:r w:rsidRPr="005C2D0D">
        <w:rPr>
          <w:lang w:val="en-US"/>
        </w:rPr>
        <w:t>dition</w:t>
      </w:r>
      <w:r>
        <w:rPr>
          <w:lang w:val="en-US"/>
        </w:rPr>
        <w:t>s</w:t>
      </w:r>
      <w:r w:rsidRPr="005C2D0D">
        <w:rPr>
          <w:lang w:val="en-US"/>
        </w:rPr>
        <w:t xml:space="preserve"> of </w:t>
      </w:r>
      <w:r>
        <w:rPr>
          <w:lang w:val="en-US"/>
        </w:rPr>
        <w:t xml:space="preserve">the </w:t>
      </w:r>
      <w:r w:rsidRPr="005C2D0D">
        <w:rPr>
          <w:lang w:val="en-US"/>
        </w:rPr>
        <w:t xml:space="preserve">IAEA </w:t>
      </w:r>
      <w:r w:rsidRPr="00205DF9">
        <w:rPr>
          <w:lang w:val="en-US"/>
        </w:rPr>
        <w:t>Regulations for the Safe Transport of Radioactive Material</w:t>
      </w:r>
      <w:r w:rsidRPr="00CD2B6F">
        <w:rPr>
          <w:lang w:val="en-US"/>
        </w:rPr>
        <w:t xml:space="preserve"> shall be permitted to commence after 31 December 2028.</w:t>
      </w:r>
      <w:r>
        <w:rPr>
          <w:lang w:val="en-US"/>
        </w:rPr>
        <w:t>”.</w:t>
      </w:r>
    </w:p>
    <w:p w14:paraId="57C62C60" w14:textId="77777777" w:rsidR="00CF309D" w:rsidRPr="00007C2E" w:rsidRDefault="00CF309D" w:rsidP="00CF309D">
      <w:pPr>
        <w:pStyle w:val="SingleTxtG"/>
        <w:rPr>
          <w:i/>
          <w:iCs/>
        </w:rPr>
      </w:pPr>
      <w:r w:rsidRPr="00007C2E">
        <w:rPr>
          <w:i/>
          <w:iCs/>
        </w:rPr>
        <w:t>(Reference document: ST/SG/AC.10/C.3/2020/</w:t>
      </w:r>
      <w:r>
        <w:rPr>
          <w:i/>
          <w:iCs/>
        </w:rPr>
        <w:t>1</w:t>
      </w:r>
      <w:r w:rsidRPr="00007C2E">
        <w:rPr>
          <w:i/>
          <w:iCs/>
        </w:rPr>
        <w:t>)</w:t>
      </w:r>
    </w:p>
    <w:p w14:paraId="68A1368A" w14:textId="77777777" w:rsidR="00CF309D" w:rsidRDefault="00CF309D" w:rsidP="00CF309D">
      <w:pPr>
        <w:pStyle w:val="SingleTxtG"/>
        <w:ind w:left="2268" w:hanging="1134"/>
        <w:rPr>
          <w:lang w:val="en-US"/>
        </w:rPr>
      </w:pPr>
      <w:r>
        <w:rPr>
          <w:lang w:val="en-US"/>
        </w:rPr>
        <w:t>6.4.24.5</w:t>
      </w:r>
      <w:r>
        <w:rPr>
          <w:lang w:val="en-US"/>
        </w:rPr>
        <w:tab/>
      </w:r>
      <w:r>
        <w:t>In the heading above 6.4.24.5, replace “</w:t>
      </w:r>
      <w:r w:rsidRPr="00CD2B6F">
        <w:t>(2009 Edition of IAEA Safety Standard Series No.TS-R-1)</w:t>
      </w:r>
      <w:r>
        <w:t xml:space="preserve">” by “(2009 edition </w:t>
      </w:r>
      <w:r w:rsidRPr="005C2D0D">
        <w:rPr>
          <w:lang w:val="en-US"/>
        </w:rPr>
        <w:t xml:space="preserve">of </w:t>
      </w:r>
      <w:r>
        <w:rPr>
          <w:lang w:val="en-US"/>
        </w:rPr>
        <w:t xml:space="preserve">the </w:t>
      </w:r>
      <w:r w:rsidRPr="005C2D0D">
        <w:rPr>
          <w:lang w:val="en-US"/>
        </w:rPr>
        <w:t xml:space="preserve">IAEA </w:t>
      </w:r>
      <w:r w:rsidRPr="00205DF9">
        <w:rPr>
          <w:lang w:val="en-US"/>
        </w:rPr>
        <w:t xml:space="preserve">Regulations for the Safe Transport of Radioactive </w:t>
      </w:r>
      <w:r w:rsidRPr="00D21CDF">
        <w:t>Material</w:t>
      </w:r>
      <w:r>
        <w:rPr>
          <w:lang w:val="en-US"/>
        </w:rPr>
        <w:t>”.</w:t>
      </w:r>
    </w:p>
    <w:p w14:paraId="0BB639E8" w14:textId="77777777" w:rsidR="00CF309D" w:rsidRDefault="00CF309D" w:rsidP="00CF309D">
      <w:pPr>
        <w:pStyle w:val="SingleTxtG"/>
        <w:ind w:left="2268" w:hanging="1134"/>
        <w:rPr>
          <w:lang w:val="en-US"/>
        </w:rPr>
      </w:pPr>
      <w:r>
        <w:rPr>
          <w:lang w:val="en-US"/>
        </w:rPr>
        <w:tab/>
      </w:r>
      <w:r>
        <w:rPr>
          <w:lang w:val="en-US"/>
        </w:rPr>
        <w:tab/>
        <w:t>In the paragraph, replace “</w:t>
      </w:r>
      <w:r>
        <w:t>or (iii) of the 2009 Edition of IAEA Regulations” by “or (iii) of the 2009 edition of the IAEA Regulations”.</w:t>
      </w:r>
    </w:p>
    <w:p w14:paraId="68D830BA" w14:textId="77777777" w:rsidR="00CF309D" w:rsidRPr="00007C2E" w:rsidRDefault="00CF309D" w:rsidP="00CF309D">
      <w:pPr>
        <w:pStyle w:val="SingleTxtG"/>
        <w:rPr>
          <w:i/>
          <w:iCs/>
        </w:rPr>
      </w:pPr>
      <w:r w:rsidRPr="00007C2E">
        <w:rPr>
          <w:i/>
          <w:iCs/>
        </w:rPr>
        <w:t>(Reference document: ST/SG/AC.10/C.3/2020/</w:t>
      </w:r>
      <w:r>
        <w:rPr>
          <w:i/>
          <w:iCs/>
        </w:rPr>
        <w:t>1 and informal document INF.24</w:t>
      </w:r>
      <w:r w:rsidRPr="00007C2E">
        <w:rPr>
          <w:i/>
          <w:iCs/>
        </w:rPr>
        <w:t>)</w:t>
      </w:r>
    </w:p>
    <w:p w14:paraId="48D2394B" w14:textId="77777777" w:rsidR="00CF309D" w:rsidRDefault="00CF309D" w:rsidP="00CF309D">
      <w:pPr>
        <w:pStyle w:val="SingleTxtG"/>
        <w:ind w:left="2268" w:hanging="1134"/>
        <w:rPr>
          <w:lang w:val="en-US"/>
        </w:rPr>
      </w:pPr>
      <w:r>
        <w:t>6.4.24.6</w:t>
      </w:r>
      <w:r>
        <w:tab/>
        <w:t>Amend the heading above 6.4.24.6 to read “</w:t>
      </w:r>
      <w:r w:rsidRPr="00CD2B6F">
        <w:t>Special form radioactive material approved under the 1985, 1985 (as amended 1990), 1996, 1996 (revised), 1996 (as amended 2003), 2005</w:t>
      </w:r>
      <w:r>
        <w:t xml:space="preserve">, </w:t>
      </w:r>
      <w:r w:rsidRPr="00CD2B6F">
        <w:t xml:space="preserve">2009 and 2012 </w:t>
      </w:r>
      <w:r>
        <w:t xml:space="preserve">editions </w:t>
      </w:r>
      <w:r w:rsidRPr="005C2D0D">
        <w:rPr>
          <w:lang w:val="en-US"/>
        </w:rPr>
        <w:t xml:space="preserve">of </w:t>
      </w:r>
      <w:r>
        <w:rPr>
          <w:lang w:val="en-US"/>
        </w:rPr>
        <w:t xml:space="preserve">the </w:t>
      </w:r>
      <w:r w:rsidRPr="005C2D0D">
        <w:rPr>
          <w:lang w:val="en-US"/>
        </w:rPr>
        <w:t xml:space="preserve">IAEA </w:t>
      </w:r>
      <w:r w:rsidRPr="00205DF9">
        <w:rPr>
          <w:lang w:val="en-US"/>
        </w:rPr>
        <w:t>Regulations for the Safe Transport of Radioactive Material</w:t>
      </w:r>
      <w:r>
        <w:rPr>
          <w:lang w:val="en-US"/>
        </w:rPr>
        <w:t>”.</w:t>
      </w:r>
    </w:p>
    <w:p w14:paraId="43ECD766" w14:textId="77777777" w:rsidR="00CF309D" w:rsidRDefault="00CF309D" w:rsidP="00CF309D">
      <w:pPr>
        <w:pStyle w:val="SingleTxtG"/>
        <w:ind w:left="2268" w:hanging="1134"/>
        <w:rPr>
          <w:lang w:val="en-US"/>
        </w:rPr>
      </w:pPr>
      <w:r>
        <w:rPr>
          <w:lang w:val="en-US"/>
        </w:rPr>
        <w:tab/>
        <w:t>Amend the paragraph to read as follows:</w:t>
      </w:r>
    </w:p>
    <w:p w14:paraId="70104622" w14:textId="77777777" w:rsidR="00CF309D" w:rsidRDefault="00CF309D" w:rsidP="00CF309D">
      <w:pPr>
        <w:pStyle w:val="SingleTxtG"/>
        <w:rPr>
          <w:lang w:val="en-US"/>
        </w:rPr>
      </w:pPr>
      <w:r>
        <w:rPr>
          <w:lang w:val="en-US"/>
        </w:rPr>
        <w:t>“</w:t>
      </w:r>
      <w:r w:rsidRPr="00CD2B6F">
        <w:rPr>
          <w:lang w:val="en-US"/>
        </w:rPr>
        <w:t>Special form radioactive material manufactured to a design which had received unilateral approval by the competent authority under the 1985, 1985 (as amended 1990), 1996, 1996 (revised), 1996 (as amended 2003), 2005</w:t>
      </w:r>
      <w:r>
        <w:rPr>
          <w:lang w:val="en-US"/>
        </w:rPr>
        <w:t xml:space="preserve">, </w:t>
      </w:r>
      <w:r w:rsidRPr="00CD2B6F">
        <w:rPr>
          <w:lang w:val="en-US"/>
        </w:rPr>
        <w:t>2009</w:t>
      </w:r>
      <w:r>
        <w:rPr>
          <w:lang w:val="en-US"/>
        </w:rPr>
        <w:t xml:space="preserve"> and 2012 </w:t>
      </w:r>
      <w:r>
        <w:t xml:space="preserve">editions </w:t>
      </w:r>
      <w:r w:rsidRPr="005C2D0D">
        <w:rPr>
          <w:lang w:val="en-US"/>
        </w:rPr>
        <w:t xml:space="preserve">of </w:t>
      </w:r>
      <w:r>
        <w:rPr>
          <w:lang w:val="en-US"/>
        </w:rPr>
        <w:t xml:space="preserve">the </w:t>
      </w:r>
      <w:r w:rsidRPr="005C2D0D">
        <w:rPr>
          <w:lang w:val="en-US"/>
        </w:rPr>
        <w:t xml:space="preserve">IAEA </w:t>
      </w:r>
      <w:r w:rsidRPr="00205DF9">
        <w:rPr>
          <w:lang w:val="en-US"/>
        </w:rPr>
        <w:t>Regulations for the Safe Transport of Radioactive Material</w:t>
      </w:r>
      <w:r w:rsidRPr="00CD2B6F">
        <w:rPr>
          <w:lang w:val="en-US"/>
        </w:rPr>
        <w:t xml:space="preserve"> may continue to be used when in compliance with the mandatory management system in accordance with the applicable requirements of </w:t>
      </w:r>
      <w:r w:rsidRPr="00CD2B6F">
        <w:rPr>
          <w:lang w:val="en-US"/>
        </w:rPr>
        <w:lastRenderedPageBreak/>
        <w:t>1.5.3.1. There shall be no new manufacture of special form radioactive material to a design that had received unilateral approval by the competent authority under the 1985 or 1985 (as amended 1990</w:t>
      </w:r>
      <w:r>
        <w:rPr>
          <w:lang w:val="en-US"/>
        </w:rPr>
        <w:t>)</w:t>
      </w:r>
      <w:r w:rsidRPr="00CD2B6F">
        <w:t xml:space="preserve"> </w:t>
      </w:r>
      <w:r>
        <w:t xml:space="preserve">editions </w:t>
      </w:r>
      <w:r w:rsidRPr="005C2D0D">
        <w:rPr>
          <w:lang w:val="en-US"/>
        </w:rPr>
        <w:t xml:space="preserve">of </w:t>
      </w:r>
      <w:r>
        <w:rPr>
          <w:lang w:val="en-US"/>
        </w:rPr>
        <w:t xml:space="preserve">the </w:t>
      </w:r>
      <w:r w:rsidRPr="005C2D0D">
        <w:rPr>
          <w:lang w:val="en-US"/>
        </w:rPr>
        <w:t xml:space="preserve">IAEA </w:t>
      </w:r>
      <w:r w:rsidRPr="00205DF9">
        <w:rPr>
          <w:lang w:val="en-US"/>
        </w:rPr>
        <w:t>Regulations for the Safe Transport of Radioactive Material</w:t>
      </w:r>
      <w:r w:rsidRPr="00CD2B6F">
        <w:rPr>
          <w:lang w:val="en-US"/>
        </w:rPr>
        <w:t>. No new manufacture of special form radioactive material to a design that had received unilateral approval by the competent authority under the 1996, 1996 (revised), 1996 (as amended 2003), 2005</w:t>
      </w:r>
      <w:r>
        <w:rPr>
          <w:lang w:val="en-US"/>
        </w:rPr>
        <w:t xml:space="preserve">, </w:t>
      </w:r>
      <w:r w:rsidRPr="00CD2B6F">
        <w:rPr>
          <w:lang w:val="en-US"/>
        </w:rPr>
        <w:t xml:space="preserve">2009 and 2012 </w:t>
      </w:r>
      <w:r>
        <w:t xml:space="preserve">editions </w:t>
      </w:r>
      <w:r w:rsidRPr="005C2D0D">
        <w:rPr>
          <w:lang w:val="en-US"/>
        </w:rPr>
        <w:t xml:space="preserve">of </w:t>
      </w:r>
      <w:r>
        <w:rPr>
          <w:lang w:val="en-US"/>
        </w:rPr>
        <w:t xml:space="preserve">the </w:t>
      </w:r>
      <w:r w:rsidRPr="005C2D0D">
        <w:rPr>
          <w:lang w:val="en-US"/>
        </w:rPr>
        <w:t xml:space="preserve">IAEA </w:t>
      </w:r>
      <w:r w:rsidRPr="00205DF9">
        <w:rPr>
          <w:lang w:val="en-US"/>
        </w:rPr>
        <w:t>Regulations for the Safe Transport of Radioactive Material</w:t>
      </w:r>
      <w:r w:rsidRPr="00CD2B6F">
        <w:rPr>
          <w:lang w:val="en-US"/>
        </w:rPr>
        <w:t xml:space="preserve"> shall be permitted to commence.</w:t>
      </w:r>
      <w:r>
        <w:rPr>
          <w:lang w:val="en-US"/>
        </w:rPr>
        <w:t>”.</w:t>
      </w:r>
    </w:p>
    <w:p w14:paraId="3B5F7DA3" w14:textId="77777777" w:rsidR="00CF309D" w:rsidRPr="00007C2E" w:rsidRDefault="00CF309D" w:rsidP="00CF309D">
      <w:pPr>
        <w:pStyle w:val="SingleTxtG"/>
        <w:rPr>
          <w:i/>
          <w:iCs/>
        </w:rPr>
      </w:pPr>
      <w:r w:rsidRPr="00007C2E">
        <w:rPr>
          <w:i/>
          <w:iCs/>
        </w:rPr>
        <w:t>(Reference document: ST/SG/AC.10/C.3/2020/</w:t>
      </w:r>
      <w:r>
        <w:rPr>
          <w:i/>
          <w:iCs/>
        </w:rPr>
        <w:t>1 as amended by informal document INF.24</w:t>
      </w:r>
      <w:r w:rsidRPr="00007C2E">
        <w:rPr>
          <w:i/>
          <w:iCs/>
        </w:rPr>
        <w:t>)</w:t>
      </w:r>
    </w:p>
    <w:p w14:paraId="5963B6A5" w14:textId="77777777" w:rsidR="00CF309D" w:rsidRDefault="00CF309D" w:rsidP="00CF309D">
      <w:pPr>
        <w:pStyle w:val="H1G"/>
      </w:pPr>
      <w:r>
        <w:tab/>
      </w:r>
      <w:r>
        <w:tab/>
        <w:t>Chapter 6.5</w:t>
      </w:r>
    </w:p>
    <w:p w14:paraId="6162CF60" w14:textId="77777777" w:rsidR="00CF309D" w:rsidRDefault="00CF309D" w:rsidP="00CF309D">
      <w:pPr>
        <w:spacing w:after="120"/>
        <w:ind w:left="1134" w:right="1134"/>
        <w:jc w:val="both"/>
        <w:rPr>
          <w:rFonts w:eastAsia="Times New Roman"/>
          <w:lang w:eastAsia="en-US"/>
        </w:rPr>
      </w:pPr>
      <w:r>
        <w:rPr>
          <w:rFonts w:eastAsia="Times New Roman"/>
          <w:lang w:eastAsia="en-US"/>
        </w:rPr>
        <w:t>6.5.2.1.2</w:t>
      </w:r>
      <w:r>
        <w:rPr>
          <w:rFonts w:eastAsia="Times New Roman"/>
          <w:lang w:eastAsia="en-US"/>
        </w:rPr>
        <w:tab/>
        <w:t>Add a new 6.5.2.1.2 to read as follows:</w:t>
      </w:r>
    </w:p>
    <w:p w14:paraId="26BA843F" w14:textId="77777777" w:rsidR="00CF309D" w:rsidRDefault="00CF309D" w:rsidP="00CF309D">
      <w:pPr>
        <w:spacing w:after="120"/>
        <w:ind w:left="1134" w:right="1134"/>
        <w:jc w:val="both"/>
        <w:rPr>
          <w:rFonts w:eastAsia="Times New Roman"/>
          <w:lang w:eastAsia="en-US"/>
        </w:rPr>
      </w:pPr>
      <w:r>
        <w:rPr>
          <w:rFonts w:eastAsia="Times New Roman"/>
          <w:lang w:eastAsia="en-US"/>
        </w:rPr>
        <w:t>“</w:t>
      </w:r>
      <w:r w:rsidRPr="00E20888">
        <w:rPr>
          <w:rFonts w:eastAsia="Times New Roman"/>
          <w:lang w:eastAsia="en-US"/>
        </w:rPr>
        <w:t xml:space="preserve">6.5.2.1.2 </w:t>
      </w:r>
      <w:r>
        <w:rPr>
          <w:rFonts w:eastAsia="Times New Roman"/>
          <w:lang w:eastAsia="en-US"/>
        </w:rPr>
        <w:tab/>
      </w:r>
      <w:r w:rsidRPr="00E20888">
        <w:rPr>
          <w:rFonts w:eastAsia="Times New Roman"/>
          <w:lang w:eastAsia="en-US"/>
        </w:rPr>
        <w:t>IBCs manufactured from recycled plastics material as defined in 1.2.1 shall be marked “REC”. For rigid IBCs this mark shall be placed near the marks prescribed in 6.5.2.1.1. For the inner receptacle of composite IBCs, this mark shall be placed near the marks prescribed in 6.5.2.2.4.</w:t>
      </w:r>
      <w:r>
        <w:rPr>
          <w:rFonts w:eastAsia="Times New Roman"/>
          <w:lang w:eastAsia="en-US"/>
        </w:rPr>
        <w:t>”</w:t>
      </w:r>
    </w:p>
    <w:p w14:paraId="5C702DB7" w14:textId="77777777" w:rsidR="00CF309D" w:rsidRDefault="00CF309D" w:rsidP="00CF309D">
      <w:pPr>
        <w:pStyle w:val="SingleTxtG"/>
        <w:ind w:left="2268"/>
        <w:rPr>
          <w:b/>
          <w:sz w:val="24"/>
          <w:lang w:val="fr-FR" w:eastAsia="en-US"/>
        </w:rPr>
      </w:pPr>
      <w:r w:rsidRPr="00643D4D">
        <w:rPr>
          <w:lang w:eastAsia="en-US"/>
        </w:rPr>
        <w:t>Renumber current 6.5.2.1.2 and 6.5.2.1.3 as 6.5.2.1.3 and 6.5.2.1.4 respectively.</w:t>
      </w:r>
    </w:p>
    <w:p w14:paraId="5696B499" w14:textId="77777777" w:rsidR="00CF309D" w:rsidRDefault="00CF309D" w:rsidP="00CF309D">
      <w:pPr>
        <w:kinsoku/>
        <w:overflowPunct/>
        <w:autoSpaceDE/>
        <w:autoSpaceDN/>
        <w:adjustRightInd/>
        <w:snapToGrid/>
        <w:spacing w:after="120"/>
        <w:ind w:left="2268" w:right="1134" w:hanging="1134"/>
        <w:jc w:val="both"/>
        <w:rPr>
          <w:rFonts w:eastAsia="Times New Roman"/>
          <w:i/>
          <w:iCs/>
          <w:lang w:eastAsia="en-US"/>
        </w:rPr>
      </w:pPr>
      <w:r w:rsidRPr="00A20118">
        <w:rPr>
          <w:i/>
          <w:iCs/>
        </w:rPr>
        <w:t xml:space="preserve">(Reference document: </w:t>
      </w:r>
      <w:r>
        <w:rPr>
          <w:rFonts w:eastAsia="Times New Roman"/>
          <w:i/>
          <w:iCs/>
          <w:lang w:eastAsia="en-US"/>
        </w:rPr>
        <w:t>informal document INF.47, proposal 1, as amended</w:t>
      </w:r>
      <w:r w:rsidRPr="00BB4643">
        <w:rPr>
          <w:rFonts w:eastAsia="Times New Roman"/>
          <w:i/>
          <w:iCs/>
          <w:lang w:eastAsia="en-US"/>
        </w:rPr>
        <w:t>)</w:t>
      </w:r>
    </w:p>
    <w:p w14:paraId="6E9B39BB" w14:textId="77777777" w:rsidR="00CF309D" w:rsidRDefault="00CF309D" w:rsidP="00CF309D">
      <w:pPr>
        <w:pStyle w:val="SingleTxtG"/>
        <w:ind w:left="2268" w:hanging="1134"/>
        <w:rPr>
          <w:lang w:val="en-US"/>
        </w:rPr>
      </w:pPr>
      <w:r>
        <w:t>6.5.4.1</w:t>
      </w:r>
      <w:r>
        <w:tab/>
      </w:r>
      <w:r>
        <w:tab/>
      </w:r>
      <w:r>
        <w:rPr>
          <w:lang w:val="en-US"/>
        </w:rPr>
        <w:t>In the Note, replace “ISO 16106:2006” by “ISO 16106:2020” and delete “</w:t>
      </w:r>
      <w:r w:rsidRPr="00D7302E">
        <w:rPr>
          <w:lang w:val="en-US"/>
        </w:rPr>
        <w:t>Packaging –</w:t>
      </w:r>
      <w:r>
        <w:rPr>
          <w:lang w:val="en-US"/>
        </w:rPr>
        <w:t>” in the standard’s title.</w:t>
      </w:r>
    </w:p>
    <w:p w14:paraId="5402A734" w14:textId="77777777" w:rsidR="00CF309D" w:rsidRPr="00843762" w:rsidRDefault="00CF309D" w:rsidP="00CF309D">
      <w:pPr>
        <w:pStyle w:val="SingleTxtG"/>
        <w:rPr>
          <w:i/>
          <w:iCs/>
        </w:rPr>
      </w:pPr>
      <w:r w:rsidRPr="00804977">
        <w:rPr>
          <w:i/>
          <w:iCs/>
        </w:rPr>
        <w:t>(Reference document: ST/SG/AC.10/C.3/20</w:t>
      </w:r>
      <w:r>
        <w:rPr>
          <w:i/>
          <w:iCs/>
        </w:rPr>
        <w:t>20</w:t>
      </w:r>
      <w:r w:rsidRPr="00804977">
        <w:rPr>
          <w:i/>
          <w:iCs/>
        </w:rPr>
        <w:t>/</w:t>
      </w:r>
      <w:r>
        <w:rPr>
          <w:i/>
          <w:iCs/>
        </w:rPr>
        <w:t>50</w:t>
      </w:r>
      <w:r w:rsidRPr="00804977">
        <w:rPr>
          <w:i/>
          <w:iCs/>
        </w:rPr>
        <w:t>)</w:t>
      </w:r>
    </w:p>
    <w:p w14:paraId="04D561DE" w14:textId="77777777" w:rsidR="00CF309D" w:rsidRDefault="00CF309D" w:rsidP="00CF309D">
      <w:pPr>
        <w:pStyle w:val="H1G"/>
      </w:pPr>
      <w:r>
        <w:tab/>
      </w:r>
      <w:r>
        <w:tab/>
        <w:t>Chapter 6.6</w:t>
      </w:r>
    </w:p>
    <w:p w14:paraId="09182B50" w14:textId="77777777" w:rsidR="00CF309D" w:rsidRDefault="00CF309D" w:rsidP="00CF309D">
      <w:pPr>
        <w:pStyle w:val="SingleTxtG"/>
        <w:ind w:left="2268" w:hanging="1134"/>
        <w:rPr>
          <w:lang w:val="en-US"/>
        </w:rPr>
      </w:pPr>
      <w:r>
        <w:t>6.6.1.2</w:t>
      </w:r>
      <w:r w:rsidRPr="001F4128">
        <w:t xml:space="preserve"> </w:t>
      </w:r>
      <w:r>
        <w:tab/>
      </w:r>
      <w:r>
        <w:rPr>
          <w:lang w:val="en-US"/>
        </w:rPr>
        <w:t>In the Note, replace “ISO 16106:2006” by “ISO 16106:2020” and delete “</w:t>
      </w:r>
      <w:r w:rsidRPr="00D7302E">
        <w:rPr>
          <w:lang w:val="en-US"/>
        </w:rPr>
        <w:t>Packaging –</w:t>
      </w:r>
      <w:r>
        <w:rPr>
          <w:lang w:val="en-US"/>
        </w:rPr>
        <w:t>” in the standard’s title.</w:t>
      </w:r>
    </w:p>
    <w:p w14:paraId="7F424F3C" w14:textId="77777777" w:rsidR="00CF309D" w:rsidRPr="00843762" w:rsidRDefault="00CF309D" w:rsidP="00CF309D">
      <w:pPr>
        <w:pStyle w:val="SingleTxtG"/>
        <w:rPr>
          <w:i/>
          <w:iCs/>
        </w:rPr>
      </w:pPr>
      <w:r w:rsidRPr="00804977">
        <w:rPr>
          <w:i/>
          <w:iCs/>
        </w:rPr>
        <w:t>(Reference document: ST/SG/AC.10/C.3/20</w:t>
      </w:r>
      <w:r>
        <w:rPr>
          <w:i/>
          <w:iCs/>
        </w:rPr>
        <w:t>20</w:t>
      </w:r>
      <w:r w:rsidRPr="00804977">
        <w:rPr>
          <w:i/>
          <w:iCs/>
        </w:rPr>
        <w:t>/</w:t>
      </w:r>
      <w:r>
        <w:rPr>
          <w:i/>
          <w:iCs/>
        </w:rPr>
        <w:t>50</w:t>
      </w:r>
      <w:r w:rsidRPr="00804977">
        <w:rPr>
          <w:i/>
          <w:iCs/>
        </w:rPr>
        <w:t>)</w:t>
      </w:r>
    </w:p>
    <w:p w14:paraId="2DE6B353" w14:textId="77777777" w:rsidR="00CF309D" w:rsidRPr="00BB4643" w:rsidRDefault="00CF309D" w:rsidP="00CF309D">
      <w:pPr>
        <w:spacing w:after="120"/>
        <w:ind w:left="2268" w:right="1134" w:hanging="1134"/>
        <w:jc w:val="both"/>
        <w:rPr>
          <w:rFonts w:eastAsiaTheme="minorHAnsi"/>
          <w:lang w:eastAsia="en-US"/>
        </w:rPr>
      </w:pPr>
      <w:r>
        <w:rPr>
          <w:rFonts w:eastAsia="Times New Roman"/>
          <w:lang w:eastAsia="en-US"/>
        </w:rPr>
        <w:t>6.6.1.3</w:t>
      </w:r>
      <w:r>
        <w:rPr>
          <w:rFonts w:eastAsia="Times New Roman"/>
          <w:lang w:eastAsia="en-US"/>
        </w:rPr>
        <w:tab/>
      </w:r>
      <w:r w:rsidRPr="00BB4643">
        <w:rPr>
          <w:rFonts w:eastAsia="Times New Roman"/>
          <w:lang w:eastAsia="en-US"/>
        </w:rPr>
        <w:tab/>
      </w:r>
      <w:r w:rsidRPr="00A20118">
        <w:rPr>
          <w:rFonts w:eastAsiaTheme="minorHAnsi"/>
          <w:lang w:eastAsia="en-US"/>
        </w:rPr>
        <w:t>In the second sentence</w:t>
      </w:r>
      <w:r w:rsidRPr="00BB4643">
        <w:rPr>
          <w:rFonts w:eastAsiaTheme="minorHAnsi"/>
          <w:lang w:eastAsia="en-US"/>
        </w:rPr>
        <w:t xml:space="preserve">, </w:t>
      </w:r>
      <w:r w:rsidRPr="00A20118">
        <w:rPr>
          <w:rFonts w:eastAsiaTheme="minorHAnsi"/>
          <w:lang w:eastAsia="en-US"/>
        </w:rPr>
        <w:t>replace “successfully to withstand the tests” by “to successfully fulfil the requirements”.</w:t>
      </w:r>
    </w:p>
    <w:p w14:paraId="067A3AD1" w14:textId="77777777" w:rsidR="00CF309D" w:rsidRDefault="00CF309D" w:rsidP="00CF309D">
      <w:pPr>
        <w:kinsoku/>
        <w:overflowPunct/>
        <w:autoSpaceDE/>
        <w:autoSpaceDN/>
        <w:adjustRightInd/>
        <w:snapToGrid/>
        <w:spacing w:after="120"/>
        <w:ind w:left="2268" w:right="1134" w:hanging="1134"/>
        <w:jc w:val="both"/>
        <w:rPr>
          <w:rFonts w:eastAsia="Times New Roman"/>
          <w:i/>
          <w:iCs/>
          <w:lang w:eastAsia="en-US"/>
        </w:rPr>
      </w:pPr>
      <w:r w:rsidRPr="00A20118">
        <w:rPr>
          <w:i/>
          <w:iCs/>
        </w:rPr>
        <w:t xml:space="preserve">(Reference document: </w:t>
      </w:r>
      <w:r w:rsidRPr="00BB4643">
        <w:rPr>
          <w:rFonts w:eastAsia="Times New Roman"/>
          <w:i/>
          <w:iCs/>
          <w:lang w:eastAsia="en-US"/>
        </w:rPr>
        <w:t>ST/SG/AC.10/C.3/2020/28/Rev.1)</w:t>
      </w:r>
    </w:p>
    <w:p w14:paraId="1A2F183A" w14:textId="77777777" w:rsidR="00CF309D" w:rsidRPr="00007C2E" w:rsidRDefault="00CF309D" w:rsidP="00CF309D">
      <w:pPr>
        <w:pStyle w:val="H1G"/>
      </w:pPr>
      <w:r w:rsidRPr="00007C2E">
        <w:tab/>
      </w:r>
      <w:r w:rsidRPr="00007C2E">
        <w:tab/>
        <w:t xml:space="preserve">Chapter </w:t>
      </w:r>
      <w:r>
        <w:t>6.7</w:t>
      </w:r>
    </w:p>
    <w:p w14:paraId="1BC13AAB" w14:textId="77777777" w:rsidR="00CF309D" w:rsidRDefault="00CF309D" w:rsidP="00CF309D">
      <w:pPr>
        <w:pStyle w:val="SingleTxtG"/>
        <w:ind w:left="2268" w:hanging="1134"/>
      </w:pPr>
      <w:r w:rsidRPr="0071727B">
        <w:t>6.7.3.8.1.1</w:t>
      </w:r>
      <w:r>
        <w:tab/>
        <w:t>Delete footnote 4 and renumber the footnotes in 6.7 accordingly. At the end of 6.7.3.8.1.1, add a new note with the text of the footnote, to read as follows:</w:t>
      </w:r>
    </w:p>
    <w:p w14:paraId="5EF4848A" w14:textId="77777777" w:rsidR="00CF309D" w:rsidRDefault="00CF309D" w:rsidP="00CF309D">
      <w:pPr>
        <w:pStyle w:val="SingleTxtG"/>
      </w:pPr>
      <w:r>
        <w:t>“</w:t>
      </w:r>
      <w:r w:rsidRPr="00E53001">
        <w:rPr>
          <w:b/>
          <w:bCs/>
          <w:i/>
          <w:iCs/>
        </w:rPr>
        <w:t>NOTE:</w:t>
      </w:r>
      <w:r>
        <w:rPr>
          <w:i/>
          <w:iCs/>
        </w:rPr>
        <w:tab/>
      </w:r>
      <w:r w:rsidRPr="00BE3667">
        <w:rPr>
          <w:i/>
          <w:iCs/>
        </w:rPr>
        <w:t>This formula applies only to non-refrigerated liquefied gases which have critical temperatures well above the temperature at the accumulating condition. For gases which have critical temperatures near or below the temperature at the accumulating condition, the calculation of the pressure-relief device delivery capacity shall consider further thermodynamic properties of the gas (see, e.g. CGA S-1.2-2003 Pressure Relief Device Standards – Part 2 – Cargo and Portable Tanks for Compressed Gases)</w:t>
      </w:r>
      <w:r w:rsidRPr="00E53001">
        <w:rPr>
          <w:i/>
          <w:iCs/>
        </w:rPr>
        <w:t>.</w:t>
      </w:r>
      <w:r>
        <w:t>”</w:t>
      </w:r>
    </w:p>
    <w:p w14:paraId="658D9AD7" w14:textId="77777777" w:rsidR="00CF309D" w:rsidRPr="00C25639" w:rsidRDefault="00CF309D" w:rsidP="00CF309D">
      <w:pPr>
        <w:pStyle w:val="SingleTxtG"/>
        <w:rPr>
          <w:i/>
          <w:iCs/>
        </w:rPr>
      </w:pPr>
      <w:r w:rsidRPr="00007C2E">
        <w:rPr>
          <w:i/>
          <w:iCs/>
        </w:rPr>
        <w:t>(Reference document: ST/SG/AC.10/C.3/2020/</w:t>
      </w:r>
      <w:r>
        <w:rPr>
          <w:i/>
          <w:iCs/>
        </w:rPr>
        <w:t>74, proposal 6</w:t>
      </w:r>
      <w:r w:rsidRPr="00007C2E">
        <w:rPr>
          <w:i/>
          <w:iCs/>
        </w:rPr>
        <w:t>)</w:t>
      </w:r>
    </w:p>
    <w:p w14:paraId="047A1BDA" w14:textId="77777777" w:rsidR="00CF309D" w:rsidRDefault="00CF309D" w:rsidP="00CF309D">
      <w:pPr>
        <w:pStyle w:val="H1G"/>
      </w:pPr>
      <w:r>
        <w:tab/>
      </w:r>
      <w:r>
        <w:tab/>
        <w:t>Chapter 7.1</w:t>
      </w:r>
    </w:p>
    <w:p w14:paraId="5B8B2354" w14:textId="77777777" w:rsidR="00CF309D" w:rsidRDefault="00CF309D" w:rsidP="00CF309D">
      <w:pPr>
        <w:pStyle w:val="SingleTxtG"/>
        <w:ind w:left="2268" w:hanging="1134"/>
        <w:rPr>
          <w:lang w:val="en-US"/>
        </w:rPr>
      </w:pPr>
      <w:r>
        <w:t>7.1.5.3.2 (a)</w:t>
      </w:r>
      <w:r>
        <w:tab/>
      </w:r>
      <w:r>
        <w:tab/>
      </w:r>
      <w:r>
        <w:rPr>
          <w:lang w:val="en-US"/>
        </w:rPr>
        <w:t>Replace “the word "STABILIZED"” by “the words "TEMPERATURE CONTROLLED"”.</w:t>
      </w:r>
    </w:p>
    <w:p w14:paraId="03D74302" w14:textId="77777777" w:rsidR="00CF309D" w:rsidRPr="00843762" w:rsidRDefault="00CF309D" w:rsidP="00CF309D">
      <w:pPr>
        <w:pStyle w:val="SingleTxtG"/>
        <w:rPr>
          <w:i/>
          <w:iCs/>
        </w:rPr>
      </w:pPr>
      <w:r w:rsidRPr="00804977">
        <w:rPr>
          <w:i/>
          <w:iCs/>
        </w:rPr>
        <w:t>(Reference document: ST/SG/AC.10/C.3/20</w:t>
      </w:r>
      <w:r>
        <w:rPr>
          <w:i/>
          <w:iCs/>
        </w:rPr>
        <w:t>20</w:t>
      </w:r>
      <w:r w:rsidRPr="00804977">
        <w:rPr>
          <w:i/>
          <w:iCs/>
        </w:rPr>
        <w:t>/</w:t>
      </w:r>
      <w:r>
        <w:rPr>
          <w:i/>
          <w:iCs/>
        </w:rPr>
        <w:t>15, as amended</w:t>
      </w:r>
      <w:r w:rsidRPr="00804977">
        <w:rPr>
          <w:i/>
          <w:iCs/>
        </w:rPr>
        <w:t>)</w:t>
      </w:r>
    </w:p>
    <w:p w14:paraId="404D2069" w14:textId="77777777" w:rsidR="00813891" w:rsidRDefault="00813891">
      <w:pPr>
        <w:suppressAutoHyphens w:val="0"/>
        <w:kinsoku/>
        <w:overflowPunct/>
        <w:autoSpaceDE/>
        <w:autoSpaceDN/>
        <w:adjustRightInd/>
        <w:snapToGrid/>
        <w:spacing w:after="200" w:line="276" w:lineRule="auto"/>
      </w:pPr>
      <w:r>
        <w:br w:type="page"/>
      </w:r>
    </w:p>
    <w:p w14:paraId="74325002" w14:textId="7CF43974" w:rsidR="00CF309D" w:rsidRDefault="00CF309D" w:rsidP="00CF309D">
      <w:pPr>
        <w:pStyle w:val="SingleTxtG"/>
        <w:ind w:left="2268" w:hanging="1134"/>
      </w:pPr>
      <w:r w:rsidRPr="00F26EA3">
        <w:lastRenderedPageBreak/>
        <w:t>7.1.5.3.2</w:t>
      </w:r>
      <w:r>
        <w:t xml:space="preserve"> </w:t>
      </w:r>
      <w:r w:rsidRPr="00F26EA3">
        <w:t>(b)</w:t>
      </w:r>
      <w:r>
        <w:tab/>
        <w:t>Delete footnote 1.</w:t>
      </w:r>
    </w:p>
    <w:p w14:paraId="493443FA" w14:textId="77777777" w:rsidR="00CF309D" w:rsidRPr="00C25639" w:rsidRDefault="00CF309D" w:rsidP="00CF309D">
      <w:pPr>
        <w:pStyle w:val="SingleTxtG"/>
        <w:rPr>
          <w:i/>
          <w:iCs/>
        </w:rPr>
      </w:pPr>
      <w:r w:rsidRPr="00007C2E">
        <w:rPr>
          <w:i/>
          <w:iCs/>
        </w:rPr>
        <w:t>(Reference document: ST/SG/AC.10/C.3/2020/</w:t>
      </w:r>
      <w:r>
        <w:rPr>
          <w:i/>
          <w:iCs/>
        </w:rPr>
        <w:t>74, proposal 7</w:t>
      </w:r>
      <w:r w:rsidRPr="00007C2E">
        <w:rPr>
          <w:i/>
          <w:iCs/>
        </w:rPr>
        <w:t>)</w:t>
      </w:r>
    </w:p>
    <w:p w14:paraId="7520B358" w14:textId="77777777" w:rsidR="00CF309D" w:rsidRPr="00007C2E" w:rsidRDefault="00CF309D" w:rsidP="00CF309D">
      <w:pPr>
        <w:pStyle w:val="H1G"/>
      </w:pPr>
      <w:r w:rsidRPr="00007C2E">
        <w:tab/>
      </w:r>
      <w:r w:rsidRPr="00007C2E">
        <w:tab/>
      </w:r>
      <w:r>
        <w:t>Table of correspondence between the IAEA regulations and the Model Regulations</w:t>
      </w:r>
    </w:p>
    <w:p w14:paraId="028D3BE5" w14:textId="77777777" w:rsidR="00CF309D" w:rsidRDefault="00CF309D" w:rsidP="00CF309D">
      <w:pPr>
        <w:pStyle w:val="SingleTxtG"/>
      </w:pPr>
      <w:r>
        <w:rPr>
          <w:lang w:val="en-US"/>
        </w:rPr>
        <w:t xml:space="preserve">In the title of the </w:t>
      </w:r>
      <w:bookmarkStart w:id="3" w:name="_Hlk48047662"/>
      <w:r>
        <w:rPr>
          <w:lang w:val="en-US"/>
        </w:rPr>
        <w:t>“Table of correspondence between paragraph numbers in the IAEA regulations…”</w:t>
      </w:r>
      <w:bookmarkEnd w:id="3"/>
      <w:r>
        <w:rPr>
          <w:lang w:val="en-US"/>
        </w:rPr>
        <w:t xml:space="preserve"> replace “PARAGRPAPH NUMBERS” by “PARAGRAPHS, TABLES AND FIGURES” and replace “</w:t>
      </w:r>
      <w:r w:rsidRPr="00EE649E">
        <w:rPr>
          <w:lang w:val="en-US"/>
        </w:rPr>
        <w:t>THE IAEA REGULATIONS FOR THE SAFE TRANSPORT OF RADIOACTIVE MATERIAL (2018 EDITION – SSR-6 (Rev. 1))</w:t>
      </w:r>
      <w:r>
        <w:rPr>
          <w:lang w:val="en-US"/>
        </w:rPr>
        <w:t xml:space="preserve">” by “THE 2018 EDITION OF </w:t>
      </w:r>
      <w:r w:rsidRPr="00EE649E">
        <w:rPr>
          <w:lang w:val="en-US"/>
        </w:rPr>
        <w:t>THE IAEA REGULATIONS FOR THE SAFE TRANSPORT OF RADIOACTIVE MATERIAL</w:t>
      </w:r>
      <w:r>
        <w:rPr>
          <w:lang w:val="en-US"/>
        </w:rPr>
        <w:t xml:space="preserve">”. Add a heading above the first table to read “Correspondence between paragraphs”. In the header row of the first table, replace “SSR-6” by “IAEA” and “UN” by “Model Regulations”. Replace the joint heading above the second and third tables by a heading above the second table reading “Correspondence between tables” and a heading above the third table reading “Correspondence between figures”. In the header row of the second table, replace “SSR-6 Table” by “IAEA” and replace “UN Model Regulations” by </w:t>
      </w:r>
      <w:r>
        <w:t>“</w:t>
      </w:r>
      <w:r>
        <w:rPr>
          <w:lang w:val="en-US"/>
        </w:rPr>
        <w:t xml:space="preserve">Model Regulations”. In the header row of the third table, replace “SSR-6 Figure” by “IAEA” and replace “UN Model Regulations” by </w:t>
      </w:r>
      <w:r>
        <w:t>“</w:t>
      </w:r>
      <w:r>
        <w:rPr>
          <w:lang w:val="en-US"/>
        </w:rPr>
        <w:t>Model Regulations”.</w:t>
      </w:r>
    </w:p>
    <w:p w14:paraId="7F3F7CA8" w14:textId="77777777" w:rsidR="00CF309D" w:rsidRPr="00007C2E" w:rsidRDefault="00CF309D" w:rsidP="00CF309D">
      <w:pPr>
        <w:pStyle w:val="SingleTxtG"/>
        <w:rPr>
          <w:i/>
          <w:iCs/>
        </w:rPr>
      </w:pPr>
      <w:r w:rsidRPr="00007C2E">
        <w:rPr>
          <w:i/>
          <w:iCs/>
        </w:rPr>
        <w:t xml:space="preserve">(Reference document: </w:t>
      </w:r>
      <w:r>
        <w:rPr>
          <w:i/>
          <w:iCs/>
        </w:rPr>
        <w:t>informal document INF.24</w:t>
      </w:r>
      <w:r w:rsidRPr="00007C2E">
        <w:rPr>
          <w:i/>
          <w:iCs/>
        </w:rPr>
        <w:t>)</w:t>
      </w:r>
    </w:p>
    <w:p w14:paraId="419E2947" w14:textId="77777777" w:rsidR="00CF309D" w:rsidRDefault="00CF309D" w:rsidP="00CF309D">
      <w:pPr>
        <w:pStyle w:val="H1G"/>
      </w:pPr>
      <w:r>
        <w:tab/>
      </w:r>
      <w:r>
        <w:tab/>
        <w:t xml:space="preserve">Document </w:t>
      </w:r>
      <w:r w:rsidRPr="00400679">
        <w:t>ST/SG/AC.10/C.3/2020</w:t>
      </w:r>
      <w:r>
        <w:t>/59, Part I was adopted with the following modifications:</w:t>
      </w:r>
    </w:p>
    <w:p w14:paraId="6BA25717" w14:textId="77777777" w:rsidR="00CF309D" w:rsidRDefault="00CF309D" w:rsidP="00CF309D">
      <w:pPr>
        <w:pStyle w:val="SingleTxtG"/>
      </w:pPr>
      <w:r>
        <w:t>2.8.3.2</w:t>
      </w:r>
      <w:r>
        <w:tab/>
      </w:r>
      <w:r>
        <w:tab/>
        <w:t>Remove the square brackets.</w:t>
      </w:r>
    </w:p>
    <w:p w14:paraId="4DF40670" w14:textId="77777777" w:rsidR="00CF309D" w:rsidRPr="0084657F" w:rsidRDefault="00CF309D" w:rsidP="00CF309D">
      <w:pPr>
        <w:pStyle w:val="SingleTxtG"/>
      </w:pPr>
      <w:r>
        <w:t>5.2.1.7.1</w:t>
      </w:r>
      <w:r>
        <w:tab/>
        <w:t>Replace “and” by “or”.</w:t>
      </w:r>
    </w:p>
    <w:p w14:paraId="25A7E4E9" w14:textId="77777777" w:rsidR="00CF309D" w:rsidRPr="00A03542" w:rsidRDefault="00CF309D" w:rsidP="00CF309D">
      <w:pPr>
        <w:pStyle w:val="SingleTxtG"/>
      </w:pPr>
      <w:r>
        <w:t>5.2.1.7.2 (a)</w:t>
      </w:r>
      <w:r>
        <w:tab/>
        <w:t>Replace “and” by “or”.</w:t>
      </w:r>
    </w:p>
    <w:p w14:paraId="3505798A" w14:textId="77777777" w:rsidR="00CF309D" w:rsidRPr="0084657F" w:rsidRDefault="00CF309D" w:rsidP="00CF309D">
      <w:pPr>
        <w:pStyle w:val="SingleTxtG"/>
      </w:pPr>
      <w:r>
        <w:t>6.2.1.4.4</w:t>
      </w:r>
      <w:r>
        <w:tab/>
        <w:t>The modification does not apply to the English text.</w:t>
      </w:r>
    </w:p>
    <w:p w14:paraId="2E147422" w14:textId="77777777" w:rsidR="00CF309D" w:rsidRPr="00CB5AC7" w:rsidRDefault="00CF309D" w:rsidP="00CF309D">
      <w:pPr>
        <w:pStyle w:val="SingleTxtG"/>
      </w:pPr>
      <w:r w:rsidRPr="00CB5AC7">
        <w:rPr>
          <w:lang w:eastAsia="en-US"/>
        </w:rPr>
        <w:t>6.2.2.1.9</w:t>
      </w:r>
      <w:r w:rsidRPr="00CB5AC7">
        <w:rPr>
          <w:lang w:eastAsia="en-US"/>
        </w:rPr>
        <w:tab/>
      </w:r>
      <w:r w:rsidRPr="00CB5AC7">
        <w:rPr>
          <w:rFonts w:eastAsiaTheme="minorHAnsi"/>
          <w:lang w:eastAsia="en-US"/>
        </w:rPr>
        <w:t xml:space="preserve">In the table, for </w:t>
      </w:r>
      <w:r>
        <w:rPr>
          <w:rFonts w:eastAsiaTheme="minorHAnsi"/>
          <w:lang w:eastAsia="en-US"/>
        </w:rPr>
        <w:t>“</w:t>
      </w:r>
      <w:r w:rsidRPr="00CB5AC7">
        <w:rPr>
          <w:rFonts w:eastAsiaTheme="minorHAnsi"/>
          <w:lang w:eastAsia="en-US"/>
        </w:rPr>
        <w:t>ISO 11118:2015</w:t>
      </w:r>
      <w:r>
        <w:rPr>
          <w:rFonts w:eastAsiaTheme="minorHAnsi"/>
          <w:lang w:eastAsia="en-US"/>
        </w:rPr>
        <w:t>”</w:t>
      </w:r>
      <w:r w:rsidRPr="00CB5AC7">
        <w:rPr>
          <w:rFonts w:eastAsiaTheme="minorHAnsi"/>
          <w:lang w:eastAsia="en-US"/>
        </w:rPr>
        <w:t xml:space="preserve">, </w:t>
      </w:r>
      <w:r>
        <w:rPr>
          <w:rFonts w:eastAsiaTheme="minorHAnsi"/>
          <w:lang w:eastAsia="en-US"/>
        </w:rPr>
        <w:t>in column</w:t>
      </w:r>
      <w:r w:rsidRPr="006403F5">
        <w:rPr>
          <w:rFonts w:eastAsiaTheme="minorHAnsi"/>
          <w:lang w:eastAsia="en-US"/>
        </w:rPr>
        <w:t xml:space="preserve"> </w:t>
      </w:r>
      <w:r>
        <w:rPr>
          <w:rFonts w:eastAsiaTheme="minorHAnsi"/>
          <w:lang w:eastAsia="en-US"/>
        </w:rPr>
        <w:t>“Applicable for manufacture”</w:t>
      </w:r>
      <w:r w:rsidRPr="006403F5">
        <w:rPr>
          <w:rFonts w:eastAsiaTheme="minorHAnsi"/>
          <w:lang w:eastAsia="en-US"/>
        </w:rPr>
        <w:t xml:space="preserve">, </w:t>
      </w:r>
      <w:r>
        <w:rPr>
          <w:rFonts w:eastAsiaTheme="minorHAnsi"/>
          <w:lang w:eastAsia="en-US"/>
        </w:rPr>
        <w:t>replace</w:t>
      </w:r>
      <w:r w:rsidRPr="006403F5">
        <w:rPr>
          <w:rFonts w:eastAsiaTheme="minorHAnsi"/>
          <w:lang w:eastAsia="en-US"/>
        </w:rPr>
        <w:t xml:space="preserve"> </w:t>
      </w:r>
      <w:r>
        <w:rPr>
          <w:rFonts w:eastAsiaTheme="minorHAnsi"/>
          <w:lang w:eastAsia="en-US"/>
        </w:rPr>
        <w:t>“</w:t>
      </w:r>
      <w:r w:rsidRPr="00C41B8F">
        <w:t>Until</w:t>
      </w:r>
      <w:r>
        <w:rPr>
          <w:rFonts w:eastAsiaTheme="minorHAnsi"/>
          <w:lang w:eastAsia="en-US"/>
        </w:rPr>
        <w:t xml:space="preserve"> further notice” by “Until</w:t>
      </w:r>
      <w:r w:rsidRPr="006403F5">
        <w:rPr>
          <w:rFonts w:eastAsiaTheme="minorHAnsi"/>
          <w:lang w:eastAsia="en-US"/>
        </w:rPr>
        <w:t xml:space="preserve"> 31 </w:t>
      </w:r>
      <w:r>
        <w:rPr>
          <w:rFonts w:eastAsiaTheme="minorHAnsi"/>
          <w:lang w:eastAsia="en-US"/>
        </w:rPr>
        <w:t>December</w:t>
      </w:r>
      <w:r w:rsidRPr="006403F5">
        <w:rPr>
          <w:rFonts w:eastAsiaTheme="minorHAnsi"/>
          <w:lang w:eastAsia="en-US"/>
        </w:rPr>
        <w:t xml:space="preserve"> 202</w:t>
      </w:r>
      <w:r>
        <w:rPr>
          <w:rFonts w:eastAsiaTheme="minorHAnsi"/>
          <w:lang w:eastAsia="en-US"/>
        </w:rPr>
        <w:t>6”</w:t>
      </w:r>
      <w:r w:rsidRPr="00CB5AC7">
        <w:rPr>
          <w:rFonts w:eastAsiaTheme="minorHAnsi"/>
          <w:lang w:eastAsia="en-US"/>
        </w:rPr>
        <w:t xml:space="preserve">. </w:t>
      </w:r>
      <w:r>
        <w:t>After the existing entry for “</w:t>
      </w:r>
      <w:r w:rsidRPr="00CB5AC7">
        <w:rPr>
          <w:rFonts w:eastAsiaTheme="minorHAnsi"/>
          <w:lang w:eastAsia="en-US"/>
        </w:rPr>
        <w:t>ISO 11118:2015</w:t>
      </w:r>
      <w:r>
        <w:rPr>
          <w:rFonts w:eastAsiaTheme="minorHAnsi"/>
          <w:lang w:eastAsia="en-US"/>
        </w:rPr>
        <w:t>”, add the following new entry</w:t>
      </w:r>
      <w:r w:rsidRPr="00CB5AC7">
        <w:t>:</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4820"/>
        <w:gridCol w:w="1275"/>
      </w:tblGrid>
      <w:tr w:rsidR="00CF309D" w:rsidRPr="00CB5AC7" w14:paraId="62D33F71" w14:textId="77777777" w:rsidTr="00784F4D">
        <w:tc>
          <w:tcPr>
            <w:tcW w:w="1544" w:type="dxa"/>
            <w:shd w:val="clear" w:color="auto" w:fill="auto"/>
          </w:tcPr>
          <w:p w14:paraId="61B7FD63" w14:textId="77777777" w:rsidR="00CF309D" w:rsidRPr="00CB5AC7" w:rsidRDefault="00CF309D" w:rsidP="00784F4D">
            <w:pPr>
              <w:kinsoku/>
              <w:overflowPunct/>
              <w:autoSpaceDE/>
              <w:autoSpaceDN/>
              <w:adjustRightInd/>
              <w:snapToGrid/>
              <w:rPr>
                <w:lang w:eastAsia="en-US"/>
              </w:rPr>
            </w:pPr>
            <w:r w:rsidRPr="00CB5AC7">
              <w:rPr>
                <w:lang w:eastAsia="en-US"/>
              </w:rPr>
              <w:t>ISO 11118:2015 +Amd.1:2019</w:t>
            </w:r>
          </w:p>
        </w:tc>
        <w:tc>
          <w:tcPr>
            <w:tcW w:w="4820" w:type="dxa"/>
            <w:shd w:val="clear" w:color="auto" w:fill="auto"/>
          </w:tcPr>
          <w:p w14:paraId="6A80B247" w14:textId="77777777" w:rsidR="00CF309D" w:rsidRPr="00CB5AC7" w:rsidRDefault="00CF309D" w:rsidP="00784F4D">
            <w:pPr>
              <w:kinsoku/>
              <w:overflowPunct/>
              <w:autoSpaceDE/>
              <w:autoSpaceDN/>
              <w:adjustRightInd/>
              <w:snapToGrid/>
              <w:jc w:val="both"/>
              <w:rPr>
                <w:lang w:eastAsia="en-US"/>
              </w:rPr>
            </w:pPr>
            <w:r w:rsidRPr="00CB5AC7">
              <w:rPr>
                <w:iCs/>
                <w:color w:val="000000"/>
              </w:rPr>
              <w:t>Gas cylinders - Non-refillable metallic gas cylinders - Specification and test methods</w:t>
            </w:r>
          </w:p>
        </w:tc>
        <w:tc>
          <w:tcPr>
            <w:tcW w:w="1275" w:type="dxa"/>
            <w:shd w:val="clear" w:color="auto" w:fill="auto"/>
          </w:tcPr>
          <w:p w14:paraId="66443C89" w14:textId="77777777" w:rsidR="00CF309D" w:rsidRPr="00CB5AC7" w:rsidRDefault="00CF309D" w:rsidP="00784F4D">
            <w:pPr>
              <w:kinsoku/>
              <w:overflowPunct/>
              <w:autoSpaceDE/>
              <w:autoSpaceDN/>
              <w:adjustRightInd/>
              <w:snapToGrid/>
              <w:rPr>
                <w:lang w:eastAsia="en-US"/>
              </w:rPr>
            </w:pPr>
            <w:r w:rsidRPr="00C41B8F">
              <w:t>Until</w:t>
            </w:r>
            <w:r>
              <w:rPr>
                <w:rFonts w:eastAsiaTheme="minorHAnsi"/>
                <w:lang w:eastAsia="en-US"/>
              </w:rPr>
              <w:t xml:space="preserve"> further notice</w:t>
            </w:r>
          </w:p>
        </w:tc>
      </w:tr>
    </w:tbl>
    <w:p w14:paraId="5D35AC90" w14:textId="77777777" w:rsidR="00CF309D" w:rsidRPr="00CB5AC7" w:rsidRDefault="00CF309D" w:rsidP="00CF309D">
      <w:pPr>
        <w:pStyle w:val="SingleTxtG"/>
        <w:spacing w:before="120"/>
        <w:rPr>
          <w:i/>
          <w:iCs/>
        </w:rPr>
      </w:pPr>
      <w:r w:rsidRPr="00CB5AC7">
        <w:rPr>
          <w:i/>
          <w:iCs/>
        </w:rPr>
        <w:t>(Reference document: informal document INF.57, proposal 8)</w:t>
      </w:r>
    </w:p>
    <w:p w14:paraId="6F29FA55" w14:textId="77777777" w:rsidR="00CF309D" w:rsidRDefault="00CF309D" w:rsidP="00CF309D">
      <w:pPr>
        <w:pStyle w:val="H1G"/>
      </w:pPr>
      <w:r>
        <w:tab/>
      </w:r>
      <w:r>
        <w:tab/>
        <w:t>Informal document INF.38, Annex 2 was adopted.</w:t>
      </w:r>
    </w:p>
    <w:p w14:paraId="38758FE8" w14:textId="77777777" w:rsidR="00CF309D" w:rsidRDefault="00CF309D" w:rsidP="00CF309D">
      <w:pPr>
        <w:pStyle w:val="H1G"/>
        <w:rPr>
          <w:lang w:eastAsia="en-US"/>
        </w:rPr>
      </w:pPr>
      <w:r>
        <w:rPr>
          <w:lang w:eastAsia="en-US"/>
        </w:rPr>
        <w:tab/>
      </w:r>
      <w:r>
        <w:rPr>
          <w:lang w:eastAsia="en-US"/>
        </w:rPr>
        <w:tab/>
        <w:t>Informal document INF.43, annexes I, II and III were adopted.</w:t>
      </w:r>
    </w:p>
    <w:p w14:paraId="111E8908" w14:textId="77777777" w:rsidR="00CF309D" w:rsidRPr="00090BA6" w:rsidRDefault="00CF309D" w:rsidP="00CF309D">
      <w:pPr>
        <w:pStyle w:val="HChG"/>
      </w:pPr>
      <w:r w:rsidRPr="00C524A8">
        <w:rPr>
          <w:lang w:val="fr-CH"/>
        </w:rPr>
        <w:tab/>
      </w:r>
      <w:r w:rsidRPr="00090BA6">
        <w:t>II.</w:t>
      </w:r>
      <w:r w:rsidRPr="00090BA6">
        <w:tab/>
        <w:t xml:space="preserve">Draft amendments to the </w:t>
      </w:r>
      <w:r>
        <w:t>7</w:t>
      </w:r>
      <w:r w:rsidRPr="00090BA6">
        <w:t>th revised edition of the Manual of Tests and Criteria (ST/SG/AC.10/11/Rev.</w:t>
      </w:r>
      <w:r>
        <w:t>7</w:t>
      </w:r>
      <w:r w:rsidRPr="00090BA6">
        <w:t>)</w:t>
      </w:r>
    </w:p>
    <w:p w14:paraId="5B7BB1E6" w14:textId="77777777" w:rsidR="00CF309D" w:rsidRDefault="00CF309D" w:rsidP="00CF309D">
      <w:pPr>
        <w:pStyle w:val="H1G"/>
      </w:pPr>
      <w:r>
        <w:tab/>
      </w:r>
      <w:r>
        <w:tab/>
        <w:t>General table of contents</w:t>
      </w:r>
    </w:p>
    <w:p w14:paraId="3364B506" w14:textId="77777777" w:rsidR="00CF309D" w:rsidRDefault="00CF309D" w:rsidP="00CF309D">
      <w:pPr>
        <w:pStyle w:val="SingleTxtG"/>
        <w:ind w:left="2268" w:hanging="1134"/>
      </w:pPr>
      <w:r>
        <w:t>13</w:t>
      </w:r>
      <w:r>
        <w:tab/>
        <w:t>Replace “is an unstable explosive” by “can be assigned a division”.</w:t>
      </w:r>
    </w:p>
    <w:p w14:paraId="3981734F" w14:textId="77777777" w:rsidR="00CF309D" w:rsidRDefault="00CF309D" w:rsidP="00CF309D">
      <w:pPr>
        <w:pStyle w:val="SingleTxtG"/>
        <w:ind w:left="2268" w:hanging="1134"/>
      </w:pPr>
      <w:r>
        <w:t>14</w:t>
      </w:r>
      <w:r>
        <w:tab/>
        <w:t>Replace “</w:t>
      </w:r>
      <w:r w:rsidRPr="00823B97">
        <w:t>is too dangerous for transport and classified as a GHS unstable explosive</w:t>
      </w:r>
      <w:r>
        <w:t>” by “</w:t>
      </w:r>
      <w:r w:rsidRPr="00222061">
        <w:t>can be assigned a division</w:t>
      </w:r>
      <w:r>
        <w:t>”.</w:t>
      </w:r>
    </w:p>
    <w:p w14:paraId="36316628"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2028D8CF" w14:textId="77777777" w:rsidR="00CF309D" w:rsidRPr="00007C2E" w:rsidRDefault="00CF309D" w:rsidP="00CF309D">
      <w:pPr>
        <w:pStyle w:val="H1G"/>
      </w:pPr>
      <w:r>
        <w:lastRenderedPageBreak/>
        <w:tab/>
      </w:r>
      <w:r>
        <w:tab/>
        <w:t>Section 10</w:t>
      </w:r>
    </w:p>
    <w:p w14:paraId="5A125397" w14:textId="77777777" w:rsidR="00CF309D" w:rsidRDefault="00CF309D" w:rsidP="00CF309D">
      <w:pPr>
        <w:pStyle w:val="SingleTxtG"/>
        <w:ind w:left="2268" w:hanging="1134"/>
      </w:pPr>
      <w:r>
        <w:t>10.1.2</w:t>
      </w:r>
      <w:r>
        <w:tab/>
        <w:t>Amend to read as follows:</w:t>
      </w:r>
    </w:p>
    <w:p w14:paraId="0C1DB242" w14:textId="77777777" w:rsidR="00CF309D" w:rsidRDefault="00CF309D" w:rsidP="00CF309D">
      <w:pPr>
        <w:pStyle w:val="SingleTxtG"/>
      </w:pPr>
      <w:r>
        <w:t xml:space="preserve">“The GHS hazard class of explosives covers all sectors. Class 1 of the Model Regulations is a subset of this class and comprises explosives as configured for transport. </w:t>
      </w:r>
    </w:p>
    <w:p w14:paraId="6A4C3EC1" w14:textId="77777777" w:rsidR="00CF309D" w:rsidRDefault="00CF309D" w:rsidP="00CF309D">
      <w:pPr>
        <w:pStyle w:val="SingleTxtG"/>
      </w:pPr>
      <w:r>
        <w:t xml:space="preserve">Goods of class 1 must be assigned to one of the six divisions, depending on the type of hazard they present (see Chapter 2.1, paragraph 2.1.1.4 of the Model Regulations) and to one of the thirteen compatibility groups that identify the kinds of explosives that are deemed to be compatible. The division, and occasionally the compatibility group, is also used as a basis for classification in the GHS hazard class for explosives (see Chapter 2.1, section 2.1.2, of the GHS). In addition, the GHS hazard class also comprises explosives that are not assigned a division. </w:t>
      </w:r>
    </w:p>
    <w:p w14:paraId="0A105579" w14:textId="77777777" w:rsidR="00CF309D" w:rsidRDefault="00CF309D" w:rsidP="00CF309D">
      <w:pPr>
        <w:pStyle w:val="SingleTxtG"/>
      </w:pPr>
      <w:r>
        <w:t>Explosives that are not assigned a division are forbidden for transport.”</w:t>
      </w:r>
    </w:p>
    <w:p w14:paraId="2FABB0E4" w14:textId="77777777" w:rsidR="00CF309D" w:rsidRDefault="00CF309D" w:rsidP="00CF309D">
      <w:pPr>
        <w:pStyle w:val="SingleTxtG"/>
        <w:ind w:left="2268" w:hanging="1134"/>
      </w:pPr>
      <w:r>
        <w:tab/>
        <w:t>The existing text in 10.1.2 starting with “The general scheme for...” is transferred to a new 10.1.3 as follows:</w:t>
      </w:r>
    </w:p>
    <w:p w14:paraId="68ADDB90" w14:textId="77777777" w:rsidR="00CF309D" w:rsidRDefault="00CF309D" w:rsidP="00CF309D">
      <w:pPr>
        <w:pStyle w:val="SingleTxtG"/>
      </w:pPr>
      <w:r>
        <w:t>“10.1.3</w:t>
      </w:r>
      <w:r>
        <w:tab/>
      </w:r>
      <w:r w:rsidRPr="004B485A">
        <w:t>The general scheme for classifying a substance or article which is to be considered for inclusion in the class of explosives is illustrated in Figure 10.1. The assessment is in two stages. In the first stage, the potential of a substance or article to explode is ascertained and its chemical and physical stability and sensitivity are also determined. In order to promote uniform assessments by classifiers, it is recommended that, using the flow chart in Figure 10.2, data from suitable tests is analyzed systematically with respect to the appropriate test criteria. If the substance or article is provisionally accepted into the class of explosives, it is then necessary to proceed to the second stage and assign it to the correct division by use of the flow charts of figures 10.3 and 10.5. With the exception of compatibility groups N and S, for which test data is necessary, assignment to a compatibility group, when appropriate, is usually made without reference to testing. In the case of compatibility group S, the tests may be waived (where appropriate by the competent authority) if classification by analogy is based on test results for a comparable article</w:t>
      </w:r>
      <w:r>
        <w:t>.”</w:t>
      </w:r>
    </w:p>
    <w:p w14:paraId="70CD211D"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087C54C4" w14:textId="77777777" w:rsidR="00CF309D" w:rsidRDefault="00CF309D" w:rsidP="00CF309D">
      <w:pPr>
        <w:pStyle w:val="SingleTxtG"/>
        <w:ind w:left="2268" w:hanging="1134"/>
      </w:pPr>
      <w:r>
        <w:t>10.1.3</w:t>
      </w:r>
      <w:r>
        <w:tab/>
        <w:t>Renumber to 10.1.4. In the first sentence, replace “as presented” by “as configured”. In the last sentence, replace “transport classifications” by “classifications in the transport configuration”.</w:t>
      </w:r>
    </w:p>
    <w:p w14:paraId="24CCA72A"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5A35C66E" w14:textId="77777777" w:rsidR="00CF309D" w:rsidRDefault="00CF309D" w:rsidP="00CF309D">
      <w:pPr>
        <w:pStyle w:val="SingleTxtG"/>
        <w:ind w:left="2268" w:hanging="1134"/>
      </w:pPr>
      <w:r>
        <w:t>10.1.4</w:t>
      </w:r>
      <w:r>
        <w:tab/>
        <w:t>Renumber to 10.1.5.</w:t>
      </w:r>
    </w:p>
    <w:p w14:paraId="5C0A516F"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12E3099C" w14:textId="77777777" w:rsidR="00CF309D" w:rsidRDefault="00CF309D" w:rsidP="00CF309D">
      <w:pPr>
        <w:pStyle w:val="SingleTxtG"/>
        <w:ind w:left="2268" w:hanging="1134"/>
      </w:pPr>
      <w:r>
        <w:t>Figure 10.1</w:t>
      </w:r>
      <w:r>
        <w:tab/>
        <w:t>In the box “CLASSIFY AS AN UNSTABLE EXPLOSIVE”, delete “UNSTABLE” and add a new line saying “No division assigned”.</w:t>
      </w:r>
    </w:p>
    <w:p w14:paraId="2AF469EF"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7D90BB81" w14:textId="77777777" w:rsidR="00CF309D" w:rsidRDefault="00CF309D" w:rsidP="00CF309D">
      <w:pPr>
        <w:pStyle w:val="SingleTxtG"/>
        <w:ind w:left="2268" w:hanging="1134"/>
      </w:pPr>
      <w:r>
        <w:t>Figure 10.2</w:t>
      </w:r>
      <w:r>
        <w:tab/>
        <w:t>In box 13, replace “unstable” by “too sensitive to assign a division”.</w:t>
      </w:r>
    </w:p>
    <w:p w14:paraId="34764138" w14:textId="77777777" w:rsidR="00CF309D" w:rsidRDefault="00CF309D" w:rsidP="00CF309D">
      <w:pPr>
        <w:pStyle w:val="SingleTxtG"/>
        <w:ind w:left="2268" w:hanging="1134"/>
      </w:pPr>
      <w:r>
        <w:tab/>
        <w:t>In box 16, replace “an unstable explosive” by “too sensitive to assign a division”.</w:t>
      </w:r>
    </w:p>
    <w:p w14:paraId="37B0D6D6" w14:textId="77777777" w:rsidR="00CF309D" w:rsidRDefault="00CF309D" w:rsidP="00CF309D">
      <w:pPr>
        <w:pStyle w:val="SingleTxtG"/>
        <w:ind w:left="2268" w:hanging="1134"/>
      </w:pPr>
      <w:r>
        <w:tab/>
        <w:t>In box 17, delete “unstable” and, at the end, add “No division assigned”.</w:t>
      </w:r>
    </w:p>
    <w:p w14:paraId="162EB340" w14:textId="77777777" w:rsidR="00CF309D" w:rsidRDefault="00CF309D" w:rsidP="00CF309D">
      <w:pPr>
        <w:pStyle w:val="SingleTxtG"/>
        <w:ind w:left="2268" w:hanging="1134"/>
      </w:pPr>
      <w:r>
        <w:tab/>
        <w:t>In box 19, replace “ACCEPT INTO THIS CLASS” by</w:t>
      </w:r>
      <w:r w:rsidRPr="0003463A">
        <w:t xml:space="preserve"> </w:t>
      </w:r>
      <w:r>
        <w:t>“</w:t>
      </w:r>
      <w:r w:rsidRPr="0003463A">
        <w:t>CLASSIFY AS AN EXPLOSIVE</w:t>
      </w:r>
      <w:r>
        <w:t>”.</w:t>
      </w:r>
    </w:p>
    <w:p w14:paraId="189F5A1F" w14:textId="77777777" w:rsidR="00CF309D" w:rsidRPr="00C25639" w:rsidRDefault="00CF309D" w:rsidP="00CF309D">
      <w:pPr>
        <w:pStyle w:val="SingleTxtG"/>
        <w:rPr>
          <w:i/>
          <w:iCs/>
        </w:rPr>
      </w:pPr>
      <w:r w:rsidRPr="00007C2E">
        <w:rPr>
          <w:i/>
          <w:iCs/>
        </w:rPr>
        <w:t>(Reference document: ST/SG/AC.10/C.3/2020/</w:t>
      </w:r>
      <w:r>
        <w:rPr>
          <w:i/>
          <w:iCs/>
        </w:rPr>
        <w:t>60 and informal document INF.38, §14</w:t>
      </w:r>
      <w:r w:rsidRPr="00007C2E">
        <w:rPr>
          <w:i/>
          <w:iCs/>
        </w:rPr>
        <w:t>)</w:t>
      </w:r>
    </w:p>
    <w:p w14:paraId="34510FC2" w14:textId="77777777" w:rsidR="00CF309D" w:rsidRDefault="00CF309D" w:rsidP="00CF309D">
      <w:pPr>
        <w:pStyle w:val="SingleTxtG"/>
        <w:ind w:left="2268" w:hanging="1134"/>
      </w:pPr>
      <w:r>
        <w:t>Figure 10.4</w:t>
      </w:r>
      <w:r>
        <w:tab/>
        <w:t>In box 6, delete “an unstable” and, at the end, add “No division assigned”.</w:t>
      </w:r>
    </w:p>
    <w:p w14:paraId="24D65DAB" w14:textId="77777777" w:rsidR="00CF309D" w:rsidRDefault="00CF309D" w:rsidP="00CF309D">
      <w:pPr>
        <w:pStyle w:val="SingleTxtG"/>
        <w:ind w:left="2268" w:hanging="1134"/>
      </w:pPr>
      <w:r>
        <w:tab/>
        <w:t>In box 7, delete “</w:t>
      </w:r>
      <w:r w:rsidRPr="006977A7">
        <w:t>other than as an unstable explosive</w:t>
      </w:r>
      <w:r>
        <w:t>”.</w:t>
      </w:r>
    </w:p>
    <w:p w14:paraId="4ED43AF1"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3EE616E1" w14:textId="77777777" w:rsidR="00CF309D" w:rsidRDefault="00CF309D" w:rsidP="00CF309D">
      <w:pPr>
        <w:pStyle w:val="SingleTxtG"/>
        <w:ind w:left="2268" w:hanging="1134"/>
      </w:pPr>
      <w:r>
        <w:lastRenderedPageBreak/>
        <w:t>10.3.1.1</w:t>
      </w:r>
      <w:r>
        <w:tab/>
        <w:t>Amend to read as follows:</w:t>
      </w:r>
    </w:p>
    <w:p w14:paraId="1C087BB9" w14:textId="77777777" w:rsidR="00CF309D" w:rsidRDefault="00CF309D" w:rsidP="00CF309D">
      <w:pPr>
        <w:pStyle w:val="SingleTxtG"/>
      </w:pPr>
      <w:r>
        <w:t>“</w:t>
      </w:r>
      <w:r w:rsidRPr="004866CA">
        <w:t>The acceptance procedure is used to determine whether or not a substance or article as offered for classification is a candidate for the class of explosives. This is decided by determining whether a substance is either too insensitive for inclusion in this class or is accepted as an explosive but considered too sensitive to mechanical stimuli, heat or flame to assign a division; or whether the article or packaged article are is accepted as an explosive but considered too sensitive to impact or heat to assign a division.</w:t>
      </w:r>
      <w:r>
        <w:t>”</w:t>
      </w:r>
    </w:p>
    <w:p w14:paraId="0C7F34B6"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0715EF0E" w14:textId="77777777" w:rsidR="00CF309D" w:rsidRDefault="00CF309D" w:rsidP="00CF309D">
      <w:pPr>
        <w:pStyle w:val="SingleTxtG"/>
        <w:ind w:left="2268" w:hanging="1134"/>
      </w:pPr>
      <w:r>
        <w:t>10.3.2.4</w:t>
      </w:r>
      <w:r>
        <w:tab/>
        <w:t>In the first sentence, replace “unstable” by “</w:t>
      </w:r>
      <w:r w:rsidRPr="00320D99">
        <w:t>too sensitive to assign a division</w:t>
      </w:r>
      <w:r>
        <w:t>”.</w:t>
      </w:r>
    </w:p>
    <w:p w14:paraId="6F80A3C1"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351721BE" w14:textId="77777777" w:rsidR="00CF309D" w:rsidRDefault="00CF309D" w:rsidP="00CF309D">
      <w:pPr>
        <w:pStyle w:val="SingleTxtG"/>
        <w:ind w:left="2268" w:hanging="1134"/>
      </w:pPr>
      <w:r>
        <w:t>10.3.2.5</w:t>
      </w:r>
      <w:r>
        <w:tab/>
        <w:t>In the first sentence, replace “an unstable explosive” by “</w:t>
      </w:r>
      <w:r w:rsidRPr="00320D99">
        <w:t>too sensitive to assign a division</w:t>
      </w:r>
      <w:r>
        <w:t>”.</w:t>
      </w:r>
    </w:p>
    <w:p w14:paraId="53764EF6"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7CC02481" w14:textId="77777777" w:rsidR="00CF309D" w:rsidRDefault="00CF309D" w:rsidP="00CF309D">
      <w:pPr>
        <w:pStyle w:val="SingleTxtG"/>
        <w:ind w:left="2268" w:hanging="1134"/>
      </w:pPr>
      <w:r>
        <w:t>10.4.1.1</w:t>
      </w:r>
      <w:r>
        <w:tab/>
        <w:t>Amend the first two sentences to read as follows:</w:t>
      </w:r>
    </w:p>
    <w:p w14:paraId="724573B4" w14:textId="77777777" w:rsidR="00CF309D" w:rsidRDefault="00CF309D" w:rsidP="00CF309D">
      <w:pPr>
        <w:pStyle w:val="SingleTxtG"/>
      </w:pPr>
      <w:r>
        <w:t>“</w:t>
      </w:r>
      <w:r w:rsidRPr="00124091">
        <w:t>Unless considered too sensitive to assign a division, explosives may be assigned one of six divisions, depending on the type of hazard they present (see paragraph 2.1.1.4 of the Model Regulations and 2.1.2 of the GHS). Assigning a division is a prerequisite for the transport of explosives (see paragraph 10.1.2). The assignment procedure (figures 10.3 and 10.5) describes how to assign the division for explosive substances and articles. Explosives may also be declared from the outset to be in Division 1.1.</w:t>
      </w:r>
      <w:r>
        <w:t>”</w:t>
      </w:r>
    </w:p>
    <w:p w14:paraId="6D74B08E" w14:textId="77777777" w:rsidR="00CF309D" w:rsidRDefault="00CF309D" w:rsidP="00CF309D">
      <w:pPr>
        <w:pStyle w:val="SingleTxtG"/>
        <w:ind w:left="2268" w:hanging="1134"/>
      </w:pPr>
      <w:r>
        <w:tab/>
        <w:t>In the next sentence, replace “assigned to” by “assigned”.</w:t>
      </w:r>
    </w:p>
    <w:p w14:paraId="30A634A4" w14:textId="77777777" w:rsidR="00CF309D" w:rsidRDefault="00CF309D" w:rsidP="00CF309D">
      <w:pPr>
        <w:pStyle w:val="SingleTxtG"/>
        <w:ind w:left="2268" w:hanging="1134"/>
      </w:pPr>
      <w:r>
        <w:tab/>
        <w:t>In the penultimate sentence, replace “</w:t>
      </w:r>
      <w:r w:rsidRPr="00DB4463">
        <w:t>2.1.1.2 (b) of the GHS</w:t>
      </w:r>
      <w:r>
        <w:t>” by “</w:t>
      </w:r>
      <w:r w:rsidRPr="00DB4463">
        <w:t>2.1.1.2</w:t>
      </w:r>
      <w:r>
        <w:t>.1</w:t>
      </w:r>
      <w:r w:rsidRPr="00DB4463">
        <w:t xml:space="preserve"> (b) of the GHS</w:t>
      </w:r>
      <w:r>
        <w:t>”.</w:t>
      </w:r>
    </w:p>
    <w:p w14:paraId="733E578F" w14:textId="77777777" w:rsidR="00CF309D" w:rsidRPr="00C25639" w:rsidRDefault="00CF309D" w:rsidP="00CF309D">
      <w:pPr>
        <w:pStyle w:val="SingleTxtG"/>
        <w:rPr>
          <w:i/>
          <w:iCs/>
        </w:rPr>
      </w:pPr>
      <w:r w:rsidRPr="00007C2E">
        <w:rPr>
          <w:i/>
          <w:iCs/>
        </w:rPr>
        <w:t>(Reference document: ST/SG/AC.10/C.3/2020/</w:t>
      </w:r>
      <w:r>
        <w:rPr>
          <w:i/>
          <w:iCs/>
        </w:rPr>
        <w:t>60 and informal document INF.38, §14</w:t>
      </w:r>
      <w:r w:rsidRPr="00007C2E">
        <w:rPr>
          <w:i/>
          <w:iCs/>
        </w:rPr>
        <w:t>)</w:t>
      </w:r>
    </w:p>
    <w:p w14:paraId="39B1FCF0" w14:textId="77777777" w:rsidR="00CF309D" w:rsidRDefault="00CF309D" w:rsidP="00CF309D">
      <w:pPr>
        <w:pStyle w:val="SingleTxtG"/>
        <w:ind w:left="2268" w:hanging="1134"/>
      </w:pPr>
      <w:r>
        <w:t>Figure 10.6 (a)</w:t>
      </w:r>
      <w:r>
        <w:tab/>
        <w:t>In the row for “Box 13”, replace “unstable” by “too sensitive to assign a division”.</w:t>
      </w:r>
    </w:p>
    <w:p w14:paraId="7C4163EB"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73A31B50" w14:textId="77777777" w:rsidR="00CF309D" w:rsidRDefault="00CF309D" w:rsidP="00CF309D">
      <w:pPr>
        <w:pStyle w:val="SingleTxtG"/>
        <w:ind w:left="2268" w:hanging="1134"/>
      </w:pPr>
      <w:r>
        <w:t>Figure 10.6 (b)</w:t>
      </w:r>
      <w:r>
        <w:tab/>
        <w:t>In box 13, replace “unstable” by “too sensitive to assign a division”.</w:t>
      </w:r>
    </w:p>
    <w:p w14:paraId="535BD076" w14:textId="77777777" w:rsidR="00CF309D" w:rsidRDefault="00CF309D" w:rsidP="00CF309D">
      <w:pPr>
        <w:pStyle w:val="SingleTxtG"/>
        <w:ind w:left="2268" w:hanging="1134"/>
      </w:pPr>
      <w:r>
        <w:tab/>
        <w:t>In box 16, replace “an unstable explosive” by “too sensitive to assign a division”.</w:t>
      </w:r>
    </w:p>
    <w:p w14:paraId="04591736" w14:textId="77777777" w:rsidR="00CF309D" w:rsidRDefault="00CF309D" w:rsidP="00CF309D">
      <w:pPr>
        <w:pStyle w:val="SingleTxtG"/>
        <w:ind w:left="2268" w:hanging="1134"/>
      </w:pPr>
      <w:r>
        <w:tab/>
        <w:t>In box 17, delete “unstable” and, at the end, add “No division assigned”.</w:t>
      </w:r>
      <w:r w:rsidRPr="00D4567B">
        <w:t xml:space="preserve"> </w:t>
      </w:r>
    </w:p>
    <w:p w14:paraId="68DC2C03" w14:textId="77777777" w:rsidR="00CF309D" w:rsidRDefault="00CF309D" w:rsidP="00CF309D">
      <w:pPr>
        <w:pStyle w:val="SingleTxtG"/>
        <w:ind w:left="2268" w:hanging="1134"/>
      </w:pPr>
      <w:r>
        <w:tab/>
        <w:t>In box 19, replace “ACCEPT INTO THIS CLASS” by</w:t>
      </w:r>
      <w:r w:rsidRPr="0003463A">
        <w:t xml:space="preserve"> </w:t>
      </w:r>
      <w:r>
        <w:t>“</w:t>
      </w:r>
      <w:r w:rsidRPr="0003463A">
        <w:t>CLASSIFY AS AN EXPLOSIVE</w:t>
      </w:r>
      <w:r>
        <w:t>”.</w:t>
      </w:r>
    </w:p>
    <w:p w14:paraId="61914E2C" w14:textId="77777777" w:rsidR="00CF309D" w:rsidRPr="00C25639" w:rsidRDefault="00CF309D" w:rsidP="00CF309D">
      <w:pPr>
        <w:pStyle w:val="SingleTxtG"/>
        <w:rPr>
          <w:i/>
          <w:iCs/>
        </w:rPr>
      </w:pPr>
      <w:r w:rsidRPr="00007C2E">
        <w:rPr>
          <w:i/>
          <w:iCs/>
        </w:rPr>
        <w:t>(Reference document: ST/SG/AC.10/C.3/2020/</w:t>
      </w:r>
      <w:r>
        <w:rPr>
          <w:i/>
          <w:iCs/>
        </w:rPr>
        <w:t>60 and informal document INF.38, §14</w:t>
      </w:r>
      <w:r w:rsidRPr="00007C2E">
        <w:rPr>
          <w:i/>
          <w:iCs/>
        </w:rPr>
        <w:t>)</w:t>
      </w:r>
    </w:p>
    <w:p w14:paraId="1E70DB15" w14:textId="77777777" w:rsidR="00CF309D" w:rsidRDefault="00CF309D" w:rsidP="00CF309D">
      <w:pPr>
        <w:pStyle w:val="SingleTxtG"/>
        <w:ind w:left="2268" w:hanging="1134"/>
      </w:pPr>
      <w:r>
        <w:t>Figure 10.7 (a)</w:t>
      </w:r>
      <w:r>
        <w:tab/>
        <w:t>In the row for “Box 13”, replace “unstable” by “too sensitive to assign a division”.</w:t>
      </w:r>
    </w:p>
    <w:p w14:paraId="6A917A16"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6A058671" w14:textId="77777777" w:rsidR="00CF309D" w:rsidRDefault="00CF309D" w:rsidP="00CF309D">
      <w:pPr>
        <w:pStyle w:val="SingleTxtG"/>
        <w:ind w:left="2268" w:hanging="1134"/>
      </w:pPr>
      <w:r>
        <w:t>Figure 10.7 (b)</w:t>
      </w:r>
      <w:r>
        <w:tab/>
        <w:t>In box 13, replace “unstable” by “too sensitive to assign a division”.</w:t>
      </w:r>
    </w:p>
    <w:p w14:paraId="71037ED4" w14:textId="77777777" w:rsidR="00CF309D" w:rsidRDefault="00CF309D" w:rsidP="00CF309D">
      <w:pPr>
        <w:pStyle w:val="SingleTxtG"/>
        <w:ind w:left="2268" w:hanging="1134"/>
      </w:pPr>
      <w:r>
        <w:tab/>
        <w:t>In box 16, replace “an unstable explosive” by “too sensitive to assign a division”.</w:t>
      </w:r>
    </w:p>
    <w:p w14:paraId="2E258CCB" w14:textId="77777777" w:rsidR="00CF309D" w:rsidRDefault="00CF309D" w:rsidP="00CF309D">
      <w:pPr>
        <w:pStyle w:val="SingleTxtG"/>
        <w:ind w:left="2268" w:hanging="1134"/>
      </w:pPr>
      <w:r>
        <w:tab/>
        <w:t>In box 17, delete “unstable” and, at the end, add “No division assigned”.</w:t>
      </w:r>
      <w:r w:rsidRPr="00D4567B">
        <w:t xml:space="preserve"> </w:t>
      </w:r>
    </w:p>
    <w:p w14:paraId="7197124C" w14:textId="77777777" w:rsidR="00CF309D" w:rsidRDefault="00CF309D" w:rsidP="00CF309D">
      <w:pPr>
        <w:pStyle w:val="SingleTxtG"/>
        <w:ind w:left="2268" w:hanging="1134"/>
      </w:pPr>
      <w:r>
        <w:tab/>
        <w:t>In box 19, replace “ACCEPT INTO THIS CLASS” by</w:t>
      </w:r>
      <w:r w:rsidRPr="0003463A">
        <w:t xml:space="preserve"> </w:t>
      </w:r>
      <w:r>
        <w:t>“</w:t>
      </w:r>
      <w:r w:rsidRPr="0003463A">
        <w:t>CLASSIFY AS AN EXPLOSIVE</w:t>
      </w:r>
      <w:r>
        <w:t>”.</w:t>
      </w:r>
    </w:p>
    <w:p w14:paraId="4BA5E38C" w14:textId="77777777" w:rsidR="00CF309D" w:rsidRPr="00C25639" w:rsidRDefault="00CF309D" w:rsidP="00CF309D">
      <w:pPr>
        <w:pStyle w:val="SingleTxtG"/>
        <w:rPr>
          <w:i/>
          <w:iCs/>
        </w:rPr>
      </w:pPr>
      <w:r w:rsidRPr="00007C2E">
        <w:rPr>
          <w:i/>
          <w:iCs/>
        </w:rPr>
        <w:t>(Reference document: ST/SG/AC.10/C.3/2020/</w:t>
      </w:r>
      <w:r>
        <w:rPr>
          <w:i/>
          <w:iCs/>
        </w:rPr>
        <w:t>60 and informal document INF.38, §14</w:t>
      </w:r>
      <w:r w:rsidRPr="00007C2E">
        <w:rPr>
          <w:i/>
          <w:iCs/>
        </w:rPr>
        <w:t>)</w:t>
      </w:r>
    </w:p>
    <w:p w14:paraId="3617481A" w14:textId="77777777" w:rsidR="00CF309D" w:rsidRPr="00007C2E" w:rsidRDefault="00CF309D" w:rsidP="00CF309D">
      <w:pPr>
        <w:pStyle w:val="H1G"/>
      </w:pPr>
      <w:r>
        <w:lastRenderedPageBreak/>
        <w:tab/>
      </w:r>
      <w:r>
        <w:tab/>
        <w:t>Section 13</w:t>
      </w:r>
    </w:p>
    <w:p w14:paraId="3635E9E8" w14:textId="77777777" w:rsidR="00CF309D" w:rsidRDefault="00CF309D" w:rsidP="00CF309D">
      <w:pPr>
        <w:pStyle w:val="SingleTxtG"/>
        <w:ind w:left="2268" w:hanging="1134"/>
      </w:pPr>
      <w:r>
        <w:t>13.1</w:t>
      </w:r>
      <w:r>
        <w:tab/>
        <w:t>Amend the text below the heading to read as follows and delete the note:</w:t>
      </w:r>
    </w:p>
    <w:p w14:paraId="4D5B48AA" w14:textId="77777777" w:rsidR="00CF309D" w:rsidRDefault="00CF309D" w:rsidP="00CF309D">
      <w:pPr>
        <w:pStyle w:val="SingleTxtG"/>
      </w:pPr>
      <w:r>
        <w:t>“</w:t>
      </w:r>
      <w:r w:rsidRPr="00855CA9">
        <w:t>This test series is used to answer the questions in boxes 12 and 13 of Figure 10.2 by determining the sensitiveness of the substance to mechanical stimuli (impact and friction), to heat and to flame. The question in box 12 is answered "no" if a "+" is obtained in test type 3(c) and the substance is considered too sensitive to assign a division. The question in box 13 is answered "yes" if a "+" is obtained in any of the test types 3(a), 3(b) or 3(d). If a "+" is obtained, the substance is considered too sensitive to assign a division in the form in which it was tested but may be encapsulated or otherwise desensitized or packaged to reduce its sensitiveness to external stimuli.</w:t>
      </w:r>
      <w:r>
        <w:t>”</w:t>
      </w:r>
    </w:p>
    <w:p w14:paraId="41FF845D"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0285BF20" w14:textId="77777777" w:rsidR="00CF309D" w:rsidRDefault="00CF309D" w:rsidP="00CF309D">
      <w:pPr>
        <w:pStyle w:val="SingleTxtG"/>
        <w:ind w:left="2268" w:hanging="1134"/>
      </w:pPr>
      <w:r>
        <w:t>13.4.1.1</w:t>
      </w:r>
      <w:r>
        <w:tab/>
        <w:t>In the first sentence, replace “an unstable explosive” by “too sensitive to assign a division”.</w:t>
      </w:r>
    </w:p>
    <w:p w14:paraId="6001F235"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45B5D550" w14:textId="77777777" w:rsidR="00CF309D" w:rsidRDefault="00CF309D" w:rsidP="00CF309D">
      <w:pPr>
        <w:pStyle w:val="SingleTxtG"/>
        <w:ind w:left="2268" w:hanging="1134"/>
      </w:pPr>
      <w:r>
        <w:t>13.4.1.4.1</w:t>
      </w:r>
      <w:r>
        <w:tab/>
        <w:t>In the first sentence, replace “an unstable explosive” by “too sensitive to assign a division”.</w:t>
      </w:r>
    </w:p>
    <w:p w14:paraId="6BC54AC8"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0AD2CA01" w14:textId="77777777" w:rsidR="00CF309D" w:rsidRDefault="00CF309D" w:rsidP="00CF309D">
      <w:pPr>
        <w:pStyle w:val="SingleTxtG"/>
        <w:ind w:left="2268" w:hanging="1134"/>
      </w:pPr>
      <w:r>
        <w:t>13.4.1.4.2</w:t>
      </w:r>
      <w:r>
        <w:tab/>
        <w:t>In the first sentence, replace “an unstable explosive” by “too sensitive to assign a division”.</w:t>
      </w:r>
    </w:p>
    <w:p w14:paraId="539C38D7"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2B3D7DF4" w14:textId="77777777" w:rsidR="00CF309D" w:rsidRDefault="00CF309D" w:rsidP="00CF309D">
      <w:pPr>
        <w:pStyle w:val="SingleTxtG"/>
        <w:ind w:left="2268" w:hanging="1134"/>
      </w:pPr>
      <w:r w:rsidRPr="0064633B">
        <w:t>13.4.2.1</w:t>
      </w:r>
      <w:r w:rsidRPr="0064633B">
        <w:tab/>
        <w:t>In the first sentence, replace “an unstable explosive” by “too sensitive to assign a division”.</w:t>
      </w:r>
    </w:p>
    <w:p w14:paraId="7115B80E"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6942D6B0" w14:textId="77777777" w:rsidR="00CF309D" w:rsidRDefault="00CF309D" w:rsidP="00CF309D">
      <w:pPr>
        <w:pStyle w:val="SingleTxtG"/>
        <w:ind w:left="2268" w:hanging="1134"/>
      </w:pPr>
      <w:r>
        <w:t>13.4.2.4</w:t>
      </w:r>
      <w:r>
        <w:tab/>
        <w:t>In the paragraph after the indents, in the first sentence, replace “an unstable explosive” by “too sensitive to assign a division”.</w:t>
      </w:r>
    </w:p>
    <w:p w14:paraId="44330377"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7418CACA" w14:textId="77777777" w:rsidR="00CF309D" w:rsidRDefault="00CF309D" w:rsidP="00CF309D">
      <w:pPr>
        <w:pStyle w:val="SingleTxtG"/>
        <w:ind w:left="2268" w:hanging="1134"/>
      </w:pPr>
      <w:r>
        <w:t>13.4.3.1</w:t>
      </w:r>
      <w:r>
        <w:tab/>
        <w:t>In the first sentence, replace “an unstable explosive” by “too sensitive to assign a division”.</w:t>
      </w:r>
    </w:p>
    <w:p w14:paraId="76288A0F"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0C456A32" w14:textId="77777777" w:rsidR="00CF309D" w:rsidRDefault="00CF309D" w:rsidP="00CF309D">
      <w:pPr>
        <w:pStyle w:val="SingleTxtG"/>
        <w:ind w:left="2268" w:hanging="1134"/>
      </w:pPr>
      <w:r>
        <w:t>13.4.3.4.1</w:t>
      </w:r>
      <w:r>
        <w:tab/>
        <w:t>In the paragraph after the indents, in the first and last sentences, replace “an unstable explosive” by “too sensitive to assign a division”.</w:t>
      </w:r>
    </w:p>
    <w:p w14:paraId="5E07C6AC"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6B5D8B66" w14:textId="77777777" w:rsidR="00CF309D" w:rsidRDefault="00CF309D" w:rsidP="00CF309D">
      <w:pPr>
        <w:pStyle w:val="SingleTxtG"/>
        <w:ind w:left="2268" w:hanging="1134"/>
      </w:pPr>
      <w:r>
        <w:t>13.4.3.4.2</w:t>
      </w:r>
      <w:r>
        <w:tab/>
        <w:t>In the paragraph after the indents, in the third and penultimate sentences, replace “an unstable explosive” by “too sensitive to assign a division”.</w:t>
      </w:r>
    </w:p>
    <w:p w14:paraId="7EB9BCDD"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368F7162" w14:textId="77777777" w:rsidR="00CF309D" w:rsidRDefault="00CF309D" w:rsidP="00CF309D">
      <w:pPr>
        <w:pStyle w:val="SingleTxtG"/>
        <w:ind w:left="2268" w:hanging="1134"/>
      </w:pPr>
      <w:r>
        <w:t>13.4.4.1</w:t>
      </w:r>
      <w:r>
        <w:tab/>
        <w:t>Replace “an unstable explosive” by “too sensitive to assign a division”.</w:t>
      </w:r>
    </w:p>
    <w:p w14:paraId="37FD8342"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13A15FD5" w14:textId="77777777" w:rsidR="00CF309D" w:rsidRDefault="00CF309D" w:rsidP="00CF309D">
      <w:pPr>
        <w:pStyle w:val="SingleTxtG"/>
        <w:ind w:left="2268" w:hanging="1134"/>
      </w:pPr>
      <w:r>
        <w:t>13.4.4.4</w:t>
      </w:r>
      <w:r>
        <w:tab/>
        <w:t>In the paragraph after the indents, in the first sentence, replace “an unstable explosive” by “too sensitive to assign a division”.</w:t>
      </w:r>
    </w:p>
    <w:p w14:paraId="30E63497"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0A7C3FE7" w14:textId="77777777" w:rsidR="00CF309D" w:rsidRDefault="00CF309D" w:rsidP="00CF309D">
      <w:pPr>
        <w:pStyle w:val="SingleTxtG"/>
        <w:ind w:left="2268" w:hanging="1134"/>
      </w:pPr>
      <w:r>
        <w:t>13.4.5.1</w:t>
      </w:r>
      <w:r>
        <w:tab/>
        <w:t>In the first sentence, replace “an unstable explosive” by “too sensitive to assign a division”.</w:t>
      </w:r>
    </w:p>
    <w:p w14:paraId="5BAC397D"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79264F91" w14:textId="77777777" w:rsidR="00CF309D" w:rsidRDefault="00CF309D" w:rsidP="00CF309D">
      <w:pPr>
        <w:pStyle w:val="SingleTxtG"/>
        <w:ind w:left="2268" w:hanging="1134"/>
      </w:pPr>
      <w:r>
        <w:t>13.4.5.4.2</w:t>
      </w:r>
      <w:r>
        <w:tab/>
        <w:t>In the first sentence, replace “an unstable explosive” by “too sensitive to assign a division”.</w:t>
      </w:r>
    </w:p>
    <w:p w14:paraId="4DC761BD" w14:textId="77777777" w:rsidR="00CF309D" w:rsidRPr="00C25639" w:rsidRDefault="00CF309D" w:rsidP="00CF309D">
      <w:pPr>
        <w:pStyle w:val="SingleTxtG"/>
        <w:rPr>
          <w:i/>
          <w:iCs/>
        </w:rPr>
      </w:pPr>
      <w:r w:rsidRPr="00007C2E">
        <w:rPr>
          <w:i/>
          <w:iCs/>
        </w:rPr>
        <w:lastRenderedPageBreak/>
        <w:t>(Reference document: ST/SG/AC.10/C.3/2020/</w:t>
      </w:r>
      <w:r>
        <w:rPr>
          <w:i/>
          <w:iCs/>
        </w:rPr>
        <w:t>60</w:t>
      </w:r>
      <w:r w:rsidRPr="00007C2E">
        <w:rPr>
          <w:i/>
          <w:iCs/>
        </w:rPr>
        <w:t>)</w:t>
      </w:r>
    </w:p>
    <w:p w14:paraId="74FD776F" w14:textId="77777777" w:rsidR="00CF309D" w:rsidRDefault="00CF309D" w:rsidP="00CF309D">
      <w:pPr>
        <w:pStyle w:val="SingleTxtG"/>
        <w:ind w:left="2268" w:hanging="1134"/>
      </w:pPr>
      <w:r>
        <w:t>13.4.5.4.3</w:t>
      </w:r>
      <w:r>
        <w:tab/>
        <w:t>In the first sentence, replace “an unstable explosive” by “too sensitive to assign a division”.</w:t>
      </w:r>
    </w:p>
    <w:p w14:paraId="3ADBCD1E"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1D58D20A" w14:textId="77777777" w:rsidR="00CF309D" w:rsidRDefault="00CF309D" w:rsidP="00CF309D">
      <w:pPr>
        <w:pStyle w:val="SingleTxtG"/>
        <w:ind w:left="2268" w:hanging="1134"/>
      </w:pPr>
      <w:r>
        <w:t>13.4.6.1</w:t>
      </w:r>
      <w:r>
        <w:tab/>
        <w:t>Replace “an unstable explosive” by “too sensitive to assign a division”.</w:t>
      </w:r>
    </w:p>
    <w:p w14:paraId="737E90D0"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59866AD4" w14:textId="77777777" w:rsidR="00CF309D" w:rsidRDefault="00CF309D" w:rsidP="00CF309D">
      <w:pPr>
        <w:pStyle w:val="SingleTxtG"/>
        <w:ind w:left="2268" w:hanging="1134"/>
      </w:pPr>
      <w:r>
        <w:t>13.4.6.4.1</w:t>
      </w:r>
      <w:r>
        <w:tab/>
        <w:t>In the paragraph after the indents, in the first sentence, replace “an unstable explosive” by “too sensitive to assign a division”.</w:t>
      </w:r>
    </w:p>
    <w:p w14:paraId="14BD3D2E"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3AE0D259" w14:textId="77777777" w:rsidR="00CF309D" w:rsidRDefault="00CF309D" w:rsidP="00CF309D">
      <w:pPr>
        <w:pStyle w:val="SingleTxtG"/>
        <w:ind w:left="2268" w:hanging="1134"/>
      </w:pPr>
      <w:r>
        <w:t>13.4.6.4.2</w:t>
      </w:r>
      <w:r>
        <w:tab/>
        <w:t>In the paragraph after the indents, in the first sentence, replace “an unstable explosive” by “too sensitive to assign a division”.</w:t>
      </w:r>
    </w:p>
    <w:p w14:paraId="5DF2627E"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36B96486" w14:textId="77777777" w:rsidR="00CF309D" w:rsidRDefault="00CF309D" w:rsidP="00CF309D">
      <w:pPr>
        <w:pStyle w:val="SingleTxtG"/>
        <w:ind w:left="2268" w:hanging="1134"/>
      </w:pPr>
      <w:r>
        <w:t>13.4.7.1</w:t>
      </w:r>
      <w:r>
        <w:tab/>
        <w:t>Replace “an unstable explosive” by “too sensitive to assign a division”.</w:t>
      </w:r>
    </w:p>
    <w:p w14:paraId="01523FFA"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4B6CFE63" w14:textId="77777777" w:rsidR="00CF309D" w:rsidRDefault="00CF309D" w:rsidP="00CF309D">
      <w:pPr>
        <w:pStyle w:val="SingleTxtG"/>
        <w:ind w:left="2268" w:hanging="1134"/>
      </w:pPr>
      <w:r>
        <w:t>13.4.7.5.1</w:t>
      </w:r>
      <w:r>
        <w:tab/>
        <w:t>In the first sentence, replace “an unstable explosive” by “too sensitive to assign a division”.</w:t>
      </w:r>
    </w:p>
    <w:p w14:paraId="2F67E805"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403CD4C5" w14:textId="77777777" w:rsidR="00CF309D" w:rsidRDefault="00CF309D" w:rsidP="00CF309D">
      <w:pPr>
        <w:pStyle w:val="SingleTxtG"/>
        <w:ind w:left="2268" w:hanging="1134"/>
      </w:pPr>
      <w:r>
        <w:t>13.4.7.5.2</w:t>
      </w:r>
      <w:r>
        <w:tab/>
        <w:t>In the first sentence, replace “an unstable explosive” by “too sensitive to assign a division”.</w:t>
      </w:r>
    </w:p>
    <w:p w14:paraId="78BB51F2"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45439C96" w14:textId="77777777" w:rsidR="00CF309D" w:rsidRDefault="00CF309D" w:rsidP="00CF309D">
      <w:pPr>
        <w:pStyle w:val="SingleTxtG"/>
        <w:ind w:left="2268" w:hanging="1134"/>
      </w:pPr>
      <w:r>
        <w:t>13.5.1.1</w:t>
      </w:r>
      <w:r>
        <w:tab/>
        <w:t>Replace “an unstable explosive” by “too sensitive to assign a division”.</w:t>
      </w:r>
    </w:p>
    <w:p w14:paraId="4DDB0114"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65C54D41" w14:textId="77777777" w:rsidR="00CF309D" w:rsidRDefault="00CF309D" w:rsidP="00CF309D">
      <w:pPr>
        <w:pStyle w:val="SingleTxtG"/>
        <w:ind w:left="2268" w:hanging="1134"/>
      </w:pPr>
      <w:r>
        <w:t>13.5.1.4</w:t>
      </w:r>
      <w:r>
        <w:tab/>
        <w:t>In the paragraph after the indents, in the first sentence, replace “an unstable explosive” by “too sensitive to assign a division”.</w:t>
      </w:r>
    </w:p>
    <w:p w14:paraId="5D31B384"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56C0C749" w14:textId="77777777" w:rsidR="00CF309D" w:rsidRDefault="00CF309D" w:rsidP="00CF309D">
      <w:pPr>
        <w:pStyle w:val="SingleTxtG"/>
        <w:ind w:left="2268" w:hanging="1134"/>
      </w:pPr>
      <w:r>
        <w:t>13.5.2.1</w:t>
      </w:r>
      <w:r>
        <w:tab/>
        <w:t>Replace “an unstable explosive” by “too sensitive to assign a division”.</w:t>
      </w:r>
    </w:p>
    <w:p w14:paraId="3CAA30C8"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681E4CC2" w14:textId="77777777" w:rsidR="00CF309D" w:rsidRDefault="00CF309D" w:rsidP="00CF309D">
      <w:pPr>
        <w:pStyle w:val="SingleTxtG"/>
        <w:ind w:left="2268" w:hanging="1134"/>
      </w:pPr>
      <w:r>
        <w:t>13.5.2.4</w:t>
      </w:r>
      <w:r>
        <w:tab/>
        <w:t>In the paragraph after the indents, in the first and last sentences, replace “an unstable explosive” by “too sensitive to assign a division”.</w:t>
      </w:r>
    </w:p>
    <w:p w14:paraId="6D73A217"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081E309D" w14:textId="77777777" w:rsidR="00CF309D" w:rsidRDefault="00CF309D" w:rsidP="00CF309D">
      <w:pPr>
        <w:pStyle w:val="SingleTxtG"/>
        <w:ind w:left="2268" w:hanging="1134"/>
      </w:pPr>
      <w:r>
        <w:t>13.5.3.1</w:t>
      </w:r>
      <w:r>
        <w:tab/>
        <w:t>Replace “an unstable explosive” by “too sensitive to assign a division”.</w:t>
      </w:r>
    </w:p>
    <w:p w14:paraId="093BAC03"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5142B2AD" w14:textId="77777777" w:rsidR="00CF309D" w:rsidRDefault="00CF309D" w:rsidP="00CF309D">
      <w:pPr>
        <w:pStyle w:val="SingleTxtG"/>
        <w:ind w:left="2268" w:hanging="1134"/>
      </w:pPr>
      <w:r>
        <w:t>13.5.3.4</w:t>
      </w:r>
      <w:r>
        <w:tab/>
        <w:t>In the paragraph after the indents, in the first sentence, replace “an unstable explosive” by “too sensitive to assign a division”.</w:t>
      </w:r>
    </w:p>
    <w:p w14:paraId="06CD6A8C"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117D2C38" w14:textId="77777777" w:rsidR="00CF309D" w:rsidRDefault="00CF309D" w:rsidP="00CF309D">
      <w:pPr>
        <w:pStyle w:val="SingleTxtG"/>
        <w:ind w:left="2268" w:hanging="1134"/>
      </w:pPr>
      <w:r>
        <w:t>13.5.4.1</w:t>
      </w:r>
      <w:r>
        <w:tab/>
        <w:t>Replace “an unstable explosive” by “too sensitive to assign a division”.</w:t>
      </w:r>
    </w:p>
    <w:p w14:paraId="0A160C08"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0AD83E6A" w14:textId="77777777" w:rsidR="00CF309D" w:rsidRDefault="00CF309D" w:rsidP="00CF309D">
      <w:pPr>
        <w:pStyle w:val="SingleTxtG"/>
        <w:ind w:left="2268" w:hanging="1134"/>
      </w:pPr>
      <w:r>
        <w:t>13.5.4.5</w:t>
      </w:r>
      <w:r>
        <w:tab/>
        <w:t>In the first sentence, replace “an unstable explosive” by “too sensitive to assign a division”.</w:t>
      </w:r>
    </w:p>
    <w:p w14:paraId="24DF2221"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1F2D199E" w14:textId="77777777" w:rsidR="00CF309D" w:rsidRDefault="00CF309D" w:rsidP="00CF309D">
      <w:pPr>
        <w:pStyle w:val="SingleTxtG"/>
        <w:ind w:left="2268" w:hanging="1134"/>
      </w:pPr>
      <w:r>
        <w:t>13.6.1.3.1</w:t>
      </w:r>
      <w:r>
        <w:tab/>
        <w:t>Replace “</w:t>
      </w:r>
      <w:r w:rsidRPr="005D7BBC">
        <w:t xml:space="preserve">too thermally unstable for transport and shall be categorized </w:t>
      </w:r>
      <w:r>
        <w:t>as an unstable explosive” by “considered too sensitive to assign a division”.</w:t>
      </w:r>
    </w:p>
    <w:p w14:paraId="203C7CC5"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4B8B5826" w14:textId="77777777" w:rsidR="00CF309D" w:rsidRDefault="00CF309D" w:rsidP="00CF309D">
      <w:pPr>
        <w:pStyle w:val="SingleTxtG"/>
        <w:ind w:left="2268" w:hanging="1134"/>
      </w:pPr>
      <w:r>
        <w:lastRenderedPageBreak/>
        <w:t>13.6.1.4.2</w:t>
      </w:r>
      <w:r>
        <w:tab/>
        <w:t>Replace “</w:t>
      </w:r>
      <w:r w:rsidRPr="00A84CB3">
        <w:t>shall be categorised as an unstable explosive and is not permitted for transport</w:t>
      </w:r>
      <w:r>
        <w:t>” by “</w:t>
      </w:r>
      <w:r w:rsidRPr="00CA6ED7">
        <w:t>and therefore too sensitive to assign a division</w:t>
      </w:r>
      <w:r>
        <w:t>”.</w:t>
      </w:r>
    </w:p>
    <w:p w14:paraId="3BC187B1"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0A7F5BA2" w14:textId="77777777" w:rsidR="00CF309D" w:rsidRDefault="00CF309D" w:rsidP="00CF309D">
      <w:pPr>
        <w:pStyle w:val="SingleTxtG"/>
        <w:ind w:left="2268" w:hanging="1134"/>
      </w:pPr>
      <w:r>
        <w:t>13.6.2.4.2</w:t>
      </w:r>
      <w:r>
        <w:tab/>
        <w:t>Replace “</w:t>
      </w:r>
      <w:r w:rsidRPr="00A84CB3">
        <w:t>shall be categorised as an unstable explosive and is not permitted for transport</w:t>
      </w:r>
      <w:r>
        <w:t>” by “</w:t>
      </w:r>
      <w:r w:rsidRPr="00CA6ED7">
        <w:t>and therefore too sensitive to assign a division</w:t>
      </w:r>
      <w:r>
        <w:t>”.</w:t>
      </w:r>
    </w:p>
    <w:p w14:paraId="52EB1085"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1EE5A0C6" w14:textId="77777777" w:rsidR="00CF309D" w:rsidRDefault="00CF309D" w:rsidP="00CF309D">
      <w:pPr>
        <w:pStyle w:val="SingleTxtG"/>
        <w:ind w:left="2268" w:hanging="1134"/>
      </w:pPr>
      <w:r>
        <w:t>13.7.1.3</w:t>
      </w:r>
      <w:r>
        <w:tab/>
        <w:t>In the paragraph after the indents, in the second sentence, replace “an unstable explosive” by “too sensitive to assign a division”.</w:t>
      </w:r>
    </w:p>
    <w:p w14:paraId="6A559954"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70E81DB4" w14:textId="77777777" w:rsidR="00CF309D" w:rsidRPr="00007C2E" w:rsidRDefault="00CF309D" w:rsidP="00CF309D">
      <w:pPr>
        <w:pStyle w:val="H1G"/>
      </w:pPr>
      <w:r>
        <w:tab/>
      </w:r>
      <w:r>
        <w:tab/>
        <w:t>Section 14</w:t>
      </w:r>
    </w:p>
    <w:p w14:paraId="13C87BB4" w14:textId="77777777" w:rsidR="00CF309D" w:rsidRDefault="00CF309D" w:rsidP="00CF309D">
      <w:pPr>
        <w:pStyle w:val="SingleTxtG"/>
        <w:ind w:left="2268" w:hanging="1134"/>
      </w:pPr>
      <w:r>
        <w:t>14.1.1</w:t>
      </w:r>
      <w:r>
        <w:tab/>
        <w:t>In the first sentence, replace “an unstable explosive” by “too sensitive to assign a division”.</w:t>
      </w:r>
    </w:p>
    <w:p w14:paraId="0D3E5EDE"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2CCA2026" w14:textId="77777777" w:rsidR="00CF309D" w:rsidRDefault="00CF309D" w:rsidP="00CF309D">
      <w:pPr>
        <w:pStyle w:val="SingleTxtG"/>
        <w:ind w:left="2268" w:hanging="1134"/>
      </w:pPr>
      <w:r>
        <w:t>14.4.1.1</w:t>
      </w:r>
      <w:r>
        <w:tab/>
        <w:t>In the first sentence, replace “an unstable explosive” by “too sensitive to assign a division”.</w:t>
      </w:r>
    </w:p>
    <w:p w14:paraId="61401FCE"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7410FF0B" w14:textId="77777777" w:rsidR="00CF309D" w:rsidRDefault="00CF309D" w:rsidP="00CF309D">
      <w:pPr>
        <w:pStyle w:val="SingleTxtG"/>
        <w:ind w:left="2268" w:hanging="1134"/>
      </w:pPr>
      <w:r>
        <w:t>14.4.1.4</w:t>
      </w:r>
      <w:r>
        <w:tab/>
        <w:t>In the first sentence, replace “an unstable explosive” by “too sensitive to assign a division”.</w:t>
      </w:r>
    </w:p>
    <w:p w14:paraId="4B1547B3"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0A6C7DDD" w14:textId="77777777" w:rsidR="00CF309D" w:rsidRDefault="00CF309D" w:rsidP="00CF309D">
      <w:pPr>
        <w:pStyle w:val="SingleTxtG"/>
        <w:ind w:left="2268" w:hanging="1134"/>
      </w:pPr>
      <w:r>
        <w:t>14.5.1.4</w:t>
      </w:r>
      <w:r>
        <w:tab/>
        <w:t>In the first paragraph, replace “an unstable explosive” by “too sensitive to assign a division”.</w:t>
      </w:r>
    </w:p>
    <w:p w14:paraId="7F2546F8"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5420A76E" w14:textId="77777777" w:rsidR="00CF309D" w:rsidRDefault="00CF309D" w:rsidP="00CF309D">
      <w:pPr>
        <w:pStyle w:val="SingleTxtG"/>
        <w:ind w:left="2268" w:hanging="1134"/>
      </w:pPr>
      <w:r>
        <w:t>14.5.2.4</w:t>
      </w:r>
      <w:r>
        <w:tab/>
        <w:t>In the first sentence, replace “an unstable explosive” by “too sensitive to assign a division”.</w:t>
      </w:r>
    </w:p>
    <w:p w14:paraId="03C4133C"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1422AA55" w14:textId="77777777" w:rsidR="00CF309D" w:rsidRPr="00007C2E" w:rsidRDefault="00CF309D" w:rsidP="00CF309D">
      <w:pPr>
        <w:pStyle w:val="H1G"/>
      </w:pPr>
      <w:r>
        <w:tab/>
      </w:r>
      <w:r>
        <w:tab/>
        <w:t>Section 34</w:t>
      </w:r>
    </w:p>
    <w:p w14:paraId="10ED47F0" w14:textId="77777777" w:rsidR="00CF309D" w:rsidRDefault="00CF309D" w:rsidP="00CF309D">
      <w:pPr>
        <w:pStyle w:val="SingleTxtG"/>
        <w:ind w:left="2268" w:hanging="1134"/>
      </w:pPr>
      <w:r>
        <w:t xml:space="preserve">34.4.1.2.6 and </w:t>
      </w:r>
      <w:r w:rsidRPr="00D15F71">
        <w:t>34.4.3.2.3</w:t>
      </w:r>
      <w:r>
        <w:tab/>
        <w:t>At the end, insert a new note to read as follows:</w:t>
      </w:r>
    </w:p>
    <w:p w14:paraId="79ED797B" w14:textId="77777777" w:rsidR="00CF309D" w:rsidRDefault="00CF309D" w:rsidP="00CF309D">
      <w:pPr>
        <w:pStyle w:val="SingleTxtG"/>
      </w:pPr>
      <w:r w:rsidRPr="00EE735C">
        <w:t>“</w:t>
      </w:r>
      <w:r w:rsidRPr="00EE735C">
        <w:rPr>
          <w:b/>
          <w:bCs/>
          <w:i/>
          <w:iCs/>
        </w:rPr>
        <w:t>NOTE:</w:t>
      </w:r>
      <w:r w:rsidRPr="00EE735C">
        <w:rPr>
          <w:i/>
          <w:iCs/>
        </w:rPr>
        <w:tab/>
        <w:t>In the case of a substance coated to reduce or suppress its oxidizing properties with a significant content (&gt; 10 % by mass) of particles less than 500 μm, two sets of tests should be conducted: tests conducted with the substance as presented and tests conducted with particles less than 500 μm that were obtained from sieving the substance as presented. The substance should not be ground before sieving or testing. The final classification should be based on the test results with the most stringent classification.</w:t>
      </w:r>
      <w:r w:rsidRPr="00EE735C">
        <w:t>”</w:t>
      </w:r>
    </w:p>
    <w:p w14:paraId="265A65D6" w14:textId="77777777" w:rsidR="00CF309D" w:rsidRPr="00C25639" w:rsidRDefault="00CF309D" w:rsidP="00CF309D">
      <w:pPr>
        <w:pStyle w:val="SingleTxtG"/>
        <w:rPr>
          <w:i/>
          <w:iCs/>
        </w:rPr>
      </w:pPr>
      <w:r w:rsidRPr="00007C2E">
        <w:rPr>
          <w:i/>
          <w:iCs/>
        </w:rPr>
        <w:t>(Reference document: ST/SG/AC.10/C.3/2020/</w:t>
      </w:r>
      <w:r>
        <w:rPr>
          <w:i/>
          <w:iCs/>
        </w:rPr>
        <w:t>30</w:t>
      </w:r>
      <w:r w:rsidRPr="00007C2E">
        <w:rPr>
          <w:i/>
          <w:iCs/>
        </w:rPr>
        <w:t>)</w:t>
      </w:r>
    </w:p>
    <w:p w14:paraId="750189D9" w14:textId="77777777" w:rsidR="00CF309D" w:rsidRPr="00A20118" w:rsidRDefault="00CF309D" w:rsidP="00CF309D">
      <w:pPr>
        <w:pStyle w:val="H1G"/>
      </w:pPr>
      <w:r w:rsidRPr="00A20118">
        <w:tab/>
      </w:r>
      <w:r w:rsidRPr="00A20118">
        <w:tab/>
        <w:t>Section 38</w:t>
      </w:r>
    </w:p>
    <w:p w14:paraId="57123222" w14:textId="77777777" w:rsidR="00CF309D" w:rsidRPr="00A20118" w:rsidRDefault="00CF309D" w:rsidP="00CF309D">
      <w:pPr>
        <w:pStyle w:val="SingleTxtG"/>
        <w:ind w:left="2268" w:hanging="1134"/>
      </w:pPr>
      <w:r w:rsidRPr="00A20118">
        <w:t>38.3.5</w:t>
      </w:r>
      <w:r w:rsidRPr="00A20118">
        <w:tab/>
      </w:r>
      <w:r w:rsidRPr="00A20118">
        <w:tab/>
        <w:t>Amend sub-paragraph (j) of the test summary to read as follows:</w:t>
      </w:r>
    </w:p>
    <w:p w14:paraId="701A1632" w14:textId="77777777" w:rsidR="00CF309D" w:rsidRPr="00A20118" w:rsidRDefault="00CF309D" w:rsidP="00CF309D">
      <w:pPr>
        <w:pStyle w:val="SingleTxtG"/>
      </w:pPr>
      <w:r w:rsidRPr="00A20118">
        <w:t>“(j)</w:t>
      </w:r>
      <w:r w:rsidRPr="00A20118">
        <w:tab/>
        <w:t>Name and title of responsible person as an indication of the validity of information provided.</w:t>
      </w:r>
    </w:p>
    <w:p w14:paraId="33D25FD2" w14:textId="77777777" w:rsidR="00CF309D" w:rsidRPr="00A20118" w:rsidRDefault="00CF309D" w:rsidP="00CF309D">
      <w:pPr>
        <w:pStyle w:val="SingleTxtG"/>
        <w:rPr>
          <w:i/>
          <w:iCs/>
        </w:rPr>
      </w:pPr>
      <w:r w:rsidRPr="00A20118">
        <w:rPr>
          <w:i/>
          <w:iCs/>
        </w:rPr>
        <w:t>(Reference document: ST/SG/AC.10/C.3/2020/77, as amended)</w:t>
      </w:r>
    </w:p>
    <w:p w14:paraId="28B2C53F" w14:textId="77777777" w:rsidR="00CF309D" w:rsidRDefault="00CF309D" w:rsidP="00CF309D">
      <w:pPr>
        <w:pStyle w:val="H1G"/>
      </w:pPr>
      <w:r>
        <w:lastRenderedPageBreak/>
        <w:tab/>
      </w:r>
      <w:r>
        <w:tab/>
        <w:t>Section 41</w:t>
      </w:r>
    </w:p>
    <w:p w14:paraId="6D45C013" w14:textId="77777777" w:rsidR="00CF309D" w:rsidRDefault="00CF309D" w:rsidP="00CF309D">
      <w:pPr>
        <w:pStyle w:val="SingleTxtG"/>
      </w:pPr>
      <w:r>
        <w:t>41.1.3</w:t>
      </w:r>
      <w:r>
        <w:tab/>
      </w:r>
      <w:r>
        <w:tab/>
        <w:t>Add a new paragraph 41.1.3 to read as follows:</w:t>
      </w:r>
    </w:p>
    <w:p w14:paraId="27E68FF7" w14:textId="77777777" w:rsidR="00CF309D" w:rsidRPr="00D37C20" w:rsidRDefault="00CF309D" w:rsidP="00CF309D">
      <w:pPr>
        <w:pStyle w:val="SingleTxtG"/>
      </w:pPr>
      <w:r w:rsidRPr="006378E2">
        <w:t>“</w:t>
      </w:r>
      <w:r>
        <w:t xml:space="preserve">41.1.3 </w:t>
      </w:r>
      <w:r>
        <w:tab/>
      </w:r>
      <w:r w:rsidRPr="006378E2">
        <w:t>The portable tank or MEGC being subjected to the dynamic longitudinal impact test shall be dry prior to beginning the impact testing. If the facility or witnessing agency’s ability to identify potential sources of leakage is negatively impacted by weather conditions such as snow or rain that develop during testing, the impact testing shall be terminated. Impact testing shall only resume once the portable tank or MEGC is dry, and the snow or rain have stopped.”</w:t>
      </w:r>
    </w:p>
    <w:p w14:paraId="532DC255" w14:textId="77777777" w:rsidR="00CF309D" w:rsidRPr="00843762" w:rsidRDefault="00CF309D" w:rsidP="00CF309D">
      <w:pPr>
        <w:pStyle w:val="SingleTxtG"/>
        <w:rPr>
          <w:i/>
          <w:iCs/>
        </w:rPr>
      </w:pPr>
      <w:r w:rsidRPr="00804977">
        <w:rPr>
          <w:i/>
          <w:iCs/>
        </w:rPr>
        <w:t>(Reference document: ST/SG/AC.10/C.3/20</w:t>
      </w:r>
      <w:r>
        <w:rPr>
          <w:i/>
          <w:iCs/>
        </w:rPr>
        <w:t>20</w:t>
      </w:r>
      <w:r w:rsidRPr="00804977">
        <w:rPr>
          <w:i/>
          <w:iCs/>
        </w:rPr>
        <w:t>/</w:t>
      </w:r>
      <w:r>
        <w:rPr>
          <w:i/>
          <w:iCs/>
        </w:rPr>
        <w:t>5/Add.1</w:t>
      </w:r>
      <w:r w:rsidRPr="00804977">
        <w:rPr>
          <w:i/>
          <w:iCs/>
        </w:rPr>
        <w:t>)</w:t>
      </w:r>
    </w:p>
    <w:p w14:paraId="1D851B49" w14:textId="77777777" w:rsidR="00CF309D" w:rsidRPr="00007C2E" w:rsidRDefault="00CF309D" w:rsidP="00CF309D">
      <w:pPr>
        <w:pStyle w:val="H1G"/>
      </w:pPr>
      <w:r>
        <w:tab/>
      </w:r>
      <w:r>
        <w:tab/>
        <w:t>Section 51</w:t>
      </w:r>
    </w:p>
    <w:p w14:paraId="16748249" w14:textId="77777777" w:rsidR="00CF309D" w:rsidRDefault="00CF309D" w:rsidP="00CF309D">
      <w:pPr>
        <w:pStyle w:val="SingleTxtG"/>
        <w:ind w:left="2268" w:hanging="1134"/>
      </w:pPr>
      <w:r>
        <w:t>51.2.1</w:t>
      </w:r>
      <w:r>
        <w:tab/>
        <w:t>In footnote 1, amend the first sentence to read: “</w:t>
      </w:r>
      <w:r w:rsidRPr="00675992">
        <w:t>Explosives of GHS Chapter 2.1 that are considered too sensitive to assign a division can also be stabilized by desensitization and consequently may be classified as desensitized explosive, provided all criteria of GHS Chapter 2.17 are met.</w:t>
      </w:r>
      <w:r>
        <w:t>”.</w:t>
      </w:r>
    </w:p>
    <w:p w14:paraId="0EB6D7EE" w14:textId="77777777" w:rsidR="00CF309D" w:rsidRPr="00C25639" w:rsidRDefault="00CF309D" w:rsidP="00CF309D">
      <w:pPr>
        <w:pStyle w:val="SingleTxtG"/>
        <w:rPr>
          <w:i/>
          <w:iCs/>
        </w:rPr>
      </w:pPr>
      <w:r w:rsidRPr="00007C2E">
        <w:rPr>
          <w:i/>
          <w:iCs/>
        </w:rPr>
        <w:t>(Reference document: ST/SG/AC.10/C.3/2020/</w:t>
      </w:r>
      <w:r>
        <w:rPr>
          <w:i/>
          <w:iCs/>
        </w:rPr>
        <w:t>60</w:t>
      </w:r>
      <w:r w:rsidRPr="00007C2E">
        <w:rPr>
          <w:i/>
          <w:iCs/>
        </w:rPr>
        <w:t>)</w:t>
      </w:r>
    </w:p>
    <w:p w14:paraId="17867BC9" w14:textId="77777777" w:rsidR="00CF309D" w:rsidRDefault="00CF309D" w:rsidP="00CF309D">
      <w:pPr>
        <w:pStyle w:val="H1G"/>
      </w:pPr>
      <w:r>
        <w:tab/>
      </w:r>
      <w:r>
        <w:tab/>
        <w:t xml:space="preserve">Document </w:t>
      </w:r>
      <w:r w:rsidRPr="00400679">
        <w:t>ST/SG/AC.10/C.3/2020</w:t>
      </w:r>
      <w:r>
        <w:t>/59, Part II was adopted with the following modifications:</w:t>
      </w:r>
    </w:p>
    <w:p w14:paraId="1D479BF3" w14:textId="77777777" w:rsidR="00CF309D" w:rsidRDefault="00CF309D" w:rsidP="00CF309D">
      <w:pPr>
        <w:pStyle w:val="SingleTxtG"/>
      </w:pPr>
      <w:r>
        <w:t>Section 20</w:t>
      </w:r>
      <w:r>
        <w:tab/>
        <w:t>Remove all the square brackets.</w:t>
      </w:r>
    </w:p>
    <w:p w14:paraId="5F366928" w14:textId="77777777" w:rsidR="00CF309D" w:rsidRPr="004A45BF" w:rsidRDefault="00CF309D" w:rsidP="00CF309D">
      <w:pPr>
        <w:pStyle w:val="H1G"/>
      </w:pPr>
      <w:r>
        <w:tab/>
      </w:r>
      <w:r>
        <w:tab/>
        <w:t>Informal document INF.38, Annex 3 was adopted.</w:t>
      </w:r>
    </w:p>
    <w:p w14:paraId="09925BA8" w14:textId="6F615BBB" w:rsidR="009B57DA" w:rsidRDefault="00CF309D" w:rsidP="009B57DA">
      <w:pPr>
        <w:pStyle w:val="HChG"/>
      </w:pPr>
      <w:r>
        <w:tab/>
        <w:t>III</w:t>
      </w:r>
      <w:r w:rsidRPr="00755589">
        <w:t>.</w:t>
      </w:r>
      <w:r>
        <w:tab/>
      </w:r>
      <w:r w:rsidRPr="00755589">
        <w:t xml:space="preserve">Corrections to the </w:t>
      </w:r>
      <w:r w:rsidR="009B57DA" w:rsidRPr="00FF6872">
        <w:t xml:space="preserve">seventh revised edition of the Manual of </w:t>
      </w:r>
      <w:r w:rsidR="009B57DA">
        <w:br/>
      </w:r>
      <w:r w:rsidR="009B57DA" w:rsidRPr="00FF6872">
        <w:t>Tests and Criteria (ST/SG/AC.10/11/Rev.7</w:t>
      </w:r>
      <w:r w:rsidR="009B57DA" w:rsidRPr="00755589">
        <w:t>)</w:t>
      </w:r>
    </w:p>
    <w:p w14:paraId="4ED2EC5C" w14:textId="4B049CE9" w:rsidR="009B57DA" w:rsidRPr="00C54F00" w:rsidRDefault="009B57DA" w:rsidP="009B57DA">
      <w:pPr>
        <w:pStyle w:val="H23G"/>
      </w:pPr>
      <w:r w:rsidRPr="00C54F00">
        <w:tab/>
      </w:r>
      <w:r>
        <w:tab/>
      </w:r>
      <w:r w:rsidR="00DA5102">
        <w:t xml:space="preserve">Section 11, </w:t>
      </w:r>
      <w:r w:rsidR="00A67CA2" w:rsidRPr="00A67CA2">
        <w:t>11.4.1.2.1</w:t>
      </w:r>
      <w:r w:rsidR="0056632A">
        <w:t>, second sentence</w:t>
      </w:r>
    </w:p>
    <w:p w14:paraId="0CC26555" w14:textId="198DC53A" w:rsidR="009B57DA" w:rsidRPr="003E368F" w:rsidRDefault="00A67CA2" w:rsidP="009B57DA">
      <w:pPr>
        <w:pStyle w:val="SingleTxtG"/>
      </w:pPr>
      <w:r w:rsidRPr="003E368F">
        <w:t>The correction does not apply to the English version</w:t>
      </w:r>
      <w:r w:rsidR="00783EBD">
        <w:t>.</w:t>
      </w:r>
    </w:p>
    <w:p w14:paraId="18B6348A" w14:textId="53767FD6" w:rsidR="009B57DA" w:rsidRPr="00007C2E" w:rsidRDefault="009B57DA" w:rsidP="009B57DA">
      <w:pPr>
        <w:pStyle w:val="SingleTxtG"/>
        <w:rPr>
          <w:i/>
          <w:iCs/>
        </w:rPr>
      </w:pPr>
      <w:r w:rsidRPr="00007C2E">
        <w:rPr>
          <w:i/>
          <w:iCs/>
        </w:rPr>
        <w:t xml:space="preserve">(Reference document: </w:t>
      </w:r>
      <w:r w:rsidR="004613FE">
        <w:rPr>
          <w:i/>
          <w:iCs/>
        </w:rPr>
        <w:t xml:space="preserve">informal document INF.38, </w:t>
      </w:r>
      <w:r w:rsidR="00B90042">
        <w:rPr>
          <w:i/>
          <w:iCs/>
        </w:rPr>
        <w:t>A</w:t>
      </w:r>
      <w:r w:rsidR="004613FE">
        <w:rPr>
          <w:i/>
          <w:iCs/>
        </w:rPr>
        <w:t xml:space="preserve">nnex </w:t>
      </w:r>
      <w:r w:rsidR="00E26B18">
        <w:rPr>
          <w:i/>
          <w:iCs/>
        </w:rPr>
        <w:t xml:space="preserve">3, </w:t>
      </w:r>
      <w:r w:rsidR="00BE0B89">
        <w:rPr>
          <w:i/>
          <w:iCs/>
        </w:rPr>
        <w:t>amendment 4</w:t>
      </w:r>
      <w:r w:rsidRPr="00007C2E">
        <w:rPr>
          <w:i/>
          <w:iCs/>
        </w:rPr>
        <w:t>)</w:t>
      </w:r>
    </w:p>
    <w:p w14:paraId="456CFFFE" w14:textId="04131E9F" w:rsidR="00CF309D" w:rsidRDefault="00CF309D" w:rsidP="00CF309D">
      <w:pPr>
        <w:pStyle w:val="HChG"/>
      </w:pPr>
      <w:r>
        <w:tab/>
        <w:t>I</w:t>
      </w:r>
      <w:r w:rsidR="009B57DA">
        <w:t>V</w:t>
      </w:r>
      <w:r w:rsidRPr="00755589">
        <w:t>.</w:t>
      </w:r>
      <w:r>
        <w:tab/>
      </w:r>
      <w:r w:rsidRPr="00755589">
        <w:t xml:space="preserve">Corrections to the </w:t>
      </w:r>
      <w:r w:rsidRPr="00B231DF">
        <w:t>twent</w:t>
      </w:r>
      <w:r>
        <w:t>y-first</w:t>
      </w:r>
      <w:r w:rsidRPr="00755589">
        <w:t xml:space="preserve"> revised edition of the Recommendations on the Transport of Dangerous Goods, Model Regulation</w:t>
      </w:r>
      <w:r>
        <w:t>s</w:t>
      </w:r>
      <w:r w:rsidRPr="00755589">
        <w:t xml:space="preserve"> (ST/SG/AC.10/1/Rev.2</w:t>
      </w:r>
      <w:r>
        <w:t>1</w:t>
      </w:r>
      <w:r w:rsidRPr="00755589">
        <w:t>)</w:t>
      </w:r>
    </w:p>
    <w:p w14:paraId="01A592A9" w14:textId="77777777" w:rsidR="00CF309D" w:rsidRPr="00C54F00" w:rsidRDefault="00CF309D" w:rsidP="00CF309D">
      <w:pPr>
        <w:pStyle w:val="H23G"/>
      </w:pPr>
      <w:r w:rsidRPr="00C54F00">
        <w:tab/>
      </w:r>
      <w:r>
        <w:tab/>
        <w:t>Chapter 6.4, 6.4.24.3</w:t>
      </w:r>
    </w:p>
    <w:p w14:paraId="47F819A3" w14:textId="77777777" w:rsidR="00CF309D" w:rsidRPr="00D5645B" w:rsidRDefault="00CF309D" w:rsidP="00CF309D">
      <w:pPr>
        <w:pStyle w:val="SingleTxtG"/>
      </w:pPr>
      <w:r>
        <w:rPr>
          <w:i/>
          <w:iCs/>
        </w:rPr>
        <w:t>Delete</w:t>
      </w:r>
      <w:r w:rsidRPr="00D5645B">
        <w:t xml:space="preserve"> </w:t>
      </w:r>
      <w:r w:rsidRPr="006E73AE">
        <w:t>1973, 1973 (as amended),</w:t>
      </w:r>
    </w:p>
    <w:p w14:paraId="13FC5D8E" w14:textId="77777777" w:rsidR="00CF309D" w:rsidRPr="00007C2E" w:rsidRDefault="00CF309D" w:rsidP="00CF309D">
      <w:pPr>
        <w:pStyle w:val="SingleTxtG"/>
        <w:rPr>
          <w:i/>
          <w:iCs/>
        </w:rPr>
      </w:pPr>
      <w:r w:rsidRPr="00007C2E">
        <w:rPr>
          <w:i/>
          <w:iCs/>
        </w:rPr>
        <w:t>(Reference document: ST/SG/AC.10/C.3/2020/</w:t>
      </w:r>
      <w:r>
        <w:rPr>
          <w:i/>
          <w:iCs/>
        </w:rPr>
        <w:t>1</w:t>
      </w:r>
      <w:r w:rsidRPr="00007C2E">
        <w:rPr>
          <w:i/>
          <w:iCs/>
        </w:rPr>
        <w:t>)</w:t>
      </w:r>
    </w:p>
    <w:p w14:paraId="539DDFA2" w14:textId="77777777" w:rsidR="00CF309D" w:rsidRPr="00562AC3" w:rsidRDefault="00CF309D" w:rsidP="00CF309D">
      <w:pPr>
        <w:spacing w:before="240"/>
        <w:jc w:val="center"/>
        <w:rPr>
          <w:u w:val="single"/>
        </w:rPr>
      </w:pPr>
      <w:r>
        <w:rPr>
          <w:u w:val="single"/>
        </w:rPr>
        <w:tab/>
      </w:r>
      <w:r>
        <w:rPr>
          <w:u w:val="single"/>
        </w:rPr>
        <w:tab/>
      </w:r>
      <w:r>
        <w:rPr>
          <w:u w:val="single"/>
        </w:rPr>
        <w:tab/>
      </w:r>
    </w:p>
    <w:p w14:paraId="6A993BE4" w14:textId="77777777" w:rsidR="00CF309D" w:rsidRPr="00367B47" w:rsidRDefault="00CF309D" w:rsidP="00CF309D"/>
    <w:p w14:paraId="220D9722" w14:textId="78E8B99C" w:rsidR="00CB333D" w:rsidRDefault="00CB333D">
      <w:pPr>
        <w:suppressAutoHyphens w:val="0"/>
        <w:kinsoku/>
        <w:overflowPunct/>
        <w:autoSpaceDE/>
        <w:autoSpaceDN/>
        <w:adjustRightInd/>
        <w:snapToGrid/>
        <w:spacing w:after="200" w:line="276" w:lineRule="auto"/>
      </w:pPr>
    </w:p>
    <w:p w14:paraId="13259FFE" w14:textId="346B4822" w:rsidR="00CB333D" w:rsidRDefault="00CB333D">
      <w:pPr>
        <w:suppressAutoHyphens w:val="0"/>
        <w:kinsoku/>
        <w:overflowPunct/>
        <w:autoSpaceDE/>
        <w:autoSpaceDN/>
        <w:adjustRightInd/>
        <w:snapToGrid/>
        <w:spacing w:after="200" w:line="276" w:lineRule="auto"/>
      </w:pPr>
    </w:p>
    <w:bookmarkEnd w:id="0"/>
    <w:p w14:paraId="12BAFDDF" w14:textId="77777777" w:rsidR="00CB333D" w:rsidRPr="00F2162B" w:rsidRDefault="00CB333D">
      <w:pPr>
        <w:suppressAutoHyphens w:val="0"/>
        <w:kinsoku/>
        <w:overflowPunct/>
        <w:autoSpaceDE/>
        <w:autoSpaceDN/>
        <w:adjustRightInd/>
        <w:snapToGrid/>
        <w:spacing w:after="200" w:line="276" w:lineRule="auto"/>
      </w:pPr>
    </w:p>
    <w:sectPr w:rsidR="00CB333D" w:rsidRPr="00F2162B" w:rsidSect="00927A11">
      <w:headerReference w:type="even" r:id="rId12"/>
      <w:headerReference w:type="default" r:id="rId13"/>
      <w:footerReference w:type="even" r:id="rId14"/>
      <w:footerReference w:type="defaul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DCE71" w14:textId="77777777" w:rsidR="003F6B37" w:rsidRPr="00C47B2E" w:rsidRDefault="003F6B37" w:rsidP="00C47B2E">
      <w:pPr>
        <w:pStyle w:val="Footer"/>
      </w:pPr>
    </w:p>
  </w:endnote>
  <w:endnote w:type="continuationSeparator" w:id="0">
    <w:p w14:paraId="222850CD" w14:textId="77777777" w:rsidR="003F6B37" w:rsidRPr="00C47B2E" w:rsidRDefault="003F6B37" w:rsidP="00C47B2E">
      <w:pPr>
        <w:pStyle w:val="Footer"/>
      </w:pPr>
    </w:p>
  </w:endnote>
  <w:endnote w:type="continuationNotice" w:id="1">
    <w:p w14:paraId="331F4D77" w14:textId="77777777" w:rsidR="003F6B37" w:rsidRPr="00C47B2E" w:rsidRDefault="003F6B37"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AFE7" w14:textId="77777777" w:rsidR="00721CB1" w:rsidRPr="00927A11" w:rsidRDefault="00721CB1" w:rsidP="00927A11">
    <w:pPr>
      <w:pStyle w:val="Footer"/>
      <w:tabs>
        <w:tab w:val="right" w:pos="9598"/>
        <w:tab w:val="right" w:pos="9638"/>
      </w:tabs>
      <w:rPr>
        <w:sz w:val="18"/>
      </w:rPr>
    </w:pPr>
    <w:r w:rsidRPr="00927A11">
      <w:rPr>
        <w:b/>
        <w:sz w:val="18"/>
      </w:rPr>
      <w:fldChar w:fldCharType="begin"/>
    </w:r>
    <w:r w:rsidRPr="00927A11">
      <w:rPr>
        <w:b/>
        <w:sz w:val="18"/>
      </w:rPr>
      <w:instrText xml:space="preserve"> PAGE  \* MERGEFORMAT </w:instrText>
    </w:r>
    <w:r w:rsidRPr="00927A11">
      <w:rPr>
        <w:b/>
        <w:sz w:val="18"/>
      </w:rPr>
      <w:fldChar w:fldCharType="separate"/>
    </w:r>
    <w:r w:rsidRPr="00927A11">
      <w:rPr>
        <w:b/>
        <w:noProof/>
        <w:sz w:val="18"/>
      </w:rPr>
      <w:t>2</w:t>
    </w:r>
    <w:r w:rsidRPr="00927A1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6D2C4" w14:textId="77777777" w:rsidR="00721CB1" w:rsidRPr="00F62BBA" w:rsidRDefault="00721CB1" w:rsidP="00F62BBA">
    <w:pPr>
      <w:pStyle w:val="Footer"/>
      <w:tabs>
        <w:tab w:val="left" w:pos="5775"/>
        <w:tab w:val="right" w:pos="9598"/>
        <w:tab w:val="right" w:pos="9638"/>
      </w:tabs>
      <w:jc w:val="right"/>
      <w:rPr>
        <w:b/>
        <w:bCs/>
        <w:sz w:val="18"/>
      </w:rPr>
    </w:pPr>
    <w:r>
      <w:rPr>
        <w:b/>
        <w:sz w:val="18"/>
      </w:rPr>
      <w:tab/>
    </w:r>
    <w:r w:rsidRPr="00F62BBA">
      <w:rPr>
        <w:b/>
        <w:bCs/>
        <w:sz w:val="18"/>
      </w:rPr>
      <w:fldChar w:fldCharType="begin"/>
    </w:r>
    <w:r w:rsidRPr="00F62BBA">
      <w:rPr>
        <w:b/>
        <w:bCs/>
        <w:sz w:val="18"/>
      </w:rPr>
      <w:instrText xml:space="preserve"> PAGE  \* MERGEFORMAT </w:instrText>
    </w:r>
    <w:r w:rsidRPr="00F62BBA">
      <w:rPr>
        <w:b/>
        <w:bCs/>
        <w:sz w:val="18"/>
      </w:rPr>
      <w:fldChar w:fldCharType="separate"/>
    </w:r>
    <w:r w:rsidRPr="00F62BBA">
      <w:rPr>
        <w:b/>
        <w:bCs/>
        <w:noProof/>
        <w:sz w:val="18"/>
      </w:rPr>
      <w:t>3</w:t>
    </w:r>
    <w:r w:rsidRPr="00F62BBA">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C3970" w14:textId="77777777" w:rsidR="003F6B37" w:rsidRPr="00C47B2E" w:rsidRDefault="003F6B37" w:rsidP="00C47B2E">
      <w:pPr>
        <w:tabs>
          <w:tab w:val="right" w:pos="2155"/>
        </w:tabs>
        <w:spacing w:after="80" w:line="240" w:lineRule="auto"/>
        <w:ind w:left="680"/>
      </w:pPr>
      <w:r>
        <w:rPr>
          <w:u w:val="single"/>
        </w:rPr>
        <w:tab/>
      </w:r>
    </w:p>
  </w:footnote>
  <w:footnote w:type="continuationSeparator" w:id="0">
    <w:p w14:paraId="345EF26F" w14:textId="77777777" w:rsidR="003F6B37" w:rsidRPr="00C47B2E" w:rsidRDefault="003F6B37" w:rsidP="005E716E">
      <w:pPr>
        <w:tabs>
          <w:tab w:val="right" w:pos="2155"/>
        </w:tabs>
        <w:spacing w:after="80" w:line="240" w:lineRule="auto"/>
        <w:ind w:left="680"/>
      </w:pPr>
      <w:r>
        <w:rPr>
          <w:u w:val="single"/>
        </w:rPr>
        <w:tab/>
      </w:r>
    </w:p>
  </w:footnote>
  <w:footnote w:type="continuationNotice" w:id="1">
    <w:p w14:paraId="18DA7CC8" w14:textId="77777777" w:rsidR="003F6B37" w:rsidRPr="00C47B2E" w:rsidRDefault="003F6B37" w:rsidP="00C47B2E">
      <w:pPr>
        <w:pStyle w:val="Footer"/>
      </w:pPr>
    </w:p>
  </w:footnote>
  <w:footnote w:id="2">
    <w:p w14:paraId="10AC2267" w14:textId="77777777" w:rsidR="003021CF" w:rsidRPr="00E07DAE" w:rsidRDefault="003021CF" w:rsidP="003021CF">
      <w:pPr>
        <w:pStyle w:val="FootnoteText"/>
        <w:rPr>
          <w:lang w:val="fr-CH"/>
        </w:rPr>
      </w:pPr>
      <w:r>
        <w:tab/>
      </w:r>
      <w:r>
        <w:rPr>
          <w:rStyle w:val="FootnoteReference"/>
        </w:rPr>
        <w:footnoteRef/>
      </w:r>
      <w:r>
        <w:t xml:space="preserve"> </w:t>
      </w:r>
      <w:r>
        <w:tab/>
        <w:t>For practical reasons, this annex has been published as an addendum with the symbol ST/SG/AC.10/C.3/114/Add.1.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30594" w14:textId="239CB664" w:rsidR="00721CB1" w:rsidRPr="00CA6E2F" w:rsidRDefault="00CA6E2F">
    <w:pPr>
      <w:pStyle w:val="Header"/>
      <w:rPr>
        <w:lang w:val="fr-CH"/>
      </w:rPr>
    </w:pPr>
    <w:r>
      <w:rPr>
        <w:lang w:val="fr-CH"/>
      </w:rPr>
      <w:t>ST/SG/AC.10/C.3/114/Add.1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2048F" w14:textId="5D3F0CC7" w:rsidR="00721CB1" w:rsidRPr="00CA6E2F" w:rsidRDefault="00CA6E2F" w:rsidP="00927A11">
    <w:pPr>
      <w:pStyle w:val="Header"/>
      <w:jc w:val="right"/>
      <w:rPr>
        <w:lang w:val="fr-CH"/>
      </w:rPr>
    </w:pPr>
    <w:r>
      <w:rPr>
        <w:lang w:val="fr-CH"/>
      </w:rPr>
      <w:t>ST/SG/AC.10/C.3/114/Add.1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009BA"/>
    <w:multiLevelType w:val="hybridMultilevel"/>
    <w:tmpl w:val="44DE8E3C"/>
    <w:lvl w:ilvl="0" w:tplc="189ED09A">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0"/>
  </w:num>
  <w:num w:numId="4">
    <w:abstractNumId w:val="7"/>
  </w:num>
  <w:num w:numId="5">
    <w:abstractNumId w:val="8"/>
  </w:num>
  <w:num w:numId="6">
    <w:abstractNumId w:val="10"/>
  </w:num>
  <w:num w:numId="7">
    <w:abstractNumId w:val="3"/>
  </w:num>
  <w:num w:numId="8">
    <w:abstractNumId w:val="1"/>
  </w:num>
  <w:num w:numId="9">
    <w:abstractNumId w:val="9"/>
  </w:num>
  <w:num w:numId="10">
    <w:abstractNumId w:val="1"/>
  </w:num>
  <w:num w:numId="11">
    <w:abstractNumId w:val="9"/>
  </w:num>
  <w:num w:numId="12">
    <w:abstractNumId w:val="2"/>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defaultTabStop w:val="567"/>
  <w:hyphenationZone w:val="425"/>
  <w:evenAndOddHeaders/>
  <w:characterSpacingControl w:val="doNotCompress"/>
  <w:hdrShapeDefaults>
    <o:shapedefaults v:ext="edit" spidmax="512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A11"/>
    <w:rsid w:val="00046E92"/>
    <w:rsid w:val="00063C90"/>
    <w:rsid w:val="00072462"/>
    <w:rsid w:val="000E3CEE"/>
    <w:rsid w:val="000F009B"/>
    <w:rsid w:val="00101B98"/>
    <w:rsid w:val="001514D1"/>
    <w:rsid w:val="002414CD"/>
    <w:rsid w:val="00247E2C"/>
    <w:rsid w:val="00261C69"/>
    <w:rsid w:val="00271989"/>
    <w:rsid w:val="00295C95"/>
    <w:rsid w:val="002A32CB"/>
    <w:rsid w:val="002D5B2C"/>
    <w:rsid w:val="002D6C53"/>
    <w:rsid w:val="002F5595"/>
    <w:rsid w:val="003021CF"/>
    <w:rsid w:val="00334F6A"/>
    <w:rsid w:val="00342AC8"/>
    <w:rsid w:val="00343302"/>
    <w:rsid w:val="003979DE"/>
    <w:rsid w:val="003A5BA5"/>
    <w:rsid w:val="003B4550"/>
    <w:rsid w:val="003D2A18"/>
    <w:rsid w:val="003E182C"/>
    <w:rsid w:val="003E368F"/>
    <w:rsid w:val="003F6B37"/>
    <w:rsid w:val="00413386"/>
    <w:rsid w:val="00461253"/>
    <w:rsid w:val="004613FE"/>
    <w:rsid w:val="004858F5"/>
    <w:rsid w:val="004A2814"/>
    <w:rsid w:val="004B0BED"/>
    <w:rsid w:val="004C0622"/>
    <w:rsid w:val="004C54C6"/>
    <w:rsid w:val="004D066D"/>
    <w:rsid w:val="004D25D2"/>
    <w:rsid w:val="004E7E70"/>
    <w:rsid w:val="005042C2"/>
    <w:rsid w:val="00504338"/>
    <w:rsid w:val="00526E7D"/>
    <w:rsid w:val="00555180"/>
    <w:rsid w:val="0056632A"/>
    <w:rsid w:val="005B1F80"/>
    <w:rsid w:val="005D3363"/>
    <w:rsid w:val="005E716E"/>
    <w:rsid w:val="005F5954"/>
    <w:rsid w:val="0063707C"/>
    <w:rsid w:val="006476E1"/>
    <w:rsid w:val="006604DF"/>
    <w:rsid w:val="00671529"/>
    <w:rsid w:val="00697A62"/>
    <w:rsid w:val="0070489D"/>
    <w:rsid w:val="00714D3D"/>
    <w:rsid w:val="00721CB1"/>
    <w:rsid w:val="007268F9"/>
    <w:rsid w:val="00750282"/>
    <w:rsid w:val="00764440"/>
    <w:rsid w:val="00766235"/>
    <w:rsid w:val="0077101B"/>
    <w:rsid w:val="007723B3"/>
    <w:rsid w:val="00783EBD"/>
    <w:rsid w:val="00784F4D"/>
    <w:rsid w:val="007C52B0"/>
    <w:rsid w:val="007C6033"/>
    <w:rsid w:val="00803554"/>
    <w:rsid w:val="00813891"/>
    <w:rsid w:val="008147C8"/>
    <w:rsid w:val="0081753A"/>
    <w:rsid w:val="00823D82"/>
    <w:rsid w:val="00857D23"/>
    <w:rsid w:val="00874A41"/>
    <w:rsid w:val="008C0663"/>
    <w:rsid w:val="00927A11"/>
    <w:rsid w:val="009411B4"/>
    <w:rsid w:val="00946F1D"/>
    <w:rsid w:val="00986B7B"/>
    <w:rsid w:val="00990523"/>
    <w:rsid w:val="009A7281"/>
    <w:rsid w:val="009B57DA"/>
    <w:rsid w:val="009D0139"/>
    <w:rsid w:val="009D717D"/>
    <w:rsid w:val="009F5CDC"/>
    <w:rsid w:val="00A072D7"/>
    <w:rsid w:val="00A222FD"/>
    <w:rsid w:val="00A61E17"/>
    <w:rsid w:val="00A67CA2"/>
    <w:rsid w:val="00A775CF"/>
    <w:rsid w:val="00AD1A9C"/>
    <w:rsid w:val="00AF5DE1"/>
    <w:rsid w:val="00B06045"/>
    <w:rsid w:val="00B206DD"/>
    <w:rsid w:val="00B32315"/>
    <w:rsid w:val="00B52EF4"/>
    <w:rsid w:val="00B777AD"/>
    <w:rsid w:val="00B90042"/>
    <w:rsid w:val="00BE0B89"/>
    <w:rsid w:val="00BE6BA8"/>
    <w:rsid w:val="00C03015"/>
    <w:rsid w:val="00C0358D"/>
    <w:rsid w:val="00C17EFA"/>
    <w:rsid w:val="00C35A27"/>
    <w:rsid w:val="00C47B2E"/>
    <w:rsid w:val="00CA6E2F"/>
    <w:rsid w:val="00CB333D"/>
    <w:rsid w:val="00CD1B25"/>
    <w:rsid w:val="00CF309D"/>
    <w:rsid w:val="00D63CD2"/>
    <w:rsid w:val="00D746D3"/>
    <w:rsid w:val="00D87DC2"/>
    <w:rsid w:val="00D94B05"/>
    <w:rsid w:val="00DA5102"/>
    <w:rsid w:val="00DA6D1B"/>
    <w:rsid w:val="00E02C2B"/>
    <w:rsid w:val="00E037D4"/>
    <w:rsid w:val="00E21C27"/>
    <w:rsid w:val="00E26B18"/>
    <w:rsid w:val="00E26BCF"/>
    <w:rsid w:val="00E52109"/>
    <w:rsid w:val="00E75317"/>
    <w:rsid w:val="00EC0CE6"/>
    <w:rsid w:val="00EC7C1D"/>
    <w:rsid w:val="00ED6C48"/>
    <w:rsid w:val="00EE3045"/>
    <w:rsid w:val="00F2162B"/>
    <w:rsid w:val="00F62BBA"/>
    <w:rsid w:val="00F65F5D"/>
    <w:rsid w:val="00F86A3A"/>
    <w:rsid w:val="00FB2C42"/>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39BE57C"/>
  <w15:docId w15:val="{4AFC1786-73A2-4938-8F6C-E71665B48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CE6"/>
    <w:pPr>
      <w:suppressAutoHyphens/>
      <w:kinsoku w:val="0"/>
      <w:overflowPunct w:val="0"/>
      <w:autoSpaceDE w:val="0"/>
      <w:autoSpaceDN w:val="0"/>
      <w:adjustRightInd w:val="0"/>
      <w:snapToGrid w:val="0"/>
      <w:spacing w:after="0" w:line="240" w:lineRule="atLeast"/>
    </w:p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NoG">
    <w:name w:val="_ParNo_G"/>
    <w:basedOn w:val="SingleTxtG"/>
    <w:qFormat/>
    <w:rsid w:val="00B206DD"/>
    <w:pPr>
      <w:numPr>
        <w:numId w:val="13"/>
      </w:numPr>
      <w:suppressAutoHyphens w:val="0"/>
      <w:kinsoku/>
      <w:overflowPunct/>
      <w:autoSpaceDE/>
      <w:autoSpaceDN/>
      <w:adjustRightInd/>
      <w:snapToGrid/>
    </w:pPr>
    <w:rPr>
      <w:rFonts w:eastAsia="Times New Roman"/>
    </w:r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uiPriority w:val="99"/>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uiPriority w:val="99"/>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Footnote Reference/"/>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basedOn w:val="DefaultParagraphFont"/>
    <w:rsid w:val="00EC0CE6"/>
    <w:rPr>
      <w:color w:val="0000FF"/>
      <w:u w:val="none"/>
    </w:rPr>
  </w:style>
  <w:style w:type="character" w:styleId="FollowedHyperlink">
    <w:name w:val="FollowedHyperlink"/>
    <w:basedOn w:val="DefaultParagraphFont"/>
    <w:rsid w:val="00EC0CE6"/>
    <w:rPr>
      <w:color w:val="0000FF"/>
      <w:u w:val="none"/>
    </w:rPr>
  </w:style>
  <w:style w:type="table" w:styleId="TableGrid">
    <w:name w:val="Table Grid"/>
    <w:basedOn w:val="TableNormal"/>
    <w:rsid w:val="004A2814"/>
    <w:pPr>
      <w:suppressAutoHyphens/>
      <w:spacing w:after="0" w:line="240" w:lineRule="atLeast"/>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GChar">
    <w:name w:val="_ H _Ch_G Char"/>
    <w:link w:val="HChG"/>
    <w:rsid w:val="00986B7B"/>
    <w:rPr>
      <w:b/>
      <w:sz w:val="28"/>
    </w:rPr>
  </w:style>
  <w:style w:type="character" w:customStyle="1" w:styleId="H23GChar">
    <w:name w:val="_ H_2/3_G Char"/>
    <w:link w:val="H23G"/>
    <w:rsid w:val="00986B7B"/>
    <w:rPr>
      <w:b/>
    </w:rPr>
  </w:style>
  <w:style w:type="character" w:customStyle="1" w:styleId="H1GChar">
    <w:name w:val="_ H_1_G Char"/>
    <w:link w:val="H1G"/>
    <w:qFormat/>
    <w:rsid w:val="00F62BBA"/>
    <w:rPr>
      <w:b/>
      <w:sz w:val="24"/>
    </w:rPr>
  </w:style>
  <w:style w:type="character" w:customStyle="1" w:styleId="SingleTxtGChar">
    <w:name w:val="_ Single Txt_G Char"/>
    <w:link w:val="SingleTxtG"/>
    <w:qFormat/>
    <w:locked/>
    <w:rsid w:val="00F62BBA"/>
  </w:style>
  <w:style w:type="paragraph" w:styleId="Caption">
    <w:name w:val="caption"/>
    <w:basedOn w:val="Normal"/>
    <w:next w:val="Normal"/>
    <w:unhideWhenUsed/>
    <w:qFormat/>
    <w:rsid w:val="00F62BBA"/>
    <w:pPr>
      <w:kinsoku/>
      <w:overflowPunct/>
      <w:autoSpaceDE/>
      <w:autoSpaceDN/>
      <w:adjustRightInd/>
      <w:snapToGrid/>
      <w:spacing w:after="200" w:line="240" w:lineRule="auto"/>
    </w:pPr>
    <w:rPr>
      <w:rFonts w:eastAsia="Times New Roman"/>
      <w:b/>
      <w:bCs/>
      <w:color w:val="4F81BD" w:themeColor="accent1"/>
      <w:sz w:val="18"/>
      <w:szCs w:val="18"/>
      <w:lang w:eastAsia="en-US"/>
    </w:rPr>
  </w:style>
  <w:style w:type="paragraph" w:styleId="ListParagraph">
    <w:name w:val="List Paragraph"/>
    <w:basedOn w:val="Normal"/>
    <w:uiPriority w:val="1"/>
    <w:qFormat/>
    <w:rsid w:val="00F62BBA"/>
    <w:pPr>
      <w:suppressAutoHyphens w:val="0"/>
      <w:kinsoku/>
      <w:overflowPunct/>
      <w:autoSpaceDE/>
      <w:autoSpaceDN/>
      <w:adjustRightInd/>
      <w:snapToGrid/>
      <w:spacing w:line="240" w:lineRule="auto"/>
      <w:ind w:left="720"/>
      <w:jc w:val="both"/>
    </w:pPr>
    <w:rPr>
      <w:rFonts w:eastAsia="Times New Roman"/>
      <w:sz w:val="24"/>
      <w:szCs w:val="24"/>
      <w:lang w:val="en-US" w:eastAsia="en-US"/>
    </w:rPr>
  </w:style>
  <w:style w:type="character" w:styleId="CommentReference">
    <w:name w:val="annotation reference"/>
    <w:basedOn w:val="DefaultParagraphFont"/>
    <w:uiPriority w:val="99"/>
    <w:semiHidden/>
    <w:unhideWhenUsed/>
    <w:rsid w:val="00F62BBA"/>
    <w:rPr>
      <w:sz w:val="16"/>
      <w:szCs w:val="16"/>
    </w:rPr>
  </w:style>
  <w:style w:type="paragraph" w:styleId="CommentText">
    <w:name w:val="annotation text"/>
    <w:basedOn w:val="Normal"/>
    <w:link w:val="CommentTextChar"/>
    <w:uiPriority w:val="99"/>
    <w:semiHidden/>
    <w:unhideWhenUsed/>
    <w:rsid w:val="00F62BBA"/>
    <w:pPr>
      <w:spacing w:line="240" w:lineRule="auto"/>
    </w:pPr>
  </w:style>
  <w:style w:type="character" w:customStyle="1" w:styleId="CommentTextChar">
    <w:name w:val="Comment Text Char"/>
    <w:basedOn w:val="DefaultParagraphFont"/>
    <w:link w:val="CommentText"/>
    <w:uiPriority w:val="99"/>
    <w:semiHidden/>
    <w:rsid w:val="00F62BBA"/>
  </w:style>
  <w:style w:type="paragraph" w:styleId="CommentSubject">
    <w:name w:val="annotation subject"/>
    <w:basedOn w:val="CommentText"/>
    <w:next w:val="CommentText"/>
    <w:link w:val="CommentSubjectChar"/>
    <w:uiPriority w:val="99"/>
    <w:semiHidden/>
    <w:unhideWhenUsed/>
    <w:rsid w:val="00F62BBA"/>
    <w:rPr>
      <w:b/>
      <w:bCs/>
    </w:rPr>
  </w:style>
  <w:style w:type="character" w:customStyle="1" w:styleId="CommentSubjectChar">
    <w:name w:val="Comment Subject Char"/>
    <w:basedOn w:val="CommentTextChar"/>
    <w:link w:val="CommentSubject"/>
    <w:uiPriority w:val="99"/>
    <w:semiHidden/>
    <w:rsid w:val="00F62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UN-Docs2017\Templates\ST\SGAC10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3638B-3EE9-4890-A0A5-2F905C7F0F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7C3CA5-6A3D-4CE0-B884-2D269DC00708}">
  <ds:schemaRefs>
    <ds:schemaRef ds:uri="http://schemas.microsoft.com/sharepoint/v3/contenttype/forms"/>
  </ds:schemaRefs>
</ds:datastoreItem>
</file>

<file path=customXml/itemProps3.xml><?xml version="1.0" encoding="utf-8"?>
<ds:datastoreItem xmlns:ds="http://schemas.openxmlformats.org/officeDocument/2006/customXml" ds:itemID="{E8D36191-7894-4C46-82A4-B42735CD6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43DFBD-D688-4384-8FB3-14B1FC47D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SGAC10_E.dotm</Template>
  <TotalTime>22</TotalTime>
  <Pages>22</Pages>
  <Words>8465</Words>
  <Characters>48252</Characters>
  <Application>Microsoft Office Word</Application>
  <DocSecurity>0</DocSecurity>
  <Lines>402</Lines>
  <Paragraphs>113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ST/SG/AC.10/C.3/112/Add.1</vt:lpstr>
      <vt:lpstr/>
    </vt:vector>
  </TitlesOfParts>
  <Company/>
  <LinksUpToDate>false</LinksUpToDate>
  <CharactersWithSpaces>56604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ST/SG/AC.10/C.3/112/Add.1</dc:title>
  <dc:subject/>
  <dc:creator>Rosa</dc:creator>
  <cp:keywords/>
  <cp:lastModifiedBy>Armando Serrano Lombillo</cp:lastModifiedBy>
  <cp:revision>21</cp:revision>
  <cp:lastPrinted>2020-01-06T06:26:00Z</cp:lastPrinted>
  <dcterms:created xsi:type="dcterms:W3CDTF">2020-12-22T00:40:00Z</dcterms:created>
  <dcterms:modified xsi:type="dcterms:W3CDTF">2020-12-23T10:52:00Z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9539200</vt:r8>
  </property>
</Properties>
</file>