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4CC90D" w14:textId="77777777" w:rsidTr="005316B0">
        <w:trPr>
          <w:trHeight w:hRule="exact" w:val="851"/>
        </w:trPr>
        <w:tc>
          <w:tcPr>
            <w:tcW w:w="1276" w:type="dxa"/>
            <w:tcBorders>
              <w:bottom w:val="single" w:sz="4" w:space="0" w:color="auto"/>
            </w:tcBorders>
          </w:tcPr>
          <w:p w14:paraId="140515E5" w14:textId="77777777" w:rsidR="001433FD" w:rsidRPr="00DB58B5" w:rsidRDefault="001433FD" w:rsidP="0001207F"/>
        </w:tc>
        <w:tc>
          <w:tcPr>
            <w:tcW w:w="2268" w:type="dxa"/>
            <w:tcBorders>
              <w:bottom w:val="single" w:sz="4" w:space="0" w:color="auto"/>
            </w:tcBorders>
            <w:vAlign w:val="bottom"/>
          </w:tcPr>
          <w:p w14:paraId="22259D8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1810E4" w14:textId="436EF932" w:rsidR="001433FD" w:rsidRPr="008F7B78" w:rsidRDefault="008F7B78" w:rsidP="008F7B78">
            <w:pPr>
              <w:jc w:val="right"/>
            </w:pPr>
            <w:r w:rsidRPr="008F7B78">
              <w:rPr>
                <w:sz w:val="40"/>
              </w:rPr>
              <w:t>ECE</w:t>
            </w:r>
            <w:r>
              <w:t>/TRANS/WP.15/AC.2/2021/2</w:t>
            </w:r>
          </w:p>
        </w:tc>
      </w:tr>
      <w:tr w:rsidR="001433FD" w:rsidRPr="00DB58B5" w14:paraId="2A46F443" w14:textId="77777777" w:rsidTr="007D3236">
        <w:trPr>
          <w:trHeight w:hRule="exact" w:val="2835"/>
        </w:trPr>
        <w:tc>
          <w:tcPr>
            <w:tcW w:w="1276" w:type="dxa"/>
            <w:tcBorders>
              <w:top w:val="single" w:sz="4" w:space="0" w:color="auto"/>
              <w:bottom w:val="single" w:sz="12" w:space="0" w:color="auto"/>
            </w:tcBorders>
          </w:tcPr>
          <w:p w14:paraId="12C9E9D7" w14:textId="77777777" w:rsidR="001433FD" w:rsidRPr="00DB58B5" w:rsidRDefault="001433FD" w:rsidP="007D3236">
            <w:pPr>
              <w:spacing w:before="120"/>
              <w:jc w:val="center"/>
            </w:pPr>
            <w:r>
              <w:rPr>
                <w:noProof/>
                <w:lang w:eastAsia="fr-CH"/>
              </w:rPr>
              <w:drawing>
                <wp:inline distT="0" distB="0" distL="0" distR="0" wp14:anchorId="0C1011D8" wp14:editId="5F89459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1CA92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924B62" w14:textId="77777777" w:rsidR="0001207F" w:rsidRDefault="00400B8B" w:rsidP="00400B8B">
            <w:pPr>
              <w:spacing w:before="240" w:line="240" w:lineRule="exact"/>
            </w:pPr>
            <w:proofErr w:type="spellStart"/>
            <w:r>
              <w:t>Distr</w:t>
            </w:r>
            <w:proofErr w:type="spellEnd"/>
            <w:r>
              <w:t>. générale</w:t>
            </w:r>
          </w:p>
          <w:p w14:paraId="7462BEFF" w14:textId="0364DBFE" w:rsidR="00400B8B" w:rsidRDefault="00400B8B" w:rsidP="00400B8B">
            <w:pPr>
              <w:spacing w:line="240" w:lineRule="exact"/>
            </w:pPr>
            <w:r>
              <w:t xml:space="preserve">9 </w:t>
            </w:r>
            <w:r w:rsidR="007069F5">
              <w:t>novembre</w:t>
            </w:r>
            <w:r>
              <w:t xml:space="preserve"> 2020</w:t>
            </w:r>
          </w:p>
          <w:p w14:paraId="0B463905" w14:textId="77777777" w:rsidR="00400B8B" w:rsidRDefault="00400B8B" w:rsidP="00400B8B">
            <w:pPr>
              <w:spacing w:line="240" w:lineRule="exact"/>
            </w:pPr>
          </w:p>
          <w:p w14:paraId="20063C60" w14:textId="77777777" w:rsidR="00400B8B" w:rsidRPr="00DB58B5" w:rsidRDefault="00400B8B" w:rsidP="00400B8B">
            <w:pPr>
              <w:spacing w:line="240" w:lineRule="exact"/>
            </w:pPr>
            <w:r>
              <w:t>Original : français</w:t>
            </w:r>
          </w:p>
        </w:tc>
      </w:tr>
    </w:tbl>
    <w:p w14:paraId="7F156974" w14:textId="77777777" w:rsidR="00DE239D" w:rsidRDefault="00DE239D" w:rsidP="00D3775F">
      <w:pPr>
        <w:spacing w:before="120"/>
        <w:rPr>
          <w:b/>
          <w:sz w:val="28"/>
          <w:szCs w:val="28"/>
        </w:rPr>
      </w:pPr>
      <w:r w:rsidRPr="00883605">
        <w:rPr>
          <w:b/>
          <w:sz w:val="28"/>
          <w:szCs w:val="28"/>
        </w:rPr>
        <w:t>Commission économique pour l’Europe</w:t>
      </w:r>
    </w:p>
    <w:p w14:paraId="737B9367" w14:textId="77777777" w:rsidR="00793210" w:rsidRDefault="00793210" w:rsidP="00D3775F">
      <w:pPr>
        <w:spacing w:before="120"/>
        <w:rPr>
          <w:sz w:val="28"/>
          <w:szCs w:val="28"/>
        </w:rPr>
      </w:pPr>
      <w:r w:rsidRPr="00685843">
        <w:rPr>
          <w:sz w:val="28"/>
          <w:szCs w:val="28"/>
        </w:rPr>
        <w:t>Comité des transports intérieurs</w:t>
      </w:r>
    </w:p>
    <w:p w14:paraId="6EFBFBBE" w14:textId="77777777" w:rsidR="00F36321" w:rsidRPr="00F36321" w:rsidRDefault="00F36321" w:rsidP="00F36321">
      <w:pPr>
        <w:spacing w:before="120"/>
        <w:rPr>
          <w:rFonts w:eastAsiaTheme="minorEastAsia"/>
          <w:b/>
          <w:sz w:val="24"/>
          <w:szCs w:val="24"/>
        </w:rPr>
      </w:pPr>
      <w:r w:rsidRPr="00F36321">
        <w:rPr>
          <w:rFonts w:eastAsiaTheme="minorEastAsia"/>
          <w:b/>
          <w:sz w:val="24"/>
          <w:szCs w:val="24"/>
        </w:rPr>
        <w:t>Groupe de travail des transports de marchandises dangereuses</w:t>
      </w:r>
    </w:p>
    <w:p w14:paraId="53F592F2" w14:textId="77777777" w:rsidR="00F36321" w:rsidRPr="00F36321" w:rsidRDefault="00F36321" w:rsidP="00F36321">
      <w:pPr>
        <w:spacing w:before="120"/>
        <w:rPr>
          <w:rFonts w:eastAsiaTheme="minorEastAsia"/>
          <w:b/>
        </w:rPr>
      </w:pPr>
      <w:r w:rsidRPr="00F36321">
        <w:rPr>
          <w:rFonts w:eastAsiaTheme="minorEastAsia"/>
          <w:b/>
          <w:lang w:val="fr-FR"/>
        </w:rPr>
        <w:t xml:space="preserve">Réunion commune d’experts sur le Règlement annexé </w:t>
      </w:r>
      <w:r w:rsidRPr="00F36321">
        <w:rPr>
          <w:rFonts w:eastAsiaTheme="minorEastAsia"/>
          <w:b/>
          <w:lang w:val="fr-FR"/>
        </w:rPr>
        <w:br/>
        <w:t xml:space="preserve">à l’Accord européen relatif au transport international </w:t>
      </w:r>
      <w:r w:rsidRPr="00F36321">
        <w:rPr>
          <w:rFonts w:eastAsiaTheme="minorEastAsia"/>
          <w:b/>
          <w:lang w:val="fr-FR"/>
        </w:rPr>
        <w:br/>
        <w:t xml:space="preserve">des marchandises </w:t>
      </w:r>
      <w:r w:rsidRPr="00F36321">
        <w:rPr>
          <w:rFonts w:eastAsiaTheme="minorEastAsia"/>
          <w:b/>
          <w:bCs/>
          <w:iCs/>
          <w:lang w:val="fr-FR"/>
        </w:rPr>
        <w:t xml:space="preserve">dangereuses par voies de navigation </w:t>
      </w:r>
      <w:r w:rsidRPr="00F36321">
        <w:rPr>
          <w:rFonts w:eastAsiaTheme="minorEastAsia"/>
          <w:b/>
          <w:bCs/>
          <w:iCs/>
          <w:lang w:val="fr-FR"/>
        </w:rPr>
        <w:br/>
        <w:t xml:space="preserve">intérieures (ADN) </w:t>
      </w:r>
      <w:r w:rsidRPr="00F36321">
        <w:rPr>
          <w:rFonts w:eastAsiaTheme="minorEastAsia"/>
          <w:b/>
          <w:bCs/>
          <w:lang w:val="fr-FR"/>
        </w:rPr>
        <w:t>(Comité de sécurité de l’ADN)</w:t>
      </w:r>
    </w:p>
    <w:p w14:paraId="0F132F8D" w14:textId="77777777" w:rsidR="00F36321" w:rsidRPr="00F36321" w:rsidRDefault="00F36321" w:rsidP="00F36321">
      <w:pPr>
        <w:spacing w:before="120"/>
        <w:rPr>
          <w:rFonts w:eastAsiaTheme="minorEastAsia"/>
          <w:b/>
        </w:rPr>
      </w:pPr>
      <w:r w:rsidRPr="00F36321">
        <w:rPr>
          <w:rFonts w:eastAsiaTheme="minorEastAsia"/>
          <w:b/>
        </w:rPr>
        <w:t>Trente-septième session</w:t>
      </w:r>
    </w:p>
    <w:p w14:paraId="6E13DB55" w14:textId="43735D97" w:rsidR="00F36321" w:rsidRPr="00F36321" w:rsidRDefault="00F36321" w:rsidP="00F36321">
      <w:pPr>
        <w:rPr>
          <w:rFonts w:eastAsiaTheme="minorEastAsia"/>
        </w:rPr>
      </w:pPr>
      <w:r w:rsidRPr="00F36321">
        <w:rPr>
          <w:rFonts w:eastAsiaTheme="minorEastAsia"/>
        </w:rPr>
        <w:t xml:space="preserve">Genève, </w:t>
      </w:r>
      <w:r w:rsidR="007069F5">
        <w:rPr>
          <w:rFonts w:eastAsiaTheme="minorEastAsia"/>
        </w:rPr>
        <w:t>25-29 janvier</w:t>
      </w:r>
      <w:r w:rsidRPr="00F36321">
        <w:rPr>
          <w:rFonts w:eastAsiaTheme="minorEastAsia"/>
        </w:rPr>
        <w:t xml:space="preserve"> 202</w:t>
      </w:r>
      <w:r w:rsidR="007069F5">
        <w:rPr>
          <w:rFonts w:eastAsiaTheme="minorEastAsia"/>
        </w:rPr>
        <w:t>1</w:t>
      </w:r>
    </w:p>
    <w:p w14:paraId="0AD2450B" w14:textId="180D6887" w:rsidR="00F36321" w:rsidRPr="00F36321" w:rsidRDefault="00F36321" w:rsidP="00F36321">
      <w:pPr>
        <w:rPr>
          <w:rFonts w:eastAsiaTheme="minorEastAsia"/>
        </w:rPr>
      </w:pPr>
      <w:r w:rsidRPr="00F36321">
        <w:rPr>
          <w:rFonts w:eastAsiaTheme="minorEastAsia"/>
        </w:rPr>
        <w:t xml:space="preserve">Point </w:t>
      </w:r>
      <w:r w:rsidR="005E7EB4">
        <w:rPr>
          <w:rFonts w:eastAsiaTheme="minorEastAsia"/>
        </w:rPr>
        <w:t>5</w:t>
      </w:r>
      <w:r w:rsidRPr="00F36321">
        <w:rPr>
          <w:rFonts w:eastAsiaTheme="minorEastAsia"/>
        </w:rPr>
        <w:t xml:space="preserve"> </w:t>
      </w:r>
      <w:r w:rsidR="00504590">
        <w:rPr>
          <w:rFonts w:eastAsiaTheme="minorEastAsia"/>
        </w:rPr>
        <w:t>b</w:t>
      </w:r>
      <w:r w:rsidRPr="00F36321">
        <w:rPr>
          <w:rFonts w:eastAsiaTheme="minorEastAsia"/>
        </w:rPr>
        <w:t>) de l’ordre du jour provisoire</w:t>
      </w:r>
    </w:p>
    <w:p w14:paraId="1615D9C0" w14:textId="5F4F5C89" w:rsidR="00D245EB" w:rsidRDefault="00D245EB" w:rsidP="00D245EB">
      <w:pPr>
        <w:rPr>
          <w:rFonts w:eastAsiaTheme="minorEastAsia"/>
          <w:b/>
          <w:bCs/>
          <w:lang w:val="fr-FR"/>
        </w:rPr>
      </w:pPr>
      <w:r w:rsidRPr="00D245EB">
        <w:rPr>
          <w:rFonts w:eastAsiaTheme="minorEastAsia"/>
          <w:b/>
          <w:bCs/>
          <w:lang w:val="fr-FR"/>
        </w:rPr>
        <w:t xml:space="preserve">Propositions d’amendements au Règlement annexé à l’ADN: </w:t>
      </w:r>
    </w:p>
    <w:p w14:paraId="59DCF0D5" w14:textId="5C968915" w:rsidR="004342FC" w:rsidRDefault="00D245EB" w:rsidP="00D245EB">
      <w:pPr>
        <w:rPr>
          <w:rFonts w:eastAsiaTheme="minorEastAsia"/>
          <w:b/>
          <w:bCs/>
          <w:lang w:val="fr-FR"/>
        </w:rPr>
      </w:pPr>
      <w:r w:rsidRPr="00D245EB">
        <w:rPr>
          <w:rFonts w:eastAsiaTheme="minorEastAsia"/>
          <w:b/>
          <w:bCs/>
          <w:lang w:val="fr-FR"/>
        </w:rPr>
        <w:t>autres propositions</w:t>
      </w:r>
    </w:p>
    <w:p w14:paraId="07727978" w14:textId="1E70B3BF" w:rsidR="00F36321" w:rsidRPr="00F36321" w:rsidRDefault="00F36321" w:rsidP="00F64210">
      <w:pPr>
        <w:pStyle w:val="HChG"/>
        <w:rPr>
          <w:lang w:val="fr-FR"/>
        </w:rPr>
      </w:pPr>
      <w:r>
        <w:rPr>
          <w:lang w:val="fr-FR"/>
        </w:rPr>
        <w:tab/>
      </w:r>
      <w:r>
        <w:rPr>
          <w:lang w:val="fr-FR"/>
        </w:rPr>
        <w:tab/>
      </w:r>
      <w:r w:rsidR="00F64210" w:rsidRPr="00F64210">
        <w:rPr>
          <w:bCs/>
          <w:lang w:val="fr-FR"/>
        </w:rPr>
        <w:t>Complément aux définitions du 1.2.1</w:t>
      </w:r>
    </w:p>
    <w:p w14:paraId="71DE3AAE" w14:textId="338CB95F" w:rsidR="00F36321" w:rsidRDefault="00F36321" w:rsidP="00F36321">
      <w:pPr>
        <w:pStyle w:val="H1G"/>
      </w:pPr>
      <w:r w:rsidRPr="00F36321">
        <w:rPr>
          <w:lang w:val="fr-FR"/>
        </w:rPr>
        <w:tab/>
      </w:r>
      <w:r w:rsidRPr="00F36321">
        <w:rPr>
          <w:lang w:val="fr-FR"/>
        </w:rPr>
        <w:tab/>
        <w:t xml:space="preserve">Communication du Gouvernement de </w:t>
      </w:r>
      <w:r w:rsidR="00C4426C">
        <w:rPr>
          <w:lang w:val="fr-FR"/>
        </w:rPr>
        <w:t>l'Autriche</w:t>
      </w:r>
      <w:r>
        <w:rPr>
          <w:lang w:val="fr-FR"/>
        </w:rPr>
        <w:t xml:space="preserve"> </w:t>
      </w:r>
      <w:r w:rsidRPr="00946636">
        <w:rPr>
          <w:rStyle w:val="Appelnotedebasdep"/>
          <w:snapToGrid w:val="0"/>
          <w:sz w:val="20"/>
        </w:rPr>
        <w:footnoteReference w:customMarkFollows="1" w:id="2"/>
        <w:t>*</w:t>
      </w:r>
      <w:r w:rsidRPr="00946636">
        <w:rPr>
          <w:snapToGrid w:val="0"/>
          <w:sz w:val="20"/>
          <w:vertAlign w:val="superscript"/>
        </w:rPr>
        <w:t>,</w:t>
      </w:r>
      <w:r w:rsidRPr="00946636">
        <w:rPr>
          <w:rStyle w:val="Appelnotedebasdep"/>
          <w:snapToGrid w:val="0"/>
          <w:sz w:val="20"/>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321D4" w14:paraId="5475456E" w14:textId="77777777" w:rsidTr="00C0140E">
        <w:trPr>
          <w:jc w:val="center"/>
        </w:trPr>
        <w:tc>
          <w:tcPr>
            <w:tcW w:w="9628" w:type="dxa"/>
            <w:shd w:val="clear" w:color="auto" w:fill="auto"/>
          </w:tcPr>
          <w:p w14:paraId="1FDBF5E6" w14:textId="77777777" w:rsidR="001321D4" w:rsidRPr="00C6263E" w:rsidRDefault="001321D4" w:rsidP="006E5E26">
            <w:pPr>
              <w:spacing w:before="240" w:after="120"/>
              <w:ind w:left="255"/>
              <w:rPr>
                <w:i/>
                <w:sz w:val="24"/>
              </w:rPr>
            </w:pPr>
            <w:r w:rsidRPr="00C6263E">
              <w:rPr>
                <w:i/>
                <w:sz w:val="24"/>
              </w:rPr>
              <w:t xml:space="preserve">Résumé </w:t>
            </w:r>
          </w:p>
        </w:tc>
      </w:tr>
      <w:tr w:rsidR="001321D4" w14:paraId="308C4017" w14:textId="77777777" w:rsidTr="00C0140E">
        <w:trPr>
          <w:jc w:val="center"/>
        </w:trPr>
        <w:tc>
          <w:tcPr>
            <w:tcW w:w="9628" w:type="dxa"/>
            <w:shd w:val="clear" w:color="auto" w:fill="auto"/>
          </w:tcPr>
          <w:p w14:paraId="31F574BD" w14:textId="3DD0C31B" w:rsidR="001321D4" w:rsidRDefault="00D744BF" w:rsidP="00D744BF">
            <w:pPr>
              <w:pStyle w:val="SingleTxtG"/>
            </w:pPr>
            <w:r w:rsidRPr="00D744BF">
              <w:rPr>
                <w:lang w:val="fr-FR"/>
              </w:rPr>
              <w:t xml:space="preserve">Les termes relatifs aux matières CMR, N1, N2, N3, </w:t>
            </w:r>
            <w:proofErr w:type="spellStart"/>
            <w:r w:rsidRPr="00D744BF">
              <w:rPr>
                <w:lang w:val="fr-FR"/>
              </w:rPr>
              <w:t>Floater</w:t>
            </w:r>
            <w:proofErr w:type="spellEnd"/>
            <w:r w:rsidRPr="00D744BF">
              <w:rPr>
                <w:lang w:val="fr-FR"/>
              </w:rPr>
              <w:t xml:space="preserve"> et </w:t>
            </w:r>
            <w:proofErr w:type="spellStart"/>
            <w:r w:rsidRPr="00D744BF">
              <w:rPr>
                <w:lang w:val="fr-FR"/>
              </w:rPr>
              <w:t>Sinker</w:t>
            </w:r>
            <w:proofErr w:type="spellEnd"/>
            <w:r w:rsidRPr="00D744BF">
              <w:rPr>
                <w:lang w:val="fr-FR"/>
              </w:rPr>
              <w:t xml:space="preserve"> ne sont actuellement expliqués que dans la Partie 3. Il conviendrait d'ajouter des définitions au 1.2.1.</w:t>
            </w:r>
          </w:p>
        </w:tc>
      </w:tr>
      <w:tr w:rsidR="001321D4" w14:paraId="44B1AB52" w14:textId="77777777" w:rsidTr="00C0140E">
        <w:trPr>
          <w:jc w:val="center"/>
        </w:trPr>
        <w:tc>
          <w:tcPr>
            <w:tcW w:w="9628" w:type="dxa"/>
            <w:shd w:val="clear" w:color="auto" w:fill="auto"/>
          </w:tcPr>
          <w:p w14:paraId="0F838C7F" w14:textId="77777777" w:rsidR="001321D4" w:rsidRDefault="001321D4" w:rsidP="006E5E26"/>
        </w:tc>
      </w:tr>
    </w:tbl>
    <w:p w14:paraId="6C0C1332" w14:textId="5FFE4BE0" w:rsidR="00F6266F" w:rsidRPr="00F6266F" w:rsidRDefault="00C0140E" w:rsidP="00F6266F">
      <w:pPr>
        <w:pStyle w:val="HChG"/>
        <w:rPr>
          <w:lang w:val="fr-FR"/>
        </w:rPr>
      </w:pPr>
      <w:r>
        <w:rPr>
          <w:lang w:val="fr-FR"/>
        </w:rPr>
        <w:tab/>
      </w:r>
      <w:r w:rsidR="00F6266F">
        <w:rPr>
          <w:lang w:val="fr-FR"/>
        </w:rPr>
        <w:tab/>
      </w:r>
      <w:r w:rsidR="00F6266F">
        <w:rPr>
          <w:lang w:val="fr-FR"/>
        </w:rPr>
        <w:tab/>
      </w:r>
      <w:r w:rsidR="00F6266F" w:rsidRPr="00F6266F">
        <w:rPr>
          <w:lang w:val="fr-FR"/>
        </w:rPr>
        <w:t>Introduction</w:t>
      </w:r>
    </w:p>
    <w:p w14:paraId="6569FF6F" w14:textId="77777777" w:rsidR="00F6266F" w:rsidRPr="00F6266F" w:rsidRDefault="00F6266F" w:rsidP="00F6266F">
      <w:pPr>
        <w:pStyle w:val="SingleTxtG"/>
        <w:rPr>
          <w:lang w:val="fr-FR"/>
        </w:rPr>
      </w:pPr>
      <w:r w:rsidRPr="00F6266F">
        <w:rPr>
          <w:lang w:val="fr-FR"/>
        </w:rPr>
        <w:t>1.</w:t>
      </w:r>
      <w:r w:rsidRPr="00F6266F">
        <w:rPr>
          <w:lang w:val="fr-FR"/>
        </w:rPr>
        <w:tab/>
        <w:t>Les définitions figurant au 1.2.1 du règlement annexé à l'ADN contiennent une définition pour CMR qui renvoie à la Convention relative au contrat de transport international de marchandises par route. Cependant, dans l'ADN, l'abréviation CMR est principalement utilisée avec une signification différente.</w:t>
      </w:r>
    </w:p>
    <w:p w14:paraId="78B8B3E6" w14:textId="77777777" w:rsidR="00F6266F" w:rsidRPr="00F6266F" w:rsidRDefault="00F6266F" w:rsidP="00F6266F">
      <w:pPr>
        <w:pStyle w:val="SingleTxtG"/>
        <w:rPr>
          <w:lang w:val="fr-FR"/>
        </w:rPr>
      </w:pPr>
      <w:r w:rsidRPr="00F6266F">
        <w:rPr>
          <w:lang w:val="fr-FR"/>
        </w:rPr>
        <w:t>2.</w:t>
      </w:r>
      <w:r w:rsidRPr="00F6266F">
        <w:rPr>
          <w:lang w:val="fr-FR"/>
        </w:rPr>
        <w:tab/>
        <w:t xml:space="preserve">Le lecteur qui cherche la signification de CMR dans les définitions du 1.2.1 est induit en erreur. L'explication de la signification correcte de CMR dans le contexte des propriétés des matières figure actuellement au 3.2.3.1 dans l'explication relative aux entrées de la colonne (5) du tableau C et, de manière un peu plus détaillée, au 3.2.4.3, également </w:t>
      </w:r>
      <w:r w:rsidRPr="00F6266F">
        <w:rPr>
          <w:lang w:val="fr-FR"/>
        </w:rPr>
        <w:lastRenderedPageBreak/>
        <w:t>dans l'explication relative aux entrées de la colonne (5) du tableau C. Afin de faciliter l'utilisation de l'ADN, il conviendrait d'ajouter une définition au 1.2.1.</w:t>
      </w:r>
    </w:p>
    <w:p w14:paraId="393ACA6E" w14:textId="77777777" w:rsidR="00F6266F" w:rsidRPr="00F6266F" w:rsidRDefault="00F6266F" w:rsidP="00F6266F">
      <w:pPr>
        <w:pStyle w:val="SingleTxtG"/>
        <w:rPr>
          <w:lang w:val="fr-FR"/>
        </w:rPr>
      </w:pPr>
      <w:r w:rsidRPr="00F6266F">
        <w:rPr>
          <w:lang w:val="fr-FR"/>
        </w:rPr>
        <w:t>3.</w:t>
      </w:r>
      <w:r w:rsidRPr="00F6266F">
        <w:rPr>
          <w:lang w:val="fr-FR"/>
        </w:rPr>
        <w:tab/>
        <w:t>L'abréviation CMR au sens de la définition actuelle n'est utilisée qu'à trois endroits. La définition pourrait par conséquent être remplacée par des notes de bas de page à ces endroits.</w:t>
      </w:r>
    </w:p>
    <w:p w14:paraId="589FC8F7" w14:textId="4506995F" w:rsidR="00F6266F" w:rsidRPr="00F6266F" w:rsidRDefault="00F6266F" w:rsidP="00F6266F">
      <w:pPr>
        <w:pStyle w:val="SingleTxtG"/>
        <w:rPr>
          <w:lang w:val="fr-FR"/>
        </w:rPr>
      </w:pPr>
      <w:r w:rsidRPr="00F6266F">
        <w:rPr>
          <w:lang w:val="fr-FR"/>
        </w:rPr>
        <w:t>4.</w:t>
      </w:r>
      <w:r w:rsidRPr="00F6266F">
        <w:rPr>
          <w:lang w:val="fr-FR"/>
        </w:rPr>
        <w:tab/>
        <w:t>Les propriétés des matières pour N1, N2 et N3 ne sont actuellement définies qu'au 2.2.9.1.10.2. Il est toujours renvoyé à cette disposition dans les explications relatives à la colonne 5 du tableau C. Mais là aussi, il serait plus simple pour les utilisateurs que les termes figurent également parmi les définitions du 1.2.1.</w:t>
      </w:r>
    </w:p>
    <w:p w14:paraId="30A8CEDA" w14:textId="77777777" w:rsidR="00F6266F" w:rsidRPr="00F6266F" w:rsidRDefault="00F6266F" w:rsidP="00F6266F">
      <w:pPr>
        <w:pStyle w:val="SingleTxtG"/>
        <w:rPr>
          <w:lang w:val="fr-FR"/>
        </w:rPr>
      </w:pPr>
      <w:r w:rsidRPr="00F6266F">
        <w:rPr>
          <w:lang w:val="fr-FR"/>
        </w:rPr>
        <w:t>5.</w:t>
      </w:r>
      <w:r w:rsidRPr="00F6266F">
        <w:rPr>
          <w:lang w:val="fr-FR"/>
        </w:rPr>
        <w:tab/>
        <w:t xml:space="preserve">Les propriétés des matières pour les </w:t>
      </w:r>
      <w:proofErr w:type="spellStart"/>
      <w:r w:rsidRPr="00F6266F">
        <w:rPr>
          <w:lang w:val="fr-FR"/>
        </w:rPr>
        <w:t>Floater</w:t>
      </w:r>
      <w:proofErr w:type="spellEnd"/>
      <w:r w:rsidRPr="00F6266F">
        <w:rPr>
          <w:lang w:val="fr-FR"/>
        </w:rPr>
        <w:t xml:space="preserve"> et </w:t>
      </w:r>
      <w:proofErr w:type="spellStart"/>
      <w:r w:rsidRPr="00F6266F">
        <w:rPr>
          <w:lang w:val="fr-FR"/>
        </w:rPr>
        <w:t>Sinker</w:t>
      </w:r>
      <w:proofErr w:type="spellEnd"/>
      <w:r w:rsidRPr="00F6266F">
        <w:rPr>
          <w:lang w:val="fr-FR"/>
        </w:rPr>
        <w:t xml:space="preserve"> sont actuellement décrites dans la définition de « GESAMP » au 1.2.1 et au 2.2.9.1.10.5. Les explications relatives à la colonne (5) du tableau C au 3.2.3.1 n'indiquent pas où trouver les définitions de ces termes. Cependant, les 3.2.3.3 et 3.2.3.4 renvoient à la disposition du 2.2.9.1.10.5. Là encore, il serait plus simple pour les utilisateurs que ces termes soient définis au 1.2.1.</w:t>
      </w:r>
    </w:p>
    <w:p w14:paraId="3F9CA07B" w14:textId="77777777" w:rsidR="00F6266F" w:rsidRPr="00F6266F" w:rsidRDefault="00F6266F" w:rsidP="00F6266F">
      <w:pPr>
        <w:pStyle w:val="SingleTxtG"/>
        <w:rPr>
          <w:lang w:val="fr-FR"/>
        </w:rPr>
      </w:pPr>
      <w:r w:rsidRPr="00F6266F">
        <w:rPr>
          <w:lang w:val="fr-FR"/>
        </w:rPr>
        <w:t>6.</w:t>
      </w:r>
      <w:r w:rsidRPr="00F6266F">
        <w:rPr>
          <w:lang w:val="fr-FR"/>
        </w:rPr>
        <w:tab/>
        <w:t xml:space="preserve">Afin de limiter autant que possible les modifications, les définitions de N1, N2, N3, </w:t>
      </w:r>
      <w:proofErr w:type="spellStart"/>
      <w:r w:rsidRPr="00F6266F">
        <w:rPr>
          <w:lang w:val="fr-FR"/>
        </w:rPr>
        <w:t>Floater</w:t>
      </w:r>
      <w:proofErr w:type="spellEnd"/>
      <w:r w:rsidRPr="00F6266F">
        <w:rPr>
          <w:lang w:val="fr-FR"/>
        </w:rPr>
        <w:t xml:space="preserve"> et </w:t>
      </w:r>
      <w:proofErr w:type="spellStart"/>
      <w:r w:rsidRPr="00F6266F">
        <w:rPr>
          <w:lang w:val="fr-FR"/>
        </w:rPr>
        <w:t>Sinker</w:t>
      </w:r>
      <w:proofErr w:type="spellEnd"/>
      <w:r w:rsidRPr="00F6266F">
        <w:rPr>
          <w:lang w:val="fr-FR"/>
        </w:rPr>
        <w:t xml:space="preserve"> au 1.2.1 devraient renvoyer aux dispositions existantes du 2.2.9.1.10. Comme l'abréviation CMR n'est pas définie dans la Partie 2, elle devrait être définie au 1.2.1.</w:t>
      </w:r>
    </w:p>
    <w:p w14:paraId="0E47AE5B" w14:textId="77777777" w:rsidR="00F6266F" w:rsidRPr="00F6266F" w:rsidRDefault="00F6266F" w:rsidP="00F6266F">
      <w:pPr>
        <w:pStyle w:val="SingleTxtG"/>
        <w:rPr>
          <w:lang w:val="fr-FR"/>
        </w:rPr>
      </w:pPr>
      <w:r w:rsidRPr="00F6266F">
        <w:rPr>
          <w:lang w:val="fr-FR"/>
        </w:rPr>
        <w:t>7.</w:t>
      </w:r>
      <w:r w:rsidRPr="00F6266F">
        <w:rPr>
          <w:lang w:val="fr-FR"/>
        </w:rPr>
        <w:tab/>
        <w:t>L'utilisation des abréviations N1, N2 et N3, d'une part, et F et S, d'autre part, devrait être harmonisée dans la partie 3 en renvoyant également aux dispositions du 2.2.9.1.10.5 dans les explications relatives à F et S.</w:t>
      </w:r>
    </w:p>
    <w:p w14:paraId="44D96207" w14:textId="1D10AE61" w:rsidR="00F6266F" w:rsidRPr="00F6266F" w:rsidRDefault="00F6266F" w:rsidP="00F6266F">
      <w:pPr>
        <w:pStyle w:val="HChG"/>
        <w:rPr>
          <w:lang w:val="fr-FR"/>
        </w:rPr>
      </w:pPr>
      <w:r>
        <w:rPr>
          <w:lang w:val="fr-FR"/>
        </w:rPr>
        <w:tab/>
      </w:r>
      <w:r>
        <w:rPr>
          <w:lang w:val="fr-FR"/>
        </w:rPr>
        <w:tab/>
      </w:r>
      <w:r w:rsidRPr="00F6266F">
        <w:rPr>
          <w:lang w:val="fr-FR"/>
        </w:rPr>
        <w:t>Proposition</w:t>
      </w:r>
    </w:p>
    <w:p w14:paraId="29739FDA" w14:textId="77777777" w:rsidR="00F6266F" w:rsidRPr="00F6266F" w:rsidRDefault="00F6266F" w:rsidP="00F6266F">
      <w:pPr>
        <w:pStyle w:val="SingleTxtG"/>
        <w:rPr>
          <w:lang w:val="fr-FR"/>
        </w:rPr>
      </w:pPr>
      <w:r w:rsidRPr="00F6266F">
        <w:rPr>
          <w:lang w:val="fr-FR"/>
        </w:rPr>
        <w:t>8.</w:t>
      </w:r>
      <w:r w:rsidRPr="00F6266F">
        <w:rPr>
          <w:lang w:val="fr-FR"/>
        </w:rPr>
        <w:tab/>
        <w:t>Les entrées suivantes sont ajoutées aux définitions figurant au 1.2.1 du règlement annexé à l'ADN :</w:t>
      </w:r>
    </w:p>
    <w:p w14:paraId="4463BFBF" w14:textId="77777777" w:rsidR="00F6266F" w:rsidRPr="00F6266F" w:rsidRDefault="00F6266F" w:rsidP="008A1EFE">
      <w:pPr>
        <w:pStyle w:val="SingleTxtG"/>
        <w:ind w:left="1701"/>
        <w:rPr>
          <w:lang w:val="fr-FR"/>
        </w:rPr>
      </w:pPr>
      <w:r w:rsidRPr="00F6266F">
        <w:rPr>
          <w:lang w:val="fr-FR"/>
        </w:rPr>
        <w:t>« </w:t>
      </w:r>
      <w:r w:rsidRPr="00F6266F">
        <w:rPr>
          <w:b/>
          <w:i/>
          <w:lang w:val="fr-FR"/>
        </w:rPr>
        <w:t>CMR</w:t>
      </w:r>
      <w:r w:rsidRPr="00F6266F">
        <w:rPr>
          <w:lang w:val="fr-FR"/>
        </w:rPr>
        <w:t> » : désigne les matières ayant des effets à long terme sur la santé (catégories 1A et 1B selon les critères des chapitres 3.5, 3.6 et 3.7 du SGH</w:t>
      </w:r>
      <w:r w:rsidRPr="00F6266F">
        <w:rPr>
          <w:vertAlign w:val="superscript"/>
          <w:lang w:val="fr-FR"/>
        </w:rPr>
        <w:t>*)</w:t>
      </w:r>
      <w:r w:rsidRPr="00F6266F">
        <w:rPr>
          <w:lang w:val="fr-FR"/>
        </w:rPr>
        <w:t>). C signifie cancérigène, M signifie mutagène et R signifie reprotoxique.</w:t>
      </w:r>
    </w:p>
    <w:p w14:paraId="7645A7B3" w14:textId="77777777" w:rsidR="00F6266F" w:rsidRPr="00F6266F" w:rsidRDefault="00F6266F" w:rsidP="008A1EFE">
      <w:pPr>
        <w:pStyle w:val="SingleTxtG"/>
        <w:ind w:left="1701"/>
        <w:rPr>
          <w:lang w:val="fr-FR"/>
        </w:rPr>
      </w:pPr>
      <w:r w:rsidRPr="00F6266F">
        <w:rPr>
          <w:vertAlign w:val="superscript"/>
          <w:lang w:val="fr-FR"/>
        </w:rPr>
        <w:t>*)</w:t>
      </w:r>
      <w:r w:rsidRPr="00F6266F">
        <w:rPr>
          <w:lang w:val="fr-FR"/>
        </w:rPr>
        <w:t xml:space="preserve"> Étant donné qu’il n’existe pas encore de liste internationale officielle des matières CMR des catégories 1A et 1B, en attendant qu’une telle liste soit disponible, la liste des matières CMR des catégories 1A et 1B selon le Règlement (CE) no 1272/2008 du Parlement européen et du Conseil, tel que modifié, est applicable.».</w:t>
      </w:r>
    </w:p>
    <w:p w14:paraId="423F6199" w14:textId="77777777" w:rsidR="00F6266F" w:rsidRPr="00F6266F" w:rsidRDefault="00F6266F" w:rsidP="008A1EFE">
      <w:pPr>
        <w:pStyle w:val="SingleTxtG"/>
        <w:ind w:left="1701"/>
        <w:rPr>
          <w:lang w:val="fr-FR"/>
        </w:rPr>
      </w:pPr>
      <w:r w:rsidRPr="00F6266F">
        <w:rPr>
          <w:lang w:val="fr-FR"/>
        </w:rPr>
        <w:t>« </w:t>
      </w:r>
      <w:r w:rsidRPr="00F6266F">
        <w:rPr>
          <w:b/>
          <w:i/>
          <w:lang w:val="fr-FR"/>
        </w:rPr>
        <w:t>N1, N2, N3</w:t>
      </w:r>
      <w:r w:rsidRPr="00F6266F">
        <w:rPr>
          <w:b/>
          <w:lang w:val="fr-FR"/>
        </w:rPr>
        <w:t> </w:t>
      </w:r>
      <w:r w:rsidRPr="00F6266F">
        <w:rPr>
          <w:lang w:val="fr-FR"/>
        </w:rPr>
        <w:t>»</w:t>
      </w:r>
      <w:r w:rsidRPr="00F6266F">
        <w:rPr>
          <w:i/>
          <w:lang w:val="fr-FR"/>
        </w:rPr>
        <w:t xml:space="preserve"> </w:t>
      </w:r>
      <w:r w:rsidRPr="00F6266F">
        <w:rPr>
          <w:lang w:val="fr-FR"/>
        </w:rPr>
        <w:t>: groupes de matières qui, pour le transport à bord de bateaux-citernes, sont classées comme dangereuses pour l'environnement aquatique selon les critères du 2.2.9.1.10.2 ».</w:t>
      </w:r>
    </w:p>
    <w:p w14:paraId="7608FDC1" w14:textId="7F0197E4" w:rsidR="00F6266F" w:rsidRPr="00F6266F" w:rsidRDefault="00F6266F" w:rsidP="008A1EFE">
      <w:pPr>
        <w:pStyle w:val="SingleTxtG"/>
        <w:ind w:left="1701"/>
        <w:rPr>
          <w:lang w:val="fr-FR"/>
        </w:rPr>
      </w:pPr>
      <w:r w:rsidRPr="00F6266F">
        <w:rPr>
          <w:lang w:val="fr-FR"/>
        </w:rPr>
        <w:t>« </w:t>
      </w:r>
      <w:proofErr w:type="spellStart"/>
      <w:r w:rsidRPr="00F6266F">
        <w:rPr>
          <w:b/>
          <w:i/>
          <w:lang w:val="fr-FR"/>
        </w:rPr>
        <w:t>Floater</w:t>
      </w:r>
      <w:proofErr w:type="spellEnd"/>
      <w:r w:rsidRPr="00F6266F">
        <w:rPr>
          <w:lang w:val="fr-FR"/>
        </w:rPr>
        <w:t> » : une matière ou un mélange qui surnage à la surface de l'eau, ne s'évapore pas, est difficilement soluble dans l'eau et qui, pour le transport à bord de bateaux-citernes, est classée comme matière flottante (</w:t>
      </w:r>
      <w:proofErr w:type="spellStart"/>
      <w:r w:rsidRPr="00F6266F">
        <w:rPr>
          <w:lang w:val="fr-FR"/>
        </w:rPr>
        <w:t>Floater</w:t>
      </w:r>
      <w:proofErr w:type="spellEnd"/>
      <w:r w:rsidRPr="00F6266F">
        <w:rPr>
          <w:lang w:val="fr-FR"/>
        </w:rPr>
        <w:t>) selon les critères du 2.2.9.1.10.5. Dans le tableau C est utilisé le code F. ».</w:t>
      </w:r>
    </w:p>
    <w:p w14:paraId="43D1C601" w14:textId="77777777" w:rsidR="00F6266F" w:rsidRPr="00F6266F" w:rsidRDefault="00F6266F" w:rsidP="008A1EFE">
      <w:pPr>
        <w:pStyle w:val="SingleTxtG"/>
        <w:ind w:left="1701"/>
        <w:rPr>
          <w:lang w:val="fr-FR"/>
        </w:rPr>
      </w:pPr>
      <w:r w:rsidRPr="00F6266F">
        <w:rPr>
          <w:lang w:val="fr-FR"/>
        </w:rPr>
        <w:t>« </w:t>
      </w:r>
      <w:proofErr w:type="spellStart"/>
      <w:r w:rsidRPr="00F6266F">
        <w:rPr>
          <w:b/>
          <w:i/>
          <w:lang w:val="fr-FR"/>
        </w:rPr>
        <w:t>Sinker</w:t>
      </w:r>
      <w:proofErr w:type="spellEnd"/>
      <w:r w:rsidRPr="00F6266F">
        <w:rPr>
          <w:lang w:val="fr-FR"/>
        </w:rPr>
        <w:t> » : une matière ou un mélange qui sombre au fond de l'eau, est difficilement soluble dans l'eau et qui, pour le transport à bord de bateaux-citernes, est classée comme matière qui sombre (</w:t>
      </w:r>
      <w:proofErr w:type="spellStart"/>
      <w:r w:rsidRPr="00F6266F">
        <w:rPr>
          <w:lang w:val="fr-FR"/>
        </w:rPr>
        <w:t>Sinker</w:t>
      </w:r>
      <w:proofErr w:type="spellEnd"/>
      <w:r w:rsidRPr="00F6266F">
        <w:rPr>
          <w:lang w:val="fr-FR"/>
        </w:rPr>
        <w:t>) selon les critères du 2.2.9.1.10.5. Dans le tableau C est utilisé le code S. ».</w:t>
      </w:r>
    </w:p>
    <w:p w14:paraId="36D8253E" w14:textId="77777777" w:rsidR="00F6266F" w:rsidRPr="00F6266F" w:rsidRDefault="00F6266F" w:rsidP="00F6266F">
      <w:pPr>
        <w:pStyle w:val="SingleTxtG"/>
        <w:rPr>
          <w:lang w:val="fr-FR"/>
        </w:rPr>
      </w:pPr>
      <w:r w:rsidRPr="00F6266F">
        <w:rPr>
          <w:lang w:val="fr-FR"/>
        </w:rPr>
        <w:t>9.</w:t>
      </w:r>
      <w:r w:rsidRPr="00F6266F">
        <w:rPr>
          <w:lang w:val="fr-FR"/>
        </w:rPr>
        <w:tab/>
        <w:t>La définition actuelle de « CMR » est déplacée en note de bas de page pour « CMR » aux 3.5.6, 5.1.5.4.2 a), 5.5.3.7.1.</w:t>
      </w:r>
    </w:p>
    <w:p w14:paraId="7913C77F" w14:textId="77777777" w:rsidR="00F6266F" w:rsidRPr="00F6266F" w:rsidRDefault="00F6266F" w:rsidP="00F6266F">
      <w:pPr>
        <w:pStyle w:val="SingleTxtG"/>
        <w:rPr>
          <w:lang w:val="fr-FR"/>
        </w:rPr>
      </w:pPr>
      <w:r w:rsidRPr="00F6266F">
        <w:rPr>
          <w:lang w:val="fr-FR"/>
        </w:rPr>
        <w:t>10.</w:t>
      </w:r>
      <w:r w:rsidRPr="00F6266F">
        <w:rPr>
          <w:lang w:val="fr-FR"/>
        </w:rPr>
        <w:tab/>
        <w:t>Au 3.2.3.1, dans les explications relatives à la colonne (5), dans l'avant-dernier paragraphe, insérer avant le dernier point : « (voir 2.2.9.1.10.5) ».</w:t>
      </w:r>
    </w:p>
    <w:p w14:paraId="3CF49AFA" w14:textId="7EEEF590" w:rsidR="00F6266F" w:rsidRPr="00F6266F" w:rsidRDefault="00F6266F" w:rsidP="00F6266F">
      <w:pPr>
        <w:pStyle w:val="HChG"/>
        <w:rPr>
          <w:lang w:val="fr-FR"/>
        </w:rPr>
      </w:pPr>
      <w:r>
        <w:rPr>
          <w:lang w:val="fr-FR"/>
        </w:rPr>
        <w:lastRenderedPageBreak/>
        <w:tab/>
      </w:r>
      <w:r>
        <w:rPr>
          <w:lang w:val="fr-FR"/>
        </w:rPr>
        <w:tab/>
      </w:r>
      <w:r w:rsidRPr="00F6266F">
        <w:rPr>
          <w:lang w:val="fr-FR"/>
        </w:rPr>
        <w:t>Motif</w:t>
      </w:r>
    </w:p>
    <w:p w14:paraId="486E88B6" w14:textId="77777777" w:rsidR="00F6266F" w:rsidRPr="00F6266F" w:rsidRDefault="00F6266F" w:rsidP="00F6266F">
      <w:pPr>
        <w:pStyle w:val="SingleTxtG"/>
        <w:rPr>
          <w:lang w:val="fr-FR"/>
        </w:rPr>
      </w:pPr>
      <w:r w:rsidRPr="00F6266F">
        <w:rPr>
          <w:lang w:val="fr-FR"/>
        </w:rPr>
        <w:t>11.</w:t>
      </w:r>
      <w:r w:rsidRPr="00F6266F">
        <w:rPr>
          <w:lang w:val="fr-FR"/>
        </w:rPr>
        <w:tab/>
        <w:t xml:space="preserve">Les utilisateurs trouveront plus facilement la signification de CMR, N1, N2, N3, </w:t>
      </w:r>
      <w:proofErr w:type="spellStart"/>
      <w:r w:rsidRPr="00F6266F">
        <w:rPr>
          <w:lang w:val="fr-FR"/>
        </w:rPr>
        <w:t>Floater</w:t>
      </w:r>
      <w:proofErr w:type="spellEnd"/>
      <w:r w:rsidRPr="00F6266F">
        <w:rPr>
          <w:lang w:val="fr-FR"/>
        </w:rPr>
        <w:t xml:space="preserve"> (F) et </w:t>
      </w:r>
      <w:proofErr w:type="spellStart"/>
      <w:r w:rsidRPr="00F6266F">
        <w:rPr>
          <w:lang w:val="fr-FR"/>
        </w:rPr>
        <w:t>Sinker</w:t>
      </w:r>
      <w:proofErr w:type="spellEnd"/>
      <w:r w:rsidRPr="00F6266F">
        <w:rPr>
          <w:lang w:val="fr-FR"/>
        </w:rPr>
        <w:t xml:space="preserve"> (S).</w:t>
      </w:r>
    </w:p>
    <w:p w14:paraId="5C22AF9C" w14:textId="3EF7DD3E" w:rsidR="00F6266F" w:rsidRPr="00F6266F" w:rsidRDefault="00F6266F" w:rsidP="00F6266F">
      <w:pPr>
        <w:pStyle w:val="HChG"/>
        <w:rPr>
          <w:lang w:val="fr-FR"/>
        </w:rPr>
      </w:pPr>
      <w:r>
        <w:rPr>
          <w:lang w:val="fr-FR"/>
        </w:rPr>
        <w:tab/>
      </w:r>
      <w:r>
        <w:rPr>
          <w:lang w:val="fr-FR"/>
        </w:rPr>
        <w:tab/>
      </w:r>
      <w:r w:rsidRPr="00F6266F">
        <w:rPr>
          <w:lang w:val="fr-FR"/>
        </w:rPr>
        <w:t>Mise en œuvre</w:t>
      </w:r>
    </w:p>
    <w:p w14:paraId="5C6D9F96" w14:textId="77777777" w:rsidR="00F6266F" w:rsidRPr="00F6266F" w:rsidRDefault="00F6266F" w:rsidP="00F6266F">
      <w:pPr>
        <w:pStyle w:val="SingleTxtG"/>
        <w:rPr>
          <w:lang w:val="fr-FR"/>
        </w:rPr>
      </w:pPr>
      <w:r w:rsidRPr="00F6266F">
        <w:rPr>
          <w:lang w:val="fr-FR"/>
        </w:rPr>
        <w:t>12.</w:t>
      </w:r>
      <w:r w:rsidRPr="00F6266F">
        <w:rPr>
          <w:lang w:val="fr-FR"/>
        </w:rPr>
        <w:tab/>
        <w:t>Étant donné que ces modifications ne portent pas sur le fond, elles n'ont aucun impact financier.</w:t>
      </w:r>
    </w:p>
    <w:p w14:paraId="74902903" w14:textId="5548B31E" w:rsidR="00F6266F" w:rsidRPr="00F6266F" w:rsidRDefault="008A1EFE" w:rsidP="00F6266F">
      <w:pPr>
        <w:pStyle w:val="SingleTxtG"/>
        <w:rPr>
          <w:lang w:val="fr-FR"/>
        </w:rPr>
      </w:pPr>
      <w:r>
        <w:rPr>
          <w:lang w:val="fr-FR"/>
        </w:rPr>
        <w:t>13.</w:t>
      </w:r>
      <w:r>
        <w:rPr>
          <w:lang w:val="fr-FR"/>
        </w:rPr>
        <w:tab/>
      </w:r>
      <w:r w:rsidR="00F6266F" w:rsidRPr="00F6266F">
        <w:rPr>
          <w:lang w:val="fr-FR"/>
        </w:rPr>
        <w:t>Aucune prescription transitoire n'est nécessaire.</w:t>
      </w:r>
    </w:p>
    <w:p w14:paraId="2C254DD9" w14:textId="2A8C0AC5" w:rsidR="00F36321" w:rsidRPr="00AC1E8D" w:rsidRDefault="00AC1E8D" w:rsidP="00AC1E8D">
      <w:pPr>
        <w:spacing w:before="240"/>
        <w:jc w:val="center"/>
        <w:rPr>
          <w:u w:val="single"/>
        </w:rPr>
      </w:pPr>
      <w:r>
        <w:rPr>
          <w:u w:val="single"/>
        </w:rPr>
        <w:tab/>
      </w:r>
      <w:bookmarkStart w:id="0" w:name="_GoBack"/>
      <w:bookmarkEnd w:id="0"/>
      <w:r>
        <w:rPr>
          <w:u w:val="single"/>
        </w:rPr>
        <w:tab/>
      </w:r>
      <w:r>
        <w:rPr>
          <w:u w:val="single"/>
        </w:rPr>
        <w:tab/>
      </w:r>
    </w:p>
    <w:sectPr w:rsidR="00F36321" w:rsidRPr="00AC1E8D" w:rsidSect="00F662C1">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1453" w14:textId="77777777" w:rsidR="00995D6A" w:rsidRDefault="00995D6A" w:rsidP="00F95C08">
      <w:pPr>
        <w:spacing w:line="240" w:lineRule="auto"/>
      </w:pPr>
    </w:p>
  </w:endnote>
  <w:endnote w:type="continuationSeparator" w:id="0">
    <w:p w14:paraId="53753C43" w14:textId="77777777" w:rsidR="00995D6A" w:rsidRPr="00AC3823" w:rsidRDefault="00995D6A" w:rsidP="00AC3823">
      <w:pPr>
        <w:pStyle w:val="Pieddepage"/>
      </w:pPr>
    </w:p>
  </w:endnote>
  <w:endnote w:type="continuationNotice" w:id="1">
    <w:p w14:paraId="30D6C369" w14:textId="77777777" w:rsidR="00995D6A" w:rsidRDefault="00995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761514398"/>
      <w:docPartObj>
        <w:docPartGallery w:val="Page Numbers (Bottom of Page)"/>
        <w:docPartUnique/>
      </w:docPartObj>
    </w:sdtPr>
    <w:sdtEndPr>
      <w:rPr>
        <w:noProof/>
      </w:rPr>
    </w:sdtEndPr>
    <w:sdtContent>
      <w:p w14:paraId="2B4AF206" w14:textId="4031194C" w:rsidR="008A4819" w:rsidRPr="00C0140E" w:rsidRDefault="00C0140E" w:rsidP="00C0140E">
        <w:pPr>
          <w:pStyle w:val="Pieddepage"/>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sidRPr="00C0140E">
          <w:rPr>
            <w:b/>
            <w:bCs/>
            <w:noProof/>
            <w:sz w:val="18"/>
            <w:szCs w:val="22"/>
          </w:rPr>
          <w:t>2</w:t>
        </w:r>
        <w:r w:rsidRPr="00C0140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499181507"/>
      <w:docPartObj>
        <w:docPartGallery w:val="Page Numbers (Bottom of Page)"/>
        <w:docPartUnique/>
      </w:docPartObj>
    </w:sdtPr>
    <w:sdtEndPr>
      <w:rPr>
        <w:noProof/>
      </w:rPr>
    </w:sdtEndPr>
    <w:sdtContent>
      <w:p w14:paraId="5F69D454" w14:textId="0B7C1684" w:rsidR="008A4819" w:rsidRPr="00C0140E" w:rsidRDefault="00C0140E" w:rsidP="00C0140E">
        <w:pPr>
          <w:pStyle w:val="Pieddepage"/>
          <w:jc w:val="right"/>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Pr>
            <w:b/>
            <w:bCs/>
            <w:sz w:val="18"/>
            <w:szCs w:val="22"/>
          </w:rPr>
          <w:t>2</w:t>
        </w:r>
        <w:r w:rsidRPr="00C0140E">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B7F5" w14:textId="6F6D02BE" w:rsidR="008F7B78" w:rsidRPr="008F7B78" w:rsidRDefault="009C771B" w:rsidP="008F7B78">
    <w:pPr>
      <w:pStyle w:val="Pieddepage"/>
      <w:spacing w:before="120"/>
      <w:rPr>
        <w:sz w:val="20"/>
      </w:rPr>
    </w:pPr>
    <w:r w:rsidRPr="008F7B78">
      <w:rPr>
        <w:rFonts w:ascii="C39T30Lfz" w:hAnsi="C39T30Lfz"/>
        <w:noProof/>
        <w:sz w:val="56"/>
        <w:lang w:eastAsia="fr-CH"/>
      </w:rPr>
      <w:drawing>
        <wp:anchor distT="0" distB="0" distL="114300" distR="114300" simplePos="0" relativeHeight="251658240" behindDoc="0" locked="0" layoutInCell="1" allowOverlap="0" wp14:anchorId="109E4D75" wp14:editId="721CAA91">
          <wp:simplePos x="0" y="0"/>
          <wp:positionH relativeFrom="margin">
            <wp:posOffset>4306892</wp:posOffset>
          </wp:positionH>
          <wp:positionV relativeFrom="margin">
            <wp:posOffset>9195435</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B78">
      <w:rPr>
        <w:sz w:val="20"/>
      </w:rPr>
      <w:t>GE.20-14844  (F)</w:t>
    </w:r>
    <w:r>
      <w:rPr>
        <w:sz w:val="20"/>
      </w:rPr>
      <w:t xml:space="preserve">    091120    091120</w:t>
    </w:r>
    <w:r w:rsidR="008F7B78">
      <w:rPr>
        <w:sz w:val="20"/>
      </w:rPr>
      <w:br/>
    </w:r>
    <w:r w:rsidR="008F7B78" w:rsidRPr="008F7B78">
      <w:rPr>
        <w:rFonts w:ascii="C39T30Lfz" w:hAnsi="C39T30Lfz"/>
        <w:sz w:val="56"/>
      </w:rPr>
      <w:t>*2014844*</w:t>
    </w:r>
    <w:r w:rsidR="008F7B78">
      <w:rPr>
        <w:noProof/>
        <w:sz w:val="20"/>
      </w:rPr>
      <w:drawing>
        <wp:anchor distT="0" distB="0" distL="114300" distR="114300" simplePos="0" relativeHeight="251662848" behindDoc="0" locked="0" layoutInCell="1" allowOverlap="1" wp14:anchorId="22175BFF" wp14:editId="51C10045">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16D1" w14:textId="77777777" w:rsidR="00995D6A" w:rsidRPr="00AC3823" w:rsidRDefault="00995D6A" w:rsidP="00AC3823">
      <w:pPr>
        <w:pStyle w:val="Pieddepage"/>
        <w:tabs>
          <w:tab w:val="right" w:pos="2155"/>
        </w:tabs>
        <w:spacing w:after="80" w:line="240" w:lineRule="atLeast"/>
        <w:ind w:left="680"/>
        <w:rPr>
          <w:u w:val="single"/>
        </w:rPr>
      </w:pPr>
      <w:r>
        <w:rPr>
          <w:u w:val="single"/>
        </w:rPr>
        <w:tab/>
      </w:r>
    </w:p>
  </w:footnote>
  <w:footnote w:type="continuationSeparator" w:id="0">
    <w:p w14:paraId="10A4E744" w14:textId="77777777" w:rsidR="00995D6A" w:rsidRPr="00AC3823" w:rsidRDefault="00995D6A" w:rsidP="00AC3823">
      <w:pPr>
        <w:pStyle w:val="Pieddepage"/>
        <w:tabs>
          <w:tab w:val="right" w:pos="2155"/>
        </w:tabs>
        <w:spacing w:after="80" w:line="240" w:lineRule="atLeast"/>
        <w:ind w:left="680"/>
        <w:rPr>
          <w:u w:val="single"/>
        </w:rPr>
      </w:pPr>
      <w:r>
        <w:rPr>
          <w:u w:val="single"/>
        </w:rPr>
        <w:tab/>
      </w:r>
    </w:p>
  </w:footnote>
  <w:footnote w:type="continuationNotice" w:id="1">
    <w:p w14:paraId="0063AA59" w14:textId="77777777" w:rsidR="00995D6A" w:rsidRPr="00AC3823" w:rsidRDefault="00995D6A">
      <w:pPr>
        <w:spacing w:line="240" w:lineRule="auto"/>
        <w:rPr>
          <w:sz w:val="2"/>
          <w:szCs w:val="2"/>
        </w:rPr>
      </w:pPr>
    </w:p>
  </w:footnote>
  <w:footnote w:id="2">
    <w:p w14:paraId="22E6CB76" w14:textId="251BA613" w:rsidR="00F36321" w:rsidRPr="00BD650C" w:rsidRDefault="00F36321" w:rsidP="00F36321">
      <w:pPr>
        <w:pStyle w:val="Notedebasdepage"/>
      </w:pPr>
      <w:r>
        <w:rPr>
          <w:rStyle w:val="Appelnotedebasdep"/>
        </w:rPr>
        <w:tab/>
      </w:r>
      <w:r w:rsidRPr="00C60354">
        <w:rPr>
          <w:rStyle w:val="Appelnotedebasdep"/>
          <w:sz w:val="20"/>
        </w:rPr>
        <w:t>*</w:t>
      </w:r>
      <w:r>
        <w:rPr>
          <w:rStyle w:val="Appelnotedebasdep"/>
          <w:sz w:val="20"/>
          <w:vertAlign w:val="baseline"/>
        </w:rPr>
        <w:tab/>
      </w:r>
      <w:r w:rsidRPr="00904815">
        <w:rPr>
          <w:lang w:val="fr-FR"/>
        </w:rPr>
        <w:t>Diffusé en langue allemande par la Commission centrale pour la navigation du Rhin sous la cote CCNR</w:t>
      </w:r>
      <w:r w:rsidR="00E50C23">
        <w:rPr>
          <w:lang w:val="fr-FR"/>
        </w:rPr>
        <w:t>-</w:t>
      </w:r>
      <w:r w:rsidRPr="00904815">
        <w:rPr>
          <w:lang w:val="fr-FR"/>
        </w:rPr>
        <w:t>ZKR/ADN/WP.15/AC.2/202</w:t>
      </w:r>
      <w:r w:rsidR="00573FDB">
        <w:rPr>
          <w:lang w:val="fr-FR"/>
        </w:rPr>
        <w:t>1</w:t>
      </w:r>
      <w:r w:rsidRPr="00904815">
        <w:rPr>
          <w:lang w:val="fr-FR"/>
        </w:rPr>
        <w:t>/</w:t>
      </w:r>
      <w:r w:rsidR="00D744BF">
        <w:rPr>
          <w:lang w:val="fr-FR"/>
        </w:rPr>
        <w:t>2</w:t>
      </w:r>
      <w:r w:rsidRPr="00904815">
        <w:rPr>
          <w:lang w:val="fr-FR"/>
        </w:rPr>
        <w:t>.</w:t>
      </w:r>
    </w:p>
  </w:footnote>
  <w:footnote w:id="3">
    <w:p w14:paraId="0B1844A3" w14:textId="33244F19" w:rsidR="00F36321" w:rsidRPr="00C60354" w:rsidRDefault="00F36321" w:rsidP="00F36321">
      <w:pPr>
        <w:pStyle w:val="Notedebasdepage"/>
      </w:pPr>
      <w:r w:rsidRPr="00C60354">
        <w:rPr>
          <w:rStyle w:val="Appelnotedebasdep"/>
        </w:rPr>
        <w:tab/>
      </w:r>
      <w:r w:rsidRPr="00C60354">
        <w:rPr>
          <w:rStyle w:val="Appelnotedebasdep"/>
          <w:sz w:val="20"/>
        </w:rPr>
        <w:t>**</w:t>
      </w:r>
      <w:r>
        <w:rPr>
          <w:rStyle w:val="Appelnotedebasdep"/>
          <w:sz w:val="20"/>
          <w:vertAlign w:val="baseline"/>
        </w:rPr>
        <w:tab/>
      </w:r>
      <w:r w:rsidRPr="00274FFA">
        <w:t>Conformément au programme de travail du Comité des transports intérieurs pour 202</w:t>
      </w:r>
      <w:r w:rsidR="00A07373">
        <w:t>0</w:t>
      </w:r>
      <w:r w:rsidRPr="00274FFA">
        <w:t xml:space="preserve"> tel qu’il figure dans le projet de budget-programme pour 202</w:t>
      </w:r>
      <w:r w:rsidR="00A07373">
        <w:t>0</w:t>
      </w:r>
      <w:r w:rsidRPr="00274FFA">
        <w:t xml:space="preserve"> (A/7</w:t>
      </w:r>
      <w:r w:rsidR="00A07373">
        <w:t>4</w:t>
      </w:r>
      <w:r w:rsidRPr="00274FFA">
        <w:t>/</w:t>
      </w:r>
      <w:r w:rsidR="00656C89">
        <w:t>6</w:t>
      </w:r>
      <w:r w:rsidRPr="00274FFA">
        <w:t xml:space="preserve"> (titre V, chap. 20), par. 20.</w:t>
      </w:r>
      <w:r w:rsidR="00A07373">
        <w:t>37</w:t>
      </w:r>
      <w:r w:rsidRPr="00274FFA">
        <w:t>)</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1FF" w14:textId="63BAC56F" w:rsidR="008A4819" w:rsidRPr="00C0140E" w:rsidRDefault="008A4819" w:rsidP="00C0140E">
    <w:pPr>
      <w:pBdr>
        <w:bottom w:val="single" w:sz="4" w:space="1" w:color="auto"/>
      </w:pBdr>
      <w:rPr>
        <w:b/>
        <w:bCs/>
        <w:sz w:val="18"/>
        <w:szCs w:val="18"/>
      </w:rPr>
    </w:pPr>
    <w:r w:rsidRPr="00C0140E">
      <w:rPr>
        <w:b/>
        <w:bCs/>
        <w:noProof/>
        <w:sz w:val="18"/>
        <w:szCs w:val="18"/>
      </w:rPr>
      <mc:AlternateContent>
        <mc:Choice Requires="wps">
          <w:drawing>
            <wp:anchor distT="0" distB="0" distL="114300" distR="114300" simplePos="0" relativeHeight="251658752" behindDoc="0" locked="0" layoutInCell="1" allowOverlap="1" wp14:anchorId="6FD4D673" wp14:editId="3F114CE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BB3AECB" w14:textId="500C44F1" w:rsidR="008A4819" w:rsidRPr="00400B8B" w:rsidRDefault="00995D6A" w:rsidP="008A4819">
                          <w:pPr>
                            <w:pStyle w:val="En-tte"/>
                          </w:pPr>
                          <w:fldSimple w:instr=" TITLE  \* MERGEFORMAT ">
                            <w:r w:rsidR="00003C06">
                              <w:t>ECE/TRANS/WP.15/AC.2/2021/2</w:t>
                            </w:r>
                          </w:fldSimple>
                        </w:p>
                        <w:p w14:paraId="792796DD"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D4D673" id="_x0000_t202" coordsize="21600,21600" o:spt="202" path="m,l,21600r21600,l21600,xe">
              <v:stroke joinstyle="miter"/>
              <v:path gradientshapeok="t" o:connecttype="rect"/>
            </v:shapetype>
            <v:shape id="Text Box 5" o:spid="_x0000_s1026" type="#_x0000_t202" style="position:absolute;margin-left:782.35pt;margin-top:0;width:17pt;height:481.9pt;z-index:251658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0BB3AECB" w14:textId="500C44F1" w:rsidR="008A4819" w:rsidRPr="00400B8B" w:rsidRDefault="00995D6A" w:rsidP="008A4819">
                    <w:pPr>
                      <w:pStyle w:val="En-tte"/>
                    </w:pPr>
                    <w:fldSimple w:instr=" TITLE  \* MERGEFORMAT ">
                      <w:r w:rsidR="00003C06">
                        <w:t>ECE/TRANS/WP.15/AC.2/2021/2</w:t>
                      </w:r>
                    </w:fldSimple>
                  </w:p>
                  <w:p w14:paraId="792796DD" w14:textId="77777777" w:rsidR="008A4819" w:rsidRDefault="008A4819"/>
                </w:txbxContent>
              </v:textbox>
              <w10:wrap anchorx="page" anchory="margin"/>
            </v:shape>
          </w:pict>
        </mc:Fallback>
      </mc:AlternateContent>
    </w:r>
    <w:r w:rsidR="00C0140E" w:rsidRPr="00C0140E">
      <w:rPr>
        <w:b/>
        <w:bCs/>
        <w:sz w:val="18"/>
        <w:szCs w:val="18"/>
      </w:rPr>
      <w:t>ECE/TRANS/WP.15/AC.2/2021/</w:t>
    </w:r>
    <w:r w:rsidR="00D744BF">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E6D7" w14:textId="06B05799" w:rsidR="008A4819" w:rsidRPr="00C0140E" w:rsidRDefault="00C0140E" w:rsidP="00C0140E">
    <w:pPr>
      <w:pBdr>
        <w:bottom w:val="single" w:sz="4" w:space="1" w:color="auto"/>
      </w:pBdr>
      <w:jc w:val="right"/>
      <w:rPr>
        <w:b/>
        <w:bCs/>
        <w:sz w:val="18"/>
        <w:szCs w:val="18"/>
      </w:rPr>
    </w:pPr>
    <w:r w:rsidRPr="00C0140E">
      <w:rPr>
        <w:b/>
        <w:bCs/>
        <w:noProof/>
        <w:sz w:val="18"/>
        <w:szCs w:val="18"/>
      </w:rPr>
      <mc:AlternateContent>
        <mc:Choice Requires="wps">
          <w:drawing>
            <wp:anchor distT="0" distB="0" distL="114300" distR="114300" simplePos="0" relativeHeight="251661824" behindDoc="0" locked="0" layoutInCell="1" allowOverlap="1" wp14:anchorId="504FAA39" wp14:editId="1B4238FB">
              <wp:simplePos x="0" y="0"/>
              <wp:positionH relativeFrom="page">
                <wp:posOffset>9935845</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C5A1A3" w14:textId="636238A3" w:rsidR="00C0140E" w:rsidRPr="00400B8B" w:rsidRDefault="00995D6A" w:rsidP="00C0140E">
                          <w:pPr>
                            <w:pStyle w:val="En-tte"/>
                          </w:pPr>
                          <w:fldSimple w:instr=" TITLE  \* MERGEFORMAT ">
                            <w:r w:rsidR="00003C06">
                              <w:t>ECE/TRANS/WP.15/AC.2/2021/2</w:t>
                            </w:r>
                          </w:fldSimple>
                        </w:p>
                        <w:p w14:paraId="01D6DC7C" w14:textId="77777777" w:rsidR="00C0140E" w:rsidRDefault="00C0140E" w:rsidP="00C014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4FAA39" id="_x0000_t202" coordsize="21600,21600" o:spt="202" path="m,l,21600r21600,l21600,xe">
              <v:stroke joinstyle="miter"/>
              <v:path gradientshapeok="t" o:connecttype="rect"/>
            </v:shapetype>
            <v:shape id="Text Box 1" o:spid="_x0000_s1027" type="#_x0000_t202" style="position:absolute;left:0;text-align:left;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Sp7CnE8CAACs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5DC5A1A3" w14:textId="636238A3" w:rsidR="00C0140E" w:rsidRPr="00400B8B" w:rsidRDefault="00995D6A" w:rsidP="00C0140E">
                    <w:pPr>
                      <w:pStyle w:val="En-tte"/>
                    </w:pPr>
                    <w:fldSimple w:instr=" TITLE  \* MERGEFORMAT ">
                      <w:r w:rsidR="00003C06">
                        <w:t>ECE/TRANS/WP.15/AC.2/2021/2</w:t>
                      </w:r>
                    </w:fldSimple>
                  </w:p>
                  <w:p w14:paraId="01D6DC7C" w14:textId="77777777" w:rsidR="00C0140E" w:rsidRDefault="00C0140E" w:rsidP="00C0140E"/>
                </w:txbxContent>
              </v:textbox>
              <w10:wrap anchorx="page" anchory="margin"/>
            </v:shape>
          </w:pict>
        </mc:Fallback>
      </mc:AlternateContent>
    </w:r>
    <w:r w:rsidRPr="00C0140E">
      <w:rPr>
        <w:b/>
        <w:bCs/>
        <w:sz w:val="18"/>
        <w:szCs w:val="18"/>
      </w:rPr>
      <w:t>ECE/TRANS/WP.15/AC.2/2021/</w:t>
    </w:r>
    <w:r w:rsidR="008A4819">
      <w:rPr>
        <w:noProof/>
      </w:rPr>
      <mc:AlternateContent>
        <mc:Choice Requires="wps">
          <w:drawing>
            <wp:anchor distT="0" distB="0" distL="114300" distR="114300" simplePos="0" relativeHeight="251655680" behindDoc="0" locked="0" layoutInCell="1" allowOverlap="1" wp14:anchorId="31CD1A0A" wp14:editId="4340AF4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4DB7A6" w14:textId="575F994E" w:rsidR="008A4819" w:rsidRPr="00400B8B" w:rsidRDefault="00995D6A" w:rsidP="008A4819">
                          <w:pPr>
                            <w:pStyle w:val="En-tte"/>
                            <w:jc w:val="right"/>
                          </w:pPr>
                          <w:fldSimple w:instr=" TITLE  \* MERGEFORMAT ">
                            <w:r w:rsidR="00003C06">
                              <w:t>ECE/TRANS/WP.15/AC.2/2021/2</w:t>
                            </w:r>
                          </w:fldSimple>
                        </w:p>
                        <w:p w14:paraId="14D2EF4A"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1CD1A0A" id="Text Box 2" o:spid="_x0000_s1028" type="#_x0000_t202" style="position:absolute;left:0;text-align:left;margin-left:782.35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IDiQIAACs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j0MFWtKsuTpggp6HDQhO&#10;3bTI95ZCfCAPyqNerHG8x1EbRlJ8lKRo2H//kz75lzKdqAIrhAZ925JHTeaLBUcBGUfBj8J6FOy2&#10;u2LMaooHwqks4oKPZhRrz90TtnuZosBEViGTUiLaIF7FYZHxOii9XGYnbJWjeGtXTiXoxI00l8f+&#10;ibw7MiuCk3c8LhfNXxFs8E03LS+3kes2s++li8d2YyMzf46vR1r5n/+z18sbt/gB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E4vcgOJAgAAKwUAAA4AAAAAAAAAAAAAAAAALgIAAGRycy9lMm9Eb2MueG1sUEsBAi0AFAAGAAgA&#10;AAAhAGFZMmLcAAAACgEAAA8AAAAAAAAAAAAAAAAA4wQAAGRycy9kb3ducmV2LnhtbFBLBQYAAAAA&#10;BAAEAPMAAADsBQAAAAA=&#10;" fillcolor="#4f81bd [3204]" stroked="f" strokeweight=".5pt">
              <v:fill opacity="0"/>
              <v:stroke joinstyle="round"/>
              <v:textbox style="layout-flow:vertical" inset="0,0,0,0">
                <w:txbxContent>
                  <w:p w14:paraId="714DB7A6" w14:textId="575F994E" w:rsidR="008A4819" w:rsidRPr="00400B8B" w:rsidRDefault="00995D6A" w:rsidP="008A4819">
                    <w:pPr>
                      <w:pStyle w:val="En-tte"/>
                      <w:jc w:val="right"/>
                    </w:pPr>
                    <w:fldSimple w:instr=" TITLE  \* MERGEFORMAT ">
                      <w:r w:rsidR="00003C06">
                        <w:t>ECE/TRANS/WP.15/AC.2/2021/2</w:t>
                      </w:r>
                    </w:fldSimple>
                  </w:p>
                  <w:p w14:paraId="14D2EF4A" w14:textId="77777777" w:rsidR="008A4819" w:rsidRDefault="008A4819"/>
                </w:txbxContent>
              </v:textbox>
              <w10:wrap anchorx="page" anchory="margin"/>
            </v:shape>
          </w:pict>
        </mc:Fallback>
      </mc:AlternateContent>
    </w:r>
    <w:r w:rsidR="00D744BF">
      <w:rPr>
        <w:b/>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58A"/>
    <w:multiLevelType w:val="hybridMultilevel"/>
    <w:tmpl w:val="BEFE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C16EB5"/>
    <w:multiLevelType w:val="hybridMultilevel"/>
    <w:tmpl w:val="C6A8A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86788E"/>
    <w:multiLevelType w:val="hybridMultilevel"/>
    <w:tmpl w:val="B672C1A8"/>
    <w:lvl w:ilvl="0" w:tplc="5CF2063A">
      <w:start w:val="1"/>
      <w:numFmt w:val="decimal"/>
      <w:lvlText w:val="%1."/>
      <w:lvlJc w:val="left"/>
      <w:pPr>
        <w:ind w:left="1710" w:hanging="576"/>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00B8B"/>
    <w:rsid w:val="00003C06"/>
    <w:rsid w:val="0001207F"/>
    <w:rsid w:val="00017F94"/>
    <w:rsid w:val="00023842"/>
    <w:rsid w:val="000334F9"/>
    <w:rsid w:val="0007796D"/>
    <w:rsid w:val="000942EE"/>
    <w:rsid w:val="000A52BF"/>
    <w:rsid w:val="000B7790"/>
    <w:rsid w:val="000D3EE9"/>
    <w:rsid w:val="000D62F3"/>
    <w:rsid w:val="00111F2F"/>
    <w:rsid w:val="001321D4"/>
    <w:rsid w:val="001433FD"/>
    <w:rsid w:val="0014365E"/>
    <w:rsid w:val="001541D3"/>
    <w:rsid w:val="00176178"/>
    <w:rsid w:val="00183B89"/>
    <w:rsid w:val="001B1C10"/>
    <w:rsid w:val="001D400F"/>
    <w:rsid w:val="001F525A"/>
    <w:rsid w:val="00223272"/>
    <w:rsid w:val="0023215B"/>
    <w:rsid w:val="00240333"/>
    <w:rsid w:val="0024779E"/>
    <w:rsid w:val="00275408"/>
    <w:rsid w:val="002832AC"/>
    <w:rsid w:val="002D7C93"/>
    <w:rsid w:val="00315233"/>
    <w:rsid w:val="00347691"/>
    <w:rsid w:val="00356169"/>
    <w:rsid w:val="0037241C"/>
    <w:rsid w:val="003819FF"/>
    <w:rsid w:val="00400B8B"/>
    <w:rsid w:val="004342FC"/>
    <w:rsid w:val="00441C3B"/>
    <w:rsid w:val="00446B0A"/>
    <w:rsid w:val="00446FE5"/>
    <w:rsid w:val="00452396"/>
    <w:rsid w:val="00461BBA"/>
    <w:rsid w:val="00465F50"/>
    <w:rsid w:val="004676E4"/>
    <w:rsid w:val="0049687C"/>
    <w:rsid w:val="004E468C"/>
    <w:rsid w:val="00504590"/>
    <w:rsid w:val="005316B0"/>
    <w:rsid w:val="005505B7"/>
    <w:rsid w:val="00573BE5"/>
    <w:rsid w:val="00573FDB"/>
    <w:rsid w:val="00576180"/>
    <w:rsid w:val="00586ED3"/>
    <w:rsid w:val="00596AA9"/>
    <w:rsid w:val="005A7F24"/>
    <w:rsid w:val="005B4D0F"/>
    <w:rsid w:val="005E7EB4"/>
    <w:rsid w:val="006166A7"/>
    <w:rsid w:val="0063409E"/>
    <w:rsid w:val="00656C89"/>
    <w:rsid w:val="00663D17"/>
    <w:rsid w:val="00703D0F"/>
    <w:rsid w:val="00706363"/>
    <w:rsid w:val="007069F5"/>
    <w:rsid w:val="0071601D"/>
    <w:rsid w:val="00734511"/>
    <w:rsid w:val="0073510B"/>
    <w:rsid w:val="00793210"/>
    <w:rsid w:val="007A62E6"/>
    <w:rsid w:val="007D7587"/>
    <w:rsid w:val="0080684C"/>
    <w:rsid w:val="008204DA"/>
    <w:rsid w:val="00830355"/>
    <w:rsid w:val="00866724"/>
    <w:rsid w:val="00871C75"/>
    <w:rsid w:val="008767E8"/>
    <w:rsid w:val="008776DC"/>
    <w:rsid w:val="00883605"/>
    <w:rsid w:val="008A1EFE"/>
    <w:rsid w:val="008A4819"/>
    <w:rsid w:val="008E6043"/>
    <w:rsid w:val="008F7B78"/>
    <w:rsid w:val="00961E7B"/>
    <w:rsid w:val="009705C8"/>
    <w:rsid w:val="00980026"/>
    <w:rsid w:val="00995D6A"/>
    <w:rsid w:val="009C1CF4"/>
    <w:rsid w:val="009C771B"/>
    <w:rsid w:val="009F02C9"/>
    <w:rsid w:val="00A07373"/>
    <w:rsid w:val="00A30353"/>
    <w:rsid w:val="00A3244A"/>
    <w:rsid w:val="00A62D91"/>
    <w:rsid w:val="00A90D54"/>
    <w:rsid w:val="00AA113A"/>
    <w:rsid w:val="00AB208F"/>
    <w:rsid w:val="00AC1E8D"/>
    <w:rsid w:val="00AC3823"/>
    <w:rsid w:val="00AE323C"/>
    <w:rsid w:val="00AF774C"/>
    <w:rsid w:val="00B00181"/>
    <w:rsid w:val="00B00B0D"/>
    <w:rsid w:val="00B40927"/>
    <w:rsid w:val="00B50E25"/>
    <w:rsid w:val="00B64918"/>
    <w:rsid w:val="00B765F7"/>
    <w:rsid w:val="00BA0CA9"/>
    <w:rsid w:val="00C0140E"/>
    <w:rsid w:val="00C02897"/>
    <w:rsid w:val="00C4426C"/>
    <w:rsid w:val="00C67126"/>
    <w:rsid w:val="00C7616F"/>
    <w:rsid w:val="00CB16B5"/>
    <w:rsid w:val="00CD205D"/>
    <w:rsid w:val="00CE0608"/>
    <w:rsid w:val="00D245EB"/>
    <w:rsid w:val="00D3439C"/>
    <w:rsid w:val="00D3775F"/>
    <w:rsid w:val="00D4279C"/>
    <w:rsid w:val="00D44CF3"/>
    <w:rsid w:val="00D744BF"/>
    <w:rsid w:val="00D8684D"/>
    <w:rsid w:val="00DB1831"/>
    <w:rsid w:val="00DD3BFD"/>
    <w:rsid w:val="00DE239D"/>
    <w:rsid w:val="00DE3699"/>
    <w:rsid w:val="00DF0B00"/>
    <w:rsid w:val="00DF431C"/>
    <w:rsid w:val="00DF6678"/>
    <w:rsid w:val="00E07AEB"/>
    <w:rsid w:val="00E16F6D"/>
    <w:rsid w:val="00E50C23"/>
    <w:rsid w:val="00E57615"/>
    <w:rsid w:val="00E6122C"/>
    <w:rsid w:val="00E90986"/>
    <w:rsid w:val="00EA62E8"/>
    <w:rsid w:val="00ED708C"/>
    <w:rsid w:val="00EF2E22"/>
    <w:rsid w:val="00F0592C"/>
    <w:rsid w:val="00F06ED4"/>
    <w:rsid w:val="00F36321"/>
    <w:rsid w:val="00F43289"/>
    <w:rsid w:val="00F6266F"/>
    <w:rsid w:val="00F64210"/>
    <w:rsid w:val="00F660DF"/>
    <w:rsid w:val="00F662C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C722BC"/>
  <w15:docId w15:val="{3DE6995E-9201-4625-8EA2-A8CC603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Mentionnonrsolue">
    <w:name w:val="Unresolved Mention"/>
    <w:basedOn w:val="Policepardfaut"/>
    <w:uiPriority w:val="99"/>
    <w:semiHidden/>
    <w:unhideWhenUsed/>
    <w:rsid w:val="00734511"/>
    <w:rPr>
      <w:color w:val="605E5C"/>
      <w:shd w:val="clear" w:color="auto" w:fill="E1DFDD"/>
    </w:rPr>
  </w:style>
  <w:style w:type="paragraph" w:styleId="Paragraphedeliste">
    <w:name w:val="List Paragraph"/>
    <w:basedOn w:val="Normal"/>
    <w:uiPriority w:val="34"/>
    <w:qFormat/>
    <w:rsid w:val="008A4819"/>
    <w:pPr>
      <w:kinsoku/>
      <w:overflowPunct/>
      <w:autoSpaceDE/>
      <w:autoSpaceDN/>
      <w:adjustRightInd/>
      <w:snapToGrid/>
      <w:ind w:left="720"/>
      <w:contextualSpacing/>
    </w:pPr>
    <w:rPr>
      <w:lang w:val="fr-FR" w:eastAsia="en-US"/>
    </w:rPr>
  </w:style>
  <w:style w:type="character" w:styleId="Marquedecommentaire">
    <w:name w:val="annotation reference"/>
    <w:basedOn w:val="Policepardfaut"/>
    <w:uiPriority w:val="99"/>
    <w:semiHidden/>
    <w:unhideWhenUsed/>
    <w:rsid w:val="00EA62E8"/>
    <w:rPr>
      <w:sz w:val="16"/>
      <w:szCs w:val="16"/>
    </w:rPr>
  </w:style>
  <w:style w:type="paragraph" w:styleId="Commentaire">
    <w:name w:val="annotation text"/>
    <w:basedOn w:val="Normal"/>
    <w:link w:val="CommentaireCar"/>
    <w:uiPriority w:val="99"/>
    <w:semiHidden/>
    <w:unhideWhenUsed/>
    <w:rsid w:val="00EA62E8"/>
    <w:pPr>
      <w:spacing w:line="240" w:lineRule="auto"/>
    </w:pPr>
  </w:style>
  <w:style w:type="character" w:customStyle="1" w:styleId="CommentaireCar">
    <w:name w:val="Commentaire Car"/>
    <w:basedOn w:val="Policepardfaut"/>
    <w:link w:val="Commentaire"/>
    <w:uiPriority w:val="99"/>
    <w:semiHidden/>
    <w:rsid w:val="00EA62E8"/>
  </w:style>
  <w:style w:type="paragraph" w:styleId="Objetducommentaire">
    <w:name w:val="annotation subject"/>
    <w:basedOn w:val="Commentaire"/>
    <w:next w:val="Commentaire"/>
    <w:link w:val="ObjetducommentaireCar"/>
    <w:uiPriority w:val="99"/>
    <w:semiHidden/>
    <w:unhideWhenUsed/>
    <w:rsid w:val="00EA62E8"/>
    <w:rPr>
      <w:b/>
      <w:bCs/>
    </w:rPr>
  </w:style>
  <w:style w:type="character" w:customStyle="1" w:styleId="ObjetducommentaireCar">
    <w:name w:val="Objet du commentaire Car"/>
    <w:basedOn w:val="CommentaireCar"/>
    <w:link w:val="Objetducommentaire"/>
    <w:uiPriority w:val="99"/>
    <w:semiHidden/>
    <w:rsid w:val="00EA6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1C2-F7B1-4BBE-9BF8-93441FFBBA94}">
  <ds:schemaRefs>
    <ds:schemaRef ds:uri="http://schemas.microsoft.com/sharepoint/v3/contenttype/forms"/>
  </ds:schemaRefs>
</ds:datastoreItem>
</file>

<file path=customXml/itemProps2.xml><?xml version="1.0" encoding="utf-8"?>
<ds:datastoreItem xmlns:ds="http://schemas.openxmlformats.org/officeDocument/2006/customXml" ds:itemID="{AACFCDE1-D3D7-4F85-8863-977A09DA0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711FA-CB8F-4F0B-A6CE-74922100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A08DC-F55E-46B3-91ED-7E22159B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4415</Characters>
  <Application>Microsoft Office Word</Application>
  <DocSecurity>0</DocSecurity>
  <Lines>91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ECE/TRANS/WP.15/AC.2/2020/32</vt:lpstr>
      <vt:lpstr>ECE/EX/22</vt:lpstr>
    </vt:vector>
  </TitlesOfParts>
  <Company>DCM</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dc:title>
  <dc:subject>FINAL</dc:subject>
  <dc:creator>Secretariat</dc:creator>
  <cp:keywords/>
  <dc:description/>
  <cp:lastModifiedBy>Christine Chautagnat</cp:lastModifiedBy>
  <cp:revision>3</cp:revision>
  <cp:lastPrinted>2020-11-09T15:03:00Z</cp:lastPrinted>
  <dcterms:created xsi:type="dcterms:W3CDTF">2020-11-09T15:03:00Z</dcterms:created>
  <dcterms:modified xsi:type="dcterms:W3CDTF">2020-11-09T15:04:00Z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18232600</vt:r8>
  </property>
</Properties>
</file>