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6C6596E7" w:rsidR="00277F70" w:rsidRPr="009C033F"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bookmarkStart w:id="0" w:name="_GoBack"/>
      <w:bookmarkEnd w:id="0"/>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9C033F">
        <w:rPr>
          <w:rFonts w:ascii="Arial" w:eastAsia="Arial" w:hAnsi="Arial" w:cs="Arial"/>
          <w:bCs/>
          <w:szCs w:val="24"/>
          <w:lang w:val="en-GB" w:eastAsia="de-DE"/>
        </w:rPr>
        <w:t>CCNR-ZKR/ADN/WP.15/AC.2/202</w:t>
      </w:r>
      <w:r w:rsidR="00AE0AFB">
        <w:rPr>
          <w:rFonts w:ascii="Arial" w:eastAsia="Arial" w:hAnsi="Arial" w:cs="Arial"/>
          <w:bCs/>
          <w:szCs w:val="24"/>
          <w:lang w:val="en-GB" w:eastAsia="de-DE"/>
        </w:rPr>
        <w:t>1</w:t>
      </w:r>
      <w:r w:rsidRPr="009C033F">
        <w:rPr>
          <w:rFonts w:ascii="Arial" w:eastAsia="Arial" w:hAnsi="Arial" w:cs="Arial"/>
          <w:bCs/>
          <w:szCs w:val="24"/>
          <w:lang w:val="en-GB" w:eastAsia="de-DE"/>
        </w:rPr>
        <w:t>/</w:t>
      </w:r>
      <w:r w:rsidR="005E13D8">
        <w:rPr>
          <w:rFonts w:ascii="Arial" w:eastAsia="Arial" w:hAnsi="Arial" w:cs="Arial"/>
          <w:bCs/>
          <w:szCs w:val="24"/>
          <w:lang w:val="en-GB" w:eastAsia="de-DE"/>
        </w:rPr>
        <w:t>1</w:t>
      </w:r>
    </w:p>
    <w:p w14:paraId="20DAC2EC" w14:textId="77777777" w:rsidR="00277F70" w:rsidRPr="00B041A6"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0374A1B1" w14:textId="120B5169" w:rsidR="00277F70" w:rsidRPr="00B041A6" w:rsidRDefault="005E13D8"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9</w:t>
      </w:r>
      <w:r w:rsidR="00863D48">
        <w:rPr>
          <w:rFonts w:ascii="Arial" w:eastAsia="Arial" w:hAnsi="Arial" w:cs="Arial"/>
          <w:szCs w:val="24"/>
          <w:lang w:eastAsia="de-DE"/>
        </w:rPr>
        <w:t xml:space="preserve">. </w:t>
      </w:r>
      <w:r>
        <w:rPr>
          <w:rFonts w:ascii="Arial" w:eastAsia="Arial" w:hAnsi="Arial" w:cs="Arial"/>
          <w:szCs w:val="24"/>
          <w:lang w:eastAsia="de-DE"/>
        </w:rPr>
        <w:t>November</w:t>
      </w:r>
      <w:r w:rsidR="00277F70">
        <w:rPr>
          <w:rFonts w:ascii="Arial" w:eastAsia="Arial" w:hAnsi="Arial" w:cs="Arial"/>
          <w:szCs w:val="24"/>
          <w:lang w:eastAsia="de-DE"/>
        </w:rPr>
        <w:t xml:space="preserve"> 20</w:t>
      </w:r>
      <w:r w:rsidR="003F5E68">
        <w:rPr>
          <w:rFonts w:ascii="Arial" w:eastAsia="Arial" w:hAnsi="Arial" w:cs="Arial"/>
          <w:szCs w:val="24"/>
          <w:lang w:eastAsia="de-DE"/>
        </w:rPr>
        <w:t>20</w:t>
      </w:r>
    </w:p>
    <w:p w14:paraId="2C6BC17E" w14:textId="77777777" w:rsidR="00277F70" w:rsidRPr="00B041A6"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14:paraId="3CEACF79"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075637" w:rsidRDefault="009873A1" w:rsidP="009873A1">
      <w:pPr>
        <w:tabs>
          <w:tab w:val="left" w:pos="2977"/>
        </w:tabs>
        <w:ind w:left="3960"/>
        <w:rPr>
          <w:rFonts w:ascii="Arial" w:hAnsi="Arial" w:cs="Arial"/>
          <w:b/>
          <w:sz w:val="16"/>
          <w:szCs w:val="16"/>
          <w:lang w:eastAsia="en-US"/>
        </w:rPr>
      </w:pPr>
    </w:p>
    <w:p w14:paraId="666D5097" w14:textId="77777777" w:rsidR="009873A1" w:rsidRPr="00820ADF"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0013FCAC" w14:textId="20B11C4D" w:rsidR="00277F70" w:rsidRPr="00B041A6"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w:t>
      </w:r>
      <w:r w:rsidR="005E13D8">
        <w:rPr>
          <w:rFonts w:ascii="Arial" w:hAnsi="Arial"/>
          <w:sz w:val="16"/>
          <w:szCs w:val="24"/>
        </w:rPr>
        <w:t>7</w:t>
      </w:r>
      <w:r w:rsidRPr="00B041A6">
        <w:rPr>
          <w:rFonts w:ascii="Arial" w:hAnsi="Arial"/>
          <w:sz w:val="16"/>
          <w:szCs w:val="24"/>
        </w:rPr>
        <w:t xml:space="preserve">. Tagung, Genf, </w:t>
      </w:r>
      <w:r>
        <w:rPr>
          <w:rFonts w:ascii="Arial" w:hAnsi="Arial"/>
          <w:sz w:val="16"/>
          <w:szCs w:val="24"/>
        </w:rPr>
        <w:t>2</w:t>
      </w:r>
      <w:r w:rsidR="00AE0AFB">
        <w:rPr>
          <w:rFonts w:ascii="Arial" w:hAnsi="Arial"/>
          <w:sz w:val="16"/>
          <w:szCs w:val="24"/>
        </w:rPr>
        <w:t>5</w:t>
      </w:r>
      <w:r>
        <w:rPr>
          <w:rFonts w:ascii="Arial" w:hAnsi="Arial"/>
          <w:sz w:val="16"/>
          <w:szCs w:val="24"/>
        </w:rPr>
        <w:t>.</w:t>
      </w:r>
      <w:r w:rsidR="000B2B01">
        <w:rPr>
          <w:rFonts w:ascii="Arial" w:hAnsi="Arial"/>
          <w:sz w:val="16"/>
          <w:szCs w:val="24"/>
        </w:rPr>
        <w:t xml:space="preserve"> </w:t>
      </w:r>
      <w:r w:rsidR="00AE0AFB">
        <w:rPr>
          <w:rFonts w:ascii="Arial" w:hAnsi="Arial"/>
          <w:sz w:val="16"/>
          <w:szCs w:val="24"/>
        </w:rPr>
        <w:t>–</w:t>
      </w:r>
      <w:r w:rsidR="000B2B01">
        <w:rPr>
          <w:rFonts w:ascii="Arial" w:hAnsi="Arial"/>
          <w:sz w:val="16"/>
          <w:szCs w:val="24"/>
        </w:rPr>
        <w:t xml:space="preserve"> </w:t>
      </w:r>
      <w:r w:rsidR="00222245">
        <w:rPr>
          <w:rFonts w:ascii="Arial" w:hAnsi="Arial"/>
          <w:sz w:val="16"/>
          <w:szCs w:val="24"/>
        </w:rPr>
        <w:t>2</w:t>
      </w:r>
      <w:r w:rsidR="00AE0AFB">
        <w:rPr>
          <w:rFonts w:ascii="Arial" w:hAnsi="Arial"/>
          <w:sz w:val="16"/>
          <w:szCs w:val="24"/>
        </w:rPr>
        <w:t>9</w:t>
      </w:r>
      <w:r>
        <w:rPr>
          <w:rFonts w:ascii="Arial" w:hAnsi="Arial"/>
          <w:sz w:val="16"/>
          <w:szCs w:val="24"/>
        </w:rPr>
        <w:t xml:space="preserve">. </w:t>
      </w:r>
      <w:r w:rsidR="00AE0AFB">
        <w:rPr>
          <w:rFonts w:ascii="Arial" w:hAnsi="Arial"/>
          <w:sz w:val="16"/>
          <w:szCs w:val="24"/>
        </w:rPr>
        <w:t>Januar</w:t>
      </w:r>
      <w:r>
        <w:rPr>
          <w:rFonts w:ascii="Arial" w:hAnsi="Arial"/>
          <w:sz w:val="16"/>
          <w:szCs w:val="24"/>
        </w:rPr>
        <w:t xml:space="preserve"> 202</w:t>
      </w:r>
      <w:r w:rsidR="00AE0AFB">
        <w:rPr>
          <w:rFonts w:ascii="Arial" w:hAnsi="Arial"/>
          <w:sz w:val="16"/>
          <w:szCs w:val="24"/>
        </w:rPr>
        <w:t>1</w:t>
      </w:r>
      <w:r w:rsidRPr="00B041A6">
        <w:rPr>
          <w:rFonts w:ascii="Arial" w:hAnsi="Arial"/>
          <w:sz w:val="16"/>
          <w:szCs w:val="24"/>
        </w:rPr>
        <w:t>)</w:t>
      </w:r>
    </w:p>
    <w:p w14:paraId="19D0F3FB" w14:textId="3436B204" w:rsidR="00277F70" w:rsidRPr="00B041A6"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8A4F51">
        <w:rPr>
          <w:rFonts w:ascii="Arial" w:hAnsi="Arial" w:cs="Arial"/>
          <w:sz w:val="16"/>
          <w:szCs w:val="16"/>
          <w:lang w:eastAsia="en-US"/>
        </w:rPr>
        <w:t>5 b</w:t>
      </w:r>
      <w:r w:rsidR="00863D48">
        <w:rPr>
          <w:rFonts w:ascii="Arial" w:hAnsi="Arial" w:cs="Arial"/>
          <w:sz w:val="16"/>
          <w:szCs w:val="16"/>
          <w:lang w:eastAsia="en-US"/>
        </w:rPr>
        <w:t>)</w:t>
      </w:r>
      <w:r w:rsidRPr="00B041A6">
        <w:rPr>
          <w:rFonts w:ascii="Arial" w:hAnsi="Arial" w:cs="Arial"/>
          <w:sz w:val="16"/>
          <w:szCs w:val="16"/>
          <w:lang w:eastAsia="en-US"/>
        </w:rPr>
        <w:t xml:space="preserve"> zur vorläufigen Tagesordnung</w:t>
      </w:r>
    </w:p>
    <w:p w14:paraId="4ADFA0EB" w14:textId="461A8503" w:rsidR="00277F70" w:rsidRPr="009051C2" w:rsidRDefault="00277F70" w:rsidP="000E12CF">
      <w:pPr>
        <w:tabs>
          <w:tab w:val="left" w:pos="2977"/>
        </w:tabs>
        <w:ind w:left="3960" w:firstLine="9"/>
        <w:rPr>
          <w:rFonts w:ascii="Arial" w:hAnsi="Arial" w:cs="Arial"/>
          <w:b/>
          <w:sz w:val="16"/>
          <w:szCs w:val="16"/>
          <w:lang w:eastAsia="en-US"/>
        </w:rPr>
      </w:pPr>
      <w:r w:rsidRPr="00DC4C63">
        <w:rPr>
          <w:rFonts w:ascii="Arial" w:hAnsi="Arial" w:cs="Arial"/>
          <w:b/>
          <w:sz w:val="16"/>
          <w:szCs w:val="16"/>
          <w:lang w:eastAsia="en-US"/>
        </w:rPr>
        <w:t>Vorschläge für Änderungen der dem ADN beigefügten Verordnung</w:t>
      </w:r>
      <w:r w:rsidRPr="002D550A">
        <w:rPr>
          <w:rFonts w:ascii="Arial" w:hAnsi="Arial" w:cs="Arial"/>
          <w:b/>
          <w:sz w:val="16"/>
          <w:szCs w:val="16"/>
          <w:lang w:eastAsia="en-US"/>
        </w:rPr>
        <w:t>:</w:t>
      </w:r>
      <w:r w:rsidR="000E12CF">
        <w:rPr>
          <w:rFonts w:ascii="Arial" w:hAnsi="Arial" w:cs="Arial"/>
          <w:b/>
          <w:sz w:val="16"/>
          <w:szCs w:val="16"/>
          <w:lang w:eastAsia="en-US"/>
        </w:rPr>
        <w:t xml:space="preserve"> </w:t>
      </w:r>
      <w:r>
        <w:rPr>
          <w:rFonts w:ascii="Arial" w:hAnsi="Arial" w:cs="Arial"/>
          <w:b/>
          <w:sz w:val="16"/>
          <w:szCs w:val="16"/>
          <w:lang w:eastAsia="en-US"/>
        </w:rPr>
        <w:t xml:space="preserve">Weitere </w:t>
      </w:r>
      <w:r w:rsidR="000E12CF">
        <w:rPr>
          <w:rFonts w:ascii="Arial" w:hAnsi="Arial" w:cs="Arial"/>
          <w:b/>
          <w:sz w:val="16"/>
          <w:szCs w:val="16"/>
          <w:lang w:eastAsia="en-US"/>
        </w:rPr>
        <w:t>Änderungsv</w:t>
      </w:r>
      <w:r>
        <w:rPr>
          <w:rFonts w:ascii="Arial" w:hAnsi="Arial" w:cs="Arial"/>
          <w:b/>
          <w:sz w:val="16"/>
          <w:szCs w:val="16"/>
          <w:lang w:eastAsia="en-US"/>
        </w:rPr>
        <w:t>orschläge</w:t>
      </w:r>
    </w:p>
    <w:p w14:paraId="002D392D" w14:textId="332CA6DE" w:rsidR="00277F70" w:rsidRPr="00B041A6" w:rsidRDefault="00277F70" w:rsidP="00724E6F">
      <w:pPr>
        <w:widowControl/>
        <w:tabs>
          <w:tab w:val="left" w:pos="2977"/>
          <w:tab w:val="left" w:pos="5230"/>
        </w:tabs>
        <w:overflowPunct/>
        <w:autoSpaceDE/>
        <w:autoSpaceDN/>
        <w:adjustRightInd/>
        <w:snapToGrid w:val="0"/>
        <w:ind w:left="3960" w:firstLine="0"/>
        <w:jc w:val="left"/>
        <w:textAlignment w:val="auto"/>
        <w:rPr>
          <w:rFonts w:ascii="Arial" w:hAnsi="Arial" w:cs="Arial"/>
          <w:b/>
          <w:sz w:val="16"/>
          <w:szCs w:val="16"/>
          <w:lang w:eastAsia="en-US"/>
        </w:rPr>
      </w:pPr>
    </w:p>
    <w:p w14:paraId="61F72EEA" w14:textId="026D95B1" w:rsidR="00277F70" w:rsidRDefault="00277F70"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4114535C" w14:textId="77777777" w:rsidR="000E12CF" w:rsidRPr="00596953"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0DE184A2" w14:textId="77777777" w:rsidR="00830501" w:rsidRPr="004C1F19" w:rsidRDefault="00830501" w:rsidP="00830501">
      <w:pPr>
        <w:pStyle w:val="HChG"/>
        <w:spacing w:after="0" w:line="240" w:lineRule="auto"/>
        <w:ind w:firstLine="0"/>
        <w:jc w:val="both"/>
        <w:rPr>
          <w:bCs/>
          <w:szCs w:val="24"/>
          <w:lang w:val="de-DE"/>
        </w:rPr>
      </w:pPr>
      <w:bookmarkStart w:id="1" w:name="_Hlk33099965"/>
      <w:r w:rsidRPr="004C1F19">
        <w:rPr>
          <w:bCs/>
          <w:szCs w:val="24"/>
          <w:lang w:val="de-DE"/>
        </w:rPr>
        <w:t>Ergänzung von 1.16.1.4.2, Datum für die Anwendung der Übergangsbestimmungen, und Folgeänderungen</w:t>
      </w:r>
    </w:p>
    <w:bookmarkEnd w:id="1"/>
    <w:p w14:paraId="4182DA61" w14:textId="19E1FB31" w:rsidR="00277F70" w:rsidRPr="00B041A6" w:rsidRDefault="00277F70"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B041A6">
        <w:rPr>
          <w:b/>
          <w:sz w:val="24"/>
        </w:rPr>
        <w:t xml:space="preserve">Vorgelegt von </w:t>
      </w:r>
      <w:r w:rsidR="003E12AD">
        <w:rPr>
          <w:b/>
          <w:sz w:val="24"/>
        </w:rPr>
        <w:t>Österreich</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p w14:paraId="54009B72" w14:textId="77777777" w:rsidR="009C033F" w:rsidRPr="00830501" w:rsidRDefault="009C033F" w:rsidP="00830501">
      <w:pPr>
        <w:spacing w:line="240" w:lineRule="atLeast"/>
      </w:pPr>
    </w:p>
    <w:p w14:paraId="602F3E8B" w14:textId="77777777" w:rsidR="00830501" w:rsidRPr="008A4F51" w:rsidRDefault="00830501" w:rsidP="00830501">
      <w:pPr>
        <w:widowControl/>
        <w:pBdr>
          <w:top w:val="single" w:sz="4" w:space="1" w:color="auto"/>
          <w:left w:val="single" w:sz="4" w:space="4" w:color="auto"/>
          <w:bottom w:val="single" w:sz="4" w:space="1" w:color="auto"/>
          <w:right w:val="single" w:sz="4" w:space="4" w:color="auto"/>
        </w:pBdr>
        <w:overflowPunct/>
        <w:autoSpaceDE/>
        <w:autoSpaceDN/>
        <w:adjustRightInd/>
        <w:spacing w:line="240" w:lineRule="atLeast"/>
        <w:ind w:firstLine="0"/>
        <w:textAlignment w:val="auto"/>
        <w:rPr>
          <w:rFonts w:eastAsia="Corbel"/>
          <w:i/>
          <w:iCs/>
          <w:sz w:val="24"/>
          <w:szCs w:val="24"/>
          <w:lang w:eastAsia="en-US"/>
          <w14:numForm w14:val="lining"/>
        </w:rPr>
      </w:pPr>
      <w:bookmarkStart w:id="2" w:name="_Hlk33099984"/>
      <w:r w:rsidRPr="008A4F51">
        <w:rPr>
          <w:rFonts w:eastAsia="Corbel"/>
          <w:i/>
          <w:iCs/>
          <w:sz w:val="24"/>
          <w:szCs w:val="24"/>
          <w:lang w:eastAsia="en-US"/>
          <w14:numForm w14:val="lining"/>
        </w:rPr>
        <w:t>Zusammenfassung</w:t>
      </w:r>
    </w:p>
    <w:p w14:paraId="2C5F94A1" w14:textId="77777777" w:rsidR="00A02FB6" w:rsidRDefault="00A02FB6" w:rsidP="00830501">
      <w:pPr>
        <w:widowControl/>
        <w:pBdr>
          <w:top w:val="single" w:sz="4" w:space="1" w:color="auto"/>
          <w:left w:val="single" w:sz="4" w:space="4" w:color="auto"/>
          <w:bottom w:val="single" w:sz="4" w:space="1" w:color="auto"/>
          <w:right w:val="single" w:sz="4" w:space="4" w:color="auto"/>
        </w:pBdr>
        <w:overflowPunct/>
        <w:autoSpaceDE/>
        <w:autoSpaceDN/>
        <w:adjustRightInd/>
        <w:spacing w:line="240" w:lineRule="atLeast"/>
        <w:ind w:firstLine="0"/>
        <w:textAlignment w:val="auto"/>
        <w:rPr>
          <w:rFonts w:eastAsia="Corbel"/>
          <w:lang w:eastAsia="en-US"/>
          <w14:numForm w14:val="lining"/>
        </w:rPr>
      </w:pPr>
    </w:p>
    <w:p w14:paraId="742A10BA" w14:textId="69D5A3A7" w:rsidR="00830501" w:rsidRDefault="00830501" w:rsidP="00830501">
      <w:pPr>
        <w:widowControl/>
        <w:pBdr>
          <w:top w:val="single" w:sz="4" w:space="1" w:color="auto"/>
          <w:left w:val="single" w:sz="4" w:space="4" w:color="auto"/>
          <w:bottom w:val="single" w:sz="4" w:space="1" w:color="auto"/>
          <w:right w:val="single" w:sz="4" w:space="4" w:color="auto"/>
        </w:pBdr>
        <w:overflowPunct/>
        <w:autoSpaceDE/>
        <w:autoSpaceDN/>
        <w:adjustRightInd/>
        <w:spacing w:line="240" w:lineRule="atLeast"/>
        <w:ind w:firstLine="0"/>
        <w:textAlignment w:val="auto"/>
        <w:rPr>
          <w:rFonts w:eastAsia="Corbel"/>
          <w:lang w:eastAsia="en-US"/>
          <w14:numForm w14:val="lining"/>
        </w:rPr>
      </w:pPr>
      <w:r w:rsidRPr="00830501">
        <w:rPr>
          <w:rFonts w:eastAsia="Corbel"/>
          <w:lang w:eastAsia="en-US"/>
          <w14:numForm w14:val="lining"/>
        </w:rPr>
        <w:t>Unklarheiten bezüglich des Datums, ab dem Übergangsbestimmungen angewendet werden können, sollen behoben werden. Für Schiffsführer und Kontrollorgane soll dadurch leichter zu ermitteln sein, welche Übergangsvorschriften genutzt werden können.</w:t>
      </w:r>
    </w:p>
    <w:p w14:paraId="43F41C3A" w14:textId="77777777" w:rsidR="00A02FB6" w:rsidRDefault="00A02FB6" w:rsidP="00830501">
      <w:pPr>
        <w:widowControl/>
        <w:pBdr>
          <w:top w:val="single" w:sz="4" w:space="1" w:color="auto"/>
          <w:left w:val="single" w:sz="4" w:space="4" w:color="auto"/>
          <w:bottom w:val="single" w:sz="4" w:space="1" w:color="auto"/>
          <w:right w:val="single" w:sz="4" w:space="4" w:color="auto"/>
        </w:pBdr>
        <w:overflowPunct/>
        <w:autoSpaceDE/>
        <w:autoSpaceDN/>
        <w:adjustRightInd/>
        <w:spacing w:line="240" w:lineRule="atLeast"/>
        <w:ind w:firstLine="0"/>
        <w:textAlignment w:val="auto"/>
        <w:rPr>
          <w:rFonts w:eastAsia="Corbel"/>
          <w:lang w:eastAsia="en-US"/>
          <w14:numForm w14:val="lining"/>
        </w:rPr>
      </w:pPr>
    </w:p>
    <w:p w14:paraId="70D40894" w14:textId="1317C8D3" w:rsidR="00830501" w:rsidRDefault="00830501" w:rsidP="00830501">
      <w:pPr>
        <w:widowControl/>
        <w:overflowPunct/>
        <w:autoSpaceDE/>
        <w:autoSpaceDN/>
        <w:adjustRightInd/>
        <w:spacing w:line="240" w:lineRule="atLeast"/>
        <w:ind w:firstLine="0"/>
        <w:textAlignment w:val="auto"/>
        <w:rPr>
          <w:rFonts w:eastAsia="Corbel"/>
          <w:b/>
          <w:lang w:eastAsia="en-US"/>
          <w14:numForm w14:val="lining"/>
        </w:rPr>
      </w:pPr>
    </w:p>
    <w:p w14:paraId="12800585" w14:textId="77777777" w:rsidR="00830501" w:rsidRPr="00830501" w:rsidRDefault="00830501" w:rsidP="00830501">
      <w:pPr>
        <w:widowControl/>
        <w:overflowPunct/>
        <w:autoSpaceDE/>
        <w:autoSpaceDN/>
        <w:adjustRightInd/>
        <w:spacing w:line="240" w:lineRule="atLeast"/>
        <w:ind w:firstLine="0"/>
        <w:textAlignment w:val="auto"/>
        <w:rPr>
          <w:rFonts w:eastAsia="Corbel"/>
          <w:b/>
          <w:lang w:eastAsia="en-US"/>
          <w14:numForm w14:val="lining"/>
        </w:rPr>
      </w:pPr>
    </w:p>
    <w:p w14:paraId="4708EAFE" w14:textId="0CD09D0B" w:rsidR="00830501" w:rsidRPr="00830501" w:rsidRDefault="00830501" w:rsidP="00830501">
      <w:pPr>
        <w:widowControl/>
        <w:overflowPunct/>
        <w:autoSpaceDE/>
        <w:autoSpaceDN/>
        <w:adjustRightInd/>
        <w:spacing w:line="240" w:lineRule="atLeast"/>
        <w:ind w:firstLine="0"/>
        <w:textAlignment w:val="auto"/>
        <w:rPr>
          <w:rFonts w:eastAsia="Corbel"/>
          <w:b/>
          <w:sz w:val="24"/>
          <w:szCs w:val="24"/>
          <w:lang w:eastAsia="en-US"/>
          <w14:numForm w14:val="lining"/>
        </w:rPr>
      </w:pPr>
      <w:r w:rsidRPr="00830501">
        <w:rPr>
          <w:rFonts w:eastAsia="Corbel"/>
          <w:b/>
          <w:sz w:val="24"/>
          <w:szCs w:val="24"/>
          <w:lang w:eastAsia="en-US"/>
          <w14:numForm w14:val="lining"/>
        </w:rPr>
        <w:t>Ausgangslage</w:t>
      </w:r>
    </w:p>
    <w:p w14:paraId="3A257102" w14:textId="77777777" w:rsidR="00830501" w:rsidRPr="00830501" w:rsidRDefault="00830501" w:rsidP="00830501">
      <w:pPr>
        <w:widowControl/>
        <w:overflowPunct/>
        <w:autoSpaceDE/>
        <w:autoSpaceDN/>
        <w:adjustRightInd/>
        <w:spacing w:line="240" w:lineRule="atLeast"/>
        <w:ind w:firstLine="0"/>
        <w:textAlignment w:val="auto"/>
        <w:rPr>
          <w:rFonts w:eastAsia="Corbel"/>
          <w:b/>
          <w:lang w:eastAsia="en-US"/>
          <w14:numForm w14:val="lining"/>
        </w:rPr>
      </w:pPr>
    </w:p>
    <w:p w14:paraId="3C2BEBAA" w14:textId="3EE6D481"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1.</w:t>
      </w:r>
      <w:r>
        <w:rPr>
          <w:rFonts w:eastAsia="Corbel"/>
          <w:lang w:eastAsia="en-US"/>
          <w14:numForm w14:val="lining"/>
        </w:rPr>
        <w:tab/>
      </w:r>
      <w:r w:rsidR="00830501" w:rsidRPr="00830501">
        <w:rPr>
          <w:rFonts w:eastAsia="Corbel"/>
          <w:lang w:eastAsia="en-US"/>
          <w14:numForm w14:val="lining"/>
        </w:rPr>
        <w:t>Gemäß 1.6.7.1.2 b) gilt hinsichtlich der Anwendbarkeit von Übergangsbestimmungen „auch eine Änderung von einem bestehenden Schiffstyp, Ladetanktyp oder Ladetankzustand in einen höheren Typ oder Zustand“ als „Umbau“. Übergangsbestimmungen sind daher im Falle eines solchen Umbaus grundsätzlich nicht anwendbar.</w:t>
      </w:r>
    </w:p>
    <w:p w14:paraId="7D8571AA"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7BFCA6FB" w14:textId="04153858"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2.</w:t>
      </w:r>
      <w:r>
        <w:rPr>
          <w:rFonts w:eastAsia="Corbel"/>
          <w:lang w:eastAsia="en-US"/>
          <w14:numForm w14:val="lining"/>
        </w:rPr>
        <w:tab/>
      </w:r>
      <w:r w:rsidR="00830501" w:rsidRPr="00830501">
        <w:rPr>
          <w:rFonts w:eastAsia="Corbel"/>
          <w:lang w:eastAsia="en-US"/>
          <w14:numForm w14:val="lining"/>
        </w:rPr>
        <w:t>Bis 31. Dezember 2018 durften jedoch gemäß 1.6.7.5.1 b) für Schiffsteile außerhalb des Bereichs der Ladung die Übergangsvorschriften zu 1.2.1, 9.3.3.0.3 d), 9.3.3.51.3 und 9.3.3.52.4 letzter Satz in Anspruch genommen werden. Die Inanspruchnahme von Unterabschnitt 1.6.7.5.1 ist in das Zulassungszeugnis im Feld 12 (Zusätzliche Bemerkungen) einzutragen, nicht jedoch die tatsächlich in Anspruch genommenen Übergangsbestimmungen.</w:t>
      </w:r>
    </w:p>
    <w:p w14:paraId="0CFB9839"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5C7BC4B0" w14:textId="77777777" w:rsidR="008A4F51" w:rsidRDefault="008A4F51">
      <w:pPr>
        <w:widowControl/>
        <w:overflowPunct/>
        <w:autoSpaceDE/>
        <w:autoSpaceDN/>
        <w:adjustRightInd/>
        <w:ind w:left="0" w:firstLine="0"/>
        <w:jc w:val="left"/>
        <w:textAlignment w:val="auto"/>
        <w:rPr>
          <w:rFonts w:eastAsia="Corbel"/>
          <w:lang w:eastAsia="en-US"/>
          <w14:numForm w14:val="lining"/>
        </w:rPr>
      </w:pPr>
      <w:r>
        <w:rPr>
          <w:rFonts w:eastAsia="Corbel"/>
          <w:lang w:eastAsia="en-US"/>
          <w14:numForm w14:val="lining"/>
        </w:rPr>
        <w:br w:type="page"/>
      </w:r>
    </w:p>
    <w:p w14:paraId="269EDD4D" w14:textId="6B05E6FF"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lastRenderedPageBreak/>
        <w:t>3.</w:t>
      </w:r>
      <w:r>
        <w:rPr>
          <w:rFonts w:eastAsia="Corbel"/>
          <w:lang w:eastAsia="en-US"/>
          <w14:numForm w14:val="lining"/>
        </w:rPr>
        <w:tab/>
      </w:r>
      <w:r w:rsidR="00830501" w:rsidRPr="00830501">
        <w:rPr>
          <w:rFonts w:eastAsia="Corbel"/>
          <w:lang w:eastAsia="en-US"/>
          <w14:numForm w14:val="lining"/>
        </w:rPr>
        <w:t>Somit gilt für den Großteil der Übergangsbestimmungen das Datum der Vorführung zur Erstuntersuchung zur Erlangung eines Zulassungszeugnisses nach dem Umbau als Stichtag. Für die in 1.6.7.5.1 b) angeführten Übergangsbestimmungen gilt jedoch auch nach dem Umbau noch das vorher anwendbare Datum als Stichtag.</w:t>
      </w:r>
    </w:p>
    <w:p w14:paraId="709F67CE"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379C9F07" w14:textId="6B8230FD"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4.</w:t>
      </w:r>
      <w:r>
        <w:rPr>
          <w:rFonts w:eastAsia="Corbel"/>
          <w:lang w:eastAsia="en-US"/>
          <w14:numForm w14:val="lining"/>
        </w:rPr>
        <w:tab/>
      </w:r>
      <w:r w:rsidR="00830501" w:rsidRPr="00830501">
        <w:rPr>
          <w:rFonts w:eastAsia="Corbel"/>
          <w:lang w:eastAsia="en-US"/>
          <w14:numForm w14:val="lining"/>
        </w:rPr>
        <w:t>Gemäß 1.16.1.4.2 wäre jedoch in der Anlage zum Zulassungszeugnis weiterhin nur das vor dem Umbau anwendbare Datum anzuführen.</w:t>
      </w:r>
    </w:p>
    <w:p w14:paraId="715C9E09"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0E8D9109" w14:textId="06EBBFC1" w:rsidR="00830501" w:rsidRP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5.</w:t>
      </w:r>
      <w:r>
        <w:rPr>
          <w:rFonts w:eastAsia="Corbel"/>
          <w:lang w:eastAsia="en-US"/>
          <w14:numForm w14:val="lining"/>
        </w:rPr>
        <w:tab/>
      </w:r>
      <w:r w:rsidR="00830501" w:rsidRPr="00830501">
        <w:rPr>
          <w:rFonts w:eastAsia="Corbel"/>
          <w:lang w:eastAsia="en-US"/>
          <w14:numForm w14:val="lining"/>
        </w:rPr>
        <w:t>In den meisten Fällen betreffen Übergangsbestimmungen Bauvorschriften und sind von der Zulassungsbehörde zu kontrollieren. Diese kann bei Bedarf die Schiffsakte anfordern, um z.B. nach einem Behördenwechsel zu klären, wann ein Umbau stattgefunden hat und welche Übergangsbestimmungen daher tatsächlich anwendbar sind.</w:t>
      </w:r>
    </w:p>
    <w:p w14:paraId="52E5CE14" w14:textId="77777777" w:rsidR="00A02FB6" w:rsidRDefault="00A02FB6"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6801B04D" w14:textId="243CFDEA"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6.</w:t>
      </w:r>
      <w:r>
        <w:rPr>
          <w:rFonts w:eastAsia="Corbel"/>
          <w:lang w:eastAsia="en-US"/>
          <w14:numForm w14:val="lining"/>
        </w:rPr>
        <w:tab/>
      </w:r>
      <w:r w:rsidR="00830501" w:rsidRPr="00830501">
        <w:rPr>
          <w:rFonts w:eastAsia="Corbel"/>
          <w:lang w:eastAsia="en-US"/>
          <w14:numForm w14:val="lining"/>
        </w:rPr>
        <w:t>Es gibt jedoch auch Übergangsbestimmungen zu Betriebsvorschriften. Zum Beispiel lautet die Übergangsvorschrift zu 7.2.3.20.1 in 1.6.7.2.2.2:</w:t>
      </w:r>
    </w:p>
    <w:p w14:paraId="545C7D1D"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51477E85" w14:textId="4BDF7E24" w:rsidR="008A4F51" w:rsidRDefault="00830501" w:rsidP="008A4F51">
      <w:pPr>
        <w:widowControl/>
        <w:tabs>
          <w:tab w:val="left" w:pos="1701"/>
        </w:tabs>
        <w:overflowPunct/>
        <w:autoSpaceDE/>
        <w:autoSpaceDN/>
        <w:adjustRightInd/>
        <w:spacing w:line="240" w:lineRule="atLeast"/>
        <w:ind w:left="1701" w:firstLine="0"/>
        <w:textAlignment w:val="auto"/>
        <w:rPr>
          <w:rFonts w:eastAsia="Corbel"/>
          <w:lang w:eastAsia="en-US"/>
          <w14:numForm w14:val="lining"/>
        </w:rPr>
      </w:pPr>
      <w:r w:rsidRPr="00830501">
        <w:rPr>
          <w:rFonts w:eastAsia="Corbel"/>
          <w:lang w:eastAsia="en-US"/>
          <w14:numForm w14:val="lining"/>
        </w:rPr>
        <w:t>„N.E.U., Erneuerung des Zulassungszeugnisses nach dem 31. Dezember 2038</w:t>
      </w:r>
    </w:p>
    <w:p w14:paraId="6E0053FD" w14:textId="77777777" w:rsidR="008A4F51" w:rsidRDefault="00830501" w:rsidP="008A4F51">
      <w:pPr>
        <w:widowControl/>
        <w:tabs>
          <w:tab w:val="left" w:pos="1701"/>
        </w:tabs>
        <w:overflowPunct/>
        <w:autoSpaceDE/>
        <w:autoSpaceDN/>
        <w:adjustRightInd/>
        <w:spacing w:line="240" w:lineRule="atLeast"/>
        <w:ind w:left="1701" w:firstLine="0"/>
        <w:textAlignment w:val="auto"/>
        <w:rPr>
          <w:rFonts w:eastAsia="Corbel"/>
          <w:lang w:eastAsia="en-US"/>
          <w14:numForm w14:val="lining"/>
        </w:rPr>
      </w:pPr>
      <w:r w:rsidRPr="00830501">
        <w:rPr>
          <w:rFonts w:eastAsia="Corbel"/>
          <w:lang w:eastAsia="en-US"/>
          <w14:numForm w14:val="lining"/>
        </w:rPr>
        <w:t>An Bord von in Betrieb befindlichen Schiffen müssen bis dahin folgende Vorschriften eingehalten werden:</w:t>
      </w:r>
    </w:p>
    <w:p w14:paraId="14124F65" w14:textId="1DA2F0BF" w:rsidR="008A4F51" w:rsidRDefault="00830501" w:rsidP="008A4F51">
      <w:pPr>
        <w:widowControl/>
        <w:tabs>
          <w:tab w:val="left" w:pos="1701"/>
        </w:tabs>
        <w:overflowPunct/>
        <w:autoSpaceDE/>
        <w:autoSpaceDN/>
        <w:adjustRightInd/>
        <w:spacing w:before="60" w:line="240" w:lineRule="atLeast"/>
        <w:ind w:left="1701" w:firstLine="0"/>
        <w:textAlignment w:val="auto"/>
        <w:rPr>
          <w:rFonts w:eastAsia="Corbel"/>
          <w:lang w:eastAsia="en-US"/>
          <w14:numForm w14:val="lining"/>
        </w:rPr>
      </w:pPr>
      <w:r w:rsidRPr="00830501">
        <w:rPr>
          <w:rFonts w:eastAsia="Corbel"/>
          <w:lang w:eastAsia="en-US"/>
          <w14:numForm w14:val="lining"/>
        </w:rPr>
        <w:t xml:space="preserve">Beim Löschen dürfen die Kofferdämme zum Trimmen des Schiffes und zur möglichst restfreien </w:t>
      </w:r>
      <w:proofErr w:type="spellStart"/>
      <w:r w:rsidRPr="00830501">
        <w:rPr>
          <w:rFonts w:eastAsia="Corbel"/>
          <w:lang w:eastAsia="en-US"/>
          <w14:numForm w14:val="lining"/>
        </w:rPr>
        <w:t>Lenzung</w:t>
      </w:r>
      <w:proofErr w:type="spellEnd"/>
      <w:r w:rsidRPr="00830501">
        <w:rPr>
          <w:rFonts w:eastAsia="Corbel"/>
          <w:lang w:eastAsia="en-US"/>
          <w14:numForm w14:val="lining"/>
        </w:rPr>
        <w:t xml:space="preserve"> mit Wasser gefüllt werden. </w:t>
      </w:r>
    </w:p>
    <w:p w14:paraId="23D5765B" w14:textId="6767CC37" w:rsidR="00830501" w:rsidRDefault="00830501" w:rsidP="008A4F51">
      <w:pPr>
        <w:widowControl/>
        <w:tabs>
          <w:tab w:val="left" w:pos="1701"/>
        </w:tabs>
        <w:overflowPunct/>
        <w:autoSpaceDE/>
        <w:autoSpaceDN/>
        <w:adjustRightInd/>
        <w:spacing w:before="60" w:line="240" w:lineRule="atLeast"/>
        <w:ind w:left="1701" w:firstLine="0"/>
        <w:textAlignment w:val="auto"/>
        <w:rPr>
          <w:rFonts w:eastAsia="Corbel"/>
          <w:lang w:eastAsia="en-US"/>
          <w14:numForm w14:val="lining"/>
        </w:rPr>
      </w:pPr>
      <w:r w:rsidRPr="00830501">
        <w:rPr>
          <w:rFonts w:eastAsia="Corbel"/>
          <w:lang w:eastAsia="en-US"/>
          <w14:numForm w14:val="lining"/>
        </w:rPr>
        <w:t>Während der Fahrt, dürfen die Kofferdämme nur dann mit Ballastwasser gefüllt werden, wenn die Ladetanks leer sind.“</w:t>
      </w:r>
      <w:r w:rsidR="00A02FB6">
        <w:rPr>
          <w:rFonts w:eastAsia="Corbel"/>
          <w:lang w:eastAsia="en-US"/>
          <w14:numForm w14:val="lining"/>
        </w:rPr>
        <w:t>.</w:t>
      </w:r>
    </w:p>
    <w:p w14:paraId="4936FACF"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4F2A489D" w14:textId="7FC4F5ED"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7.</w:t>
      </w:r>
      <w:r>
        <w:rPr>
          <w:rFonts w:eastAsia="Corbel"/>
          <w:lang w:eastAsia="en-US"/>
          <w14:numForm w14:val="lining"/>
        </w:rPr>
        <w:tab/>
      </w:r>
      <w:r w:rsidR="00830501" w:rsidRPr="00830501">
        <w:rPr>
          <w:rFonts w:eastAsia="Corbel"/>
          <w:lang w:eastAsia="en-US"/>
          <w14:numForm w14:val="lining"/>
        </w:rPr>
        <w:t>Diese Übergangsbestimmung kann genutzt werden, wenn das Schiff am 26. Mai 2000 bereits in Betrieb war. Gemäß 1.6.7.5.1 darf diese Übergangsbestimmung aber nicht in Anspruch genommen werden, wenn das Schiff nach dem 26. Mai 2000 auf Typ N Doppelhülle umgebaut wurde.</w:t>
      </w:r>
    </w:p>
    <w:p w14:paraId="16B4D438"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24309AC9" w14:textId="3BE04D65"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8.</w:t>
      </w:r>
      <w:r>
        <w:rPr>
          <w:rFonts w:eastAsia="Corbel"/>
          <w:lang w:eastAsia="en-US"/>
          <w14:numForm w14:val="lining"/>
        </w:rPr>
        <w:tab/>
      </w:r>
      <w:r w:rsidR="00830501" w:rsidRPr="00830501">
        <w:rPr>
          <w:rFonts w:eastAsia="Corbel"/>
          <w:lang w:eastAsia="en-US"/>
          <w14:numForm w14:val="lining"/>
        </w:rPr>
        <w:t>Das heißt, dass Kofferdämme auf Schiffen, die bereits vor dem 26. Mai 2000 in Betrieb waren, zu Ballastzwecken mit Wasser befüllt werden dürfen. Wenn das Schiff aber nach dem 26.</w:t>
      </w:r>
      <w:r w:rsidR="00131A8F">
        <w:rPr>
          <w:rFonts w:eastAsia="Corbel"/>
          <w:lang w:eastAsia="en-US"/>
          <w14:numForm w14:val="lining"/>
        </w:rPr>
        <w:t> </w:t>
      </w:r>
      <w:r w:rsidR="00830501" w:rsidRPr="00830501">
        <w:rPr>
          <w:rFonts w:eastAsia="Corbel"/>
          <w:lang w:eastAsia="en-US"/>
          <w14:numForm w14:val="lining"/>
        </w:rPr>
        <w:t>Mai 2000 auf Doppelhülle umgebaut wurde, ist die Befüllung gemäß 7.2.3.20.1 ausnahmslos verboten.</w:t>
      </w:r>
    </w:p>
    <w:p w14:paraId="173EF09D"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77AECC23" w14:textId="0771CA73"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9.</w:t>
      </w:r>
      <w:r>
        <w:rPr>
          <w:rFonts w:eastAsia="Corbel"/>
          <w:lang w:eastAsia="en-US"/>
          <w14:numForm w14:val="lining"/>
        </w:rPr>
        <w:tab/>
      </w:r>
      <w:r w:rsidR="00830501" w:rsidRPr="00830501">
        <w:rPr>
          <w:rFonts w:eastAsia="Corbel"/>
          <w:lang w:eastAsia="en-US"/>
          <w14:numForm w14:val="lining"/>
        </w:rPr>
        <w:t>Es stellt sich die Frage, wie Schiffsführer und Kontrollorgane feststellen können, ob die Kofferdämme befüllt werden dürfen.</w:t>
      </w:r>
    </w:p>
    <w:p w14:paraId="223795F8"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07DA409F" w14:textId="1125399D"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10.</w:t>
      </w:r>
      <w:r>
        <w:rPr>
          <w:rFonts w:eastAsia="Corbel"/>
          <w:lang w:eastAsia="en-US"/>
          <w14:numForm w14:val="lining"/>
        </w:rPr>
        <w:tab/>
      </w:r>
      <w:r w:rsidR="00830501" w:rsidRPr="00830501">
        <w:rPr>
          <w:rFonts w:eastAsia="Corbel"/>
          <w:lang w:eastAsia="en-US"/>
          <w14:numForm w14:val="lining"/>
        </w:rPr>
        <w:t>Einziger Anhaltspunkt ist das in der Anlage zum Zulassungszeugnis angegebene Datum für die Anwendung der Übergangsbestimmungen. Im Fall eines Umbaus auf Typ N Doppelhülle wäre es jedoch irreführend.</w:t>
      </w:r>
    </w:p>
    <w:p w14:paraId="74A7793A"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5AEDC86F" w14:textId="1CC0A000"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11.</w:t>
      </w:r>
      <w:r>
        <w:rPr>
          <w:rFonts w:eastAsia="Corbel"/>
          <w:lang w:eastAsia="en-US"/>
          <w14:numForm w14:val="lining"/>
        </w:rPr>
        <w:tab/>
      </w:r>
      <w:r w:rsidR="00830501" w:rsidRPr="00830501">
        <w:rPr>
          <w:rFonts w:eastAsia="Corbel"/>
          <w:lang w:eastAsia="en-US"/>
          <w14:numForm w14:val="lining"/>
        </w:rPr>
        <w:t>Da seit 2019 bei einem Umbau auf Typ N Doppelhülle keine Übergangsvorschriften anwendbar sind, gibt es für künftig stattfindende Umbauten keine Begründung den alten Stichtag beizubehalten.</w:t>
      </w:r>
    </w:p>
    <w:p w14:paraId="29B903B8" w14:textId="03BB9DA0" w:rsid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4F9AC609"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6F2F3EC3" w14:textId="7DD3EE72" w:rsidR="00830501" w:rsidRPr="00830501" w:rsidRDefault="00830501" w:rsidP="00685194">
      <w:pPr>
        <w:widowControl/>
        <w:tabs>
          <w:tab w:val="left" w:pos="1701"/>
        </w:tabs>
        <w:overflowPunct/>
        <w:autoSpaceDE/>
        <w:autoSpaceDN/>
        <w:adjustRightInd/>
        <w:spacing w:after="120" w:line="240" w:lineRule="atLeast"/>
        <w:ind w:firstLine="0"/>
        <w:textAlignment w:val="auto"/>
        <w:rPr>
          <w:rFonts w:eastAsia="Corbel"/>
          <w:b/>
          <w:sz w:val="24"/>
          <w:szCs w:val="24"/>
          <w:lang w:eastAsia="en-US"/>
          <w14:numForm w14:val="lining"/>
        </w:rPr>
      </w:pPr>
      <w:r w:rsidRPr="00830501">
        <w:rPr>
          <w:rFonts w:eastAsia="Corbel"/>
          <w:b/>
          <w:sz w:val="24"/>
          <w:szCs w:val="24"/>
          <w:lang w:eastAsia="en-US"/>
          <w14:numForm w14:val="lining"/>
        </w:rPr>
        <w:t>Änderungsanträge</w:t>
      </w:r>
    </w:p>
    <w:p w14:paraId="0AA43870"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b/>
          <w:lang w:eastAsia="en-US"/>
          <w14:numForm w14:val="lining"/>
        </w:rPr>
      </w:pPr>
    </w:p>
    <w:p w14:paraId="0287A306" w14:textId="55739C99"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12.</w:t>
      </w:r>
      <w:r>
        <w:rPr>
          <w:rFonts w:eastAsia="Corbel"/>
          <w:lang w:eastAsia="en-US"/>
          <w14:numForm w14:val="lining"/>
        </w:rPr>
        <w:tab/>
      </w:r>
      <w:r w:rsidR="00830501" w:rsidRPr="00830501">
        <w:rPr>
          <w:rFonts w:eastAsia="Corbel"/>
          <w:lang w:eastAsia="en-US"/>
          <w14:numForm w14:val="lining"/>
        </w:rPr>
        <w:t>In 1.16.1.4.2 wird der Punkt am Ende von Buchstabe d</w:t>
      </w:r>
      <w:r w:rsidR="00131A8F">
        <w:rPr>
          <w:rFonts w:eastAsia="Corbel"/>
          <w:lang w:eastAsia="en-US"/>
          <w14:numForm w14:val="lining"/>
        </w:rPr>
        <w:t>)</w:t>
      </w:r>
      <w:r w:rsidR="00830501" w:rsidRPr="00830501">
        <w:rPr>
          <w:rFonts w:eastAsia="Corbel"/>
          <w:lang w:eastAsia="en-US"/>
          <w14:numForm w14:val="lining"/>
        </w:rPr>
        <w:t xml:space="preserve"> durch ein Semikolon ersetzt und folgender Buchstabe e</w:t>
      </w:r>
      <w:r w:rsidR="00131A8F">
        <w:rPr>
          <w:rFonts w:eastAsia="Corbel"/>
          <w:lang w:eastAsia="en-US"/>
          <w14:numForm w14:val="lining"/>
        </w:rPr>
        <w:t>)</w:t>
      </w:r>
      <w:r w:rsidR="00830501" w:rsidRPr="00830501">
        <w:rPr>
          <w:rFonts w:eastAsia="Corbel"/>
          <w:lang w:eastAsia="en-US"/>
          <w14:numForm w14:val="lining"/>
        </w:rPr>
        <w:t xml:space="preserve"> ergänzt:</w:t>
      </w:r>
    </w:p>
    <w:p w14:paraId="3576410F"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2885CB1D" w14:textId="5EA0D587" w:rsid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sidRPr="00830501">
        <w:rPr>
          <w:rFonts w:eastAsia="Corbel"/>
          <w:lang w:eastAsia="en-US"/>
          <w14:numForm w14:val="lining"/>
        </w:rPr>
        <w:t>„e)</w:t>
      </w:r>
      <w:r w:rsidRPr="00830501">
        <w:rPr>
          <w:rFonts w:eastAsia="Corbel"/>
          <w:lang w:eastAsia="en-US"/>
          <w14:numForm w14:val="lining"/>
        </w:rPr>
        <w:tab/>
        <w:t>abweichend von Buchstabe a</w:t>
      </w:r>
      <w:r w:rsidR="00131A8F">
        <w:rPr>
          <w:rFonts w:eastAsia="Corbel"/>
          <w:lang w:eastAsia="en-US"/>
          <w14:numForm w14:val="lining"/>
        </w:rPr>
        <w:t>)</w:t>
      </w:r>
      <w:r w:rsidRPr="00830501">
        <w:rPr>
          <w:rFonts w:eastAsia="Corbel"/>
          <w:lang w:eastAsia="en-US"/>
          <w14:numForm w14:val="lining"/>
        </w:rPr>
        <w:t xml:space="preserve"> bis d</w:t>
      </w:r>
      <w:r w:rsidR="00131A8F">
        <w:rPr>
          <w:rFonts w:eastAsia="Corbel"/>
          <w:lang w:eastAsia="en-US"/>
          <w14:numForm w14:val="lining"/>
        </w:rPr>
        <w:t>)</w:t>
      </w:r>
      <w:r w:rsidRPr="00830501">
        <w:rPr>
          <w:rFonts w:eastAsia="Corbel"/>
          <w:lang w:eastAsia="en-US"/>
          <w14:numForm w14:val="lining"/>
        </w:rPr>
        <w:t xml:space="preserve"> das Datum der Vorführung zur Erstuntersuchung zur Erlangung eines neuen Zulassungszeugnisses nach einer Änderung von einem bestehenden Schiffstyp, Ladetanktyp oder Ladetankzustand in einen höheren Typ oder Zustand.“</w:t>
      </w:r>
      <w:r w:rsidR="00A02FB6">
        <w:rPr>
          <w:rFonts w:eastAsia="Corbel"/>
          <w:lang w:eastAsia="en-US"/>
          <w14:numForm w14:val="lining"/>
        </w:rPr>
        <w:t>.</w:t>
      </w:r>
    </w:p>
    <w:p w14:paraId="74ACE037"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2A9AD4BA" w14:textId="77777777" w:rsidR="00131A8F" w:rsidRDefault="00131A8F">
      <w:pPr>
        <w:widowControl/>
        <w:overflowPunct/>
        <w:autoSpaceDE/>
        <w:autoSpaceDN/>
        <w:adjustRightInd/>
        <w:ind w:left="0" w:firstLine="0"/>
        <w:jc w:val="left"/>
        <w:textAlignment w:val="auto"/>
        <w:rPr>
          <w:rFonts w:eastAsia="Corbel"/>
          <w:lang w:eastAsia="en-US"/>
          <w14:numForm w14:val="lining"/>
        </w:rPr>
      </w:pPr>
      <w:r>
        <w:rPr>
          <w:rFonts w:eastAsia="Corbel"/>
          <w:lang w:eastAsia="en-US"/>
          <w14:numForm w14:val="lining"/>
        </w:rPr>
        <w:br w:type="page"/>
      </w:r>
    </w:p>
    <w:p w14:paraId="2FCDD847" w14:textId="6FB7B63D"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lastRenderedPageBreak/>
        <w:t>13.</w:t>
      </w:r>
      <w:r>
        <w:rPr>
          <w:rFonts w:eastAsia="Corbel"/>
          <w:lang w:eastAsia="en-US"/>
          <w14:numForm w14:val="lining"/>
        </w:rPr>
        <w:tab/>
      </w:r>
      <w:r w:rsidR="00830501" w:rsidRPr="00830501">
        <w:rPr>
          <w:rFonts w:eastAsia="Corbel"/>
          <w:lang w:eastAsia="en-US"/>
          <w14:numForm w14:val="lining"/>
        </w:rPr>
        <w:t>In 1.6.7.5.1 wird Buchstabe d</w:t>
      </w:r>
      <w:r w:rsidR="00131A8F">
        <w:rPr>
          <w:rFonts w:eastAsia="Corbel"/>
          <w:lang w:eastAsia="en-US"/>
          <w14:numForm w14:val="lining"/>
        </w:rPr>
        <w:t>)</w:t>
      </w:r>
      <w:r w:rsidR="00830501" w:rsidRPr="00830501">
        <w:rPr>
          <w:rFonts w:eastAsia="Corbel"/>
          <w:lang w:eastAsia="en-US"/>
          <w14:numForm w14:val="lining"/>
        </w:rPr>
        <w:t xml:space="preserve"> wie folgt geändert (neuer Text hier zur Kennzeichnung unterstrichen):</w:t>
      </w:r>
    </w:p>
    <w:p w14:paraId="7485F521" w14:textId="77777777"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06EEE3E1" w14:textId="76E43C8A" w:rsidR="00830501" w:rsidRP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sidRPr="00830501">
        <w:rPr>
          <w:rFonts w:eastAsia="Corbel"/>
          <w:lang w:eastAsia="en-US"/>
          <w14:numForm w14:val="lining"/>
        </w:rPr>
        <w:t>„d)</w:t>
      </w:r>
      <w:r w:rsidRPr="00830501">
        <w:rPr>
          <w:rFonts w:eastAsia="Corbel"/>
          <w:lang w:eastAsia="en-US"/>
          <w14:numForm w14:val="lining"/>
        </w:rPr>
        <w:tab/>
        <w:t xml:space="preserve">Die Inanspruchnahme dieses Unterabschnitts </w:t>
      </w:r>
      <w:r w:rsidRPr="00830501">
        <w:rPr>
          <w:rFonts w:eastAsia="Corbel"/>
          <w:u w:val="single"/>
          <w:lang w:eastAsia="en-US"/>
          <w14:numForm w14:val="lining"/>
        </w:rPr>
        <w:t xml:space="preserve">einschließlich der tatsächlich in Anspruch genommen Übergangsbestimmungen </w:t>
      </w:r>
      <w:r w:rsidRPr="00830501">
        <w:rPr>
          <w:rFonts w:eastAsia="Corbel"/>
          <w:lang w:eastAsia="en-US"/>
          <w14:numForm w14:val="lining"/>
        </w:rPr>
        <w:t>ist in das Zulassungszeugnis im Feld 12 (Zusätzliche Bemerkungen) einzutragen.“</w:t>
      </w:r>
      <w:r w:rsidR="00A02FB6">
        <w:rPr>
          <w:rFonts w:eastAsia="Corbel"/>
          <w:lang w:eastAsia="en-US"/>
          <w14:numForm w14:val="lining"/>
        </w:rPr>
        <w:t>.</w:t>
      </w:r>
    </w:p>
    <w:p w14:paraId="4595A811" w14:textId="77777777" w:rsidR="00830501" w:rsidRDefault="00830501"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p>
    <w:p w14:paraId="15A8D82D" w14:textId="667A3240" w:rsid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14.</w:t>
      </w:r>
      <w:r>
        <w:rPr>
          <w:rFonts w:eastAsia="Corbel"/>
          <w:lang w:eastAsia="en-US"/>
          <w14:numForm w14:val="lining"/>
        </w:rPr>
        <w:tab/>
      </w:r>
      <w:r w:rsidR="00830501" w:rsidRPr="00830501">
        <w:rPr>
          <w:rFonts w:eastAsia="Corbel"/>
          <w:lang w:eastAsia="en-US"/>
          <w14:numForm w14:val="lining"/>
        </w:rPr>
        <w:t xml:space="preserve">In 1.6.7.2.2.2 </w:t>
      </w:r>
      <w:r w:rsidR="00AC7F3E">
        <w:rPr>
          <w:rFonts w:eastAsia="Corbel"/>
          <w:lang w:eastAsia="en-US"/>
          <w14:numForm w14:val="lining"/>
        </w:rPr>
        <w:t>werden</w:t>
      </w:r>
      <w:r w:rsidR="00830501" w:rsidRPr="00830501">
        <w:rPr>
          <w:rFonts w:eastAsia="Corbel"/>
          <w:lang w:eastAsia="en-US"/>
          <w14:numForm w14:val="lining"/>
        </w:rPr>
        <w:t xml:space="preserve"> in der Tabelle folgende neue Zeile</w:t>
      </w:r>
      <w:r w:rsidR="00AC7F3E">
        <w:rPr>
          <w:rFonts w:eastAsia="Corbel"/>
          <w:lang w:eastAsia="en-US"/>
          <w14:numForm w14:val="lining"/>
        </w:rPr>
        <w:t>n</w:t>
      </w:r>
      <w:r w:rsidR="00830501" w:rsidRPr="00830501">
        <w:rPr>
          <w:rFonts w:eastAsia="Corbel"/>
          <w:lang w:eastAsia="en-US"/>
          <w14:numForm w14:val="lining"/>
        </w:rPr>
        <w:t xml:space="preserve"> eingefügt:</w:t>
      </w:r>
    </w:p>
    <w:p w14:paraId="45B0B1DC" w14:textId="77777777" w:rsidR="00830501" w:rsidRPr="00830501" w:rsidRDefault="00830501" w:rsidP="00830501">
      <w:pPr>
        <w:widowControl/>
        <w:overflowPunct/>
        <w:autoSpaceDE/>
        <w:autoSpaceDN/>
        <w:adjustRightInd/>
        <w:spacing w:line="240" w:lineRule="atLeast"/>
        <w:ind w:left="0" w:firstLine="0"/>
        <w:textAlignment w:val="auto"/>
        <w:rPr>
          <w:rFonts w:eastAsia="Corbel"/>
          <w:lang w:eastAsia="en-US"/>
          <w14:numForm w14:val="lining"/>
        </w:rPr>
      </w:pPr>
    </w:p>
    <w:tbl>
      <w:tblPr>
        <w:tblStyle w:val="TableGrid"/>
        <w:tblW w:w="8316" w:type="dxa"/>
        <w:tblInd w:w="1129" w:type="dxa"/>
        <w:tblLook w:val="04A0" w:firstRow="1" w:lastRow="0" w:firstColumn="1" w:lastColumn="0" w:noHBand="0" w:noVBand="1"/>
      </w:tblPr>
      <w:tblGrid>
        <w:gridCol w:w="1252"/>
        <w:gridCol w:w="3143"/>
        <w:gridCol w:w="3921"/>
      </w:tblGrid>
      <w:tr w:rsidR="00830501" w:rsidRPr="00830501" w14:paraId="54686327" w14:textId="77777777" w:rsidTr="00830501">
        <w:tc>
          <w:tcPr>
            <w:tcW w:w="1252" w:type="dxa"/>
          </w:tcPr>
          <w:p w14:paraId="0979FAFC" w14:textId="77777777" w:rsidR="00830501" w:rsidRPr="00830501" w:rsidRDefault="00830501" w:rsidP="00830501">
            <w:pPr>
              <w:widowControl/>
              <w:overflowPunct/>
              <w:autoSpaceDE/>
              <w:autoSpaceDN/>
              <w:adjustRightInd/>
              <w:spacing w:line="240" w:lineRule="atLeast"/>
              <w:ind w:left="0" w:firstLine="0"/>
              <w:textAlignment w:val="auto"/>
              <w:rPr>
                <w:rFonts w:ascii="Times New Roman" w:hAnsi="Times New Roman"/>
                <w:sz w:val="20"/>
                <w:szCs w:val="20"/>
                <w:lang w:eastAsia="en-US"/>
                <w14:numForm w14:val="lining"/>
              </w:rPr>
            </w:pPr>
            <w:r w:rsidRPr="00830501">
              <w:rPr>
                <w:rFonts w:ascii="Times New Roman" w:hAnsi="Times New Roman"/>
                <w:sz w:val="20"/>
                <w:szCs w:val="20"/>
                <w:lang w:eastAsia="en-US"/>
                <w14:numForm w14:val="lining"/>
              </w:rPr>
              <w:t>1.6.7.5.1 d)</w:t>
            </w:r>
          </w:p>
        </w:tc>
        <w:tc>
          <w:tcPr>
            <w:tcW w:w="3143" w:type="dxa"/>
          </w:tcPr>
          <w:p w14:paraId="279E57B6" w14:textId="77777777" w:rsidR="00830501" w:rsidRPr="00830501" w:rsidRDefault="00830501" w:rsidP="00830501">
            <w:pPr>
              <w:widowControl/>
              <w:overflowPunct/>
              <w:autoSpaceDE/>
              <w:autoSpaceDN/>
              <w:adjustRightInd/>
              <w:spacing w:line="240" w:lineRule="atLeast"/>
              <w:ind w:left="0" w:firstLine="0"/>
              <w:textAlignment w:val="auto"/>
              <w:rPr>
                <w:rFonts w:ascii="Times New Roman" w:hAnsi="Times New Roman"/>
                <w:sz w:val="20"/>
                <w:szCs w:val="20"/>
                <w:lang w:eastAsia="en-US"/>
                <w14:numForm w14:val="lining"/>
              </w:rPr>
            </w:pPr>
            <w:r w:rsidRPr="00830501">
              <w:rPr>
                <w:rFonts w:ascii="Times New Roman" w:hAnsi="Times New Roman"/>
                <w:sz w:val="20"/>
                <w:szCs w:val="20"/>
                <w:lang w:eastAsia="en-US"/>
                <w14:numForm w14:val="lining"/>
              </w:rPr>
              <w:t>Eintragung der tatsächlich in Anspruch genommenen Übergangsbestimmungen</w:t>
            </w:r>
          </w:p>
        </w:tc>
        <w:tc>
          <w:tcPr>
            <w:tcW w:w="3921" w:type="dxa"/>
          </w:tcPr>
          <w:p w14:paraId="0097A382" w14:textId="77777777" w:rsidR="00830501" w:rsidRPr="00830501" w:rsidRDefault="00830501" w:rsidP="00830501">
            <w:pPr>
              <w:widowControl/>
              <w:overflowPunct/>
              <w:autoSpaceDE/>
              <w:autoSpaceDN/>
              <w:adjustRightInd/>
              <w:spacing w:line="240" w:lineRule="atLeast"/>
              <w:ind w:left="0" w:firstLine="0"/>
              <w:textAlignment w:val="auto"/>
              <w:rPr>
                <w:rFonts w:ascii="Times New Roman" w:hAnsi="Times New Roman"/>
                <w:sz w:val="20"/>
                <w:szCs w:val="20"/>
                <w:lang w:eastAsia="en-US"/>
                <w14:numForm w14:val="lining"/>
              </w:rPr>
            </w:pPr>
            <w:r w:rsidRPr="00830501">
              <w:rPr>
                <w:rFonts w:ascii="Times New Roman" w:hAnsi="Times New Roman"/>
                <w:sz w:val="20"/>
                <w:szCs w:val="20"/>
                <w:lang w:eastAsia="en-US"/>
                <w14:numForm w14:val="lining"/>
              </w:rPr>
              <w:t>Erneuerung des Zulassungszeugnisses nach dem 31. Dezember 2022</w:t>
            </w:r>
          </w:p>
        </w:tc>
      </w:tr>
      <w:tr w:rsidR="00830501" w:rsidRPr="00830501" w14:paraId="01B37175" w14:textId="77777777" w:rsidTr="00830501">
        <w:tc>
          <w:tcPr>
            <w:tcW w:w="1252" w:type="dxa"/>
          </w:tcPr>
          <w:p w14:paraId="43B0C076" w14:textId="77777777" w:rsidR="00830501" w:rsidRPr="00830501" w:rsidRDefault="00830501" w:rsidP="00830501">
            <w:pPr>
              <w:widowControl/>
              <w:overflowPunct/>
              <w:autoSpaceDE/>
              <w:autoSpaceDN/>
              <w:adjustRightInd/>
              <w:spacing w:line="240" w:lineRule="atLeast"/>
              <w:ind w:left="0" w:firstLine="0"/>
              <w:textAlignment w:val="auto"/>
              <w:rPr>
                <w:rFonts w:ascii="Times New Roman" w:hAnsi="Times New Roman"/>
                <w:sz w:val="20"/>
                <w:szCs w:val="20"/>
                <w:lang w:eastAsia="en-US"/>
                <w14:numForm w14:val="lining"/>
              </w:rPr>
            </w:pPr>
            <w:r w:rsidRPr="00830501">
              <w:rPr>
                <w:rFonts w:ascii="Times New Roman" w:hAnsi="Times New Roman"/>
                <w:sz w:val="20"/>
                <w:szCs w:val="20"/>
                <w:lang w:eastAsia="en-US"/>
                <w14:numForm w14:val="lining"/>
              </w:rPr>
              <w:t>1.16.1.4.2 e)</w:t>
            </w:r>
          </w:p>
        </w:tc>
        <w:tc>
          <w:tcPr>
            <w:tcW w:w="3143" w:type="dxa"/>
          </w:tcPr>
          <w:p w14:paraId="6ED44662" w14:textId="77777777" w:rsidR="00830501" w:rsidRPr="00830501" w:rsidRDefault="00830501" w:rsidP="00830501">
            <w:pPr>
              <w:widowControl/>
              <w:overflowPunct/>
              <w:autoSpaceDE/>
              <w:autoSpaceDN/>
              <w:adjustRightInd/>
              <w:spacing w:line="240" w:lineRule="atLeast"/>
              <w:ind w:left="0" w:firstLine="0"/>
              <w:textAlignment w:val="auto"/>
              <w:rPr>
                <w:rFonts w:ascii="Times New Roman" w:hAnsi="Times New Roman"/>
                <w:sz w:val="20"/>
                <w:szCs w:val="20"/>
                <w:lang w:eastAsia="en-US"/>
                <w14:numForm w14:val="lining"/>
              </w:rPr>
            </w:pPr>
            <w:r w:rsidRPr="00830501">
              <w:rPr>
                <w:rFonts w:ascii="Times New Roman" w:hAnsi="Times New Roman"/>
                <w:sz w:val="20"/>
                <w:szCs w:val="20"/>
                <w:lang w:eastAsia="en-US"/>
                <w14:numForm w14:val="lining"/>
              </w:rPr>
              <w:t>Datum der Anwendbarkeit von Übergangsvorschriften in der Anlage zum Zulassungszeugnis im Fall eines Umbaus</w:t>
            </w:r>
          </w:p>
        </w:tc>
        <w:tc>
          <w:tcPr>
            <w:tcW w:w="3921" w:type="dxa"/>
          </w:tcPr>
          <w:p w14:paraId="609CFD6F" w14:textId="77777777" w:rsidR="00830501" w:rsidRPr="00830501" w:rsidRDefault="00830501" w:rsidP="00830501">
            <w:pPr>
              <w:widowControl/>
              <w:overflowPunct/>
              <w:autoSpaceDE/>
              <w:autoSpaceDN/>
              <w:adjustRightInd/>
              <w:spacing w:line="240" w:lineRule="atLeast"/>
              <w:ind w:left="0" w:firstLine="0"/>
              <w:textAlignment w:val="auto"/>
              <w:rPr>
                <w:rFonts w:ascii="Times New Roman" w:hAnsi="Times New Roman"/>
                <w:sz w:val="20"/>
                <w:szCs w:val="20"/>
                <w:lang w:eastAsia="en-US"/>
                <w14:numForm w14:val="lining"/>
              </w:rPr>
            </w:pPr>
            <w:r w:rsidRPr="00830501">
              <w:rPr>
                <w:rFonts w:ascii="Times New Roman" w:hAnsi="Times New Roman"/>
                <w:sz w:val="20"/>
                <w:szCs w:val="20"/>
                <w:lang w:eastAsia="en-US"/>
                <w14:numForm w14:val="lining"/>
              </w:rPr>
              <w:t>Erneuerung des Zulassungszeugnisses nach dem 31. Dezember 2022</w:t>
            </w:r>
          </w:p>
        </w:tc>
      </w:tr>
    </w:tbl>
    <w:p w14:paraId="3DA87C76" w14:textId="77777777" w:rsidR="00830501" w:rsidRPr="00830501" w:rsidRDefault="00830501" w:rsidP="00830501">
      <w:pPr>
        <w:widowControl/>
        <w:overflowPunct/>
        <w:autoSpaceDE/>
        <w:autoSpaceDN/>
        <w:adjustRightInd/>
        <w:spacing w:line="240" w:lineRule="atLeast"/>
        <w:ind w:firstLine="0"/>
        <w:textAlignment w:val="auto"/>
        <w:rPr>
          <w:rFonts w:eastAsia="Corbel"/>
          <w:lang w:eastAsia="en-US"/>
          <w14:numForm w14:val="lining"/>
        </w:rPr>
      </w:pPr>
    </w:p>
    <w:p w14:paraId="53F07E8F" w14:textId="77777777" w:rsidR="00AE5AF2" w:rsidRDefault="00AE5AF2" w:rsidP="00830501">
      <w:pPr>
        <w:widowControl/>
        <w:overflowPunct/>
        <w:autoSpaceDE/>
        <w:autoSpaceDN/>
        <w:adjustRightInd/>
        <w:spacing w:line="240" w:lineRule="atLeast"/>
        <w:ind w:firstLine="0"/>
        <w:textAlignment w:val="auto"/>
        <w:rPr>
          <w:rFonts w:eastAsia="Corbel"/>
          <w:b/>
          <w:sz w:val="24"/>
          <w:szCs w:val="24"/>
          <w:lang w:eastAsia="en-US"/>
          <w14:numForm w14:val="lining"/>
        </w:rPr>
      </w:pPr>
    </w:p>
    <w:p w14:paraId="0ED0D2ED" w14:textId="4B77F4A0" w:rsidR="00830501" w:rsidRPr="00830501" w:rsidRDefault="00830501" w:rsidP="00830501">
      <w:pPr>
        <w:widowControl/>
        <w:overflowPunct/>
        <w:autoSpaceDE/>
        <w:autoSpaceDN/>
        <w:adjustRightInd/>
        <w:spacing w:line="240" w:lineRule="atLeast"/>
        <w:ind w:firstLine="0"/>
        <w:textAlignment w:val="auto"/>
        <w:rPr>
          <w:rFonts w:eastAsia="Corbel"/>
          <w:b/>
          <w:sz w:val="24"/>
          <w:szCs w:val="24"/>
          <w:lang w:eastAsia="en-US"/>
          <w14:numForm w14:val="lining"/>
        </w:rPr>
      </w:pPr>
      <w:r w:rsidRPr="00830501">
        <w:rPr>
          <w:rFonts w:eastAsia="Corbel"/>
          <w:b/>
          <w:sz w:val="24"/>
          <w:szCs w:val="24"/>
          <w:lang w:eastAsia="en-US"/>
          <w14:numForm w14:val="lining"/>
        </w:rPr>
        <w:t>Folgenabschätzung</w:t>
      </w:r>
    </w:p>
    <w:p w14:paraId="0100933B" w14:textId="77777777" w:rsidR="00830501" w:rsidRPr="00830501" w:rsidRDefault="00830501" w:rsidP="00830501">
      <w:pPr>
        <w:widowControl/>
        <w:overflowPunct/>
        <w:autoSpaceDE/>
        <w:autoSpaceDN/>
        <w:adjustRightInd/>
        <w:spacing w:line="240" w:lineRule="atLeast"/>
        <w:ind w:firstLine="0"/>
        <w:textAlignment w:val="auto"/>
        <w:rPr>
          <w:rFonts w:eastAsia="Corbel"/>
          <w:b/>
          <w:lang w:eastAsia="en-US"/>
          <w14:numForm w14:val="lining"/>
        </w:rPr>
      </w:pPr>
    </w:p>
    <w:p w14:paraId="7C387DAC" w14:textId="14D3F98B" w:rsidR="00830501" w:rsidRPr="00830501" w:rsidRDefault="00AE5AF2" w:rsidP="00AE5AF2">
      <w:pPr>
        <w:widowControl/>
        <w:tabs>
          <w:tab w:val="left" w:pos="1701"/>
        </w:tabs>
        <w:overflowPunct/>
        <w:autoSpaceDE/>
        <w:autoSpaceDN/>
        <w:adjustRightInd/>
        <w:spacing w:line="240" w:lineRule="atLeast"/>
        <w:ind w:firstLine="0"/>
        <w:textAlignment w:val="auto"/>
        <w:rPr>
          <w:rFonts w:eastAsia="Corbel"/>
          <w:lang w:eastAsia="en-US"/>
          <w14:numForm w14:val="lining"/>
        </w:rPr>
      </w:pPr>
      <w:r>
        <w:rPr>
          <w:rFonts w:eastAsia="Corbel"/>
          <w:lang w:eastAsia="en-US"/>
          <w14:numForm w14:val="lining"/>
        </w:rPr>
        <w:t>15.</w:t>
      </w:r>
      <w:r>
        <w:rPr>
          <w:rFonts w:eastAsia="Corbel"/>
          <w:lang w:eastAsia="en-US"/>
          <w14:numForm w14:val="lining"/>
        </w:rPr>
        <w:tab/>
      </w:r>
      <w:r w:rsidR="00830501" w:rsidRPr="00830501">
        <w:rPr>
          <w:rFonts w:eastAsia="Corbel"/>
          <w:lang w:eastAsia="en-US"/>
          <w14:numForm w14:val="lining"/>
        </w:rPr>
        <w:t>Die vorgeschlagenen Ergänzungen bringen nach der Umsetzung im Zulassungszeugnis und der Anlage zum Zulassungszeugnis wesentliche Erleichterungen für Schiffsführer, Kontrollorgane und Zulassungsbehörden. Die Ergänzung selbst stellt einen einmaligen Mehraufwand für die Zulassungsbehörden dar, der jedoch aus Sicht der österreichischen Delegation durch die daraus resultierenden Erleichterungen ausgeglichen wird.</w:t>
      </w:r>
    </w:p>
    <w:p w14:paraId="0162CF89" w14:textId="77777777" w:rsidR="0063076E" w:rsidRPr="00830501" w:rsidRDefault="0063076E" w:rsidP="00830501">
      <w:pPr>
        <w:tabs>
          <w:tab w:val="left" w:pos="1418"/>
          <w:tab w:val="left" w:pos="1701"/>
        </w:tabs>
        <w:spacing w:line="240" w:lineRule="atLeast"/>
        <w:ind w:firstLine="0"/>
      </w:pPr>
    </w:p>
    <w:p w14:paraId="46C05A50" w14:textId="77777777" w:rsidR="0063076E" w:rsidRPr="00830501" w:rsidRDefault="0063076E" w:rsidP="00830501">
      <w:pPr>
        <w:tabs>
          <w:tab w:val="left" w:pos="1418"/>
        </w:tabs>
        <w:spacing w:line="240" w:lineRule="atLeast"/>
        <w:ind w:firstLine="0"/>
        <w:jc w:val="center"/>
      </w:pPr>
      <w:r w:rsidRPr="00830501">
        <w:t>***</w:t>
      </w:r>
      <w:bookmarkEnd w:id="2"/>
    </w:p>
    <w:sectPr w:rsidR="0063076E" w:rsidRPr="00830501" w:rsidSect="00D36741">
      <w:headerReference w:type="even" r:id="rId11"/>
      <w:headerReference w:type="default" r:id="rId12"/>
      <w:footerReference w:type="even"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AA26" w14:textId="4D14C12F"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w:t>
    </w:r>
    <w:r w:rsidR="00830501">
      <w:rPr>
        <w:rFonts w:ascii="Arial" w:hAnsi="Arial"/>
        <w:noProof/>
        <w:snapToGrid w:val="0"/>
        <w:sz w:val="12"/>
        <w:szCs w:val="24"/>
        <w:lang w:val="en-US"/>
      </w:rPr>
      <w:t>1</w:t>
    </w:r>
    <w:r w:rsidRPr="004F60A5">
      <w:rPr>
        <w:rFonts w:ascii="Arial" w:hAnsi="Arial"/>
        <w:noProof/>
        <w:snapToGrid w:val="0"/>
        <w:sz w:val="12"/>
        <w:szCs w:val="24"/>
        <w:lang w:val="en-US"/>
      </w:rPr>
      <w:t>_</w:t>
    </w:r>
    <w:r w:rsidR="005E13D8">
      <w:rPr>
        <w:rFonts w:ascii="Arial" w:hAnsi="Arial"/>
        <w:noProof/>
        <w:snapToGrid w:val="0"/>
        <w:sz w:val="12"/>
        <w:szCs w:val="24"/>
        <w:lang w:val="en-US"/>
      </w:rPr>
      <w:t>01</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23BE1F7C"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w:t>
    </w:r>
    <w:r w:rsidR="00830501">
      <w:rPr>
        <w:rFonts w:ascii="Arial" w:hAnsi="Arial"/>
        <w:noProof/>
        <w:snapToGrid w:val="0"/>
        <w:sz w:val="12"/>
        <w:szCs w:val="24"/>
        <w:lang w:val="en-US"/>
      </w:rPr>
      <w:t>1</w:t>
    </w:r>
    <w:r w:rsidRPr="004F60A5">
      <w:rPr>
        <w:rFonts w:ascii="Arial" w:hAnsi="Arial"/>
        <w:noProof/>
        <w:snapToGrid w:val="0"/>
        <w:sz w:val="12"/>
        <w:szCs w:val="24"/>
        <w:lang w:val="en-US"/>
      </w:rPr>
      <w:t>_</w:t>
    </w:r>
    <w:r w:rsidR="005E13D8">
      <w:rPr>
        <w:rFonts w:ascii="Arial" w:hAnsi="Arial"/>
        <w:noProof/>
        <w:snapToGrid w:val="0"/>
        <w:sz w:val="12"/>
        <w:szCs w:val="24"/>
        <w:lang w:val="en-US"/>
      </w:rPr>
      <w:t>01</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 w:id="1">
    <w:p w14:paraId="0A16825C" w14:textId="7AA5A004" w:rsidR="00277F70" w:rsidRPr="00B041A6" w:rsidRDefault="00277F70" w:rsidP="00277F7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w:t>
      </w:r>
      <w:r w:rsidR="00AE0AFB">
        <w:rPr>
          <w:sz w:val="16"/>
          <w:szCs w:val="16"/>
        </w:rPr>
        <w:t>1</w:t>
      </w:r>
      <w:r w:rsidRPr="00B041A6">
        <w:rPr>
          <w:sz w:val="16"/>
          <w:szCs w:val="16"/>
        </w:rPr>
        <w:t>/</w:t>
      </w:r>
      <w:r w:rsidR="005E13D8">
        <w:rPr>
          <w:sz w:val="16"/>
          <w:szCs w:val="16"/>
        </w:rPr>
        <w:t>1</w:t>
      </w:r>
      <w:r w:rsidRPr="00B041A6">
        <w:rPr>
          <w:sz w:val="16"/>
          <w:szCs w:val="16"/>
        </w:rPr>
        <w:t xml:space="preserve"> verteilt.</w:t>
      </w:r>
    </w:p>
  </w:footnote>
  <w:footnote w:id="2">
    <w:p w14:paraId="1C93A7FD" w14:textId="26078675" w:rsidR="00277F70" w:rsidRPr="00B041A6" w:rsidRDefault="00277F70" w:rsidP="009D556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009D5560" w:rsidRPr="009D5560">
        <w:rPr>
          <w:sz w:val="16"/>
          <w:szCs w:val="16"/>
        </w:rPr>
        <w:t>Entsprechend dem Arbeitsprogramm des Binnenverkehrsausschusses für 2020 gemäß dem Entwurf des Programmhaushalts für 2020 (A/74/6 (Titel V, Kapitel 20), Abs.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95E" w14:textId="2000E4AF"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5E13D8">
      <w:rPr>
        <w:rFonts w:ascii="Arial" w:hAnsi="Arial"/>
        <w:snapToGrid w:val="0"/>
        <w:sz w:val="16"/>
        <w:szCs w:val="16"/>
        <w:lang w:val="en-US"/>
      </w:rPr>
      <w:t>1</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3D7310B4"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3" w:name="_Hlk19605293"/>
    <w:bookmarkStart w:id="4"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5E13D8">
      <w:rPr>
        <w:rFonts w:ascii="Arial" w:hAnsi="Arial"/>
        <w:snapToGrid w:val="0"/>
        <w:sz w:val="16"/>
        <w:szCs w:val="16"/>
        <w:lang w:val="en-US"/>
      </w:rPr>
      <w:t>1</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9215A"/>
    <w:rsid w:val="00094A98"/>
    <w:rsid w:val="000A563B"/>
    <w:rsid w:val="000B2B01"/>
    <w:rsid w:val="000C6E63"/>
    <w:rsid w:val="000D45A5"/>
    <w:rsid w:val="000E12CF"/>
    <w:rsid w:val="00131A8F"/>
    <w:rsid w:val="00155C7C"/>
    <w:rsid w:val="00160AF1"/>
    <w:rsid w:val="001C60D6"/>
    <w:rsid w:val="00222245"/>
    <w:rsid w:val="00225E1F"/>
    <w:rsid w:val="00277F70"/>
    <w:rsid w:val="002E6F67"/>
    <w:rsid w:val="00387BCB"/>
    <w:rsid w:val="003B3B76"/>
    <w:rsid w:val="003E12AD"/>
    <w:rsid w:val="003E6913"/>
    <w:rsid w:val="003F5E68"/>
    <w:rsid w:val="004076CE"/>
    <w:rsid w:val="00454F9B"/>
    <w:rsid w:val="00483782"/>
    <w:rsid w:val="004A7663"/>
    <w:rsid w:val="004C1F19"/>
    <w:rsid w:val="004E2AEF"/>
    <w:rsid w:val="004E64FE"/>
    <w:rsid w:val="004F06F2"/>
    <w:rsid w:val="00510C03"/>
    <w:rsid w:val="00591A7D"/>
    <w:rsid w:val="005C2135"/>
    <w:rsid w:val="005E13D8"/>
    <w:rsid w:val="0063076E"/>
    <w:rsid w:val="00635226"/>
    <w:rsid w:val="00643AEA"/>
    <w:rsid w:val="00685194"/>
    <w:rsid w:val="0069704F"/>
    <w:rsid w:val="006B10A8"/>
    <w:rsid w:val="006B4FAE"/>
    <w:rsid w:val="006E493E"/>
    <w:rsid w:val="00720516"/>
    <w:rsid w:val="00724E6F"/>
    <w:rsid w:val="00751575"/>
    <w:rsid w:val="007C4366"/>
    <w:rsid w:val="007C72B0"/>
    <w:rsid w:val="00827D8E"/>
    <w:rsid w:val="00830501"/>
    <w:rsid w:val="00863D48"/>
    <w:rsid w:val="00895F87"/>
    <w:rsid w:val="008A4F51"/>
    <w:rsid w:val="008E0E25"/>
    <w:rsid w:val="008F4F6A"/>
    <w:rsid w:val="009545CD"/>
    <w:rsid w:val="009873A1"/>
    <w:rsid w:val="009A5ADD"/>
    <w:rsid w:val="009C033F"/>
    <w:rsid w:val="009D5560"/>
    <w:rsid w:val="00A0258A"/>
    <w:rsid w:val="00A02FB6"/>
    <w:rsid w:val="00A857CC"/>
    <w:rsid w:val="00A97CEA"/>
    <w:rsid w:val="00AC78AF"/>
    <w:rsid w:val="00AC7F3E"/>
    <w:rsid w:val="00AE0AFB"/>
    <w:rsid w:val="00AE5AF2"/>
    <w:rsid w:val="00B302EA"/>
    <w:rsid w:val="00B4533C"/>
    <w:rsid w:val="00BB0DBC"/>
    <w:rsid w:val="00C125FE"/>
    <w:rsid w:val="00C94048"/>
    <w:rsid w:val="00CF1246"/>
    <w:rsid w:val="00D12776"/>
    <w:rsid w:val="00D15348"/>
    <w:rsid w:val="00D25F16"/>
    <w:rsid w:val="00D36741"/>
    <w:rsid w:val="00D45DD4"/>
    <w:rsid w:val="00D4726C"/>
    <w:rsid w:val="00D63E14"/>
    <w:rsid w:val="00DA42D3"/>
    <w:rsid w:val="00DB57E7"/>
    <w:rsid w:val="00E04049"/>
    <w:rsid w:val="00E37FFD"/>
    <w:rsid w:val="00E41049"/>
    <w:rsid w:val="00E565DE"/>
    <w:rsid w:val="00E569AC"/>
    <w:rsid w:val="00E727CB"/>
    <w:rsid w:val="00E83D57"/>
    <w:rsid w:val="00ED557F"/>
    <w:rsid w:val="00EE66ED"/>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AC3B7-DA8B-41F7-98B6-C75C86FC7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458BE46A-36DB-4B8E-93AF-9AE62EAB370B}">
  <ds:schemaRefs>
    <ds:schemaRef ds:uri="http://purl.org/dc/dcmitype/"/>
    <ds:schemaRef ds:uri="http://purl.org/dc/elements/1.1/"/>
    <ds:schemaRef ds:uri="http://schemas.microsoft.com/office/2006/metadata/properties"/>
    <ds:schemaRef ds:uri="4b4a1c0d-4a69-4996-a84a-fc699b9f49de"/>
    <ds:schemaRef ds:uri="http://schemas.microsoft.com/office/2006/documentManagement/types"/>
    <ds:schemaRef ds:uri="http://schemas.openxmlformats.org/package/2006/metadata/core-properties"/>
    <ds:schemaRef ds:uri="http://schemas.microsoft.com/office/infopath/2007/PartnerControls"/>
    <ds:schemaRef ds:uri="acccb6d4-dbe5-46d2-b4d3-5733603d8cc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4845</Characters>
  <Application>Microsoft Office Word</Application>
  <DocSecurity>4</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Nov revision</cp:lastModifiedBy>
  <cp:revision>2</cp:revision>
  <cp:lastPrinted>2019-11-12T10:07:00Z</cp:lastPrinted>
  <dcterms:created xsi:type="dcterms:W3CDTF">2020-11-10T09:18:00Z</dcterms:created>
  <dcterms:modified xsi:type="dcterms:W3CDTF">2020-11-10T09:18:00Z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