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52F2E7" w14:textId="77777777" w:rsidTr="00C97039">
        <w:trPr>
          <w:trHeight w:hRule="exact" w:val="851"/>
        </w:trPr>
        <w:tc>
          <w:tcPr>
            <w:tcW w:w="1276" w:type="dxa"/>
            <w:tcBorders>
              <w:bottom w:val="single" w:sz="4" w:space="0" w:color="auto"/>
            </w:tcBorders>
          </w:tcPr>
          <w:p w14:paraId="6D5A87FC" w14:textId="77777777" w:rsidR="00F35BAF" w:rsidRPr="00DB58B5" w:rsidRDefault="00F35BAF" w:rsidP="0066449B"/>
        </w:tc>
        <w:tc>
          <w:tcPr>
            <w:tcW w:w="2268" w:type="dxa"/>
            <w:tcBorders>
              <w:bottom w:val="single" w:sz="4" w:space="0" w:color="auto"/>
            </w:tcBorders>
            <w:vAlign w:val="bottom"/>
          </w:tcPr>
          <w:p w14:paraId="451FB66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A5379A" w14:textId="77777777" w:rsidR="00F35BAF" w:rsidRPr="00DB58B5" w:rsidRDefault="0066449B" w:rsidP="0066449B">
            <w:pPr>
              <w:jc w:val="right"/>
            </w:pPr>
            <w:r w:rsidRPr="0066449B">
              <w:rPr>
                <w:sz w:val="40"/>
              </w:rPr>
              <w:t>ECE</w:t>
            </w:r>
            <w:r>
              <w:t>/TRANS/WP</w:t>
            </w:r>
            <w:r w:rsidR="00F72B31" w:rsidRPr="00F72B31">
              <w:t>.</w:t>
            </w:r>
            <w:r>
              <w:t>29/GRPE/2021/6</w:t>
            </w:r>
          </w:p>
        </w:tc>
      </w:tr>
      <w:tr w:rsidR="00F35BAF" w:rsidRPr="00DB58B5" w14:paraId="2480FDD3" w14:textId="77777777" w:rsidTr="00C97039">
        <w:trPr>
          <w:trHeight w:hRule="exact" w:val="2835"/>
        </w:trPr>
        <w:tc>
          <w:tcPr>
            <w:tcW w:w="1276" w:type="dxa"/>
            <w:tcBorders>
              <w:top w:val="single" w:sz="4" w:space="0" w:color="auto"/>
              <w:bottom w:val="single" w:sz="12" w:space="0" w:color="auto"/>
            </w:tcBorders>
          </w:tcPr>
          <w:p w14:paraId="1E3D4762" w14:textId="77777777" w:rsidR="00F35BAF" w:rsidRPr="00DB58B5" w:rsidRDefault="00F35BAF" w:rsidP="00C97039">
            <w:pPr>
              <w:spacing w:before="120"/>
              <w:jc w:val="center"/>
            </w:pPr>
            <w:r>
              <w:rPr>
                <w:noProof/>
                <w:lang w:eastAsia="fr-CH"/>
              </w:rPr>
              <w:drawing>
                <wp:inline distT="0" distB="0" distL="0" distR="0" wp14:anchorId="75BA4E21" wp14:editId="075441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E84E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1EEEAD" w14:textId="77777777" w:rsidR="00F35BAF" w:rsidRDefault="0066449B" w:rsidP="00C97039">
            <w:pPr>
              <w:spacing w:before="240"/>
            </w:pPr>
            <w:proofErr w:type="spellStart"/>
            <w:r>
              <w:t>Distr</w:t>
            </w:r>
            <w:proofErr w:type="spellEnd"/>
            <w:r w:rsidR="00F72B31" w:rsidRPr="00F72B31">
              <w:t>.</w:t>
            </w:r>
            <w:r>
              <w:t xml:space="preserve"> générale</w:t>
            </w:r>
          </w:p>
          <w:p w14:paraId="03B76D05" w14:textId="77777777" w:rsidR="0066449B" w:rsidRDefault="0066449B" w:rsidP="0066449B">
            <w:pPr>
              <w:spacing w:line="240" w:lineRule="exact"/>
            </w:pPr>
            <w:r>
              <w:t>3 novembre 2020</w:t>
            </w:r>
          </w:p>
          <w:p w14:paraId="2EDE0A32" w14:textId="77777777" w:rsidR="0066449B" w:rsidRDefault="0066449B" w:rsidP="0066449B">
            <w:pPr>
              <w:spacing w:line="240" w:lineRule="exact"/>
            </w:pPr>
            <w:r>
              <w:t>Français</w:t>
            </w:r>
          </w:p>
          <w:p w14:paraId="1739EE8B" w14:textId="77777777" w:rsidR="0066449B" w:rsidRPr="00DB58B5" w:rsidRDefault="0066449B" w:rsidP="0066449B">
            <w:pPr>
              <w:spacing w:line="240" w:lineRule="exact"/>
            </w:pPr>
            <w:r>
              <w:t>Original : anglais</w:t>
            </w:r>
          </w:p>
        </w:tc>
      </w:tr>
    </w:tbl>
    <w:p w14:paraId="03964B64" w14:textId="77777777" w:rsidR="007F20FA" w:rsidRPr="000312C0" w:rsidRDefault="007F20FA" w:rsidP="007F20FA">
      <w:pPr>
        <w:spacing w:before="120"/>
        <w:rPr>
          <w:b/>
          <w:sz w:val="28"/>
          <w:szCs w:val="28"/>
        </w:rPr>
      </w:pPr>
      <w:r w:rsidRPr="000312C0">
        <w:rPr>
          <w:b/>
          <w:sz w:val="28"/>
          <w:szCs w:val="28"/>
        </w:rPr>
        <w:t>Commission économique pour l</w:t>
      </w:r>
      <w:r w:rsidR="00B921D9">
        <w:rPr>
          <w:b/>
          <w:sz w:val="28"/>
          <w:szCs w:val="28"/>
        </w:rPr>
        <w:t>’</w:t>
      </w:r>
      <w:r w:rsidRPr="000312C0">
        <w:rPr>
          <w:b/>
          <w:sz w:val="28"/>
          <w:szCs w:val="28"/>
        </w:rPr>
        <w:t>Europe</w:t>
      </w:r>
    </w:p>
    <w:p w14:paraId="37D6F699" w14:textId="77777777" w:rsidR="007F20FA" w:rsidRDefault="007F20FA" w:rsidP="007F20FA">
      <w:pPr>
        <w:spacing w:before="120"/>
        <w:rPr>
          <w:sz w:val="28"/>
          <w:szCs w:val="28"/>
        </w:rPr>
      </w:pPr>
      <w:r w:rsidRPr="00685843">
        <w:rPr>
          <w:sz w:val="28"/>
          <w:szCs w:val="28"/>
        </w:rPr>
        <w:t>Comité des transports intérieurs</w:t>
      </w:r>
    </w:p>
    <w:p w14:paraId="4CBF190F" w14:textId="77777777" w:rsidR="00213792" w:rsidRPr="00E773DC" w:rsidRDefault="00213792" w:rsidP="00213792">
      <w:pPr>
        <w:tabs>
          <w:tab w:val="left" w:pos="567"/>
          <w:tab w:val="left" w:pos="1134"/>
        </w:tabs>
        <w:spacing w:before="120"/>
        <w:ind w:right="4252"/>
        <w:rPr>
          <w:rFonts w:eastAsia="MS Mincho"/>
          <w:sz w:val="22"/>
          <w:szCs w:val="22"/>
          <w:lang w:val="fr-FR"/>
        </w:rPr>
      </w:pPr>
      <w:r w:rsidRPr="00E773DC">
        <w:rPr>
          <w:rFonts w:eastAsia="MS Mincho"/>
          <w:b/>
          <w:bCs/>
          <w:sz w:val="24"/>
          <w:szCs w:val="24"/>
          <w:lang w:val="fr-FR"/>
        </w:rPr>
        <w:t>Forum mondial de l</w:t>
      </w:r>
      <w:r w:rsidR="00B921D9">
        <w:rPr>
          <w:rFonts w:eastAsia="MS Mincho"/>
          <w:b/>
          <w:bCs/>
          <w:sz w:val="24"/>
          <w:szCs w:val="24"/>
          <w:lang w:val="fr-FR"/>
        </w:rPr>
        <w:t>’</w:t>
      </w:r>
      <w:r w:rsidRPr="00E773DC">
        <w:rPr>
          <w:rFonts w:eastAsia="MS Mincho"/>
          <w:b/>
          <w:bCs/>
          <w:sz w:val="24"/>
          <w:szCs w:val="24"/>
          <w:lang w:val="fr-FR"/>
        </w:rPr>
        <w:t>harmonisation des Règlements concernant les véhicules</w:t>
      </w:r>
    </w:p>
    <w:p w14:paraId="5A31273E" w14:textId="77777777" w:rsidR="00213792" w:rsidRPr="00E773DC" w:rsidRDefault="00213792" w:rsidP="00213792">
      <w:pPr>
        <w:tabs>
          <w:tab w:val="left" w:pos="567"/>
          <w:tab w:val="left" w:pos="1134"/>
        </w:tabs>
        <w:spacing w:before="120" w:after="120"/>
        <w:ind w:right="4252"/>
        <w:rPr>
          <w:rFonts w:eastAsia="MS Mincho"/>
          <w:b/>
          <w:bCs/>
          <w:lang w:val="fr-FR"/>
        </w:rPr>
      </w:pPr>
      <w:r w:rsidRPr="00E773DC">
        <w:rPr>
          <w:rFonts w:eastAsia="MS Mincho"/>
          <w:b/>
          <w:bCs/>
          <w:lang w:val="fr-FR"/>
        </w:rPr>
        <w:t>Groupe de travail de la pollution et de l</w:t>
      </w:r>
      <w:r w:rsidR="00B921D9">
        <w:rPr>
          <w:rFonts w:eastAsia="MS Mincho"/>
          <w:b/>
          <w:bCs/>
          <w:lang w:val="fr-FR"/>
        </w:rPr>
        <w:t>’</w:t>
      </w:r>
      <w:r w:rsidRPr="00E773DC">
        <w:rPr>
          <w:rFonts w:eastAsia="MS Mincho"/>
          <w:b/>
          <w:bCs/>
          <w:lang w:val="fr-FR"/>
        </w:rPr>
        <w:t>énergie</w:t>
      </w:r>
    </w:p>
    <w:p w14:paraId="2ABB6AB7" w14:textId="77777777" w:rsidR="00213792" w:rsidRPr="00E773DC" w:rsidRDefault="00213792" w:rsidP="00B921D9">
      <w:pPr>
        <w:ind w:right="1134"/>
        <w:rPr>
          <w:rFonts w:eastAsia="MS Mincho"/>
          <w:b/>
          <w:lang w:val="fr-FR"/>
        </w:rPr>
      </w:pPr>
      <w:r w:rsidRPr="00E773DC">
        <w:rPr>
          <w:rFonts w:eastAsia="MS Mincho"/>
          <w:b/>
          <w:lang w:val="fr-FR"/>
        </w:rPr>
        <w:t>Quatre-vingt-deuxième session</w:t>
      </w:r>
    </w:p>
    <w:p w14:paraId="72F9A540" w14:textId="77777777" w:rsidR="00213792" w:rsidRPr="00E773DC" w:rsidRDefault="00213792" w:rsidP="00B921D9">
      <w:pPr>
        <w:ind w:right="1134"/>
        <w:rPr>
          <w:lang w:val="fr-FR"/>
        </w:rPr>
      </w:pPr>
      <w:r w:rsidRPr="00E773DC">
        <w:rPr>
          <w:rFonts w:eastAsia="MS Mincho"/>
          <w:lang w:val="fr-FR"/>
        </w:rPr>
        <w:t>Genève</w:t>
      </w:r>
      <w:r w:rsidRPr="00E773DC">
        <w:rPr>
          <w:rFonts w:eastAsia="MS Mincho"/>
          <w:bCs/>
          <w:lang w:val="fr-FR"/>
        </w:rPr>
        <w:t>, 12-15 janvier 2021</w:t>
      </w:r>
    </w:p>
    <w:p w14:paraId="6E457FFC" w14:textId="77777777" w:rsidR="00213792" w:rsidRPr="00E773DC" w:rsidRDefault="00213792" w:rsidP="00B921D9">
      <w:pPr>
        <w:tabs>
          <w:tab w:val="left" w:pos="567"/>
          <w:tab w:val="left" w:pos="1134"/>
        </w:tabs>
        <w:ind w:right="1134"/>
        <w:rPr>
          <w:bCs/>
          <w:lang w:val="fr-FR"/>
        </w:rPr>
      </w:pPr>
      <w:r w:rsidRPr="00E773DC">
        <w:rPr>
          <w:bCs/>
          <w:lang w:val="fr-FR"/>
        </w:rPr>
        <w:t>Point 4 a) de l</w:t>
      </w:r>
      <w:r w:rsidR="00B921D9">
        <w:rPr>
          <w:bCs/>
          <w:lang w:val="fr-FR"/>
        </w:rPr>
        <w:t>’</w:t>
      </w:r>
      <w:r w:rsidRPr="00E773DC">
        <w:rPr>
          <w:bCs/>
          <w:lang w:val="fr-FR"/>
        </w:rPr>
        <w:t>ordre du jour provisoire</w:t>
      </w:r>
    </w:p>
    <w:p w14:paraId="7B4BCA93" w14:textId="77777777" w:rsidR="00213792" w:rsidRPr="00E773DC" w:rsidRDefault="00213792" w:rsidP="00B921D9">
      <w:pPr>
        <w:tabs>
          <w:tab w:val="left" w:pos="567"/>
          <w:tab w:val="left" w:pos="1134"/>
        </w:tabs>
        <w:ind w:right="1134"/>
        <w:rPr>
          <w:b/>
          <w:bCs/>
          <w:lang w:val="fr-FR"/>
        </w:rPr>
      </w:pPr>
      <w:r w:rsidRPr="00E773DC">
        <w:rPr>
          <w:b/>
          <w:lang w:val="fr-FR"/>
        </w:rPr>
        <w:t>Véhicules utilitaires lourds : Règlements ONU n</w:t>
      </w:r>
      <w:r w:rsidRPr="00E773DC">
        <w:rPr>
          <w:b/>
          <w:vertAlign w:val="superscript"/>
          <w:lang w:val="fr-FR"/>
        </w:rPr>
        <w:t>os</w:t>
      </w:r>
      <w:r w:rsidR="00B921D9">
        <w:rPr>
          <w:b/>
          <w:lang w:val="fr-FR"/>
        </w:rPr>
        <w:t> </w:t>
      </w:r>
      <w:r w:rsidRPr="00E773DC">
        <w:rPr>
          <w:b/>
          <w:lang w:val="fr-FR"/>
        </w:rPr>
        <w:t xml:space="preserve">49 </w:t>
      </w:r>
      <w:r w:rsidR="00B921D9">
        <w:rPr>
          <w:b/>
          <w:lang w:val="fr-FR"/>
        </w:rPr>
        <w:br/>
      </w:r>
      <w:r w:rsidRPr="00E773DC">
        <w:rPr>
          <w:b/>
          <w:lang w:val="fr-FR"/>
        </w:rPr>
        <w:t xml:space="preserve">(Émissions des moteurs à allumage par compression </w:t>
      </w:r>
      <w:r w:rsidR="00B921D9">
        <w:rPr>
          <w:b/>
          <w:lang w:val="fr-FR"/>
        </w:rPr>
        <w:br/>
      </w:r>
      <w:r w:rsidRPr="00E773DC">
        <w:rPr>
          <w:b/>
          <w:lang w:val="fr-FR"/>
        </w:rPr>
        <w:t>et</w:t>
      </w:r>
      <w:r w:rsidR="00B921D9">
        <w:rPr>
          <w:b/>
          <w:lang w:val="fr-FR"/>
        </w:rPr>
        <w:t xml:space="preserve"> </w:t>
      </w:r>
      <w:r w:rsidRPr="00E773DC">
        <w:rPr>
          <w:b/>
          <w:lang w:val="fr-FR"/>
        </w:rPr>
        <w:t>des</w:t>
      </w:r>
      <w:r w:rsidR="00B921D9">
        <w:rPr>
          <w:b/>
          <w:lang w:val="fr-FR"/>
        </w:rPr>
        <w:t xml:space="preserve"> </w:t>
      </w:r>
      <w:r w:rsidRPr="00E773DC">
        <w:rPr>
          <w:b/>
          <w:lang w:val="fr-FR"/>
        </w:rPr>
        <w:t xml:space="preserve">moteurs à allumage commandé (GPL et GNC)) </w:t>
      </w:r>
      <w:r w:rsidR="00B921D9">
        <w:rPr>
          <w:b/>
          <w:lang w:val="fr-FR"/>
        </w:rPr>
        <w:br/>
      </w:r>
      <w:r w:rsidRPr="00E773DC">
        <w:rPr>
          <w:b/>
          <w:lang w:val="fr-FR"/>
        </w:rPr>
        <w:t>et</w:t>
      </w:r>
      <w:r w:rsidR="00B921D9">
        <w:rPr>
          <w:b/>
          <w:lang w:val="fr-FR"/>
        </w:rPr>
        <w:t xml:space="preserve"> </w:t>
      </w:r>
      <w:r w:rsidRPr="00E773DC">
        <w:rPr>
          <w:b/>
          <w:lang w:val="fr-FR"/>
        </w:rPr>
        <w:t>132</w:t>
      </w:r>
      <w:r w:rsidR="00B921D9">
        <w:rPr>
          <w:b/>
          <w:lang w:val="fr-FR"/>
        </w:rPr>
        <w:t xml:space="preserve"> </w:t>
      </w:r>
      <w:r w:rsidRPr="00E773DC">
        <w:rPr>
          <w:b/>
          <w:lang w:val="fr-FR"/>
        </w:rPr>
        <w:t>(Dispositifs antipollution de mise à niveau (DAM))</w:t>
      </w:r>
    </w:p>
    <w:p w14:paraId="25A75620" w14:textId="77777777" w:rsidR="00213792" w:rsidRPr="00E773DC" w:rsidRDefault="00213792" w:rsidP="00B921D9">
      <w:pPr>
        <w:pStyle w:val="HChG"/>
        <w:rPr>
          <w:lang w:val="fr-FR"/>
        </w:rPr>
      </w:pPr>
      <w:r w:rsidRPr="00E773DC">
        <w:rPr>
          <w:lang w:val="fr-FR"/>
        </w:rPr>
        <w:tab/>
      </w:r>
      <w:r w:rsidRPr="00E773DC">
        <w:rPr>
          <w:lang w:val="fr-FR"/>
        </w:rPr>
        <w:tab/>
        <w:t>Proposition de nouvelle série d</w:t>
      </w:r>
      <w:r w:rsidR="00B921D9">
        <w:rPr>
          <w:lang w:val="fr-FR"/>
        </w:rPr>
        <w:t>’</w:t>
      </w:r>
      <w:r w:rsidRPr="00E773DC">
        <w:rPr>
          <w:lang w:val="fr-FR"/>
        </w:rPr>
        <w:t xml:space="preserve">amendements </w:t>
      </w:r>
      <w:r w:rsidR="00B921D9">
        <w:rPr>
          <w:lang w:val="fr-FR"/>
        </w:rPr>
        <w:br/>
      </w:r>
      <w:r w:rsidRPr="00E773DC">
        <w:rPr>
          <w:lang w:val="fr-FR"/>
        </w:rPr>
        <w:t>au Règlement ONU n</w:t>
      </w:r>
      <w:r w:rsidRPr="00E773DC">
        <w:rPr>
          <w:vertAlign w:val="superscript"/>
          <w:lang w:val="fr-FR"/>
        </w:rPr>
        <w:t>o</w:t>
      </w:r>
      <w:r w:rsidRPr="00E773DC">
        <w:rPr>
          <w:lang w:val="fr-FR"/>
        </w:rPr>
        <w:t xml:space="preserve"> 49 (Émissions des moteurs </w:t>
      </w:r>
      <w:r w:rsidR="00B921D9">
        <w:rPr>
          <w:lang w:val="fr-FR"/>
        </w:rPr>
        <w:br/>
      </w:r>
      <w:r w:rsidRPr="00E773DC">
        <w:rPr>
          <w:lang w:val="fr-FR"/>
        </w:rPr>
        <w:t>à allumage par</w:t>
      </w:r>
      <w:r w:rsidR="00B921D9">
        <w:rPr>
          <w:lang w:val="fr-FR"/>
        </w:rPr>
        <w:t xml:space="preserve"> </w:t>
      </w:r>
      <w:r w:rsidRPr="00E773DC">
        <w:rPr>
          <w:lang w:val="fr-FR"/>
        </w:rPr>
        <w:t>compression et</w:t>
      </w:r>
      <w:r w:rsidR="00B921D9">
        <w:rPr>
          <w:lang w:val="fr-FR"/>
        </w:rPr>
        <w:t xml:space="preserve"> </w:t>
      </w:r>
      <w:r w:rsidRPr="00E773DC">
        <w:rPr>
          <w:lang w:val="fr-FR"/>
        </w:rPr>
        <w:t>des</w:t>
      </w:r>
      <w:r w:rsidR="00B921D9">
        <w:rPr>
          <w:lang w:val="fr-FR"/>
        </w:rPr>
        <w:t xml:space="preserve"> </w:t>
      </w:r>
      <w:r w:rsidRPr="00E773DC">
        <w:rPr>
          <w:lang w:val="fr-FR"/>
        </w:rPr>
        <w:t xml:space="preserve">moteurs </w:t>
      </w:r>
      <w:r w:rsidR="00B921D9">
        <w:rPr>
          <w:lang w:val="fr-FR"/>
        </w:rPr>
        <w:br/>
      </w:r>
      <w:r w:rsidRPr="00E773DC">
        <w:rPr>
          <w:lang w:val="fr-FR"/>
        </w:rPr>
        <w:t>à allumage commandé (GPL et GNC))</w:t>
      </w:r>
    </w:p>
    <w:p w14:paraId="1F9FD2AF" w14:textId="77777777" w:rsidR="00213792" w:rsidRPr="00E773DC" w:rsidRDefault="00213792" w:rsidP="00B921D9">
      <w:pPr>
        <w:pStyle w:val="H1G"/>
        <w:rPr>
          <w:lang w:val="fr-FR"/>
        </w:rPr>
      </w:pPr>
      <w:r w:rsidRPr="00E773DC">
        <w:rPr>
          <w:lang w:val="fr-FR"/>
        </w:rPr>
        <w:tab/>
      </w:r>
      <w:r w:rsidRPr="00E773DC">
        <w:rPr>
          <w:lang w:val="fr-FR"/>
        </w:rPr>
        <w:tab/>
        <w:t>Communication de la Commission européenne</w:t>
      </w:r>
      <w:r w:rsidRPr="008E358D">
        <w:rPr>
          <w:b w:val="0"/>
          <w:sz w:val="20"/>
          <w:lang w:val="fr-FR"/>
        </w:rPr>
        <w:t>*</w:t>
      </w:r>
    </w:p>
    <w:p w14:paraId="51623ADF" w14:textId="77777777" w:rsidR="00213792" w:rsidRPr="00E773DC" w:rsidRDefault="00B921D9" w:rsidP="00B921D9">
      <w:pPr>
        <w:pStyle w:val="SingleTxtG"/>
        <w:rPr>
          <w:lang w:val="fr-FR"/>
        </w:rPr>
      </w:pPr>
      <w:r>
        <w:rPr>
          <w:lang w:val="fr-FR"/>
        </w:rPr>
        <w:tab/>
      </w:r>
      <w:r w:rsidR="00213792" w:rsidRPr="00E773DC">
        <w:rPr>
          <w:lang w:val="fr-FR"/>
        </w:rPr>
        <w:footnoteReference w:customMarkFollows="1" w:id="2"/>
        <w:t>Le texte reproduit ci-après, établi par l</w:t>
      </w:r>
      <w:r>
        <w:rPr>
          <w:lang w:val="fr-FR"/>
        </w:rPr>
        <w:t>’</w:t>
      </w:r>
      <w:r w:rsidR="00213792" w:rsidRPr="00E773DC">
        <w:rPr>
          <w:lang w:val="fr-FR"/>
        </w:rPr>
        <w:t xml:space="preserve">expert de la Commission européenne, </w:t>
      </w:r>
      <w:r w:rsidR="00213792">
        <w:rPr>
          <w:lang w:val="fr-FR"/>
        </w:rPr>
        <w:t>tend</w:t>
      </w:r>
      <w:r w:rsidR="00213792" w:rsidRPr="00E773DC">
        <w:rPr>
          <w:lang w:val="fr-FR"/>
        </w:rPr>
        <w:t xml:space="preserve"> à introduire de nouvelles prescriptions relatives aux stratégies auxiliaires </w:t>
      </w:r>
      <w:r w:rsidR="00213792">
        <w:rPr>
          <w:lang w:val="fr-FR"/>
        </w:rPr>
        <w:t xml:space="preserve">de limitation </w:t>
      </w:r>
      <w:r w:rsidR="00213792" w:rsidRPr="00E773DC">
        <w:rPr>
          <w:lang w:val="fr-FR"/>
        </w:rPr>
        <w:t>d</w:t>
      </w:r>
      <w:r w:rsidR="00213792">
        <w:rPr>
          <w:lang w:val="fr-FR"/>
        </w:rPr>
        <w:t xml:space="preserve">es </w:t>
      </w:r>
      <w:r w:rsidR="00213792" w:rsidRPr="00E773DC">
        <w:rPr>
          <w:lang w:val="fr-FR"/>
        </w:rPr>
        <w:t>émissions, au démarrage à froid des moteurs et à l</w:t>
      </w:r>
      <w:r>
        <w:rPr>
          <w:lang w:val="fr-FR"/>
        </w:rPr>
        <w:t>’</w:t>
      </w:r>
      <w:r w:rsidR="00213792" w:rsidRPr="00E773DC">
        <w:rPr>
          <w:lang w:val="fr-FR"/>
        </w:rPr>
        <w:t>utilisation des systèmes mobiles de mesure des émissions pour mesurer le nombre de particules</w:t>
      </w:r>
      <w:r w:rsidR="00F72B31" w:rsidRPr="00F72B31">
        <w:rPr>
          <w:lang w:val="fr-FR"/>
        </w:rPr>
        <w:t>.</w:t>
      </w:r>
      <w:r w:rsidR="00213792" w:rsidRPr="00E773DC">
        <w:rPr>
          <w:lang w:val="fr-FR"/>
        </w:rPr>
        <w:t xml:space="preserve"> Une nouvelle série d</w:t>
      </w:r>
      <w:r>
        <w:rPr>
          <w:lang w:val="fr-FR"/>
        </w:rPr>
        <w:t>’</w:t>
      </w:r>
      <w:r w:rsidR="00213792" w:rsidRPr="00E773DC">
        <w:rPr>
          <w:lang w:val="fr-FR"/>
        </w:rPr>
        <w:t>amendements est nécessaire car la présente proposition d</w:t>
      </w:r>
      <w:r>
        <w:rPr>
          <w:lang w:val="fr-FR"/>
        </w:rPr>
        <w:t>’</w:t>
      </w:r>
      <w:r w:rsidR="00213792" w:rsidRPr="00E773DC">
        <w:rPr>
          <w:lang w:val="fr-FR"/>
        </w:rPr>
        <w:t>amendement introduit un nouveau facteur de conformité pour le nombre de particules</w:t>
      </w:r>
      <w:r w:rsidR="00F72B31" w:rsidRPr="00F72B31">
        <w:rPr>
          <w:lang w:val="fr-FR"/>
        </w:rPr>
        <w:t>.</w:t>
      </w:r>
      <w:r w:rsidR="00213792" w:rsidRPr="00E773DC">
        <w:rPr>
          <w:lang w:val="fr-FR"/>
        </w:rPr>
        <w:t xml:space="preserve"> Les modifications qu</w:t>
      </w:r>
      <w:r>
        <w:rPr>
          <w:lang w:val="fr-FR"/>
        </w:rPr>
        <w:t>’</w:t>
      </w:r>
      <w:r w:rsidR="00213792" w:rsidRPr="00E773DC">
        <w:rPr>
          <w:lang w:val="fr-FR"/>
        </w:rPr>
        <w:t>il est proposé d</w:t>
      </w:r>
      <w:r>
        <w:rPr>
          <w:lang w:val="fr-FR"/>
        </w:rPr>
        <w:t>’</w:t>
      </w:r>
      <w:r w:rsidR="00213792" w:rsidRPr="00E773DC">
        <w:rPr>
          <w:lang w:val="fr-FR"/>
        </w:rPr>
        <w:t>apporter au texte actuel du Règlement</w:t>
      </w:r>
      <w:r w:rsidR="00213792">
        <w:rPr>
          <w:lang w:val="fr-FR"/>
        </w:rPr>
        <w:t xml:space="preserve"> ONU</w:t>
      </w:r>
      <w:r w:rsidR="00213792" w:rsidRPr="00E773DC">
        <w:rPr>
          <w:lang w:val="fr-FR"/>
        </w:rPr>
        <w:t xml:space="preserve"> n</w:t>
      </w:r>
      <w:r w:rsidR="00213792" w:rsidRPr="00E773DC">
        <w:rPr>
          <w:vertAlign w:val="superscript"/>
          <w:lang w:val="fr-FR"/>
        </w:rPr>
        <w:t>o</w:t>
      </w:r>
      <w:r w:rsidR="00213792" w:rsidRPr="00E773DC">
        <w:rPr>
          <w:lang w:val="fr-FR"/>
        </w:rPr>
        <w:t> 49 figurent en caractères gras pour les ajouts et biffés pour les suppressions</w:t>
      </w:r>
      <w:r w:rsidR="00F72B31" w:rsidRPr="00F72B31">
        <w:rPr>
          <w:szCs w:val="23"/>
          <w:lang w:val="fr-FR"/>
        </w:rPr>
        <w:t>.</w:t>
      </w:r>
    </w:p>
    <w:p w14:paraId="407958CD" w14:textId="77777777" w:rsidR="00213792" w:rsidRPr="00E773DC" w:rsidRDefault="00213792" w:rsidP="00B921D9">
      <w:pPr>
        <w:pStyle w:val="HChG"/>
        <w:tabs>
          <w:tab w:val="clear" w:pos="851"/>
          <w:tab w:val="left" w:pos="1134"/>
        </w:tabs>
        <w:ind w:left="1701"/>
        <w:rPr>
          <w:lang w:val="fr-FR"/>
        </w:rPr>
      </w:pPr>
      <w:r w:rsidRPr="00E773DC">
        <w:rPr>
          <w:lang w:val="fr-FR"/>
        </w:rPr>
        <w:br w:type="page"/>
      </w:r>
      <w:r w:rsidRPr="00E773DC">
        <w:rPr>
          <w:lang w:val="fr-FR"/>
        </w:rPr>
        <w:lastRenderedPageBreak/>
        <w:t>I</w:t>
      </w:r>
      <w:r w:rsidR="00F72B31" w:rsidRPr="00F72B31">
        <w:rPr>
          <w:lang w:val="fr-FR"/>
        </w:rPr>
        <w:t>.</w:t>
      </w:r>
      <w:r w:rsidRPr="00E773DC">
        <w:rPr>
          <w:lang w:val="fr-FR"/>
        </w:rPr>
        <w:tab/>
        <w:t>Proposition</w:t>
      </w:r>
    </w:p>
    <w:p w14:paraId="0A507782" w14:textId="77777777" w:rsidR="00213792" w:rsidRPr="00E773DC" w:rsidRDefault="00213792" w:rsidP="00213792">
      <w:pPr>
        <w:pStyle w:val="SingleTxtG"/>
        <w:keepNext/>
        <w:rPr>
          <w:lang w:val="fr-FR"/>
        </w:rPr>
      </w:pPr>
      <w:r w:rsidRPr="00E773DC">
        <w:rPr>
          <w:i/>
          <w:iCs/>
          <w:lang w:val="fr-FR"/>
        </w:rPr>
        <w:t>Paragraphe 1</w:t>
      </w:r>
      <w:r w:rsidR="00F72B31" w:rsidRPr="00F72B31">
        <w:rPr>
          <w:i/>
          <w:iCs/>
          <w:lang w:val="fr-FR"/>
        </w:rPr>
        <w:t>.</w:t>
      </w:r>
      <w:r w:rsidRPr="00E773DC">
        <w:rPr>
          <w:i/>
          <w:iCs/>
          <w:lang w:val="fr-FR"/>
        </w:rPr>
        <w:t>2</w:t>
      </w:r>
      <w:r w:rsidRPr="00B921D9">
        <w:rPr>
          <w:lang w:val="fr-FR"/>
        </w:rPr>
        <w:t>,</w:t>
      </w:r>
      <w:r w:rsidRPr="00E773DC">
        <w:rPr>
          <w:i/>
          <w:iCs/>
          <w:lang w:val="fr-FR"/>
        </w:rPr>
        <w:t xml:space="preserve"> </w:t>
      </w:r>
      <w:r w:rsidRPr="00E773DC">
        <w:rPr>
          <w:lang w:val="fr-FR"/>
        </w:rPr>
        <w:t>lire :</w:t>
      </w:r>
    </w:p>
    <w:p w14:paraId="4C057132" w14:textId="77777777" w:rsidR="00213792" w:rsidRPr="00E773DC" w:rsidRDefault="00213792" w:rsidP="00213792">
      <w:pPr>
        <w:pStyle w:val="SingleTxtG"/>
        <w:ind w:left="2268" w:hanging="1134"/>
        <w:rPr>
          <w:u w:val="single"/>
          <w:lang w:val="fr-FR"/>
        </w:rPr>
      </w:pPr>
      <w:r w:rsidRPr="00E773DC">
        <w:rPr>
          <w:lang w:val="fr-FR"/>
        </w:rPr>
        <w:t>« 1</w:t>
      </w:r>
      <w:r w:rsidR="00F72B31" w:rsidRPr="00F72B31">
        <w:rPr>
          <w:lang w:val="fr-FR"/>
        </w:rPr>
        <w:t>.</w:t>
      </w:r>
      <w:r w:rsidRPr="00E773DC">
        <w:rPr>
          <w:lang w:val="fr-FR"/>
        </w:rPr>
        <w:t>2</w:t>
      </w:r>
      <w:r w:rsidRPr="00E773DC">
        <w:rPr>
          <w:lang w:val="fr-FR"/>
        </w:rPr>
        <w:tab/>
        <w:t>Homologations équivalentes</w:t>
      </w:r>
    </w:p>
    <w:p w14:paraId="07D46322" w14:textId="77777777" w:rsidR="00213792" w:rsidRPr="00E773DC" w:rsidRDefault="00213792" w:rsidP="00213792">
      <w:pPr>
        <w:pStyle w:val="SingleTxtG"/>
        <w:ind w:left="2268"/>
        <w:rPr>
          <w:i/>
          <w:iCs/>
          <w:lang w:val="fr-FR"/>
        </w:rPr>
      </w:pPr>
      <w:r w:rsidRPr="00E773DC">
        <w:rPr>
          <w:lang w:val="fr-FR"/>
        </w:rPr>
        <w:tab/>
      </w:r>
      <w:r w:rsidRPr="00E773DC">
        <w:rPr>
          <w:spacing w:val="-2"/>
          <w:lang w:val="fr-FR"/>
        </w:rPr>
        <w:t>Les moteurs ci-après n</w:t>
      </w:r>
      <w:r w:rsidR="00B921D9">
        <w:rPr>
          <w:spacing w:val="-2"/>
          <w:lang w:val="fr-FR"/>
        </w:rPr>
        <w:t>’</w:t>
      </w:r>
      <w:r w:rsidRPr="00E773DC">
        <w:rPr>
          <w:spacing w:val="-2"/>
          <w:lang w:val="fr-FR"/>
        </w:rPr>
        <w:t>ont pas à être homologués conformément au présent Règlement : moteurs équipant des véhicules dont la masse de référence ne dépasse pas 2 840 kg et qui ont été homologués par extension conformément au</w:t>
      </w:r>
      <w:r w:rsidRPr="00E773DC">
        <w:rPr>
          <w:b/>
          <w:bCs/>
          <w:spacing w:val="-2"/>
          <w:lang w:val="fr-FR"/>
        </w:rPr>
        <w:t>x</w:t>
      </w:r>
      <w:r w:rsidRPr="00E773DC">
        <w:rPr>
          <w:spacing w:val="-2"/>
          <w:lang w:val="fr-FR"/>
        </w:rPr>
        <w:t> Règlement</w:t>
      </w:r>
      <w:r w:rsidRPr="00E773DC">
        <w:rPr>
          <w:b/>
          <w:bCs/>
          <w:spacing w:val="-2"/>
          <w:lang w:val="fr-FR"/>
        </w:rPr>
        <w:t>s</w:t>
      </w:r>
      <w:r w:rsidRPr="00E773DC">
        <w:rPr>
          <w:spacing w:val="-2"/>
          <w:lang w:val="fr-FR"/>
        </w:rPr>
        <w:t xml:space="preserve"> </w:t>
      </w:r>
      <w:r w:rsidRPr="00E773DC">
        <w:rPr>
          <w:rFonts w:eastAsia="MS Mincho"/>
          <w:spacing w:val="-2"/>
          <w:lang w:val="fr-FR"/>
        </w:rPr>
        <w:t>n</w:t>
      </w:r>
      <w:r w:rsidRPr="00E773DC">
        <w:rPr>
          <w:rFonts w:eastAsia="MS Mincho"/>
          <w:spacing w:val="-2"/>
          <w:vertAlign w:val="superscript"/>
          <w:lang w:val="fr-FR"/>
        </w:rPr>
        <w:t>o</w:t>
      </w:r>
      <w:r w:rsidRPr="00E773DC">
        <w:rPr>
          <w:rFonts w:eastAsia="MS Mincho"/>
          <w:b/>
          <w:bCs/>
          <w:spacing w:val="-2"/>
          <w:vertAlign w:val="superscript"/>
          <w:lang w:val="fr-FR"/>
        </w:rPr>
        <w:t>s</w:t>
      </w:r>
      <w:r w:rsidRPr="00E773DC">
        <w:rPr>
          <w:spacing w:val="-2"/>
          <w:lang w:val="fr-FR"/>
        </w:rPr>
        <w:t xml:space="preserve"> 83 </w:t>
      </w:r>
      <w:r w:rsidRPr="00E773DC">
        <w:rPr>
          <w:b/>
          <w:bCs/>
          <w:spacing w:val="-2"/>
          <w:lang w:val="fr-FR"/>
        </w:rPr>
        <w:t>ou [154]</w:t>
      </w:r>
      <w:r w:rsidR="00F72B31" w:rsidRPr="00F72B31">
        <w:rPr>
          <w:lang w:val="fr-FR"/>
        </w:rPr>
        <w:t>.</w:t>
      </w:r>
      <w:r w:rsidRPr="00E773DC">
        <w:rPr>
          <w:lang w:val="fr-FR"/>
        </w:rPr>
        <w:t> »</w:t>
      </w:r>
      <w:r w:rsidR="00F72B31" w:rsidRPr="00F72B31">
        <w:rPr>
          <w:lang w:val="fr-FR"/>
        </w:rPr>
        <w:t>.</w:t>
      </w:r>
    </w:p>
    <w:p w14:paraId="79EBCC44" w14:textId="77777777" w:rsidR="00213792" w:rsidRPr="00E773DC" w:rsidRDefault="00213792" w:rsidP="00213792">
      <w:pPr>
        <w:pStyle w:val="SingleTxtG"/>
        <w:rPr>
          <w:lang w:val="fr-FR"/>
        </w:rPr>
      </w:pPr>
      <w:r w:rsidRPr="00E773DC">
        <w:rPr>
          <w:i/>
          <w:iCs/>
          <w:lang w:val="fr-FR"/>
        </w:rPr>
        <w:t>Ajouter un nouveau paragraphe 2</w:t>
      </w:r>
      <w:r w:rsidR="00F72B31" w:rsidRPr="00F72B31">
        <w:rPr>
          <w:i/>
          <w:iCs/>
          <w:lang w:val="fr-FR"/>
        </w:rPr>
        <w:t>.</w:t>
      </w:r>
      <w:r w:rsidRPr="00E773DC">
        <w:rPr>
          <w:i/>
          <w:iCs/>
          <w:lang w:val="fr-FR"/>
        </w:rPr>
        <w:t>46</w:t>
      </w:r>
      <w:r w:rsidR="00F72B31" w:rsidRPr="00F72B31">
        <w:rPr>
          <w:i/>
          <w:iCs/>
          <w:lang w:val="fr-FR"/>
        </w:rPr>
        <w:t>.</w:t>
      </w:r>
      <w:r w:rsidRPr="00E773DC">
        <w:rPr>
          <w:i/>
          <w:iCs/>
          <w:lang w:val="fr-FR"/>
        </w:rPr>
        <w:t xml:space="preserve">1, </w:t>
      </w:r>
      <w:r w:rsidRPr="00E773DC">
        <w:rPr>
          <w:iCs/>
          <w:lang w:val="fr-FR"/>
        </w:rPr>
        <w:t>libellé comme suit :</w:t>
      </w:r>
    </w:p>
    <w:p w14:paraId="66084064" w14:textId="77777777" w:rsidR="00213792" w:rsidRPr="00E773DC" w:rsidRDefault="00213792" w:rsidP="00213792">
      <w:pPr>
        <w:pStyle w:val="SingleTxtG"/>
        <w:ind w:left="2268" w:hanging="1134"/>
        <w:rPr>
          <w:lang w:val="fr-FR"/>
        </w:rPr>
      </w:pPr>
      <w:r w:rsidRPr="00E773DC">
        <w:rPr>
          <w:lang w:val="fr-FR"/>
        </w:rPr>
        <w:t>« </w:t>
      </w:r>
      <w:r w:rsidRPr="00E773DC">
        <w:rPr>
          <w:b/>
          <w:bCs/>
          <w:lang w:val="fr-FR"/>
        </w:rPr>
        <w:t>2</w:t>
      </w:r>
      <w:r w:rsidR="00F72B31" w:rsidRPr="00F72B31">
        <w:rPr>
          <w:b/>
          <w:bCs/>
          <w:lang w:val="fr-FR"/>
        </w:rPr>
        <w:t>.</w:t>
      </w:r>
      <w:r w:rsidRPr="00E773DC">
        <w:rPr>
          <w:b/>
          <w:bCs/>
          <w:lang w:val="fr-FR"/>
        </w:rPr>
        <w:t>46</w:t>
      </w:r>
      <w:r w:rsidR="00F72B31" w:rsidRPr="00F72B31">
        <w:rPr>
          <w:b/>
          <w:bCs/>
          <w:lang w:val="fr-FR"/>
        </w:rPr>
        <w:t>.</w:t>
      </w:r>
      <w:r w:rsidRPr="00E773DC">
        <w:rPr>
          <w:b/>
          <w:bCs/>
          <w:lang w:val="fr-FR"/>
        </w:rPr>
        <w:t>1</w:t>
      </w:r>
      <w:r w:rsidRPr="00E773DC">
        <w:rPr>
          <w:b/>
          <w:bCs/>
          <w:lang w:val="fr-FR"/>
        </w:rPr>
        <w:tab/>
      </w:r>
      <w:r w:rsidRPr="00FA4A44">
        <w:rPr>
          <w:b/>
          <w:bCs/>
        </w:rPr>
        <w:t>“</w:t>
      </w:r>
      <w:r w:rsidRPr="005D5126">
        <w:rPr>
          <w:b/>
          <w:bCs/>
          <w:i/>
          <w:iCs/>
          <w:lang w:val="fr-FR"/>
        </w:rPr>
        <w:t>Nombre de particules</w:t>
      </w:r>
      <w:r w:rsidRPr="00FA4A44">
        <w:rPr>
          <w:b/>
          <w:bCs/>
        </w:rPr>
        <w:t>”</w:t>
      </w:r>
      <w:r w:rsidRPr="00E773DC">
        <w:rPr>
          <w:b/>
          <w:bCs/>
          <w:lang w:val="fr-FR"/>
        </w:rPr>
        <w:t>, le nombre total de particules solides émises par les gaz d</w:t>
      </w:r>
      <w:r w:rsidR="00B921D9">
        <w:rPr>
          <w:b/>
          <w:bCs/>
          <w:lang w:val="fr-FR"/>
        </w:rPr>
        <w:t>’</w:t>
      </w:r>
      <w:r w:rsidRPr="00E773DC">
        <w:rPr>
          <w:b/>
          <w:bCs/>
          <w:lang w:val="fr-FR"/>
        </w:rPr>
        <w:t>échappement, quantifié selon les méthodes de dilution, de prélèvement et de mesure indiquées à l</w:t>
      </w:r>
      <w:r w:rsidR="00B921D9">
        <w:rPr>
          <w:b/>
          <w:bCs/>
          <w:lang w:val="fr-FR"/>
        </w:rPr>
        <w:t>’</w:t>
      </w:r>
      <w:r w:rsidRPr="00E773DC">
        <w:rPr>
          <w:b/>
          <w:bCs/>
          <w:lang w:val="fr-FR"/>
        </w:rPr>
        <w:t>annexe 4</w:t>
      </w:r>
      <w:r w:rsidR="00F72B31" w:rsidRPr="00F72B31">
        <w:rPr>
          <w:lang w:val="fr-FR"/>
        </w:rPr>
        <w:t>.</w:t>
      </w:r>
      <w:r w:rsidRPr="00E773DC">
        <w:rPr>
          <w:lang w:val="fr-FR"/>
        </w:rPr>
        <w:t> »</w:t>
      </w:r>
      <w:r w:rsidR="00F72B31" w:rsidRPr="00F72B31">
        <w:rPr>
          <w:lang w:val="fr-FR"/>
        </w:rPr>
        <w:t>.</w:t>
      </w:r>
    </w:p>
    <w:p w14:paraId="659B278C" w14:textId="77777777" w:rsidR="00213792" w:rsidRPr="00E773DC" w:rsidRDefault="00213792" w:rsidP="00213792">
      <w:pPr>
        <w:pStyle w:val="SingleTxtG"/>
        <w:rPr>
          <w:lang w:val="fr-FR"/>
        </w:rPr>
      </w:pPr>
      <w:r w:rsidRPr="00E773DC">
        <w:rPr>
          <w:i/>
          <w:iCs/>
          <w:lang w:val="fr-FR"/>
        </w:rPr>
        <w:t>Paragraphe 3</w:t>
      </w:r>
      <w:r w:rsidR="00F72B31" w:rsidRPr="00F72B31">
        <w:rPr>
          <w:i/>
          <w:iCs/>
          <w:lang w:val="fr-FR"/>
        </w:rPr>
        <w:t>.</w:t>
      </w:r>
      <w:r w:rsidRPr="00E773DC">
        <w:rPr>
          <w:i/>
          <w:iCs/>
          <w:lang w:val="fr-FR"/>
        </w:rPr>
        <w:t>1</w:t>
      </w:r>
      <w:r w:rsidR="00F72B31" w:rsidRPr="00F72B31">
        <w:rPr>
          <w:i/>
          <w:iCs/>
          <w:lang w:val="fr-FR"/>
        </w:rPr>
        <w:t>.</w:t>
      </w:r>
      <w:r w:rsidRPr="00E773DC">
        <w:rPr>
          <w:i/>
          <w:iCs/>
          <w:lang w:val="fr-FR"/>
        </w:rPr>
        <w:t>3</w:t>
      </w:r>
      <w:r w:rsidRPr="00E773DC">
        <w:rPr>
          <w:lang w:val="fr-FR"/>
        </w:rPr>
        <w:t>, lire :</w:t>
      </w:r>
    </w:p>
    <w:p w14:paraId="0C49234B" w14:textId="77777777" w:rsidR="00213792" w:rsidRPr="00E773DC" w:rsidRDefault="00213792" w:rsidP="00213792">
      <w:pPr>
        <w:pStyle w:val="SingleTxtG"/>
        <w:keepNext/>
        <w:spacing w:after="100"/>
        <w:ind w:left="2268" w:hanging="1134"/>
        <w:rPr>
          <w:strike/>
          <w:lang w:val="fr-FR"/>
        </w:rPr>
      </w:pPr>
      <w:r w:rsidRPr="00E773DC">
        <w:rPr>
          <w:lang w:val="fr-FR"/>
        </w:rPr>
        <w:t>« 3</w:t>
      </w:r>
      <w:r w:rsidR="00F72B31" w:rsidRPr="00F72B31">
        <w:rPr>
          <w:lang w:val="fr-FR"/>
        </w:rPr>
        <w:t>.</w:t>
      </w:r>
      <w:r w:rsidRPr="00E773DC">
        <w:rPr>
          <w:lang w:val="fr-FR"/>
        </w:rPr>
        <w:t>1</w:t>
      </w:r>
      <w:r w:rsidR="00F72B31" w:rsidRPr="00F72B31">
        <w:rPr>
          <w:lang w:val="fr-FR"/>
        </w:rPr>
        <w:t>.</w:t>
      </w:r>
      <w:r w:rsidRPr="00E773DC">
        <w:rPr>
          <w:lang w:val="fr-FR"/>
        </w:rPr>
        <w:t>3</w:t>
      </w:r>
      <w:r w:rsidRPr="00E773DC">
        <w:rPr>
          <w:lang w:val="fr-FR"/>
        </w:rPr>
        <w:tab/>
        <w:t>Le constructeur doit fournir un dossier d</w:t>
      </w:r>
      <w:r w:rsidR="00B921D9">
        <w:rPr>
          <w:lang w:val="fr-FR"/>
        </w:rPr>
        <w:t>’</w:t>
      </w:r>
      <w:r w:rsidRPr="00E773DC">
        <w:rPr>
          <w:lang w:val="fr-FR"/>
        </w:rPr>
        <w:t>information qui présente en détail tout élément de conception ayant une incidence sur les émissions, la stratégie de limitation des émissions mise en œuvre dans le système moteur, les moyens par lesquels ce dernier contrôle les variables de sortie qui ont une incidence sur les émissions, le type de contrôle, direct ou indirect</w:t>
      </w:r>
      <w:r w:rsidRPr="00E773DC">
        <w:rPr>
          <w:b/>
          <w:bCs/>
          <w:lang w:val="fr-FR"/>
        </w:rPr>
        <w:t>, les</w:t>
      </w:r>
      <w:r w:rsidRPr="00E773DC">
        <w:rPr>
          <w:lang w:val="fr-FR"/>
        </w:rPr>
        <w:t xml:space="preserve"> </w:t>
      </w:r>
      <w:r w:rsidRPr="00E773DC">
        <w:rPr>
          <w:b/>
          <w:bCs/>
          <w:lang w:val="fr-FR"/>
        </w:rPr>
        <w:t xml:space="preserve">mesures de lutte contre les </w:t>
      </w:r>
      <w:r>
        <w:rPr>
          <w:b/>
          <w:bCs/>
          <w:lang w:val="fr-FR"/>
        </w:rPr>
        <w:t>modific</w:t>
      </w:r>
      <w:r w:rsidRPr="00E773DC">
        <w:rPr>
          <w:b/>
          <w:bCs/>
          <w:lang w:val="fr-FR"/>
        </w:rPr>
        <w:t xml:space="preserve">ations non autorisées </w:t>
      </w:r>
      <w:r w:rsidRPr="00E773DC">
        <w:rPr>
          <w:lang w:val="fr-FR"/>
        </w:rPr>
        <w:t>ainsi que les systèmes d</w:t>
      </w:r>
      <w:r w:rsidR="00B921D9">
        <w:rPr>
          <w:lang w:val="fr-FR"/>
        </w:rPr>
        <w:t>’</w:t>
      </w:r>
      <w:r w:rsidRPr="00E773DC">
        <w:rPr>
          <w:lang w:val="fr-FR"/>
        </w:rPr>
        <w:t>alerte et d</w:t>
      </w:r>
      <w:r w:rsidR="00B921D9">
        <w:rPr>
          <w:lang w:val="fr-FR"/>
        </w:rPr>
        <w:t>’</w:t>
      </w:r>
      <w:r w:rsidRPr="00E773DC">
        <w:rPr>
          <w:lang w:val="fr-FR"/>
        </w:rPr>
        <w:t>incitation prescrits aux paragraphes 4 et 5 de l</w:t>
      </w:r>
      <w:r w:rsidR="00B921D9">
        <w:rPr>
          <w:lang w:val="fr-FR"/>
        </w:rPr>
        <w:t>’</w:t>
      </w:r>
      <w:r w:rsidRPr="00E773DC">
        <w:rPr>
          <w:lang w:val="fr-FR"/>
        </w:rPr>
        <w:t>annexe 11</w:t>
      </w:r>
      <w:r w:rsidR="00F72B31" w:rsidRPr="00F72B31">
        <w:rPr>
          <w:lang w:val="fr-FR"/>
        </w:rPr>
        <w:t>.</w:t>
      </w:r>
      <w:r w:rsidRPr="00E773DC">
        <w:rPr>
          <w:lang w:val="fr-FR"/>
        </w:rPr>
        <w:t xml:space="preserve"> </w:t>
      </w:r>
      <w:bookmarkStart w:id="0" w:name="_Hlk55591359"/>
      <w:r w:rsidRPr="0052312C">
        <w:rPr>
          <w:b/>
          <w:bCs/>
          <w:strike/>
          <w:lang w:val="fr-FR"/>
        </w:rPr>
        <w:t>Ce dossier d</w:t>
      </w:r>
      <w:r w:rsidR="00B921D9" w:rsidRPr="0052312C">
        <w:rPr>
          <w:b/>
          <w:bCs/>
          <w:strike/>
          <w:lang w:val="fr-FR"/>
        </w:rPr>
        <w:t>’</w:t>
      </w:r>
      <w:r w:rsidRPr="0052312C">
        <w:rPr>
          <w:b/>
          <w:bCs/>
          <w:strike/>
          <w:lang w:val="fr-FR"/>
        </w:rPr>
        <w:t xml:space="preserve">information doit être </w:t>
      </w:r>
      <w:bookmarkEnd w:id="0"/>
      <w:r w:rsidRPr="0052312C">
        <w:rPr>
          <w:b/>
          <w:bCs/>
          <w:strike/>
          <w:lang w:val="fr-FR"/>
        </w:rPr>
        <w:t>répertorié et daté par l</w:t>
      </w:r>
      <w:r w:rsidR="00B921D9" w:rsidRPr="0052312C">
        <w:rPr>
          <w:b/>
          <w:bCs/>
          <w:strike/>
          <w:lang w:val="fr-FR"/>
        </w:rPr>
        <w:t>’</w:t>
      </w:r>
      <w:r w:rsidRPr="0052312C">
        <w:rPr>
          <w:b/>
          <w:bCs/>
          <w:strike/>
          <w:lang w:val="fr-FR"/>
        </w:rPr>
        <w:t xml:space="preserve">autorité </w:t>
      </w:r>
      <w:bookmarkStart w:id="1" w:name="_Hlk55591383"/>
      <w:r w:rsidRPr="0052312C">
        <w:rPr>
          <w:b/>
          <w:bCs/>
          <w:strike/>
          <w:lang w:val="fr-FR"/>
        </w:rPr>
        <w:t>d</w:t>
      </w:r>
      <w:r w:rsidR="00B921D9" w:rsidRPr="0052312C">
        <w:rPr>
          <w:b/>
          <w:bCs/>
          <w:strike/>
          <w:lang w:val="fr-FR"/>
        </w:rPr>
        <w:t>’</w:t>
      </w:r>
      <w:r w:rsidRPr="0052312C">
        <w:rPr>
          <w:b/>
          <w:bCs/>
          <w:strike/>
          <w:lang w:val="fr-FR"/>
        </w:rPr>
        <w:t>homologation et conservé par elle pendant au moins dix ans après l</w:t>
      </w:r>
      <w:r w:rsidR="00B921D9" w:rsidRPr="0052312C">
        <w:rPr>
          <w:b/>
          <w:bCs/>
          <w:strike/>
          <w:lang w:val="fr-FR"/>
        </w:rPr>
        <w:t>’</w:t>
      </w:r>
      <w:r w:rsidRPr="0052312C">
        <w:rPr>
          <w:b/>
          <w:bCs/>
          <w:strike/>
          <w:lang w:val="fr-FR"/>
        </w:rPr>
        <w:t>octroi de l</w:t>
      </w:r>
      <w:r w:rsidR="00B921D9" w:rsidRPr="0052312C">
        <w:rPr>
          <w:b/>
          <w:bCs/>
          <w:strike/>
          <w:lang w:val="fr-FR"/>
        </w:rPr>
        <w:t>’</w:t>
      </w:r>
      <w:r w:rsidRPr="0052312C">
        <w:rPr>
          <w:b/>
          <w:bCs/>
          <w:strike/>
          <w:lang w:val="fr-FR"/>
        </w:rPr>
        <w:t>homologation</w:t>
      </w:r>
      <w:bookmarkEnd w:id="1"/>
      <w:r w:rsidR="00F72B31" w:rsidRPr="00F72B31">
        <w:rPr>
          <w:b/>
          <w:bCs/>
          <w:strike/>
          <w:lang w:val="fr-FR"/>
        </w:rPr>
        <w:t>.</w:t>
      </w:r>
      <w:r w:rsidRPr="00E773DC">
        <w:rPr>
          <w:strike/>
          <w:lang w:val="fr-FR"/>
        </w:rPr>
        <w:t xml:space="preserve"> Le dossier </w:t>
      </w:r>
      <w:bookmarkStart w:id="2" w:name="_Hlk55589816"/>
      <w:r w:rsidRPr="00E773DC">
        <w:rPr>
          <w:strike/>
          <w:lang w:val="fr-FR"/>
        </w:rPr>
        <w:t>d</w:t>
      </w:r>
      <w:r w:rsidR="00B921D9">
        <w:rPr>
          <w:strike/>
          <w:lang w:val="fr-FR"/>
        </w:rPr>
        <w:t>’</w:t>
      </w:r>
      <w:r w:rsidRPr="00E773DC">
        <w:rPr>
          <w:strike/>
          <w:lang w:val="fr-FR"/>
        </w:rPr>
        <w:t xml:space="preserve">information </w:t>
      </w:r>
      <w:bookmarkEnd w:id="2"/>
      <w:r w:rsidRPr="00E773DC">
        <w:rPr>
          <w:strike/>
          <w:lang w:val="fr-FR"/>
        </w:rPr>
        <w:t>comprend les éléments ci-après, y compris les informations mentionnées au paragraphe 5</w:t>
      </w:r>
      <w:r w:rsidR="00F72B31" w:rsidRPr="00F72B31">
        <w:rPr>
          <w:strike/>
          <w:lang w:val="fr-FR"/>
        </w:rPr>
        <w:t>.</w:t>
      </w:r>
      <w:r w:rsidRPr="00E773DC">
        <w:rPr>
          <w:strike/>
          <w:lang w:val="fr-FR"/>
        </w:rPr>
        <w:t>1</w:t>
      </w:r>
      <w:r w:rsidR="00F72B31" w:rsidRPr="00F72B31">
        <w:rPr>
          <w:strike/>
          <w:lang w:val="fr-FR"/>
        </w:rPr>
        <w:t>.</w:t>
      </w:r>
      <w:r w:rsidRPr="00E773DC">
        <w:rPr>
          <w:strike/>
          <w:lang w:val="fr-FR"/>
        </w:rPr>
        <w:t>4:</w:t>
      </w:r>
    </w:p>
    <w:p w14:paraId="6CDBAA44" w14:textId="77777777" w:rsidR="00213792" w:rsidRPr="00E773DC" w:rsidRDefault="00213792" w:rsidP="00213792">
      <w:pPr>
        <w:pStyle w:val="SingleTxtG"/>
        <w:spacing w:after="100"/>
        <w:ind w:left="2835" w:hanging="567"/>
        <w:rPr>
          <w:strike/>
          <w:lang w:val="fr-FR"/>
        </w:rPr>
      </w:pPr>
      <w:r w:rsidRPr="00E773DC">
        <w:rPr>
          <w:strike/>
          <w:lang w:val="fr-FR"/>
        </w:rPr>
        <w:t>a)</w:t>
      </w:r>
      <w:r w:rsidRPr="00E773DC">
        <w:rPr>
          <w:strike/>
          <w:lang w:val="fr-FR"/>
        </w:rPr>
        <w:tab/>
        <w:t>Un dossier officiel, qui est conservé par l</w:t>
      </w:r>
      <w:r w:rsidR="00B921D9">
        <w:rPr>
          <w:strike/>
          <w:lang w:val="fr-FR"/>
        </w:rPr>
        <w:t>’</w:t>
      </w:r>
      <w:r w:rsidRPr="00E773DC">
        <w:rPr>
          <w:strike/>
          <w:lang w:val="fr-FR"/>
        </w:rPr>
        <w:t>autorité d</w:t>
      </w:r>
      <w:r w:rsidR="00B921D9">
        <w:rPr>
          <w:strike/>
          <w:lang w:val="fr-FR"/>
        </w:rPr>
        <w:t>’</w:t>
      </w:r>
      <w:r w:rsidRPr="00E773DC">
        <w:rPr>
          <w:strike/>
          <w:lang w:val="fr-FR"/>
        </w:rPr>
        <w:t>homologation de type et qui peut être communiqué aux parties intéressées sur demande;</w:t>
      </w:r>
    </w:p>
    <w:p w14:paraId="421FF17B" w14:textId="77777777" w:rsidR="00213792" w:rsidRPr="00E773DC" w:rsidRDefault="00213792" w:rsidP="00213792">
      <w:pPr>
        <w:pStyle w:val="SingleTxtG"/>
        <w:spacing w:after="100"/>
        <w:ind w:left="2835" w:hanging="567"/>
        <w:rPr>
          <w:lang w:val="fr-FR"/>
        </w:rPr>
      </w:pPr>
      <w:r w:rsidRPr="00E773DC">
        <w:rPr>
          <w:strike/>
          <w:lang w:val="fr-FR"/>
        </w:rPr>
        <w:t>b)</w:t>
      </w:r>
      <w:r w:rsidRPr="00E773DC">
        <w:rPr>
          <w:strike/>
          <w:lang w:val="fr-FR"/>
        </w:rPr>
        <w:tab/>
        <w:t>Un dossier détaillé, qui reste confidentiel; ce dossier peut être conservé par l</w:t>
      </w:r>
      <w:r w:rsidR="00B921D9">
        <w:rPr>
          <w:strike/>
          <w:lang w:val="fr-FR"/>
        </w:rPr>
        <w:t>’</w:t>
      </w:r>
      <w:r w:rsidRPr="00E773DC">
        <w:rPr>
          <w:strike/>
          <w:lang w:val="fr-FR"/>
        </w:rPr>
        <w:t>autorité d</w:t>
      </w:r>
      <w:r w:rsidR="00B921D9">
        <w:rPr>
          <w:strike/>
          <w:lang w:val="fr-FR"/>
        </w:rPr>
        <w:t>’</w:t>
      </w:r>
      <w:r w:rsidRPr="00E773DC">
        <w:rPr>
          <w:strike/>
          <w:lang w:val="fr-FR"/>
        </w:rPr>
        <w:t>homologation de type ou par le constructeur, à la discrétion de l</w:t>
      </w:r>
      <w:r w:rsidR="00B921D9">
        <w:rPr>
          <w:strike/>
          <w:lang w:val="fr-FR"/>
        </w:rPr>
        <w:t>’</w:t>
      </w:r>
      <w:r w:rsidRPr="00E773DC">
        <w:rPr>
          <w:strike/>
          <w:lang w:val="fr-FR"/>
        </w:rPr>
        <w:t>autorité, mais il doit être mis à la disposition de celle-ci, pour examen, à l</w:t>
      </w:r>
      <w:r w:rsidR="00B921D9">
        <w:rPr>
          <w:strike/>
          <w:lang w:val="fr-FR"/>
        </w:rPr>
        <w:t>’</w:t>
      </w:r>
      <w:r w:rsidRPr="00E773DC">
        <w:rPr>
          <w:strike/>
          <w:lang w:val="fr-FR"/>
        </w:rPr>
        <w:t>occasion de l</w:t>
      </w:r>
      <w:r w:rsidR="00B921D9">
        <w:rPr>
          <w:strike/>
          <w:lang w:val="fr-FR"/>
        </w:rPr>
        <w:t>’</w:t>
      </w:r>
      <w:r w:rsidRPr="00E773DC">
        <w:rPr>
          <w:strike/>
          <w:lang w:val="fr-FR"/>
        </w:rPr>
        <w:t>homologation ou à tout moment pendant la durée de validité de l</w:t>
      </w:r>
      <w:r w:rsidR="00B921D9">
        <w:rPr>
          <w:strike/>
          <w:lang w:val="fr-FR"/>
        </w:rPr>
        <w:t>’</w:t>
      </w:r>
      <w:r w:rsidRPr="00E773DC">
        <w:rPr>
          <w:strike/>
          <w:lang w:val="fr-FR"/>
        </w:rPr>
        <w:t>homologation</w:t>
      </w:r>
      <w:r w:rsidR="00F72B31" w:rsidRPr="00F72B31">
        <w:rPr>
          <w:strike/>
          <w:lang w:val="fr-FR"/>
        </w:rPr>
        <w:t>.</w:t>
      </w:r>
      <w:r w:rsidRPr="00E773DC">
        <w:rPr>
          <w:strike/>
          <w:lang w:val="fr-FR"/>
        </w:rPr>
        <w:t xml:space="preserve"> Lorsque le dossier est conservé par le constructeur, l</w:t>
      </w:r>
      <w:r w:rsidR="00B921D9">
        <w:rPr>
          <w:strike/>
          <w:lang w:val="fr-FR"/>
        </w:rPr>
        <w:t>’</w:t>
      </w:r>
      <w:r w:rsidRPr="00E773DC">
        <w:rPr>
          <w:strike/>
          <w:lang w:val="fr-FR"/>
        </w:rPr>
        <w:t>autorité d</w:t>
      </w:r>
      <w:r w:rsidR="00B921D9">
        <w:rPr>
          <w:strike/>
          <w:lang w:val="fr-FR"/>
        </w:rPr>
        <w:t>’</w:t>
      </w:r>
      <w:r w:rsidRPr="00E773DC">
        <w:rPr>
          <w:strike/>
          <w:lang w:val="fr-FR"/>
        </w:rPr>
        <w:t>homologation de type prend les mesures nécessaires pour veiller à ce qu</w:t>
      </w:r>
      <w:r w:rsidR="00B921D9">
        <w:rPr>
          <w:strike/>
          <w:lang w:val="fr-FR"/>
        </w:rPr>
        <w:t>’</w:t>
      </w:r>
      <w:r w:rsidRPr="00E773DC">
        <w:rPr>
          <w:strike/>
          <w:lang w:val="fr-FR"/>
        </w:rPr>
        <w:t>il ne soit pas modifié après l</w:t>
      </w:r>
      <w:r w:rsidR="00B921D9">
        <w:rPr>
          <w:strike/>
          <w:lang w:val="fr-FR"/>
        </w:rPr>
        <w:t>’</w:t>
      </w:r>
      <w:r w:rsidRPr="00E773DC">
        <w:rPr>
          <w:strike/>
          <w:lang w:val="fr-FR"/>
        </w:rPr>
        <w:t>homologation</w:t>
      </w:r>
      <w:r w:rsidR="00F72B31" w:rsidRPr="00F72B31">
        <w:rPr>
          <w:strike/>
          <w:lang w:val="fr-FR"/>
        </w:rPr>
        <w:t>.</w:t>
      </w:r>
    </w:p>
    <w:p w14:paraId="5E7FE269" w14:textId="77777777" w:rsidR="00213792" w:rsidRPr="00E773DC" w:rsidRDefault="00213792" w:rsidP="00213792">
      <w:pPr>
        <w:pStyle w:val="SingleTxtG"/>
        <w:ind w:left="2268"/>
        <w:rPr>
          <w:b/>
          <w:bCs/>
          <w:strike/>
          <w:lang w:val="fr-FR"/>
        </w:rPr>
      </w:pPr>
      <w:bookmarkStart w:id="3" w:name="_Hlk53558911"/>
      <w:r w:rsidRPr="0052312C">
        <w:rPr>
          <w:b/>
          <w:bCs/>
          <w:lang w:val="fr-FR"/>
        </w:rPr>
        <w:t>Ce dossier d</w:t>
      </w:r>
      <w:r w:rsidR="00B921D9" w:rsidRPr="0052312C">
        <w:rPr>
          <w:b/>
          <w:bCs/>
          <w:lang w:val="fr-FR"/>
        </w:rPr>
        <w:t>’</w:t>
      </w:r>
      <w:r w:rsidRPr="0052312C">
        <w:rPr>
          <w:b/>
          <w:bCs/>
          <w:lang w:val="fr-FR"/>
        </w:rPr>
        <w:t>information doit être répertorié et daté par l</w:t>
      </w:r>
      <w:r w:rsidR="00B921D9" w:rsidRPr="0052312C">
        <w:rPr>
          <w:b/>
          <w:bCs/>
          <w:lang w:val="fr-FR"/>
        </w:rPr>
        <w:t>’</w:t>
      </w:r>
      <w:r w:rsidRPr="0052312C">
        <w:rPr>
          <w:b/>
          <w:bCs/>
          <w:lang w:val="fr-FR"/>
        </w:rPr>
        <w:t>autorité d</w:t>
      </w:r>
      <w:r w:rsidR="00B921D9" w:rsidRPr="0052312C">
        <w:rPr>
          <w:b/>
          <w:bCs/>
          <w:lang w:val="fr-FR"/>
        </w:rPr>
        <w:t>’</w:t>
      </w:r>
      <w:r w:rsidRPr="0052312C">
        <w:rPr>
          <w:b/>
          <w:bCs/>
          <w:lang w:val="fr-FR"/>
        </w:rPr>
        <w:t>homologation et conservé par elle pendant au moins dix ans après l</w:t>
      </w:r>
      <w:r w:rsidR="00B921D9" w:rsidRPr="0052312C">
        <w:rPr>
          <w:b/>
          <w:bCs/>
          <w:lang w:val="fr-FR"/>
        </w:rPr>
        <w:t>’</w:t>
      </w:r>
      <w:r w:rsidRPr="0052312C">
        <w:rPr>
          <w:b/>
          <w:bCs/>
          <w:lang w:val="fr-FR"/>
        </w:rPr>
        <w:t>octroi de l</w:t>
      </w:r>
      <w:r w:rsidR="00B921D9" w:rsidRPr="0052312C">
        <w:rPr>
          <w:b/>
          <w:bCs/>
          <w:lang w:val="fr-FR"/>
        </w:rPr>
        <w:t>’</w:t>
      </w:r>
      <w:r w:rsidRPr="0052312C">
        <w:rPr>
          <w:b/>
          <w:bCs/>
          <w:lang w:val="fr-FR"/>
        </w:rPr>
        <w:t>homologation</w:t>
      </w:r>
      <w:r w:rsidR="00F72B31" w:rsidRPr="00F72B31">
        <w:rPr>
          <w:b/>
          <w:bCs/>
          <w:strike/>
          <w:lang w:val="fr-FR"/>
        </w:rPr>
        <w:t>.</w:t>
      </w:r>
      <w:bookmarkEnd w:id="3"/>
    </w:p>
    <w:p w14:paraId="6B1DB11B" w14:textId="77777777" w:rsidR="00213792" w:rsidRPr="00E773DC" w:rsidRDefault="00213792" w:rsidP="00213792">
      <w:pPr>
        <w:pStyle w:val="SingleTxtG"/>
        <w:ind w:left="2268"/>
        <w:rPr>
          <w:b/>
          <w:bCs/>
          <w:lang w:val="fr-FR"/>
        </w:rPr>
      </w:pPr>
      <w:r w:rsidRPr="00E773DC">
        <w:rPr>
          <w:b/>
          <w:bCs/>
          <w:lang w:val="fr-FR"/>
        </w:rPr>
        <w:t>Le dossier d</w:t>
      </w:r>
      <w:r w:rsidR="00B921D9">
        <w:rPr>
          <w:b/>
          <w:bCs/>
          <w:lang w:val="fr-FR"/>
        </w:rPr>
        <w:t>’</w:t>
      </w:r>
      <w:r w:rsidRPr="00E773DC">
        <w:rPr>
          <w:b/>
          <w:bCs/>
          <w:lang w:val="fr-FR"/>
        </w:rPr>
        <w:t>information se compose des parties suivantes :</w:t>
      </w:r>
    </w:p>
    <w:p w14:paraId="6D204647" w14:textId="77777777" w:rsidR="00213792" w:rsidRPr="00E773DC" w:rsidRDefault="00B921D9" w:rsidP="00B921D9">
      <w:pPr>
        <w:pStyle w:val="SingleTxtG"/>
        <w:kinsoku/>
        <w:overflowPunct/>
        <w:autoSpaceDE/>
        <w:autoSpaceDN/>
        <w:adjustRightInd/>
        <w:snapToGrid/>
        <w:ind w:left="2835" w:hanging="567"/>
        <w:rPr>
          <w:b/>
          <w:bCs/>
          <w:lang w:val="fr-FR"/>
        </w:rPr>
      </w:pPr>
      <w:r w:rsidRPr="00E773DC">
        <w:rPr>
          <w:b/>
          <w:bCs/>
          <w:lang w:val="fr-FR"/>
        </w:rPr>
        <w:t>a)</w:t>
      </w:r>
      <w:r w:rsidRPr="00E773DC">
        <w:rPr>
          <w:b/>
          <w:bCs/>
          <w:lang w:val="fr-FR"/>
        </w:rPr>
        <w:tab/>
      </w:r>
      <w:r w:rsidR="00213792" w:rsidRPr="00E773DC">
        <w:rPr>
          <w:b/>
          <w:bCs/>
          <w:lang w:val="fr-FR"/>
        </w:rPr>
        <w:t>Les informations énoncées au paragraphe 5</w:t>
      </w:r>
      <w:r w:rsidR="00F72B31" w:rsidRPr="00F72B31">
        <w:rPr>
          <w:b/>
          <w:bCs/>
          <w:lang w:val="fr-FR"/>
        </w:rPr>
        <w:t>.</w:t>
      </w:r>
      <w:r w:rsidR="00213792" w:rsidRPr="00E773DC">
        <w:rPr>
          <w:b/>
          <w:bCs/>
          <w:lang w:val="fr-FR"/>
        </w:rPr>
        <w:t>1</w:t>
      </w:r>
      <w:r w:rsidR="00F72B31" w:rsidRPr="00F72B31">
        <w:rPr>
          <w:b/>
          <w:bCs/>
          <w:lang w:val="fr-FR"/>
        </w:rPr>
        <w:t>.</w:t>
      </w:r>
      <w:r w:rsidR="00213792" w:rsidRPr="00E773DC">
        <w:rPr>
          <w:b/>
          <w:bCs/>
          <w:lang w:val="fr-FR"/>
        </w:rPr>
        <w:t>4</w:t>
      </w:r>
      <w:r w:rsidR="00F72B31" w:rsidRPr="00F72B31">
        <w:rPr>
          <w:b/>
          <w:bCs/>
          <w:lang w:val="fr-FR"/>
        </w:rPr>
        <w:t>.</w:t>
      </w:r>
      <w:r w:rsidR="00213792" w:rsidRPr="00E773DC">
        <w:rPr>
          <w:b/>
          <w:bCs/>
          <w:lang w:val="fr-FR"/>
        </w:rPr>
        <w:t> ;</w:t>
      </w:r>
    </w:p>
    <w:p w14:paraId="0A34FA2C" w14:textId="77777777" w:rsidR="00213792" w:rsidRPr="00E773DC" w:rsidRDefault="00B921D9" w:rsidP="00B921D9">
      <w:pPr>
        <w:pStyle w:val="SingleTxtG"/>
        <w:kinsoku/>
        <w:overflowPunct/>
        <w:autoSpaceDE/>
        <w:autoSpaceDN/>
        <w:adjustRightInd/>
        <w:snapToGrid/>
        <w:ind w:left="2835" w:hanging="567"/>
        <w:rPr>
          <w:b/>
          <w:bCs/>
          <w:lang w:val="fr-FR"/>
        </w:rPr>
      </w:pPr>
      <w:r w:rsidRPr="00E773DC">
        <w:rPr>
          <w:b/>
          <w:bCs/>
          <w:lang w:val="fr-FR"/>
        </w:rPr>
        <w:t>b)</w:t>
      </w:r>
      <w:r w:rsidRPr="00E773DC">
        <w:rPr>
          <w:b/>
          <w:bCs/>
          <w:lang w:val="fr-FR"/>
        </w:rPr>
        <w:tab/>
      </w:r>
      <w:r w:rsidR="00213792" w:rsidRPr="00E773DC">
        <w:rPr>
          <w:b/>
          <w:bCs/>
          <w:lang w:val="fr-FR"/>
        </w:rPr>
        <w:t>Un dossier d</w:t>
      </w:r>
      <w:r>
        <w:rPr>
          <w:b/>
          <w:bCs/>
          <w:lang w:val="fr-FR"/>
        </w:rPr>
        <w:t>’</w:t>
      </w:r>
      <w:r w:rsidR="00213792" w:rsidRPr="00E773DC">
        <w:rPr>
          <w:b/>
          <w:bCs/>
          <w:lang w:val="fr-FR"/>
        </w:rPr>
        <w:t xml:space="preserve">information sur la </w:t>
      </w:r>
      <w:bookmarkStart w:id="4" w:name="_Hlk55745779"/>
      <w:r w:rsidR="00213792" w:rsidRPr="00E773DC">
        <w:rPr>
          <w:b/>
          <w:bCs/>
          <w:lang w:val="fr-FR"/>
        </w:rPr>
        <w:t>stratégie auxiliaire de limitation des émissions (AES)</w:t>
      </w:r>
      <w:bookmarkEnd w:id="4"/>
      <w:r w:rsidR="00213792" w:rsidRPr="00E773DC">
        <w:rPr>
          <w:b/>
          <w:bCs/>
          <w:lang w:val="fr-FR"/>
        </w:rPr>
        <w:t xml:space="preserve"> tel</w:t>
      </w:r>
      <w:r w:rsidR="00213792">
        <w:rPr>
          <w:b/>
          <w:bCs/>
          <w:lang w:val="fr-FR"/>
        </w:rPr>
        <w:t>le</w:t>
      </w:r>
      <w:r w:rsidR="00213792" w:rsidRPr="00E773DC">
        <w:rPr>
          <w:b/>
          <w:bCs/>
          <w:lang w:val="fr-FR"/>
        </w:rPr>
        <w:t xml:space="preserve"> que décrit</w:t>
      </w:r>
      <w:r w:rsidR="00213792">
        <w:rPr>
          <w:b/>
          <w:bCs/>
          <w:lang w:val="fr-FR"/>
        </w:rPr>
        <w:t>e</w:t>
      </w:r>
      <w:r w:rsidR="00213792" w:rsidRPr="00E773DC">
        <w:rPr>
          <w:b/>
          <w:bCs/>
          <w:lang w:val="fr-FR"/>
        </w:rPr>
        <w:t xml:space="preserve"> à l</w:t>
      </w:r>
      <w:r>
        <w:rPr>
          <w:b/>
          <w:bCs/>
          <w:lang w:val="fr-FR"/>
        </w:rPr>
        <w:t>’</w:t>
      </w:r>
      <w:r w:rsidR="00213792" w:rsidRPr="00E773DC">
        <w:rPr>
          <w:b/>
          <w:bCs/>
          <w:lang w:val="fr-FR"/>
        </w:rPr>
        <w:t>annexe 2D du présent Règlement, afin que les autorités d</w:t>
      </w:r>
      <w:r>
        <w:rPr>
          <w:b/>
          <w:bCs/>
          <w:lang w:val="fr-FR"/>
        </w:rPr>
        <w:t>’</w:t>
      </w:r>
      <w:r w:rsidR="00213792" w:rsidRPr="00E773DC">
        <w:rPr>
          <w:b/>
          <w:bCs/>
          <w:lang w:val="fr-FR"/>
        </w:rPr>
        <w:t>homologation puissent évaluer la bonne utilisation de l</w:t>
      </w:r>
      <w:r>
        <w:rPr>
          <w:b/>
          <w:bCs/>
          <w:lang w:val="fr-FR"/>
        </w:rPr>
        <w:t>’</w:t>
      </w:r>
      <w:r w:rsidR="00213792" w:rsidRPr="00E773DC">
        <w:rPr>
          <w:b/>
          <w:bCs/>
          <w:lang w:val="fr-FR"/>
        </w:rPr>
        <w:t>AES</w:t>
      </w:r>
      <w:r w:rsidR="00F72B31" w:rsidRPr="00F72B31">
        <w:rPr>
          <w:b/>
          <w:bCs/>
          <w:lang w:val="fr-FR"/>
        </w:rPr>
        <w:t>.</w:t>
      </w:r>
    </w:p>
    <w:p w14:paraId="2D6E1E83" w14:textId="77777777" w:rsidR="00213792" w:rsidRPr="00E773DC" w:rsidRDefault="00213792" w:rsidP="00213792">
      <w:pPr>
        <w:pStyle w:val="SingleTxtG"/>
        <w:ind w:left="2268"/>
        <w:rPr>
          <w:b/>
          <w:bCs/>
          <w:lang w:val="fr-FR"/>
        </w:rPr>
      </w:pPr>
      <w:r w:rsidRPr="00E773DC">
        <w:rPr>
          <w:b/>
          <w:bCs/>
          <w:lang w:val="fr-FR"/>
        </w:rPr>
        <w:t>À la demande du constructeur, l</w:t>
      </w:r>
      <w:r w:rsidR="00B921D9">
        <w:rPr>
          <w:b/>
          <w:bCs/>
          <w:lang w:val="fr-FR"/>
        </w:rPr>
        <w:t>’</w:t>
      </w:r>
      <w:r w:rsidRPr="00E773DC">
        <w:rPr>
          <w:b/>
          <w:bCs/>
          <w:lang w:val="fr-FR"/>
        </w:rPr>
        <w:t>autorité d</w:t>
      </w:r>
      <w:r w:rsidR="00B921D9">
        <w:rPr>
          <w:b/>
          <w:bCs/>
          <w:lang w:val="fr-FR"/>
        </w:rPr>
        <w:t>’</w:t>
      </w:r>
      <w:r w:rsidRPr="00E773DC">
        <w:rPr>
          <w:b/>
          <w:bCs/>
          <w:lang w:val="fr-FR"/>
        </w:rPr>
        <w:t>homologation procède à une évaluation préliminaire de l</w:t>
      </w:r>
      <w:r w:rsidR="00B921D9">
        <w:rPr>
          <w:b/>
          <w:bCs/>
          <w:lang w:val="fr-FR"/>
        </w:rPr>
        <w:t>’</w:t>
      </w:r>
      <w:r w:rsidRPr="00E773DC">
        <w:rPr>
          <w:b/>
          <w:bCs/>
          <w:lang w:val="fr-FR"/>
        </w:rPr>
        <w:t>AES pour les nouveaux types de véhicules</w:t>
      </w:r>
      <w:r w:rsidR="00F72B31" w:rsidRPr="00F72B31">
        <w:rPr>
          <w:b/>
          <w:bCs/>
          <w:lang w:val="fr-FR"/>
        </w:rPr>
        <w:t>.</w:t>
      </w:r>
      <w:r w:rsidRPr="00E773DC">
        <w:rPr>
          <w:b/>
          <w:bCs/>
          <w:lang w:val="fr-FR"/>
        </w:rPr>
        <w:t xml:space="preserve"> Dans ce cas, le constructeur fournit le projet de dossier d</w:t>
      </w:r>
      <w:r w:rsidR="00B921D9">
        <w:rPr>
          <w:b/>
          <w:bCs/>
          <w:lang w:val="fr-FR"/>
        </w:rPr>
        <w:t>’</w:t>
      </w:r>
      <w:r w:rsidRPr="00E773DC">
        <w:rPr>
          <w:b/>
          <w:bCs/>
          <w:lang w:val="fr-FR"/>
        </w:rPr>
        <w:t>homologation de l</w:t>
      </w:r>
      <w:r w:rsidR="00B921D9">
        <w:rPr>
          <w:b/>
          <w:bCs/>
          <w:lang w:val="fr-FR"/>
        </w:rPr>
        <w:t>’</w:t>
      </w:r>
      <w:r w:rsidRPr="00E773DC">
        <w:rPr>
          <w:b/>
          <w:bCs/>
          <w:lang w:val="fr-FR"/>
        </w:rPr>
        <w:t>AES à l</w:t>
      </w:r>
      <w:r w:rsidR="00B921D9">
        <w:rPr>
          <w:b/>
          <w:bCs/>
          <w:lang w:val="fr-FR"/>
        </w:rPr>
        <w:t>’</w:t>
      </w:r>
      <w:r w:rsidRPr="00E773DC">
        <w:rPr>
          <w:b/>
          <w:bCs/>
          <w:lang w:val="fr-FR"/>
        </w:rPr>
        <w:t>autorité d</w:t>
      </w:r>
      <w:r w:rsidR="00B921D9">
        <w:rPr>
          <w:b/>
          <w:bCs/>
          <w:lang w:val="fr-FR"/>
        </w:rPr>
        <w:t>’</w:t>
      </w:r>
      <w:r w:rsidRPr="00E773DC">
        <w:rPr>
          <w:b/>
          <w:bCs/>
          <w:lang w:val="fr-FR"/>
        </w:rPr>
        <w:t>homologation entre deux et douze mois avant le début de la procédure d</w:t>
      </w:r>
      <w:r w:rsidR="00B921D9">
        <w:rPr>
          <w:b/>
          <w:bCs/>
          <w:lang w:val="fr-FR"/>
        </w:rPr>
        <w:t>’</w:t>
      </w:r>
      <w:r w:rsidRPr="00E773DC">
        <w:rPr>
          <w:b/>
          <w:bCs/>
          <w:lang w:val="fr-FR"/>
        </w:rPr>
        <w:t>homologation</w:t>
      </w:r>
      <w:r w:rsidR="00F72B31" w:rsidRPr="00F72B31">
        <w:rPr>
          <w:b/>
          <w:bCs/>
          <w:lang w:val="fr-FR"/>
        </w:rPr>
        <w:t>.</w:t>
      </w:r>
    </w:p>
    <w:p w14:paraId="749547BA" w14:textId="77777777" w:rsidR="00213792" w:rsidRPr="00E773DC" w:rsidRDefault="00213792" w:rsidP="00B921D9">
      <w:pPr>
        <w:pStyle w:val="SingleTxtG"/>
        <w:keepNext/>
        <w:keepLines/>
        <w:ind w:left="2268"/>
        <w:rPr>
          <w:b/>
          <w:bCs/>
          <w:lang w:val="fr-FR"/>
        </w:rPr>
      </w:pPr>
      <w:r w:rsidRPr="00E773DC">
        <w:rPr>
          <w:b/>
          <w:bCs/>
          <w:lang w:val="fr-FR"/>
        </w:rPr>
        <w:lastRenderedPageBreak/>
        <w:t>L</w:t>
      </w:r>
      <w:r w:rsidR="00B921D9">
        <w:rPr>
          <w:b/>
          <w:bCs/>
          <w:lang w:val="fr-FR"/>
        </w:rPr>
        <w:t>’</w:t>
      </w:r>
      <w:r w:rsidRPr="00E773DC">
        <w:rPr>
          <w:b/>
          <w:bCs/>
          <w:lang w:val="fr-FR"/>
        </w:rPr>
        <w:t>autorité d</w:t>
      </w:r>
      <w:r w:rsidR="00B921D9">
        <w:rPr>
          <w:b/>
          <w:bCs/>
          <w:lang w:val="fr-FR"/>
        </w:rPr>
        <w:t>’</w:t>
      </w:r>
      <w:r w:rsidRPr="00E773DC">
        <w:rPr>
          <w:b/>
          <w:bCs/>
          <w:lang w:val="fr-FR"/>
        </w:rPr>
        <w:t>homologation procède à une évaluation préliminaire sur la base du projet de dossier d</w:t>
      </w:r>
      <w:r w:rsidR="00B921D9">
        <w:rPr>
          <w:b/>
          <w:bCs/>
          <w:lang w:val="fr-FR"/>
        </w:rPr>
        <w:t>’</w:t>
      </w:r>
      <w:r w:rsidRPr="00E773DC">
        <w:rPr>
          <w:b/>
          <w:bCs/>
          <w:lang w:val="fr-FR"/>
        </w:rPr>
        <w:t>information sur l</w:t>
      </w:r>
      <w:r w:rsidR="00B921D9">
        <w:rPr>
          <w:b/>
          <w:bCs/>
          <w:lang w:val="fr-FR"/>
        </w:rPr>
        <w:t>’</w:t>
      </w:r>
      <w:r w:rsidRPr="00E773DC">
        <w:rPr>
          <w:b/>
          <w:bCs/>
          <w:lang w:val="fr-FR"/>
        </w:rPr>
        <w:t>AES fourni par le constructeur</w:t>
      </w:r>
      <w:r w:rsidR="00F72B31" w:rsidRPr="00F72B31">
        <w:rPr>
          <w:b/>
          <w:bCs/>
          <w:lang w:val="fr-FR"/>
        </w:rPr>
        <w:t>.</w:t>
      </w:r>
      <w:r w:rsidRPr="00E773DC">
        <w:rPr>
          <w:b/>
          <w:bCs/>
          <w:lang w:val="fr-FR"/>
        </w:rPr>
        <w:t xml:space="preserve"> Elle </w:t>
      </w:r>
      <w:r>
        <w:rPr>
          <w:b/>
          <w:bCs/>
          <w:lang w:val="fr-FR"/>
        </w:rPr>
        <w:t>l</w:t>
      </w:r>
      <w:r w:rsidR="00B921D9">
        <w:rPr>
          <w:b/>
          <w:bCs/>
          <w:lang w:val="fr-FR"/>
        </w:rPr>
        <w:t>’</w:t>
      </w:r>
      <w:r>
        <w:rPr>
          <w:b/>
          <w:bCs/>
          <w:lang w:val="fr-FR"/>
        </w:rPr>
        <w:t xml:space="preserve">effectue </w:t>
      </w:r>
      <w:r w:rsidRPr="00E773DC">
        <w:rPr>
          <w:b/>
          <w:bCs/>
          <w:lang w:val="fr-FR"/>
        </w:rPr>
        <w:t>conformément à la méthod</w:t>
      </w:r>
      <w:r>
        <w:rPr>
          <w:b/>
          <w:bCs/>
          <w:lang w:val="fr-FR"/>
        </w:rPr>
        <w:t>e</w:t>
      </w:r>
      <w:r w:rsidRPr="00E773DC">
        <w:rPr>
          <w:b/>
          <w:bCs/>
          <w:lang w:val="fr-FR"/>
        </w:rPr>
        <w:t xml:space="preserve"> décrite à l</w:t>
      </w:r>
      <w:r w:rsidR="00B921D9">
        <w:rPr>
          <w:b/>
          <w:bCs/>
          <w:lang w:val="fr-FR"/>
        </w:rPr>
        <w:t>’</w:t>
      </w:r>
      <w:r w:rsidRPr="00E773DC">
        <w:rPr>
          <w:b/>
          <w:bCs/>
          <w:lang w:val="fr-FR"/>
        </w:rPr>
        <w:t>appendice</w:t>
      </w:r>
      <w:r>
        <w:rPr>
          <w:b/>
          <w:bCs/>
          <w:lang w:val="fr-FR"/>
        </w:rPr>
        <w:t> </w:t>
      </w:r>
      <w:r w:rsidRPr="00E773DC">
        <w:rPr>
          <w:b/>
          <w:bCs/>
          <w:lang w:val="fr-FR"/>
        </w:rPr>
        <w:t>2 de l</w:t>
      </w:r>
      <w:r w:rsidR="00B921D9">
        <w:rPr>
          <w:b/>
          <w:bCs/>
          <w:lang w:val="fr-FR"/>
        </w:rPr>
        <w:t>’</w:t>
      </w:r>
      <w:r w:rsidRPr="00E773DC">
        <w:rPr>
          <w:b/>
          <w:bCs/>
          <w:lang w:val="fr-FR"/>
        </w:rPr>
        <w:t>annexe 10</w:t>
      </w:r>
      <w:r w:rsidR="00F72B31" w:rsidRPr="00F72B31">
        <w:rPr>
          <w:b/>
          <w:bCs/>
          <w:lang w:val="fr-FR"/>
        </w:rPr>
        <w:t>.</w:t>
      </w:r>
      <w:r w:rsidRPr="00E773DC">
        <w:rPr>
          <w:b/>
          <w:bCs/>
          <w:lang w:val="fr-FR"/>
        </w:rPr>
        <w:t xml:space="preserve"> Elle peut s</w:t>
      </w:r>
      <w:r w:rsidR="00B921D9">
        <w:rPr>
          <w:b/>
          <w:bCs/>
          <w:lang w:val="fr-FR"/>
        </w:rPr>
        <w:t>’</w:t>
      </w:r>
      <w:r w:rsidRPr="00E773DC">
        <w:rPr>
          <w:b/>
          <w:bCs/>
          <w:lang w:val="fr-FR"/>
        </w:rPr>
        <w:t>en écarter dans des cas exceptionnels et dûment justifiés</w:t>
      </w:r>
      <w:r w:rsidR="00F72B31" w:rsidRPr="00F72B31">
        <w:rPr>
          <w:b/>
          <w:bCs/>
          <w:lang w:val="fr-FR"/>
        </w:rPr>
        <w:t>.</w:t>
      </w:r>
    </w:p>
    <w:p w14:paraId="1DED96FE" w14:textId="77777777" w:rsidR="00213792" w:rsidRPr="00E773DC" w:rsidRDefault="00213792" w:rsidP="00B921D9">
      <w:pPr>
        <w:pStyle w:val="SingleTxtG"/>
        <w:ind w:left="2268"/>
        <w:rPr>
          <w:lang w:val="fr-FR"/>
        </w:rPr>
      </w:pPr>
      <w:r w:rsidRPr="00E773DC">
        <w:rPr>
          <w:b/>
          <w:bCs/>
          <w:lang w:val="fr-FR"/>
        </w:rPr>
        <w:t>L</w:t>
      </w:r>
      <w:r w:rsidR="00B921D9">
        <w:rPr>
          <w:b/>
          <w:bCs/>
          <w:lang w:val="fr-FR"/>
        </w:rPr>
        <w:t>’</w:t>
      </w:r>
      <w:r w:rsidRPr="00E773DC">
        <w:rPr>
          <w:b/>
          <w:bCs/>
          <w:lang w:val="fr-FR"/>
        </w:rPr>
        <w:t>évaluation préliminaire de l</w:t>
      </w:r>
      <w:r w:rsidR="00B921D9">
        <w:rPr>
          <w:b/>
          <w:bCs/>
          <w:lang w:val="fr-FR"/>
        </w:rPr>
        <w:t>’</w:t>
      </w:r>
      <w:r w:rsidRPr="00E773DC">
        <w:rPr>
          <w:b/>
          <w:bCs/>
          <w:lang w:val="fr-FR"/>
        </w:rPr>
        <w:t>AES pour les nouveaux types de véhicules reste valable aux fins de l</w:t>
      </w:r>
      <w:r w:rsidR="00B921D9">
        <w:rPr>
          <w:b/>
          <w:bCs/>
          <w:lang w:val="fr-FR"/>
        </w:rPr>
        <w:t>’</w:t>
      </w:r>
      <w:r w:rsidRPr="00E773DC">
        <w:rPr>
          <w:b/>
          <w:bCs/>
          <w:lang w:val="fr-FR"/>
        </w:rPr>
        <w:t>homologation de type pendant une période de 18</w:t>
      </w:r>
      <w:r>
        <w:rPr>
          <w:b/>
          <w:bCs/>
          <w:lang w:val="fr-FR"/>
        </w:rPr>
        <w:t> </w:t>
      </w:r>
      <w:r w:rsidRPr="00E773DC">
        <w:rPr>
          <w:b/>
          <w:bCs/>
          <w:lang w:val="fr-FR"/>
        </w:rPr>
        <w:t>mois</w:t>
      </w:r>
      <w:r w:rsidR="00F72B31" w:rsidRPr="00F72B31">
        <w:rPr>
          <w:b/>
          <w:bCs/>
          <w:lang w:val="fr-FR"/>
        </w:rPr>
        <w:t>.</w:t>
      </w:r>
      <w:r w:rsidRPr="00E773DC">
        <w:rPr>
          <w:b/>
          <w:bCs/>
          <w:lang w:val="fr-FR"/>
        </w:rPr>
        <w:t xml:space="preserve"> Cette période peut être prolongée de 12</w:t>
      </w:r>
      <w:r>
        <w:rPr>
          <w:b/>
          <w:bCs/>
          <w:lang w:val="fr-FR"/>
        </w:rPr>
        <w:t> </w:t>
      </w:r>
      <w:r w:rsidRPr="00E773DC">
        <w:rPr>
          <w:b/>
          <w:bCs/>
          <w:lang w:val="fr-FR"/>
        </w:rPr>
        <w:t>mois supplémentaires si le constructeur fournit à l</w:t>
      </w:r>
      <w:r w:rsidR="00B921D9">
        <w:rPr>
          <w:b/>
          <w:bCs/>
          <w:lang w:val="fr-FR"/>
        </w:rPr>
        <w:t>’</w:t>
      </w:r>
      <w:r w:rsidRPr="00E773DC">
        <w:rPr>
          <w:b/>
          <w:bCs/>
          <w:lang w:val="fr-FR"/>
        </w:rPr>
        <w:t>autorité d</w:t>
      </w:r>
      <w:r w:rsidR="00B921D9">
        <w:rPr>
          <w:b/>
          <w:bCs/>
          <w:lang w:val="fr-FR"/>
        </w:rPr>
        <w:t>’</w:t>
      </w:r>
      <w:r w:rsidRPr="00E773DC">
        <w:rPr>
          <w:b/>
          <w:bCs/>
          <w:lang w:val="fr-FR"/>
        </w:rPr>
        <w:t>homologation la preuve qu</w:t>
      </w:r>
      <w:r w:rsidR="00B921D9">
        <w:rPr>
          <w:b/>
          <w:bCs/>
          <w:lang w:val="fr-FR"/>
        </w:rPr>
        <w:t>’</w:t>
      </w:r>
      <w:r w:rsidRPr="00E773DC">
        <w:rPr>
          <w:b/>
          <w:bCs/>
          <w:lang w:val="fr-FR"/>
        </w:rPr>
        <w:t>aucune nouvelle technologie susceptible de modifier l</w:t>
      </w:r>
      <w:r w:rsidR="00B921D9">
        <w:rPr>
          <w:b/>
          <w:bCs/>
          <w:lang w:val="fr-FR"/>
        </w:rPr>
        <w:t>’</w:t>
      </w:r>
      <w:r w:rsidRPr="00E773DC">
        <w:rPr>
          <w:b/>
          <w:bCs/>
          <w:lang w:val="fr-FR"/>
        </w:rPr>
        <w:t>évaluation préliminaire de l</w:t>
      </w:r>
      <w:r w:rsidR="00B921D9">
        <w:rPr>
          <w:b/>
          <w:bCs/>
          <w:lang w:val="fr-FR"/>
        </w:rPr>
        <w:t>’</w:t>
      </w:r>
      <w:r w:rsidRPr="00E773DC">
        <w:rPr>
          <w:b/>
          <w:bCs/>
          <w:lang w:val="fr-FR"/>
        </w:rPr>
        <w:t>AES n</w:t>
      </w:r>
      <w:r w:rsidR="00B921D9">
        <w:rPr>
          <w:b/>
          <w:bCs/>
          <w:lang w:val="fr-FR"/>
        </w:rPr>
        <w:t>’</w:t>
      </w:r>
      <w:r w:rsidRPr="00E773DC">
        <w:rPr>
          <w:b/>
          <w:bCs/>
          <w:lang w:val="fr-FR"/>
        </w:rPr>
        <w:t>est apparue sur le marché</w:t>
      </w:r>
      <w:r w:rsidR="00F72B31" w:rsidRPr="00F72B31">
        <w:rPr>
          <w:b/>
          <w:bCs/>
          <w:lang w:val="fr-FR"/>
        </w:rPr>
        <w:t>.</w:t>
      </w:r>
      <w:r w:rsidRPr="00E773DC">
        <w:rPr>
          <w:b/>
          <w:bCs/>
          <w:lang w:val="fr-FR"/>
        </w:rPr>
        <w:t> </w:t>
      </w:r>
      <w:r w:rsidRPr="00E773DC">
        <w:rPr>
          <w:lang w:val="fr-FR"/>
        </w:rPr>
        <w:t>»</w:t>
      </w:r>
      <w:r w:rsidR="00F72B31" w:rsidRPr="00F72B31">
        <w:rPr>
          <w:lang w:val="fr-FR"/>
        </w:rPr>
        <w:t>.</w:t>
      </w:r>
    </w:p>
    <w:p w14:paraId="3EC661D2" w14:textId="77777777" w:rsidR="00213792" w:rsidRPr="00E773DC" w:rsidRDefault="00213792" w:rsidP="00213792">
      <w:pPr>
        <w:pStyle w:val="SingleTxtG"/>
        <w:rPr>
          <w:lang w:val="fr-FR"/>
        </w:rPr>
      </w:pPr>
      <w:r w:rsidRPr="00E773DC">
        <w:rPr>
          <w:i/>
          <w:iCs/>
          <w:lang w:val="fr-FR"/>
        </w:rPr>
        <w:t>Paragraphe 4</w:t>
      </w:r>
      <w:r w:rsidR="00F72B31" w:rsidRPr="00F72B31">
        <w:rPr>
          <w:i/>
          <w:iCs/>
          <w:lang w:val="fr-FR"/>
        </w:rPr>
        <w:t>.</w:t>
      </w:r>
      <w:r w:rsidRPr="00E773DC">
        <w:rPr>
          <w:i/>
          <w:iCs/>
          <w:lang w:val="fr-FR"/>
        </w:rPr>
        <w:t>12</w:t>
      </w:r>
      <w:r w:rsidR="00F72B31" w:rsidRPr="00F72B31">
        <w:rPr>
          <w:i/>
          <w:iCs/>
          <w:lang w:val="fr-FR"/>
        </w:rPr>
        <w:t>.</w:t>
      </w:r>
      <w:r w:rsidRPr="00E773DC">
        <w:rPr>
          <w:i/>
          <w:iCs/>
          <w:lang w:val="fr-FR"/>
        </w:rPr>
        <w:t>1</w:t>
      </w:r>
      <w:r w:rsidRPr="00E773DC">
        <w:rPr>
          <w:lang w:val="fr-FR"/>
        </w:rPr>
        <w:t>, lire :</w:t>
      </w:r>
    </w:p>
    <w:p w14:paraId="5BA37D12" w14:textId="77777777" w:rsidR="00213792" w:rsidRPr="00E773DC" w:rsidRDefault="00213792" w:rsidP="00213792">
      <w:pPr>
        <w:pStyle w:val="SingleTxtG"/>
        <w:ind w:left="2259" w:hanging="1125"/>
        <w:rPr>
          <w:lang w:val="fr-FR"/>
        </w:rPr>
      </w:pPr>
      <w:r w:rsidRPr="00E773DC">
        <w:rPr>
          <w:lang w:val="fr-FR"/>
        </w:rPr>
        <w:t>« 4</w:t>
      </w:r>
      <w:r w:rsidR="00F72B31" w:rsidRPr="00F72B31">
        <w:rPr>
          <w:lang w:val="fr-FR"/>
        </w:rPr>
        <w:t>.</w:t>
      </w:r>
      <w:r w:rsidRPr="00E773DC">
        <w:rPr>
          <w:lang w:val="fr-FR"/>
        </w:rPr>
        <w:t>12</w:t>
      </w:r>
      <w:r w:rsidR="00F72B31" w:rsidRPr="00F72B31">
        <w:rPr>
          <w:lang w:val="fr-FR"/>
        </w:rPr>
        <w:t>.</w:t>
      </w:r>
      <w:r w:rsidRPr="00E773DC">
        <w:rPr>
          <w:lang w:val="fr-FR"/>
        </w:rPr>
        <w:t>1</w:t>
      </w:r>
      <w:r w:rsidRPr="00E773DC">
        <w:rPr>
          <w:lang w:val="fr-FR"/>
        </w:rPr>
        <w:tab/>
        <w:t>Chaque homologation comporte l</w:t>
      </w:r>
      <w:r w:rsidR="00B921D9">
        <w:rPr>
          <w:lang w:val="fr-FR"/>
        </w:rPr>
        <w:t>’</w:t>
      </w:r>
      <w:r w:rsidRPr="00E773DC">
        <w:rPr>
          <w:lang w:val="fr-FR"/>
        </w:rPr>
        <w:t>attribution d</w:t>
      </w:r>
      <w:r w:rsidR="00B921D9">
        <w:rPr>
          <w:lang w:val="fr-FR"/>
        </w:rPr>
        <w:t>’</w:t>
      </w:r>
      <w:r w:rsidRPr="00E773DC">
        <w:rPr>
          <w:lang w:val="fr-FR"/>
        </w:rPr>
        <w:t>un numéro d</w:t>
      </w:r>
      <w:r w:rsidR="00B921D9">
        <w:rPr>
          <w:lang w:val="fr-FR"/>
        </w:rPr>
        <w:t>’</w:t>
      </w:r>
      <w:r w:rsidRPr="00E773DC">
        <w:rPr>
          <w:lang w:val="fr-FR"/>
        </w:rPr>
        <w:t xml:space="preserve">homologation dont les deux premiers chiffres (actuellement </w:t>
      </w:r>
      <w:bookmarkStart w:id="5" w:name="_Hlk55633849"/>
      <w:r w:rsidRPr="00E773DC">
        <w:rPr>
          <w:strike/>
          <w:lang w:val="fr-FR"/>
        </w:rPr>
        <w:t>06</w:t>
      </w:r>
      <w:r w:rsidRPr="009845FF">
        <w:rPr>
          <w:strike/>
          <w:lang w:val="fr-FR"/>
        </w:rPr>
        <w:t xml:space="preserve"> </w:t>
      </w:r>
      <w:r w:rsidRPr="00E773DC">
        <w:rPr>
          <w:b/>
          <w:bCs/>
          <w:lang w:val="fr-FR"/>
        </w:rPr>
        <w:t>07</w:t>
      </w:r>
      <w:r>
        <w:rPr>
          <w:b/>
          <w:bCs/>
          <w:lang w:val="fr-FR"/>
        </w:rPr>
        <w:t>,</w:t>
      </w:r>
      <w:r w:rsidRPr="00E773DC">
        <w:rPr>
          <w:b/>
          <w:bCs/>
          <w:lang w:val="fr-FR"/>
        </w:rPr>
        <w:t xml:space="preserve"> </w:t>
      </w:r>
      <w:bookmarkEnd w:id="5"/>
      <w:r w:rsidRPr="00E773DC">
        <w:rPr>
          <w:lang w:val="fr-FR"/>
        </w:rPr>
        <w:t xml:space="preserve">pour la série </w:t>
      </w:r>
      <w:r w:rsidRPr="00E773DC">
        <w:rPr>
          <w:strike/>
          <w:lang w:val="fr-FR"/>
        </w:rPr>
        <w:t>06</w:t>
      </w:r>
      <w:r w:rsidRPr="009845FF">
        <w:rPr>
          <w:strike/>
          <w:lang w:val="fr-FR"/>
        </w:rPr>
        <w:t xml:space="preserve"> </w:t>
      </w:r>
      <w:r w:rsidRPr="00E773DC">
        <w:rPr>
          <w:b/>
          <w:bCs/>
          <w:lang w:val="fr-FR"/>
        </w:rPr>
        <w:t xml:space="preserve">07 </w:t>
      </w:r>
      <w:r w:rsidRPr="00E773DC">
        <w:rPr>
          <w:lang w:val="fr-FR"/>
        </w:rPr>
        <w:t>d</w:t>
      </w:r>
      <w:r w:rsidR="00B921D9">
        <w:rPr>
          <w:lang w:val="fr-FR"/>
        </w:rPr>
        <w:t>’</w:t>
      </w:r>
      <w:r w:rsidRPr="00E773DC">
        <w:rPr>
          <w:lang w:val="fr-FR"/>
        </w:rPr>
        <w:t>amendements) indiquent la série d</w:t>
      </w:r>
      <w:r w:rsidR="00B921D9">
        <w:rPr>
          <w:lang w:val="fr-FR"/>
        </w:rPr>
        <w:t>’</w:t>
      </w:r>
      <w:r w:rsidRPr="00E773DC">
        <w:rPr>
          <w:lang w:val="fr-FR"/>
        </w:rPr>
        <w:t>amendements correspondant aux plus récentes modifications techniques majeures apportées au Règlement à la date de la délivrance de l</w:t>
      </w:r>
      <w:r w:rsidR="00B921D9">
        <w:rPr>
          <w:lang w:val="fr-FR"/>
        </w:rPr>
        <w:t>’</w:t>
      </w:r>
      <w:r w:rsidRPr="00E773DC">
        <w:rPr>
          <w:lang w:val="fr-FR"/>
        </w:rPr>
        <w:t>homologation</w:t>
      </w:r>
      <w:r w:rsidR="00F72B31" w:rsidRPr="00F72B31">
        <w:rPr>
          <w:lang w:val="fr-FR"/>
        </w:rPr>
        <w:t>.</w:t>
      </w:r>
      <w:r w:rsidRPr="00E773DC">
        <w:rPr>
          <w:lang w:val="fr-FR"/>
        </w:rPr>
        <w:t xml:space="preserve"> Une même Partie contractante ne peut attribuer ce numéro à un autre type de moteur ou type de véhicule</w:t>
      </w:r>
      <w:r w:rsidR="00F72B31" w:rsidRPr="00F72B31">
        <w:rPr>
          <w:lang w:val="fr-FR"/>
        </w:rPr>
        <w:t>.</w:t>
      </w:r>
      <w:r w:rsidRPr="00E773DC">
        <w:rPr>
          <w:lang w:val="fr-FR"/>
        </w:rPr>
        <w:t> »</w:t>
      </w:r>
      <w:r w:rsidR="00F72B31" w:rsidRPr="00F72B31">
        <w:rPr>
          <w:lang w:val="fr-FR"/>
        </w:rPr>
        <w:t>.</w:t>
      </w:r>
    </w:p>
    <w:p w14:paraId="2A01F5D4" w14:textId="77777777" w:rsidR="00213792" w:rsidRPr="00E773DC" w:rsidRDefault="00213792" w:rsidP="00213792">
      <w:pPr>
        <w:pStyle w:val="SingleTxtG"/>
        <w:rPr>
          <w:lang w:val="fr-FR"/>
        </w:rPr>
      </w:pPr>
      <w:r w:rsidRPr="00E773DC">
        <w:rPr>
          <w:i/>
          <w:lang w:val="fr-FR"/>
        </w:rPr>
        <w:t>Paragraphe 5</w:t>
      </w:r>
      <w:r w:rsidR="00F72B31" w:rsidRPr="00F72B31">
        <w:rPr>
          <w:i/>
          <w:lang w:val="fr-FR"/>
        </w:rPr>
        <w:t>.</w:t>
      </w:r>
      <w:r w:rsidRPr="00E773DC">
        <w:rPr>
          <w:i/>
          <w:lang w:val="fr-FR"/>
        </w:rPr>
        <w:t>1</w:t>
      </w:r>
      <w:r w:rsidR="00F72B31" w:rsidRPr="00F72B31">
        <w:rPr>
          <w:i/>
          <w:lang w:val="fr-FR"/>
        </w:rPr>
        <w:t>.</w:t>
      </w:r>
      <w:r w:rsidRPr="00E773DC">
        <w:rPr>
          <w:i/>
          <w:lang w:val="fr-FR"/>
        </w:rPr>
        <w:t>4</w:t>
      </w:r>
      <w:r w:rsidR="00F72B31" w:rsidRPr="00F72B31">
        <w:rPr>
          <w:i/>
          <w:lang w:val="fr-FR"/>
        </w:rPr>
        <w:t>.</w:t>
      </w:r>
      <w:r w:rsidRPr="00E773DC">
        <w:rPr>
          <w:i/>
          <w:lang w:val="fr-FR"/>
        </w:rPr>
        <w:t>1</w:t>
      </w:r>
      <w:r w:rsidRPr="009845FF">
        <w:rPr>
          <w:iCs/>
          <w:lang w:val="fr-FR"/>
        </w:rPr>
        <w:t>,</w:t>
      </w:r>
      <w:r w:rsidRPr="00E773DC">
        <w:rPr>
          <w:i/>
          <w:lang w:val="fr-FR"/>
        </w:rPr>
        <w:t xml:space="preserve"> </w:t>
      </w:r>
      <w:r w:rsidRPr="00E773DC">
        <w:rPr>
          <w:lang w:val="fr-FR"/>
        </w:rPr>
        <w:t>lire :</w:t>
      </w:r>
    </w:p>
    <w:p w14:paraId="28409B23" w14:textId="77777777" w:rsidR="00213792" w:rsidRPr="00E773DC" w:rsidRDefault="00213792" w:rsidP="00213792">
      <w:pPr>
        <w:pStyle w:val="SingleTxtG"/>
        <w:ind w:left="2259" w:hanging="1125"/>
        <w:rPr>
          <w:lang w:val="fr-FR"/>
        </w:rPr>
      </w:pPr>
      <w:r w:rsidRPr="00E773DC">
        <w:rPr>
          <w:lang w:val="fr-FR"/>
        </w:rPr>
        <w:t>« 5</w:t>
      </w:r>
      <w:r w:rsidR="00F72B31" w:rsidRPr="00F72B31">
        <w:rPr>
          <w:lang w:val="fr-FR"/>
        </w:rPr>
        <w:t>.</w:t>
      </w:r>
      <w:r w:rsidRPr="00E773DC">
        <w:rPr>
          <w:lang w:val="fr-FR"/>
        </w:rPr>
        <w:t>1</w:t>
      </w:r>
      <w:r w:rsidR="00F72B31" w:rsidRPr="00F72B31">
        <w:rPr>
          <w:lang w:val="fr-FR"/>
        </w:rPr>
        <w:t>.</w:t>
      </w:r>
      <w:r w:rsidRPr="00E773DC">
        <w:rPr>
          <w:lang w:val="fr-FR"/>
        </w:rPr>
        <w:t>4</w:t>
      </w:r>
      <w:r w:rsidR="00F72B31" w:rsidRPr="00F72B31">
        <w:rPr>
          <w:lang w:val="fr-FR"/>
        </w:rPr>
        <w:t>.</w:t>
      </w:r>
      <w:r w:rsidRPr="00E773DC">
        <w:rPr>
          <w:lang w:val="fr-FR"/>
        </w:rPr>
        <w:t>1</w:t>
      </w:r>
      <w:r w:rsidRPr="00E773DC">
        <w:rPr>
          <w:lang w:val="fr-FR"/>
        </w:rPr>
        <w:tab/>
      </w:r>
      <w:r w:rsidRPr="00D920C6">
        <w:rPr>
          <w:lang w:val="fr-FR"/>
        </w:rPr>
        <w:t>Le dossier d</w:t>
      </w:r>
      <w:r w:rsidR="00B921D9">
        <w:rPr>
          <w:lang w:val="fr-FR"/>
        </w:rPr>
        <w:t>’</w:t>
      </w:r>
      <w:r w:rsidRPr="00D920C6">
        <w:rPr>
          <w:lang w:val="fr-FR"/>
        </w:rPr>
        <w:t>information requis au paragraphe 3 du présent Règlement pour permettre à l</w:t>
      </w:r>
      <w:r w:rsidR="00B921D9">
        <w:rPr>
          <w:lang w:val="fr-FR"/>
        </w:rPr>
        <w:t>’</w:t>
      </w:r>
      <w:r w:rsidRPr="00D920C6">
        <w:rPr>
          <w:lang w:val="fr-FR"/>
        </w:rPr>
        <w:t>autorité d</w:t>
      </w:r>
      <w:r w:rsidR="00B921D9">
        <w:rPr>
          <w:lang w:val="fr-FR"/>
        </w:rPr>
        <w:t>’</w:t>
      </w:r>
      <w:r w:rsidRPr="00D920C6">
        <w:rPr>
          <w:lang w:val="fr-FR"/>
        </w:rPr>
        <w:t>homologation de type d</w:t>
      </w:r>
      <w:r w:rsidR="00B921D9">
        <w:rPr>
          <w:lang w:val="fr-FR"/>
        </w:rPr>
        <w:t>’</w:t>
      </w:r>
      <w:r w:rsidRPr="00D920C6">
        <w:rPr>
          <w:lang w:val="fr-FR"/>
        </w:rPr>
        <w:t>évaluer les stratégies antipollution ainsi que les systèmes équipant le véhicule et le moteur pour garantir le fonctionnement correct des mesures de limitation des NO</w:t>
      </w:r>
      <w:r w:rsidRPr="00D920C6">
        <w:rPr>
          <w:vertAlign w:val="subscript"/>
          <w:lang w:val="fr-FR"/>
        </w:rPr>
        <w:t>x</w:t>
      </w:r>
      <w:r w:rsidRPr="00D920C6">
        <w:rPr>
          <w:lang w:val="fr-FR"/>
        </w:rPr>
        <w:t>, ainsi que les dossiers prescrits à l</w:t>
      </w:r>
      <w:r w:rsidR="00B921D9">
        <w:rPr>
          <w:lang w:val="fr-FR"/>
        </w:rPr>
        <w:t>’</w:t>
      </w:r>
      <w:r w:rsidRPr="00D920C6">
        <w:rPr>
          <w:lang w:val="fr-FR"/>
        </w:rPr>
        <w:t>annexe 10 (émissions hors cycle), aux annexes</w:t>
      </w:r>
      <w:r w:rsidR="009845FF">
        <w:rPr>
          <w:lang w:val="fr-FR"/>
        </w:rPr>
        <w:t> </w:t>
      </w:r>
      <w:r w:rsidRPr="00D920C6">
        <w:rPr>
          <w:lang w:val="fr-FR"/>
        </w:rPr>
        <w:t>9A et</w:t>
      </w:r>
      <w:r w:rsidR="009845FF">
        <w:rPr>
          <w:lang w:val="fr-FR"/>
        </w:rPr>
        <w:t xml:space="preserve"> </w:t>
      </w:r>
      <w:r w:rsidRPr="00D920C6">
        <w:rPr>
          <w:lang w:val="fr-FR"/>
        </w:rPr>
        <w:t>9B (OBD) et à l</w:t>
      </w:r>
      <w:r w:rsidR="00B921D9">
        <w:rPr>
          <w:lang w:val="fr-FR"/>
        </w:rPr>
        <w:t>’</w:t>
      </w:r>
      <w:r w:rsidRPr="00D920C6">
        <w:rPr>
          <w:lang w:val="fr-FR"/>
        </w:rPr>
        <w:t xml:space="preserve">annexe 15 au présent Règlement (moteurs bicarburant), </w:t>
      </w:r>
      <w:r w:rsidRPr="00D920C6">
        <w:rPr>
          <w:strike/>
          <w:lang w:val="fr-FR"/>
        </w:rPr>
        <w:t>doivent ê</w:t>
      </w:r>
      <w:r w:rsidRPr="00E773DC">
        <w:rPr>
          <w:strike/>
          <w:lang w:val="fr-FR"/>
        </w:rPr>
        <w:t>tre fourni en deux parties</w:t>
      </w:r>
      <w:r>
        <w:rPr>
          <w:lang w:val="fr-FR"/>
        </w:rPr>
        <w:t xml:space="preserve"> </w:t>
      </w:r>
      <w:r>
        <w:rPr>
          <w:b/>
          <w:bCs/>
          <w:lang w:val="fr-FR"/>
        </w:rPr>
        <w:t>doivent comprendre les informations suivantes</w:t>
      </w:r>
      <w:r w:rsidRPr="00E773DC">
        <w:rPr>
          <w:b/>
          <w:bCs/>
          <w:lang w:val="fr-FR"/>
        </w:rPr>
        <w:t> </w:t>
      </w:r>
      <w:r w:rsidRPr="00E773DC">
        <w:rPr>
          <w:lang w:val="fr-FR"/>
        </w:rPr>
        <w:t>:</w:t>
      </w:r>
    </w:p>
    <w:p w14:paraId="518C4E61" w14:textId="77777777" w:rsidR="00213792" w:rsidRPr="00E773DC" w:rsidRDefault="00213792" w:rsidP="00213792">
      <w:pPr>
        <w:pStyle w:val="SingleTxtG"/>
        <w:ind w:left="2835" w:hanging="567"/>
        <w:rPr>
          <w:lang w:val="fr-FR"/>
        </w:rPr>
      </w:pPr>
      <w:r w:rsidRPr="00E773DC">
        <w:rPr>
          <w:lang w:val="fr-FR"/>
        </w:rPr>
        <w:t>a)</w:t>
      </w:r>
      <w:r w:rsidRPr="00E773DC">
        <w:rPr>
          <w:lang w:val="fr-FR"/>
        </w:rPr>
        <w:tab/>
      </w:r>
      <w:r w:rsidRPr="00E773DC">
        <w:rPr>
          <w:strike/>
          <w:lang w:val="fr-FR"/>
        </w:rPr>
        <w:t>Le «dossier d</w:t>
      </w:r>
      <w:r w:rsidR="00B921D9">
        <w:rPr>
          <w:strike/>
          <w:lang w:val="fr-FR"/>
        </w:rPr>
        <w:t>’</w:t>
      </w:r>
      <w:r w:rsidRPr="00E773DC">
        <w:rPr>
          <w:strike/>
          <w:lang w:val="fr-FR"/>
        </w:rPr>
        <w:t xml:space="preserve">information officiel», qui peut être communiqué aux parties intéressées sur demande </w:t>
      </w:r>
      <w:r>
        <w:rPr>
          <w:strike/>
          <w:lang w:val="fr-FR"/>
        </w:rPr>
        <w:t xml:space="preserve"> </w:t>
      </w:r>
      <w:r w:rsidRPr="00E773DC">
        <w:rPr>
          <w:b/>
          <w:bCs/>
          <w:lang w:val="fr-FR"/>
        </w:rPr>
        <w:t>Une</w:t>
      </w:r>
      <w:r w:rsidRPr="009845FF">
        <w:rPr>
          <w:lang w:val="fr-FR"/>
        </w:rPr>
        <w:t xml:space="preserve"> </w:t>
      </w:r>
      <w:r w:rsidRPr="00E773DC">
        <w:rPr>
          <w:b/>
          <w:bCs/>
          <w:lang w:val="fr-FR"/>
        </w:rPr>
        <w:t>description complète du système d</w:t>
      </w:r>
      <w:r w:rsidR="00B921D9">
        <w:rPr>
          <w:b/>
          <w:bCs/>
          <w:lang w:val="fr-FR"/>
        </w:rPr>
        <w:t>’</w:t>
      </w:r>
      <w:r w:rsidRPr="00E773DC">
        <w:rPr>
          <w:b/>
          <w:bCs/>
          <w:lang w:val="fr-FR"/>
        </w:rPr>
        <w:t>incitation requis par l</w:t>
      </w:r>
      <w:r w:rsidR="00B921D9">
        <w:rPr>
          <w:b/>
          <w:bCs/>
          <w:lang w:val="fr-FR"/>
        </w:rPr>
        <w:t>’</w:t>
      </w:r>
      <w:r w:rsidRPr="00E773DC">
        <w:rPr>
          <w:b/>
          <w:bCs/>
          <w:lang w:val="fr-FR"/>
        </w:rPr>
        <w:t>annexe 11, y compris les stratégies de surveillance associées</w:t>
      </w:r>
      <w:r w:rsidRPr="00D920C6">
        <w:rPr>
          <w:lang w:val="fr-FR"/>
        </w:rPr>
        <w:t> ;</w:t>
      </w:r>
    </w:p>
    <w:p w14:paraId="0EA7AFB7" w14:textId="77777777" w:rsidR="00213792" w:rsidRPr="00E773DC" w:rsidRDefault="00213792" w:rsidP="00213792">
      <w:pPr>
        <w:pStyle w:val="SingleTxtG"/>
        <w:ind w:left="2835" w:hanging="567"/>
        <w:rPr>
          <w:lang w:val="fr-FR"/>
        </w:rPr>
      </w:pPr>
      <w:r w:rsidRPr="00E773DC">
        <w:rPr>
          <w:lang w:val="fr-FR"/>
        </w:rPr>
        <w:t>b)</w:t>
      </w:r>
      <w:r w:rsidRPr="00E773DC">
        <w:rPr>
          <w:lang w:val="fr-FR"/>
        </w:rPr>
        <w:tab/>
      </w:r>
      <w:r w:rsidRPr="00E773DC">
        <w:rPr>
          <w:strike/>
          <w:lang w:val="fr-FR"/>
        </w:rPr>
        <w:t>Le «dossier d</w:t>
      </w:r>
      <w:r w:rsidR="00B921D9">
        <w:rPr>
          <w:strike/>
          <w:lang w:val="fr-FR"/>
        </w:rPr>
        <w:t>’</w:t>
      </w:r>
      <w:r w:rsidRPr="00E773DC">
        <w:rPr>
          <w:strike/>
          <w:lang w:val="fr-FR"/>
        </w:rPr>
        <w:t xml:space="preserve">information détaillé», qui reste strictement confidentiel </w:t>
      </w:r>
      <w:r w:rsidRPr="00E773DC">
        <w:rPr>
          <w:b/>
          <w:bCs/>
          <w:lang w:val="fr-FR"/>
        </w:rPr>
        <w:t xml:space="preserve">La description des mesures de lutte contre les </w:t>
      </w:r>
      <w:r>
        <w:rPr>
          <w:b/>
          <w:bCs/>
          <w:lang w:val="fr-FR"/>
        </w:rPr>
        <w:t>modific</w:t>
      </w:r>
      <w:r w:rsidRPr="00E773DC">
        <w:rPr>
          <w:b/>
          <w:bCs/>
          <w:lang w:val="fr-FR"/>
        </w:rPr>
        <w:t>ations non autorisées qui sont envisagées aux paragraphes</w:t>
      </w:r>
      <w:r w:rsidR="009845FF">
        <w:rPr>
          <w:b/>
          <w:bCs/>
          <w:lang w:val="fr-FR"/>
        </w:rPr>
        <w:t> </w:t>
      </w:r>
      <w:r w:rsidRPr="00E773DC">
        <w:rPr>
          <w:b/>
          <w:bCs/>
          <w:lang w:val="fr-FR"/>
        </w:rPr>
        <w:t>3</w:t>
      </w:r>
      <w:r w:rsidR="00F72B31" w:rsidRPr="00F72B31">
        <w:rPr>
          <w:b/>
          <w:bCs/>
          <w:lang w:val="fr-FR"/>
        </w:rPr>
        <w:t>.</w:t>
      </w:r>
      <w:r w:rsidRPr="00E773DC">
        <w:rPr>
          <w:b/>
          <w:bCs/>
          <w:lang w:val="fr-FR"/>
        </w:rPr>
        <w:t>1</w:t>
      </w:r>
      <w:r w:rsidR="00F72B31" w:rsidRPr="00F72B31">
        <w:rPr>
          <w:b/>
          <w:bCs/>
          <w:lang w:val="fr-FR"/>
        </w:rPr>
        <w:t>.</w:t>
      </w:r>
      <w:r w:rsidRPr="00E773DC">
        <w:rPr>
          <w:b/>
          <w:bCs/>
          <w:lang w:val="fr-FR"/>
        </w:rPr>
        <w:t>4 b) et 3</w:t>
      </w:r>
      <w:r w:rsidR="00F72B31" w:rsidRPr="00F72B31">
        <w:rPr>
          <w:b/>
          <w:bCs/>
          <w:lang w:val="fr-FR"/>
        </w:rPr>
        <w:t>.</w:t>
      </w:r>
      <w:r w:rsidRPr="00E773DC">
        <w:rPr>
          <w:b/>
          <w:bCs/>
          <w:lang w:val="fr-FR"/>
        </w:rPr>
        <w:t>2</w:t>
      </w:r>
      <w:r w:rsidR="00F72B31" w:rsidRPr="00F72B31">
        <w:rPr>
          <w:b/>
          <w:bCs/>
          <w:lang w:val="fr-FR"/>
        </w:rPr>
        <w:t>.</w:t>
      </w:r>
      <w:r w:rsidRPr="00E773DC">
        <w:rPr>
          <w:b/>
          <w:bCs/>
          <w:lang w:val="fr-FR"/>
        </w:rPr>
        <w:t>4 a)</w:t>
      </w:r>
      <w:r w:rsidR="00F72B31" w:rsidRPr="00F72B31">
        <w:rPr>
          <w:b/>
          <w:bCs/>
          <w:lang w:val="fr-FR"/>
        </w:rPr>
        <w:t>.</w:t>
      </w:r>
      <w:r w:rsidRPr="00E773DC">
        <w:rPr>
          <w:b/>
          <w:bCs/>
          <w:lang w:val="fr-FR"/>
        </w:rPr>
        <w:t> </w:t>
      </w:r>
      <w:r w:rsidRPr="00E773DC">
        <w:rPr>
          <w:lang w:val="fr-FR"/>
        </w:rPr>
        <w:t>»</w:t>
      </w:r>
      <w:r w:rsidR="00F72B31" w:rsidRPr="00F72B31">
        <w:rPr>
          <w:lang w:val="fr-FR"/>
        </w:rPr>
        <w:t>.</w:t>
      </w:r>
    </w:p>
    <w:p w14:paraId="520CB61A" w14:textId="77777777" w:rsidR="00213792" w:rsidRPr="00E773DC" w:rsidRDefault="00213792" w:rsidP="00213792">
      <w:pPr>
        <w:pStyle w:val="SingleTxtG"/>
        <w:rPr>
          <w:i/>
          <w:lang w:val="fr-FR"/>
        </w:rPr>
      </w:pPr>
      <w:r w:rsidRPr="00E773DC">
        <w:rPr>
          <w:i/>
          <w:lang w:val="fr-FR"/>
        </w:rPr>
        <w:t>Paragraphe 5</w:t>
      </w:r>
      <w:r w:rsidR="00F72B31" w:rsidRPr="00F72B31">
        <w:rPr>
          <w:i/>
          <w:lang w:val="fr-FR"/>
        </w:rPr>
        <w:t>.</w:t>
      </w:r>
      <w:r w:rsidRPr="00E773DC">
        <w:rPr>
          <w:i/>
          <w:lang w:val="fr-FR"/>
        </w:rPr>
        <w:t>2</w:t>
      </w:r>
      <w:r w:rsidR="00F72B31" w:rsidRPr="00F72B31">
        <w:rPr>
          <w:i/>
          <w:lang w:val="fr-FR"/>
        </w:rPr>
        <w:t>.</w:t>
      </w:r>
      <w:r w:rsidRPr="00E773DC">
        <w:rPr>
          <w:i/>
          <w:lang w:val="fr-FR"/>
        </w:rPr>
        <w:t>4</w:t>
      </w:r>
      <w:r w:rsidRPr="009845FF">
        <w:rPr>
          <w:iCs/>
          <w:lang w:val="fr-FR"/>
        </w:rPr>
        <w:t>,</w:t>
      </w:r>
      <w:r w:rsidRPr="00E773DC">
        <w:rPr>
          <w:i/>
          <w:lang w:val="fr-FR"/>
        </w:rPr>
        <w:t xml:space="preserve"> </w:t>
      </w:r>
      <w:r w:rsidRPr="00E773DC">
        <w:rPr>
          <w:iCs/>
          <w:lang w:val="fr-FR"/>
        </w:rPr>
        <w:t>lire :</w:t>
      </w:r>
    </w:p>
    <w:p w14:paraId="4CB2ED3E" w14:textId="77777777" w:rsidR="00213792" w:rsidRPr="00E773DC" w:rsidRDefault="00213792" w:rsidP="00213792">
      <w:pPr>
        <w:spacing w:after="120"/>
        <w:ind w:left="2268" w:right="1134" w:hanging="1134"/>
        <w:jc w:val="both"/>
        <w:rPr>
          <w:rFonts w:eastAsia="MS Mincho"/>
          <w:lang w:val="fr-FR" w:eastAsia="fi-FI"/>
        </w:rPr>
      </w:pPr>
      <w:r w:rsidRPr="00E773DC">
        <w:rPr>
          <w:rFonts w:eastAsia="MS Mincho"/>
          <w:lang w:val="fr-FR" w:eastAsia="fi-FI"/>
        </w:rPr>
        <w:t>« 5</w:t>
      </w:r>
      <w:r w:rsidR="00F72B31" w:rsidRPr="00F72B31">
        <w:rPr>
          <w:rFonts w:eastAsia="MS Mincho"/>
          <w:lang w:val="fr-FR" w:eastAsia="fi-FI"/>
        </w:rPr>
        <w:t>.</w:t>
      </w:r>
      <w:r w:rsidRPr="00E773DC">
        <w:rPr>
          <w:rFonts w:eastAsia="MS Mincho"/>
          <w:lang w:val="fr-FR" w:eastAsia="fi-FI"/>
        </w:rPr>
        <w:t>2</w:t>
      </w:r>
      <w:r w:rsidR="00F72B31" w:rsidRPr="00F72B31">
        <w:rPr>
          <w:rFonts w:eastAsia="MS Mincho"/>
          <w:lang w:val="fr-FR" w:eastAsia="fi-FI"/>
        </w:rPr>
        <w:t>.</w:t>
      </w:r>
      <w:r w:rsidRPr="00E773DC">
        <w:rPr>
          <w:rFonts w:eastAsia="MS Mincho"/>
          <w:lang w:val="fr-FR" w:eastAsia="fi-FI"/>
        </w:rPr>
        <w:t>4</w:t>
      </w:r>
      <w:r w:rsidRPr="00E773DC">
        <w:rPr>
          <w:rFonts w:eastAsia="MS Mincho"/>
          <w:lang w:val="fr-FR" w:eastAsia="fi-FI"/>
        </w:rPr>
        <w:tab/>
        <w:t>Pour les essais réalisés sur les moteurs à allumage commandé à l</w:t>
      </w:r>
      <w:r w:rsidR="00B921D9">
        <w:rPr>
          <w:rFonts w:eastAsia="MS Mincho"/>
          <w:lang w:val="fr-FR" w:eastAsia="fi-FI"/>
        </w:rPr>
        <w:t>’</w:t>
      </w:r>
      <w:r w:rsidRPr="00E773DC">
        <w:rPr>
          <w:rFonts w:eastAsia="MS Mincho"/>
          <w:lang w:val="fr-FR" w:eastAsia="fi-FI"/>
        </w:rPr>
        <w:t>aide d</w:t>
      </w:r>
      <w:r w:rsidR="00B921D9">
        <w:rPr>
          <w:rFonts w:eastAsia="MS Mincho"/>
          <w:lang w:val="fr-FR" w:eastAsia="fi-FI"/>
        </w:rPr>
        <w:t>’</w:t>
      </w:r>
      <w:r w:rsidRPr="00E773DC">
        <w:rPr>
          <w:rFonts w:eastAsia="MS Mincho"/>
          <w:lang w:val="fr-FR" w:eastAsia="fi-FI"/>
        </w:rPr>
        <w:t>un système de dilution des gaz d</w:t>
      </w:r>
      <w:r w:rsidR="00B921D9">
        <w:rPr>
          <w:rFonts w:eastAsia="MS Mincho"/>
          <w:lang w:val="fr-FR" w:eastAsia="fi-FI"/>
        </w:rPr>
        <w:t>’</w:t>
      </w:r>
      <w:r w:rsidRPr="00E773DC">
        <w:rPr>
          <w:rFonts w:eastAsia="MS Mincho"/>
          <w:lang w:val="fr-FR" w:eastAsia="fi-FI"/>
        </w:rPr>
        <w:t>échappement, il est permis d</w:t>
      </w:r>
      <w:r w:rsidR="00B921D9">
        <w:rPr>
          <w:rFonts w:eastAsia="MS Mincho"/>
          <w:lang w:val="fr-FR" w:eastAsia="fi-FI"/>
        </w:rPr>
        <w:t>’</w:t>
      </w:r>
      <w:r w:rsidRPr="00E773DC">
        <w:rPr>
          <w:rFonts w:eastAsia="MS Mincho"/>
          <w:lang w:val="fr-FR" w:eastAsia="fi-FI"/>
        </w:rPr>
        <w:t>utiliser des analyseurs qui répondent aux prescriptions générales et aux procédures d</w:t>
      </w:r>
      <w:r w:rsidR="00B921D9">
        <w:rPr>
          <w:rFonts w:eastAsia="MS Mincho"/>
          <w:lang w:val="fr-FR" w:eastAsia="fi-FI"/>
        </w:rPr>
        <w:t>’</w:t>
      </w:r>
      <w:r w:rsidRPr="00E773DC">
        <w:rPr>
          <w:rFonts w:eastAsia="MS Mincho"/>
          <w:lang w:val="fr-FR" w:eastAsia="fi-FI"/>
        </w:rPr>
        <w:t xml:space="preserve">étalonnage </w:t>
      </w:r>
      <w:r w:rsidRPr="00E773DC">
        <w:rPr>
          <w:rFonts w:eastAsia="MS Mincho"/>
          <w:strike/>
          <w:lang w:val="fr-FR" w:eastAsia="fi-FI"/>
        </w:rPr>
        <w:t>du Règlement n</w:t>
      </w:r>
      <w:r w:rsidRPr="00D920C6">
        <w:rPr>
          <w:rFonts w:eastAsia="MS Mincho"/>
          <w:strike/>
          <w:vertAlign w:val="superscript"/>
          <w:lang w:val="fr-FR" w:eastAsia="fi-FI"/>
        </w:rPr>
        <w:t>o</w:t>
      </w:r>
      <w:r w:rsidRPr="00E773DC">
        <w:rPr>
          <w:rFonts w:eastAsia="MS Mincho"/>
          <w:strike/>
          <w:lang w:val="fr-FR" w:eastAsia="fi-FI"/>
        </w:rPr>
        <w:t xml:space="preserve"> 83</w:t>
      </w:r>
      <w:r w:rsidRPr="00E773DC">
        <w:rPr>
          <w:rFonts w:eastAsia="MS Mincho"/>
          <w:b/>
          <w:bCs/>
          <w:lang w:val="fr-FR" w:eastAsia="fi-FI"/>
        </w:rPr>
        <w:t xml:space="preserve"> des Règlements ONU n</w:t>
      </w:r>
      <w:r w:rsidRPr="00E773DC">
        <w:rPr>
          <w:rFonts w:eastAsia="MS Mincho"/>
          <w:b/>
          <w:bCs/>
          <w:vertAlign w:val="superscript"/>
          <w:lang w:val="fr-FR" w:eastAsia="fi-FI"/>
        </w:rPr>
        <w:t>os</w:t>
      </w:r>
      <w:r w:rsidRPr="00E773DC">
        <w:rPr>
          <w:rFonts w:eastAsia="MS Mincho"/>
          <w:b/>
          <w:bCs/>
          <w:lang w:val="fr-FR" w:eastAsia="fi-FI"/>
        </w:rPr>
        <w:t xml:space="preserve"> 83 ou [154]</w:t>
      </w:r>
      <w:r w:rsidR="00F72B31" w:rsidRPr="00F72B31">
        <w:rPr>
          <w:rFonts w:eastAsia="MS Mincho"/>
          <w:lang w:val="fr-FR" w:eastAsia="fi-FI"/>
        </w:rPr>
        <w:t>.</w:t>
      </w:r>
      <w:r w:rsidRPr="00E773DC">
        <w:rPr>
          <w:rFonts w:eastAsia="MS Mincho"/>
          <w:lang w:val="fr-FR" w:eastAsia="fi-FI"/>
        </w:rPr>
        <w:t xml:space="preserve"> Dans ce cas, les dispositions du paragraphe 9 et de l</w:t>
      </w:r>
      <w:r w:rsidR="00B921D9">
        <w:rPr>
          <w:rFonts w:eastAsia="MS Mincho"/>
          <w:lang w:val="fr-FR" w:eastAsia="fi-FI"/>
        </w:rPr>
        <w:t>’</w:t>
      </w:r>
      <w:r w:rsidRPr="00E773DC">
        <w:rPr>
          <w:rFonts w:eastAsia="MS Mincho"/>
          <w:lang w:val="fr-FR" w:eastAsia="fi-FI"/>
        </w:rPr>
        <w:t>appendice 2 de l</w:t>
      </w:r>
      <w:r w:rsidR="00B921D9">
        <w:rPr>
          <w:rFonts w:eastAsia="MS Mincho"/>
          <w:lang w:val="fr-FR" w:eastAsia="fi-FI"/>
        </w:rPr>
        <w:t>’</w:t>
      </w:r>
      <w:r w:rsidRPr="00E773DC">
        <w:rPr>
          <w:rFonts w:eastAsia="MS Mincho"/>
          <w:lang w:val="fr-FR" w:eastAsia="fi-FI"/>
        </w:rPr>
        <w:t>annexe4 au présent Règlement s</w:t>
      </w:r>
      <w:r w:rsidR="00B921D9">
        <w:rPr>
          <w:rFonts w:eastAsia="MS Mincho"/>
          <w:lang w:val="fr-FR" w:eastAsia="fi-FI"/>
        </w:rPr>
        <w:t>’</w:t>
      </w:r>
      <w:r w:rsidRPr="00E773DC">
        <w:rPr>
          <w:rFonts w:eastAsia="MS Mincho"/>
          <w:lang w:val="fr-FR" w:eastAsia="fi-FI"/>
        </w:rPr>
        <w:t>appliquent</w:t>
      </w:r>
      <w:r w:rsidR="00F72B31" w:rsidRPr="00F72B31">
        <w:rPr>
          <w:rFonts w:eastAsia="MS Mincho"/>
          <w:lang w:val="fr-FR" w:eastAsia="fi-FI"/>
        </w:rPr>
        <w:t>.</w:t>
      </w:r>
    </w:p>
    <w:p w14:paraId="07444FA6" w14:textId="77777777" w:rsidR="00213792" w:rsidRPr="00E773DC" w:rsidRDefault="00213792" w:rsidP="00213792">
      <w:pPr>
        <w:spacing w:after="120"/>
        <w:ind w:left="2268" w:right="1134"/>
        <w:jc w:val="both"/>
        <w:rPr>
          <w:lang w:val="fr-FR"/>
        </w:rPr>
      </w:pPr>
      <w:r w:rsidRPr="00E773DC">
        <w:rPr>
          <w:rFonts w:eastAsia="MS Mincho"/>
          <w:lang w:val="fr-FR" w:eastAsia="fi-FI"/>
        </w:rPr>
        <w:t>Cependant, les procédures d</w:t>
      </w:r>
      <w:r w:rsidR="00B921D9">
        <w:rPr>
          <w:rFonts w:eastAsia="MS Mincho"/>
          <w:lang w:val="fr-FR" w:eastAsia="fi-FI"/>
        </w:rPr>
        <w:t>’</w:t>
      </w:r>
      <w:r w:rsidRPr="00E773DC">
        <w:rPr>
          <w:rFonts w:eastAsia="MS Mincho"/>
          <w:lang w:val="fr-FR" w:eastAsia="fi-FI"/>
        </w:rPr>
        <w:t>essai du paragraphe 7 de l</w:t>
      </w:r>
      <w:r w:rsidR="00B921D9">
        <w:rPr>
          <w:rFonts w:eastAsia="MS Mincho"/>
          <w:lang w:val="fr-FR" w:eastAsia="fi-FI"/>
        </w:rPr>
        <w:t>’</w:t>
      </w:r>
      <w:r w:rsidRPr="00E773DC">
        <w:rPr>
          <w:rFonts w:eastAsia="MS Mincho"/>
          <w:lang w:val="fr-FR" w:eastAsia="fi-FI"/>
        </w:rPr>
        <w:t>annexe 4 et de calcul des émissions du paragraphe</w:t>
      </w:r>
      <w:r w:rsidR="009845FF">
        <w:rPr>
          <w:rFonts w:eastAsia="MS Mincho"/>
          <w:lang w:val="fr-FR" w:eastAsia="fi-FI"/>
        </w:rPr>
        <w:t> </w:t>
      </w:r>
      <w:r w:rsidRPr="00E773DC">
        <w:rPr>
          <w:rFonts w:eastAsia="MS Mincho"/>
          <w:lang w:val="fr-FR" w:eastAsia="fi-FI"/>
        </w:rPr>
        <w:t>8 de l</w:t>
      </w:r>
      <w:r w:rsidR="00B921D9">
        <w:rPr>
          <w:rFonts w:eastAsia="MS Mincho"/>
          <w:lang w:val="fr-FR" w:eastAsia="fi-FI"/>
        </w:rPr>
        <w:t>’</w:t>
      </w:r>
      <w:r w:rsidRPr="00E773DC">
        <w:rPr>
          <w:rFonts w:eastAsia="MS Mincho"/>
          <w:lang w:val="fr-FR" w:eastAsia="fi-FI"/>
        </w:rPr>
        <w:t>annexe</w:t>
      </w:r>
      <w:r w:rsidR="009845FF">
        <w:rPr>
          <w:rFonts w:eastAsia="MS Mincho"/>
          <w:lang w:val="fr-FR" w:eastAsia="fi-FI"/>
        </w:rPr>
        <w:t> </w:t>
      </w:r>
      <w:r w:rsidRPr="00E773DC">
        <w:rPr>
          <w:rFonts w:eastAsia="MS Mincho"/>
          <w:lang w:val="fr-FR" w:eastAsia="fi-FI"/>
        </w:rPr>
        <w:t>4 au présent Règlement s</w:t>
      </w:r>
      <w:r w:rsidR="00B921D9">
        <w:rPr>
          <w:rFonts w:eastAsia="MS Mincho"/>
          <w:lang w:val="fr-FR" w:eastAsia="fi-FI"/>
        </w:rPr>
        <w:t>’</w:t>
      </w:r>
      <w:r w:rsidRPr="00E773DC">
        <w:rPr>
          <w:rFonts w:eastAsia="MS Mincho"/>
          <w:lang w:val="fr-FR" w:eastAsia="fi-FI"/>
        </w:rPr>
        <w:t>appliquent</w:t>
      </w:r>
      <w:r w:rsidR="00F72B31" w:rsidRPr="00F72B31">
        <w:rPr>
          <w:rFonts w:eastAsia="MS Mincho"/>
          <w:lang w:val="fr-FR" w:eastAsia="fi-FI"/>
        </w:rPr>
        <w:t>.</w:t>
      </w:r>
      <w:r w:rsidRPr="00E773DC">
        <w:rPr>
          <w:rFonts w:eastAsia="MS Mincho"/>
          <w:lang w:val="fr-FR" w:eastAsia="fi-FI"/>
        </w:rPr>
        <w:t> »</w:t>
      </w:r>
      <w:r w:rsidR="00F72B31" w:rsidRPr="00F72B31">
        <w:rPr>
          <w:rFonts w:eastAsia="MS Mincho"/>
          <w:lang w:val="fr-FR" w:eastAsia="fi-FI"/>
        </w:rPr>
        <w:t>.</w:t>
      </w:r>
    </w:p>
    <w:p w14:paraId="62B04AE6" w14:textId="77777777" w:rsidR="00213792" w:rsidRPr="00E773DC" w:rsidRDefault="00213792" w:rsidP="00213792">
      <w:pPr>
        <w:pStyle w:val="SingleTxtG"/>
        <w:rPr>
          <w:lang w:val="fr-FR"/>
        </w:rPr>
      </w:pPr>
      <w:r w:rsidRPr="00E773DC">
        <w:rPr>
          <w:i/>
          <w:lang w:val="fr-FR"/>
        </w:rPr>
        <w:t>Paragraphe 13</w:t>
      </w:r>
      <w:r w:rsidRPr="009845FF">
        <w:rPr>
          <w:iCs/>
          <w:lang w:val="fr-FR"/>
        </w:rPr>
        <w:t>,</w:t>
      </w:r>
      <w:r w:rsidRPr="00E773DC">
        <w:rPr>
          <w:i/>
          <w:lang w:val="fr-FR"/>
        </w:rPr>
        <w:t xml:space="preserve"> </w:t>
      </w:r>
      <w:r w:rsidRPr="00E773DC">
        <w:rPr>
          <w:lang w:val="fr-FR"/>
        </w:rPr>
        <w:t>lire :</w:t>
      </w:r>
    </w:p>
    <w:p w14:paraId="20365138" w14:textId="77777777" w:rsidR="00213792" w:rsidRPr="00E773DC" w:rsidRDefault="00213792" w:rsidP="00106897">
      <w:pPr>
        <w:pStyle w:val="HChG"/>
        <w:keepNext w:val="0"/>
        <w:rPr>
          <w:lang w:val="fr-FR"/>
        </w:rPr>
      </w:pPr>
      <w:r w:rsidRPr="00E773DC">
        <w:rPr>
          <w:lang w:val="fr-FR"/>
        </w:rPr>
        <w:tab/>
      </w:r>
      <w:r w:rsidRPr="00E773DC">
        <w:rPr>
          <w:lang w:val="fr-FR"/>
        </w:rPr>
        <w:tab/>
        <w:t>« </w:t>
      </w:r>
      <w:bookmarkStart w:id="6" w:name="_Toc307818772"/>
      <w:bookmarkStart w:id="7" w:name="_Toc307819143"/>
      <w:bookmarkStart w:id="8" w:name="_Toc339460467"/>
      <w:bookmarkStart w:id="9" w:name="_Toc339541990"/>
      <w:bookmarkStart w:id="10" w:name="_Toc307819144"/>
      <w:r w:rsidRPr="00E773DC">
        <w:rPr>
          <w:lang w:val="fr-FR"/>
        </w:rPr>
        <w:t>13</w:t>
      </w:r>
      <w:r w:rsidR="00F72B31" w:rsidRPr="00F72B31">
        <w:rPr>
          <w:lang w:val="fr-FR"/>
        </w:rPr>
        <w:t>.</w:t>
      </w:r>
      <w:r w:rsidRPr="00E773DC">
        <w:rPr>
          <w:lang w:val="fr-FR"/>
        </w:rPr>
        <w:tab/>
      </w:r>
      <w:r w:rsidRPr="00E773DC">
        <w:rPr>
          <w:lang w:val="fr-FR"/>
        </w:rPr>
        <w:tab/>
        <w:t>Dispositions transitoires</w:t>
      </w:r>
      <w:bookmarkEnd w:id="6"/>
      <w:bookmarkEnd w:id="7"/>
      <w:bookmarkEnd w:id="8"/>
      <w:bookmarkEnd w:id="9"/>
    </w:p>
    <w:p w14:paraId="5ED687E4" w14:textId="77777777" w:rsidR="00213792" w:rsidRPr="00E773DC" w:rsidRDefault="00213792" w:rsidP="00106897">
      <w:pPr>
        <w:pStyle w:val="para"/>
        <w:rPr>
          <w:lang w:val="fr-FR"/>
        </w:rPr>
      </w:pPr>
      <w:r w:rsidRPr="00E773DC">
        <w:rPr>
          <w:lang w:val="fr-FR"/>
        </w:rPr>
        <w:t>13</w:t>
      </w:r>
      <w:r w:rsidR="00F72B31" w:rsidRPr="00F72B31">
        <w:rPr>
          <w:lang w:val="fr-FR"/>
        </w:rPr>
        <w:t>.</w:t>
      </w:r>
      <w:r w:rsidRPr="00E773DC">
        <w:rPr>
          <w:lang w:val="fr-FR"/>
        </w:rPr>
        <w:t>1</w:t>
      </w:r>
      <w:r w:rsidRPr="00E773DC">
        <w:rPr>
          <w:lang w:val="fr-FR"/>
        </w:rPr>
        <w:tab/>
        <w:t>Dispositions générales</w:t>
      </w:r>
      <w:bookmarkEnd w:id="10"/>
    </w:p>
    <w:p w14:paraId="672818A8" w14:textId="77777777" w:rsidR="00213792" w:rsidRPr="00E773DC" w:rsidRDefault="00213792" w:rsidP="00106897">
      <w:pPr>
        <w:keepNext/>
        <w:keepLines/>
        <w:spacing w:after="120"/>
        <w:ind w:left="2268" w:right="1134" w:hanging="1134"/>
        <w:jc w:val="both"/>
        <w:rPr>
          <w:strike/>
          <w:lang w:val="fr-FR"/>
        </w:rPr>
      </w:pPr>
      <w:r w:rsidRPr="00E773DC">
        <w:rPr>
          <w:strike/>
          <w:lang w:val="fr-FR"/>
        </w:rPr>
        <w:lastRenderedPageBreak/>
        <w:t>13</w:t>
      </w:r>
      <w:r w:rsidR="00F72B31" w:rsidRPr="00F72B31">
        <w:rPr>
          <w:strike/>
          <w:lang w:val="fr-FR"/>
        </w:rPr>
        <w:t>.</w:t>
      </w:r>
      <w:r w:rsidRPr="00E773DC">
        <w:rPr>
          <w:strike/>
          <w:lang w:val="fr-FR"/>
        </w:rPr>
        <w:t>1</w:t>
      </w:r>
      <w:r w:rsidR="00F72B31" w:rsidRPr="00F72B31">
        <w:rPr>
          <w:strike/>
          <w:lang w:val="fr-FR"/>
        </w:rPr>
        <w:t>.</w:t>
      </w:r>
      <w:r w:rsidRPr="00E773DC">
        <w:rPr>
          <w:strike/>
          <w:lang w:val="fr-FR"/>
        </w:rPr>
        <w:t>1</w:t>
      </w:r>
      <w:r w:rsidRPr="00E773DC">
        <w:rPr>
          <w:strike/>
          <w:lang w:val="fr-FR"/>
        </w:rPr>
        <w:tab/>
        <w:t>À dater de l</w:t>
      </w:r>
      <w:r w:rsidR="00B921D9">
        <w:rPr>
          <w:strike/>
          <w:lang w:val="fr-FR"/>
        </w:rPr>
        <w:t>’</w:t>
      </w:r>
      <w:r w:rsidRPr="00E773DC">
        <w:rPr>
          <w:strike/>
          <w:lang w:val="fr-FR"/>
        </w:rPr>
        <w:t>entrée en vigueur de la série 06 d</w:t>
      </w:r>
      <w:r w:rsidR="00B921D9">
        <w:rPr>
          <w:strike/>
          <w:lang w:val="fr-FR"/>
        </w:rPr>
        <w:t>’</w:t>
      </w:r>
      <w:r w:rsidRPr="00E773DC">
        <w:rPr>
          <w:strike/>
          <w:lang w:val="fr-FR"/>
        </w:rPr>
        <w:t>amendements, aucune Partie contractante appliquant le présent Règlement ne peut refuser de délivrer des homologations conformément au présent Règlement tel qu</w:t>
      </w:r>
      <w:r w:rsidR="00B921D9">
        <w:rPr>
          <w:strike/>
          <w:lang w:val="fr-FR"/>
        </w:rPr>
        <w:t>’</w:t>
      </w:r>
      <w:r w:rsidRPr="00E773DC">
        <w:rPr>
          <w:strike/>
          <w:lang w:val="fr-FR"/>
        </w:rPr>
        <w:t>il est modifié par la série 06 d</w:t>
      </w:r>
      <w:r w:rsidR="00B921D9">
        <w:rPr>
          <w:strike/>
          <w:lang w:val="fr-FR"/>
        </w:rPr>
        <w:t>’</w:t>
      </w:r>
      <w:r w:rsidRPr="00E773DC">
        <w:rPr>
          <w:strike/>
          <w:lang w:val="fr-FR"/>
        </w:rPr>
        <w:t>amendements</w:t>
      </w:r>
      <w:r w:rsidR="00F72B31" w:rsidRPr="00F72B31">
        <w:rPr>
          <w:strike/>
          <w:lang w:val="fr-FR"/>
        </w:rPr>
        <w:t>.</w:t>
      </w:r>
    </w:p>
    <w:p w14:paraId="0846D547" w14:textId="77777777" w:rsidR="00213792" w:rsidRPr="00E773DC" w:rsidRDefault="00213792" w:rsidP="00213792">
      <w:pPr>
        <w:spacing w:after="120"/>
        <w:ind w:left="2268" w:right="1134" w:hanging="1134"/>
        <w:jc w:val="both"/>
        <w:rPr>
          <w:strike/>
          <w:lang w:val="fr-FR"/>
        </w:rPr>
      </w:pPr>
      <w:r w:rsidRPr="00E773DC">
        <w:rPr>
          <w:strike/>
          <w:lang w:val="fr-FR"/>
        </w:rPr>
        <w:t>13</w:t>
      </w:r>
      <w:r w:rsidR="00F72B31" w:rsidRPr="00F72B31">
        <w:rPr>
          <w:strike/>
          <w:lang w:val="fr-FR"/>
        </w:rPr>
        <w:t>.</w:t>
      </w:r>
      <w:r w:rsidRPr="00E773DC">
        <w:rPr>
          <w:strike/>
          <w:lang w:val="fr-FR"/>
        </w:rPr>
        <w:t>1</w:t>
      </w:r>
      <w:r w:rsidR="00F72B31" w:rsidRPr="00F72B31">
        <w:rPr>
          <w:strike/>
          <w:lang w:val="fr-FR"/>
        </w:rPr>
        <w:t>.</w:t>
      </w:r>
      <w:r w:rsidRPr="00E773DC">
        <w:rPr>
          <w:strike/>
          <w:lang w:val="fr-FR"/>
        </w:rPr>
        <w:t>2</w:t>
      </w:r>
      <w:r w:rsidRPr="00E773DC">
        <w:rPr>
          <w:strike/>
          <w:lang w:val="fr-FR"/>
        </w:rPr>
        <w:tab/>
        <w:t>À dater de l</w:t>
      </w:r>
      <w:r w:rsidR="00B921D9">
        <w:rPr>
          <w:strike/>
          <w:lang w:val="fr-FR"/>
        </w:rPr>
        <w:t>’</w:t>
      </w:r>
      <w:r w:rsidRPr="00E773DC">
        <w:rPr>
          <w:strike/>
          <w:lang w:val="fr-FR"/>
        </w:rPr>
        <w:t>entrée en vigueur de la série 06 d</w:t>
      </w:r>
      <w:r w:rsidR="00B921D9">
        <w:rPr>
          <w:strike/>
          <w:lang w:val="fr-FR"/>
        </w:rPr>
        <w:t>’</w:t>
      </w:r>
      <w:r w:rsidRPr="00E773DC">
        <w:rPr>
          <w:strike/>
          <w:lang w:val="fr-FR"/>
        </w:rPr>
        <w:t>amendements, les Parties contractantes appliquant le présent Règlement ne délivrent une homologation CEE pour un moteur que si celui-ci satisfait aux dispositions du présent Règlement tel qu</w:t>
      </w:r>
      <w:r w:rsidR="00B921D9">
        <w:rPr>
          <w:strike/>
          <w:lang w:val="fr-FR"/>
        </w:rPr>
        <w:t>’</w:t>
      </w:r>
      <w:r w:rsidRPr="00E773DC">
        <w:rPr>
          <w:strike/>
          <w:lang w:val="fr-FR"/>
        </w:rPr>
        <w:t>il est modifié par la série 06 d</w:t>
      </w:r>
      <w:r w:rsidR="00B921D9">
        <w:rPr>
          <w:strike/>
          <w:lang w:val="fr-FR"/>
        </w:rPr>
        <w:t>’</w:t>
      </w:r>
      <w:r w:rsidRPr="00E773DC">
        <w:rPr>
          <w:strike/>
          <w:lang w:val="fr-FR"/>
        </w:rPr>
        <w:t>amendements</w:t>
      </w:r>
      <w:r w:rsidR="00F72B31" w:rsidRPr="00F72B31">
        <w:rPr>
          <w:strike/>
          <w:lang w:val="fr-FR"/>
        </w:rPr>
        <w:t>.</w:t>
      </w:r>
    </w:p>
    <w:p w14:paraId="2070BC04" w14:textId="77777777" w:rsidR="00213792" w:rsidRPr="00E773DC" w:rsidRDefault="00213792" w:rsidP="00213792">
      <w:pPr>
        <w:spacing w:after="120"/>
        <w:ind w:left="2268" w:right="1134" w:hanging="1134"/>
        <w:jc w:val="both"/>
        <w:rPr>
          <w:b/>
          <w:bCs/>
          <w:lang w:val="fr-FR"/>
        </w:rPr>
      </w:pPr>
      <w:r w:rsidRPr="00E773DC">
        <w:rPr>
          <w:b/>
          <w:bCs/>
          <w:lang w:val="fr-FR"/>
        </w:rPr>
        <w:t>13</w:t>
      </w:r>
      <w:r w:rsidR="00F72B31" w:rsidRPr="00F72B31">
        <w:rPr>
          <w:b/>
          <w:bCs/>
          <w:lang w:val="fr-FR"/>
        </w:rPr>
        <w:t>.</w:t>
      </w:r>
      <w:r w:rsidRPr="00E773DC">
        <w:rPr>
          <w:b/>
          <w:bCs/>
          <w:lang w:val="fr-FR"/>
        </w:rPr>
        <w:t>1</w:t>
      </w:r>
      <w:r w:rsidR="00F72B31" w:rsidRPr="00F72B31">
        <w:rPr>
          <w:b/>
          <w:bCs/>
          <w:lang w:val="fr-FR"/>
        </w:rPr>
        <w:t>.</w:t>
      </w:r>
      <w:r w:rsidRPr="00E773DC">
        <w:rPr>
          <w:b/>
          <w:bCs/>
          <w:lang w:val="fr-FR"/>
        </w:rPr>
        <w:t>1</w:t>
      </w:r>
      <w:r w:rsidRPr="00E773DC">
        <w:rPr>
          <w:b/>
          <w:bCs/>
          <w:lang w:val="fr-FR"/>
        </w:rPr>
        <w:tab/>
        <w:t>À compter de la date officielle d</w:t>
      </w:r>
      <w:r w:rsidR="00B921D9">
        <w:rPr>
          <w:b/>
          <w:bCs/>
          <w:lang w:val="fr-FR"/>
        </w:rPr>
        <w:t>’</w:t>
      </w:r>
      <w:r w:rsidRPr="00E773DC">
        <w:rPr>
          <w:b/>
          <w:bCs/>
          <w:lang w:val="fr-FR"/>
        </w:rPr>
        <w:t>entrée en vigueur de la série 07 d</w:t>
      </w:r>
      <w:r w:rsidR="00B921D9">
        <w:rPr>
          <w:b/>
          <w:bCs/>
          <w:lang w:val="fr-FR"/>
        </w:rPr>
        <w:t>’</w:t>
      </w:r>
      <w:r w:rsidRPr="00E773DC">
        <w:rPr>
          <w:b/>
          <w:bCs/>
          <w:lang w:val="fr-FR"/>
        </w:rPr>
        <w:t>amendements, aucune Partie contractante appliquant le présent Règlement ne peut refuser de délivrer une homologation en vertu du présent Règlement tel que modifié par la série 07 d</w:t>
      </w:r>
      <w:r w:rsidR="00B921D9">
        <w:rPr>
          <w:b/>
          <w:bCs/>
          <w:lang w:val="fr-FR"/>
        </w:rPr>
        <w:t>’</w:t>
      </w:r>
      <w:r w:rsidRPr="00E773DC">
        <w:rPr>
          <w:b/>
          <w:bCs/>
          <w:lang w:val="fr-FR"/>
        </w:rPr>
        <w:t>amendements</w:t>
      </w:r>
      <w:r w:rsidR="00F72B31" w:rsidRPr="00F72B31">
        <w:rPr>
          <w:b/>
          <w:bCs/>
          <w:lang w:val="fr-FR"/>
        </w:rPr>
        <w:t>.</w:t>
      </w:r>
    </w:p>
    <w:p w14:paraId="1FE9BA46" w14:textId="77777777" w:rsidR="00213792" w:rsidRPr="00E773DC" w:rsidRDefault="00213792" w:rsidP="00213792">
      <w:pPr>
        <w:tabs>
          <w:tab w:val="left" w:pos="8505"/>
        </w:tabs>
        <w:spacing w:after="120"/>
        <w:ind w:left="2268" w:right="1134" w:hanging="1134"/>
        <w:jc w:val="both"/>
        <w:rPr>
          <w:strike/>
          <w:lang w:val="fr-FR"/>
        </w:rPr>
      </w:pPr>
      <w:r w:rsidRPr="00E773DC">
        <w:rPr>
          <w:strike/>
          <w:lang w:val="fr-FR"/>
        </w:rPr>
        <w:t>13</w:t>
      </w:r>
      <w:r w:rsidR="00F72B31" w:rsidRPr="00F72B31">
        <w:rPr>
          <w:strike/>
          <w:lang w:val="fr-FR"/>
        </w:rPr>
        <w:t>.</w:t>
      </w:r>
      <w:r w:rsidRPr="00E773DC">
        <w:rPr>
          <w:strike/>
          <w:lang w:val="fr-FR"/>
        </w:rPr>
        <w:t>2</w:t>
      </w:r>
      <w:r w:rsidRPr="00E773DC">
        <w:rPr>
          <w:strike/>
          <w:lang w:val="fr-FR"/>
        </w:rPr>
        <w:tab/>
        <w:t xml:space="preserve">Nouvelles </w:t>
      </w:r>
      <w:bookmarkStart w:id="11" w:name="_Hlk55635944"/>
      <w:r w:rsidRPr="00E773DC">
        <w:rPr>
          <w:strike/>
          <w:lang w:val="fr-FR"/>
        </w:rPr>
        <w:t xml:space="preserve">homologations </w:t>
      </w:r>
      <w:bookmarkEnd w:id="11"/>
      <w:r w:rsidRPr="00E773DC">
        <w:rPr>
          <w:strike/>
          <w:lang w:val="fr-FR"/>
        </w:rPr>
        <w:t>de type</w:t>
      </w:r>
    </w:p>
    <w:p w14:paraId="649BDA95" w14:textId="77777777" w:rsidR="00213792" w:rsidRPr="00E773DC" w:rsidRDefault="00213792" w:rsidP="00213792">
      <w:pPr>
        <w:tabs>
          <w:tab w:val="left" w:pos="8505"/>
        </w:tabs>
        <w:spacing w:after="120"/>
        <w:ind w:left="2268" w:right="1134" w:hanging="1134"/>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1</w:t>
      </w:r>
      <w:r w:rsidRPr="00E773DC">
        <w:rPr>
          <w:strike/>
          <w:lang w:val="fr-FR"/>
        </w:rPr>
        <w:tab/>
        <w:t>À dater de l</w:t>
      </w:r>
      <w:r w:rsidR="00B921D9">
        <w:rPr>
          <w:strike/>
          <w:lang w:val="fr-FR"/>
        </w:rPr>
        <w:t>’</w:t>
      </w:r>
      <w:r w:rsidRPr="00E773DC">
        <w:rPr>
          <w:strike/>
          <w:lang w:val="fr-FR"/>
        </w:rPr>
        <w:t>entrée en vigueur de la série 06 d</w:t>
      </w:r>
      <w:r w:rsidR="00B921D9">
        <w:rPr>
          <w:strike/>
          <w:lang w:val="fr-FR"/>
        </w:rPr>
        <w:t>’</w:t>
      </w:r>
      <w:r w:rsidRPr="00E773DC">
        <w:rPr>
          <w:strike/>
          <w:lang w:val="fr-FR"/>
        </w:rPr>
        <w:t>amendements au présent Règlement, les Parties contractantes appliquant le Règlement ne délivrent une homologation CEE pour un système moteur ou un véhicule que si celui-ci satisfait:</w:t>
      </w:r>
    </w:p>
    <w:p w14:paraId="4A1D6716" w14:textId="77777777" w:rsidR="00213792" w:rsidRPr="00E773DC" w:rsidRDefault="00213792" w:rsidP="00213792">
      <w:pPr>
        <w:spacing w:after="120"/>
        <w:ind w:left="2835" w:right="1134" w:hanging="567"/>
        <w:jc w:val="both"/>
        <w:rPr>
          <w:strike/>
          <w:lang w:val="fr-FR"/>
        </w:rPr>
      </w:pPr>
      <w:r w:rsidRPr="00E773DC">
        <w:rPr>
          <w:strike/>
          <w:lang w:val="fr-FR"/>
        </w:rPr>
        <w:t>a)</w:t>
      </w:r>
      <w:r w:rsidRPr="00E773DC">
        <w:rPr>
          <w:strike/>
          <w:lang w:val="fr-FR"/>
        </w:rPr>
        <w:tab/>
        <w:t>Aux prescriptions du paragraphe 4</w:t>
      </w:r>
      <w:r w:rsidR="00F72B31" w:rsidRPr="00F72B31">
        <w:rPr>
          <w:strike/>
          <w:lang w:val="fr-FR"/>
        </w:rPr>
        <w:t>.</w:t>
      </w:r>
      <w:r w:rsidRPr="00E773DC">
        <w:rPr>
          <w:strike/>
          <w:lang w:val="fr-FR"/>
        </w:rPr>
        <w:t>1 du Règlement;</w:t>
      </w:r>
    </w:p>
    <w:p w14:paraId="6508927A" w14:textId="77777777" w:rsidR="00213792" w:rsidRPr="00E773DC" w:rsidRDefault="00213792" w:rsidP="00213792">
      <w:pPr>
        <w:spacing w:after="120"/>
        <w:ind w:left="2835" w:right="1134" w:hanging="567"/>
        <w:jc w:val="both"/>
        <w:rPr>
          <w:strike/>
          <w:lang w:val="fr-FR"/>
        </w:rPr>
      </w:pPr>
      <w:r w:rsidRPr="00E773DC">
        <w:rPr>
          <w:strike/>
          <w:lang w:val="fr-FR"/>
        </w:rPr>
        <w:t>b)</w:t>
      </w:r>
      <w:r w:rsidRPr="00E773DC">
        <w:rPr>
          <w:strike/>
          <w:lang w:val="fr-FR"/>
        </w:rPr>
        <w:tab/>
        <w:t>Aux prescriptions de surveillance de l</w:t>
      </w:r>
      <w:r w:rsidR="00B921D9">
        <w:rPr>
          <w:strike/>
          <w:lang w:val="fr-FR"/>
        </w:rPr>
        <w:t>’</w:t>
      </w:r>
      <w:r w:rsidRPr="00E773DC">
        <w:rPr>
          <w:strike/>
          <w:lang w:val="fr-FR"/>
        </w:rPr>
        <w:t>efficacité énoncées au paragraphe 2</w:t>
      </w:r>
      <w:r w:rsidR="00F72B31" w:rsidRPr="00F72B31">
        <w:rPr>
          <w:strike/>
          <w:lang w:val="fr-FR"/>
        </w:rPr>
        <w:t>.</w:t>
      </w:r>
      <w:r w:rsidRPr="00E773DC">
        <w:rPr>
          <w:strike/>
          <w:lang w:val="fr-FR"/>
        </w:rPr>
        <w:t>3</w:t>
      </w:r>
      <w:r w:rsidR="00F72B31" w:rsidRPr="00F72B31">
        <w:rPr>
          <w:strike/>
          <w:lang w:val="fr-FR"/>
        </w:rPr>
        <w:t>.</w:t>
      </w:r>
      <w:r w:rsidRPr="00E773DC">
        <w:rPr>
          <w:strike/>
          <w:lang w:val="fr-FR"/>
        </w:rPr>
        <w:t>2</w:t>
      </w:r>
      <w:r w:rsidR="00F72B31" w:rsidRPr="00F72B31">
        <w:rPr>
          <w:strike/>
          <w:lang w:val="fr-FR"/>
        </w:rPr>
        <w:t>.</w:t>
      </w:r>
      <w:r w:rsidRPr="00E773DC">
        <w:rPr>
          <w:strike/>
          <w:lang w:val="fr-FR"/>
        </w:rPr>
        <w:t>2 de l</w:t>
      </w:r>
      <w:r w:rsidR="00B921D9">
        <w:rPr>
          <w:strike/>
          <w:lang w:val="fr-FR"/>
        </w:rPr>
        <w:t>’</w:t>
      </w:r>
      <w:r w:rsidRPr="00E773DC">
        <w:rPr>
          <w:strike/>
          <w:lang w:val="fr-FR"/>
        </w:rPr>
        <w:t>annexe 9A;</w:t>
      </w:r>
    </w:p>
    <w:p w14:paraId="14E84A35" w14:textId="77777777" w:rsidR="00213792" w:rsidRPr="00E773DC" w:rsidRDefault="00213792" w:rsidP="00213792">
      <w:pPr>
        <w:spacing w:after="120"/>
        <w:ind w:left="2835" w:right="1134" w:hanging="567"/>
        <w:jc w:val="both"/>
        <w:rPr>
          <w:strike/>
          <w:lang w:val="fr-FR"/>
        </w:rPr>
      </w:pPr>
      <w:r w:rsidRPr="00E773DC">
        <w:rPr>
          <w:strike/>
          <w:lang w:val="fr-FR"/>
        </w:rPr>
        <w:t>c)</w:t>
      </w:r>
      <w:r w:rsidRPr="00E773DC">
        <w:rPr>
          <w:strike/>
          <w:lang w:val="fr-FR"/>
        </w:rPr>
        <w:tab/>
        <w:t>Aux prescriptions de surveillance des valeurs limites OBD pour les oxydes d</w:t>
      </w:r>
      <w:r w:rsidR="00B921D9">
        <w:rPr>
          <w:strike/>
          <w:lang w:val="fr-FR"/>
        </w:rPr>
        <w:t>’</w:t>
      </w:r>
      <w:r w:rsidRPr="00E773DC">
        <w:rPr>
          <w:strike/>
          <w:lang w:val="fr-FR"/>
        </w:rPr>
        <w:t>azote, telles qu</w:t>
      </w:r>
      <w:r w:rsidR="00B921D9">
        <w:rPr>
          <w:strike/>
          <w:lang w:val="fr-FR"/>
        </w:rPr>
        <w:t>’</w:t>
      </w:r>
      <w:r w:rsidRPr="00E773DC">
        <w:rPr>
          <w:strike/>
          <w:lang w:val="fr-FR"/>
        </w:rPr>
        <w:t>elles sont énoncées dans les tableaux 1 et 2 de l</w:t>
      </w:r>
      <w:r w:rsidR="00B921D9">
        <w:rPr>
          <w:strike/>
          <w:lang w:val="fr-FR"/>
        </w:rPr>
        <w:t>’</w:t>
      </w:r>
      <w:r w:rsidRPr="00E773DC">
        <w:rPr>
          <w:strike/>
          <w:lang w:val="fr-FR"/>
        </w:rPr>
        <w:t>annexe 9A, sur la ligne correspondant à la phase de transition;</w:t>
      </w:r>
    </w:p>
    <w:p w14:paraId="2E739EB5" w14:textId="77777777" w:rsidR="00213792" w:rsidRPr="00E773DC" w:rsidRDefault="00213792" w:rsidP="00213792">
      <w:pPr>
        <w:spacing w:after="120"/>
        <w:ind w:left="2835" w:right="1134" w:hanging="567"/>
        <w:jc w:val="both"/>
        <w:rPr>
          <w:strike/>
          <w:lang w:val="fr-FR"/>
        </w:rPr>
      </w:pPr>
      <w:r w:rsidRPr="00E773DC">
        <w:rPr>
          <w:strike/>
          <w:lang w:val="fr-FR"/>
        </w:rPr>
        <w:t>d)</w:t>
      </w:r>
      <w:r w:rsidRPr="00E773DC">
        <w:rPr>
          <w:strike/>
          <w:lang w:val="fr-FR"/>
        </w:rPr>
        <w:tab/>
        <w:t>Aux prescriptions de la phase de transition concernant la qualité et la consommation du réactif, telles qu</w:t>
      </w:r>
      <w:r w:rsidR="00B921D9">
        <w:rPr>
          <w:strike/>
          <w:lang w:val="fr-FR"/>
        </w:rPr>
        <w:t>’</w:t>
      </w:r>
      <w:r w:rsidRPr="00E773DC">
        <w:rPr>
          <w:strike/>
          <w:lang w:val="fr-FR"/>
        </w:rPr>
        <w:t>elles sont énoncées aux paragraphes 7</w:t>
      </w:r>
      <w:r w:rsidR="00F72B31" w:rsidRPr="00F72B31">
        <w:rPr>
          <w:strike/>
          <w:lang w:val="fr-FR"/>
        </w:rPr>
        <w:t>.</w:t>
      </w:r>
      <w:r w:rsidRPr="00E773DC">
        <w:rPr>
          <w:strike/>
          <w:lang w:val="fr-FR"/>
        </w:rPr>
        <w:t>1</w:t>
      </w:r>
      <w:r w:rsidR="00F72B31" w:rsidRPr="00F72B31">
        <w:rPr>
          <w:strike/>
          <w:lang w:val="fr-FR"/>
        </w:rPr>
        <w:t>.</w:t>
      </w:r>
      <w:r w:rsidRPr="00E773DC">
        <w:rPr>
          <w:strike/>
          <w:lang w:val="fr-FR"/>
        </w:rPr>
        <w:t>1</w:t>
      </w:r>
      <w:r w:rsidR="00F72B31" w:rsidRPr="00F72B31">
        <w:rPr>
          <w:strike/>
          <w:lang w:val="fr-FR"/>
        </w:rPr>
        <w:t>.</w:t>
      </w:r>
      <w:r w:rsidRPr="00E773DC">
        <w:rPr>
          <w:strike/>
          <w:lang w:val="fr-FR"/>
        </w:rPr>
        <w:t>1 et 8</w:t>
      </w:r>
      <w:r w:rsidR="00F72B31" w:rsidRPr="00F72B31">
        <w:rPr>
          <w:strike/>
          <w:lang w:val="fr-FR"/>
        </w:rPr>
        <w:t>.</w:t>
      </w:r>
      <w:r w:rsidRPr="00E773DC">
        <w:rPr>
          <w:strike/>
          <w:lang w:val="fr-FR"/>
        </w:rPr>
        <w:t>4</w:t>
      </w:r>
      <w:r w:rsidR="00F72B31" w:rsidRPr="00F72B31">
        <w:rPr>
          <w:strike/>
          <w:lang w:val="fr-FR"/>
        </w:rPr>
        <w:t>.</w:t>
      </w:r>
      <w:r w:rsidRPr="00E773DC">
        <w:rPr>
          <w:strike/>
          <w:lang w:val="fr-FR"/>
        </w:rPr>
        <w:t>1</w:t>
      </w:r>
      <w:r w:rsidR="00F72B31" w:rsidRPr="00F72B31">
        <w:rPr>
          <w:strike/>
          <w:lang w:val="fr-FR"/>
        </w:rPr>
        <w:t>.</w:t>
      </w:r>
      <w:r w:rsidRPr="00E773DC">
        <w:rPr>
          <w:strike/>
          <w:lang w:val="fr-FR"/>
        </w:rPr>
        <w:t>1 de l</w:t>
      </w:r>
      <w:r w:rsidR="00B921D9">
        <w:rPr>
          <w:strike/>
          <w:lang w:val="fr-FR"/>
        </w:rPr>
        <w:t>’</w:t>
      </w:r>
      <w:r w:rsidRPr="00E773DC">
        <w:rPr>
          <w:strike/>
          <w:lang w:val="fr-FR"/>
        </w:rPr>
        <w:t>annexe 11 ;</w:t>
      </w:r>
    </w:p>
    <w:p w14:paraId="249C5C39" w14:textId="77777777" w:rsidR="00213792" w:rsidRPr="00E773DC" w:rsidRDefault="00213792" w:rsidP="00213792">
      <w:pPr>
        <w:spacing w:after="120"/>
        <w:ind w:left="2835" w:right="1134" w:hanging="567"/>
        <w:jc w:val="both"/>
        <w:rPr>
          <w:strike/>
          <w:lang w:val="fr-FR"/>
        </w:rPr>
      </w:pPr>
      <w:r w:rsidRPr="00E773DC">
        <w:rPr>
          <w:strike/>
          <w:lang w:val="fr-FR"/>
        </w:rPr>
        <w:t>e)</w:t>
      </w:r>
      <w:r w:rsidRPr="00E773DC">
        <w:rPr>
          <w:strike/>
          <w:lang w:val="fr-FR"/>
        </w:rPr>
        <w:tab/>
        <w:t>Aux prescriptions de la phase transitoire concernant la qualité du réactif, telles qu</w:t>
      </w:r>
      <w:r w:rsidR="00B921D9">
        <w:rPr>
          <w:strike/>
          <w:lang w:val="fr-FR"/>
        </w:rPr>
        <w:t>’</w:t>
      </w:r>
      <w:r w:rsidRPr="00E773DC">
        <w:rPr>
          <w:strike/>
          <w:lang w:val="fr-FR"/>
        </w:rPr>
        <w:t>énoncées au paragraphe 7</w:t>
      </w:r>
      <w:r w:rsidR="00F72B31" w:rsidRPr="00F72B31">
        <w:rPr>
          <w:strike/>
          <w:lang w:val="fr-FR"/>
        </w:rPr>
        <w:t>.</w:t>
      </w:r>
      <w:r w:rsidRPr="00E773DC">
        <w:rPr>
          <w:strike/>
          <w:lang w:val="fr-FR"/>
        </w:rPr>
        <w:t>1</w:t>
      </w:r>
      <w:r w:rsidR="00F72B31" w:rsidRPr="00F72B31">
        <w:rPr>
          <w:strike/>
          <w:lang w:val="fr-FR"/>
        </w:rPr>
        <w:t>.</w:t>
      </w:r>
      <w:r w:rsidRPr="00E773DC">
        <w:rPr>
          <w:strike/>
          <w:lang w:val="fr-FR"/>
        </w:rPr>
        <w:t>1</w:t>
      </w:r>
      <w:r w:rsidR="00F72B31" w:rsidRPr="00F72B31">
        <w:rPr>
          <w:strike/>
          <w:lang w:val="fr-FR"/>
        </w:rPr>
        <w:t>.</w:t>
      </w:r>
      <w:r w:rsidRPr="00E773DC">
        <w:rPr>
          <w:strike/>
          <w:lang w:val="fr-FR"/>
        </w:rPr>
        <w:t>1 de l</w:t>
      </w:r>
      <w:r w:rsidR="00B921D9">
        <w:rPr>
          <w:strike/>
          <w:lang w:val="fr-FR"/>
        </w:rPr>
        <w:t>’</w:t>
      </w:r>
      <w:r w:rsidRPr="00E773DC">
        <w:rPr>
          <w:strike/>
          <w:lang w:val="fr-FR"/>
        </w:rPr>
        <w:t>annexe 11</w:t>
      </w:r>
      <w:r w:rsidR="00F72B31" w:rsidRPr="00F72B31">
        <w:rPr>
          <w:strike/>
          <w:lang w:val="fr-FR"/>
        </w:rPr>
        <w:t>.</w:t>
      </w:r>
    </w:p>
    <w:p w14:paraId="1D8AC1B6" w14:textId="77777777" w:rsidR="00213792" w:rsidRPr="00E773DC" w:rsidRDefault="00213792" w:rsidP="00213792">
      <w:pPr>
        <w:spacing w:after="120"/>
        <w:ind w:left="2268" w:right="1134" w:hanging="1098"/>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1</w:t>
      </w:r>
      <w:r w:rsidR="00F72B31" w:rsidRPr="00F72B31">
        <w:rPr>
          <w:strike/>
          <w:lang w:val="fr-FR"/>
        </w:rPr>
        <w:t>.</w:t>
      </w:r>
      <w:r w:rsidRPr="00E773DC">
        <w:rPr>
          <w:strike/>
          <w:lang w:val="fr-FR"/>
        </w:rPr>
        <w:t>1</w:t>
      </w:r>
      <w:r w:rsidRPr="00E773DC">
        <w:rPr>
          <w:strike/>
          <w:lang w:val="fr-FR"/>
        </w:rPr>
        <w:tab/>
        <w:t>Conformément aux dispositions du paragraphe 6</w:t>
      </w:r>
      <w:r w:rsidR="00F72B31" w:rsidRPr="00F72B31">
        <w:rPr>
          <w:strike/>
          <w:lang w:val="fr-FR"/>
        </w:rPr>
        <w:t>.</w:t>
      </w:r>
      <w:r w:rsidRPr="00E773DC">
        <w:rPr>
          <w:strike/>
          <w:lang w:val="fr-FR"/>
        </w:rPr>
        <w:t>4</w:t>
      </w:r>
      <w:r w:rsidR="00F72B31" w:rsidRPr="00F72B31">
        <w:rPr>
          <w:strike/>
          <w:lang w:val="fr-FR"/>
        </w:rPr>
        <w:t>.</w:t>
      </w:r>
      <w:r w:rsidRPr="00E773DC">
        <w:rPr>
          <w:strike/>
          <w:lang w:val="fr-FR"/>
        </w:rPr>
        <w:t>4 de l</w:t>
      </w:r>
      <w:r w:rsidR="00B921D9">
        <w:rPr>
          <w:strike/>
          <w:lang w:val="fr-FR"/>
        </w:rPr>
        <w:t>’</w:t>
      </w:r>
      <w:r w:rsidRPr="00E773DC">
        <w:rPr>
          <w:strike/>
          <w:lang w:val="fr-FR"/>
        </w:rPr>
        <w:t>annexe 9A, les constructeurs sont dispensés de soumettre une déclaration relative à la conformité des performances en service du système OBD</w:t>
      </w:r>
      <w:r w:rsidR="00F72B31" w:rsidRPr="00F72B31">
        <w:rPr>
          <w:strike/>
          <w:lang w:val="fr-FR"/>
        </w:rPr>
        <w:t>.</w:t>
      </w:r>
    </w:p>
    <w:p w14:paraId="6F363623" w14:textId="77777777" w:rsidR="00213792" w:rsidRPr="00E773DC" w:rsidRDefault="00213792" w:rsidP="00213792">
      <w:pPr>
        <w:spacing w:after="120"/>
        <w:ind w:left="2268" w:right="1134" w:hanging="1098"/>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2</w:t>
      </w:r>
      <w:r w:rsidRPr="00E773DC">
        <w:rPr>
          <w:strike/>
          <w:lang w:val="fr-FR"/>
        </w:rPr>
        <w:tab/>
        <w:t>À compter du 1er septembre 2014, les Parties contractantes appliquant le présent Règlement ne délivrent une homologation CEE pour un système moteur ou un véhicule que si celui-ci satisfait:</w:t>
      </w:r>
    </w:p>
    <w:p w14:paraId="0DC7C073" w14:textId="77777777" w:rsidR="00213792" w:rsidRPr="00E773DC" w:rsidRDefault="00213792" w:rsidP="00213792">
      <w:pPr>
        <w:spacing w:after="120"/>
        <w:ind w:left="2835" w:right="1134" w:hanging="567"/>
        <w:jc w:val="both"/>
        <w:rPr>
          <w:strike/>
          <w:lang w:val="fr-FR"/>
        </w:rPr>
      </w:pPr>
      <w:r w:rsidRPr="00E773DC">
        <w:rPr>
          <w:strike/>
          <w:lang w:val="fr-FR"/>
        </w:rPr>
        <w:t>a)</w:t>
      </w:r>
      <w:r w:rsidRPr="00E773DC">
        <w:rPr>
          <w:strike/>
          <w:lang w:val="fr-FR"/>
        </w:rPr>
        <w:tab/>
        <w:t>Aux prescriptions du paragraphe 4</w:t>
      </w:r>
      <w:r w:rsidR="00F72B31" w:rsidRPr="00F72B31">
        <w:rPr>
          <w:strike/>
          <w:lang w:val="fr-FR"/>
        </w:rPr>
        <w:t>.</w:t>
      </w:r>
      <w:r w:rsidRPr="00E773DC">
        <w:rPr>
          <w:strike/>
          <w:lang w:val="fr-FR"/>
        </w:rPr>
        <w:t>1 du Règlement;</w:t>
      </w:r>
    </w:p>
    <w:p w14:paraId="432EA643" w14:textId="77777777" w:rsidR="00213792" w:rsidRPr="00E773DC" w:rsidRDefault="00213792" w:rsidP="00213792">
      <w:pPr>
        <w:spacing w:after="120"/>
        <w:ind w:left="2835" w:right="1134" w:hanging="567"/>
        <w:jc w:val="both"/>
        <w:rPr>
          <w:strike/>
          <w:lang w:val="fr-FR"/>
        </w:rPr>
      </w:pPr>
      <w:r w:rsidRPr="00E773DC">
        <w:rPr>
          <w:strike/>
          <w:lang w:val="fr-FR"/>
        </w:rPr>
        <w:t>b)</w:t>
      </w:r>
      <w:r w:rsidRPr="00E773DC">
        <w:rPr>
          <w:strike/>
          <w:lang w:val="fr-FR"/>
        </w:rPr>
        <w:tab/>
        <w:t>Aux prescriptions de surveillance des valeurs limites OBD pour la masse de particules, telles qu</w:t>
      </w:r>
      <w:r w:rsidR="00B921D9">
        <w:rPr>
          <w:strike/>
          <w:lang w:val="fr-FR"/>
        </w:rPr>
        <w:t>’</w:t>
      </w:r>
      <w:r w:rsidRPr="00E773DC">
        <w:rPr>
          <w:strike/>
          <w:lang w:val="fr-FR"/>
        </w:rPr>
        <w:t>elles sont énoncées dans le tableau 1 de l</w:t>
      </w:r>
      <w:r w:rsidR="00B921D9">
        <w:rPr>
          <w:strike/>
          <w:lang w:val="fr-FR"/>
        </w:rPr>
        <w:t>’</w:t>
      </w:r>
      <w:r w:rsidRPr="00E773DC">
        <w:rPr>
          <w:strike/>
          <w:lang w:val="fr-FR"/>
        </w:rPr>
        <w:t>annexe 9A, sur la ligne correspondant à la phase de transition;</w:t>
      </w:r>
    </w:p>
    <w:p w14:paraId="6FAD31CD" w14:textId="77777777" w:rsidR="00213792" w:rsidRPr="00E773DC" w:rsidRDefault="00213792" w:rsidP="00213792">
      <w:pPr>
        <w:spacing w:after="120"/>
        <w:ind w:left="2835" w:right="1134" w:hanging="567"/>
        <w:jc w:val="both"/>
        <w:rPr>
          <w:strike/>
          <w:lang w:val="fr-FR"/>
        </w:rPr>
      </w:pPr>
      <w:r w:rsidRPr="00E773DC">
        <w:rPr>
          <w:strike/>
          <w:lang w:val="fr-FR"/>
        </w:rPr>
        <w:t>c)</w:t>
      </w:r>
      <w:r w:rsidRPr="00E773DC">
        <w:rPr>
          <w:strike/>
          <w:lang w:val="fr-FR"/>
        </w:rPr>
        <w:tab/>
        <w:t>Aux prescriptions de surveillance des valeurs limites OBD pour les oxydes d</w:t>
      </w:r>
      <w:r w:rsidR="00B921D9">
        <w:rPr>
          <w:strike/>
          <w:lang w:val="fr-FR"/>
        </w:rPr>
        <w:t>’</w:t>
      </w:r>
      <w:r w:rsidRPr="00E773DC">
        <w:rPr>
          <w:strike/>
          <w:lang w:val="fr-FR"/>
        </w:rPr>
        <w:t>azote, telles qu</w:t>
      </w:r>
      <w:r w:rsidR="00B921D9">
        <w:rPr>
          <w:strike/>
          <w:lang w:val="fr-FR"/>
        </w:rPr>
        <w:t>’</w:t>
      </w:r>
      <w:r w:rsidRPr="00E773DC">
        <w:rPr>
          <w:strike/>
          <w:lang w:val="fr-FR"/>
        </w:rPr>
        <w:t>elles sont énoncées dans les tableaux 1 et 2 de l</w:t>
      </w:r>
      <w:r w:rsidR="00B921D9">
        <w:rPr>
          <w:strike/>
          <w:lang w:val="fr-FR"/>
        </w:rPr>
        <w:t>’</w:t>
      </w:r>
      <w:r w:rsidRPr="00E773DC">
        <w:rPr>
          <w:strike/>
          <w:lang w:val="fr-FR"/>
        </w:rPr>
        <w:t>annexe 9A, sur la ligne correspondant à la phase de transition;</w:t>
      </w:r>
    </w:p>
    <w:p w14:paraId="625C8107" w14:textId="77777777" w:rsidR="00213792" w:rsidRPr="00E773DC" w:rsidRDefault="00213792" w:rsidP="00213792">
      <w:pPr>
        <w:spacing w:after="120"/>
        <w:ind w:left="2835" w:right="1134" w:hanging="567"/>
        <w:jc w:val="both"/>
        <w:rPr>
          <w:strike/>
          <w:lang w:val="fr-FR"/>
        </w:rPr>
      </w:pPr>
      <w:r w:rsidRPr="00E773DC">
        <w:rPr>
          <w:strike/>
          <w:lang w:val="fr-FR"/>
        </w:rPr>
        <w:t>d)</w:t>
      </w:r>
      <w:r w:rsidRPr="00E773DC">
        <w:rPr>
          <w:strike/>
          <w:lang w:val="fr-FR"/>
        </w:rPr>
        <w:tab/>
        <w:t>Aux prescriptions transitoires concernant la qualité et la consommation du réactif, telles qu</w:t>
      </w:r>
      <w:r w:rsidR="00B921D9">
        <w:rPr>
          <w:strike/>
          <w:lang w:val="fr-FR"/>
        </w:rPr>
        <w:t>’</w:t>
      </w:r>
      <w:r w:rsidRPr="00E773DC">
        <w:rPr>
          <w:strike/>
          <w:lang w:val="fr-FR"/>
        </w:rPr>
        <w:t>elles sont énoncées aux paragraphes 7</w:t>
      </w:r>
      <w:r w:rsidR="00F72B31" w:rsidRPr="00F72B31">
        <w:rPr>
          <w:strike/>
          <w:lang w:val="fr-FR"/>
        </w:rPr>
        <w:t>.</w:t>
      </w:r>
      <w:r w:rsidRPr="00E773DC">
        <w:rPr>
          <w:strike/>
          <w:lang w:val="fr-FR"/>
        </w:rPr>
        <w:t>1</w:t>
      </w:r>
      <w:r w:rsidR="00F72B31" w:rsidRPr="00F72B31">
        <w:rPr>
          <w:strike/>
          <w:lang w:val="fr-FR"/>
        </w:rPr>
        <w:t>.</w:t>
      </w:r>
      <w:r w:rsidRPr="00E773DC">
        <w:rPr>
          <w:strike/>
          <w:lang w:val="fr-FR"/>
        </w:rPr>
        <w:t>1</w:t>
      </w:r>
      <w:r w:rsidR="00F72B31" w:rsidRPr="00F72B31">
        <w:rPr>
          <w:strike/>
          <w:lang w:val="fr-FR"/>
        </w:rPr>
        <w:t>.</w:t>
      </w:r>
      <w:r w:rsidRPr="00E773DC">
        <w:rPr>
          <w:strike/>
          <w:lang w:val="fr-FR"/>
        </w:rPr>
        <w:t>1 et 8</w:t>
      </w:r>
      <w:r w:rsidR="00F72B31" w:rsidRPr="00F72B31">
        <w:rPr>
          <w:strike/>
          <w:lang w:val="fr-FR"/>
        </w:rPr>
        <w:t>.</w:t>
      </w:r>
      <w:r w:rsidRPr="00E773DC">
        <w:rPr>
          <w:strike/>
          <w:lang w:val="fr-FR"/>
        </w:rPr>
        <w:t>4</w:t>
      </w:r>
      <w:r w:rsidR="00F72B31" w:rsidRPr="00F72B31">
        <w:rPr>
          <w:strike/>
          <w:lang w:val="fr-FR"/>
        </w:rPr>
        <w:t>.</w:t>
      </w:r>
      <w:r w:rsidRPr="00E773DC">
        <w:rPr>
          <w:strike/>
          <w:lang w:val="fr-FR"/>
        </w:rPr>
        <w:t>1</w:t>
      </w:r>
      <w:r w:rsidR="00F72B31" w:rsidRPr="00F72B31">
        <w:rPr>
          <w:strike/>
          <w:lang w:val="fr-FR"/>
        </w:rPr>
        <w:t>.</w:t>
      </w:r>
      <w:r w:rsidRPr="00E773DC">
        <w:rPr>
          <w:strike/>
          <w:lang w:val="fr-FR"/>
        </w:rPr>
        <w:t>1 de l</w:t>
      </w:r>
      <w:r w:rsidR="00B921D9">
        <w:rPr>
          <w:strike/>
          <w:lang w:val="fr-FR"/>
        </w:rPr>
        <w:t>’</w:t>
      </w:r>
      <w:r w:rsidRPr="00E773DC">
        <w:rPr>
          <w:strike/>
          <w:lang w:val="fr-FR"/>
        </w:rPr>
        <w:t>annexe 11</w:t>
      </w:r>
      <w:r w:rsidR="00F72B31" w:rsidRPr="00F72B31">
        <w:rPr>
          <w:strike/>
          <w:lang w:val="fr-FR"/>
        </w:rPr>
        <w:t>.</w:t>
      </w:r>
    </w:p>
    <w:p w14:paraId="11CED79E" w14:textId="77777777" w:rsidR="00213792" w:rsidRPr="00E773DC" w:rsidRDefault="00213792" w:rsidP="00213792">
      <w:pPr>
        <w:spacing w:after="120"/>
        <w:ind w:left="2268" w:right="1134" w:hanging="1098"/>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2</w:t>
      </w:r>
      <w:r w:rsidR="00F72B31" w:rsidRPr="00F72B31">
        <w:rPr>
          <w:strike/>
          <w:lang w:val="fr-FR"/>
        </w:rPr>
        <w:t>.</w:t>
      </w:r>
      <w:r w:rsidRPr="00E773DC">
        <w:rPr>
          <w:strike/>
          <w:lang w:val="fr-FR"/>
        </w:rPr>
        <w:t>1</w:t>
      </w:r>
      <w:r w:rsidRPr="00E773DC">
        <w:rPr>
          <w:strike/>
          <w:lang w:val="fr-FR"/>
        </w:rPr>
        <w:tab/>
        <w:t>Conformément aux dispositions du paragraphe 6</w:t>
      </w:r>
      <w:r w:rsidR="00F72B31" w:rsidRPr="00F72B31">
        <w:rPr>
          <w:strike/>
          <w:lang w:val="fr-FR"/>
        </w:rPr>
        <w:t>.</w:t>
      </w:r>
      <w:r w:rsidRPr="00E773DC">
        <w:rPr>
          <w:strike/>
          <w:lang w:val="fr-FR"/>
        </w:rPr>
        <w:t>4</w:t>
      </w:r>
      <w:r w:rsidR="00F72B31" w:rsidRPr="00F72B31">
        <w:rPr>
          <w:strike/>
          <w:lang w:val="fr-FR"/>
        </w:rPr>
        <w:t>.</w:t>
      </w:r>
      <w:r w:rsidRPr="00E773DC">
        <w:rPr>
          <w:strike/>
          <w:lang w:val="fr-FR"/>
        </w:rPr>
        <w:t>4 de l</w:t>
      </w:r>
      <w:r w:rsidR="00B921D9">
        <w:rPr>
          <w:strike/>
          <w:lang w:val="fr-FR"/>
        </w:rPr>
        <w:t>’</w:t>
      </w:r>
      <w:r w:rsidRPr="00E773DC">
        <w:rPr>
          <w:strike/>
          <w:lang w:val="fr-FR"/>
        </w:rPr>
        <w:t>annexe 9A, les constructeurs sont dispensés de soumettre une déclaration relative à la conformité des performances en service du système OBD</w:t>
      </w:r>
      <w:r w:rsidR="00F72B31" w:rsidRPr="00F72B31">
        <w:rPr>
          <w:strike/>
          <w:lang w:val="fr-FR"/>
        </w:rPr>
        <w:t>.</w:t>
      </w:r>
    </w:p>
    <w:p w14:paraId="4732755B" w14:textId="77777777" w:rsidR="00213792" w:rsidRPr="00E773DC" w:rsidRDefault="00213792" w:rsidP="00213792">
      <w:pPr>
        <w:spacing w:after="120"/>
        <w:ind w:left="2268" w:right="1134" w:hanging="1098"/>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3</w:t>
      </w:r>
      <w:r w:rsidRPr="00E773DC">
        <w:rPr>
          <w:strike/>
          <w:lang w:val="fr-FR"/>
        </w:rPr>
        <w:tab/>
        <w:t>À compter du 31 décembre 2015, les Parties contractantes appliquant le présent Règlement ne délivrent une homologation CEE pour un système moteur ou un véhicule que si celui-ci satisfait:</w:t>
      </w:r>
    </w:p>
    <w:p w14:paraId="75CCFD4C"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lastRenderedPageBreak/>
        <w:t>a)</w:t>
      </w:r>
      <w:r w:rsidRPr="00E773DC">
        <w:rPr>
          <w:strike/>
          <w:lang w:val="fr-FR"/>
        </w:rPr>
        <w:tab/>
        <w:t>Aux prescriptions du paragraphe 4</w:t>
      </w:r>
      <w:r w:rsidR="00F72B31" w:rsidRPr="00F72B31">
        <w:rPr>
          <w:strike/>
          <w:lang w:val="fr-FR"/>
        </w:rPr>
        <w:t>.</w:t>
      </w:r>
      <w:r w:rsidRPr="00E773DC">
        <w:rPr>
          <w:strike/>
          <w:lang w:val="fr-FR"/>
        </w:rPr>
        <w:t>1 du Règlement;</w:t>
      </w:r>
    </w:p>
    <w:p w14:paraId="541E3343"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t>b)</w:t>
      </w:r>
      <w:r w:rsidRPr="00E773DC">
        <w:rPr>
          <w:strike/>
          <w:lang w:val="fr-FR"/>
        </w:rPr>
        <w:tab/>
        <w:t>Aux prescriptions de surveillance des valeurs limites OBD pour la masse de particules, telles qu</w:t>
      </w:r>
      <w:r w:rsidR="00B921D9">
        <w:rPr>
          <w:strike/>
          <w:lang w:val="fr-FR"/>
        </w:rPr>
        <w:t>’</w:t>
      </w:r>
      <w:r w:rsidRPr="00E773DC">
        <w:rPr>
          <w:strike/>
          <w:lang w:val="fr-FR"/>
        </w:rPr>
        <w:t>elles sont énoncées dans le tableau 1 de l</w:t>
      </w:r>
      <w:r w:rsidR="00B921D9">
        <w:rPr>
          <w:strike/>
          <w:lang w:val="fr-FR"/>
        </w:rPr>
        <w:t>’</w:t>
      </w:r>
      <w:r w:rsidRPr="00E773DC">
        <w:rPr>
          <w:strike/>
          <w:lang w:val="fr-FR"/>
        </w:rPr>
        <w:t>annexe 9A, sur la ligne correspondant aux «prescriptions générales»;</w:t>
      </w:r>
    </w:p>
    <w:p w14:paraId="25A1657C"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t>c)</w:t>
      </w:r>
      <w:r w:rsidRPr="00E773DC">
        <w:rPr>
          <w:strike/>
          <w:lang w:val="fr-FR"/>
        </w:rPr>
        <w:tab/>
        <w:t>Aux prescriptions de surveillance des valeurs limites OBD pour les oxydes d</w:t>
      </w:r>
      <w:r w:rsidR="00B921D9">
        <w:rPr>
          <w:strike/>
          <w:lang w:val="fr-FR"/>
        </w:rPr>
        <w:t>’</w:t>
      </w:r>
      <w:r w:rsidRPr="00E773DC">
        <w:rPr>
          <w:strike/>
          <w:lang w:val="fr-FR"/>
        </w:rPr>
        <w:t>azote, telles qu</w:t>
      </w:r>
      <w:r w:rsidR="00B921D9">
        <w:rPr>
          <w:strike/>
          <w:lang w:val="fr-FR"/>
        </w:rPr>
        <w:t>’</w:t>
      </w:r>
      <w:r w:rsidRPr="00E773DC">
        <w:rPr>
          <w:strike/>
          <w:lang w:val="fr-FR"/>
        </w:rPr>
        <w:t>elles sont énoncées dans les tableaux 1 et 2 de l</w:t>
      </w:r>
      <w:r w:rsidR="00B921D9">
        <w:rPr>
          <w:strike/>
          <w:lang w:val="fr-FR"/>
        </w:rPr>
        <w:t>’</w:t>
      </w:r>
      <w:r w:rsidRPr="00E773DC">
        <w:rPr>
          <w:strike/>
          <w:lang w:val="fr-FR"/>
        </w:rPr>
        <w:t>annexe 9A, sur la ligne correspondant aux «prescriptions générales»;</w:t>
      </w:r>
    </w:p>
    <w:p w14:paraId="3BBF1F36"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t>d)</w:t>
      </w:r>
      <w:r w:rsidRPr="00E773DC">
        <w:rPr>
          <w:strike/>
          <w:lang w:val="fr-FR"/>
        </w:rPr>
        <w:tab/>
        <w:t>Aux prescriptions générales concernant la qualité et la consommation du réactif, telles qu</w:t>
      </w:r>
      <w:r w:rsidR="00B921D9">
        <w:rPr>
          <w:strike/>
          <w:lang w:val="fr-FR"/>
        </w:rPr>
        <w:t>’</w:t>
      </w:r>
      <w:r w:rsidRPr="00E773DC">
        <w:rPr>
          <w:strike/>
          <w:lang w:val="fr-FR"/>
        </w:rPr>
        <w:t>elles sont énoncées aux paragraphes 7</w:t>
      </w:r>
      <w:r w:rsidR="00F72B31" w:rsidRPr="00F72B31">
        <w:rPr>
          <w:strike/>
          <w:lang w:val="fr-FR"/>
        </w:rPr>
        <w:t>.</w:t>
      </w:r>
      <w:r w:rsidRPr="00E773DC">
        <w:rPr>
          <w:strike/>
          <w:lang w:val="fr-FR"/>
        </w:rPr>
        <w:t>1</w:t>
      </w:r>
      <w:r w:rsidR="00F72B31" w:rsidRPr="00F72B31">
        <w:rPr>
          <w:strike/>
          <w:lang w:val="fr-FR"/>
        </w:rPr>
        <w:t>.</w:t>
      </w:r>
      <w:r w:rsidRPr="00E773DC">
        <w:rPr>
          <w:strike/>
          <w:lang w:val="fr-FR"/>
        </w:rPr>
        <w:t>1 et 8</w:t>
      </w:r>
      <w:r w:rsidR="00F72B31" w:rsidRPr="00F72B31">
        <w:rPr>
          <w:strike/>
          <w:lang w:val="fr-FR"/>
        </w:rPr>
        <w:t>.</w:t>
      </w:r>
      <w:r w:rsidRPr="00E773DC">
        <w:rPr>
          <w:strike/>
          <w:lang w:val="fr-FR"/>
        </w:rPr>
        <w:t>4</w:t>
      </w:r>
      <w:r w:rsidR="00F72B31" w:rsidRPr="00F72B31">
        <w:rPr>
          <w:strike/>
          <w:lang w:val="fr-FR"/>
        </w:rPr>
        <w:t>.</w:t>
      </w:r>
      <w:r w:rsidRPr="00E773DC">
        <w:rPr>
          <w:strike/>
          <w:lang w:val="fr-FR"/>
        </w:rPr>
        <w:t>1 de l</w:t>
      </w:r>
      <w:r w:rsidR="00B921D9">
        <w:rPr>
          <w:strike/>
          <w:lang w:val="fr-FR"/>
        </w:rPr>
        <w:t>’</w:t>
      </w:r>
      <w:r w:rsidRPr="00E773DC">
        <w:rPr>
          <w:strike/>
          <w:lang w:val="fr-FR"/>
        </w:rPr>
        <w:t>annexe 11;</w:t>
      </w:r>
    </w:p>
    <w:p w14:paraId="2E1D3A4D"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t>e)</w:t>
      </w:r>
      <w:r w:rsidRPr="00E773DC">
        <w:rPr>
          <w:strike/>
          <w:lang w:val="fr-FR"/>
        </w:rPr>
        <w:tab/>
        <w:t>Aux prescriptions concernant la conception et la mise en œuvre des méthodes de surveillance, énoncées aux paragraphes 2</w:t>
      </w:r>
      <w:r w:rsidR="00F72B31" w:rsidRPr="00F72B31">
        <w:rPr>
          <w:strike/>
          <w:lang w:val="fr-FR"/>
        </w:rPr>
        <w:t>.</w:t>
      </w:r>
      <w:r w:rsidRPr="00E773DC">
        <w:rPr>
          <w:strike/>
          <w:lang w:val="fr-FR"/>
        </w:rPr>
        <w:t>3</w:t>
      </w:r>
      <w:r w:rsidR="00F72B31" w:rsidRPr="00F72B31">
        <w:rPr>
          <w:strike/>
          <w:lang w:val="fr-FR"/>
        </w:rPr>
        <w:t>.</w:t>
      </w:r>
      <w:r w:rsidRPr="00E773DC">
        <w:rPr>
          <w:strike/>
          <w:lang w:val="fr-FR"/>
        </w:rPr>
        <w:t>1</w:t>
      </w:r>
      <w:r w:rsidR="00F72B31" w:rsidRPr="00F72B31">
        <w:rPr>
          <w:strike/>
          <w:lang w:val="fr-FR"/>
        </w:rPr>
        <w:t>.</w:t>
      </w:r>
      <w:r w:rsidRPr="00E773DC">
        <w:rPr>
          <w:strike/>
          <w:lang w:val="fr-FR"/>
        </w:rPr>
        <w:t>2 et 2</w:t>
      </w:r>
      <w:r w:rsidR="00F72B31" w:rsidRPr="00F72B31">
        <w:rPr>
          <w:strike/>
          <w:lang w:val="fr-FR"/>
        </w:rPr>
        <w:t>.</w:t>
      </w:r>
      <w:r w:rsidRPr="00E773DC">
        <w:rPr>
          <w:strike/>
          <w:lang w:val="fr-FR"/>
        </w:rPr>
        <w:t>3</w:t>
      </w:r>
      <w:r w:rsidR="00F72B31" w:rsidRPr="00F72B31">
        <w:rPr>
          <w:strike/>
          <w:lang w:val="fr-FR"/>
        </w:rPr>
        <w:t>.</w:t>
      </w:r>
      <w:r w:rsidRPr="00E773DC">
        <w:rPr>
          <w:strike/>
          <w:lang w:val="fr-FR"/>
        </w:rPr>
        <w:t>1</w:t>
      </w:r>
      <w:r w:rsidR="00F72B31" w:rsidRPr="00F72B31">
        <w:rPr>
          <w:strike/>
          <w:lang w:val="fr-FR"/>
        </w:rPr>
        <w:t>.</w:t>
      </w:r>
      <w:r w:rsidRPr="00E773DC">
        <w:rPr>
          <w:strike/>
          <w:lang w:val="fr-FR"/>
        </w:rPr>
        <w:t>2</w:t>
      </w:r>
      <w:r w:rsidR="00F72B31" w:rsidRPr="00F72B31">
        <w:rPr>
          <w:strike/>
          <w:lang w:val="fr-FR"/>
        </w:rPr>
        <w:t>.</w:t>
      </w:r>
      <w:r w:rsidRPr="00E773DC">
        <w:rPr>
          <w:strike/>
          <w:lang w:val="fr-FR"/>
        </w:rPr>
        <w:t>1 de l</w:t>
      </w:r>
      <w:r w:rsidR="00B921D9">
        <w:rPr>
          <w:strike/>
          <w:lang w:val="fr-FR"/>
        </w:rPr>
        <w:t>’</w:t>
      </w:r>
      <w:r w:rsidRPr="00E773DC">
        <w:rPr>
          <w:strike/>
          <w:lang w:val="fr-FR"/>
        </w:rPr>
        <w:t>annexe 9A;</w:t>
      </w:r>
    </w:p>
    <w:p w14:paraId="32527417"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t>f)</w:t>
      </w:r>
      <w:r w:rsidRPr="00E773DC">
        <w:rPr>
          <w:strike/>
          <w:lang w:val="fr-FR"/>
        </w:rPr>
        <w:tab/>
        <w:t>Aux prescriptions du paragraphe 6</w:t>
      </w:r>
      <w:r w:rsidR="00F72B31" w:rsidRPr="00F72B31">
        <w:rPr>
          <w:strike/>
          <w:lang w:val="fr-FR"/>
        </w:rPr>
        <w:t>.</w:t>
      </w:r>
      <w:r w:rsidRPr="00E773DC">
        <w:rPr>
          <w:strike/>
          <w:lang w:val="fr-FR"/>
        </w:rPr>
        <w:t>4</w:t>
      </w:r>
      <w:r w:rsidR="00F72B31" w:rsidRPr="00F72B31">
        <w:rPr>
          <w:strike/>
          <w:lang w:val="fr-FR"/>
        </w:rPr>
        <w:t>.</w:t>
      </w:r>
      <w:r w:rsidRPr="00E773DC">
        <w:rPr>
          <w:strike/>
          <w:lang w:val="fr-FR"/>
        </w:rPr>
        <w:t>1 de l</w:t>
      </w:r>
      <w:r w:rsidR="00B921D9">
        <w:rPr>
          <w:strike/>
          <w:lang w:val="fr-FR"/>
        </w:rPr>
        <w:t>’</w:t>
      </w:r>
      <w:r w:rsidRPr="00E773DC">
        <w:rPr>
          <w:strike/>
          <w:lang w:val="fr-FR"/>
        </w:rPr>
        <w:t>annexe 9A, concernant la soumission d</w:t>
      </w:r>
      <w:r w:rsidR="00B921D9">
        <w:rPr>
          <w:strike/>
          <w:lang w:val="fr-FR"/>
        </w:rPr>
        <w:t>’</w:t>
      </w:r>
      <w:r w:rsidRPr="00E773DC">
        <w:rPr>
          <w:strike/>
          <w:lang w:val="fr-FR"/>
        </w:rPr>
        <w:t>une déclaration relative à la conformité des performances en service du système OBD ;</w:t>
      </w:r>
    </w:p>
    <w:p w14:paraId="203C6136" w14:textId="77777777" w:rsidR="00213792" w:rsidRPr="00E773DC" w:rsidRDefault="00213792" w:rsidP="00213792">
      <w:pPr>
        <w:tabs>
          <w:tab w:val="left" w:pos="2790"/>
        </w:tabs>
        <w:spacing w:after="120"/>
        <w:ind w:left="2835" w:right="1134" w:hanging="567"/>
        <w:jc w:val="both"/>
        <w:rPr>
          <w:strike/>
          <w:lang w:val="fr-FR"/>
        </w:rPr>
      </w:pPr>
      <w:r w:rsidRPr="00E773DC">
        <w:rPr>
          <w:strike/>
          <w:lang w:val="fr-FR"/>
        </w:rPr>
        <w:t>g)</w:t>
      </w:r>
      <w:r w:rsidRPr="00E773DC">
        <w:rPr>
          <w:strike/>
          <w:lang w:val="fr-FR"/>
        </w:rPr>
        <w:tab/>
        <w:t>Aux prescriptions du paragraphe 6</w:t>
      </w:r>
      <w:r w:rsidR="00F72B31" w:rsidRPr="00F72B31">
        <w:rPr>
          <w:strike/>
          <w:lang w:val="fr-FR"/>
        </w:rPr>
        <w:t>.</w:t>
      </w:r>
      <w:r w:rsidRPr="00E773DC">
        <w:rPr>
          <w:strike/>
          <w:lang w:val="fr-FR"/>
        </w:rPr>
        <w:t>4</w:t>
      </w:r>
      <w:r w:rsidR="00F72B31" w:rsidRPr="00F72B31">
        <w:rPr>
          <w:strike/>
          <w:lang w:val="fr-FR"/>
        </w:rPr>
        <w:t>.</w:t>
      </w:r>
      <w:r w:rsidRPr="00E773DC">
        <w:rPr>
          <w:strike/>
          <w:lang w:val="fr-FR"/>
        </w:rPr>
        <w:t>1 de l</w:t>
      </w:r>
      <w:r w:rsidR="00B921D9">
        <w:rPr>
          <w:strike/>
          <w:lang w:val="fr-FR"/>
        </w:rPr>
        <w:t>’</w:t>
      </w:r>
      <w:r w:rsidRPr="00E773DC">
        <w:rPr>
          <w:strike/>
          <w:lang w:val="fr-FR"/>
        </w:rPr>
        <w:t>annexe 9A, concernant la soumission d</w:t>
      </w:r>
      <w:r w:rsidR="00B921D9">
        <w:rPr>
          <w:strike/>
          <w:lang w:val="fr-FR"/>
        </w:rPr>
        <w:t>’</w:t>
      </w:r>
      <w:r w:rsidRPr="00E773DC">
        <w:rPr>
          <w:strike/>
          <w:lang w:val="fr-FR"/>
        </w:rPr>
        <w:t>une déclaration relative à la conformité de l</w:t>
      </w:r>
      <w:r w:rsidR="00B921D9">
        <w:rPr>
          <w:strike/>
          <w:lang w:val="fr-FR"/>
        </w:rPr>
        <w:t>’</w:t>
      </w:r>
      <w:r w:rsidRPr="00E773DC">
        <w:rPr>
          <w:strike/>
          <w:lang w:val="fr-FR"/>
        </w:rPr>
        <w:t>efficacité en service du système OBD</w:t>
      </w:r>
      <w:r w:rsidR="00F72B31" w:rsidRPr="00F72B31">
        <w:rPr>
          <w:strike/>
          <w:lang w:val="fr-FR"/>
        </w:rPr>
        <w:t>.</w:t>
      </w:r>
    </w:p>
    <w:p w14:paraId="476A19B3" w14:textId="77777777" w:rsidR="00213792" w:rsidRPr="00E773DC" w:rsidRDefault="00213792" w:rsidP="00213792">
      <w:pPr>
        <w:tabs>
          <w:tab w:val="left" w:pos="1134"/>
        </w:tabs>
        <w:spacing w:after="120"/>
        <w:ind w:left="2268" w:right="1134" w:hanging="1134"/>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4</w:t>
      </w:r>
      <w:r w:rsidRPr="00E773DC">
        <w:rPr>
          <w:strike/>
          <w:lang w:val="fr-FR"/>
        </w:rPr>
        <w:tab/>
      </w:r>
      <w:r w:rsidRPr="00E773DC">
        <w:rPr>
          <w:strike/>
          <w:lang w:val="fr-FR"/>
        </w:rPr>
        <w:tab/>
        <w:t>Les Parties contractantes appliquant le présent Règlement peuvent refuser de délivrer une homologation de type pour un système moteur ou un véhicule s</w:t>
      </w:r>
      <w:r w:rsidR="00B921D9">
        <w:rPr>
          <w:strike/>
          <w:lang w:val="fr-FR"/>
        </w:rPr>
        <w:t>’</w:t>
      </w:r>
      <w:r w:rsidRPr="00E773DC">
        <w:rPr>
          <w:strike/>
          <w:lang w:val="fr-FR"/>
        </w:rPr>
        <w:t>ils ne remplit pas les conditions prévues par le complément 5 à la série 06 d</w:t>
      </w:r>
      <w:r w:rsidR="00B921D9">
        <w:rPr>
          <w:strike/>
          <w:lang w:val="fr-FR"/>
        </w:rPr>
        <w:t>’</w:t>
      </w:r>
      <w:r w:rsidRPr="00E773DC">
        <w:rPr>
          <w:strike/>
          <w:lang w:val="fr-FR"/>
        </w:rPr>
        <w:t>amendements au présent Règlement, à l</w:t>
      </w:r>
      <w:r w:rsidR="00B921D9">
        <w:rPr>
          <w:strike/>
          <w:lang w:val="fr-FR"/>
        </w:rPr>
        <w:t>’</w:t>
      </w:r>
      <w:r w:rsidRPr="00E773DC">
        <w:rPr>
          <w:strike/>
          <w:lang w:val="fr-FR"/>
        </w:rPr>
        <w:t>exception des prescriptions énoncées dans les paragraphes A</w:t>
      </w:r>
      <w:r w:rsidR="00F72B31" w:rsidRPr="00F72B31">
        <w:rPr>
          <w:strike/>
          <w:lang w:val="fr-FR"/>
        </w:rPr>
        <w:t>.</w:t>
      </w:r>
      <w:r w:rsidRPr="00E773DC">
        <w:rPr>
          <w:strike/>
          <w:lang w:val="fr-FR"/>
        </w:rPr>
        <w:t>1</w:t>
      </w:r>
      <w:r w:rsidR="00F72B31" w:rsidRPr="00F72B31">
        <w:rPr>
          <w:strike/>
          <w:lang w:val="fr-FR"/>
        </w:rPr>
        <w:t>.</w:t>
      </w:r>
      <w:r w:rsidRPr="00E773DC">
        <w:rPr>
          <w:strike/>
          <w:lang w:val="fr-FR"/>
        </w:rPr>
        <w:t>4</w:t>
      </w:r>
      <w:r w:rsidR="00F72B31" w:rsidRPr="00F72B31">
        <w:rPr>
          <w:strike/>
          <w:lang w:val="fr-FR"/>
        </w:rPr>
        <w:t>.</w:t>
      </w:r>
      <w:r w:rsidRPr="00E773DC">
        <w:rPr>
          <w:strike/>
          <w:lang w:val="fr-FR"/>
        </w:rPr>
        <w:t>2</w:t>
      </w:r>
      <w:r w:rsidR="00F72B31" w:rsidRPr="00F72B31">
        <w:rPr>
          <w:strike/>
          <w:lang w:val="fr-FR"/>
        </w:rPr>
        <w:t>.</w:t>
      </w:r>
      <w:r w:rsidRPr="00E773DC">
        <w:rPr>
          <w:strike/>
          <w:lang w:val="fr-FR"/>
        </w:rPr>
        <w:t>2</w:t>
      </w:r>
      <w:r w:rsidR="00F72B31" w:rsidRPr="00F72B31">
        <w:rPr>
          <w:strike/>
          <w:lang w:val="fr-FR"/>
        </w:rPr>
        <w:t>.</w:t>
      </w:r>
      <w:r w:rsidRPr="00E773DC">
        <w:rPr>
          <w:strike/>
          <w:lang w:val="fr-FR"/>
        </w:rPr>
        <w:t>2 et A</w:t>
      </w:r>
      <w:r w:rsidR="00F72B31" w:rsidRPr="00F72B31">
        <w:rPr>
          <w:strike/>
          <w:lang w:val="fr-FR"/>
        </w:rPr>
        <w:t>.</w:t>
      </w:r>
      <w:r w:rsidRPr="00E773DC">
        <w:rPr>
          <w:strike/>
          <w:lang w:val="fr-FR"/>
        </w:rPr>
        <w:t>1</w:t>
      </w:r>
      <w:r w:rsidR="00F72B31" w:rsidRPr="00F72B31">
        <w:rPr>
          <w:strike/>
          <w:lang w:val="fr-FR"/>
        </w:rPr>
        <w:t>.</w:t>
      </w:r>
      <w:r w:rsidRPr="00E773DC">
        <w:rPr>
          <w:strike/>
          <w:lang w:val="fr-FR"/>
        </w:rPr>
        <w:t>4</w:t>
      </w:r>
      <w:r w:rsidR="00F72B31" w:rsidRPr="00F72B31">
        <w:rPr>
          <w:strike/>
          <w:lang w:val="fr-FR"/>
        </w:rPr>
        <w:t>.</w:t>
      </w:r>
      <w:r w:rsidRPr="00E773DC">
        <w:rPr>
          <w:strike/>
          <w:lang w:val="fr-FR"/>
        </w:rPr>
        <w:t>3</w:t>
      </w:r>
      <w:r w:rsidR="00F72B31" w:rsidRPr="00F72B31">
        <w:rPr>
          <w:strike/>
          <w:lang w:val="fr-FR"/>
        </w:rPr>
        <w:t>.</w:t>
      </w:r>
      <w:r w:rsidRPr="00E773DC">
        <w:rPr>
          <w:strike/>
          <w:lang w:val="fr-FR"/>
        </w:rPr>
        <w:t>1</w:t>
      </w:r>
      <w:r w:rsidR="00F72B31" w:rsidRPr="00F72B31">
        <w:rPr>
          <w:strike/>
          <w:lang w:val="fr-FR"/>
        </w:rPr>
        <w:t>.</w:t>
      </w:r>
      <w:r w:rsidRPr="00E773DC">
        <w:rPr>
          <w:strike/>
          <w:lang w:val="fr-FR"/>
        </w:rPr>
        <w:t>2 de l</w:t>
      </w:r>
      <w:r w:rsidR="00B921D9">
        <w:rPr>
          <w:strike/>
          <w:lang w:val="fr-FR"/>
        </w:rPr>
        <w:t>’</w:t>
      </w:r>
      <w:r w:rsidRPr="00E773DC">
        <w:rPr>
          <w:strike/>
          <w:lang w:val="fr-FR"/>
        </w:rPr>
        <w:t>appendice 1 de l</w:t>
      </w:r>
      <w:r w:rsidR="00B921D9">
        <w:rPr>
          <w:strike/>
          <w:lang w:val="fr-FR"/>
        </w:rPr>
        <w:t>’</w:t>
      </w:r>
      <w:r w:rsidRPr="00E773DC">
        <w:rPr>
          <w:strike/>
          <w:lang w:val="fr-FR"/>
        </w:rPr>
        <w:t>annexe 8</w:t>
      </w:r>
      <w:r w:rsidR="00F72B31" w:rsidRPr="00F72B31">
        <w:rPr>
          <w:strike/>
          <w:lang w:val="fr-FR"/>
        </w:rPr>
        <w:t>.</w:t>
      </w:r>
    </w:p>
    <w:p w14:paraId="4C68D400" w14:textId="77777777" w:rsidR="00213792" w:rsidRPr="00E773DC" w:rsidRDefault="00213792" w:rsidP="00213792">
      <w:pPr>
        <w:spacing w:after="120"/>
        <w:ind w:left="2268" w:right="1134" w:hanging="1134"/>
        <w:jc w:val="both"/>
        <w:rPr>
          <w:strike/>
          <w:lang w:val="fr-FR"/>
        </w:rPr>
      </w:pPr>
      <w:r w:rsidRPr="00E773DC">
        <w:rPr>
          <w:strike/>
          <w:lang w:val="fr-FR"/>
        </w:rPr>
        <w:t>13</w:t>
      </w:r>
      <w:r w:rsidR="00F72B31" w:rsidRPr="00F72B31">
        <w:rPr>
          <w:strike/>
          <w:lang w:val="fr-FR"/>
        </w:rPr>
        <w:t>.</w:t>
      </w:r>
      <w:r w:rsidRPr="00E773DC">
        <w:rPr>
          <w:strike/>
          <w:lang w:val="fr-FR"/>
        </w:rPr>
        <w:t>2</w:t>
      </w:r>
      <w:r w:rsidR="00F72B31" w:rsidRPr="00F72B31">
        <w:rPr>
          <w:strike/>
          <w:lang w:val="fr-FR"/>
        </w:rPr>
        <w:t>.</w:t>
      </w:r>
      <w:r w:rsidRPr="00E773DC">
        <w:rPr>
          <w:strike/>
          <w:lang w:val="fr-FR"/>
        </w:rPr>
        <w:t>5</w:t>
      </w:r>
      <w:r w:rsidRPr="00E773DC">
        <w:rPr>
          <w:strike/>
          <w:lang w:val="fr-FR"/>
        </w:rPr>
        <w:tab/>
      </w:r>
      <w:r w:rsidRPr="00E773DC">
        <w:rPr>
          <w:strike/>
          <w:lang w:val="fr-FR"/>
        </w:rPr>
        <w:tab/>
        <w:t>À compter du 1er septembre 2018, les Parties contractantes appliquant le présent Règlement ne doivent accorder des homologations de type CEE pour des systèmes moteurs ou des véhicules que si ces derniers satisfont aux prescriptions du complément 5 à la série 06 d</w:t>
      </w:r>
      <w:r w:rsidR="00B921D9">
        <w:rPr>
          <w:strike/>
          <w:lang w:val="fr-FR"/>
        </w:rPr>
        <w:t>’</w:t>
      </w:r>
      <w:r w:rsidRPr="00E773DC">
        <w:rPr>
          <w:strike/>
          <w:lang w:val="fr-FR"/>
        </w:rPr>
        <w:t>amendements audit Règlement</w:t>
      </w:r>
      <w:r w:rsidR="00F72B31" w:rsidRPr="00F72B31">
        <w:rPr>
          <w:strike/>
          <w:lang w:val="fr-FR"/>
        </w:rPr>
        <w:t>.</w:t>
      </w:r>
    </w:p>
    <w:p w14:paraId="6C99D405" w14:textId="77777777" w:rsidR="00213792" w:rsidRPr="00E773DC" w:rsidRDefault="00213792" w:rsidP="00213792">
      <w:pPr>
        <w:keepNext/>
        <w:keepLines/>
        <w:spacing w:after="120"/>
        <w:ind w:left="2268" w:right="1134" w:hanging="1134"/>
        <w:jc w:val="both"/>
        <w:rPr>
          <w:b/>
          <w:bCs/>
          <w:lang w:val="fr-FR"/>
        </w:rPr>
      </w:pPr>
      <w:r w:rsidRPr="00E773DC">
        <w:rPr>
          <w:b/>
          <w:bCs/>
          <w:lang w:val="fr-FR"/>
        </w:rPr>
        <w:t>13</w:t>
      </w:r>
      <w:r w:rsidR="00F72B31" w:rsidRPr="00F72B31">
        <w:rPr>
          <w:b/>
          <w:bCs/>
          <w:lang w:val="fr-FR"/>
        </w:rPr>
        <w:t>.</w:t>
      </w:r>
      <w:r w:rsidRPr="00E773DC">
        <w:rPr>
          <w:b/>
          <w:bCs/>
          <w:lang w:val="fr-FR"/>
        </w:rPr>
        <w:t>2</w:t>
      </w:r>
      <w:r w:rsidRPr="00E773DC">
        <w:rPr>
          <w:b/>
          <w:bCs/>
          <w:lang w:val="fr-FR"/>
        </w:rPr>
        <w:tab/>
      </w:r>
      <w:bookmarkStart w:id="12" w:name="_Toc307819145"/>
      <w:r w:rsidRPr="00E773DC">
        <w:rPr>
          <w:b/>
          <w:bCs/>
          <w:lang w:val="fr-FR"/>
        </w:rPr>
        <w:t>Homologations de type</w:t>
      </w:r>
      <w:bookmarkEnd w:id="12"/>
    </w:p>
    <w:p w14:paraId="6467C3B8" w14:textId="77777777" w:rsidR="00213792" w:rsidRPr="00E773DC" w:rsidRDefault="00213792" w:rsidP="00213792">
      <w:pPr>
        <w:spacing w:after="120"/>
        <w:ind w:left="2259" w:right="1134" w:hanging="1125"/>
        <w:jc w:val="both"/>
        <w:rPr>
          <w:rFonts w:eastAsia="MS Mincho"/>
          <w:b/>
          <w:bCs/>
          <w:lang w:val="fr-FR" w:eastAsia="fi-FI"/>
        </w:rPr>
      </w:pPr>
      <w:r w:rsidRPr="00E773DC">
        <w:rPr>
          <w:rFonts w:eastAsia="MS Mincho"/>
          <w:b/>
          <w:bCs/>
          <w:lang w:val="fr-FR" w:eastAsia="fi-FI"/>
        </w:rPr>
        <w:t>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1</w:t>
      </w:r>
      <w:r w:rsidRPr="00E773DC">
        <w:rPr>
          <w:rFonts w:eastAsia="MS Mincho"/>
          <w:b/>
          <w:bCs/>
          <w:lang w:val="fr-FR" w:eastAsia="fi-FI"/>
        </w:rPr>
        <w:tab/>
        <w:t>À compter de la date officielle d</w:t>
      </w:r>
      <w:r w:rsidR="00B921D9">
        <w:rPr>
          <w:rFonts w:eastAsia="MS Mincho"/>
          <w:b/>
          <w:bCs/>
          <w:lang w:val="fr-FR" w:eastAsia="fi-FI"/>
        </w:rPr>
        <w:t>’</w:t>
      </w:r>
      <w:r w:rsidRPr="00E773DC">
        <w:rPr>
          <w:rFonts w:eastAsia="MS Mincho"/>
          <w:b/>
          <w:bCs/>
          <w:lang w:val="fr-FR" w:eastAsia="fi-FI"/>
        </w:rPr>
        <w:t>entrée en vigueur de la série 07 d</w:t>
      </w:r>
      <w:r w:rsidR="00B921D9">
        <w:rPr>
          <w:rFonts w:eastAsia="MS Mincho"/>
          <w:b/>
          <w:bCs/>
          <w:lang w:val="fr-FR" w:eastAsia="fi-FI"/>
        </w:rPr>
        <w:t>’</w:t>
      </w:r>
      <w:r w:rsidRPr="00E773DC">
        <w:rPr>
          <w:rFonts w:eastAsia="MS Mincho"/>
          <w:b/>
          <w:bCs/>
          <w:lang w:val="fr-FR" w:eastAsia="fi-FI"/>
        </w:rPr>
        <w:t>amendements, les Parties contractantes appliquant le présent Règlement ne devront délivrer une homologation aux nouveaux types de véhicules ou de moteurs que s</w:t>
      </w:r>
      <w:r w:rsidR="00B921D9">
        <w:rPr>
          <w:rFonts w:eastAsia="MS Mincho"/>
          <w:b/>
          <w:bCs/>
          <w:lang w:val="fr-FR" w:eastAsia="fi-FI"/>
        </w:rPr>
        <w:t>’</w:t>
      </w:r>
      <w:r w:rsidRPr="00E773DC">
        <w:rPr>
          <w:rFonts w:eastAsia="MS Mincho"/>
          <w:b/>
          <w:bCs/>
          <w:lang w:val="fr-FR" w:eastAsia="fi-FI"/>
        </w:rPr>
        <w:t>ils satisfont aux prescriptions du présent Règlement tel que modifié par la série 07 d</w:t>
      </w:r>
      <w:r w:rsidR="00B921D9">
        <w:rPr>
          <w:rFonts w:eastAsia="MS Mincho"/>
          <w:b/>
          <w:bCs/>
          <w:lang w:val="fr-FR" w:eastAsia="fi-FI"/>
        </w:rPr>
        <w:t>’</w:t>
      </w:r>
      <w:r w:rsidRPr="00E773DC">
        <w:rPr>
          <w:rFonts w:eastAsia="MS Mincho"/>
          <w:b/>
          <w:bCs/>
          <w:lang w:val="fr-FR" w:eastAsia="fi-FI"/>
        </w:rPr>
        <w:t>amendements</w:t>
      </w:r>
      <w:r w:rsidR="00F72B31" w:rsidRPr="00F72B31">
        <w:rPr>
          <w:rFonts w:eastAsia="MS Mincho"/>
          <w:b/>
          <w:bCs/>
          <w:lang w:val="fr-FR" w:eastAsia="fi-FI"/>
        </w:rPr>
        <w:t>.</w:t>
      </w:r>
    </w:p>
    <w:p w14:paraId="7BCC4614" w14:textId="77777777" w:rsidR="00213792" w:rsidRPr="00E773DC" w:rsidRDefault="00213792" w:rsidP="00213792">
      <w:pPr>
        <w:spacing w:after="120"/>
        <w:ind w:left="2259" w:right="1134" w:hanging="1125"/>
        <w:jc w:val="both"/>
        <w:rPr>
          <w:rFonts w:eastAsia="MS Mincho"/>
          <w:b/>
          <w:bCs/>
          <w:lang w:val="fr-FR" w:eastAsia="fi-FI"/>
        </w:rPr>
      </w:pPr>
      <w:r w:rsidRPr="00E773DC">
        <w:rPr>
          <w:rFonts w:eastAsia="MS Mincho"/>
          <w:b/>
          <w:bCs/>
          <w:lang w:val="fr-FR" w:eastAsia="fi-FI"/>
        </w:rPr>
        <w:t>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2</w:t>
      </w:r>
      <w:r w:rsidRPr="00E773DC">
        <w:rPr>
          <w:rFonts w:eastAsia="MS Mincho"/>
          <w:b/>
          <w:bCs/>
          <w:lang w:val="fr-FR" w:eastAsia="fi-FI"/>
        </w:rPr>
        <w:tab/>
        <w:t>Par dérogation au paragraphe 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1, à compter du 1</w:t>
      </w:r>
      <w:r w:rsidRPr="00E773DC">
        <w:rPr>
          <w:rFonts w:eastAsia="MS Mincho"/>
          <w:b/>
          <w:bCs/>
          <w:vertAlign w:val="superscript"/>
          <w:lang w:val="fr-FR" w:eastAsia="fi-FI"/>
        </w:rPr>
        <w:t>er</w:t>
      </w:r>
      <w:r w:rsidRPr="00E773DC">
        <w:rPr>
          <w:rFonts w:eastAsia="MS Mincho"/>
          <w:b/>
          <w:bCs/>
          <w:lang w:val="fr-FR" w:eastAsia="fi-FI"/>
        </w:rPr>
        <w:t> janvier 2023, les nouveaux types de moteurs à allumage commandé</w:t>
      </w:r>
      <w:r>
        <w:rPr>
          <w:rFonts w:eastAsia="MS Mincho"/>
          <w:b/>
          <w:bCs/>
          <w:lang w:val="fr-FR" w:eastAsia="fi-FI"/>
        </w:rPr>
        <w:t xml:space="preserve"> et</w:t>
      </w:r>
      <w:r w:rsidRPr="00E773DC">
        <w:rPr>
          <w:rFonts w:eastAsia="MS Mincho"/>
          <w:b/>
          <w:bCs/>
          <w:lang w:val="fr-FR" w:eastAsia="fi-FI"/>
        </w:rPr>
        <w:t xml:space="preserve"> </w:t>
      </w:r>
      <w:r>
        <w:rPr>
          <w:rFonts w:eastAsia="MS Mincho"/>
          <w:b/>
          <w:bCs/>
          <w:lang w:val="fr-FR" w:eastAsia="fi-FI"/>
        </w:rPr>
        <w:t>de</w:t>
      </w:r>
      <w:r w:rsidRPr="00E773DC">
        <w:rPr>
          <w:rFonts w:eastAsia="MS Mincho"/>
          <w:b/>
          <w:bCs/>
          <w:lang w:val="fr-FR" w:eastAsia="fi-FI"/>
        </w:rPr>
        <w:t xml:space="preserve"> moteurs </w:t>
      </w:r>
      <w:proofErr w:type="spellStart"/>
      <w:r w:rsidRPr="00E773DC">
        <w:rPr>
          <w:rFonts w:eastAsia="MS Mincho"/>
          <w:b/>
          <w:bCs/>
          <w:lang w:val="fr-FR" w:eastAsia="fi-FI"/>
        </w:rPr>
        <w:t>bicarburants</w:t>
      </w:r>
      <w:proofErr w:type="spellEnd"/>
      <w:r w:rsidRPr="00E773DC">
        <w:rPr>
          <w:rFonts w:eastAsia="MS Mincho"/>
          <w:b/>
          <w:bCs/>
          <w:lang w:val="fr-FR" w:eastAsia="fi-FI"/>
        </w:rPr>
        <w:t xml:space="preserve"> de type 1A et 1B (en mode bicarburant) </w:t>
      </w:r>
      <w:r>
        <w:rPr>
          <w:rFonts w:eastAsia="MS Mincho"/>
          <w:b/>
          <w:bCs/>
          <w:lang w:val="fr-FR" w:eastAsia="fi-FI"/>
        </w:rPr>
        <w:t>ainsi que</w:t>
      </w:r>
      <w:r w:rsidRPr="00E773DC">
        <w:rPr>
          <w:rFonts w:eastAsia="MS Mincho"/>
          <w:b/>
          <w:bCs/>
          <w:lang w:val="fr-FR" w:eastAsia="fi-FI"/>
        </w:rPr>
        <w:t xml:space="preserve"> les véhicules équipés de ces moteurs devront respecter le facteur de conformité maximum autorisé pour le nombre de particules conformément au paragraphe 6</w:t>
      </w:r>
      <w:r w:rsidR="00F72B31" w:rsidRPr="00F72B31">
        <w:rPr>
          <w:rFonts w:eastAsia="MS Mincho"/>
          <w:b/>
          <w:bCs/>
          <w:lang w:val="fr-FR" w:eastAsia="fi-FI"/>
        </w:rPr>
        <w:t>.</w:t>
      </w:r>
      <w:r w:rsidRPr="00E773DC">
        <w:rPr>
          <w:rFonts w:eastAsia="MS Mincho"/>
          <w:b/>
          <w:bCs/>
          <w:lang w:val="fr-FR" w:eastAsia="fi-FI"/>
        </w:rPr>
        <w:t>3 de l</w:t>
      </w:r>
      <w:r w:rsidR="00B921D9">
        <w:rPr>
          <w:rFonts w:eastAsia="MS Mincho"/>
          <w:b/>
          <w:bCs/>
          <w:lang w:val="fr-FR" w:eastAsia="fi-FI"/>
        </w:rPr>
        <w:t>’</w:t>
      </w:r>
      <w:r w:rsidRPr="00E773DC">
        <w:rPr>
          <w:rFonts w:eastAsia="MS Mincho"/>
          <w:b/>
          <w:bCs/>
          <w:lang w:val="fr-FR" w:eastAsia="fi-FI"/>
        </w:rPr>
        <w:t>annexe 8</w:t>
      </w:r>
      <w:r w:rsidR="00F72B31" w:rsidRPr="00F72B31">
        <w:rPr>
          <w:rFonts w:eastAsia="MS Mincho"/>
          <w:b/>
          <w:bCs/>
          <w:lang w:val="fr-FR" w:eastAsia="fi-FI"/>
        </w:rPr>
        <w:t>.</w:t>
      </w:r>
      <w:r w:rsidRPr="00E773DC">
        <w:rPr>
          <w:rFonts w:eastAsia="MS Mincho"/>
          <w:b/>
          <w:bCs/>
          <w:lang w:val="fr-FR" w:eastAsia="fi-FI"/>
        </w:rPr>
        <w:t xml:space="preserve"> Toutefois, à compter de la date d</w:t>
      </w:r>
      <w:r w:rsidR="00B921D9">
        <w:rPr>
          <w:rFonts w:eastAsia="MS Mincho"/>
          <w:b/>
          <w:bCs/>
          <w:lang w:val="fr-FR" w:eastAsia="fi-FI"/>
        </w:rPr>
        <w:t>’</w:t>
      </w:r>
      <w:r w:rsidRPr="00E773DC">
        <w:rPr>
          <w:rFonts w:eastAsia="MS Mincho"/>
          <w:b/>
          <w:bCs/>
          <w:lang w:val="fr-FR" w:eastAsia="fi-FI"/>
        </w:rPr>
        <w:t>entrée en vigueur du présent Règlement, le facteur de conformité de la fenêtre de travail pour le nombre de particules et le facteur de conformité de la fenêtre de masse pour le CO</w:t>
      </w:r>
      <w:r w:rsidRPr="00E773DC">
        <w:rPr>
          <w:rFonts w:eastAsia="MS Mincho"/>
          <w:b/>
          <w:bCs/>
          <w:vertAlign w:val="subscript"/>
          <w:lang w:val="fr-FR" w:eastAsia="fi-FI"/>
        </w:rPr>
        <w:t xml:space="preserve">2 </w:t>
      </w:r>
      <w:r w:rsidRPr="00E773DC">
        <w:rPr>
          <w:rFonts w:eastAsia="MS Mincho"/>
          <w:b/>
          <w:bCs/>
          <w:lang w:val="fr-FR" w:eastAsia="fi-FI"/>
        </w:rPr>
        <w:t>devront être</w:t>
      </w:r>
      <w:r w:rsidRPr="00E773DC">
        <w:rPr>
          <w:rFonts w:eastAsia="MS Mincho"/>
          <w:b/>
          <w:bCs/>
          <w:vertAlign w:val="subscript"/>
          <w:lang w:val="fr-FR" w:eastAsia="fi-FI"/>
        </w:rPr>
        <w:t xml:space="preserve"> </w:t>
      </w:r>
      <w:r w:rsidRPr="00E773DC">
        <w:rPr>
          <w:rFonts w:eastAsia="MS Mincho"/>
          <w:b/>
          <w:bCs/>
          <w:lang w:val="fr-FR" w:eastAsia="fi-FI"/>
        </w:rPr>
        <w:t xml:space="preserve">indiqués dans </w:t>
      </w:r>
      <w:r w:rsidRPr="00E51776">
        <w:rPr>
          <w:rFonts w:eastAsia="MS Mincho"/>
          <w:b/>
          <w:bCs/>
          <w:lang w:val="fr-FR" w:eastAsia="fi-FI"/>
        </w:rPr>
        <w:t>la fiche d</w:t>
      </w:r>
      <w:r w:rsidR="00B921D9">
        <w:rPr>
          <w:rFonts w:eastAsia="MS Mincho"/>
          <w:b/>
          <w:bCs/>
          <w:lang w:val="fr-FR" w:eastAsia="fi-FI"/>
        </w:rPr>
        <w:t>’</w:t>
      </w:r>
      <w:r w:rsidRPr="00E51776">
        <w:rPr>
          <w:rFonts w:eastAsia="MS Mincho"/>
          <w:b/>
          <w:bCs/>
          <w:lang w:val="fr-FR" w:eastAsia="fi-FI"/>
        </w:rPr>
        <w:t>homologation de type à la rubrique des résultats de l</w:t>
      </w:r>
      <w:r w:rsidR="00B921D9">
        <w:rPr>
          <w:rFonts w:eastAsia="MS Mincho"/>
          <w:b/>
          <w:bCs/>
          <w:lang w:val="fr-FR" w:eastAsia="fi-FI"/>
        </w:rPr>
        <w:t>’</w:t>
      </w:r>
      <w:r w:rsidRPr="00E51776">
        <w:rPr>
          <w:rFonts w:eastAsia="MS Mincho"/>
          <w:b/>
          <w:bCs/>
          <w:lang w:val="fr-FR" w:eastAsia="fi-FI"/>
        </w:rPr>
        <w:t xml:space="preserve">épreuve de conformité </w:t>
      </w:r>
      <w:r w:rsidRPr="00E773DC">
        <w:rPr>
          <w:rFonts w:eastAsia="MS Mincho"/>
          <w:b/>
          <w:bCs/>
          <w:lang w:val="fr-FR" w:eastAsia="fi-FI"/>
        </w:rPr>
        <w:t xml:space="preserve">du système mobile de mesure des émissions </w:t>
      </w:r>
      <w:r w:rsidRPr="00E51776">
        <w:rPr>
          <w:rFonts w:eastAsia="MS Mincho"/>
          <w:b/>
          <w:bCs/>
          <w:lang w:val="fr-FR" w:eastAsia="fi-FI"/>
        </w:rPr>
        <w:t>(PEMS)</w:t>
      </w:r>
      <w:r>
        <w:rPr>
          <w:rFonts w:eastAsia="MS Mincho"/>
          <w:b/>
          <w:bCs/>
          <w:lang w:val="fr-FR" w:eastAsia="fi-FI"/>
        </w:rPr>
        <w:t xml:space="preserve">, </w:t>
      </w:r>
      <w:r w:rsidRPr="00E773DC">
        <w:rPr>
          <w:rFonts w:eastAsia="MS Mincho"/>
          <w:b/>
          <w:bCs/>
          <w:lang w:val="fr-FR" w:eastAsia="fi-FI"/>
        </w:rPr>
        <w:t>à des fins de contrôle</w:t>
      </w:r>
      <w:r w:rsidR="00F72B31" w:rsidRPr="00F72B31">
        <w:rPr>
          <w:rFonts w:eastAsia="MS Mincho"/>
          <w:b/>
          <w:bCs/>
          <w:lang w:val="fr-FR" w:eastAsia="fi-FI"/>
        </w:rPr>
        <w:t>.</w:t>
      </w:r>
    </w:p>
    <w:p w14:paraId="66A95E1B" w14:textId="77777777" w:rsidR="00213792" w:rsidRPr="00E773DC" w:rsidRDefault="00213792" w:rsidP="00213792">
      <w:pPr>
        <w:spacing w:after="120"/>
        <w:ind w:left="2259" w:right="1134" w:hanging="1125"/>
        <w:jc w:val="both"/>
        <w:rPr>
          <w:rFonts w:eastAsia="MS Mincho"/>
          <w:b/>
          <w:bCs/>
          <w:lang w:val="fr-FR" w:eastAsia="fi-FI"/>
        </w:rPr>
      </w:pPr>
      <w:r w:rsidRPr="00E773DC">
        <w:rPr>
          <w:rFonts w:eastAsia="MS Mincho"/>
          <w:b/>
          <w:bCs/>
          <w:lang w:val="fr-FR" w:eastAsia="fi-FI"/>
        </w:rPr>
        <w:t>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3</w:t>
      </w:r>
      <w:r w:rsidRPr="00E773DC">
        <w:rPr>
          <w:rFonts w:eastAsia="MS Mincho"/>
          <w:b/>
          <w:bCs/>
          <w:lang w:val="fr-FR" w:eastAsia="fi-FI"/>
        </w:rPr>
        <w:tab/>
        <w:t>À compter de la date officielle d</w:t>
      </w:r>
      <w:r w:rsidR="00B921D9">
        <w:rPr>
          <w:rFonts w:eastAsia="MS Mincho"/>
          <w:b/>
          <w:bCs/>
          <w:lang w:val="fr-FR" w:eastAsia="fi-FI"/>
        </w:rPr>
        <w:t>’</w:t>
      </w:r>
      <w:r w:rsidRPr="00E773DC">
        <w:rPr>
          <w:rFonts w:eastAsia="MS Mincho"/>
          <w:b/>
          <w:bCs/>
          <w:lang w:val="fr-FR" w:eastAsia="fi-FI"/>
        </w:rPr>
        <w:t>entrée en vigueur de la série 07 d</w:t>
      </w:r>
      <w:r w:rsidR="00B921D9">
        <w:rPr>
          <w:rFonts w:eastAsia="MS Mincho"/>
          <w:b/>
          <w:bCs/>
          <w:lang w:val="fr-FR" w:eastAsia="fi-FI"/>
        </w:rPr>
        <w:t>’</w:t>
      </w:r>
      <w:r w:rsidRPr="00E773DC">
        <w:rPr>
          <w:rFonts w:eastAsia="MS Mincho"/>
          <w:b/>
          <w:bCs/>
          <w:lang w:val="fr-FR" w:eastAsia="fi-FI"/>
        </w:rPr>
        <w:t>amendements, les Parties contractantes appliquant le présent Règlement ne seront pas tenues d</w:t>
      </w:r>
      <w:r w:rsidR="00B921D9">
        <w:rPr>
          <w:rFonts w:eastAsia="MS Mincho"/>
          <w:b/>
          <w:bCs/>
          <w:lang w:val="fr-FR" w:eastAsia="fi-FI"/>
        </w:rPr>
        <w:t>’</w:t>
      </w:r>
      <w:r w:rsidRPr="00E773DC">
        <w:rPr>
          <w:rFonts w:eastAsia="MS Mincho"/>
          <w:b/>
          <w:bCs/>
          <w:lang w:val="fr-FR" w:eastAsia="fi-FI"/>
        </w:rPr>
        <w:t>accepter une homologation de type qui n</w:t>
      </w:r>
      <w:r w:rsidR="00B921D9">
        <w:rPr>
          <w:rFonts w:eastAsia="MS Mincho"/>
          <w:b/>
          <w:bCs/>
          <w:lang w:val="fr-FR" w:eastAsia="fi-FI"/>
        </w:rPr>
        <w:t>’</w:t>
      </w:r>
      <w:r w:rsidRPr="00E773DC">
        <w:rPr>
          <w:rFonts w:eastAsia="MS Mincho"/>
          <w:b/>
          <w:bCs/>
          <w:lang w:val="fr-FR" w:eastAsia="fi-FI"/>
        </w:rPr>
        <w:t>aura pas été accordée conformément à la série 07 d</w:t>
      </w:r>
      <w:r w:rsidR="00B921D9">
        <w:rPr>
          <w:rFonts w:eastAsia="MS Mincho"/>
          <w:b/>
          <w:bCs/>
          <w:lang w:val="fr-FR" w:eastAsia="fi-FI"/>
        </w:rPr>
        <w:t>’</w:t>
      </w:r>
      <w:r w:rsidRPr="00E773DC">
        <w:rPr>
          <w:rFonts w:eastAsia="MS Mincho"/>
          <w:b/>
          <w:bCs/>
          <w:lang w:val="fr-FR" w:eastAsia="fi-FI"/>
        </w:rPr>
        <w:t>amendements au présent Règlement</w:t>
      </w:r>
      <w:r w:rsidR="00F72B31" w:rsidRPr="00F72B31">
        <w:rPr>
          <w:rFonts w:eastAsia="MS Mincho"/>
          <w:b/>
          <w:bCs/>
          <w:lang w:val="fr-FR" w:eastAsia="fi-FI"/>
        </w:rPr>
        <w:t>.</w:t>
      </w:r>
    </w:p>
    <w:p w14:paraId="0A8C20EE" w14:textId="77777777" w:rsidR="00213792" w:rsidRPr="00E773DC" w:rsidRDefault="00213792" w:rsidP="00213792">
      <w:pPr>
        <w:spacing w:after="120"/>
        <w:ind w:left="2259" w:right="1134" w:hanging="1125"/>
        <w:jc w:val="both"/>
        <w:rPr>
          <w:rFonts w:eastAsia="MS Mincho"/>
          <w:b/>
          <w:bCs/>
          <w:lang w:val="fr-FR" w:eastAsia="fi-FI"/>
        </w:rPr>
      </w:pPr>
      <w:r w:rsidRPr="00E773DC">
        <w:rPr>
          <w:rFonts w:eastAsia="MS Mincho"/>
          <w:b/>
          <w:bCs/>
          <w:lang w:val="fr-FR" w:eastAsia="fi-FI"/>
        </w:rPr>
        <w:lastRenderedPageBreak/>
        <w:t>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4</w:t>
      </w:r>
      <w:r w:rsidRPr="00E773DC">
        <w:rPr>
          <w:rFonts w:eastAsia="MS Mincho"/>
          <w:b/>
          <w:bCs/>
          <w:lang w:val="fr-FR" w:eastAsia="fi-FI"/>
        </w:rPr>
        <w:tab/>
        <w:t>Par dérogation au paragraphe 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3, pendant une durée de deux ans après la date officielle d</w:t>
      </w:r>
      <w:r w:rsidR="00B921D9">
        <w:rPr>
          <w:rFonts w:eastAsia="MS Mincho"/>
          <w:b/>
          <w:bCs/>
          <w:lang w:val="fr-FR" w:eastAsia="fi-FI"/>
        </w:rPr>
        <w:t>’</w:t>
      </w:r>
      <w:r w:rsidRPr="00E773DC">
        <w:rPr>
          <w:rFonts w:eastAsia="MS Mincho"/>
          <w:b/>
          <w:bCs/>
          <w:lang w:val="fr-FR" w:eastAsia="fi-FI"/>
        </w:rPr>
        <w:t>entrée en vigueur de la série 07 d</w:t>
      </w:r>
      <w:r w:rsidR="00B921D9">
        <w:rPr>
          <w:rFonts w:eastAsia="MS Mincho"/>
          <w:b/>
          <w:bCs/>
          <w:lang w:val="fr-FR" w:eastAsia="fi-FI"/>
        </w:rPr>
        <w:t>’</w:t>
      </w:r>
      <w:r w:rsidRPr="00E773DC">
        <w:rPr>
          <w:rFonts w:eastAsia="MS Mincho"/>
          <w:b/>
          <w:bCs/>
          <w:lang w:val="fr-FR" w:eastAsia="fi-FI"/>
        </w:rPr>
        <w:t xml:space="preserve">amendements, pour les nouveaux véhicules équipés de moteurs à allumage commandé ou de moteurs </w:t>
      </w:r>
      <w:proofErr w:type="spellStart"/>
      <w:r w:rsidRPr="00E773DC">
        <w:rPr>
          <w:rFonts w:eastAsia="MS Mincho"/>
          <w:b/>
          <w:bCs/>
          <w:lang w:val="fr-FR" w:eastAsia="fi-FI"/>
        </w:rPr>
        <w:t>bicarburants</w:t>
      </w:r>
      <w:proofErr w:type="spellEnd"/>
      <w:r w:rsidRPr="00E773DC">
        <w:rPr>
          <w:rFonts w:eastAsia="MS Mincho"/>
          <w:b/>
          <w:bCs/>
          <w:lang w:val="fr-FR" w:eastAsia="fi-FI"/>
        </w:rPr>
        <w:t xml:space="preserve"> du type 1A ou 1B (en mode bicarburant) qui ne satisfont pas au facteur de conformité maximal autorisé pour le nombre de particules conformément au paragraphe 6</w:t>
      </w:r>
      <w:r w:rsidR="00F72B31" w:rsidRPr="00F72B31">
        <w:rPr>
          <w:rFonts w:eastAsia="MS Mincho"/>
          <w:b/>
          <w:bCs/>
          <w:lang w:val="fr-FR" w:eastAsia="fi-FI"/>
        </w:rPr>
        <w:t>.</w:t>
      </w:r>
      <w:r w:rsidRPr="00E773DC">
        <w:rPr>
          <w:rFonts w:eastAsia="MS Mincho"/>
          <w:b/>
          <w:bCs/>
          <w:lang w:val="fr-FR" w:eastAsia="fi-FI"/>
        </w:rPr>
        <w:t>3 de l</w:t>
      </w:r>
      <w:r w:rsidR="00B921D9">
        <w:rPr>
          <w:rFonts w:eastAsia="MS Mincho"/>
          <w:b/>
          <w:bCs/>
          <w:lang w:val="fr-FR" w:eastAsia="fi-FI"/>
        </w:rPr>
        <w:t>’</w:t>
      </w:r>
      <w:r w:rsidRPr="00E773DC">
        <w:rPr>
          <w:rFonts w:eastAsia="MS Mincho"/>
          <w:b/>
          <w:bCs/>
          <w:lang w:val="fr-FR" w:eastAsia="fi-FI"/>
        </w:rPr>
        <w:t>annexe 8 et aux prescriptions du présent Règlement, les Parties contractantes appliquant le présent Règlement ne seront pas tenues d</w:t>
      </w:r>
      <w:r w:rsidR="00B921D9">
        <w:rPr>
          <w:rFonts w:eastAsia="MS Mincho"/>
          <w:b/>
          <w:bCs/>
          <w:lang w:val="fr-FR" w:eastAsia="fi-FI"/>
        </w:rPr>
        <w:t>’</w:t>
      </w:r>
      <w:r w:rsidRPr="00E773DC">
        <w:rPr>
          <w:rFonts w:eastAsia="MS Mincho"/>
          <w:b/>
          <w:bCs/>
          <w:lang w:val="fr-FR" w:eastAsia="fi-FI"/>
        </w:rPr>
        <w:t>accepter une homologation de type qui n</w:t>
      </w:r>
      <w:r w:rsidR="00B921D9">
        <w:rPr>
          <w:rFonts w:eastAsia="MS Mincho"/>
          <w:b/>
          <w:bCs/>
          <w:lang w:val="fr-FR" w:eastAsia="fi-FI"/>
        </w:rPr>
        <w:t>’</w:t>
      </w:r>
      <w:r w:rsidRPr="00E773DC">
        <w:rPr>
          <w:rFonts w:eastAsia="MS Mincho"/>
          <w:b/>
          <w:bCs/>
          <w:lang w:val="fr-FR" w:eastAsia="fi-FI"/>
        </w:rPr>
        <w:t>aura pas été accordée conformément à la série 07 d</w:t>
      </w:r>
      <w:r w:rsidR="00B921D9">
        <w:rPr>
          <w:rFonts w:eastAsia="MS Mincho"/>
          <w:b/>
          <w:bCs/>
          <w:lang w:val="fr-FR" w:eastAsia="fi-FI"/>
        </w:rPr>
        <w:t>’</w:t>
      </w:r>
      <w:r w:rsidRPr="00E773DC">
        <w:rPr>
          <w:rFonts w:eastAsia="MS Mincho"/>
          <w:b/>
          <w:bCs/>
          <w:lang w:val="fr-FR" w:eastAsia="fi-FI"/>
        </w:rPr>
        <w:t>amendements au présent Règlement</w:t>
      </w:r>
      <w:r w:rsidR="00F72B31" w:rsidRPr="00F72B31">
        <w:rPr>
          <w:rFonts w:eastAsia="MS Mincho"/>
          <w:b/>
          <w:bCs/>
          <w:lang w:val="fr-FR" w:eastAsia="fi-FI"/>
        </w:rPr>
        <w:t>.</w:t>
      </w:r>
      <w:r w:rsidRPr="00E773DC">
        <w:rPr>
          <w:rFonts w:eastAsia="MS Mincho"/>
          <w:b/>
          <w:bCs/>
          <w:lang w:val="fr-FR" w:eastAsia="fi-FI"/>
        </w:rPr>
        <w:t xml:space="preserve"> Toutefois, à des fins de contrôle, à compter de la date officielle d</w:t>
      </w:r>
      <w:r w:rsidR="00B921D9">
        <w:rPr>
          <w:rFonts w:eastAsia="MS Mincho"/>
          <w:b/>
          <w:bCs/>
          <w:lang w:val="fr-FR" w:eastAsia="fi-FI"/>
        </w:rPr>
        <w:t>’</w:t>
      </w:r>
      <w:r w:rsidRPr="00E773DC">
        <w:rPr>
          <w:rFonts w:eastAsia="MS Mincho"/>
          <w:b/>
          <w:bCs/>
          <w:lang w:val="fr-FR" w:eastAsia="fi-FI"/>
        </w:rPr>
        <w:t>entrée en vigueur de ladite série 07 d</w:t>
      </w:r>
      <w:r w:rsidR="00B921D9">
        <w:rPr>
          <w:rFonts w:eastAsia="MS Mincho"/>
          <w:b/>
          <w:bCs/>
          <w:lang w:val="fr-FR" w:eastAsia="fi-FI"/>
        </w:rPr>
        <w:t>’</w:t>
      </w:r>
      <w:r w:rsidRPr="00E773DC">
        <w:rPr>
          <w:rFonts w:eastAsia="MS Mincho"/>
          <w:b/>
          <w:bCs/>
          <w:lang w:val="fr-FR" w:eastAsia="fi-FI"/>
        </w:rPr>
        <w:t>amendements, le facteur de conformité de la fenêtre de travail du nombre de particules et le facteur de conformité de la fenêtre de masse du CO</w:t>
      </w:r>
      <w:r w:rsidRPr="00E773DC">
        <w:rPr>
          <w:rFonts w:eastAsia="MS Mincho"/>
          <w:b/>
          <w:bCs/>
          <w:vertAlign w:val="subscript"/>
          <w:lang w:val="fr-FR" w:eastAsia="fi-FI"/>
        </w:rPr>
        <w:t xml:space="preserve">2 </w:t>
      </w:r>
      <w:r w:rsidRPr="00E773DC">
        <w:rPr>
          <w:rFonts w:eastAsia="MS Mincho"/>
          <w:b/>
          <w:bCs/>
          <w:lang w:val="fr-FR" w:eastAsia="fi-FI"/>
        </w:rPr>
        <w:t>devront être indiqués dans la fiche d</w:t>
      </w:r>
      <w:r w:rsidR="00B921D9">
        <w:rPr>
          <w:rFonts w:eastAsia="MS Mincho"/>
          <w:b/>
          <w:bCs/>
          <w:lang w:val="fr-FR" w:eastAsia="fi-FI"/>
        </w:rPr>
        <w:t>’</w:t>
      </w:r>
      <w:r w:rsidRPr="00E773DC">
        <w:rPr>
          <w:rFonts w:eastAsia="MS Mincho"/>
          <w:b/>
          <w:bCs/>
          <w:lang w:val="fr-FR" w:eastAsia="fi-FI"/>
        </w:rPr>
        <w:t>homologation de type à la rubrique des résultats de l</w:t>
      </w:r>
      <w:r w:rsidR="00B921D9">
        <w:rPr>
          <w:rFonts w:eastAsia="MS Mincho"/>
          <w:b/>
          <w:bCs/>
          <w:lang w:val="fr-FR" w:eastAsia="fi-FI"/>
        </w:rPr>
        <w:t>’</w:t>
      </w:r>
      <w:r w:rsidRPr="00E773DC">
        <w:rPr>
          <w:rFonts w:eastAsia="MS Mincho"/>
          <w:b/>
          <w:bCs/>
          <w:lang w:val="fr-FR" w:eastAsia="fi-FI"/>
        </w:rPr>
        <w:t>épreuve de conformité du système mobile de mesure des émissions (PEMS)</w:t>
      </w:r>
      <w:r w:rsidRPr="00FA4A44">
        <w:t xml:space="preserve"> </w:t>
      </w:r>
      <w:r w:rsidRPr="00E51776">
        <w:rPr>
          <w:rFonts w:eastAsia="MS Mincho"/>
          <w:b/>
          <w:bCs/>
          <w:lang w:val="fr-FR" w:eastAsia="fi-FI"/>
        </w:rPr>
        <w:t>à des fins de contrôle</w:t>
      </w:r>
      <w:r w:rsidR="00F72B31" w:rsidRPr="00F72B31">
        <w:rPr>
          <w:rFonts w:eastAsia="MS Mincho"/>
          <w:b/>
          <w:bCs/>
          <w:lang w:val="fr-FR" w:eastAsia="fi-FI"/>
        </w:rPr>
        <w:t>.</w:t>
      </w:r>
    </w:p>
    <w:p w14:paraId="3CD80C40" w14:textId="77777777" w:rsidR="00213792" w:rsidRPr="00E773DC" w:rsidRDefault="00213792" w:rsidP="00213792">
      <w:pPr>
        <w:spacing w:after="120"/>
        <w:ind w:left="2259" w:right="1134" w:hanging="1125"/>
        <w:jc w:val="both"/>
        <w:rPr>
          <w:rFonts w:eastAsia="MS Mincho"/>
          <w:b/>
          <w:bCs/>
          <w:lang w:val="fr-FR" w:eastAsia="fi-FI"/>
        </w:rPr>
      </w:pPr>
      <w:r w:rsidRPr="00E773DC">
        <w:rPr>
          <w:rFonts w:eastAsia="MS Mincho"/>
          <w:b/>
          <w:bCs/>
          <w:lang w:val="fr-FR" w:eastAsia="fi-FI"/>
        </w:rPr>
        <w:t>13</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5</w:t>
      </w:r>
      <w:r w:rsidRPr="00E773DC">
        <w:rPr>
          <w:rFonts w:eastAsia="MS Mincho"/>
          <w:b/>
          <w:bCs/>
          <w:lang w:val="fr-FR" w:eastAsia="fi-FI"/>
        </w:rPr>
        <w:tab/>
        <w:t>À compter de la date officielle d</w:t>
      </w:r>
      <w:r w:rsidR="00B921D9">
        <w:rPr>
          <w:rFonts w:eastAsia="MS Mincho"/>
          <w:b/>
          <w:bCs/>
          <w:lang w:val="fr-FR" w:eastAsia="fi-FI"/>
        </w:rPr>
        <w:t>’</w:t>
      </w:r>
      <w:r w:rsidRPr="00E773DC">
        <w:rPr>
          <w:rFonts w:eastAsia="MS Mincho"/>
          <w:b/>
          <w:bCs/>
          <w:lang w:val="fr-FR" w:eastAsia="fi-FI"/>
        </w:rPr>
        <w:t>entrée en vigueur de la série 07 d</w:t>
      </w:r>
      <w:r w:rsidR="00B921D9">
        <w:rPr>
          <w:rFonts w:eastAsia="MS Mincho"/>
          <w:b/>
          <w:bCs/>
          <w:lang w:val="fr-FR" w:eastAsia="fi-FI"/>
        </w:rPr>
        <w:t>’</w:t>
      </w:r>
      <w:r w:rsidRPr="00E773DC">
        <w:rPr>
          <w:rFonts w:eastAsia="MS Mincho"/>
          <w:b/>
          <w:bCs/>
          <w:lang w:val="fr-FR" w:eastAsia="fi-FI"/>
        </w:rPr>
        <w:t>amendements, les Parties contractantes appliquant le présent Règlement ne s</w:t>
      </w:r>
      <w:r>
        <w:rPr>
          <w:rFonts w:eastAsia="MS Mincho"/>
          <w:b/>
          <w:bCs/>
          <w:lang w:val="fr-FR" w:eastAsia="fi-FI"/>
        </w:rPr>
        <w:t>er</w:t>
      </w:r>
      <w:r w:rsidRPr="00E773DC">
        <w:rPr>
          <w:rFonts w:eastAsia="MS Mincho"/>
          <w:b/>
          <w:bCs/>
          <w:lang w:val="fr-FR" w:eastAsia="fi-FI"/>
        </w:rPr>
        <w:t>ont pas tenues d</w:t>
      </w:r>
      <w:r w:rsidR="00B921D9">
        <w:rPr>
          <w:rFonts w:eastAsia="MS Mincho"/>
          <w:b/>
          <w:bCs/>
          <w:lang w:val="fr-FR" w:eastAsia="fi-FI"/>
        </w:rPr>
        <w:t>’</w:t>
      </w:r>
      <w:r w:rsidRPr="00E773DC">
        <w:rPr>
          <w:rFonts w:eastAsia="MS Mincho"/>
          <w:b/>
          <w:bCs/>
          <w:lang w:val="fr-FR" w:eastAsia="fi-FI"/>
        </w:rPr>
        <w:t>accepter une homologation de type pour un véhicule ayant une masse de référence supérieure à 2</w:t>
      </w:r>
      <w:r>
        <w:rPr>
          <w:rFonts w:eastAsia="MS Mincho"/>
          <w:b/>
          <w:bCs/>
          <w:lang w:val="fr-FR" w:eastAsia="fi-FI"/>
        </w:rPr>
        <w:t> </w:t>
      </w:r>
      <w:r w:rsidRPr="00E773DC">
        <w:rPr>
          <w:rFonts w:eastAsia="MS Mincho"/>
          <w:b/>
          <w:bCs/>
          <w:lang w:val="fr-FR" w:eastAsia="fi-FI"/>
        </w:rPr>
        <w:t>380</w:t>
      </w:r>
      <w:r>
        <w:rPr>
          <w:rFonts w:eastAsia="MS Mincho"/>
          <w:b/>
          <w:bCs/>
          <w:lang w:val="fr-FR" w:eastAsia="fi-FI"/>
        </w:rPr>
        <w:t> </w:t>
      </w:r>
      <w:r w:rsidRPr="00E773DC">
        <w:rPr>
          <w:rFonts w:eastAsia="MS Mincho"/>
          <w:b/>
          <w:bCs/>
          <w:lang w:val="fr-FR" w:eastAsia="fi-FI"/>
        </w:rPr>
        <w:t>kg mais ne dépassant pas 2</w:t>
      </w:r>
      <w:r>
        <w:rPr>
          <w:rFonts w:eastAsia="MS Mincho"/>
          <w:b/>
          <w:bCs/>
          <w:lang w:val="fr-FR" w:eastAsia="fi-FI"/>
        </w:rPr>
        <w:t> </w:t>
      </w:r>
      <w:r w:rsidRPr="00E773DC">
        <w:rPr>
          <w:rFonts w:eastAsia="MS Mincho"/>
          <w:b/>
          <w:bCs/>
          <w:lang w:val="fr-FR" w:eastAsia="fi-FI"/>
        </w:rPr>
        <w:t>610</w:t>
      </w:r>
      <w:r>
        <w:rPr>
          <w:rFonts w:eastAsia="MS Mincho"/>
          <w:b/>
          <w:bCs/>
          <w:lang w:val="fr-FR" w:eastAsia="fi-FI"/>
        </w:rPr>
        <w:t> </w:t>
      </w:r>
      <w:r w:rsidRPr="00E773DC">
        <w:rPr>
          <w:rFonts w:eastAsia="MS Mincho"/>
          <w:b/>
          <w:bCs/>
          <w:lang w:val="fr-FR" w:eastAsia="fi-FI"/>
        </w:rPr>
        <w:t>kg, qui n</w:t>
      </w:r>
      <w:r w:rsidR="00B921D9">
        <w:rPr>
          <w:rFonts w:eastAsia="MS Mincho"/>
          <w:b/>
          <w:bCs/>
          <w:lang w:val="fr-FR" w:eastAsia="fi-FI"/>
        </w:rPr>
        <w:t>’</w:t>
      </w:r>
      <w:r w:rsidRPr="00E773DC">
        <w:rPr>
          <w:rFonts w:eastAsia="MS Mincho"/>
          <w:b/>
          <w:bCs/>
          <w:lang w:val="fr-FR" w:eastAsia="fi-FI"/>
        </w:rPr>
        <w:t>a</w:t>
      </w:r>
      <w:r>
        <w:rPr>
          <w:rFonts w:eastAsia="MS Mincho"/>
          <w:b/>
          <w:bCs/>
          <w:lang w:val="fr-FR" w:eastAsia="fi-FI"/>
        </w:rPr>
        <w:t>ura</w:t>
      </w:r>
      <w:r w:rsidRPr="00E773DC">
        <w:rPr>
          <w:rFonts w:eastAsia="MS Mincho"/>
          <w:b/>
          <w:bCs/>
          <w:lang w:val="fr-FR" w:eastAsia="fi-FI"/>
        </w:rPr>
        <w:t xml:space="preserve"> pas été accordée conformément à la série 07 d</w:t>
      </w:r>
      <w:r w:rsidR="00B921D9">
        <w:rPr>
          <w:rFonts w:eastAsia="MS Mincho"/>
          <w:b/>
          <w:bCs/>
          <w:lang w:val="fr-FR" w:eastAsia="fi-FI"/>
        </w:rPr>
        <w:t>’</w:t>
      </w:r>
      <w:r w:rsidRPr="00E773DC">
        <w:rPr>
          <w:rFonts w:eastAsia="MS Mincho"/>
          <w:b/>
          <w:bCs/>
          <w:lang w:val="fr-FR" w:eastAsia="fi-FI"/>
        </w:rPr>
        <w:t>amendements au présent Règlement</w:t>
      </w:r>
      <w:r w:rsidR="00F72B31" w:rsidRPr="00F72B31">
        <w:rPr>
          <w:rFonts w:eastAsia="MS Mincho"/>
          <w:b/>
          <w:bCs/>
          <w:lang w:val="fr-FR" w:eastAsia="fi-FI"/>
        </w:rPr>
        <w:t>.</w:t>
      </w:r>
    </w:p>
    <w:p w14:paraId="475AB928" w14:textId="77777777" w:rsidR="00213792" w:rsidRPr="00E773DC" w:rsidRDefault="00213792" w:rsidP="00213792">
      <w:pPr>
        <w:pStyle w:val="para"/>
        <w:rPr>
          <w:strike/>
          <w:lang w:val="fr-FR"/>
        </w:rPr>
      </w:pPr>
      <w:r w:rsidRPr="00E773DC">
        <w:rPr>
          <w:strike/>
          <w:lang w:val="fr-FR"/>
        </w:rPr>
        <w:t>13</w:t>
      </w:r>
      <w:r w:rsidR="00F72B31" w:rsidRPr="00F72B31">
        <w:rPr>
          <w:strike/>
          <w:lang w:val="fr-FR"/>
        </w:rPr>
        <w:t>.</w:t>
      </w:r>
      <w:r w:rsidRPr="00E773DC">
        <w:rPr>
          <w:strike/>
          <w:lang w:val="fr-FR"/>
        </w:rPr>
        <w:t>3</w:t>
      </w:r>
      <w:r w:rsidRPr="00E773DC">
        <w:rPr>
          <w:strike/>
          <w:lang w:val="fr-FR"/>
        </w:rPr>
        <w:tab/>
        <w:t>Acceptation des homologations de type déjà délivrées</w:t>
      </w:r>
    </w:p>
    <w:p w14:paraId="7E7E1F6D" w14:textId="77777777" w:rsidR="00213792" w:rsidRPr="00E773DC" w:rsidRDefault="00213792" w:rsidP="00213792">
      <w:pPr>
        <w:pStyle w:val="para"/>
        <w:rPr>
          <w:strike/>
          <w:lang w:val="fr-FR"/>
        </w:rPr>
      </w:pPr>
      <w:r w:rsidRPr="00E773DC">
        <w:rPr>
          <w:strike/>
          <w:lang w:val="fr-FR"/>
        </w:rPr>
        <w:t>13</w:t>
      </w:r>
      <w:r w:rsidR="00F72B31" w:rsidRPr="00F72B31">
        <w:rPr>
          <w:strike/>
          <w:lang w:val="fr-FR"/>
        </w:rPr>
        <w:t>.</w:t>
      </w:r>
      <w:r w:rsidRPr="00E773DC">
        <w:rPr>
          <w:strike/>
          <w:lang w:val="fr-FR"/>
        </w:rPr>
        <w:t>3</w:t>
      </w:r>
      <w:r w:rsidR="00F72B31" w:rsidRPr="00F72B31">
        <w:rPr>
          <w:strike/>
          <w:lang w:val="fr-FR"/>
        </w:rPr>
        <w:t>.</w:t>
      </w:r>
      <w:r w:rsidRPr="00E773DC">
        <w:rPr>
          <w:strike/>
          <w:lang w:val="fr-FR"/>
        </w:rPr>
        <w:t>1</w:t>
      </w:r>
      <w:r w:rsidRPr="00E773DC">
        <w:rPr>
          <w:strike/>
          <w:lang w:val="fr-FR"/>
        </w:rPr>
        <w:tab/>
        <w:t>À dater du 31 décembre 2013, les Parties contractantes peuvent refuser les homologations de type délivrées conformément au présent Règlement qui ne satisfont pas aux prescriptions énoncées au paragraphe 13</w:t>
      </w:r>
      <w:r w:rsidR="00F72B31" w:rsidRPr="00F72B31">
        <w:rPr>
          <w:strike/>
          <w:lang w:val="fr-FR"/>
        </w:rPr>
        <w:t>.</w:t>
      </w:r>
      <w:r w:rsidRPr="00E773DC">
        <w:rPr>
          <w:strike/>
          <w:lang w:val="fr-FR"/>
        </w:rPr>
        <w:t>2</w:t>
      </w:r>
      <w:r w:rsidR="00F72B31" w:rsidRPr="00F72B31">
        <w:rPr>
          <w:strike/>
          <w:lang w:val="fr-FR"/>
        </w:rPr>
        <w:t>.</w:t>
      </w:r>
      <w:r w:rsidRPr="00E773DC">
        <w:rPr>
          <w:strike/>
          <w:lang w:val="fr-FR"/>
        </w:rPr>
        <w:t>1 ci-dessus</w:t>
      </w:r>
      <w:r w:rsidR="00F72B31" w:rsidRPr="00F72B31">
        <w:rPr>
          <w:strike/>
          <w:lang w:val="fr-FR"/>
        </w:rPr>
        <w:t>.</w:t>
      </w:r>
    </w:p>
    <w:p w14:paraId="47888804" w14:textId="77777777" w:rsidR="00213792" w:rsidRPr="00E773DC" w:rsidRDefault="00213792" w:rsidP="00213792">
      <w:pPr>
        <w:pStyle w:val="para"/>
        <w:rPr>
          <w:strike/>
          <w:lang w:val="fr-FR"/>
        </w:rPr>
      </w:pPr>
      <w:r w:rsidRPr="00E773DC">
        <w:rPr>
          <w:strike/>
          <w:lang w:val="fr-FR"/>
        </w:rPr>
        <w:t>13</w:t>
      </w:r>
      <w:r w:rsidR="00F72B31" w:rsidRPr="00F72B31">
        <w:rPr>
          <w:strike/>
          <w:lang w:val="fr-FR"/>
        </w:rPr>
        <w:t>.</w:t>
      </w:r>
      <w:r w:rsidRPr="00E773DC">
        <w:rPr>
          <w:strike/>
          <w:lang w:val="fr-FR"/>
        </w:rPr>
        <w:t>3</w:t>
      </w:r>
      <w:r w:rsidR="00F72B31" w:rsidRPr="00F72B31">
        <w:rPr>
          <w:strike/>
          <w:lang w:val="fr-FR"/>
        </w:rPr>
        <w:t>.</w:t>
      </w:r>
      <w:r w:rsidRPr="00E773DC">
        <w:rPr>
          <w:strike/>
          <w:lang w:val="fr-FR"/>
        </w:rPr>
        <w:t>2</w:t>
      </w:r>
      <w:r w:rsidRPr="00E773DC">
        <w:rPr>
          <w:strike/>
          <w:lang w:val="fr-FR"/>
        </w:rPr>
        <w:tab/>
        <w:t>À dater du 1er septembre 2015, les Parties contractantes pourront refuser les homologations de type des moteurs et des véhicules à allumage commandé délivrées conformément au présent Règlement qui ne satisfont pas aux prescriptions énoncées au paragraphe 13</w:t>
      </w:r>
      <w:r w:rsidR="00F72B31" w:rsidRPr="00F72B31">
        <w:rPr>
          <w:strike/>
          <w:lang w:val="fr-FR"/>
        </w:rPr>
        <w:t>.</w:t>
      </w:r>
      <w:r w:rsidRPr="00E773DC">
        <w:rPr>
          <w:strike/>
          <w:lang w:val="fr-FR"/>
        </w:rPr>
        <w:t>2</w:t>
      </w:r>
      <w:r w:rsidR="00F72B31" w:rsidRPr="00F72B31">
        <w:rPr>
          <w:strike/>
          <w:lang w:val="fr-FR"/>
        </w:rPr>
        <w:t>.</w:t>
      </w:r>
      <w:r w:rsidRPr="00E773DC">
        <w:rPr>
          <w:strike/>
          <w:lang w:val="fr-FR"/>
        </w:rPr>
        <w:t>2 ci-dessus</w:t>
      </w:r>
      <w:r w:rsidR="00F72B31" w:rsidRPr="00F72B31">
        <w:rPr>
          <w:strike/>
          <w:lang w:val="fr-FR"/>
        </w:rPr>
        <w:t>.</w:t>
      </w:r>
    </w:p>
    <w:p w14:paraId="5BD6DF30" w14:textId="77777777" w:rsidR="00213792" w:rsidRPr="00E773DC" w:rsidRDefault="00213792" w:rsidP="00213792">
      <w:pPr>
        <w:pStyle w:val="para"/>
        <w:rPr>
          <w:rFonts w:eastAsia="MS Mincho"/>
          <w:strike/>
          <w:lang w:val="fr-FR"/>
        </w:rPr>
      </w:pPr>
      <w:r w:rsidRPr="00E773DC">
        <w:rPr>
          <w:strike/>
          <w:lang w:val="fr-FR"/>
        </w:rPr>
        <w:t>13</w:t>
      </w:r>
      <w:r w:rsidR="00F72B31" w:rsidRPr="00F72B31">
        <w:rPr>
          <w:strike/>
          <w:lang w:val="fr-FR"/>
        </w:rPr>
        <w:t>.</w:t>
      </w:r>
      <w:r w:rsidRPr="00E773DC">
        <w:rPr>
          <w:strike/>
          <w:lang w:val="fr-FR"/>
        </w:rPr>
        <w:t>3</w:t>
      </w:r>
      <w:r w:rsidR="00F72B31" w:rsidRPr="00F72B31">
        <w:rPr>
          <w:strike/>
          <w:lang w:val="fr-FR"/>
        </w:rPr>
        <w:t>.</w:t>
      </w:r>
      <w:r w:rsidRPr="00E773DC">
        <w:rPr>
          <w:strike/>
          <w:lang w:val="fr-FR"/>
        </w:rPr>
        <w:t>3</w:t>
      </w:r>
      <w:r w:rsidRPr="00E773DC">
        <w:rPr>
          <w:strike/>
          <w:lang w:val="fr-FR"/>
        </w:rPr>
        <w:tab/>
        <w:t>À dater du 31 décembre 2016, les Parties contractantes pourront refuser les homologations de type délivrées conformément au présent Règlement qui ne satisfont pas aux prescriptions énoncées au paragraphe 13</w:t>
      </w:r>
      <w:r w:rsidR="00F72B31" w:rsidRPr="00F72B31">
        <w:rPr>
          <w:strike/>
          <w:lang w:val="fr-FR"/>
        </w:rPr>
        <w:t>.</w:t>
      </w:r>
      <w:r w:rsidRPr="00E773DC">
        <w:rPr>
          <w:strike/>
          <w:lang w:val="fr-FR"/>
        </w:rPr>
        <w:t>2</w:t>
      </w:r>
      <w:r w:rsidR="00F72B31" w:rsidRPr="00F72B31">
        <w:rPr>
          <w:strike/>
          <w:lang w:val="fr-FR"/>
        </w:rPr>
        <w:t>.</w:t>
      </w:r>
      <w:r w:rsidRPr="00E773DC">
        <w:rPr>
          <w:strike/>
          <w:lang w:val="fr-FR"/>
        </w:rPr>
        <w:t>3 ci-dessus</w:t>
      </w:r>
      <w:r w:rsidR="00F72B31" w:rsidRPr="00F72B31">
        <w:rPr>
          <w:strike/>
          <w:lang w:val="fr-FR"/>
        </w:rPr>
        <w:t>.</w:t>
      </w:r>
    </w:p>
    <w:p w14:paraId="5D3D1731" w14:textId="77777777" w:rsidR="00213792" w:rsidRPr="00E773DC" w:rsidRDefault="00213792" w:rsidP="00213792">
      <w:pPr>
        <w:pStyle w:val="para"/>
        <w:rPr>
          <w:strike/>
          <w:lang w:val="fr-FR"/>
        </w:rPr>
      </w:pPr>
      <w:r w:rsidRPr="00E773DC">
        <w:rPr>
          <w:strike/>
          <w:lang w:val="fr-FR"/>
        </w:rPr>
        <w:t>13</w:t>
      </w:r>
      <w:r w:rsidR="00F72B31" w:rsidRPr="00F72B31">
        <w:rPr>
          <w:strike/>
          <w:lang w:val="fr-FR"/>
        </w:rPr>
        <w:t>.</w:t>
      </w:r>
      <w:r w:rsidRPr="00E773DC">
        <w:rPr>
          <w:strike/>
          <w:lang w:val="fr-FR"/>
        </w:rPr>
        <w:t>3</w:t>
      </w:r>
      <w:r w:rsidR="00F72B31" w:rsidRPr="00F72B31">
        <w:rPr>
          <w:strike/>
          <w:lang w:val="fr-FR"/>
        </w:rPr>
        <w:t>.</w:t>
      </w:r>
      <w:r w:rsidRPr="00E773DC">
        <w:rPr>
          <w:strike/>
          <w:lang w:val="fr-FR"/>
        </w:rPr>
        <w:t>4</w:t>
      </w:r>
      <w:r w:rsidRPr="00E773DC">
        <w:rPr>
          <w:strike/>
          <w:lang w:val="fr-FR"/>
        </w:rPr>
        <w:tab/>
      </w:r>
      <w:r w:rsidRPr="00E773DC">
        <w:rPr>
          <w:strike/>
          <w:lang w:val="fr-FR"/>
        </w:rPr>
        <w:tab/>
        <w:t>À compter du 1</w:t>
      </w:r>
      <w:r w:rsidRPr="00E773DC">
        <w:rPr>
          <w:strike/>
          <w:vertAlign w:val="superscript"/>
          <w:lang w:val="fr-FR"/>
        </w:rPr>
        <w:t>er</w:t>
      </w:r>
      <w:r w:rsidRPr="00E773DC">
        <w:rPr>
          <w:strike/>
          <w:lang w:val="fr-FR"/>
        </w:rPr>
        <w:t xml:space="preserve"> septembre 2019, toute homologation de type délivrée en vertu du présent Règlement tel que modifié par sa série 06 d</w:t>
      </w:r>
      <w:r w:rsidR="00B921D9">
        <w:rPr>
          <w:strike/>
          <w:lang w:val="fr-FR"/>
        </w:rPr>
        <w:t>’</w:t>
      </w:r>
      <w:r w:rsidRPr="00E773DC">
        <w:rPr>
          <w:strike/>
          <w:lang w:val="fr-FR"/>
        </w:rPr>
        <w:t>amendements qui ne satisfait pas aux prescriptions du paragraphe 13</w:t>
      </w:r>
      <w:r w:rsidR="00F72B31" w:rsidRPr="00F72B31">
        <w:rPr>
          <w:strike/>
          <w:lang w:val="fr-FR"/>
        </w:rPr>
        <w:t>.</w:t>
      </w:r>
      <w:r w:rsidRPr="00E773DC">
        <w:rPr>
          <w:strike/>
          <w:lang w:val="fr-FR"/>
        </w:rPr>
        <w:t>2</w:t>
      </w:r>
      <w:r w:rsidR="00F72B31" w:rsidRPr="00F72B31">
        <w:rPr>
          <w:strike/>
          <w:lang w:val="fr-FR"/>
        </w:rPr>
        <w:t>.</w:t>
      </w:r>
      <w:r w:rsidRPr="00E773DC">
        <w:rPr>
          <w:strike/>
          <w:lang w:val="fr-FR"/>
        </w:rPr>
        <w:t>5 cessera d</w:t>
      </w:r>
      <w:r w:rsidR="00B921D9">
        <w:rPr>
          <w:strike/>
          <w:lang w:val="fr-FR"/>
        </w:rPr>
        <w:t>’</w:t>
      </w:r>
      <w:r w:rsidRPr="00E773DC">
        <w:rPr>
          <w:strike/>
          <w:lang w:val="fr-FR"/>
        </w:rPr>
        <w:t>être valide</w:t>
      </w:r>
      <w:r w:rsidR="00F72B31" w:rsidRPr="00F72B31">
        <w:rPr>
          <w:strike/>
          <w:lang w:val="fr-FR"/>
        </w:rPr>
        <w:t>.</w:t>
      </w:r>
    </w:p>
    <w:p w14:paraId="0BAF9C14" w14:textId="77777777" w:rsidR="00213792" w:rsidRPr="00E773DC" w:rsidRDefault="00213792" w:rsidP="00213792">
      <w:pPr>
        <w:spacing w:after="120"/>
        <w:ind w:left="2259" w:right="1134" w:hanging="1125"/>
        <w:jc w:val="both"/>
        <w:rPr>
          <w:rFonts w:eastAsia="MS Mincho"/>
          <w:b/>
          <w:bCs/>
          <w:lang w:val="fr-FR" w:eastAsia="fi-FI"/>
        </w:rPr>
      </w:pPr>
      <w:r w:rsidRPr="00E773DC">
        <w:rPr>
          <w:rFonts w:eastAsia="MS Mincho"/>
          <w:b/>
          <w:bCs/>
          <w:lang w:val="fr-FR" w:eastAsia="fi-FI"/>
        </w:rPr>
        <w:t>13</w:t>
      </w:r>
      <w:r w:rsidR="00F72B31" w:rsidRPr="00F72B31">
        <w:rPr>
          <w:rFonts w:eastAsia="MS Mincho"/>
          <w:b/>
          <w:bCs/>
          <w:lang w:val="fr-FR" w:eastAsia="fi-FI"/>
        </w:rPr>
        <w:t>.</w:t>
      </w:r>
      <w:r w:rsidRPr="00E773DC">
        <w:rPr>
          <w:rFonts w:eastAsia="MS Mincho"/>
          <w:b/>
          <w:bCs/>
          <w:lang w:val="fr-FR" w:eastAsia="fi-FI"/>
        </w:rPr>
        <w:t>3</w:t>
      </w:r>
      <w:r w:rsidRPr="00E773DC">
        <w:rPr>
          <w:rFonts w:eastAsia="MS Mincho"/>
          <w:b/>
          <w:bCs/>
          <w:lang w:val="fr-FR" w:eastAsia="fi-FI"/>
        </w:rPr>
        <w:tab/>
        <w:t>Réservé</w:t>
      </w:r>
    </w:p>
    <w:p w14:paraId="6B03669B" w14:textId="77777777" w:rsidR="00213792" w:rsidRPr="00E773DC" w:rsidRDefault="00213792" w:rsidP="00213792">
      <w:pPr>
        <w:spacing w:after="120"/>
        <w:ind w:left="2268" w:right="1134" w:hanging="1134"/>
        <w:jc w:val="both"/>
        <w:rPr>
          <w:lang w:val="fr-FR"/>
        </w:rPr>
      </w:pPr>
      <w:r w:rsidRPr="00E773DC">
        <w:rPr>
          <w:lang w:val="fr-FR"/>
        </w:rPr>
        <w:t>13</w:t>
      </w:r>
      <w:r w:rsidR="00F72B31" w:rsidRPr="00F72B31">
        <w:rPr>
          <w:lang w:val="fr-FR"/>
        </w:rPr>
        <w:t>.</w:t>
      </w:r>
      <w:r w:rsidRPr="00E773DC">
        <w:rPr>
          <w:lang w:val="fr-FR"/>
        </w:rPr>
        <w:t>4</w:t>
      </w:r>
      <w:r w:rsidRPr="00E773DC">
        <w:rPr>
          <w:lang w:val="fr-FR"/>
        </w:rPr>
        <w:tab/>
        <w:t>Dispositions particulières</w:t>
      </w:r>
    </w:p>
    <w:p w14:paraId="7C84431D" w14:textId="77777777" w:rsidR="00213792" w:rsidRPr="00E773DC" w:rsidRDefault="00213792" w:rsidP="00213792">
      <w:pPr>
        <w:spacing w:after="100"/>
        <w:ind w:left="2268" w:right="1134" w:hanging="1134"/>
        <w:jc w:val="both"/>
        <w:rPr>
          <w:lang w:val="fr-FR"/>
        </w:rPr>
      </w:pPr>
      <w:r w:rsidRPr="00E773DC">
        <w:rPr>
          <w:lang w:val="fr-FR"/>
        </w:rPr>
        <w:t>13</w:t>
      </w:r>
      <w:r w:rsidR="00F72B31" w:rsidRPr="00F72B31">
        <w:rPr>
          <w:lang w:val="fr-FR"/>
        </w:rPr>
        <w:t>.</w:t>
      </w:r>
      <w:r w:rsidRPr="00E773DC">
        <w:rPr>
          <w:lang w:val="fr-FR"/>
        </w:rPr>
        <w:t>4</w:t>
      </w:r>
      <w:r w:rsidR="00F72B31" w:rsidRPr="00F72B31">
        <w:rPr>
          <w:lang w:val="fr-FR"/>
        </w:rPr>
        <w:t>.</w:t>
      </w:r>
      <w:r w:rsidRPr="00E773DC">
        <w:rPr>
          <w:lang w:val="fr-FR"/>
        </w:rPr>
        <w:t>1</w:t>
      </w:r>
      <w:r w:rsidRPr="00E773DC">
        <w:rPr>
          <w:lang w:val="fr-FR"/>
        </w:rPr>
        <w:tab/>
        <w:t>Les Parties contractantes appliquant le présent Règlement peuvent continuer à accorder des homologations à des moteurs ou véhicules qui satisfont aux dispositions de toute série d</w:t>
      </w:r>
      <w:r w:rsidR="00B921D9">
        <w:rPr>
          <w:lang w:val="fr-FR"/>
        </w:rPr>
        <w:t>’</w:t>
      </w:r>
      <w:r w:rsidRPr="00E773DC">
        <w:rPr>
          <w:lang w:val="fr-FR"/>
        </w:rPr>
        <w:t>amendements antérieure ou de toute version du présent Règlement, à condition que ces moteurs ou véhicules soient destinés à être exportés vers des pays qui appliquent les dispositions en question</w:t>
      </w:r>
      <w:r w:rsidR="00F72B31" w:rsidRPr="00F72B31">
        <w:rPr>
          <w:lang w:val="fr-FR"/>
        </w:rPr>
        <w:t>.</w:t>
      </w:r>
    </w:p>
    <w:p w14:paraId="790FA4A5" w14:textId="77777777" w:rsidR="00213792" w:rsidRPr="00E773DC" w:rsidRDefault="00213792" w:rsidP="00213792">
      <w:pPr>
        <w:spacing w:after="120"/>
        <w:ind w:left="2268" w:right="1134" w:hanging="1134"/>
        <w:jc w:val="both"/>
        <w:rPr>
          <w:lang w:val="fr-FR"/>
        </w:rPr>
      </w:pPr>
      <w:r w:rsidRPr="00E773DC">
        <w:rPr>
          <w:lang w:val="fr-FR"/>
        </w:rPr>
        <w:t>13</w:t>
      </w:r>
      <w:r w:rsidR="00F72B31" w:rsidRPr="00F72B31">
        <w:rPr>
          <w:lang w:val="fr-FR"/>
        </w:rPr>
        <w:t>.</w:t>
      </w:r>
      <w:r w:rsidRPr="00E773DC">
        <w:rPr>
          <w:lang w:val="fr-FR"/>
        </w:rPr>
        <w:t>4</w:t>
      </w:r>
      <w:r w:rsidR="00F72B31" w:rsidRPr="00F72B31">
        <w:rPr>
          <w:lang w:val="fr-FR"/>
        </w:rPr>
        <w:t>.</w:t>
      </w:r>
      <w:r w:rsidRPr="00E773DC">
        <w:rPr>
          <w:lang w:val="fr-FR"/>
        </w:rPr>
        <w:t>2</w:t>
      </w:r>
      <w:r w:rsidRPr="00E773DC">
        <w:rPr>
          <w:lang w:val="fr-FR"/>
        </w:rPr>
        <w:tab/>
        <w:t>Moteurs de rechange pour les véhicules en service</w:t>
      </w:r>
    </w:p>
    <w:p w14:paraId="682C4A8C" w14:textId="77777777" w:rsidR="00213792" w:rsidRPr="00E773DC" w:rsidRDefault="00213792" w:rsidP="00213792">
      <w:pPr>
        <w:spacing w:after="100"/>
        <w:ind w:left="2268" w:right="1134" w:hanging="1134"/>
        <w:jc w:val="both"/>
        <w:rPr>
          <w:spacing w:val="-2"/>
          <w:lang w:val="fr-FR"/>
        </w:rPr>
      </w:pPr>
      <w:r w:rsidRPr="00E773DC">
        <w:rPr>
          <w:spacing w:val="-2"/>
          <w:lang w:val="fr-FR"/>
        </w:rPr>
        <w:tab/>
        <w:t>Les Parties contractantes appliquant le présent Règlement peuvent continuer de délivrer des homologations à des moteurs qui satisfont aux dispositions du présent Règlement tel que modifié par toute série d</w:t>
      </w:r>
      <w:r w:rsidR="00B921D9">
        <w:rPr>
          <w:spacing w:val="-2"/>
          <w:lang w:val="fr-FR"/>
        </w:rPr>
        <w:t>’</w:t>
      </w:r>
      <w:r w:rsidRPr="00E773DC">
        <w:rPr>
          <w:spacing w:val="-2"/>
          <w:lang w:val="fr-FR"/>
        </w:rPr>
        <w:t>amendements antérieure ou à toute version du présent Règlement, à condition que ces moteurs soient destinés à être utilisés comme pièce de rechange pour un véhicule en service et auquel ces dispositions antérieures étaient applicables à la date d</w:t>
      </w:r>
      <w:r w:rsidR="00B921D9">
        <w:rPr>
          <w:spacing w:val="-2"/>
          <w:lang w:val="fr-FR"/>
        </w:rPr>
        <w:t>’</w:t>
      </w:r>
      <w:r w:rsidRPr="00E773DC">
        <w:rPr>
          <w:spacing w:val="-2"/>
          <w:lang w:val="fr-FR"/>
        </w:rPr>
        <w:t>entrée en service du véhicule</w:t>
      </w:r>
      <w:r w:rsidR="00F72B31" w:rsidRPr="00F72B31">
        <w:rPr>
          <w:spacing w:val="-2"/>
          <w:lang w:val="fr-FR"/>
        </w:rPr>
        <w:t>.</w:t>
      </w:r>
    </w:p>
    <w:p w14:paraId="0634B966" w14:textId="77777777" w:rsidR="00213792" w:rsidRPr="00E773DC" w:rsidRDefault="00213792" w:rsidP="00213792">
      <w:pPr>
        <w:spacing w:after="100"/>
        <w:ind w:left="2268" w:right="1134" w:hanging="1134"/>
        <w:jc w:val="both"/>
        <w:rPr>
          <w:spacing w:val="-4"/>
          <w:lang w:val="fr-FR"/>
        </w:rPr>
      </w:pPr>
      <w:r w:rsidRPr="00E773DC">
        <w:rPr>
          <w:spacing w:val="-4"/>
          <w:lang w:val="fr-FR"/>
        </w:rPr>
        <w:lastRenderedPageBreak/>
        <w:t>13</w:t>
      </w:r>
      <w:r w:rsidR="00F72B31" w:rsidRPr="00F72B31">
        <w:rPr>
          <w:spacing w:val="-4"/>
          <w:lang w:val="fr-FR"/>
        </w:rPr>
        <w:t>.</w:t>
      </w:r>
      <w:r w:rsidRPr="00E773DC">
        <w:rPr>
          <w:spacing w:val="-4"/>
          <w:lang w:val="fr-FR"/>
        </w:rPr>
        <w:t>4</w:t>
      </w:r>
      <w:r w:rsidR="00F72B31" w:rsidRPr="00F72B31">
        <w:rPr>
          <w:spacing w:val="-4"/>
          <w:lang w:val="fr-FR"/>
        </w:rPr>
        <w:t>.</w:t>
      </w:r>
      <w:r w:rsidRPr="00E773DC">
        <w:rPr>
          <w:spacing w:val="-4"/>
          <w:lang w:val="fr-FR"/>
        </w:rPr>
        <w:t>3</w:t>
      </w:r>
      <w:r w:rsidRPr="00E773DC">
        <w:rPr>
          <w:spacing w:val="-4"/>
          <w:lang w:val="fr-FR"/>
        </w:rPr>
        <w:tab/>
        <w:t>Aux fins de l</w:t>
      </w:r>
      <w:r w:rsidR="00B921D9">
        <w:rPr>
          <w:spacing w:val="-4"/>
          <w:lang w:val="fr-FR"/>
        </w:rPr>
        <w:t>’</w:t>
      </w:r>
      <w:r w:rsidRPr="00E773DC">
        <w:rPr>
          <w:spacing w:val="-4"/>
          <w:lang w:val="fr-FR"/>
        </w:rPr>
        <w:t>application des dispositions particulières énoncées aux paragraphes</w:t>
      </w:r>
      <w:r w:rsidR="000900BC">
        <w:rPr>
          <w:spacing w:val="-4"/>
          <w:lang w:val="fr-FR"/>
        </w:rPr>
        <w:t> </w:t>
      </w:r>
      <w:r w:rsidRPr="00E773DC">
        <w:rPr>
          <w:spacing w:val="-4"/>
          <w:lang w:val="fr-FR"/>
        </w:rPr>
        <w:t>13</w:t>
      </w:r>
      <w:r w:rsidR="00F72B31" w:rsidRPr="00F72B31">
        <w:rPr>
          <w:spacing w:val="-4"/>
          <w:lang w:val="fr-FR"/>
        </w:rPr>
        <w:t>.</w:t>
      </w:r>
      <w:r w:rsidRPr="00E773DC">
        <w:rPr>
          <w:spacing w:val="-4"/>
          <w:lang w:val="fr-FR"/>
        </w:rPr>
        <w:t>4</w:t>
      </w:r>
      <w:r w:rsidR="00F72B31" w:rsidRPr="00F72B31">
        <w:rPr>
          <w:spacing w:val="-4"/>
          <w:lang w:val="fr-FR"/>
        </w:rPr>
        <w:t>.</w:t>
      </w:r>
      <w:r w:rsidRPr="00E773DC">
        <w:rPr>
          <w:spacing w:val="-4"/>
          <w:lang w:val="fr-FR"/>
        </w:rPr>
        <w:t>1 ou 13</w:t>
      </w:r>
      <w:r w:rsidR="00F72B31" w:rsidRPr="00F72B31">
        <w:rPr>
          <w:spacing w:val="-4"/>
          <w:lang w:val="fr-FR"/>
        </w:rPr>
        <w:t>.</w:t>
      </w:r>
      <w:r w:rsidRPr="00E773DC">
        <w:rPr>
          <w:spacing w:val="-4"/>
          <w:lang w:val="fr-FR"/>
        </w:rPr>
        <w:t>4</w:t>
      </w:r>
      <w:r w:rsidR="00F72B31" w:rsidRPr="00F72B31">
        <w:rPr>
          <w:spacing w:val="-4"/>
          <w:lang w:val="fr-FR"/>
        </w:rPr>
        <w:t>.</w:t>
      </w:r>
      <w:r w:rsidRPr="00E773DC">
        <w:rPr>
          <w:spacing w:val="-4"/>
          <w:lang w:val="fr-FR"/>
        </w:rPr>
        <w:t>2, la fiche de communication d</w:t>
      </w:r>
      <w:r w:rsidR="00B921D9">
        <w:rPr>
          <w:spacing w:val="-4"/>
          <w:lang w:val="fr-FR"/>
        </w:rPr>
        <w:t>’</w:t>
      </w:r>
      <w:r w:rsidRPr="00E773DC">
        <w:rPr>
          <w:spacing w:val="-4"/>
          <w:lang w:val="fr-FR"/>
        </w:rPr>
        <w:t>homologation de type visée au paragraphe</w:t>
      </w:r>
      <w:r w:rsidR="000900BC">
        <w:rPr>
          <w:spacing w:val="-4"/>
          <w:lang w:val="fr-FR"/>
        </w:rPr>
        <w:t> </w:t>
      </w:r>
      <w:r w:rsidRPr="00E773DC">
        <w:rPr>
          <w:spacing w:val="-4"/>
          <w:lang w:val="fr-FR"/>
        </w:rPr>
        <w:t>1</w:t>
      </w:r>
      <w:r w:rsidR="00F72B31" w:rsidRPr="00F72B31">
        <w:rPr>
          <w:spacing w:val="-4"/>
          <w:lang w:val="fr-FR"/>
        </w:rPr>
        <w:t>.</w:t>
      </w:r>
      <w:r w:rsidRPr="00E773DC">
        <w:rPr>
          <w:spacing w:val="-4"/>
          <w:lang w:val="fr-FR"/>
        </w:rPr>
        <w:t>6 de l</w:t>
      </w:r>
      <w:r w:rsidR="00B921D9">
        <w:rPr>
          <w:spacing w:val="-4"/>
          <w:lang w:val="fr-FR"/>
        </w:rPr>
        <w:t>’</w:t>
      </w:r>
      <w:r w:rsidRPr="00E773DC">
        <w:rPr>
          <w:spacing w:val="-4"/>
          <w:lang w:val="fr-FR"/>
        </w:rPr>
        <w:t>additif aux annexes</w:t>
      </w:r>
      <w:r w:rsidR="000900BC">
        <w:rPr>
          <w:spacing w:val="-4"/>
          <w:lang w:val="fr-FR"/>
        </w:rPr>
        <w:t> </w:t>
      </w:r>
      <w:r w:rsidRPr="00E773DC">
        <w:rPr>
          <w:spacing w:val="-4"/>
          <w:lang w:val="fr-FR"/>
        </w:rPr>
        <w:t>2A et 2C doit contenir des renseignements concernant ces dispositions</w:t>
      </w:r>
      <w:r w:rsidR="00F72B31" w:rsidRPr="00F72B31">
        <w:rPr>
          <w:spacing w:val="-4"/>
          <w:lang w:val="fr-FR"/>
        </w:rPr>
        <w:t>.</w:t>
      </w:r>
    </w:p>
    <w:p w14:paraId="2FB93E0B" w14:textId="77777777" w:rsidR="00213792" w:rsidRPr="00E773DC" w:rsidRDefault="00213792" w:rsidP="00213792">
      <w:pPr>
        <w:spacing w:after="100"/>
        <w:ind w:left="2268" w:right="1134" w:hanging="1134"/>
        <w:jc w:val="both"/>
        <w:rPr>
          <w:lang w:val="fr-FR"/>
        </w:rPr>
      </w:pPr>
      <w:r w:rsidRPr="00E773DC">
        <w:rPr>
          <w:lang w:val="fr-FR"/>
        </w:rPr>
        <w:t>13</w:t>
      </w:r>
      <w:r w:rsidR="00F72B31" w:rsidRPr="00F72B31">
        <w:rPr>
          <w:lang w:val="fr-FR"/>
        </w:rPr>
        <w:t>.</w:t>
      </w:r>
      <w:r w:rsidRPr="00E773DC">
        <w:rPr>
          <w:lang w:val="fr-FR"/>
        </w:rPr>
        <w:t>4</w:t>
      </w:r>
      <w:r w:rsidR="00F72B31" w:rsidRPr="00F72B31">
        <w:rPr>
          <w:lang w:val="fr-FR"/>
        </w:rPr>
        <w:t>.</w:t>
      </w:r>
      <w:r w:rsidRPr="00E773DC">
        <w:rPr>
          <w:lang w:val="fr-FR"/>
        </w:rPr>
        <w:t>3</w:t>
      </w:r>
      <w:r w:rsidR="00F72B31" w:rsidRPr="00F72B31">
        <w:rPr>
          <w:lang w:val="fr-FR"/>
        </w:rPr>
        <w:t>.</w:t>
      </w:r>
      <w:r w:rsidRPr="00E773DC">
        <w:rPr>
          <w:lang w:val="fr-FR"/>
        </w:rPr>
        <w:t>1</w:t>
      </w:r>
      <w:r w:rsidRPr="00E773DC">
        <w:rPr>
          <w:lang w:val="fr-FR"/>
        </w:rPr>
        <w:tab/>
        <w:t>Dans le cas des homologations délivrées conformément aux dispositions particulières du paragraphe 13</w:t>
      </w:r>
      <w:r w:rsidR="00F72B31" w:rsidRPr="00F72B31">
        <w:rPr>
          <w:lang w:val="fr-FR"/>
        </w:rPr>
        <w:t>.</w:t>
      </w:r>
      <w:r w:rsidRPr="00E773DC">
        <w:rPr>
          <w:lang w:val="fr-FR"/>
        </w:rPr>
        <w:t>4</w:t>
      </w:r>
      <w:r w:rsidR="00F72B31" w:rsidRPr="00F72B31">
        <w:rPr>
          <w:lang w:val="fr-FR"/>
        </w:rPr>
        <w:t>.</w:t>
      </w:r>
      <w:r w:rsidRPr="00E773DC">
        <w:rPr>
          <w:lang w:val="fr-FR"/>
        </w:rPr>
        <w:t>1, la fiche de communication doit comporter en tête de la fiche le texte ci-après, dans lequel la mention</w:t>
      </w:r>
      <w:r w:rsidR="000900BC">
        <w:rPr>
          <w:lang w:val="fr-FR"/>
        </w:rPr>
        <w:t xml:space="preserve"> </w:t>
      </w:r>
      <w:r w:rsidR="000900BC" w:rsidRPr="000900BC">
        <w:t>“</w:t>
      </w:r>
      <w:r w:rsidRPr="00E773DC">
        <w:rPr>
          <w:lang w:val="fr-FR"/>
        </w:rPr>
        <w:t>xx</w:t>
      </w:r>
      <w:r w:rsidR="000900BC" w:rsidRPr="000900BC">
        <w:t>”</w:t>
      </w:r>
      <w:r w:rsidRPr="00E773DC">
        <w:rPr>
          <w:lang w:val="fr-FR"/>
        </w:rPr>
        <w:t xml:space="preserve"> est remplacée par le numéro pertinent de la série d</w:t>
      </w:r>
      <w:r w:rsidR="00B921D9">
        <w:rPr>
          <w:lang w:val="fr-FR"/>
        </w:rPr>
        <w:t>’</w:t>
      </w:r>
      <w:r w:rsidRPr="00E773DC">
        <w:rPr>
          <w:lang w:val="fr-FR"/>
        </w:rPr>
        <w:t>amendements :</w:t>
      </w:r>
    </w:p>
    <w:p w14:paraId="708E0A7A" w14:textId="77777777" w:rsidR="00213792" w:rsidRPr="008D6B59" w:rsidRDefault="00213792" w:rsidP="00213792">
      <w:pPr>
        <w:spacing w:after="120" w:line="240" w:lineRule="auto"/>
        <w:ind w:left="2268" w:hanging="1134"/>
        <w:jc w:val="both"/>
        <w:rPr>
          <w:lang w:val="fr-FR"/>
        </w:rPr>
      </w:pPr>
      <w:r w:rsidRPr="00E773DC">
        <w:rPr>
          <w:lang w:val="fr-FR"/>
        </w:rPr>
        <w:tab/>
      </w:r>
      <w:r w:rsidR="000900BC" w:rsidRPr="000900BC">
        <w:t>“</w:t>
      </w:r>
      <w:r w:rsidRPr="00E773DC">
        <w:rPr>
          <w:lang w:val="fr-FR"/>
        </w:rPr>
        <w:t xml:space="preserve">Moteur conforme à la série </w:t>
      </w:r>
      <w:r w:rsidRPr="008D6B59">
        <w:rPr>
          <w:lang w:val="fr-FR"/>
        </w:rPr>
        <w:t>d</w:t>
      </w:r>
      <w:r w:rsidR="00B921D9" w:rsidRPr="008D6B59">
        <w:rPr>
          <w:lang w:val="fr-FR"/>
        </w:rPr>
        <w:t>’</w:t>
      </w:r>
      <w:r w:rsidRPr="008D6B59">
        <w:rPr>
          <w:lang w:val="fr-FR"/>
        </w:rPr>
        <w:t xml:space="preserve">amendements xx du Règlement </w:t>
      </w:r>
      <w:r w:rsidR="000900BC" w:rsidRPr="008D6B59">
        <w:rPr>
          <w:lang w:val="fr-FR"/>
        </w:rPr>
        <w:t xml:space="preserve">ONU </w:t>
      </w:r>
      <w:r w:rsidRPr="008D6B59">
        <w:rPr>
          <w:lang w:val="fr-FR"/>
        </w:rPr>
        <w:t>n</w:t>
      </w:r>
      <w:r w:rsidRPr="008D6B59">
        <w:rPr>
          <w:vertAlign w:val="superscript"/>
          <w:lang w:val="fr-FR"/>
        </w:rPr>
        <w:t>o</w:t>
      </w:r>
      <w:r w:rsidRPr="008D6B59">
        <w:rPr>
          <w:lang w:val="fr-FR"/>
        </w:rPr>
        <w:t> 49</w:t>
      </w:r>
      <w:r w:rsidR="000900BC" w:rsidRPr="008D6B59">
        <w:t>”</w:t>
      </w:r>
      <w:r w:rsidR="00F72B31" w:rsidRPr="008D6B59">
        <w:rPr>
          <w:lang w:val="fr-FR"/>
        </w:rPr>
        <w:t>.</w:t>
      </w:r>
    </w:p>
    <w:p w14:paraId="1434EC66" w14:textId="77777777" w:rsidR="00213792" w:rsidRPr="008D6B59" w:rsidRDefault="00213792" w:rsidP="00213792">
      <w:pPr>
        <w:spacing w:after="100"/>
        <w:ind w:left="2268" w:right="1134" w:hanging="1134"/>
        <w:jc w:val="both"/>
        <w:rPr>
          <w:lang w:val="fr-FR"/>
        </w:rPr>
      </w:pPr>
      <w:r w:rsidRPr="008D6B59">
        <w:rPr>
          <w:lang w:val="fr-FR"/>
        </w:rPr>
        <w:t>13</w:t>
      </w:r>
      <w:r w:rsidR="00F72B31" w:rsidRPr="008D6B59">
        <w:rPr>
          <w:lang w:val="fr-FR"/>
        </w:rPr>
        <w:t>.</w:t>
      </w:r>
      <w:r w:rsidRPr="008D6B59">
        <w:rPr>
          <w:lang w:val="fr-FR"/>
        </w:rPr>
        <w:t>4</w:t>
      </w:r>
      <w:r w:rsidR="00F72B31" w:rsidRPr="008D6B59">
        <w:rPr>
          <w:lang w:val="fr-FR"/>
        </w:rPr>
        <w:t>.</w:t>
      </w:r>
      <w:r w:rsidRPr="008D6B59">
        <w:rPr>
          <w:lang w:val="fr-FR"/>
        </w:rPr>
        <w:t>3</w:t>
      </w:r>
      <w:r w:rsidR="00F72B31" w:rsidRPr="008D6B59">
        <w:rPr>
          <w:lang w:val="fr-FR"/>
        </w:rPr>
        <w:t>.</w:t>
      </w:r>
      <w:r w:rsidRPr="008D6B59">
        <w:rPr>
          <w:lang w:val="fr-FR"/>
        </w:rPr>
        <w:t>2</w:t>
      </w:r>
      <w:r w:rsidRPr="008D6B59">
        <w:rPr>
          <w:lang w:val="fr-FR"/>
        </w:rPr>
        <w:tab/>
        <w:t>Dans le cas des homologations délivrées conformément aux dispositions particulières du paragraphe 13</w:t>
      </w:r>
      <w:r w:rsidR="00F72B31" w:rsidRPr="008D6B59">
        <w:rPr>
          <w:lang w:val="fr-FR"/>
        </w:rPr>
        <w:t>.</w:t>
      </w:r>
      <w:r w:rsidRPr="008D6B59">
        <w:rPr>
          <w:lang w:val="fr-FR"/>
        </w:rPr>
        <w:t>4</w:t>
      </w:r>
      <w:r w:rsidR="00F72B31" w:rsidRPr="008D6B59">
        <w:rPr>
          <w:lang w:val="fr-FR"/>
        </w:rPr>
        <w:t>.</w:t>
      </w:r>
      <w:r w:rsidRPr="008D6B59">
        <w:rPr>
          <w:lang w:val="fr-FR"/>
        </w:rPr>
        <w:t xml:space="preserve">2, la fiche de communication doit comporter en tête le texte ci-après, dans lequel la mention </w:t>
      </w:r>
      <w:r w:rsidR="000900BC" w:rsidRPr="008D6B59">
        <w:t>“</w:t>
      </w:r>
      <w:r w:rsidRPr="008D6B59">
        <w:rPr>
          <w:lang w:val="fr-FR"/>
        </w:rPr>
        <w:t>xx</w:t>
      </w:r>
      <w:r w:rsidR="000900BC" w:rsidRPr="008D6B59">
        <w:t>”</w:t>
      </w:r>
      <w:r w:rsidRPr="008D6B59">
        <w:rPr>
          <w:lang w:val="fr-FR"/>
        </w:rPr>
        <w:t xml:space="preserve"> est remplacée par le numéro de la série d</w:t>
      </w:r>
      <w:r w:rsidR="00B921D9" w:rsidRPr="008D6B59">
        <w:rPr>
          <w:lang w:val="fr-FR"/>
        </w:rPr>
        <w:t>’</w:t>
      </w:r>
      <w:r w:rsidRPr="008D6B59">
        <w:rPr>
          <w:lang w:val="fr-FR"/>
        </w:rPr>
        <w:t>amendements pertinente :</w:t>
      </w:r>
    </w:p>
    <w:p w14:paraId="4D5DC51E" w14:textId="77777777" w:rsidR="00213792" w:rsidRPr="00E773DC" w:rsidRDefault="00213792" w:rsidP="00213792">
      <w:pPr>
        <w:spacing w:after="120" w:line="240" w:lineRule="auto"/>
        <w:ind w:left="2268" w:right="1134" w:hanging="1134"/>
        <w:jc w:val="both"/>
        <w:rPr>
          <w:spacing w:val="-4"/>
          <w:lang w:val="fr-FR"/>
        </w:rPr>
      </w:pPr>
      <w:r w:rsidRPr="008D6B59">
        <w:rPr>
          <w:lang w:val="fr-FR"/>
        </w:rPr>
        <w:tab/>
      </w:r>
      <w:r w:rsidR="000900BC" w:rsidRPr="008D6B59">
        <w:t>“</w:t>
      </w:r>
      <w:r w:rsidRPr="008D6B59">
        <w:rPr>
          <w:spacing w:val="-4"/>
          <w:lang w:val="fr-FR"/>
        </w:rPr>
        <w:t>Moteur de rechange conforme à la série xx d</w:t>
      </w:r>
      <w:r w:rsidR="00B921D9" w:rsidRPr="008D6B59">
        <w:rPr>
          <w:spacing w:val="-4"/>
          <w:lang w:val="fr-FR"/>
        </w:rPr>
        <w:t>’</w:t>
      </w:r>
      <w:r w:rsidRPr="008D6B59">
        <w:rPr>
          <w:spacing w:val="-4"/>
          <w:lang w:val="fr-FR"/>
        </w:rPr>
        <w:t xml:space="preserve">amendements au Règlement </w:t>
      </w:r>
      <w:r w:rsidR="000900BC" w:rsidRPr="008D6B59">
        <w:rPr>
          <w:spacing w:val="-4"/>
          <w:lang w:val="fr-FR"/>
        </w:rPr>
        <w:t xml:space="preserve">ONU </w:t>
      </w:r>
      <w:r w:rsidRPr="008D6B59">
        <w:rPr>
          <w:spacing w:val="-4"/>
          <w:lang w:val="fr-FR"/>
        </w:rPr>
        <w:t>n</w:t>
      </w:r>
      <w:r w:rsidRPr="008D6B59">
        <w:rPr>
          <w:spacing w:val="-4"/>
          <w:vertAlign w:val="superscript"/>
          <w:lang w:val="fr-FR"/>
        </w:rPr>
        <w:t>o</w:t>
      </w:r>
      <w:r w:rsidRPr="008D6B59">
        <w:rPr>
          <w:spacing w:val="-4"/>
          <w:lang w:val="fr-FR"/>
        </w:rPr>
        <w:t> 49</w:t>
      </w:r>
      <w:r w:rsidR="000900BC" w:rsidRPr="008D6B59">
        <w:t>”</w:t>
      </w:r>
      <w:r w:rsidR="00F72B31" w:rsidRPr="008D6B59">
        <w:rPr>
          <w:spacing w:val="-4"/>
          <w:lang w:val="fr-FR"/>
        </w:rPr>
        <w:t>.</w:t>
      </w:r>
    </w:p>
    <w:p w14:paraId="215FF55B" w14:textId="77777777" w:rsidR="00213792" w:rsidRPr="00E773DC" w:rsidRDefault="00213792" w:rsidP="00213792">
      <w:pPr>
        <w:pStyle w:val="SingleTxtG"/>
        <w:ind w:left="2268" w:hanging="1134"/>
        <w:rPr>
          <w:lang w:val="fr-FR"/>
        </w:rPr>
      </w:pPr>
      <w:r w:rsidRPr="00E773DC">
        <w:rPr>
          <w:rFonts w:eastAsia="MS Mincho"/>
          <w:lang w:val="fr-FR" w:eastAsia="fi-FI"/>
        </w:rPr>
        <w:t>13</w:t>
      </w:r>
      <w:r w:rsidR="00F72B31" w:rsidRPr="00F72B31">
        <w:rPr>
          <w:rFonts w:eastAsia="MS Mincho"/>
          <w:lang w:val="fr-FR" w:eastAsia="fi-FI"/>
        </w:rPr>
        <w:t>.</w:t>
      </w:r>
      <w:r w:rsidRPr="00E773DC">
        <w:rPr>
          <w:rFonts w:eastAsia="MS Mincho"/>
          <w:lang w:val="fr-FR" w:eastAsia="fi-FI"/>
        </w:rPr>
        <w:t>4</w:t>
      </w:r>
      <w:r w:rsidR="00F72B31" w:rsidRPr="00F72B31">
        <w:rPr>
          <w:rFonts w:eastAsia="MS Mincho"/>
          <w:lang w:val="fr-FR" w:eastAsia="fi-FI"/>
        </w:rPr>
        <w:t>.</w:t>
      </w:r>
      <w:r w:rsidRPr="00E773DC">
        <w:rPr>
          <w:rFonts w:eastAsia="MS Mincho"/>
          <w:lang w:val="fr-FR" w:eastAsia="fi-FI"/>
        </w:rPr>
        <w:t>4</w:t>
      </w:r>
      <w:r w:rsidRPr="00E773DC">
        <w:rPr>
          <w:rFonts w:eastAsia="MS Mincho"/>
          <w:lang w:val="fr-FR" w:eastAsia="fi-FI"/>
        </w:rPr>
        <w:tab/>
      </w:r>
      <w:r w:rsidRPr="00E773DC">
        <w:rPr>
          <w:rFonts w:eastAsia="MS Mincho"/>
          <w:lang w:val="fr-FR" w:eastAsia="fi-FI"/>
        </w:rPr>
        <w:tab/>
        <w:t>Il convient de ne pas appliquer rétroactivement les prescriptions modifiées relatives aux essais en service énoncées au paragraphe</w:t>
      </w:r>
      <w:r w:rsidR="000900BC">
        <w:rPr>
          <w:rFonts w:eastAsia="MS Mincho"/>
          <w:lang w:val="fr-FR" w:eastAsia="fi-FI"/>
        </w:rPr>
        <w:t> </w:t>
      </w:r>
      <w:r w:rsidRPr="00E773DC">
        <w:rPr>
          <w:rFonts w:eastAsia="MS Mincho"/>
          <w:lang w:val="fr-FR" w:eastAsia="fi-FI"/>
        </w:rPr>
        <w:t>9 aux moteurs et véhicules qui n</w:t>
      </w:r>
      <w:r w:rsidR="00B921D9">
        <w:rPr>
          <w:rFonts w:eastAsia="MS Mincho"/>
          <w:lang w:val="fr-FR" w:eastAsia="fi-FI"/>
        </w:rPr>
        <w:t>’</w:t>
      </w:r>
      <w:r w:rsidRPr="00E773DC">
        <w:rPr>
          <w:rFonts w:eastAsia="MS Mincho"/>
          <w:lang w:val="fr-FR" w:eastAsia="fi-FI"/>
        </w:rPr>
        <w:t>ont pas été homologués conformément à ces prescriptions</w:t>
      </w:r>
      <w:r w:rsidR="00F72B31" w:rsidRPr="00F72B31">
        <w:rPr>
          <w:rFonts w:eastAsia="MS Mincho"/>
          <w:lang w:val="fr-FR" w:eastAsia="fi-FI"/>
        </w:rPr>
        <w:t>.</w:t>
      </w:r>
      <w:r w:rsidRPr="00E773DC">
        <w:rPr>
          <w:rFonts w:eastAsia="MS Mincho"/>
          <w:lang w:val="fr-FR" w:eastAsia="fi-FI"/>
        </w:rPr>
        <w:t xml:space="preserve"> Par conséquent, les véhicules soumis à des essais en service conformément au paragraphe 9 doivent toujours être soumis à l</w:t>
      </w:r>
      <w:r w:rsidR="00B921D9">
        <w:rPr>
          <w:rFonts w:eastAsia="MS Mincho"/>
          <w:lang w:val="fr-FR" w:eastAsia="fi-FI"/>
        </w:rPr>
        <w:t>’</w:t>
      </w:r>
      <w:r w:rsidRPr="00E773DC">
        <w:rPr>
          <w:rFonts w:eastAsia="MS Mincho"/>
          <w:lang w:val="fr-FR" w:eastAsia="fi-FI"/>
        </w:rPr>
        <w:t>essai selon les dispositions énoncées pour la version concernée du présent Règlement, tel qu</w:t>
      </w:r>
      <w:r w:rsidR="00B921D9">
        <w:rPr>
          <w:rFonts w:eastAsia="MS Mincho"/>
          <w:lang w:val="fr-FR" w:eastAsia="fi-FI"/>
        </w:rPr>
        <w:t>’</w:t>
      </w:r>
      <w:r w:rsidRPr="00E773DC">
        <w:rPr>
          <w:rFonts w:eastAsia="MS Mincho"/>
          <w:lang w:val="fr-FR" w:eastAsia="fi-FI"/>
        </w:rPr>
        <w:t>applicable au moment de l</w:t>
      </w:r>
      <w:r w:rsidR="00B921D9">
        <w:rPr>
          <w:rFonts w:eastAsia="MS Mincho"/>
          <w:lang w:val="fr-FR" w:eastAsia="fi-FI"/>
        </w:rPr>
        <w:t>’</w:t>
      </w:r>
      <w:r w:rsidRPr="00E773DC">
        <w:rPr>
          <w:rFonts w:eastAsia="MS Mincho"/>
          <w:lang w:val="fr-FR" w:eastAsia="fi-FI"/>
        </w:rPr>
        <w:t>homologation de type</w:t>
      </w:r>
      <w:r w:rsidR="00F72B31" w:rsidRPr="00F72B31">
        <w:rPr>
          <w:rFonts w:eastAsia="MS Mincho"/>
          <w:lang w:val="fr-FR" w:eastAsia="fi-FI"/>
        </w:rPr>
        <w:t>.</w:t>
      </w:r>
      <w:r w:rsidRPr="00E773DC">
        <w:rPr>
          <w:rFonts w:eastAsia="MS Mincho"/>
          <w:lang w:val="fr-FR" w:eastAsia="fi-FI"/>
        </w:rPr>
        <w:t> </w:t>
      </w:r>
      <w:r w:rsidRPr="00E773DC">
        <w:rPr>
          <w:lang w:val="fr-FR"/>
        </w:rPr>
        <w:t>»</w:t>
      </w:r>
      <w:r w:rsidR="00F72B31" w:rsidRPr="00F72B31">
        <w:rPr>
          <w:lang w:val="fr-FR"/>
        </w:rPr>
        <w:t>.</w:t>
      </w:r>
    </w:p>
    <w:p w14:paraId="79545549" w14:textId="77777777" w:rsidR="00213792" w:rsidRPr="00E773DC" w:rsidRDefault="00213792" w:rsidP="00213792">
      <w:pPr>
        <w:pStyle w:val="SingleTxtG"/>
        <w:keepNext/>
        <w:rPr>
          <w:i/>
          <w:lang w:val="fr-FR"/>
        </w:rPr>
      </w:pPr>
      <w:r w:rsidRPr="00E773DC">
        <w:rPr>
          <w:i/>
          <w:lang w:val="fr-FR"/>
        </w:rPr>
        <w:t>Additif à l</w:t>
      </w:r>
      <w:r w:rsidR="00B921D9">
        <w:rPr>
          <w:i/>
          <w:lang w:val="fr-FR"/>
        </w:rPr>
        <w:t>’</w:t>
      </w:r>
      <w:r w:rsidRPr="00E773DC">
        <w:rPr>
          <w:i/>
          <w:lang w:val="fr-FR"/>
        </w:rPr>
        <w:t>annexe 2A,</w:t>
      </w:r>
    </w:p>
    <w:p w14:paraId="3358B852" w14:textId="77777777" w:rsidR="00213792" w:rsidRPr="00E773DC" w:rsidRDefault="00213792" w:rsidP="00213792">
      <w:pPr>
        <w:pStyle w:val="SingleTxtG"/>
        <w:keepNext/>
        <w:rPr>
          <w:lang w:val="fr-FR"/>
        </w:rPr>
      </w:pPr>
      <w:bookmarkStart w:id="13" w:name="_Hlk55672121"/>
      <w:r w:rsidRPr="00E773DC">
        <w:rPr>
          <w:i/>
          <w:lang w:val="fr-FR"/>
        </w:rPr>
        <w:t>Tableau 6a</w:t>
      </w:r>
      <w:r w:rsidRPr="000900BC">
        <w:rPr>
          <w:iCs/>
          <w:lang w:val="fr-FR"/>
        </w:rPr>
        <w:t>,</w:t>
      </w:r>
      <w:r w:rsidRPr="00E773DC">
        <w:rPr>
          <w:i/>
          <w:lang w:val="fr-FR"/>
        </w:rPr>
        <w:t xml:space="preserve"> </w:t>
      </w:r>
      <w:r w:rsidRPr="00E773DC">
        <w:rPr>
          <w:iCs/>
          <w:lang w:val="fr-FR"/>
        </w:rPr>
        <w:t>modifier l</w:t>
      </w:r>
      <w:r>
        <w:rPr>
          <w:iCs/>
          <w:lang w:val="fr-FR"/>
        </w:rPr>
        <w:t>a</w:t>
      </w:r>
      <w:r w:rsidRPr="00E773DC">
        <w:rPr>
          <w:iCs/>
          <w:lang w:val="fr-FR"/>
        </w:rPr>
        <w:t xml:space="preserve"> ligne concernant les résultats</w:t>
      </w:r>
      <w:r w:rsidRPr="00C54B9E">
        <w:rPr>
          <w:iCs/>
          <w:lang w:val="fr-FR"/>
        </w:rPr>
        <w:t xml:space="preserve"> (acceptation ou refus)</w:t>
      </w:r>
      <w:r>
        <w:rPr>
          <w:iCs/>
          <w:lang w:val="fr-FR"/>
        </w:rPr>
        <w:t xml:space="preserve"> </w:t>
      </w:r>
      <w:r w:rsidRPr="00E773DC">
        <w:rPr>
          <w:iCs/>
          <w:lang w:val="fr-FR"/>
        </w:rPr>
        <w:t xml:space="preserve">et ajouter une nouvelle note de bas de page libellée comme </w:t>
      </w:r>
      <w:r w:rsidRPr="00E773DC">
        <w:rPr>
          <w:lang w:val="fr-FR"/>
        </w:rPr>
        <w:t>suit :</w:t>
      </w:r>
    </w:p>
    <w:p w14:paraId="6DA403B8" w14:textId="77777777" w:rsidR="00213792" w:rsidRPr="00E773DC" w:rsidRDefault="00213792" w:rsidP="00213792">
      <w:pPr>
        <w:pStyle w:val="SingleTxtG"/>
        <w:keepNext/>
        <w:rPr>
          <w:lang w:val="fr-FR"/>
        </w:rPr>
      </w:pPr>
      <w:r w:rsidRPr="00E773DC">
        <w:rPr>
          <w:lang w:val="fr-FR"/>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88"/>
        <w:gridCol w:w="578"/>
        <w:gridCol w:w="652"/>
        <w:gridCol w:w="687"/>
        <w:gridCol w:w="617"/>
        <w:gridCol w:w="595"/>
        <w:gridCol w:w="1487"/>
      </w:tblGrid>
      <w:tr w:rsidR="00213792" w:rsidRPr="00E773DC" w14:paraId="791B9F5A" w14:textId="77777777" w:rsidTr="00742418">
        <w:tc>
          <w:tcPr>
            <w:tcW w:w="4244" w:type="dxa"/>
          </w:tcPr>
          <w:p w14:paraId="482F9331"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Résultats (acceptation ou refus)</w:t>
            </w:r>
            <w:r w:rsidRPr="00F72B31">
              <w:rPr>
                <w:i/>
                <w:sz w:val="18"/>
                <w:szCs w:val="18"/>
                <w:vertAlign w:val="superscript"/>
                <w:lang w:val="fr-FR"/>
              </w:rPr>
              <w:t>3</w:t>
            </w:r>
          </w:p>
        </w:tc>
        <w:tc>
          <w:tcPr>
            <w:tcW w:w="628" w:type="dxa"/>
          </w:tcPr>
          <w:p w14:paraId="642EA7A0"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CO</w:t>
            </w:r>
          </w:p>
        </w:tc>
        <w:tc>
          <w:tcPr>
            <w:tcW w:w="709" w:type="dxa"/>
          </w:tcPr>
          <w:p w14:paraId="6CE18362"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HCT</w:t>
            </w:r>
          </w:p>
        </w:tc>
        <w:tc>
          <w:tcPr>
            <w:tcW w:w="747" w:type="dxa"/>
          </w:tcPr>
          <w:p w14:paraId="227A33C6"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HCNM</w:t>
            </w:r>
          </w:p>
        </w:tc>
        <w:tc>
          <w:tcPr>
            <w:tcW w:w="671" w:type="dxa"/>
          </w:tcPr>
          <w:p w14:paraId="4520FF6E"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CH</w:t>
            </w:r>
            <w:r w:rsidRPr="000900BC">
              <w:rPr>
                <w:sz w:val="18"/>
                <w:szCs w:val="18"/>
                <w:vertAlign w:val="subscript"/>
                <w:lang w:val="fr-FR"/>
              </w:rPr>
              <w:t>4</w:t>
            </w:r>
          </w:p>
        </w:tc>
        <w:tc>
          <w:tcPr>
            <w:tcW w:w="647" w:type="dxa"/>
          </w:tcPr>
          <w:p w14:paraId="1DF40A43"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NO</w:t>
            </w:r>
            <w:r w:rsidRPr="000900BC">
              <w:rPr>
                <w:sz w:val="18"/>
                <w:szCs w:val="18"/>
                <w:vertAlign w:val="subscript"/>
                <w:lang w:val="fr-FR"/>
              </w:rPr>
              <w:t>x</w:t>
            </w:r>
          </w:p>
        </w:tc>
        <w:tc>
          <w:tcPr>
            <w:tcW w:w="1621" w:type="dxa"/>
          </w:tcPr>
          <w:p w14:paraId="363A6403" w14:textId="77777777" w:rsidR="00213792" w:rsidRPr="000900BC" w:rsidRDefault="00213792" w:rsidP="00742418">
            <w:pPr>
              <w:spacing w:before="60" w:after="60" w:line="220" w:lineRule="atLeast"/>
              <w:ind w:left="57" w:right="57"/>
              <w:rPr>
                <w:sz w:val="18"/>
                <w:szCs w:val="18"/>
                <w:lang w:val="fr-FR"/>
              </w:rPr>
            </w:pPr>
            <w:r w:rsidRPr="000900BC">
              <w:rPr>
                <w:strike/>
                <w:sz w:val="18"/>
                <w:szCs w:val="18"/>
                <w:lang w:val="fr-FR"/>
              </w:rPr>
              <w:t>Masse</w:t>
            </w:r>
            <w:r w:rsidRPr="000900BC">
              <w:rPr>
                <w:b/>
                <w:bCs/>
                <w:sz w:val="18"/>
                <w:szCs w:val="18"/>
                <w:lang w:val="fr-FR"/>
              </w:rPr>
              <w:t xml:space="preserve"> Nombre</w:t>
            </w:r>
            <w:r w:rsidR="000900BC">
              <w:rPr>
                <w:b/>
                <w:bCs/>
                <w:sz w:val="18"/>
                <w:szCs w:val="18"/>
                <w:lang w:val="fr-FR"/>
              </w:rPr>
              <w:t xml:space="preserve"> </w:t>
            </w:r>
            <w:r w:rsidRPr="000900BC">
              <w:rPr>
                <w:sz w:val="18"/>
                <w:szCs w:val="18"/>
                <w:lang w:val="fr-FR"/>
              </w:rPr>
              <w:br/>
              <w:t>de particules</w:t>
            </w:r>
          </w:p>
        </w:tc>
      </w:tr>
      <w:tr w:rsidR="00213792" w:rsidRPr="00FA4A44" w14:paraId="2867B081" w14:textId="77777777" w:rsidTr="00742418">
        <w:tc>
          <w:tcPr>
            <w:tcW w:w="4244" w:type="dxa"/>
          </w:tcPr>
          <w:p w14:paraId="33BD3EDA"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Facteur de conformité de la fenêtre de travail</w:t>
            </w:r>
            <w:r w:rsidRPr="00F72B31">
              <w:rPr>
                <w:b/>
                <w:bCs/>
                <w:i/>
                <w:iCs/>
                <w:sz w:val="18"/>
                <w:szCs w:val="18"/>
                <w:vertAlign w:val="superscript"/>
                <w:lang w:val="fr-FR"/>
              </w:rPr>
              <w:t>4</w:t>
            </w:r>
          </w:p>
        </w:tc>
        <w:tc>
          <w:tcPr>
            <w:tcW w:w="628" w:type="dxa"/>
          </w:tcPr>
          <w:p w14:paraId="7E20EE1C" w14:textId="77777777" w:rsidR="00213792" w:rsidRPr="000900BC" w:rsidRDefault="00213792" w:rsidP="00742418">
            <w:pPr>
              <w:spacing w:before="60" w:after="60" w:line="220" w:lineRule="atLeast"/>
              <w:ind w:left="57" w:right="57"/>
              <w:rPr>
                <w:sz w:val="18"/>
                <w:szCs w:val="18"/>
                <w:lang w:val="fr-FR"/>
              </w:rPr>
            </w:pPr>
          </w:p>
        </w:tc>
        <w:tc>
          <w:tcPr>
            <w:tcW w:w="709" w:type="dxa"/>
          </w:tcPr>
          <w:p w14:paraId="505B9BDC" w14:textId="77777777" w:rsidR="00213792" w:rsidRPr="000900BC" w:rsidRDefault="00213792" w:rsidP="00742418">
            <w:pPr>
              <w:spacing w:before="60" w:after="60" w:line="220" w:lineRule="atLeast"/>
              <w:ind w:left="57" w:right="57"/>
              <w:rPr>
                <w:sz w:val="18"/>
                <w:szCs w:val="18"/>
                <w:lang w:val="fr-FR"/>
              </w:rPr>
            </w:pPr>
          </w:p>
        </w:tc>
        <w:tc>
          <w:tcPr>
            <w:tcW w:w="747" w:type="dxa"/>
          </w:tcPr>
          <w:p w14:paraId="65773224" w14:textId="77777777" w:rsidR="00213792" w:rsidRPr="000900BC" w:rsidRDefault="00213792" w:rsidP="00742418">
            <w:pPr>
              <w:spacing w:before="60" w:after="60" w:line="220" w:lineRule="atLeast"/>
              <w:ind w:left="57" w:right="57"/>
              <w:rPr>
                <w:sz w:val="18"/>
                <w:szCs w:val="18"/>
                <w:lang w:val="fr-FR"/>
              </w:rPr>
            </w:pPr>
          </w:p>
        </w:tc>
        <w:tc>
          <w:tcPr>
            <w:tcW w:w="671" w:type="dxa"/>
          </w:tcPr>
          <w:p w14:paraId="28CB8C83" w14:textId="77777777" w:rsidR="00213792" w:rsidRPr="000900BC" w:rsidRDefault="00213792" w:rsidP="00742418">
            <w:pPr>
              <w:spacing w:before="60" w:after="60" w:line="220" w:lineRule="atLeast"/>
              <w:ind w:left="57" w:right="57"/>
              <w:rPr>
                <w:sz w:val="18"/>
                <w:szCs w:val="18"/>
                <w:lang w:val="fr-FR"/>
              </w:rPr>
            </w:pPr>
          </w:p>
        </w:tc>
        <w:tc>
          <w:tcPr>
            <w:tcW w:w="647" w:type="dxa"/>
          </w:tcPr>
          <w:p w14:paraId="23DA339D" w14:textId="77777777" w:rsidR="00213792" w:rsidRPr="000900BC" w:rsidRDefault="00213792" w:rsidP="00742418">
            <w:pPr>
              <w:spacing w:before="60" w:after="60" w:line="220" w:lineRule="atLeast"/>
              <w:ind w:left="57" w:right="57"/>
              <w:rPr>
                <w:sz w:val="18"/>
                <w:szCs w:val="18"/>
                <w:lang w:val="fr-FR"/>
              </w:rPr>
            </w:pPr>
          </w:p>
        </w:tc>
        <w:tc>
          <w:tcPr>
            <w:tcW w:w="1621" w:type="dxa"/>
          </w:tcPr>
          <w:p w14:paraId="04FAE674" w14:textId="77777777" w:rsidR="00213792" w:rsidRPr="000900BC" w:rsidRDefault="00213792" w:rsidP="00742418">
            <w:pPr>
              <w:spacing w:before="60" w:after="60" w:line="220" w:lineRule="atLeast"/>
              <w:ind w:left="57" w:right="57"/>
              <w:rPr>
                <w:sz w:val="18"/>
                <w:szCs w:val="18"/>
                <w:lang w:val="fr-FR"/>
              </w:rPr>
            </w:pPr>
          </w:p>
        </w:tc>
      </w:tr>
      <w:tr w:rsidR="00213792" w:rsidRPr="00FA4A44" w14:paraId="2B9E6005" w14:textId="77777777" w:rsidTr="00742418">
        <w:tc>
          <w:tcPr>
            <w:tcW w:w="4244" w:type="dxa"/>
          </w:tcPr>
          <w:p w14:paraId="2CEB1FD4"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Facteur de conformité de la fenêtre de masse de</w:t>
            </w:r>
            <w:r w:rsidR="000900BC">
              <w:rPr>
                <w:sz w:val="18"/>
                <w:szCs w:val="18"/>
                <w:lang w:val="fr-FR"/>
              </w:rPr>
              <w:t> </w:t>
            </w:r>
            <w:r w:rsidRPr="000900BC">
              <w:rPr>
                <w:sz w:val="18"/>
                <w:szCs w:val="18"/>
                <w:lang w:val="fr-FR"/>
              </w:rPr>
              <w:t>CO</w:t>
            </w:r>
            <w:r w:rsidRPr="000900BC">
              <w:rPr>
                <w:sz w:val="18"/>
                <w:szCs w:val="18"/>
                <w:vertAlign w:val="subscript"/>
                <w:lang w:val="fr-FR"/>
              </w:rPr>
              <w:t>2</w:t>
            </w:r>
            <w:r w:rsidRPr="000900BC">
              <w:rPr>
                <w:b/>
                <w:bCs/>
                <w:sz w:val="18"/>
                <w:szCs w:val="18"/>
                <w:vertAlign w:val="superscript"/>
                <w:lang w:val="fr-FR"/>
              </w:rPr>
              <w:t>4</w:t>
            </w:r>
          </w:p>
        </w:tc>
        <w:tc>
          <w:tcPr>
            <w:tcW w:w="628" w:type="dxa"/>
          </w:tcPr>
          <w:p w14:paraId="5330CF1F" w14:textId="77777777" w:rsidR="00213792" w:rsidRPr="000900BC" w:rsidRDefault="00213792" w:rsidP="00742418">
            <w:pPr>
              <w:spacing w:before="60" w:after="60" w:line="220" w:lineRule="atLeast"/>
              <w:ind w:left="57" w:right="57"/>
              <w:rPr>
                <w:sz w:val="18"/>
                <w:szCs w:val="18"/>
                <w:lang w:val="fr-FR"/>
              </w:rPr>
            </w:pPr>
          </w:p>
        </w:tc>
        <w:tc>
          <w:tcPr>
            <w:tcW w:w="709" w:type="dxa"/>
          </w:tcPr>
          <w:p w14:paraId="1286C091" w14:textId="77777777" w:rsidR="00213792" w:rsidRPr="000900BC" w:rsidRDefault="00213792" w:rsidP="00742418">
            <w:pPr>
              <w:spacing w:before="60" w:after="60" w:line="220" w:lineRule="atLeast"/>
              <w:ind w:left="57" w:right="57"/>
              <w:rPr>
                <w:sz w:val="18"/>
                <w:szCs w:val="18"/>
                <w:lang w:val="fr-FR"/>
              </w:rPr>
            </w:pPr>
          </w:p>
        </w:tc>
        <w:tc>
          <w:tcPr>
            <w:tcW w:w="747" w:type="dxa"/>
          </w:tcPr>
          <w:p w14:paraId="56962828" w14:textId="77777777" w:rsidR="00213792" w:rsidRPr="000900BC" w:rsidRDefault="00213792" w:rsidP="00742418">
            <w:pPr>
              <w:spacing w:before="60" w:after="60" w:line="220" w:lineRule="atLeast"/>
              <w:ind w:left="57" w:right="57"/>
              <w:rPr>
                <w:sz w:val="18"/>
                <w:szCs w:val="18"/>
                <w:lang w:val="fr-FR"/>
              </w:rPr>
            </w:pPr>
          </w:p>
        </w:tc>
        <w:tc>
          <w:tcPr>
            <w:tcW w:w="671" w:type="dxa"/>
          </w:tcPr>
          <w:p w14:paraId="598F6A2F" w14:textId="77777777" w:rsidR="00213792" w:rsidRPr="000900BC" w:rsidRDefault="00213792" w:rsidP="00742418">
            <w:pPr>
              <w:spacing w:before="60" w:after="60" w:line="220" w:lineRule="atLeast"/>
              <w:ind w:left="57" w:right="57"/>
              <w:rPr>
                <w:sz w:val="18"/>
                <w:szCs w:val="18"/>
                <w:lang w:val="fr-FR"/>
              </w:rPr>
            </w:pPr>
          </w:p>
        </w:tc>
        <w:tc>
          <w:tcPr>
            <w:tcW w:w="647" w:type="dxa"/>
          </w:tcPr>
          <w:p w14:paraId="6DE97D3D" w14:textId="77777777" w:rsidR="00213792" w:rsidRPr="000900BC" w:rsidRDefault="00213792" w:rsidP="00742418">
            <w:pPr>
              <w:spacing w:before="60" w:after="60" w:line="220" w:lineRule="atLeast"/>
              <w:ind w:left="57" w:right="57"/>
              <w:rPr>
                <w:sz w:val="18"/>
                <w:szCs w:val="18"/>
                <w:lang w:val="fr-FR"/>
              </w:rPr>
            </w:pPr>
          </w:p>
        </w:tc>
        <w:tc>
          <w:tcPr>
            <w:tcW w:w="1621" w:type="dxa"/>
          </w:tcPr>
          <w:p w14:paraId="31768A24" w14:textId="77777777" w:rsidR="00213792" w:rsidRPr="000900BC" w:rsidRDefault="00213792" w:rsidP="00742418">
            <w:pPr>
              <w:spacing w:before="60" w:after="60" w:line="220" w:lineRule="atLeast"/>
              <w:ind w:left="57" w:right="57"/>
              <w:rPr>
                <w:sz w:val="18"/>
                <w:szCs w:val="18"/>
                <w:lang w:val="fr-FR"/>
              </w:rPr>
            </w:pPr>
          </w:p>
        </w:tc>
      </w:tr>
    </w:tbl>
    <w:p w14:paraId="75D66A98" w14:textId="77777777" w:rsidR="00213792" w:rsidRPr="00E773DC" w:rsidRDefault="00213792" w:rsidP="00742418">
      <w:pPr>
        <w:pStyle w:val="SingleTxtG"/>
        <w:tabs>
          <w:tab w:val="left" w:pos="1701"/>
        </w:tabs>
        <w:spacing w:before="120" w:after="240"/>
        <w:ind w:firstLine="170"/>
        <w:rPr>
          <w:lang w:val="fr-FR"/>
        </w:rPr>
      </w:pPr>
      <w:r w:rsidRPr="00F72B31">
        <w:rPr>
          <w:rFonts w:eastAsia="MS Mincho"/>
          <w:b/>
          <w:bCs/>
          <w:i/>
          <w:iCs/>
          <w:noProof/>
          <w:color w:val="000000" w:themeColor="text1"/>
          <w:sz w:val="18"/>
          <w:szCs w:val="18"/>
          <w:vertAlign w:val="superscript"/>
          <w:lang w:val="fr-FR" w:eastAsia="fi-FI"/>
        </w:rPr>
        <w:t>4</w:t>
      </w:r>
      <w:r w:rsidR="00742418" w:rsidRPr="00F72B31">
        <w:rPr>
          <w:rFonts w:eastAsia="MS Mincho"/>
          <w:b/>
          <w:bCs/>
          <w:noProof/>
          <w:color w:val="000000" w:themeColor="text1"/>
          <w:sz w:val="18"/>
          <w:szCs w:val="18"/>
          <w:lang w:val="fr-FR" w:eastAsia="fi-FI"/>
        </w:rPr>
        <w:t xml:space="preserve"> </w:t>
      </w:r>
      <w:r w:rsidR="00742418" w:rsidRPr="00F72B31">
        <w:rPr>
          <w:b/>
          <w:bCs/>
          <w:sz w:val="18"/>
          <w:szCs w:val="18"/>
          <w:lang w:val="fr-FR"/>
        </w:rPr>
        <w:t xml:space="preserve"> </w:t>
      </w:r>
      <w:proofErr w:type="spellStart"/>
      <w:r w:rsidRPr="00F72B31">
        <w:rPr>
          <w:b/>
          <w:bCs/>
          <w:sz w:val="18"/>
          <w:szCs w:val="18"/>
          <w:lang w:val="fr-FR"/>
        </w:rPr>
        <w:t>CF</w:t>
      </w:r>
      <w:r w:rsidRPr="00F72B31">
        <w:rPr>
          <w:b/>
          <w:bCs/>
          <w:sz w:val="18"/>
          <w:szCs w:val="18"/>
          <w:vertAlign w:val="subscript"/>
          <w:lang w:val="fr-FR"/>
        </w:rPr>
        <w:t>final</w:t>
      </w:r>
      <w:proofErr w:type="spellEnd"/>
      <w:r w:rsidRPr="00F72B31">
        <w:rPr>
          <w:b/>
          <w:bCs/>
          <w:sz w:val="18"/>
          <w:szCs w:val="18"/>
          <w:lang w:val="fr-FR"/>
        </w:rPr>
        <w:t xml:space="preserve"> doit être indiqué, le cas échéant</w:t>
      </w:r>
      <w:r w:rsidR="00F72B31" w:rsidRPr="00F72B31">
        <w:rPr>
          <w:b/>
          <w:bCs/>
          <w:sz w:val="18"/>
          <w:szCs w:val="18"/>
          <w:lang w:val="fr-FR"/>
        </w:rPr>
        <w:t>.</w:t>
      </w:r>
      <w:r w:rsidRPr="00E773DC">
        <w:rPr>
          <w:b/>
          <w:bCs/>
          <w:lang w:val="fr-FR"/>
        </w:rPr>
        <w:t> </w:t>
      </w:r>
      <w:r w:rsidRPr="00E773DC">
        <w:rPr>
          <w:lang w:val="fr-FR"/>
        </w:rPr>
        <w:t>»</w:t>
      </w:r>
      <w:r w:rsidR="00F72B31" w:rsidRPr="00F72B31">
        <w:rPr>
          <w:lang w:val="fr-FR"/>
        </w:rPr>
        <w:t>.</w:t>
      </w:r>
    </w:p>
    <w:p w14:paraId="3DC42DB3" w14:textId="77777777" w:rsidR="00213792" w:rsidRPr="00E773DC" w:rsidRDefault="00213792" w:rsidP="00213792">
      <w:pPr>
        <w:pStyle w:val="SingleTxtG"/>
        <w:rPr>
          <w:i/>
          <w:lang w:val="fr-FR"/>
        </w:rPr>
      </w:pPr>
      <w:bookmarkStart w:id="14" w:name="_Hlk51842188"/>
      <w:bookmarkEnd w:id="13"/>
      <w:r w:rsidRPr="00E773DC">
        <w:rPr>
          <w:i/>
          <w:lang w:val="fr-FR"/>
        </w:rPr>
        <w:t>Additif à l</w:t>
      </w:r>
      <w:r w:rsidR="00B921D9">
        <w:rPr>
          <w:i/>
          <w:lang w:val="fr-FR"/>
        </w:rPr>
        <w:t>’</w:t>
      </w:r>
      <w:r w:rsidRPr="00E773DC">
        <w:rPr>
          <w:i/>
          <w:lang w:val="fr-FR"/>
        </w:rPr>
        <w:t>annexe 2C</w:t>
      </w:r>
      <w:bookmarkEnd w:id="14"/>
    </w:p>
    <w:p w14:paraId="2A19F5D5" w14:textId="77777777" w:rsidR="00213792" w:rsidRPr="00E773DC" w:rsidRDefault="00213792" w:rsidP="00213792">
      <w:pPr>
        <w:pStyle w:val="SingleTxtG"/>
        <w:keepNext/>
        <w:rPr>
          <w:lang w:val="fr-FR"/>
        </w:rPr>
      </w:pPr>
      <w:r w:rsidRPr="00E773DC">
        <w:rPr>
          <w:i/>
          <w:lang w:val="fr-FR"/>
        </w:rPr>
        <w:t>Tableau 6a</w:t>
      </w:r>
      <w:r w:rsidRPr="00742418">
        <w:rPr>
          <w:iCs/>
          <w:lang w:val="fr-FR"/>
        </w:rPr>
        <w:t>,</w:t>
      </w:r>
      <w:r w:rsidRPr="00E773DC">
        <w:rPr>
          <w:i/>
          <w:lang w:val="fr-FR"/>
        </w:rPr>
        <w:t xml:space="preserve"> </w:t>
      </w:r>
      <w:r w:rsidRPr="00E773DC">
        <w:rPr>
          <w:iCs/>
          <w:lang w:val="fr-FR"/>
        </w:rPr>
        <w:t xml:space="preserve">modifier </w:t>
      </w:r>
      <w:r w:rsidRPr="009139B5">
        <w:rPr>
          <w:iCs/>
          <w:lang w:val="fr-FR"/>
        </w:rPr>
        <w:t>la ligne concernant les résultats (acceptation ou refus) et ajouter une nouvelle note de bas de page libellée comme suit</w:t>
      </w:r>
      <w:r w:rsidRPr="00E773DC">
        <w:rPr>
          <w:lang w:val="fr-FR"/>
        </w:rPr>
        <w:t> :</w:t>
      </w:r>
    </w:p>
    <w:p w14:paraId="40F8C2FF" w14:textId="77777777" w:rsidR="00213792" w:rsidRPr="00E773DC" w:rsidRDefault="00213792" w:rsidP="00213792">
      <w:pPr>
        <w:pStyle w:val="SingleTxtG"/>
        <w:keepNext/>
        <w:rPr>
          <w:lang w:val="fr-FR"/>
        </w:rPr>
      </w:pPr>
      <w:r w:rsidRPr="00E773DC">
        <w:rPr>
          <w:lang w:val="fr-FR"/>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93"/>
        <w:gridCol w:w="577"/>
        <w:gridCol w:w="651"/>
        <w:gridCol w:w="686"/>
        <w:gridCol w:w="616"/>
        <w:gridCol w:w="595"/>
        <w:gridCol w:w="1486"/>
      </w:tblGrid>
      <w:tr w:rsidR="00213792" w:rsidRPr="00E773DC" w14:paraId="523FCB94" w14:textId="77777777" w:rsidTr="00742418">
        <w:tc>
          <w:tcPr>
            <w:tcW w:w="4252" w:type="dxa"/>
          </w:tcPr>
          <w:p w14:paraId="225D8994"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Résultats (acceptation ou refus)</w:t>
            </w:r>
            <w:r w:rsidRPr="00F72B31">
              <w:rPr>
                <w:i/>
                <w:sz w:val="18"/>
                <w:szCs w:val="18"/>
                <w:vertAlign w:val="superscript"/>
                <w:lang w:val="fr-FR"/>
              </w:rPr>
              <w:t>3</w:t>
            </w:r>
          </w:p>
        </w:tc>
        <w:tc>
          <w:tcPr>
            <w:tcW w:w="628" w:type="dxa"/>
          </w:tcPr>
          <w:p w14:paraId="7973BD8A"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CO</w:t>
            </w:r>
          </w:p>
        </w:tc>
        <w:tc>
          <w:tcPr>
            <w:tcW w:w="709" w:type="dxa"/>
          </w:tcPr>
          <w:p w14:paraId="683B61F9"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HCT</w:t>
            </w:r>
          </w:p>
        </w:tc>
        <w:tc>
          <w:tcPr>
            <w:tcW w:w="747" w:type="dxa"/>
          </w:tcPr>
          <w:p w14:paraId="492A7DA0"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HCNM</w:t>
            </w:r>
          </w:p>
        </w:tc>
        <w:tc>
          <w:tcPr>
            <w:tcW w:w="671" w:type="dxa"/>
          </w:tcPr>
          <w:p w14:paraId="7E2239BD"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CH</w:t>
            </w:r>
            <w:r w:rsidRPr="000900BC">
              <w:rPr>
                <w:sz w:val="18"/>
                <w:szCs w:val="18"/>
                <w:vertAlign w:val="subscript"/>
                <w:lang w:val="fr-FR"/>
              </w:rPr>
              <w:t>4</w:t>
            </w:r>
          </w:p>
        </w:tc>
        <w:tc>
          <w:tcPr>
            <w:tcW w:w="647" w:type="dxa"/>
          </w:tcPr>
          <w:p w14:paraId="020E06F8"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NO</w:t>
            </w:r>
            <w:r w:rsidRPr="000900BC">
              <w:rPr>
                <w:sz w:val="18"/>
                <w:szCs w:val="18"/>
                <w:vertAlign w:val="subscript"/>
                <w:lang w:val="fr-FR"/>
              </w:rPr>
              <w:t>x</w:t>
            </w:r>
          </w:p>
        </w:tc>
        <w:tc>
          <w:tcPr>
            <w:tcW w:w="1621" w:type="dxa"/>
          </w:tcPr>
          <w:p w14:paraId="6F2DFC95" w14:textId="77777777" w:rsidR="00213792" w:rsidRPr="000900BC" w:rsidRDefault="00213792" w:rsidP="00742418">
            <w:pPr>
              <w:spacing w:before="60" w:after="60" w:line="220" w:lineRule="atLeast"/>
              <w:ind w:left="57" w:right="57"/>
              <w:rPr>
                <w:sz w:val="18"/>
                <w:szCs w:val="18"/>
                <w:lang w:val="fr-FR"/>
              </w:rPr>
            </w:pPr>
            <w:r w:rsidRPr="000900BC">
              <w:rPr>
                <w:strike/>
                <w:sz w:val="18"/>
                <w:szCs w:val="18"/>
                <w:lang w:val="fr-FR"/>
              </w:rPr>
              <w:t>Masse</w:t>
            </w:r>
            <w:r w:rsidRPr="000900BC">
              <w:rPr>
                <w:b/>
                <w:bCs/>
                <w:sz w:val="18"/>
                <w:szCs w:val="18"/>
                <w:lang w:val="fr-FR"/>
              </w:rPr>
              <w:t xml:space="preserve"> Nombre</w:t>
            </w:r>
            <w:r w:rsidR="000900BC">
              <w:rPr>
                <w:b/>
                <w:bCs/>
                <w:sz w:val="18"/>
                <w:szCs w:val="18"/>
                <w:lang w:val="fr-FR"/>
              </w:rPr>
              <w:t xml:space="preserve"> </w:t>
            </w:r>
            <w:r w:rsidRPr="000900BC">
              <w:rPr>
                <w:sz w:val="18"/>
                <w:szCs w:val="18"/>
                <w:lang w:val="fr-FR"/>
              </w:rPr>
              <w:br/>
              <w:t>de particules</w:t>
            </w:r>
          </w:p>
        </w:tc>
      </w:tr>
      <w:tr w:rsidR="00213792" w:rsidRPr="00FA4A44" w14:paraId="36A96217" w14:textId="77777777" w:rsidTr="00742418">
        <w:tc>
          <w:tcPr>
            <w:tcW w:w="4252" w:type="dxa"/>
          </w:tcPr>
          <w:p w14:paraId="7471C973"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Facteur de conformité de la fenêtre de travail</w:t>
            </w:r>
            <w:r w:rsidRPr="00F72B31">
              <w:rPr>
                <w:b/>
                <w:bCs/>
                <w:i/>
                <w:iCs/>
                <w:sz w:val="18"/>
                <w:szCs w:val="18"/>
                <w:vertAlign w:val="superscript"/>
                <w:lang w:val="fr-FR"/>
              </w:rPr>
              <w:t>4</w:t>
            </w:r>
          </w:p>
        </w:tc>
        <w:tc>
          <w:tcPr>
            <w:tcW w:w="628" w:type="dxa"/>
          </w:tcPr>
          <w:p w14:paraId="4C4A3511" w14:textId="77777777" w:rsidR="00213792" w:rsidRPr="000900BC" w:rsidRDefault="00213792" w:rsidP="00742418">
            <w:pPr>
              <w:spacing w:before="60" w:after="60" w:line="220" w:lineRule="atLeast"/>
              <w:ind w:left="57" w:right="57"/>
              <w:rPr>
                <w:sz w:val="18"/>
                <w:szCs w:val="18"/>
                <w:lang w:val="fr-FR"/>
              </w:rPr>
            </w:pPr>
          </w:p>
        </w:tc>
        <w:tc>
          <w:tcPr>
            <w:tcW w:w="709" w:type="dxa"/>
          </w:tcPr>
          <w:p w14:paraId="55E2A36B" w14:textId="77777777" w:rsidR="00213792" w:rsidRPr="000900BC" w:rsidRDefault="00213792" w:rsidP="00742418">
            <w:pPr>
              <w:spacing w:before="60" w:after="60" w:line="220" w:lineRule="atLeast"/>
              <w:ind w:left="57" w:right="57"/>
              <w:rPr>
                <w:sz w:val="18"/>
                <w:szCs w:val="18"/>
                <w:lang w:val="fr-FR"/>
              </w:rPr>
            </w:pPr>
          </w:p>
        </w:tc>
        <w:tc>
          <w:tcPr>
            <w:tcW w:w="747" w:type="dxa"/>
          </w:tcPr>
          <w:p w14:paraId="72A41C54" w14:textId="77777777" w:rsidR="00213792" w:rsidRPr="000900BC" w:rsidRDefault="00213792" w:rsidP="00742418">
            <w:pPr>
              <w:spacing w:before="60" w:after="60" w:line="220" w:lineRule="atLeast"/>
              <w:ind w:left="57" w:right="57"/>
              <w:rPr>
                <w:sz w:val="18"/>
                <w:szCs w:val="18"/>
                <w:lang w:val="fr-FR"/>
              </w:rPr>
            </w:pPr>
          </w:p>
        </w:tc>
        <w:tc>
          <w:tcPr>
            <w:tcW w:w="671" w:type="dxa"/>
          </w:tcPr>
          <w:p w14:paraId="1CDFC844" w14:textId="77777777" w:rsidR="00213792" w:rsidRPr="000900BC" w:rsidRDefault="00213792" w:rsidP="00742418">
            <w:pPr>
              <w:spacing w:before="60" w:after="60" w:line="220" w:lineRule="atLeast"/>
              <w:ind w:left="57" w:right="57"/>
              <w:rPr>
                <w:sz w:val="18"/>
                <w:szCs w:val="18"/>
                <w:lang w:val="fr-FR"/>
              </w:rPr>
            </w:pPr>
          </w:p>
        </w:tc>
        <w:tc>
          <w:tcPr>
            <w:tcW w:w="647" w:type="dxa"/>
          </w:tcPr>
          <w:p w14:paraId="50129505" w14:textId="77777777" w:rsidR="00213792" w:rsidRPr="000900BC" w:rsidRDefault="00213792" w:rsidP="00742418">
            <w:pPr>
              <w:spacing w:before="60" w:after="60" w:line="220" w:lineRule="atLeast"/>
              <w:ind w:left="57" w:right="57"/>
              <w:rPr>
                <w:sz w:val="18"/>
                <w:szCs w:val="18"/>
                <w:lang w:val="fr-FR"/>
              </w:rPr>
            </w:pPr>
          </w:p>
        </w:tc>
        <w:tc>
          <w:tcPr>
            <w:tcW w:w="1621" w:type="dxa"/>
          </w:tcPr>
          <w:p w14:paraId="73EBC31F" w14:textId="77777777" w:rsidR="00213792" w:rsidRPr="000900BC" w:rsidRDefault="00213792" w:rsidP="00742418">
            <w:pPr>
              <w:spacing w:before="60" w:after="60" w:line="220" w:lineRule="atLeast"/>
              <w:ind w:left="57" w:right="57"/>
              <w:rPr>
                <w:sz w:val="18"/>
                <w:szCs w:val="18"/>
                <w:lang w:val="fr-FR"/>
              </w:rPr>
            </w:pPr>
          </w:p>
        </w:tc>
      </w:tr>
      <w:tr w:rsidR="00213792" w:rsidRPr="00FA4A44" w14:paraId="4FF9FEB8" w14:textId="77777777" w:rsidTr="00742418">
        <w:tc>
          <w:tcPr>
            <w:tcW w:w="4252" w:type="dxa"/>
          </w:tcPr>
          <w:p w14:paraId="1B24E081" w14:textId="77777777" w:rsidR="00213792" w:rsidRPr="000900BC" w:rsidRDefault="00213792" w:rsidP="00742418">
            <w:pPr>
              <w:spacing w:before="60" w:after="60" w:line="220" w:lineRule="atLeast"/>
              <w:ind w:left="57" w:right="57"/>
              <w:rPr>
                <w:sz w:val="18"/>
                <w:szCs w:val="18"/>
                <w:lang w:val="fr-FR"/>
              </w:rPr>
            </w:pPr>
            <w:r w:rsidRPr="000900BC">
              <w:rPr>
                <w:sz w:val="18"/>
                <w:szCs w:val="18"/>
                <w:lang w:val="fr-FR"/>
              </w:rPr>
              <w:t>Facteur de conformité de la fenêtre de masse de</w:t>
            </w:r>
            <w:r w:rsidR="000900BC">
              <w:rPr>
                <w:sz w:val="18"/>
                <w:szCs w:val="18"/>
                <w:lang w:val="fr-FR"/>
              </w:rPr>
              <w:t> </w:t>
            </w:r>
            <w:r w:rsidRPr="000900BC">
              <w:rPr>
                <w:sz w:val="18"/>
                <w:szCs w:val="18"/>
                <w:lang w:val="fr-FR"/>
              </w:rPr>
              <w:t>CO</w:t>
            </w:r>
            <w:r w:rsidRPr="000900BC">
              <w:rPr>
                <w:sz w:val="18"/>
                <w:szCs w:val="18"/>
                <w:vertAlign w:val="subscript"/>
                <w:lang w:val="fr-FR"/>
              </w:rPr>
              <w:t>2</w:t>
            </w:r>
            <w:r w:rsidRPr="000900BC">
              <w:rPr>
                <w:b/>
                <w:bCs/>
                <w:sz w:val="18"/>
                <w:szCs w:val="18"/>
                <w:vertAlign w:val="superscript"/>
                <w:lang w:val="fr-FR"/>
              </w:rPr>
              <w:t>4</w:t>
            </w:r>
          </w:p>
        </w:tc>
        <w:tc>
          <w:tcPr>
            <w:tcW w:w="628" w:type="dxa"/>
          </w:tcPr>
          <w:p w14:paraId="70C567A9" w14:textId="77777777" w:rsidR="00213792" w:rsidRPr="000900BC" w:rsidRDefault="00213792" w:rsidP="00742418">
            <w:pPr>
              <w:spacing w:before="60" w:after="60" w:line="220" w:lineRule="atLeast"/>
              <w:ind w:left="57" w:right="57"/>
              <w:rPr>
                <w:sz w:val="18"/>
                <w:szCs w:val="18"/>
                <w:lang w:val="fr-FR"/>
              </w:rPr>
            </w:pPr>
          </w:p>
        </w:tc>
        <w:tc>
          <w:tcPr>
            <w:tcW w:w="709" w:type="dxa"/>
          </w:tcPr>
          <w:p w14:paraId="6026C471" w14:textId="77777777" w:rsidR="00213792" w:rsidRPr="000900BC" w:rsidRDefault="00213792" w:rsidP="00742418">
            <w:pPr>
              <w:spacing w:before="60" w:after="60" w:line="220" w:lineRule="atLeast"/>
              <w:ind w:left="57" w:right="57"/>
              <w:rPr>
                <w:sz w:val="18"/>
                <w:szCs w:val="18"/>
                <w:lang w:val="fr-FR"/>
              </w:rPr>
            </w:pPr>
          </w:p>
        </w:tc>
        <w:tc>
          <w:tcPr>
            <w:tcW w:w="747" w:type="dxa"/>
          </w:tcPr>
          <w:p w14:paraId="4A4AFB3E" w14:textId="77777777" w:rsidR="00213792" w:rsidRPr="000900BC" w:rsidRDefault="00213792" w:rsidP="00742418">
            <w:pPr>
              <w:spacing w:before="60" w:after="60" w:line="220" w:lineRule="atLeast"/>
              <w:ind w:left="57" w:right="57"/>
              <w:rPr>
                <w:sz w:val="18"/>
                <w:szCs w:val="18"/>
                <w:lang w:val="fr-FR"/>
              </w:rPr>
            </w:pPr>
          </w:p>
        </w:tc>
        <w:tc>
          <w:tcPr>
            <w:tcW w:w="671" w:type="dxa"/>
          </w:tcPr>
          <w:p w14:paraId="39954B59" w14:textId="77777777" w:rsidR="00213792" w:rsidRPr="000900BC" w:rsidRDefault="00213792" w:rsidP="00742418">
            <w:pPr>
              <w:spacing w:before="60" w:after="60" w:line="220" w:lineRule="atLeast"/>
              <w:ind w:left="57" w:right="57"/>
              <w:rPr>
                <w:sz w:val="18"/>
                <w:szCs w:val="18"/>
                <w:lang w:val="fr-FR"/>
              </w:rPr>
            </w:pPr>
          </w:p>
        </w:tc>
        <w:tc>
          <w:tcPr>
            <w:tcW w:w="647" w:type="dxa"/>
          </w:tcPr>
          <w:p w14:paraId="2F78564C" w14:textId="77777777" w:rsidR="00213792" w:rsidRPr="000900BC" w:rsidRDefault="00213792" w:rsidP="00742418">
            <w:pPr>
              <w:spacing w:before="60" w:after="60" w:line="220" w:lineRule="atLeast"/>
              <w:ind w:left="57" w:right="57"/>
              <w:rPr>
                <w:sz w:val="18"/>
                <w:szCs w:val="18"/>
                <w:lang w:val="fr-FR"/>
              </w:rPr>
            </w:pPr>
          </w:p>
        </w:tc>
        <w:tc>
          <w:tcPr>
            <w:tcW w:w="1621" w:type="dxa"/>
          </w:tcPr>
          <w:p w14:paraId="36936798" w14:textId="77777777" w:rsidR="00213792" w:rsidRPr="000900BC" w:rsidRDefault="00213792" w:rsidP="00742418">
            <w:pPr>
              <w:spacing w:before="60" w:after="60" w:line="220" w:lineRule="atLeast"/>
              <w:ind w:left="57" w:right="57"/>
              <w:rPr>
                <w:sz w:val="18"/>
                <w:szCs w:val="18"/>
                <w:lang w:val="fr-FR"/>
              </w:rPr>
            </w:pPr>
          </w:p>
        </w:tc>
      </w:tr>
    </w:tbl>
    <w:p w14:paraId="44ADC424" w14:textId="77777777" w:rsidR="00213792" w:rsidRPr="00E773DC" w:rsidRDefault="00213792" w:rsidP="00742418">
      <w:pPr>
        <w:pStyle w:val="SingleTxtG"/>
        <w:tabs>
          <w:tab w:val="left" w:pos="1701"/>
        </w:tabs>
        <w:spacing w:before="120" w:after="240"/>
        <w:ind w:firstLine="170"/>
        <w:rPr>
          <w:lang w:val="fr-FR"/>
        </w:rPr>
      </w:pPr>
      <w:r w:rsidRPr="00F72B31">
        <w:rPr>
          <w:rFonts w:eastAsia="MS Mincho"/>
          <w:b/>
          <w:bCs/>
          <w:i/>
          <w:iCs/>
          <w:noProof/>
          <w:color w:val="000000" w:themeColor="text1"/>
          <w:sz w:val="18"/>
          <w:szCs w:val="18"/>
          <w:vertAlign w:val="superscript"/>
          <w:lang w:val="fr-FR" w:eastAsia="fi-FI"/>
        </w:rPr>
        <w:t>4</w:t>
      </w:r>
      <w:r w:rsidR="00742418" w:rsidRPr="00F72B31">
        <w:rPr>
          <w:rFonts w:eastAsia="MS Mincho"/>
          <w:b/>
          <w:bCs/>
          <w:noProof/>
          <w:color w:val="000000" w:themeColor="text1"/>
          <w:sz w:val="18"/>
          <w:szCs w:val="18"/>
          <w:lang w:val="fr-FR" w:eastAsia="fi-FI"/>
        </w:rPr>
        <w:t xml:space="preserve"> </w:t>
      </w:r>
      <w:r w:rsidR="00742418" w:rsidRPr="00F72B31">
        <w:rPr>
          <w:b/>
          <w:bCs/>
          <w:sz w:val="18"/>
          <w:szCs w:val="18"/>
          <w:lang w:val="fr-FR"/>
        </w:rPr>
        <w:t xml:space="preserve"> </w:t>
      </w:r>
      <w:proofErr w:type="spellStart"/>
      <w:r w:rsidRPr="00F72B31">
        <w:rPr>
          <w:b/>
          <w:bCs/>
          <w:sz w:val="18"/>
          <w:szCs w:val="18"/>
          <w:lang w:val="fr-FR"/>
        </w:rPr>
        <w:t>CF</w:t>
      </w:r>
      <w:r w:rsidRPr="00F72B31">
        <w:rPr>
          <w:b/>
          <w:bCs/>
          <w:sz w:val="18"/>
          <w:szCs w:val="18"/>
          <w:vertAlign w:val="subscript"/>
          <w:lang w:val="fr-FR"/>
        </w:rPr>
        <w:t>final</w:t>
      </w:r>
      <w:proofErr w:type="spellEnd"/>
      <w:r w:rsidRPr="00F72B31">
        <w:rPr>
          <w:b/>
          <w:bCs/>
          <w:sz w:val="18"/>
          <w:szCs w:val="18"/>
          <w:lang w:val="fr-FR"/>
        </w:rPr>
        <w:t xml:space="preserve"> doit être indiqué, le cas échéant</w:t>
      </w:r>
      <w:r w:rsidR="00F72B31" w:rsidRPr="00F72B31">
        <w:rPr>
          <w:b/>
          <w:bCs/>
          <w:lang w:val="fr-FR"/>
        </w:rPr>
        <w:t>.</w:t>
      </w:r>
      <w:r w:rsidRPr="00E773DC">
        <w:rPr>
          <w:b/>
          <w:bCs/>
          <w:lang w:val="fr-FR"/>
        </w:rPr>
        <w:t> </w:t>
      </w:r>
      <w:r w:rsidRPr="00E773DC">
        <w:rPr>
          <w:lang w:val="fr-FR"/>
        </w:rPr>
        <w:t>»</w:t>
      </w:r>
      <w:r w:rsidR="00F72B31" w:rsidRPr="00F72B31">
        <w:rPr>
          <w:lang w:val="fr-FR"/>
        </w:rPr>
        <w:t>.</w:t>
      </w:r>
    </w:p>
    <w:p w14:paraId="594A771D" w14:textId="77777777" w:rsidR="00213792" w:rsidRPr="00E773DC" w:rsidRDefault="00213792" w:rsidP="00106897">
      <w:pPr>
        <w:pStyle w:val="SingleTxtG"/>
        <w:keepNext/>
        <w:keepLines/>
        <w:rPr>
          <w:lang w:val="fr-FR" w:eastAsia="de-DE"/>
        </w:rPr>
      </w:pPr>
      <w:r w:rsidRPr="00E773DC">
        <w:rPr>
          <w:i/>
          <w:lang w:val="fr-FR" w:eastAsia="de-DE"/>
        </w:rPr>
        <w:lastRenderedPageBreak/>
        <w:t>Ajouter une nouvelle annexe 2D</w:t>
      </w:r>
      <w:r w:rsidRPr="000900BC">
        <w:rPr>
          <w:iCs/>
          <w:lang w:val="fr-FR" w:eastAsia="de-DE"/>
        </w:rPr>
        <w:t>,</w:t>
      </w:r>
      <w:r w:rsidRPr="00E773DC">
        <w:rPr>
          <w:i/>
          <w:lang w:val="fr-FR" w:eastAsia="de-DE"/>
        </w:rPr>
        <w:t xml:space="preserve"> </w:t>
      </w:r>
      <w:r w:rsidRPr="00E773DC">
        <w:rPr>
          <w:iCs/>
          <w:lang w:val="fr-FR" w:eastAsia="de-DE"/>
        </w:rPr>
        <w:t>libellée comme suit :</w:t>
      </w:r>
    </w:p>
    <w:p w14:paraId="18C86BCE" w14:textId="77777777" w:rsidR="00213792" w:rsidRPr="00E773DC" w:rsidRDefault="00213792" w:rsidP="00106897">
      <w:pPr>
        <w:pStyle w:val="SingleTxtG"/>
        <w:keepNext/>
        <w:keepLines/>
        <w:spacing w:before="360" w:after="240"/>
        <w:ind w:hanging="1134"/>
        <w:rPr>
          <w:b/>
          <w:bCs/>
          <w:sz w:val="28"/>
          <w:szCs w:val="28"/>
          <w:lang w:val="fr-FR"/>
        </w:rPr>
      </w:pPr>
      <w:r w:rsidRPr="00E773DC">
        <w:rPr>
          <w:lang w:val="fr-FR"/>
        </w:rPr>
        <w:t>« </w:t>
      </w:r>
      <w:r w:rsidRPr="00E773DC">
        <w:rPr>
          <w:b/>
          <w:bCs/>
          <w:sz w:val="28"/>
          <w:szCs w:val="28"/>
          <w:lang w:val="fr-FR"/>
        </w:rPr>
        <w:t>Annexe 2D</w:t>
      </w:r>
    </w:p>
    <w:p w14:paraId="5BDC7043" w14:textId="77777777" w:rsidR="00213792" w:rsidRPr="00E773DC" w:rsidRDefault="00213792" w:rsidP="00106897">
      <w:pPr>
        <w:pStyle w:val="SingleTxtG"/>
        <w:keepNext/>
        <w:keepLines/>
        <w:rPr>
          <w:b/>
          <w:bCs/>
          <w:sz w:val="28"/>
          <w:szCs w:val="28"/>
          <w:lang w:val="fr-FR" w:eastAsia="de-DE"/>
        </w:rPr>
      </w:pPr>
      <w:r w:rsidRPr="00E773DC">
        <w:rPr>
          <w:b/>
          <w:bCs/>
          <w:sz w:val="28"/>
          <w:szCs w:val="28"/>
          <w:lang w:val="fr-FR" w:eastAsia="de-DE"/>
        </w:rPr>
        <w:t>Dossier d</w:t>
      </w:r>
      <w:r w:rsidR="00B921D9">
        <w:rPr>
          <w:b/>
          <w:bCs/>
          <w:sz w:val="28"/>
          <w:szCs w:val="28"/>
          <w:lang w:val="fr-FR" w:eastAsia="de-DE"/>
        </w:rPr>
        <w:t>’</w:t>
      </w:r>
      <w:r w:rsidRPr="00E773DC">
        <w:rPr>
          <w:b/>
          <w:bCs/>
          <w:sz w:val="28"/>
          <w:szCs w:val="28"/>
          <w:lang w:val="fr-FR" w:eastAsia="de-DE"/>
        </w:rPr>
        <w:t>information sur l</w:t>
      </w:r>
      <w:r w:rsidR="00B921D9">
        <w:rPr>
          <w:b/>
          <w:bCs/>
          <w:sz w:val="28"/>
          <w:szCs w:val="28"/>
          <w:lang w:val="fr-FR" w:eastAsia="de-DE"/>
        </w:rPr>
        <w:t>’</w:t>
      </w:r>
      <w:r w:rsidRPr="00E773DC">
        <w:rPr>
          <w:b/>
          <w:bCs/>
          <w:sz w:val="28"/>
          <w:szCs w:val="28"/>
          <w:lang w:val="fr-FR" w:eastAsia="de-DE"/>
        </w:rPr>
        <w:t>AES</w:t>
      </w:r>
    </w:p>
    <w:p w14:paraId="32CB9D8C" w14:textId="77777777" w:rsidR="00213792" w:rsidRPr="00E773DC" w:rsidRDefault="00213792" w:rsidP="00106897">
      <w:pPr>
        <w:pStyle w:val="SingleTxtG"/>
        <w:keepNext/>
        <w:keepLines/>
        <w:ind w:left="2268"/>
        <w:rPr>
          <w:b/>
          <w:bCs/>
          <w:noProof/>
          <w:lang w:val="fr-FR"/>
        </w:rPr>
      </w:pPr>
      <w:r w:rsidRPr="00E773DC">
        <w:rPr>
          <w:b/>
          <w:bCs/>
          <w:noProof/>
          <w:lang w:val="fr-FR"/>
        </w:rPr>
        <w:t>Le dossier d</w:t>
      </w:r>
      <w:r w:rsidR="00B921D9">
        <w:rPr>
          <w:b/>
          <w:bCs/>
          <w:noProof/>
          <w:lang w:val="fr-FR"/>
        </w:rPr>
        <w:t>’</w:t>
      </w:r>
      <w:r w:rsidRPr="00E773DC">
        <w:rPr>
          <w:b/>
          <w:bCs/>
          <w:noProof/>
          <w:lang w:val="fr-FR"/>
        </w:rPr>
        <w:t>information sur la</w:t>
      </w:r>
      <w:r w:rsidRPr="00E773DC">
        <w:rPr>
          <w:lang w:val="fr-FR"/>
        </w:rPr>
        <w:t xml:space="preserve"> </w:t>
      </w:r>
      <w:r w:rsidRPr="00E773DC">
        <w:rPr>
          <w:b/>
          <w:bCs/>
          <w:noProof/>
          <w:lang w:val="fr-FR"/>
        </w:rPr>
        <w:t>stratégie auxiliaire de limitation des émissions (AES) doit comprendre les éléments suivants :</w:t>
      </w:r>
    </w:p>
    <w:p w14:paraId="4867CA38" w14:textId="77777777" w:rsidR="00213792" w:rsidRPr="00E773DC" w:rsidRDefault="00213792" w:rsidP="00106897">
      <w:pPr>
        <w:pStyle w:val="SingleTxtG"/>
        <w:keepNext/>
        <w:keepLines/>
        <w:ind w:left="2268"/>
        <w:rPr>
          <w:b/>
          <w:bCs/>
          <w:noProof/>
          <w:lang w:val="fr-FR"/>
        </w:rPr>
      </w:pPr>
      <w:r w:rsidRPr="00E773DC">
        <w:rPr>
          <w:b/>
          <w:bCs/>
          <w:noProof/>
          <w:lang w:val="fr-FR"/>
        </w:rPr>
        <w:tab/>
        <w:t>Informations sur l</w:t>
      </w:r>
      <w:r w:rsidR="00B921D9">
        <w:rPr>
          <w:b/>
          <w:bCs/>
          <w:noProof/>
          <w:lang w:val="fr-FR"/>
        </w:rPr>
        <w:t>’</w:t>
      </w:r>
      <w:r w:rsidRPr="00E773DC">
        <w:rPr>
          <w:b/>
          <w:bCs/>
          <w:noProof/>
          <w:lang w:val="fr-FR"/>
        </w:rPr>
        <w:t>ensemble de l</w:t>
      </w:r>
      <w:r w:rsidR="00B921D9">
        <w:rPr>
          <w:b/>
          <w:bCs/>
          <w:noProof/>
          <w:lang w:val="fr-FR"/>
        </w:rPr>
        <w:t>’</w:t>
      </w:r>
      <w:r w:rsidRPr="00E773DC">
        <w:rPr>
          <w:b/>
          <w:bCs/>
          <w:noProof/>
          <w:lang w:val="fr-FR"/>
        </w:rPr>
        <w:t>AES :</w:t>
      </w:r>
    </w:p>
    <w:p w14:paraId="50C58F53" w14:textId="77777777" w:rsidR="00213792" w:rsidRPr="00E773DC" w:rsidRDefault="00213792" w:rsidP="00213792">
      <w:pPr>
        <w:pStyle w:val="SingleTxtG"/>
        <w:ind w:left="2835" w:hanging="567"/>
        <w:rPr>
          <w:b/>
          <w:bCs/>
          <w:noProof/>
          <w:lang w:val="fr-FR"/>
        </w:rPr>
      </w:pPr>
      <w:r w:rsidRPr="00E773DC">
        <w:rPr>
          <w:b/>
          <w:bCs/>
          <w:noProof/>
          <w:lang w:val="fr-FR"/>
        </w:rPr>
        <w:t>a)</w:t>
      </w:r>
      <w:r w:rsidRPr="00E773DC">
        <w:rPr>
          <w:b/>
          <w:bCs/>
          <w:noProof/>
          <w:lang w:val="fr-FR"/>
        </w:rPr>
        <w:tab/>
        <w:t xml:space="preserve">Une déclaration du constructeur selon laquelle le moteur </w:t>
      </w:r>
      <w:r>
        <w:rPr>
          <w:b/>
          <w:bCs/>
          <w:noProof/>
          <w:lang w:val="fr-FR"/>
        </w:rPr>
        <w:t>(</w:t>
      </w:r>
      <w:r w:rsidRPr="00E773DC">
        <w:rPr>
          <w:b/>
          <w:bCs/>
          <w:noProof/>
          <w:lang w:val="fr-FR"/>
        </w:rPr>
        <w:t>ou la famille de moteurs</w:t>
      </w:r>
      <w:r>
        <w:rPr>
          <w:b/>
          <w:bCs/>
          <w:noProof/>
          <w:lang w:val="fr-FR"/>
        </w:rPr>
        <w:t>)</w:t>
      </w:r>
      <w:r w:rsidRPr="00E773DC">
        <w:rPr>
          <w:b/>
          <w:bCs/>
          <w:noProof/>
          <w:lang w:val="fr-FR"/>
        </w:rPr>
        <w:t xml:space="preserve"> homologué en tant qu</w:t>
      </w:r>
      <w:r w:rsidR="00B921D9">
        <w:rPr>
          <w:b/>
          <w:bCs/>
          <w:noProof/>
          <w:lang w:val="fr-FR"/>
        </w:rPr>
        <w:t>’</w:t>
      </w:r>
      <w:r w:rsidRPr="00E773DC">
        <w:rPr>
          <w:b/>
          <w:bCs/>
          <w:noProof/>
          <w:lang w:val="fr-FR"/>
        </w:rPr>
        <w:t>entité technique distincte, ou le véhicule équipé d</w:t>
      </w:r>
      <w:r w:rsidR="00B921D9">
        <w:rPr>
          <w:b/>
          <w:bCs/>
          <w:noProof/>
          <w:lang w:val="fr-FR"/>
        </w:rPr>
        <w:t>’</w:t>
      </w:r>
      <w:r w:rsidRPr="00E773DC">
        <w:rPr>
          <w:b/>
          <w:bCs/>
          <w:noProof/>
          <w:lang w:val="fr-FR"/>
        </w:rPr>
        <w:t>un moteur homologué en ce qui concerne les émissions, ou le type de véhicule homologué en ce qui concerne les émissions, ne comprend aucune stratégie d</w:t>
      </w:r>
      <w:r w:rsidR="00B921D9">
        <w:rPr>
          <w:b/>
          <w:bCs/>
          <w:noProof/>
          <w:lang w:val="fr-FR"/>
        </w:rPr>
        <w:t>’</w:t>
      </w:r>
      <w:r w:rsidRPr="00E773DC">
        <w:rPr>
          <w:b/>
          <w:bCs/>
          <w:noProof/>
          <w:lang w:val="fr-FR"/>
        </w:rPr>
        <w:t>invalidation ;</w:t>
      </w:r>
    </w:p>
    <w:p w14:paraId="461839D8" w14:textId="77777777" w:rsidR="00213792" w:rsidRPr="00E773DC" w:rsidRDefault="00213792" w:rsidP="00213792">
      <w:pPr>
        <w:pStyle w:val="SingleTxtG"/>
        <w:ind w:left="2835" w:hanging="567"/>
        <w:rPr>
          <w:b/>
          <w:bCs/>
          <w:noProof/>
          <w:lang w:val="fr-FR"/>
        </w:rPr>
      </w:pPr>
      <w:r w:rsidRPr="00E773DC">
        <w:rPr>
          <w:b/>
          <w:bCs/>
          <w:noProof/>
          <w:lang w:val="fr-FR"/>
        </w:rPr>
        <w:t>b)</w:t>
      </w:r>
      <w:r w:rsidRPr="00E773DC">
        <w:rPr>
          <w:b/>
          <w:bCs/>
          <w:noProof/>
          <w:lang w:val="fr-FR"/>
        </w:rPr>
        <w:tab/>
        <w:t>Une description du moteur et des stratégies et dispositifs de réduction des émissions utilisés, qu</w:t>
      </w:r>
      <w:r w:rsidR="00B921D9">
        <w:rPr>
          <w:b/>
          <w:bCs/>
          <w:noProof/>
          <w:lang w:val="fr-FR"/>
        </w:rPr>
        <w:t>’</w:t>
      </w:r>
      <w:r w:rsidRPr="00E773DC">
        <w:rPr>
          <w:b/>
          <w:bCs/>
          <w:noProof/>
          <w:lang w:val="fr-FR"/>
        </w:rPr>
        <w:t>ils soient logiciels ou matériels, et de toute situation dans laquelle ces stratégies et dispositifs ne fonctionneraient pas comme ils le font lors des essais prévus pour l</w:t>
      </w:r>
      <w:r w:rsidR="00B921D9">
        <w:rPr>
          <w:b/>
          <w:bCs/>
          <w:noProof/>
          <w:lang w:val="fr-FR"/>
        </w:rPr>
        <w:t>’</w:t>
      </w:r>
      <w:r w:rsidRPr="00E773DC">
        <w:rPr>
          <w:b/>
          <w:bCs/>
          <w:noProof/>
          <w:lang w:val="fr-FR"/>
        </w:rPr>
        <w:t>homologation de type ;</w:t>
      </w:r>
    </w:p>
    <w:p w14:paraId="2A6FF361" w14:textId="77777777" w:rsidR="00213792" w:rsidRPr="00E773DC" w:rsidRDefault="00213792" w:rsidP="00213792">
      <w:pPr>
        <w:pStyle w:val="SingleTxtG"/>
        <w:ind w:left="2835" w:hanging="567"/>
        <w:rPr>
          <w:b/>
          <w:bCs/>
          <w:noProof/>
          <w:lang w:val="fr-FR"/>
        </w:rPr>
      </w:pPr>
      <w:r w:rsidRPr="00E773DC">
        <w:rPr>
          <w:b/>
          <w:bCs/>
          <w:noProof/>
          <w:lang w:val="fr-FR"/>
        </w:rPr>
        <w:t>c)</w:t>
      </w:r>
      <w:r w:rsidRPr="00E773DC">
        <w:rPr>
          <w:b/>
          <w:bCs/>
          <w:noProof/>
          <w:lang w:val="fr-FR"/>
        </w:rPr>
        <w:tab/>
        <w:t>Une déclaration des versions des logiciels utilisées pour commander l</w:t>
      </w:r>
      <w:r w:rsidR="00B921D9">
        <w:rPr>
          <w:b/>
          <w:bCs/>
          <w:noProof/>
          <w:lang w:val="fr-FR"/>
        </w:rPr>
        <w:t>’</w:t>
      </w:r>
      <w:r w:rsidRPr="00E773DC">
        <w:rPr>
          <w:b/>
          <w:bCs/>
          <w:noProof/>
          <w:lang w:val="fr-FR"/>
        </w:rPr>
        <w:t>AES et la stratégie de base de limitation des émissions (BES), y compris les sommes de contrôle appropriées de ces versions des logiciels et les instructions à l</w:t>
      </w:r>
      <w:r w:rsidR="00B921D9">
        <w:rPr>
          <w:b/>
          <w:bCs/>
          <w:noProof/>
          <w:lang w:val="fr-FR"/>
        </w:rPr>
        <w:t>’</w:t>
      </w:r>
      <w:r w:rsidRPr="00E773DC">
        <w:rPr>
          <w:b/>
          <w:bCs/>
          <w:noProof/>
          <w:lang w:val="fr-FR"/>
        </w:rPr>
        <w:t>intention des autorités concernant la manière de lire ces sommes de contrôle ; cette déclaration est mise à jour et envoyée à l</w:t>
      </w:r>
      <w:r w:rsidR="00B921D9">
        <w:rPr>
          <w:b/>
          <w:bCs/>
          <w:noProof/>
          <w:lang w:val="fr-FR"/>
        </w:rPr>
        <w:t>’</w:t>
      </w:r>
      <w:r w:rsidRPr="00E773DC">
        <w:rPr>
          <w:b/>
          <w:bCs/>
          <w:noProof/>
          <w:lang w:val="fr-FR"/>
        </w:rPr>
        <w:t>autorité d</w:t>
      </w:r>
      <w:r w:rsidR="00B921D9">
        <w:rPr>
          <w:b/>
          <w:bCs/>
          <w:noProof/>
          <w:lang w:val="fr-FR"/>
        </w:rPr>
        <w:t>’</w:t>
      </w:r>
      <w:r w:rsidRPr="00E773DC">
        <w:rPr>
          <w:b/>
          <w:bCs/>
          <w:noProof/>
          <w:lang w:val="fr-FR"/>
        </w:rPr>
        <w:t>homologation qui détient le dossier d</w:t>
      </w:r>
      <w:r w:rsidR="00B921D9">
        <w:rPr>
          <w:b/>
          <w:bCs/>
          <w:noProof/>
          <w:lang w:val="fr-FR"/>
        </w:rPr>
        <w:t>’</w:t>
      </w:r>
      <w:r w:rsidRPr="00E773DC">
        <w:rPr>
          <w:b/>
          <w:bCs/>
          <w:noProof/>
          <w:lang w:val="fr-FR"/>
        </w:rPr>
        <w:t>information chaque fois qu</w:t>
      </w:r>
      <w:r w:rsidR="00B921D9">
        <w:rPr>
          <w:b/>
          <w:bCs/>
          <w:noProof/>
          <w:lang w:val="fr-FR"/>
        </w:rPr>
        <w:t>’</w:t>
      </w:r>
      <w:r w:rsidRPr="00E773DC">
        <w:rPr>
          <w:b/>
          <w:bCs/>
          <w:noProof/>
          <w:lang w:val="fr-FR"/>
        </w:rPr>
        <w:t>une nouvelle version d</w:t>
      </w:r>
      <w:r w:rsidR="00B921D9">
        <w:rPr>
          <w:b/>
          <w:bCs/>
          <w:noProof/>
          <w:lang w:val="fr-FR"/>
        </w:rPr>
        <w:t>’</w:t>
      </w:r>
      <w:r w:rsidRPr="00E773DC">
        <w:rPr>
          <w:b/>
          <w:bCs/>
          <w:noProof/>
          <w:lang w:val="fr-FR"/>
        </w:rPr>
        <w:t>un logiciel a une incidence sur l</w:t>
      </w:r>
      <w:r w:rsidR="00B921D9">
        <w:rPr>
          <w:b/>
          <w:bCs/>
          <w:noProof/>
          <w:lang w:val="fr-FR"/>
        </w:rPr>
        <w:t>’</w:t>
      </w:r>
      <w:r w:rsidRPr="00E773DC">
        <w:rPr>
          <w:b/>
          <w:bCs/>
          <w:noProof/>
          <w:lang w:val="fr-FR"/>
        </w:rPr>
        <w:t>AES ou la BES ;</w:t>
      </w:r>
    </w:p>
    <w:p w14:paraId="23D896E6" w14:textId="77777777" w:rsidR="00213792" w:rsidRPr="00E773DC" w:rsidRDefault="00213792" w:rsidP="00213792">
      <w:pPr>
        <w:pStyle w:val="SingleTxtG"/>
        <w:ind w:left="2835" w:hanging="567"/>
        <w:rPr>
          <w:b/>
          <w:bCs/>
          <w:noProof/>
          <w:lang w:val="fr-FR"/>
        </w:rPr>
      </w:pPr>
      <w:r w:rsidRPr="00E773DC">
        <w:rPr>
          <w:b/>
          <w:bCs/>
          <w:noProof/>
          <w:lang w:val="fr-FR"/>
        </w:rPr>
        <w:t>d)</w:t>
      </w:r>
      <w:r w:rsidRPr="00E773DC">
        <w:rPr>
          <w:b/>
          <w:bCs/>
          <w:noProof/>
          <w:lang w:val="fr-FR"/>
        </w:rPr>
        <w:tab/>
        <w:t>Une justification technique détaillée de l</w:t>
      </w:r>
      <w:r w:rsidR="00B921D9">
        <w:rPr>
          <w:b/>
          <w:bCs/>
          <w:noProof/>
          <w:lang w:val="fr-FR"/>
        </w:rPr>
        <w:t>’</w:t>
      </w:r>
      <w:r w:rsidRPr="00E773DC">
        <w:rPr>
          <w:b/>
          <w:bCs/>
          <w:noProof/>
          <w:lang w:val="fr-FR"/>
        </w:rPr>
        <w:t>ensemble de l</w:t>
      </w:r>
      <w:r w:rsidR="00B921D9">
        <w:rPr>
          <w:b/>
          <w:bCs/>
          <w:noProof/>
          <w:lang w:val="fr-FR"/>
        </w:rPr>
        <w:t>’</w:t>
      </w:r>
      <w:r w:rsidRPr="00E773DC">
        <w:rPr>
          <w:b/>
          <w:bCs/>
          <w:noProof/>
          <w:lang w:val="fr-FR"/>
        </w:rPr>
        <w:t>AES, y compris une évaluation des risques estimant le risque avec et sans l</w:t>
      </w:r>
      <w:r w:rsidR="00B921D9">
        <w:rPr>
          <w:b/>
          <w:bCs/>
          <w:noProof/>
          <w:lang w:val="fr-FR"/>
        </w:rPr>
        <w:t>’</w:t>
      </w:r>
      <w:r w:rsidRPr="00E773DC">
        <w:rPr>
          <w:b/>
          <w:bCs/>
          <w:noProof/>
          <w:lang w:val="fr-FR"/>
        </w:rPr>
        <w:t>AES, et comprenant les éléments suivants :</w:t>
      </w:r>
    </w:p>
    <w:p w14:paraId="4721B40B" w14:textId="77777777" w:rsidR="00213792" w:rsidRPr="00E773DC" w:rsidRDefault="00213792" w:rsidP="00213792">
      <w:pPr>
        <w:pStyle w:val="SingleTxtG"/>
        <w:ind w:left="3402" w:hanging="567"/>
        <w:rPr>
          <w:b/>
          <w:bCs/>
          <w:noProof/>
          <w:lang w:val="fr-FR"/>
        </w:rPr>
      </w:pPr>
      <w:r w:rsidRPr="00E773DC">
        <w:rPr>
          <w:b/>
          <w:bCs/>
          <w:noProof/>
          <w:lang w:val="fr-FR"/>
        </w:rPr>
        <w:t>i)</w:t>
      </w:r>
      <w:r w:rsidRPr="00E773DC">
        <w:rPr>
          <w:b/>
          <w:bCs/>
          <w:noProof/>
          <w:lang w:val="fr-FR"/>
        </w:rPr>
        <w:tab/>
        <w:t>Des informations sur le ou les éléments matériels qui doivent être protégés par l</w:t>
      </w:r>
      <w:r w:rsidR="00B921D9">
        <w:rPr>
          <w:b/>
          <w:bCs/>
          <w:noProof/>
          <w:lang w:val="fr-FR"/>
        </w:rPr>
        <w:t>’</w:t>
      </w:r>
      <w:r w:rsidRPr="00E773DC">
        <w:rPr>
          <w:b/>
          <w:bCs/>
          <w:noProof/>
          <w:lang w:val="fr-FR"/>
        </w:rPr>
        <w:t>AES, le cas échéant ;</w:t>
      </w:r>
    </w:p>
    <w:p w14:paraId="7304F690" w14:textId="77777777" w:rsidR="00213792" w:rsidRPr="00E773DC" w:rsidRDefault="00213792" w:rsidP="00213792">
      <w:pPr>
        <w:pStyle w:val="SingleTxtG"/>
        <w:ind w:left="3402" w:hanging="567"/>
        <w:rPr>
          <w:b/>
          <w:bCs/>
          <w:noProof/>
          <w:lang w:val="fr-FR"/>
        </w:rPr>
      </w:pPr>
      <w:r w:rsidRPr="00E773DC">
        <w:rPr>
          <w:b/>
          <w:bCs/>
          <w:noProof/>
          <w:lang w:val="fr-FR"/>
        </w:rPr>
        <w:t>ii)</w:t>
      </w:r>
      <w:r w:rsidRPr="00E773DC">
        <w:rPr>
          <w:b/>
          <w:bCs/>
          <w:noProof/>
          <w:lang w:val="fr-FR"/>
        </w:rPr>
        <w:tab/>
        <w:t>La preuve que des dommages soudains et irréparables au moteur, qu</w:t>
      </w:r>
      <w:r w:rsidR="00B921D9">
        <w:rPr>
          <w:b/>
          <w:bCs/>
          <w:noProof/>
          <w:lang w:val="fr-FR"/>
        </w:rPr>
        <w:t>’</w:t>
      </w:r>
      <w:r w:rsidRPr="00E773DC">
        <w:rPr>
          <w:b/>
          <w:bCs/>
          <w:noProof/>
          <w:lang w:val="fr-FR"/>
        </w:rPr>
        <w:t>un entretien régulier ne permettrait pas d</w:t>
      </w:r>
      <w:r w:rsidR="00B921D9">
        <w:rPr>
          <w:b/>
          <w:bCs/>
          <w:noProof/>
          <w:lang w:val="fr-FR"/>
        </w:rPr>
        <w:t>’</w:t>
      </w:r>
      <w:r w:rsidRPr="00E773DC">
        <w:rPr>
          <w:b/>
          <w:bCs/>
          <w:noProof/>
          <w:lang w:val="fr-FR"/>
        </w:rPr>
        <w:t>éviter, surviendraient en l</w:t>
      </w:r>
      <w:r w:rsidR="00B921D9">
        <w:rPr>
          <w:b/>
          <w:bCs/>
          <w:noProof/>
          <w:lang w:val="fr-FR"/>
        </w:rPr>
        <w:t>’</w:t>
      </w:r>
      <w:r w:rsidRPr="00E773DC">
        <w:rPr>
          <w:b/>
          <w:bCs/>
          <w:noProof/>
          <w:lang w:val="fr-FR"/>
        </w:rPr>
        <w:t>absence de l</w:t>
      </w:r>
      <w:r w:rsidR="00B921D9">
        <w:rPr>
          <w:b/>
          <w:bCs/>
          <w:noProof/>
          <w:lang w:val="fr-FR"/>
        </w:rPr>
        <w:t>’</w:t>
      </w:r>
      <w:r w:rsidRPr="00E773DC">
        <w:rPr>
          <w:b/>
          <w:bCs/>
          <w:noProof/>
          <w:lang w:val="fr-FR"/>
        </w:rPr>
        <w:t>AES, le cas échéant ;</w:t>
      </w:r>
    </w:p>
    <w:p w14:paraId="2073FA16" w14:textId="77777777" w:rsidR="00213792" w:rsidRPr="00E773DC" w:rsidRDefault="00213792" w:rsidP="00213792">
      <w:pPr>
        <w:pStyle w:val="SingleTxtG"/>
        <w:ind w:left="3402" w:hanging="567"/>
        <w:rPr>
          <w:b/>
          <w:bCs/>
          <w:noProof/>
          <w:lang w:val="fr-FR"/>
        </w:rPr>
      </w:pPr>
      <w:r w:rsidRPr="00E773DC">
        <w:rPr>
          <w:b/>
          <w:bCs/>
          <w:noProof/>
          <w:lang w:val="fr-FR"/>
        </w:rPr>
        <w:t>iii)</w:t>
      </w:r>
      <w:r w:rsidRPr="00E773DC">
        <w:rPr>
          <w:b/>
          <w:bCs/>
          <w:noProof/>
          <w:lang w:val="fr-FR"/>
        </w:rPr>
        <w:tab/>
        <w:t>Une explication motivée des raisons pour lesquelles il est nécessaire d</w:t>
      </w:r>
      <w:r w:rsidR="00B921D9">
        <w:rPr>
          <w:b/>
          <w:bCs/>
          <w:noProof/>
          <w:lang w:val="fr-FR"/>
        </w:rPr>
        <w:t>’</w:t>
      </w:r>
      <w:r w:rsidRPr="00E773DC">
        <w:rPr>
          <w:b/>
          <w:bCs/>
          <w:noProof/>
          <w:lang w:val="fr-FR"/>
        </w:rPr>
        <w:t>utiliser une AES lors du démarrage ou de la mise en température du moteur, le cas échéant ;</w:t>
      </w:r>
    </w:p>
    <w:p w14:paraId="1C4DD691" w14:textId="77777777" w:rsidR="00213792" w:rsidRPr="00E773DC" w:rsidRDefault="00213792" w:rsidP="00213792">
      <w:pPr>
        <w:pStyle w:val="SingleTxtG"/>
        <w:ind w:left="2835" w:hanging="567"/>
        <w:rPr>
          <w:b/>
          <w:bCs/>
          <w:noProof/>
          <w:lang w:val="fr-FR"/>
        </w:rPr>
      </w:pPr>
      <w:r w:rsidRPr="00E773DC">
        <w:rPr>
          <w:b/>
          <w:bCs/>
          <w:noProof/>
          <w:lang w:val="fr-FR"/>
        </w:rPr>
        <w:t>e)</w:t>
      </w:r>
      <w:r w:rsidRPr="00E773DC">
        <w:rPr>
          <w:b/>
          <w:bCs/>
          <w:noProof/>
          <w:lang w:val="fr-FR"/>
        </w:rPr>
        <w:tab/>
        <w:t>Une description de la logique de commande du système d</w:t>
      </w:r>
      <w:r w:rsidR="00B921D9">
        <w:rPr>
          <w:b/>
          <w:bCs/>
          <w:noProof/>
          <w:lang w:val="fr-FR"/>
        </w:rPr>
        <w:t>’</w:t>
      </w:r>
      <w:r w:rsidRPr="00E773DC">
        <w:rPr>
          <w:b/>
          <w:bCs/>
          <w:noProof/>
          <w:lang w:val="fr-FR"/>
        </w:rPr>
        <w:t>alimentation en carburant, des stratégies de chronométrage et des points de commutation, portant sur tous les modes de fonctionnement ;</w:t>
      </w:r>
    </w:p>
    <w:p w14:paraId="712D3178" w14:textId="77777777" w:rsidR="00213792" w:rsidRPr="00E773DC" w:rsidRDefault="00213792" w:rsidP="00213792">
      <w:pPr>
        <w:pStyle w:val="SingleTxtG"/>
        <w:ind w:left="2835" w:hanging="567"/>
        <w:rPr>
          <w:b/>
          <w:bCs/>
          <w:noProof/>
          <w:lang w:val="fr-FR"/>
        </w:rPr>
      </w:pPr>
      <w:r w:rsidRPr="00E773DC">
        <w:rPr>
          <w:b/>
          <w:bCs/>
          <w:noProof/>
          <w:lang w:val="fr-FR"/>
        </w:rPr>
        <w:t>f)</w:t>
      </w:r>
      <w:r w:rsidRPr="00E773DC">
        <w:rPr>
          <w:b/>
          <w:bCs/>
          <w:noProof/>
          <w:lang w:val="fr-FR"/>
        </w:rPr>
        <w:tab/>
        <w:t>Une description de la hiérarchisation entre les AES (c</w:t>
      </w:r>
      <w:r w:rsidR="00B921D9">
        <w:rPr>
          <w:b/>
          <w:bCs/>
          <w:noProof/>
          <w:lang w:val="fr-FR"/>
        </w:rPr>
        <w:t>’</w:t>
      </w:r>
      <w:r w:rsidRPr="00E773DC">
        <w:rPr>
          <w:b/>
          <w:bCs/>
          <w:noProof/>
          <w:lang w:val="fr-FR"/>
        </w:rPr>
        <w:t>est-à-dire</w:t>
      </w:r>
      <w:r>
        <w:rPr>
          <w:b/>
          <w:bCs/>
          <w:noProof/>
          <w:lang w:val="fr-FR"/>
        </w:rPr>
        <w:t>,</w:t>
      </w:r>
      <w:r w:rsidRPr="00E773DC">
        <w:rPr>
          <w:b/>
          <w:bCs/>
          <w:noProof/>
          <w:lang w:val="fr-FR"/>
        </w:rPr>
        <w:t xml:space="preserve"> dans le cas où plusieurs AES peuvent être activées simultanément, l</w:t>
      </w:r>
      <w:r w:rsidR="00B921D9">
        <w:rPr>
          <w:b/>
          <w:bCs/>
          <w:noProof/>
          <w:lang w:val="fr-FR"/>
        </w:rPr>
        <w:t>’</w:t>
      </w:r>
      <w:r w:rsidRPr="00E773DC">
        <w:rPr>
          <w:b/>
          <w:bCs/>
          <w:noProof/>
          <w:lang w:val="fr-FR"/>
        </w:rPr>
        <w:t>indication de celle qui a priorité, la méthode selon laquelle les stratégies interagissent, y compris les diagrammes de flux de données et la logique de décision, et la manière dont la hiérarchie garantit que les émissions de l</w:t>
      </w:r>
      <w:r w:rsidR="00B921D9">
        <w:rPr>
          <w:b/>
          <w:bCs/>
          <w:noProof/>
          <w:lang w:val="fr-FR"/>
        </w:rPr>
        <w:t>’</w:t>
      </w:r>
      <w:r w:rsidRPr="00E773DC">
        <w:rPr>
          <w:b/>
          <w:bCs/>
          <w:noProof/>
          <w:lang w:val="fr-FR"/>
        </w:rPr>
        <w:t>ensemble des AES soient réduites au niveau pratique le plus bas</w:t>
      </w:r>
      <w:r>
        <w:rPr>
          <w:b/>
          <w:bCs/>
          <w:noProof/>
          <w:lang w:val="fr-FR"/>
        </w:rPr>
        <w:t>)</w:t>
      </w:r>
      <w:r w:rsidRPr="00E773DC">
        <w:rPr>
          <w:b/>
          <w:bCs/>
          <w:noProof/>
          <w:lang w:val="fr-FR"/>
        </w:rPr>
        <w:t> ;</w:t>
      </w:r>
    </w:p>
    <w:p w14:paraId="6DCFBCA8" w14:textId="77777777" w:rsidR="00213792" w:rsidRPr="00E773DC" w:rsidRDefault="00213792" w:rsidP="00213792">
      <w:pPr>
        <w:pStyle w:val="SingleTxtG"/>
        <w:ind w:left="2835" w:hanging="567"/>
        <w:rPr>
          <w:b/>
          <w:bCs/>
          <w:noProof/>
          <w:lang w:val="fr-FR"/>
        </w:rPr>
      </w:pPr>
      <w:r w:rsidRPr="00E773DC">
        <w:rPr>
          <w:b/>
          <w:bCs/>
          <w:noProof/>
          <w:lang w:val="fr-FR"/>
        </w:rPr>
        <w:lastRenderedPageBreak/>
        <w:t>g)</w:t>
      </w:r>
      <w:r w:rsidRPr="00E773DC">
        <w:rPr>
          <w:b/>
          <w:bCs/>
          <w:noProof/>
          <w:lang w:val="fr-FR"/>
        </w:rPr>
        <w:tab/>
        <w:t>Une liste des paramètres mesurés ou calculés par l</w:t>
      </w:r>
      <w:r w:rsidR="00B921D9">
        <w:rPr>
          <w:b/>
          <w:bCs/>
          <w:noProof/>
          <w:lang w:val="fr-FR"/>
        </w:rPr>
        <w:t>’</w:t>
      </w:r>
      <w:r w:rsidRPr="00E773DC">
        <w:rPr>
          <w:b/>
          <w:bCs/>
          <w:noProof/>
          <w:lang w:val="fr-FR"/>
        </w:rPr>
        <w:t>AES ainsi que l</w:t>
      </w:r>
      <w:r w:rsidR="00B921D9">
        <w:rPr>
          <w:b/>
          <w:bCs/>
          <w:noProof/>
          <w:lang w:val="fr-FR"/>
        </w:rPr>
        <w:t>’</w:t>
      </w:r>
      <w:r w:rsidRPr="00E773DC">
        <w:rPr>
          <w:b/>
          <w:bCs/>
          <w:noProof/>
          <w:lang w:val="fr-FR"/>
        </w:rPr>
        <w:t>objectif de chacun de ces paramètres, et</w:t>
      </w:r>
      <w:r>
        <w:rPr>
          <w:b/>
          <w:bCs/>
          <w:noProof/>
          <w:lang w:val="fr-FR"/>
        </w:rPr>
        <w:t xml:space="preserve"> l</w:t>
      </w:r>
      <w:r w:rsidR="00B921D9">
        <w:rPr>
          <w:b/>
          <w:bCs/>
          <w:noProof/>
          <w:lang w:val="fr-FR"/>
        </w:rPr>
        <w:t>’</w:t>
      </w:r>
      <w:r>
        <w:rPr>
          <w:b/>
          <w:bCs/>
          <w:noProof/>
          <w:lang w:val="fr-FR"/>
        </w:rPr>
        <w:t>indication de</w:t>
      </w:r>
      <w:r w:rsidRPr="00E773DC">
        <w:rPr>
          <w:b/>
          <w:bCs/>
          <w:noProof/>
          <w:lang w:val="fr-FR"/>
        </w:rPr>
        <w:t xml:space="preserve"> la manière dont chacun d</w:t>
      </w:r>
      <w:r w:rsidR="00B921D9">
        <w:rPr>
          <w:b/>
          <w:bCs/>
          <w:noProof/>
          <w:lang w:val="fr-FR"/>
        </w:rPr>
        <w:t>’</w:t>
      </w:r>
      <w:r w:rsidRPr="00E773DC">
        <w:rPr>
          <w:b/>
          <w:bCs/>
          <w:noProof/>
          <w:lang w:val="fr-FR"/>
        </w:rPr>
        <w:t>eux est lié à des dommages au moteur, y compris la méthode de calcul et la mesure dans laquelle les paramètres calculés sont corrélés à l</w:t>
      </w:r>
      <w:r w:rsidR="00B921D9">
        <w:rPr>
          <w:b/>
          <w:bCs/>
          <w:noProof/>
          <w:lang w:val="fr-FR"/>
        </w:rPr>
        <w:t>’</w:t>
      </w:r>
      <w:r w:rsidRPr="00E773DC">
        <w:rPr>
          <w:b/>
          <w:bCs/>
          <w:noProof/>
          <w:lang w:val="fr-FR"/>
        </w:rPr>
        <w:t>état réel du paramètre contrôlé et toute tolérance ou marge de sécurité qui en découle et qui est intégrée dans l</w:t>
      </w:r>
      <w:r w:rsidR="00B921D9">
        <w:rPr>
          <w:b/>
          <w:bCs/>
          <w:noProof/>
          <w:lang w:val="fr-FR"/>
        </w:rPr>
        <w:t>’</w:t>
      </w:r>
      <w:r w:rsidRPr="00E773DC">
        <w:rPr>
          <w:b/>
          <w:bCs/>
          <w:noProof/>
          <w:lang w:val="fr-FR"/>
        </w:rPr>
        <w:t>analyse ;</w:t>
      </w:r>
    </w:p>
    <w:p w14:paraId="558560CE" w14:textId="77777777" w:rsidR="00213792" w:rsidRPr="00E773DC" w:rsidRDefault="00213792" w:rsidP="00213792">
      <w:pPr>
        <w:pStyle w:val="SingleTxtG"/>
        <w:ind w:left="2835" w:hanging="567"/>
        <w:rPr>
          <w:b/>
          <w:bCs/>
          <w:noProof/>
          <w:lang w:val="fr-FR"/>
        </w:rPr>
      </w:pPr>
      <w:r w:rsidRPr="00E773DC">
        <w:rPr>
          <w:b/>
          <w:bCs/>
          <w:noProof/>
          <w:lang w:val="fr-FR"/>
        </w:rPr>
        <w:t>h)</w:t>
      </w:r>
      <w:r w:rsidRPr="00E773DC">
        <w:rPr>
          <w:b/>
          <w:bCs/>
          <w:noProof/>
          <w:lang w:val="fr-FR"/>
        </w:rPr>
        <w:tab/>
        <w:t xml:space="preserve">Une liste des paramètres de commande du moteur et </w:t>
      </w:r>
      <w:r w:rsidRPr="0073190D">
        <w:rPr>
          <w:b/>
          <w:bCs/>
          <w:noProof/>
          <w:lang w:val="fr-FR"/>
        </w:rPr>
        <w:t xml:space="preserve">de réduction </w:t>
      </w:r>
      <w:r w:rsidRPr="00E773DC">
        <w:rPr>
          <w:b/>
          <w:bCs/>
          <w:noProof/>
          <w:lang w:val="fr-FR"/>
        </w:rPr>
        <w:t>des émissions qui sont modulés en fonction du ou des paramètres mesurés ou calculés et de la plage de modulation pour chaque paramètre de commande du moteur ou de réduction des émissions ; ainsi que la relation entre les paramètres de commande du moteur ou de</w:t>
      </w:r>
      <w:r w:rsidRPr="00E773DC">
        <w:rPr>
          <w:lang w:val="fr-FR"/>
        </w:rPr>
        <w:t xml:space="preserve"> </w:t>
      </w:r>
      <w:r w:rsidRPr="00E773DC">
        <w:rPr>
          <w:b/>
          <w:bCs/>
          <w:noProof/>
          <w:lang w:val="fr-FR"/>
        </w:rPr>
        <w:t>réduction des émissions et les paramètres mesurés ou calculés ;</w:t>
      </w:r>
    </w:p>
    <w:p w14:paraId="78DFAEB3" w14:textId="77777777" w:rsidR="00213792" w:rsidRPr="00E773DC" w:rsidRDefault="00213792" w:rsidP="00213792">
      <w:pPr>
        <w:pStyle w:val="SingleTxtG"/>
        <w:ind w:left="2835" w:hanging="567"/>
        <w:rPr>
          <w:b/>
          <w:bCs/>
          <w:noProof/>
          <w:lang w:val="fr-FR"/>
        </w:rPr>
      </w:pPr>
      <w:r w:rsidRPr="00E773DC">
        <w:rPr>
          <w:b/>
          <w:bCs/>
          <w:noProof/>
          <w:lang w:val="fr-FR"/>
        </w:rPr>
        <w:t>i)</w:t>
      </w:r>
      <w:r w:rsidRPr="00E773DC">
        <w:rPr>
          <w:b/>
          <w:bCs/>
          <w:noProof/>
          <w:lang w:val="fr-FR"/>
        </w:rPr>
        <w:tab/>
        <w:t>Une évaluation de la manière dont l</w:t>
      </w:r>
      <w:r w:rsidR="00B921D9">
        <w:rPr>
          <w:b/>
          <w:bCs/>
          <w:noProof/>
          <w:lang w:val="fr-FR"/>
        </w:rPr>
        <w:t>’</w:t>
      </w:r>
      <w:r w:rsidRPr="00E773DC">
        <w:rPr>
          <w:b/>
          <w:bCs/>
          <w:noProof/>
          <w:lang w:val="fr-FR"/>
        </w:rPr>
        <w:t>AES doit permettre de réduire les émissions lors de la conduite réelle au niveau pratique le plus bas, y compris une analyse détaillée de l</w:t>
      </w:r>
      <w:r w:rsidR="00B921D9">
        <w:rPr>
          <w:b/>
          <w:bCs/>
          <w:noProof/>
          <w:lang w:val="fr-FR"/>
        </w:rPr>
        <w:t>’</w:t>
      </w:r>
      <w:r w:rsidRPr="00E773DC">
        <w:rPr>
          <w:b/>
          <w:bCs/>
          <w:noProof/>
          <w:lang w:val="fr-FR"/>
        </w:rPr>
        <w:t>augmentation prévue, par rapport à la stratégie de base, du total des émissions de polluants réglementés et de CO</w:t>
      </w:r>
      <w:r w:rsidRPr="00E773DC">
        <w:rPr>
          <w:b/>
          <w:bCs/>
          <w:noProof/>
          <w:vertAlign w:val="subscript"/>
          <w:lang w:val="fr-FR"/>
        </w:rPr>
        <w:t xml:space="preserve">2 </w:t>
      </w:r>
      <w:r w:rsidRPr="00E773DC">
        <w:rPr>
          <w:b/>
          <w:bCs/>
          <w:noProof/>
          <w:lang w:val="fr-FR"/>
        </w:rPr>
        <w:t>découlant de l</w:t>
      </w:r>
      <w:r w:rsidR="00B921D9">
        <w:rPr>
          <w:b/>
          <w:bCs/>
          <w:noProof/>
          <w:lang w:val="fr-FR"/>
        </w:rPr>
        <w:t>’</w:t>
      </w:r>
      <w:r w:rsidRPr="00E773DC">
        <w:rPr>
          <w:b/>
          <w:bCs/>
          <w:noProof/>
          <w:lang w:val="fr-FR"/>
        </w:rPr>
        <w:t>utilisation de l</w:t>
      </w:r>
      <w:r w:rsidR="00B921D9">
        <w:rPr>
          <w:b/>
          <w:bCs/>
          <w:noProof/>
          <w:lang w:val="fr-FR"/>
        </w:rPr>
        <w:t>’</w:t>
      </w:r>
      <w:r w:rsidRPr="00E773DC">
        <w:rPr>
          <w:b/>
          <w:bCs/>
          <w:noProof/>
          <w:lang w:val="fr-FR"/>
        </w:rPr>
        <w:t>AES ;</w:t>
      </w:r>
    </w:p>
    <w:p w14:paraId="383E1080" w14:textId="77777777" w:rsidR="00213792" w:rsidRPr="00E773DC" w:rsidRDefault="00213792" w:rsidP="00213792">
      <w:pPr>
        <w:pStyle w:val="SingleTxtG"/>
        <w:ind w:left="2268"/>
        <w:rPr>
          <w:b/>
          <w:bCs/>
          <w:lang w:val="fr-FR" w:eastAsia="de-DE"/>
        </w:rPr>
      </w:pPr>
      <w:r w:rsidRPr="00E773DC">
        <w:rPr>
          <w:b/>
          <w:bCs/>
          <w:lang w:val="fr-FR" w:eastAsia="de-DE"/>
        </w:rPr>
        <w:t>Le dossier d</w:t>
      </w:r>
      <w:r w:rsidR="00B921D9">
        <w:rPr>
          <w:b/>
          <w:bCs/>
          <w:lang w:val="fr-FR" w:eastAsia="de-DE"/>
        </w:rPr>
        <w:t>’</w:t>
      </w:r>
      <w:r w:rsidRPr="00E773DC">
        <w:rPr>
          <w:b/>
          <w:bCs/>
          <w:lang w:val="fr-FR" w:eastAsia="de-DE"/>
        </w:rPr>
        <w:t xml:space="preserve">information </w:t>
      </w:r>
      <w:r>
        <w:rPr>
          <w:b/>
          <w:bCs/>
          <w:lang w:val="fr-FR" w:eastAsia="de-DE"/>
        </w:rPr>
        <w:t>sur</w:t>
      </w:r>
      <w:r w:rsidRPr="00E773DC">
        <w:rPr>
          <w:b/>
          <w:bCs/>
          <w:lang w:val="fr-FR" w:eastAsia="de-DE"/>
        </w:rPr>
        <w:t xml:space="preserve"> l</w:t>
      </w:r>
      <w:r w:rsidR="00B921D9">
        <w:rPr>
          <w:b/>
          <w:bCs/>
          <w:lang w:val="fr-FR" w:eastAsia="de-DE"/>
        </w:rPr>
        <w:t>’</w:t>
      </w:r>
      <w:r w:rsidRPr="00E773DC">
        <w:rPr>
          <w:b/>
          <w:bCs/>
          <w:lang w:val="fr-FR" w:eastAsia="de-DE"/>
        </w:rPr>
        <w:t>AES, limité à 100 pages, doit comprendre tous les principaux éléments permettant à l</w:t>
      </w:r>
      <w:r w:rsidR="00B921D9">
        <w:rPr>
          <w:b/>
          <w:bCs/>
          <w:lang w:val="fr-FR" w:eastAsia="de-DE"/>
        </w:rPr>
        <w:t>’</w:t>
      </w:r>
      <w:r w:rsidRPr="00E773DC">
        <w:rPr>
          <w:b/>
          <w:bCs/>
          <w:lang w:val="fr-FR" w:eastAsia="de-DE"/>
        </w:rPr>
        <w:t>autorité d</w:t>
      </w:r>
      <w:r w:rsidR="00B921D9">
        <w:rPr>
          <w:b/>
          <w:bCs/>
          <w:lang w:val="fr-FR" w:eastAsia="de-DE"/>
        </w:rPr>
        <w:t>’</w:t>
      </w:r>
      <w:r w:rsidRPr="00E773DC">
        <w:rPr>
          <w:b/>
          <w:bCs/>
          <w:lang w:val="fr-FR" w:eastAsia="de-DE"/>
        </w:rPr>
        <w:t>homologation d</w:t>
      </w:r>
      <w:r w:rsidR="00B921D9">
        <w:rPr>
          <w:b/>
          <w:bCs/>
          <w:lang w:val="fr-FR" w:eastAsia="de-DE"/>
        </w:rPr>
        <w:t>’</w:t>
      </w:r>
      <w:r w:rsidRPr="00E773DC">
        <w:rPr>
          <w:b/>
          <w:bCs/>
          <w:lang w:val="fr-FR" w:eastAsia="de-DE"/>
        </w:rPr>
        <w:t>évaluer l</w:t>
      </w:r>
      <w:r>
        <w:rPr>
          <w:b/>
          <w:bCs/>
          <w:lang w:val="fr-FR" w:eastAsia="de-DE"/>
        </w:rPr>
        <w:t xml:space="preserve">edit </w:t>
      </w:r>
      <w:r w:rsidRPr="00E773DC">
        <w:rPr>
          <w:b/>
          <w:bCs/>
          <w:lang w:val="fr-FR" w:eastAsia="de-DE"/>
        </w:rPr>
        <w:t>AES (conformément aux prescriptions de l</w:t>
      </w:r>
      <w:r w:rsidR="00B921D9">
        <w:rPr>
          <w:b/>
          <w:bCs/>
          <w:lang w:val="fr-FR" w:eastAsia="de-DE"/>
        </w:rPr>
        <w:t>’</w:t>
      </w:r>
      <w:r w:rsidRPr="00E773DC">
        <w:rPr>
          <w:b/>
          <w:bCs/>
          <w:lang w:val="fr-FR" w:eastAsia="de-DE"/>
        </w:rPr>
        <w:t>appendice 2 de l</w:t>
      </w:r>
      <w:r w:rsidR="00B921D9">
        <w:rPr>
          <w:b/>
          <w:bCs/>
          <w:lang w:val="fr-FR" w:eastAsia="de-DE"/>
        </w:rPr>
        <w:t>’</w:t>
      </w:r>
      <w:r w:rsidRPr="00E773DC">
        <w:rPr>
          <w:b/>
          <w:bCs/>
          <w:lang w:val="fr-FR" w:eastAsia="de-DE"/>
        </w:rPr>
        <w:t>annexe 10, à l</w:t>
      </w:r>
      <w:r w:rsidR="00B921D9">
        <w:rPr>
          <w:b/>
          <w:bCs/>
          <w:lang w:val="fr-FR" w:eastAsia="de-DE"/>
        </w:rPr>
        <w:t>’</w:t>
      </w:r>
      <w:r w:rsidRPr="00E773DC">
        <w:rPr>
          <w:b/>
          <w:bCs/>
          <w:lang w:val="fr-FR" w:eastAsia="de-DE"/>
        </w:rPr>
        <w:t>efficacité du système d</w:t>
      </w:r>
      <w:r w:rsidR="00B921D9">
        <w:rPr>
          <w:b/>
          <w:bCs/>
          <w:lang w:val="fr-FR" w:eastAsia="de-DE"/>
        </w:rPr>
        <w:t>’</w:t>
      </w:r>
      <w:r w:rsidRPr="00E773DC">
        <w:rPr>
          <w:b/>
          <w:bCs/>
          <w:lang w:val="fr-FR" w:eastAsia="de-DE"/>
        </w:rPr>
        <w:t xml:space="preserve">incitation et aux mesures de lutte contre les </w:t>
      </w:r>
      <w:r>
        <w:rPr>
          <w:b/>
          <w:bCs/>
          <w:lang w:val="fr-FR" w:eastAsia="de-DE"/>
        </w:rPr>
        <w:t>modific</w:t>
      </w:r>
      <w:r w:rsidRPr="00E773DC">
        <w:rPr>
          <w:b/>
          <w:bCs/>
          <w:lang w:val="fr-FR" w:eastAsia="de-DE"/>
        </w:rPr>
        <w:t>ations non autorisées)</w:t>
      </w:r>
      <w:r w:rsidR="00F72B31" w:rsidRPr="00F72B31">
        <w:rPr>
          <w:b/>
          <w:bCs/>
          <w:lang w:val="fr-FR" w:eastAsia="de-DE"/>
        </w:rPr>
        <w:t>.</w:t>
      </w:r>
      <w:r w:rsidRPr="00E773DC">
        <w:rPr>
          <w:b/>
          <w:bCs/>
          <w:lang w:val="fr-FR" w:eastAsia="de-DE"/>
        </w:rPr>
        <w:t xml:space="preserve"> Le dossier peut être complété par des annexes et d</w:t>
      </w:r>
      <w:r w:rsidR="00B921D9">
        <w:rPr>
          <w:b/>
          <w:bCs/>
          <w:lang w:val="fr-FR" w:eastAsia="de-DE"/>
        </w:rPr>
        <w:t>’</w:t>
      </w:r>
      <w:r w:rsidRPr="00E773DC">
        <w:rPr>
          <w:b/>
          <w:bCs/>
          <w:lang w:val="fr-FR" w:eastAsia="de-DE"/>
        </w:rPr>
        <w:t>autres documents joints, contenant des éléments supplémentaires et complémentaires, si nécessaire</w:t>
      </w:r>
      <w:r w:rsidR="00F72B31" w:rsidRPr="00F72B31">
        <w:rPr>
          <w:b/>
          <w:bCs/>
          <w:lang w:val="fr-FR" w:eastAsia="de-DE"/>
        </w:rPr>
        <w:t>.</w:t>
      </w:r>
      <w:r w:rsidRPr="00E773DC">
        <w:rPr>
          <w:b/>
          <w:bCs/>
          <w:lang w:val="fr-FR" w:eastAsia="de-DE"/>
        </w:rPr>
        <w:t xml:space="preserve"> </w:t>
      </w:r>
      <w:r>
        <w:rPr>
          <w:b/>
          <w:bCs/>
          <w:lang w:val="fr-FR" w:eastAsia="de-DE"/>
        </w:rPr>
        <w:t>C</w:t>
      </w:r>
      <w:r w:rsidRPr="00E773DC">
        <w:rPr>
          <w:b/>
          <w:bCs/>
          <w:lang w:val="fr-FR" w:eastAsia="de-DE"/>
        </w:rPr>
        <w:t>haque fois que des modifications sont apportées à l</w:t>
      </w:r>
      <w:r w:rsidR="00B921D9">
        <w:rPr>
          <w:b/>
          <w:bCs/>
          <w:lang w:val="fr-FR" w:eastAsia="de-DE"/>
        </w:rPr>
        <w:t>’</w:t>
      </w:r>
      <w:r w:rsidRPr="00E773DC">
        <w:rPr>
          <w:b/>
          <w:bCs/>
          <w:lang w:val="fr-FR" w:eastAsia="de-DE"/>
        </w:rPr>
        <w:t>AES</w:t>
      </w:r>
      <w:r>
        <w:rPr>
          <w:b/>
          <w:bCs/>
          <w:lang w:val="fr-FR" w:eastAsia="de-DE"/>
        </w:rPr>
        <w:t>, l</w:t>
      </w:r>
      <w:r w:rsidRPr="00E773DC">
        <w:rPr>
          <w:b/>
          <w:bCs/>
          <w:lang w:val="fr-FR" w:eastAsia="de-DE"/>
        </w:rPr>
        <w:t>e constructeur envoie à l</w:t>
      </w:r>
      <w:r w:rsidR="00B921D9">
        <w:rPr>
          <w:b/>
          <w:bCs/>
          <w:lang w:val="fr-FR" w:eastAsia="de-DE"/>
        </w:rPr>
        <w:t>’</w:t>
      </w:r>
      <w:r w:rsidRPr="00E773DC">
        <w:rPr>
          <w:b/>
          <w:bCs/>
          <w:lang w:val="fr-FR" w:eastAsia="de-DE"/>
        </w:rPr>
        <w:t>autorité d</w:t>
      </w:r>
      <w:r w:rsidR="00B921D9">
        <w:rPr>
          <w:b/>
          <w:bCs/>
          <w:lang w:val="fr-FR" w:eastAsia="de-DE"/>
        </w:rPr>
        <w:t>’</w:t>
      </w:r>
      <w:r w:rsidRPr="00E773DC">
        <w:rPr>
          <w:b/>
          <w:bCs/>
          <w:lang w:val="fr-FR" w:eastAsia="de-DE"/>
        </w:rPr>
        <w:t>homologation une nouvelle version du dossier d</w:t>
      </w:r>
      <w:r w:rsidR="00B921D9">
        <w:rPr>
          <w:b/>
          <w:bCs/>
          <w:lang w:val="fr-FR" w:eastAsia="de-DE"/>
        </w:rPr>
        <w:t>’</w:t>
      </w:r>
      <w:r w:rsidRPr="00E773DC">
        <w:rPr>
          <w:b/>
          <w:bCs/>
          <w:lang w:val="fr-FR" w:eastAsia="de-DE"/>
        </w:rPr>
        <w:t>information</w:t>
      </w:r>
      <w:r w:rsidR="00F72B31" w:rsidRPr="00F72B31">
        <w:rPr>
          <w:b/>
          <w:bCs/>
          <w:lang w:val="fr-FR" w:eastAsia="de-DE"/>
        </w:rPr>
        <w:t>.</w:t>
      </w:r>
      <w:r w:rsidRPr="00E773DC">
        <w:rPr>
          <w:b/>
          <w:bCs/>
          <w:lang w:val="fr-FR" w:eastAsia="de-DE"/>
        </w:rPr>
        <w:t xml:space="preserve"> </w:t>
      </w:r>
      <w:r>
        <w:rPr>
          <w:b/>
          <w:bCs/>
          <w:lang w:val="fr-FR" w:eastAsia="de-DE"/>
        </w:rPr>
        <w:t>Cette</w:t>
      </w:r>
      <w:r w:rsidRPr="00E773DC">
        <w:rPr>
          <w:b/>
          <w:bCs/>
          <w:lang w:val="fr-FR" w:eastAsia="de-DE"/>
        </w:rPr>
        <w:t xml:space="preserve"> nouvelle version est limitée </w:t>
      </w:r>
      <w:r>
        <w:rPr>
          <w:b/>
          <w:bCs/>
          <w:lang w:val="fr-FR" w:eastAsia="de-DE"/>
        </w:rPr>
        <w:t>aux</w:t>
      </w:r>
      <w:r w:rsidRPr="00E773DC">
        <w:rPr>
          <w:b/>
          <w:bCs/>
          <w:lang w:val="fr-FR" w:eastAsia="de-DE"/>
        </w:rPr>
        <w:t xml:space="preserve"> modifications </w:t>
      </w:r>
      <w:r>
        <w:rPr>
          <w:b/>
          <w:bCs/>
          <w:lang w:val="fr-FR" w:eastAsia="de-DE"/>
        </w:rPr>
        <w:t xml:space="preserve">apportées </w:t>
      </w:r>
      <w:r w:rsidRPr="00E773DC">
        <w:rPr>
          <w:b/>
          <w:bCs/>
          <w:lang w:val="fr-FR" w:eastAsia="de-DE"/>
        </w:rPr>
        <w:t>et à leurs effets</w:t>
      </w:r>
      <w:r w:rsidR="00F72B31" w:rsidRPr="00F72B31">
        <w:rPr>
          <w:b/>
          <w:bCs/>
          <w:lang w:val="fr-FR" w:eastAsia="de-DE"/>
        </w:rPr>
        <w:t>.</w:t>
      </w:r>
      <w:r w:rsidRPr="00E773DC">
        <w:rPr>
          <w:b/>
          <w:bCs/>
          <w:lang w:val="fr-FR" w:eastAsia="de-DE"/>
        </w:rPr>
        <w:t xml:space="preserve"> </w:t>
      </w:r>
      <w:r>
        <w:rPr>
          <w:b/>
          <w:bCs/>
          <w:lang w:val="fr-FR" w:eastAsia="de-DE"/>
        </w:rPr>
        <w:t xml:space="preserve">Elle </w:t>
      </w:r>
      <w:r w:rsidRPr="00E773DC">
        <w:rPr>
          <w:b/>
          <w:bCs/>
          <w:lang w:val="fr-FR" w:eastAsia="de-DE"/>
        </w:rPr>
        <w:t>doit être évaluée et approuvée par l</w:t>
      </w:r>
      <w:r w:rsidR="00B921D9">
        <w:rPr>
          <w:b/>
          <w:bCs/>
          <w:lang w:val="fr-FR" w:eastAsia="de-DE"/>
        </w:rPr>
        <w:t>’</w:t>
      </w:r>
      <w:r w:rsidRPr="00E773DC">
        <w:rPr>
          <w:b/>
          <w:bCs/>
          <w:lang w:val="fr-FR" w:eastAsia="de-DE"/>
        </w:rPr>
        <w:t>autorité d</w:t>
      </w:r>
      <w:r w:rsidR="00B921D9">
        <w:rPr>
          <w:b/>
          <w:bCs/>
          <w:lang w:val="fr-FR" w:eastAsia="de-DE"/>
        </w:rPr>
        <w:t>’</w:t>
      </w:r>
      <w:r w:rsidRPr="00E773DC">
        <w:rPr>
          <w:b/>
          <w:bCs/>
          <w:lang w:val="fr-FR" w:eastAsia="de-DE"/>
        </w:rPr>
        <w:t>homologation</w:t>
      </w:r>
      <w:r w:rsidR="00F72B31" w:rsidRPr="00F72B31">
        <w:rPr>
          <w:b/>
          <w:bCs/>
          <w:lang w:val="fr-FR" w:eastAsia="de-DE"/>
        </w:rPr>
        <w:t>.</w:t>
      </w:r>
    </w:p>
    <w:p w14:paraId="400BC190" w14:textId="77777777" w:rsidR="00213792" w:rsidRDefault="00213792" w:rsidP="00213792">
      <w:pPr>
        <w:pStyle w:val="SingleTxtG"/>
        <w:ind w:left="2268"/>
        <w:rPr>
          <w:b/>
          <w:bCs/>
          <w:lang w:val="fr-FR" w:eastAsia="de-DE"/>
        </w:rPr>
      </w:pPr>
      <w:r w:rsidRPr="00E773DC">
        <w:rPr>
          <w:b/>
          <w:bCs/>
          <w:lang w:val="fr-FR" w:eastAsia="de-DE"/>
        </w:rPr>
        <w:t>Le dossier d</w:t>
      </w:r>
      <w:r w:rsidR="00B921D9">
        <w:rPr>
          <w:b/>
          <w:bCs/>
          <w:lang w:val="fr-FR" w:eastAsia="de-DE"/>
        </w:rPr>
        <w:t>’</w:t>
      </w:r>
      <w:r w:rsidRPr="00E773DC">
        <w:rPr>
          <w:b/>
          <w:bCs/>
          <w:lang w:val="fr-FR" w:eastAsia="de-DE"/>
        </w:rPr>
        <w:t>information sur l</w:t>
      </w:r>
      <w:r w:rsidR="00B921D9">
        <w:rPr>
          <w:b/>
          <w:bCs/>
          <w:lang w:val="fr-FR" w:eastAsia="de-DE"/>
        </w:rPr>
        <w:t>’</w:t>
      </w:r>
      <w:r w:rsidRPr="00E773DC">
        <w:rPr>
          <w:b/>
          <w:bCs/>
          <w:lang w:val="fr-FR" w:eastAsia="de-DE"/>
        </w:rPr>
        <w:t>AES est structuré comme suit :</w:t>
      </w:r>
    </w:p>
    <w:tbl>
      <w:tblPr>
        <w:tblStyle w:val="Grilledutableau"/>
        <w:tblW w:w="9637" w:type="dxa"/>
        <w:jc w:val="center"/>
        <w:tblLook w:val="04A0" w:firstRow="1" w:lastRow="0" w:firstColumn="1" w:lastColumn="0" w:noHBand="0" w:noVBand="1"/>
      </w:tblPr>
      <w:tblGrid>
        <w:gridCol w:w="1631"/>
        <w:gridCol w:w="1457"/>
        <w:gridCol w:w="2911"/>
        <w:gridCol w:w="3638"/>
      </w:tblGrid>
      <w:tr w:rsidR="00106897" w:rsidRPr="00E47751" w14:paraId="03E5ADFE" w14:textId="77777777" w:rsidTr="00106897">
        <w:trPr>
          <w:jc w:val="center"/>
        </w:trPr>
        <w:tc>
          <w:tcPr>
            <w:tcW w:w="1271" w:type="dxa"/>
          </w:tcPr>
          <w:p w14:paraId="1E0D7A98" w14:textId="77777777" w:rsidR="00106897" w:rsidRPr="00E47751" w:rsidRDefault="00106897" w:rsidP="00CB0680">
            <w:pPr>
              <w:spacing w:before="60" w:after="60" w:line="220" w:lineRule="atLeast"/>
              <w:ind w:left="57" w:right="57"/>
              <w:rPr>
                <w:b/>
                <w:bCs/>
                <w:lang w:val="fr-FR"/>
              </w:rPr>
            </w:pPr>
            <w:r w:rsidRPr="00E47751">
              <w:rPr>
                <w:b/>
                <w:bCs/>
                <w:lang w:val="fr-FR"/>
              </w:rPr>
              <w:t>Parties</w:t>
            </w:r>
          </w:p>
        </w:tc>
        <w:tc>
          <w:tcPr>
            <w:tcW w:w="1134" w:type="dxa"/>
          </w:tcPr>
          <w:p w14:paraId="0624E56D" w14:textId="77777777" w:rsidR="00106897" w:rsidRPr="00E47751" w:rsidRDefault="00106897" w:rsidP="00CB0680">
            <w:pPr>
              <w:spacing w:before="60" w:after="60" w:line="220" w:lineRule="atLeast"/>
              <w:ind w:left="57" w:right="57"/>
              <w:rPr>
                <w:b/>
                <w:bCs/>
                <w:lang w:val="fr-FR"/>
              </w:rPr>
            </w:pPr>
            <w:r w:rsidRPr="00E47751">
              <w:rPr>
                <w:b/>
                <w:bCs/>
                <w:lang w:val="fr-FR"/>
              </w:rPr>
              <w:t>Paragraphe</w:t>
            </w:r>
          </w:p>
        </w:tc>
        <w:tc>
          <w:tcPr>
            <w:tcW w:w="2268" w:type="dxa"/>
          </w:tcPr>
          <w:p w14:paraId="50822FA8" w14:textId="77777777" w:rsidR="00106897" w:rsidRPr="00E47751" w:rsidRDefault="00106897" w:rsidP="00CB0680">
            <w:pPr>
              <w:spacing w:before="60" w:after="60" w:line="220" w:lineRule="atLeast"/>
              <w:ind w:left="57" w:right="57"/>
              <w:rPr>
                <w:b/>
                <w:bCs/>
                <w:lang w:val="fr-FR"/>
              </w:rPr>
            </w:pPr>
            <w:r w:rsidRPr="00E47751">
              <w:rPr>
                <w:b/>
                <w:bCs/>
                <w:lang w:val="fr-FR"/>
              </w:rPr>
              <w:t>Objet</w:t>
            </w:r>
          </w:p>
        </w:tc>
        <w:tc>
          <w:tcPr>
            <w:tcW w:w="2835" w:type="dxa"/>
          </w:tcPr>
          <w:p w14:paraId="2D6B2E8D" w14:textId="77777777" w:rsidR="00106897" w:rsidRPr="00E47751" w:rsidRDefault="00106897" w:rsidP="00CB0680">
            <w:pPr>
              <w:spacing w:before="60" w:after="60" w:line="220" w:lineRule="atLeast"/>
              <w:ind w:left="57" w:right="57"/>
              <w:rPr>
                <w:b/>
                <w:bCs/>
                <w:lang w:val="fr-FR"/>
              </w:rPr>
            </w:pPr>
            <w:r w:rsidRPr="00E47751">
              <w:rPr>
                <w:b/>
                <w:bCs/>
                <w:lang w:val="fr-FR"/>
              </w:rPr>
              <w:t>Explication</w:t>
            </w:r>
          </w:p>
        </w:tc>
      </w:tr>
      <w:tr w:rsidR="00106897" w:rsidRPr="00E47751" w14:paraId="7787E9A6" w14:textId="77777777" w:rsidTr="00106897">
        <w:trPr>
          <w:jc w:val="center"/>
        </w:trPr>
        <w:tc>
          <w:tcPr>
            <w:tcW w:w="1271" w:type="dxa"/>
            <w:vMerge w:val="restart"/>
          </w:tcPr>
          <w:p w14:paraId="1D50A9CA" w14:textId="77777777" w:rsidR="00106897" w:rsidRPr="00E47751" w:rsidRDefault="00106897" w:rsidP="00CB0680">
            <w:pPr>
              <w:spacing w:before="60" w:after="60" w:line="220" w:lineRule="atLeast"/>
              <w:ind w:left="57" w:right="57"/>
              <w:rPr>
                <w:b/>
                <w:bCs/>
                <w:lang w:val="fr-FR"/>
              </w:rPr>
            </w:pPr>
            <w:r w:rsidRPr="00E47751">
              <w:rPr>
                <w:b/>
                <w:bCs/>
                <w:lang w:val="fr-FR"/>
              </w:rPr>
              <w:t>Documents introductifs</w:t>
            </w:r>
          </w:p>
        </w:tc>
        <w:tc>
          <w:tcPr>
            <w:tcW w:w="1134" w:type="dxa"/>
          </w:tcPr>
          <w:p w14:paraId="3A8E6CEB" w14:textId="77777777" w:rsidR="00106897" w:rsidRPr="00E47751" w:rsidRDefault="00106897" w:rsidP="00CB0680">
            <w:pPr>
              <w:spacing w:before="60" w:after="60" w:line="220" w:lineRule="atLeast"/>
              <w:ind w:left="57" w:right="57"/>
              <w:rPr>
                <w:b/>
                <w:bCs/>
                <w:lang w:val="fr-FR"/>
              </w:rPr>
            </w:pPr>
          </w:p>
        </w:tc>
        <w:tc>
          <w:tcPr>
            <w:tcW w:w="2268" w:type="dxa"/>
          </w:tcPr>
          <w:p w14:paraId="04F5589A" w14:textId="77777777" w:rsidR="00106897" w:rsidRPr="00E47751" w:rsidRDefault="00106897" w:rsidP="00CB0680">
            <w:pPr>
              <w:spacing w:before="60" w:after="60" w:line="220" w:lineRule="atLeast"/>
              <w:ind w:left="57" w:right="57"/>
              <w:rPr>
                <w:b/>
                <w:bCs/>
                <w:lang w:val="fr-FR"/>
              </w:rPr>
            </w:pPr>
            <w:r w:rsidRPr="00E47751">
              <w:rPr>
                <w:b/>
                <w:bCs/>
                <w:lang w:val="fr-FR"/>
              </w:rPr>
              <w:t>Lettre de présentation à l’autorité d’homologation de type</w:t>
            </w:r>
          </w:p>
        </w:tc>
        <w:tc>
          <w:tcPr>
            <w:tcW w:w="2835" w:type="dxa"/>
          </w:tcPr>
          <w:p w14:paraId="5354CEA1" w14:textId="77777777" w:rsidR="00106897" w:rsidRPr="00E47751" w:rsidRDefault="00106897" w:rsidP="00CB0680">
            <w:pPr>
              <w:spacing w:before="60" w:after="60" w:line="220" w:lineRule="atLeast"/>
              <w:ind w:left="57" w:right="57"/>
              <w:rPr>
                <w:b/>
                <w:bCs/>
                <w:lang w:val="fr-FR"/>
              </w:rPr>
            </w:pPr>
            <w:r w:rsidRPr="00E47751">
              <w:rPr>
                <w:b/>
                <w:bCs/>
                <w:lang w:val="fr-FR"/>
              </w:rPr>
              <w:t>Référence du document comprenant la version, la date d’émission du document et la signature de la personne compétente de l’organisation du constructeur</w:t>
            </w:r>
          </w:p>
        </w:tc>
      </w:tr>
      <w:tr w:rsidR="00106897" w:rsidRPr="00E47751" w14:paraId="4731D926" w14:textId="77777777" w:rsidTr="00106897">
        <w:trPr>
          <w:jc w:val="center"/>
        </w:trPr>
        <w:tc>
          <w:tcPr>
            <w:tcW w:w="1271" w:type="dxa"/>
            <w:vMerge/>
          </w:tcPr>
          <w:p w14:paraId="341B8C7A" w14:textId="77777777" w:rsidR="00106897" w:rsidRPr="00E47751" w:rsidRDefault="00106897" w:rsidP="00CB0680">
            <w:pPr>
              <w:spacing w:before="60" w:after="60" w:line="220" w:lineRule="atLeast"/>
              <w:ind w:left="57" w:right="57"/>
              <w:rPr>
                <w:b/>
                <w:bCs/>
                <w:lang w:val="fr-FR"/>
              </w:rPr>
            </w:pPr>
          </w:p>
        </w:tc>
        <w:tc>
          <w:tcPr>
            <w:tcW w:w="1134" w:type="dxa"/>
          </w:tcPr>
          <w:p w14:paraId="1FE8F1E0" w14:textId="77777777" w:rsidR="00106897" w:rsidRPr="00E47751" w:rsidRDefault="00106897" w:rsidP="00CB0680">
            <w:pPr>
              <w:spacing w:before="60" w:after="60" w:line="220" w:lineRule="atLeast"/>
              <w:ind w:left="57" w:right="57"/>
              <w:rPr>
                <w:b/>
                <w:bCs/>
                <w:lang w:val="fr-FR"/>
              </w:rPr>
            </w:pPr>
          </w:p>
        </w:tc>
        <w:tc>
          <w:tcPr>
            <w:tcW w:w="2268" w:type="dxa"/>
          </w:tcPr>
          <w:p w14:paraId="4693D1C7" w14:textId="77777777" w:rsidR="00106897" w:rsidRPr="00E47751" w:rsidRDefault="00106897" w:rsidP="00CB0680">
            <w:pPr>
              <w:spacing w:before="60" w:after="60" w:line="220" w:lineRule="atLeast"/>
              <w:ind w:left="57" w:right="57"/>
              <w:rPr>
                <w:b/>
                <w:bCs/>
                <w:lang w:val="fr-FR"/>
              </w:rPr>
            </w:pPr>
            <w:r w:rsidRPr="00E47751">
              <w:rPr>
                <w:b/>
                <w:bCs/>
                <w:lang w:val="fr-FR"/>
              </w:rPr>
              <w:t>Tableau des versions</w:t>
            </w:r>
          </w:p>
        </w:tc>
        <w:tc>
          <w:tcPr>
            <w:tcW w:w="2835" w:type="dxa"/>
          </w:tcPr>
          <w:p w14:paraId="2FE389FF" w14:textId="77777777" w:rsidR="00106897" w:rsidRPr="00E47751" w:rsidRDefault="00106897" w:rsidP="00CB0680">
            <w:pPr>
              <w:spacing w:before="60" w:after="60" w:line="220" w:lineRule="atLeast"/>
              <w:ind w:left="57" w:right="57"/>
              <w:rPr>
                <w:b/>
                <w:bCs/>
                <w:lang w:val="fr-FR"/>
              </w:rPr>
            </w:pPr>
            <w:r w:rsidRPr="00E47751">
              <w:rPr>
                <w:b/>
                <w:bCs/>
                <w:lang w:val="fr-FR"/>
              </w:rPr>
              <w:t>Contenu des modifications apportées par chaque version, précisant quelle partie a été modifiée</w:t>
            </w:r>
          </w:p>
        </w:tc>
      </w:tr>
      <w:tr w:rsidR="00106897" w:rsidRPr="00E47751" w14:paraId="4DC2FD5D" w14:textId="77777777" w:rsidTr="00106897">
        <w:trPr>
          <w:jc w:val="center"/>
        </w:trPr>
        <w:tc>
          <w:tcPr>
            <w:tcW w:w="1271" w:type="dxa"/>
            <w:vMerge/>
          </w:tcPr>
          <w:p w14:paraId="5E6454A7" w14:textId="77777777" w:rsidR="00106897" w:rsidRPr="00E47751" w:rsidRDefault="00106897" w:rsidP="00CB0680">
            <w:pPr>
              <w:spacing w:before="60" w:after="60" w:line="220" w:lineRule="atLeast"/>
              <w:ind w:left="57" w:right="57"/>
              <w:rPr>
                <w:b/>
                <w:bCs/>
                <w:lang w:val="fr-FR"/>
              </w:rPr>
            </w:pPr>
          </w:p>
        </w:tc>
        <w:tc>
          <w:tcPr>
            <w:tcW w:w="1134" w:type="dxa"/>
          </w:tcPr>
          <w:p w14:paraId="4A10804E" w14:textId="77777777" w:rsidR="00106897" w:rsidRPr="00E47751" w:rsidRDefault="00106897" w:rsidP="00CB0680">
            <w:pPr>
              <w:spacing w:before="60" w:after="60" w:line="220" w:lineRule="atLeast"/>
              <w:ind w:left="57" w:right="57"/>
              <w:rPr>
                <w:b/>
                <w:bCs/>
                <w:lang w:val="fr-FR"/>
              </w:rPr>
            </w:pPr>
          </w:p>
        </w:tc>
        <w:tc>
          <w:tcPr>
            <w:tcW w:w="2268" w:type="dxa"/>
          </w:tcPr>
          <w:p w14:paraId="761710EA" w14:textId="77777777" w:rsidR="00106897" w:rsidRPr="00E47751" w:rsidRDefault="00106897" w:rsidP="00CB0680">
            <w:pPr>
              <w:spacing w:before="60" w:after="60" w:line="220" w:lineRule="atLeast"/>
              <w:ind w:left="57" w:right="57"/>
              <w:rPr>
                <w:b/>
                <w:bCs/>
                <w:lang w:val="fr-FR"/>
              </w:rPr>
            </w:pPr>
            <w:r w:rsidRPr="00E47751">
              <w:rPr>
                <w:b/>
                <w:bCs/>
                <w:lang w:val="fr-FR"/>
              </w:rPr>
              <w:t>Description des types d’émissions concernés</w:t>
            </w:r>
          </w:p>
        </w:tc>
        <w:tc>
          <w:tcPr>
            <w:tcW w:w="2835" w:type="dxa"/>
          </w:tcPr>
          <w:p w14:paraId="6DF0E661" w14:textId="77777777" w:rsidR="00106897" w:rsidRPr="00E47751" w:rsidRDefault="00106897" w:rsidP="00CB0680">
            <w:pPr>
              <w:spacing w:before="60" w:after="60" w:line="220" w:lineRule="atLeast"/>
              <w:ind w:left="57" w:right="57"/>
              <w:rPr>
                <w:b/>
                <w:bCs/>
                <w:lang w:val="fr-FR"/>
              </w:rPr>
            </w:pPr>
          </w:p>
        </w:tc>
      </w:tr>
      <w:tr w:rsidR="00106897" w:rsidRPr="00E47751" w14:paraId="5B9B888B" w14:textId="77777777" w:rsidTr="00106897">
        <w:trPr>
          <w:jc w:val="center"/>
        </w:trPr>
        <w:tc>
          <w:tcPr>
            <w:tcW w:w="1271" w:type="dxa"/>
            <w:vMerge/>
          </w:tcPr>
          <w:p w14:paraId="4C7EC8CD" w14:textId="77777777" w:rsidR="00106897" w:rsidRPr="00E47751" w:rsidRDefault="00106897" w:rsidP="00CB0680">
            <w:pPr>
              <w:spacing w:before="60" w:after="60" w:line="220" w:lineRule="atLeast"/>
              <w:ind w:left="57" w:right="57"/>
              <w:rPr>
                <w:b/>
                <w:bCs/>
                <w:lang w:val="fr-FR"/>
              </w:rPr>
            </w:pPr>
          </w:p>
        </w:tc>
        <w:tc>
          <w:tcPr>
            <w:tcW w:w="1134" w:type="dxa"/>
          </w:tcPr>
          <w:p w14:paraId="36EA4F84" w14:textId="77777777" w:rsidR="00106897" w:rsidRPr="00E47751" w:rsidRDefault="00106897" w:rsidP="00CB0680">
            <w:pPr>
              <w:spacing w:before="60" w:after="60" w:line="220" w:lineRule="atLeast"/>
              <w:ind w:left="57" w:right="57"/>
              <w:rPr>
                <w:b/>
                <w:bCs/>
                <w:lang w:val="fr-FR"/>
              </w:rPr>
            </w:pPr>
          </w:p>
        </w:tc>
        <w:tc>
          <w:tcPr>
            <w:tcW w:w="2268" w:type="dxa"/>
          </w:tcPr>
          <w:p w14:paraId="55F95C22" w14:textId="77777777" w:rsidR="00106897" w:rsidRPr="00E47751" w:rsidRDefault="00106897" w:rsidP="00CB0680">
            <w:pPr>
              <w:spacing w:before="60" w:after="60" w:line="220" w:lineRule="atLeast"/>
              <w:ind w:left="57" w:right="57"/>
              <w:rPr>
                <w:b/>
                <w:bCs/>
                <w:lang w:val="fr-FR"/>
              </w:rPr>
            </w:pPr>
            <w:r w:rsidRPr="00E47751">
              <w:rPr>
                <w:b/>
                <w:bCs/>
                <w:lang w:val="fr-FR"/>
              </w:rPr>
              <w:t>Liste des documents annexés</w:t>
            </w:r>
          </w:p>
        </w:tc>
        <w:tc>
          <w:tcPr>
            <w:tcW w:w="2835" w:type="dxa"/>
          </w:tcPr>
          <w:p w14:paraId="5A5074BE" w14:textId="77777777" w:rsidR="00106897" w:rsidRPr="00E47751" w:rsidRDefault="00106897" w:rsidP="00CB0680">
            <w:pPr>
              <w:spacing w:before="60" w:after="60" w:line="220" w:lineRule="atLeast"/>
              <w:ind w:left="57" w:right="57"/>
              <w:rPr>
                <w:b/>
                <w:bCs/>
                <w:lang w:val="fr-FR"/>
              </w:rPr>
            </w:pPr>
            <w:r w:rsidRPr="00E47751">
              <w:rPr>
                <w:b/>
                <w:bCs/>
                <w:lang w:val="fr-FR"/>
              </w:rPr>
              <w:t>Liste de tous les documents joints</w:t>
            </w:r>
          </w:p>
        </w:tc>
      </w:tr>
      <w:tr w:rsidR="00106897" w:rsidRPr="00E47751" w14:paraId="6B556369" w14:textId="77777777" w:rsidTr="00106897">
        <w:trPr>
          <w:jc w:val="center"/>
        </w:trPr>
        <w:tc>
          <w:tcPr>
            <w:tcW w:w="1271" w:type="dxa"/>
            <w:vMerge/>
          </w:tcPr>
          <w:p w14:paraId="78D22F6F" w14:textId="77777777" w:rsidR="00106897" w:rsidRPr="00E47751" w:rsidRDefault="00106897" w:rsidP="00CB0680">
            <w:pPr>
              <w:spacing w:before="60" w:after="60" w:line="220" w:lineRule="atLeast"/>
              <w:ind w:left="57" w:right="57"/>
              <w:rPr>
                <w:b/>
                <w:bCs/>
                <w:lang w:val="fr-FR"/>
              </w:rPr>
            </w:pPr>
          </w:p>
        </w:tc>
        <w:tc>
          <w:tcPr>
            <w:tcW w:w="1134" w:type="dxa"/>
          </w:tcPr>
          <w:p w14:paraId="3272A797" w14:textId="77777777" w:rsidR="00106897" w:rsidRPr="00E47751" w:rsidRDefault="00106897" w:rsidP="00CB0680">
            <w:pPr>
              <w:spacing w:before="60" w:after="60" w:line="220" w:lineRule="atLeast"/>
              <w:ind w:left="57" w:right="57"/>
              <w:rPr>
                <w:b/>
                <w:bCs/>
                <w:lang w:val="fr-FR"/>
              </w:rPr>
            </w:pPr>
          </w:p>
        </w:tc>
        <w:tc>
          <w:tcPr>
            <w:tcW w:w="2268" w:type="dxa"/>
          </w:tcPr>
          <w:p w14:paraId="739425D7" w14:textId="77777777" w:rsidR="00106897" w:rsidRPr="00E47751" w:rsidRDefault="00106897" w:rsidP="00CB0680">
            <w:pPr>
              <w:spacing w:before="60" w:after="60" w:line="220" w:lineRule="atLeast"/>
              <w:ind w:left="57" w:right="57"/>
              <w:rPr>
                <w:b/>
                <w:bCs/>
                <w:lang w:val="fr-FR"/>
              </w:rPr>
            </w:pPr>
            <w:r w:rsidRPr="00E47751">
              <w:rPr>
                <w:b/>
                <w:bCs/>
                <w:lang w:val="fr-FR"/>
              </w:rPr>
              <w:t>Références croisées</w:t>
            </w:r>
          </w:p>
        </w:tc>
        <w:tc>
          <w:tcPr>
            <w:tcW w:w="2835" w:type="dxa"/>
          </w:tcPr>
          <w:p w14:paraId="157CAF15" w14:textId="77777777" w:rsidR="00106897" w:rsidRPr="00E47751" w:rsidRDefault="00106897" w:rsidP="00CB0680">
            <w:pPr>
              <w:spacing w:before="60" w:after="60" w:line="220" w:lineRule="atLeast"/>
              <w:ind w:left="57" w:right="57"/>
              <w:rPr>
                <w:b/>
                <w:bCs/>
                <w:lang w:val="fr-FR"/>
              </w:rPr>
            </w:pPr>
            <w:r w:rsidRPr="00E47751">
              <w:rPr>
                <w:b/>
                <w:bCs/>
                <w:lang w:val="fr-FR"/>
              </w:rPr>
              <w:t>Renvois aux paragraphes a) à i) de l’annexe 2D (dans lesquels sont énoncées les dispositions du Règlement)</w:t>
            </w:r>
          </w:p>
        </w:tc>
      </w:tr>
      <w:tr w:rsidR="00106897" w:rsidRPr="00E47751" w14:paraId="04712D43" w14:textId="77777777" w:rsidTr="00106897">
        <w:trPr>
          <w:jc w:val="center"/>
        </w:trPr>
        <w:tc>
          <w:tcPr>
            <w:tcW w:w="1271" w:type="dxa"/>
            <w:vMerge/>
          </w:tcPr>
          <w:p w14:paraId="45D3A87B" w14:textId="77777777" w:rsidR="00106897" w:rsidRPr="00E47751" w:rsidRDefault="00106897" w:rsidP="00CB0680">
            <w:pPr>
              <w:spacing w:before="60" w:after="60" w:line="220" w:lineRule="atLeast"/>
              <w:ind w:left="57" w:right="57"/>
              <w:rPr>
                <w:b/>
                <w:bCs/>
                <w:lang w:val="fr-FR"/>
              </w:rPr>
            </w:pPr>
          </w:p>
        </w:tc>
        <w:tc>
          <w:tcPr>
            <w:tcW w:w="1134" w:type="dxa"/>
          </w:tcPr>
          <w:p w14:paraId="63F361E7" w14:textId="77777777" w:rsidR="00106897" w:rsidRPr="00E47751" w:rsidRDefault="00106897" w:rsidP="00CB0680">
            <w:pPr>
              <w:spacing w:before="60" w:after="60" w:line="220" w:lineRule="atLeast"/>
              <w:ind w:left="57" w:right="57"/>
              <w:rPr>
                <w:b/>
                <w:bCs/>
                <w:lang w:val="fr-FR"/>
              </w:rPr>
            </w:pPr>
          </w:p>
        </w:tc>
        <w:tc>
          <w:tcPr>
            <w:tcW w:w="2268" w:type="dxa"/>
          </w:tcPr>
          <w:p w14:paraId="0AFFD85A" w14:textId="77777777" w:rsidR="00106897" w:rsidRPr="00E47751" w:rsidRDefault="00106897" w:rsidP="00CB0680">
            <w:pPr>
              <w:spacing w:before="60" w:after="60" w:line="220" w:lineRule="atLeast"/>
              <w:ind w:left="57" w:right="57"/>
              <w:rPr>
                <w:b/>
                <w:bCs/>
                <w:lang w:val="fr-FR"/>
              </w:rPr>
            </w:pPr>
            <w:r w:rsidRPr="00E47751">
              <w:rPr>
                <w:b/>
                <w:bCs/>
                <w:lang w:val="fr-FR"/>
              </w:rPr>
              <w:t>Déclaration d’absence de dispositif d’invalidation</w:t>
            </w:r>
          </w:p>
        </w:tc>
        <w:tc>
          <w:tcPr>
            <w:tcW w:w="2835" w:type="dxa"/>
          </w:tcPr>
          <w:p w14:paraId="141BAAB9" w14:textId="77777777" w:rsidR="00106897" w:rsidRPr="00E47751" w:rsidRDefault="00106897" w:rsidP="00CB0680">
            <w:pPr>
              <w:spacing w:before="60" w:after="60" w:line="220" w:lineRule="atLeast"/>
              <w:ind w:left="57" w:right="57"/>
              <w:rPr>
                <w:b/>
                <w:bCs/>
                <w:lang w:val="fr-FR"/>
              </w:rPr>
            </w:pPr>
            <w:r w:rsidRPr="00E47751">
              <w:rPr>
                <w:b/>
                <w:bCs/>
                <w:lang w:val="fr-FR"/>
              </w:rPr>
              <w:t>Y compris signature</w:t>
            </w:r>
          </w:p>
        </w:tc>
      </w:tr>
      <w:tr w:rsidR="00106897" w:rsidRPr="00E47751" w14:paraId="62CA99AA" w14:textId="77777777" w:rsidTr="00106897">
        <w:trPr>
          <w:jc w:val="center"/>
        </w:trPr>
        <w:tc>
          <w:tcPr>
            <w:tcW w:w="1271" w:type="dxa"/>
            <w:vMerge w:val="restart"/>
          </w:tcPr>
          <w:p w14:paraId="04E223B5" w14:textId="77777777" w:rsidR="00106897" w:rsidRPr="00E47751" w:rsidRDefault="00106897" w:rsidP="00106897">
            <w:pPr>
              <w:keepNext/>
              <w:spacing w:before="60" w:after="60" w:line="220" w:lineRule="atLeast"/>
              <w:ind w:left="57" w:right="57"/>
              <w:rPr>
                <w:b/>
                <w:bCs/>
                <w:lang w:val="fr-FR"/>
              </w:rPr>
            </w:pPr>
            <w:r w:rsidRPr="00E47751">
              <w:rPr>
                <w:b/>
                <w:bCs/>
                <w:lang w:val="fr-FR"/>
              </w:rPr>
              <w:lastRenderedPageBreak/>
              <w:t>Document de</w:t>
            </w:r>
            <w:r>
              <w:rPr>
                <w:b/>
                <w:bCs/>
                <w:lang w:val="fr-FR"/>
              </w:rPr>
              <w:t> </w:t>
            </w:r>
            <w:r w:rsidRPr="00E47751">
              <w:rPr>
                <w:b/>
                <w:bCs/>
                <w:lang w:val="fr-FR"/>
              </w:rPr>
              <w:t>base</w:t>
            </w:r>
          </w:p>
        </w:tc>
        <w:tc>
          <w:tcPr>
            <w:tcW w:w="1134" w:type="dxa"/>
          </w:tcPr>
          <w:p w14:paraId="72808B5A" w14:textId="77777777" w:rsidR="00106897" w:rsidRPr="00E47751" w:rsidRDefault="00106897" w:rsidP="00106897">
            <w:pPr>
              <w:keepNext/>
              <w:spacing w:before="60" w:after="60" w:line="220" w:lineRule="atLeast"/>
              <w:ind w:left="57" w:right="57"/>
              <w:rPr>
                <w:b/>
                <w:bCs/>
                <w:lang w:val="fr-FR"/>
              </w:rPr>
            </w:pPr>
            <w:r w:rsidRPr="00E47751">
              <w:rPr>
                <w:b/>
                <w:bCs/>
                <w:lang w:val="fr-FR"/>
              </w:rPr>
              <w:t>0</w:t>
            </w:r>
            <w:r w:rsidR="00F72B31" w:rsidRPr="00F72B31">
              <w:rPr>
                <w:b/>
                <w:bCs/>
                <w:lang w:val="fr-FR"/>
              </w:rPr>
              <w:t>.</w:t>
            </w:r>
          </w:p>
        </w:tc>
        <w:tc>
          <w:tcPr>
            <w:tcW w:w="2268" w:type="dxa"/>
          </w:tcPr>
          <w:p w14:paraId="486EE92A" w14:textId="77777777" w:rsidR="00106897" w:rsidRPr="00E47751" w:rsidRDefault="00106897" w:rsidP="00106897">
            <w:pPr>
              <w:keepNext/>
              <w:spacing w:before="60" w:after="60" w:line="220" w:lineRule="atLeast"/>
              <w:ind w:left="57" w:right="57"/>
              <w:rPr>
                <w:b/>
                <w:bCs/>
                <w:lang w:val="fr-FR"/>
              </w:rPr>
            </w:pPr>
            <w:r w:rsidRPr="00E47751">
              <w:rPr>
                <w:b/>
                <w:bCs/>
                <w:lang w:val="fr-FR"/>
              </w:rPr>
              <w:t>Acronymes et abréviations</w:t>
            </w:r>
          </w:p>
        </w:tc>
        <w:tc>
          <w:tcPr>
            <w:tcW w:w="2835" w:type="dxa"/>
          </w:tcPr>
          <w:p w14:paraId="61F3D8A2" w14:textId="77777777" w:rsidR="00106897" w:rsidRPr="00E47751" w:rsidRDefault="00106897" w:rsidP="00106897">
            <w:pPr>
              <w:keepNext/>
              <w:spacing w:before="60" w:after="60" w:line="220" w:lineRule="atLeast"/>
              <w:ind w:left="57" w:right="57"/>
              <w:rPr>
                <w:b/>
                <w:bCs/>
                <w:lang w:val="fr-FR"/>
              </w:rPr>
            </w:pPr>
          </w:p>
        </w:tc>
      </w:tr>
      <w:tr w:rsidR="00106897" w:rsidRPr="00E47751" w14:paraId="018F9287" w14:textId="77777777" w:rsidTr="00106897">
        <w:trPr>
          <w:jc w:val="center"/>
        </w:trPr>
        <w:tc>
          <w:tcPr>
            <w:tcW w:w="1271" w:type="dxa"/>
            <w:vMerge/>
          </w:tcPr>
          <w:p w14:paraId="1175EE4B" w14:textId="77777777" w:rsidR="00106897" w:rsidRPr="00E47751" w:rsidRDefault="00106897" w:rsidP="00106897">
            <w:pPr>
              <w:keepNext/>
              <w:spacing w:before="60" w:after="60" w:line="220" w:lineRule="atLeast"/>
              <w:ind w:left="57" w:right="57"/>
              <w:rPr>
                <w:b/>
                <w:bCs/>
                <w:lang w:val="fr-FR"/>
              </w:rPr>
            </w:pPr>
          </w:p>
        </w:tc>
        <w:tc>
          <w:tcPr>
            <w:tcW w:w="1134" w:type="dxa"/>
          </w:tcPr>
          <w:p w14:paraId="74437D6C" w14:textId="77777777" w:rsidR="00106897" w:rsidRPr="00E47751" w:rsidRDefault="00106897" w:rsidP="00106897">
            <w:pPr>
              <w:keepNext/>
              <w:spacing w:before="60" w:after="60" w:line="220" w:lineRule="atLeast"/>
              <w:ind w:left="57" w:right="57"/>
              <w:rPr>
                <w:b/>
                <w:bCs/>
                <w:lang w:val="fr-FR"/>
              </w:rPr>
            </w:pPr>
            <w:r w:rsidRPr="00E47751">
              <w:rPr>
                <w:b/>
                <w:bCs/>
                <w:lang w:val="fr-FR"/>
              </w:rPr>
              <w:t>1</w:t>
            </w:r>
            <w:r w:rsidR="00F72B31" w:rsidRPr="00F72B31">
              <w:rPr>
                <w:b/>
                <w:bCs/>
                <w:lang w:val="fr-FR"/>
              </w:rPr>
              <w:t>.</w:t>
            </w:r>
          </w:p>
        </w:tc>
        <w:tc>
          <w:tcPr>
            <w:tcW w:w="2268" w:type="dxa"/>
          </w:tcPr>
          <w:p w14:paraId="5C2F91B1" w14:textId="77777777" w:rsidR="00106897" w:rsidRPr="00E47751" w:rsidRDefault="00106897" w:rsidP="00106897">
            <w:pPr>
              <w:keepNext/>
              <w:spacing w:before="60" w:after="60" w:line="220" w:lineRule="atLeast"/>
              <w:ind w:left="57" w:right="57"/>
              <w:rPr>
                <w:b/>
                <w:bCs/>
                <w:lang w:val="fr-FR"/>
              </w:rPr>
            </w:pPr>
            <w:r w:rsidRPr="00E47751">
              <w:rPr>
                <w:b/>
                <w:bCs/>
                <w:lang w:val="fr-FR"/>
              </w:rPr>
              <w:t>DESCRIPTION GÉNÉRALE</w:t>
            </w:r>
          </w:p>
        </w:tc>
        <w:tc>
          <w:tcPr>
            <w:tcW w:w="2835" w:type="dxa"/>
          </w:tcPr>
          <w:p w14:paraId="27F51E13" w14:textId="77777777" w:rsidR="00106897" w:rsidRPr="00E47751" w:rsidRDefault="00106897" w:rsidP="00106897">
            <w:pPr>
              <w:keepNext/>
              <w:spacing w:before="60" w:after="60" w:line="220" w:lineRule="atLeast"/>
              <w:ind w:left="57" w:right="57"/>
              <w:rPr>
                <w:b/>
                <w:bCs/>
                <w:lang w:val="fr-FR"/>
              </w:rPr>
            </w:pPr>
          </w:p>
        </w:tc>
      </w:tr>
      <w:tr w:rsidR="00106897" w:rsidRPr="00E47751" w14:paraId="2FD2C6B4" w14:textId="77777777" w:rsidTr="00106897">
        <w:trPr>
          <w:jc w:val="center"/>
        </w:trPr>
        <w:tc>
          <w:tcPr>
            <w:tcW w:w="1271" w:type="dxa"/>
            <w:vMerge/>
          </w:tcPr>
          <w:p w14:paraId="7BF4ED6D" w14:textId="77777777" w:rsidR="00106897" w:rsidRPr="00E47751" w:rsidRDefault="00106897" w:rsidP="00106897">
            <w:pPr>
              <w:keepNext/>
              <w:spacing w:before="60" w:after="60" w:line="220" w:lineRule="atLeast"/>
              <w:ind w:left="57" w:right="57"/>
              <w:rPr>
                <w:b/>
                <w:bCs/>
                <w:lang w:val="fr-FR"/>
              </w:rPr>
            </w:pPr>
          </w:p>
        </w:tc>
        <w:tc>
          <w:tcPr>
            <w:tcW w:w="1134" w:type="dxa"/>
          </w:tcPr>
          <w:p w14:paraId="7E456B20" w14:textId="77777777" w:rsidR="00106897" w:rsidRPr="00E47751" w:rsidRDefault="00106897" w:rsidP="00106897">
            <w:pPr>
              <w:keepNext/>
              <w:spacing w:before="60" w:after="60" w:line="220" w:lineRule="atLeast"/>
              <w:ind w:left="57" w:right="57"/>
              <w:rPr>
                <w:b/>
                <w:bCs/>
                <w:lang w:val="fr-FR"/>
              </w:rPr>
            </w:pPr>
            <w:r w:rsidRPr="00E47751">
              <w:rPr>
                <w:b/>
                <w:bCs/>
                <w:lang w:val="fr-FR"/>
              </w:rPr>
              <w:t>1</w:t>
            </w:r>
            <w:r w:rsidR="00F72B31" w:rsidRPr="00F72B31">
              <w:rPr>
                <w:b/>
                <w:bCs/>
                <w:lang w:val="fr-FR"/>
              </w:rPr>
              <w:t>.</w:t>
            </w:r>
            <w:r w:rsidRPr="00E47751">
              <w:rPr>
                <w:b/>
                <w:bCs/>
                <w:lang w:val="fr-FR"/>
              </w:rPr>
              <w:t>1</w:t>
            </w:r>
          </w:p>
        </w:tc>
        <w:tc>
          <w:tcPr>
            <w:tcW w:w="2268" w:type="dxa"/>
          </w:tcPr>
          <w:p w14:paraId="482BB205" w14:textId="77777777" w:rsidR="00106897" w:rsidRPr="00E47751" w:rsidRDefault="00106897" w:rsidP="00106897">
            <w:pPr>
              <w:keepNext/>
              <w:spacing w:before="60" w:after="60" w:line="220" w:lineRule="atLeast"/>
              <w:ind w:left="57" w:right="57"/>
              <w:rPr>
                <w:b/>
                <w:bCs/>
                <w:lang w:val="fr-FR"/>
              </w:rPr>
            </w:pPr>
            <w:r w:rsidRPr="00E47751">
              <w:rPr>
                <w:b/>
                <w:bCs/>
                <w:lang w:val="fr-FR"/>
              </w:rPr>
              <w:t>Présentation générale du</w:t>
            </w:r>
            <w:r w:rsidR="0041668D">
              <w:rPr>
                <w:b/>
                <w:bCs/>
                <w:lang w:val="fr-FR"/>
              </w:rPr>
              <w:t> </w:t>
            </w:r>
            <w:r w:rsidRPr="00E47751">
              <w:rPr>
                <w:b/>
                <w:bCs/>
                <w:lang w:val="fr-FR"/>
              </w:rPr>
              <w:t>moteur</w:t>
            </w:r>
          </w:p>
        </w:tc>
        <w:tc>
          <w:tcPr>
            <w:tcW w:w="2835" w:type="dxa"/>
          </w:tcPr>
          <w:p w14:paraId="4F594C59" w14:textId="77777777" w:rsidR="00106897" w:rsidRPr="00E47751" w:rsidRDefault="00106897" w:rsidP="00106897">
            <w:pPr>
              <w:keepNext/>
              <w:spacing w:before="60" w:after="60" w:line="220" w:lineRule="atLeast"/>
              <w:ind w:left="57" w:right="57"/>
              <w:rPr>
                <w:b/>
                <w:bCs/>
                <w:lang w:val="fr-FR"/>
              </w:rPr>
            </w:pPr>
            <w:r w:rsidRPr="00E47751">
              <w:rPr>
                <w:b/>
                <w:bCs/>
                <w:lang w:val="fr-FR"/>
              </w:rPr>
              <w:t>Description des principales caractéristiques : cylindrée, système de traitement aval, etc</w:t>
            </w:r>
            <w:r w:rsidR="00F72B31" w:rsidRPr="00F72B31">
              <w:rPr>
                <w:b/>
                <w:bCs/>
                <w:lang w:val="fr-FR"/>
              </w:rPr>
              <w:t>.</w:t>
            </w:r>
          </w:p>
        </w:tc>
      </w:tr>
      <w:tr w:rsidR="00106897" w:rsidRPr="00E47751" w14:paraId="3E323592" w14:textId="77777777" w:rsidTr="00106897">
        <w:trPr>
          <w:jc w:val="center"/>
        </w:trPr>
        <w:tc>
          <w:tcPr>
            <w:tcW w:w="1271" w:type="dxa"/>
            <w:vMerge/>
          </w:tcPr>
          <w:p w14:paraId="441DAF19" w14:textId="77777777" w:rsidR="00106897" w:rsidRPr="00E47751" w:rsidRDefault="00106897" w:rsidP="00CB0680">
            <w:pPr>
              <w:spacing w:before="60" w:after="60" w:line="220" w:lineRule="atLeast"/>
              <w:ind w:left="57" w:right="57"/>
              <w:rPr>
                <w:b/>
                <w:bCs/>
                <w:lang w:val="fr-FR"/>
              </w:rPr>
            </w:pPr>
          </w:p>
        </w:tc>
        <w:tc>
          <w:tcPr>
            <w:tcW w:w="1134" w:type="dxa"/>
          </w:tcPr>
          <w:p w14:paraId="41D32567" w14:textId="77777777" w:rsidR="00106897" w:rsidRPr="00E47751" w:rsidRDefault="00106897" w:rsidP="00CB0680">
            <w:pPr>
              <w:spacing w:before="60" w:after="60" w:line="220" w:lineRule="atLeast"/>
              <w:ind w:left="57" w:right="57"/>
              <w:rPr>
                <w:b/>
                <w:bCs/>
                <w:lang w:val="fr-FR"/>
              </w:rPr>
            </w:pPr>
            <w:r w:rsidRPr="00E47751">
              <w:rPr>
                <w:b/>
                <w:bCs/>
                <w:lang w:val="fr-FR"/>
              </w:rPr>
              <w:t>1</w:t>
            </w:r>
            <w:r w:rsidR="00F72B31" w:rsidRPr="00F72B31">
              <w:rPr>
                <w:b/>
                <w:bCs/>
                <w:lang w:val="fr-FR"/>
              </w:rPr>
              <w:t>.</w:t>
            </w:r>
            <w:r w:rsidRPr="00E47751">
              <w:rPr>
                <w:b/>
                <w:bCs/>
                <w:lang w:val="fr-FR"/>
              </w:rPr>
              <w:t>2</w:t>
            </w:r>
          </w:p>
        </w:tc>
        <w:tc>
          <w:tcPr>
            <w:tcW w:w="2268" w:type="dxa"/>
          </w:tcPr>
          <w:p w14:paraId="5C4EB9A8" w14:textId="77777777" w:rsidR="00106897" w:rsidRPr="00E47751" w:rsidRDefault="00106897" w:rsidP="00CB0680">
            <w:pPr>
              <w:spacing w:before="60" w:after="60" w:line="220" w:lineRule="atLeast"/>
              <w:ind w:left="57" w:right="57"/>
              <w:rPr>
                <w:b/>
                <w:bCs/>
                <w:lang w:val="fr-FR"/>
              </w:rPr>
            </w:pPr>
            <w:r w:rsidRPr="00E47751">
              <w:rPr>
                <w:b/>
                <w:bCs/>
                <w:lang w:val="fr-FR"/>
              </w:rPr>
              <w:t>Architecture générale du système</w:t>
            </w:r>
          </w:p>
        </w:tc>
        <w:tc>
          <w:tcPr>
            <w:tcW w:w="2835" w:type="dxa"/>
          </w:tcPr>
          <w:p w14:paraId="533548AF" w14:textId="77777777" w:rsidR="00106897" w:rsidRPr="00E47751" w:rsidRDefault="00106897" w:rsidP="00CB0680">
            <w:pPr>
              <w:spacing w:before="60" w:after="60" w:line="220" w:lineRule="atLeast"/>
              <w:ind w:left="57" w:right="57"/>
              <w:rPr>
                <w:b/>
                <w:bCs/>
                <w:lang w:val="fr-FR"/>
              </w:rPr>
            </w:pPr>
            <w:r w:rsidRPr="00E47751">
              <w:rPr>
                <w:b/>
                <w:bCs/>
                <w:lang w:val="fr-FR"/>
              </w:rPr>
              <w:t>Schéma de principe du système : liste des capteurs et actionneurs, explication du fonctionnement général du moteur</w:t>
            </w:r>
          </w:p>
        </w:tc>
      </w:tr>
      <w:tr w:rsidR="00106897" w:rsidRPr="00E47751" w14:paraId="12626B70" w14:textId="77777777" w:rsidTr="00106897">
        <w:trPr>
          <w:jc w:val="center"/>
        </w:trPr>
        <w:tc>
          <w:tcPr>
            <w:tcW w:w="1271" w:type="dxa"/>
            <w:vMerge/>
          </w:tcPr>
          <w:p w14:paraId="273DED45" w14:textId="77777777" w:rsidR="00106897" w:rsidRPr="00E47751" w:rsidRDefault="00106897" w:rsidP="00CB0680">
            <w:pPr>
              <w:spacing w:before="60" w:after="60" w:line="220" w:lineRule="atLeast"/>
              <w:ind w:left="57" w:right="57"/>
              <w:rPr>
                <w:b/>
                <w:bCs/>
                <w:lang w:val="fr-FR"/>
              </w:rPr>
            </w:pPr>
          </w:p>
        </w:tc>
        <w:tc>
          <w:tcPr>
            <w:tcW w:w="1134" w:type="dxa"/>
          </w:tcPr>
          <w:p w14:paraId="0DC431A2" w14:textId="77777777" w:rsidR="00106897" w:rsidRPr="00E47751" w:rsidRDefault="00106897" w:rsidP="00CB0680">
            <w:pPr>
              <w:spacing w:before="60" w:after="60" w:line="220" w:lineRule="atLeast"/>
              <w:ind w:left="57" w:right="57"/>
              <w:rPr>
                <w:b/>
                <w:bCs/>
                <w:lang w:val="fr-FR"/>
              </w:rPr>
            </w:pPr>
            <w:r w:rsidRPr="00E47751">
              <w:rPr>
                <w:b/>
                <w:bCs/>
                <w:lang w:val="fr-FR"/>
              </w:rPr>
              <w:t>1</w:t>
            </w:r>
            <w:r w:rsidR="00F72B31" w:rsidRPr="00F72B31">
              <w:rPr>
                <w:b/>
                <w:bCs/>
                <w:lang w:val="fr-FR"/>
              </w:rPr>
              <w:t>.</w:t>
            </w:r>
            <w:r w:rsidRPr="00E47751">
              <w:rPr>
                <w:b/>
                <w:bCs/>
                <w:lang w:val="fr-FR"/>
              </w:rPr>
              <w:t>3</w:t>
            </w:r>
          </w:p>
        </w:tc>
        <w:tc>
          <w:tcPr>
            <w:tcW w:w="2268" w:type="dxa"/>
          </w:tcPr>
          <w:p w14:paraId="3AB0C4DB" w14:textId="77777777" w:rsidR="00106897" w:rsidRPr="00E47751" w:rsidRDefault="00106897" w:rsidP="00CB0680">
            <w:pPr>
              <w:spacing w:before="60" w:after="60" w:line="220" w:lineRule="atLeast"/>
              <w:ind w:left="57" w:right="57"/>
              <w:rPr>
                <w:b/>
                <w:bCs/>
                <w:lang w:val="fr-FR"/>
              </w:rPr>
            </w:pPr>
            <w:r w:rsidRPr="00E47751">
              <w:rPr>
                <w:b/>
                <w:bCs/>
                <w:lang w:val="fr-FR"/>
              </w:rPr>
              <w:t>Interprétation du logiciel et</w:t>
            </w:r>
            <w:r w:rsidR="0041668D">
              <w:rPr>
                <w:b/>
                <w:bCs/>
                <w:lang w:val="fr-FR"/>
              </w:rPr>
              <w:t> </w:t>
            </w:r>
            <w:r w:rsidRPr="00E47751">
              <w:rPr>
                <w:b/>
                <w:bCs/>
                <w:lang w:val="fr-FR"/>
              </w:rPr>
              <w:t>version d’étalonnage</w:t>
            </w:r>
          </w:p>
        </w:tc>
        <w:tc>
          <w:tcPr>
            <w:tcW w:w="2835" w:type="dxa"/>
          </w:tcPr>
          <w:p w14:paraId="2A7CD775" w14:textId="77777777" w:rsidR="00106897" w:rsidRPr="00E47751" w:rsidRDefault="00106897" w:rsidP="00CB0680">
            <w:pPr>
              <w:spacing w:before="60" w:after="60" w:line="220" w:lineRule="atLeast"/>
              <w:ind w:left="57" w:right="57"/>
              <w:rPr>
                <w:b/>
                <w:bCs/>
                <w:lang w:val="fr-FR"/>
              </w:rPr>
            </w:pPr>
            <w:r w:rsidRPr="00E47751">
              <w:rPr>
                <w:b/>
                <w:bCs/>
                <w:lang w:val="fr-FR"/>
              </w:rPr>
              <w:t>Par exemple, explication du fonctionnement de l’outil de numérisation</w:t>
            </w:r>
          </w:p>
        </w:tc>
      </w:tr>
      <w:tr w:rsidR="00106897" w:rsidRPr="00E47751" w14:paraId="28EE28D6" w14:textId="77777777" w:rsidTr="00106897">
        <w:trPr>
          <w:jc w:val="center"/>
        </w:trPr>
        <w:tc>
          <w:tcPr>
            <w:tcW w:w="1271" w:type="dxa"/>
            <w:vMerge/>
          </w:tcPr>
          <w:p w14:paraId="64C0698C" w14:textId="77777777" w:rsidR="00106897" w:rsidRPr="00E47751" w:rsidRDefault="00106897" w:rsidP="00CB0680">
            <w:pPr>
              <w:spacing w:before="60" w:after="60" w:line="220" w:lineRule="atLeast"/>
              <w:ind w:left="57" w:right="57"/>
              <w:rPr>
                <w:b/>
                <w:bCs/>
                <w:lang w:val="fr-FR"/>
              </w:rPr>
            </w:pPr>
          </w:p>
        </w:tc>
        <w:tc>
          <w:tcPr>
            <w:tcW w:w="1134" w:type="dxa"/>
          </w:tcPr>
          <w:p w14:paraId="449E1319" w14:textId="77777777" w:rsidR="00106897" w:rsidRPr="00E47751" w:rsidRDefault="00106897" w:rsidP="00CB0680">
            <w:pPr>
              <w:spacing w:before="60" w:after="60" w:line="220" w:lineRule="atLeast"/>
              <w:ind w:left="57" w:right="57"/>
              <w:rPr>
                <w:b/>
                <w:bCs/>
                <w:lang w:val="fr-FR"/>
              </w:rPr>
            </w:pPr>
            <w:r w:rsidRPr="00E47751">
              <w:rPr>
                <w:b/>
                <w:bCs/>
                <w:lang w:val="fr-FR"/>
              </w:rPr>
              <w:t>2</w:t>
            </w:r>
            <w:r w:rsidR="00F72B31" w:rsidRPr="00F72B31">
              <w:rPr>
                <w:b/>
                <w:bCs/>
                <w:lang w:val="fr-FR"/>
              </w:rPr>
              <w:t>.</w:t>
            </w:r>
          </w:p>
        </w:tc>
        <w:tc>
          <w:tcPr>
            <w:tcW w:w="2268" w:type="dxa"/>
          </w:tcPr>
          <w:p w14:paraId="7F4F8DDB" w14:textId="77777777" w:rsidR="00106897" w:rsidRPr="00E47751" w:rsidRDefault="00106897" w:rsidP="00CB0680">
            <w:pPr>
              <w:spacing w:before="60" w:after="60" w:line="220" w:lineRule="atLeast"/>
              <w:ind w:left="57" w:right="57"/>
              <w:rPr>
                <w:b/>
                <w:bCs/>
                <w:lang w:val="fr-FR"/>
              </w:rPr>
            </w:pPr>
            <w:r w:rsidRPr="00E47751">
              <w:rPr>
                <w:b/>
                <w:bCs/>
                <w:lang w:val="fr-FR"/>
              </w:rPr>
              <w:t>Stratégies de base de réduction des émission</w:t>
            </w:r>
            <w:r w:rsidR="0041668D">
              <w:rPr>
                <w:b/>
                <w:bCs/>
                <w:lang w:val="fr-FR"/>
              </w:rPr>
              <w:t>s</w:t>
            </w:r>
          </w:p>
        </w:tc>
        <w:tc>
          <w:tcPr>
            <w:tcW w:w="2835" w:type="dxa"/>
          </w:tcPr>
          <w:p w14:paraId="2A01FA5A" w14:textId="77777777" w:rsidR="00106897" w:rsidRPr="00E47751" w:rsidRDefault="00106897" w:rsidP="00CB0680">
            <w:pPr>
              <w:spacing w:before="60" w:after="60" w:line="220" w:lineRule="atLeast"/>
              <w:ind w:left="57" w:right="57"/>
              <w:rPr>
                <w:b/>
                <w:bCs/>
                <w:lang w:val="fr-FR"/>
              </w:rPr>
            </w:pPr>
          </w:p>
        </w:tc>
      </w:tr>
      <w:tr w:rsidR="00106897" w:rsidRPr="00E47751" w14:paraId="1F532377" w14:textId="77777777" w:rsidTr="00106897">
        <w:trPr>
          <w:jc w:val="center"/>
        </w:trPr>
        <w:tc>
          <w:tcPr>
            <w:tcW w:w="1271" w:type="dxa"/>
            <w:vMerge/>
          </w:tcPr>
          <w:p w14:paraId="53A160EC" w14:textId="77777777" w:rsidR="00106897" w:rsidRPr="00E47751" w:rsidRDefault="00106897" w:rsidP="00CB0680">
            <w:pPr>
              <w:spacing w:before="60" w:after="60" w:line="220" w:lineRule="atLeast"/>
              <w:ind w:left="57" w:right="57"/>
              <w:rPr>
                <w:b/>
                <w:bCs/>
                <w:lang w:val="fr-FR"/>
              </w:rPr>
            </w:pPr>
          </w:p>
        </w:tc>
        <w:tc>
          <w:tcPr>
            <w:tcW w:w="1134" w:type="dxa"/>
          </w:tcPr>
          <w:p w14:paraId="71102D00" w14:textId="77777777" w:rsidR="00106897" w:rsidRPr="00E47751" w:rsidRDefault="00106897" w:rsidP="00CB0680">
            <w:pPr>
              <w:spacing w:before="60" w:after="60" w:line="220" w:lineRule="atLeast"/>
              <w:ind w:left="57" w:right="57"/>
              <w:rPr>
                <w:b/>
                <w:bCs/>
                <w:lang w:val="fr-FR"/>
              </w:rPr>
            </w:pPr>
            <w:r w:rsidRPr="00E47751">
              <w:rPr>
                <w:b/>
                <w:bCs/>
                <w:lang w:val="fr-FR"/>
              </w:rPr>
              <w:t>2</w:t>
            </w:r>
            <w:r w:rsidR="00F72B31" w:rsidRPr="00F72B31">
              <w:rPr>
                <w:b/>
                <w:bCs/>
                <w:lang w:val="fr-FR"/>
              </w:rPr>
              <w:t>.</w:t>
            </w:r>
            <w:r w:rsidRPr="00E47751">
              <w:rPr>
                <w:b/>
                <w:bCs/>
                <w:lang w:val="fr-FR"/>
              </w:rPr>
              <w:t>x</w:t>
            </w:r>
          </w:p>
        </w:tc>
        <w:tc>
          <w:tcPr>
            <w:tcW w:w="2268" w:type="dxa"/>
          </w:tcPr>
          <w:p w14:paraId="149B4F17" w14:textId="77777777" w:rsidR="00106897" w:rsidRPr="00E47751" w:rsidRDefault="00106897" w:rsidP="00CB0680">
            <w:pPr>
              <w:spacing w:before="60" w:after="60" w:line="220" w:lineRule="atLeast"/>
              <w:ind w:left="57" w:right="57"/>
              <w:rPr>
                <w:b/>
                <w:bCs/>
                <w:lang w:val="fr-FR"/>
              </w:rPr>
            </w:pPr>
            <w:r w:rsidRPr="00E47751">
              <w:rPr>
                <w:b/>
                <w:bCs/>
                <w:lang w:val="fr-FR"/>
              </w:rPr>
              <w:t>BES x</w:t>
            </w:r>
          </w:p>
        </w:tc>
        <w:tc>
          <w:tcPr>
            <w:tcW w:w="2835" w:type="dxa"/>
          </w:tcPr>
          <w:p w14:paraId="2535E306" w14:textId="77777777" w:rsidR="00106897" w:rsidRPr="00E47751" w:rsidRDefault="00106897" w:rsidP="00CB0680">
            <w:pPr>
              <w:spacing w:before="60" w:after="60" w:line="220" w:lineRule="atLeast"/>
              <w:ind w:left="57" w:right="57"/>
              <w:rPr>
                <w:b/>
                <w:bCs/>
                <w:lang w:val="fr-FR"/>
              </w:rPr>
            </w:pPr>
            <w:r w:rsidRPr="00E47751">
              <w:rPr>
                <w:b/>
                <w:bCs/>
                <w:lang w:val="fr-FR"/>
              </w:rPr>
              <w:t>Description de la stratégie x</w:t>
            </w:r>
          </w:p>
        </w:tc>
      </w:tr>
      <w:tr w:rsidR="00106897" w:rsidRPr="00E47751" w14:paraId="53F15A0D" w14:textId="77777777" w:rsidTr="00106897">
        <w:trPr>
          <w:jc w:val="center"/>
        </w:trPr>
        <w:tc>
          <w:tcPr>
            <w:tcW w:w="1271" w:type="dxa"/>
            <w:vMerge/>
          </w:tcPr>
          <w:p w14:paraId="53844E3E" w14:textId="77777777" w:rsidR="00106897" w:rsidRPr="00E47751" w:rsidRDefault="00106897" w:rsidP="00CB0680">
            <w:pPr>
              <w:spacing w:before="60" w:after="60" w:line="220" w:lineRule="atLeast"/>
              <w:ind w:left="57" w:right="57"/>
              <w:rPr>
                <w:b/>
                <w:bCs/>
                <w:lang w:val="fr-FR"/>
              </w:rPr>
            </w:pPr>
          </w:p>
        </w:tc>
        <w:tc>
          <w:tcPr>
            <w:tcW w:w="1134" w:type="dxa"/>
          </w:tcPr>
          <w:p w14:paraId="15BA7B57" w14:textId="77777777" w:rsidR="00106897" w:rsidRPr="00E47751" w:rsidRDefault="00106897" w:rsidP="00CB0680">
            <w:pPr>
              <w:spacing w:before="60" w:after="60" w:line="220" w:lineRule="atLeast"/>
              <w:ind w:left="57" w:right="57"/>
              <w:rPr>
                <w:b/>
                <w:bCs/>
                <w:lang w:val="fr-FR"/>
              </w:rPr>
            </w:pPr>
            <w:r w:rsidRPr="00E47751">
              <w:rPr>
                <w:b/>
                <w:bCs/>
                <w:lang w:val="fr-FR"/>
              </w:rPr>
              <w:t>2</w:t>
            </w:r>
            <w:r w:rsidR="00F72B31" w:rsidRPr="00F72B31">
              <w:rPr>
                <w:b/>
                <w:bCs/>
                <w:lang w:val="fr-FR"/>
              </w:rPr>
              <w:t>.</w:t>
            </w:r>
            <w:r w:rsidRPr="00E47751">
              <w:rPr>
                <w:b/>
                <w:bCs/>
                <w:lang w:val="fr-FR"/>
              </w:rPr>
              <w:t>y</w:t>
            </w:r>
          </w:p>
        </w:tc>
        <w:tc>
          <w:tcPr>
            <w:tcW w:w="2268" w:type="dxa"/>
          </w:tcPr>
          <w:p w14:paraId="2E1A71C7" w14:textId="77777777" w:rsidR="00106897" w:rsidRPr="00E47751" w:rsidRDefault="00106897" w:rsidP="00CB0680">
            <w:pPr>
              <w:spacing w:before="60" w:after="60" w:line="220" w:lineRule="atLeast"/>
              <w:ind w:left="57" w:right="57"/>
              <w:rPr>
                <w:b/>
                <w:bCs/>
                <w:lang w:val="fr-FR"/>
              </w:rPr>
            </w:pPr>
            <w:r w:rsidRPr="00E47751">
              <w:rPr>
                <w:b/>
                <w:bCs/>
                <w:lang w:val="fr-FR"/>
              </w:rPr>
              <w:t>BES y</w:t>
            </w:r>
          </w:p>
        </w:tc>
        <w:tc>
          <w:tcPr>
            <w:tcW w:w="2835" w:type="dxa"/>
          </w:tcPr>
          <w:p w14:paraId="478BA979" w14:textId="77777777" w:rsidR="00106897" w:rsidRPr="00E47751" w:rsidRDefault="00106897" w:rsidP="00CB0680">
            <w:pPr>
              <w:spacing w:before="60" w:after="60" w:line="220" w:lineRule="atLeast"/>
              <w:ind w:left="57" w:right="57"/>
              <w:rPr>
                <w:b/>
                <w:bCs/>
                <w:lang w:val="fr-FR"/>
              </w:rPr>
            </w:pPr>
            <w:r w:rsidRPr="00E47751">
              <w:rPr>
                <w:b/>
                <w:bCs/>
                <w:lang w:val="fr-FR"/>
              </w:rPr>
              <w:t>Description de la stratégie y</w:t>
            </w:r>
          </w:p>
        </w:tc>
      </w:tr>
      <w:tr w:rsidR="00106897" w:rsidRPr="00E47751" w14:paraId="67E3462C" w14:textId="77777777" w:rsidTr="00106897">
        <w:trPr>
          <w:jc w:val="center"/>
        </w:trPr>
        <w:tc>
          <w:tcPr>
            <w:tcW w:w="1271" w:type="dxa"/>
            <w:vMerge/>
          </w:tcPr>
          <w:p w14:paraId="6D188F6B" w14:textId="77777777" w:rsidR="00106897" w:rsidRPr="00E47751" w:rsidRDefault="00106897" w:rsidP="00CB0680">
            <w:pPr>
              <w:spacing w:before="60" w:after="60" w:line="220" w:lineRule="atLeast"/>
              <w:ind w:left="57" w:right="57"/>
              <w:rPr>
                <w:b/>
                <w:bCs/>
                <w:lang w:val="fr-FR"/>
              </w:rPr>
            </w:pPr>
          </w:p>
        </w:tc>
        <w:tc>
          <w:tcPr>
            <w:tcW w:w="1134" w:type="dxa"/>
          </w:tcPr>
          <w:p w14:paraId="6242EEE2"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p>
        </w:tc>
        <w:tc>
          <w:tcPr>
            <w:tcW w:w="2268" w:type="dxa"/>
          </w:tcPr>
          <w:p w14:paraId="3CD34D69" w14:textId="77777777" w:rsidR="00106897" w:rsidRPr="00E47751" w:rsidRDefault="00106897" w:rsidP="00CB0680">
            <w:pPr>
              <w:spacing w:before="60" w:after="60" w:line="220" w:lineRule="atLeast"/>
              <w:ind w:left="57" w:right="57"/>
              <w:rPr>
                <w:b/>
                <w:bCs/>
                <w:lang w:val="fr-FR"/>
              </w:rPr>
            </w:pPr>
            <w:r w:rsidRPr="00E47751">
              <w:rPr>
                <w:b/>
                <w:bCs/>
                <w:lang w:val="fr-FR"/>
              </w:rPr>
              <w:t>Stratégies auxiliaires de réduction des émissions (AES)</w:t>
            </w:r>
          </w:p>
        </w:tc>
        <w:tc>
          <w:tcPr>
            <w:tcW w:w="2835" w:type="dxa"/>
          </w:tcPr>
          <w:p w14:paraId="114D91E9" w14:textId="77777777" w:rsidR="00106897" w:rsidRPr="00E47751" w:rsidRDefault="00106897" w:rsidP="00CB0680">
            <w:pPr>
              <w:spacing w:before="60" w:after="60" w:line="220" w:lineRule="atLeast"/>
              <w:ind w:left="57" w:right="57"/>
              <w:rPr>
                <w:b/>
                <w:bCs/>
                <w:lang w:val="fr-FR"/>
              </w:rPr>
            </w:pPr>
          </w:p>
        </w:tc>
      </w:tr>
      <w:tr w:rsidR="00106897" w:rsidRPr="00E47751" w14:paraId="39ADC4B2" w14:textId="77777777" w:rsidTr="00106897">
        <w:trPr>
          <w:jc w:val="center"/>
        </w:trPr>
        <w:tc>
          <w:tcPr>
            <w:tcW w:w="1271" w:type="dxa"/>
            <w:vMerge/>
          </w:tcPr>
          <w:p w14:paraId="1507FE79" w14:textId="77777777" w:rsidR="00106897" w:rsidRPr="00E47751" w:rsidRDefault="00106897" w:rsidP="00CB0680">
            <w:pPr>
              <w:spacing w:before="60" w:after="60" w:line="220" w:lineRule="atLeast"/>
              <w:ind w:left="57" w:right="57"/>
              <w:rPr>
                <w:b/>
                <w:bCs/>
                <w:lang w:val="fr-FR"/>
              </w:rPr>
            </w:pPr>
          </w:p>
        </w:tc>
        <w:tc>
          <w:tcPr>
            <w:tcW w:w="1134" w:type="dxa"/>
          </w:tcPr>
          <w:p w14:paraId="6EBA1E6D"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0</w:t>
            </w:r>
          </w:p>
        </w:tc>
        <w:tc>
          <w:tcPr>
            <w:tcW w:w="2268" w:type="dxa"/>
          </w:tcPr>
          <w:p w14:paraId="752E3DD2" w14:textId="77777777" w:rsidR="00106897" w:rsidRPr="00E47751" w:rsidRDefault="00106897" w:rsidP="00CB0680">
            <w:pPr>
              <w:spacing w:before="60" w:after="60" w:line="220" w:lineRule="atLeast"/>
              <w:ind w:left="57" w:right="57"/>
              <w:rPr>
                <w:b/>
                <w:bCs/>
                <w:lang w:val="fr-FR"/>
              </w:rPr>
            </w:pPr>
            <w:r w:rsidRPr="00E47751">
              <w:rPr>
                <w:b/>
                <w:bCs/>
                <w:lang w:val="fr-FR"/>
              </w:rPr>
              <w:t>Présentation des AES</w:t>
            </w:r>
          </w:p>
        </w:tc>
        <w:tc>
          <w:tcPr>
            <w:tcW w:w="2835" w:type="dxa"/>
          </w:tcPr>
          <w:p w14:paraId="0A0695CE" w14:textId="77777777" w:rsidR="00106897" w:rsidRPr="00E47751" w:rsidRDefault="00106897" w:rsidP="00CB0680">
            <w:pPr>
              <w:spacing w:before="60" w:after="60" w:line="220" w:lineRule="atLeast"/>
              <w:ind w:left="57" w:right="57"/>
              <w:rPr>
                <w:b/>
                <w:bCs/>
                <w:lang w:val="fr-FR"/>
              </w:rPr>
            </w:pPr>
            <w:r w:rsidRPr="00E47751">
              <w:rPr>
                <w:b/>
                <w:bCs/>
                <w:lang w:val="fr-FR"/>
              </w:rPr>
              <w:t>Relations hiérarchiques entre les AES : description et justification (par exemple, sécurité, fiabilité, etc</w:t>
            </w:r>
            <w:r w:rsidR="00F72B31" w:rsidRPr="00F72B31">
              <w:rPr>
                <w:b/>
                <w:bCs/>
                <w:lang w:val="fr-FR"/>
              </w:rPr>
              <w:t>.</w:t>
            </w:r>
            <w:r w:rsidRPr="00E47751">
              <w:rPr>
                <w:b/>
                <w:bCs/>
                <w:lang w:val="fr-FR"/>
              </w:rPr>
              <w:t>)</w:t>
            </w:r>
          </w:p>
        </w:tc>
      </w:tr>
      <w:tr w:rsidR="00106897" w:rsidRPr="00E47751" w14:paraId="5E944AD5" w14:textId="77777777" w:rsidTr="00106897">
        <w:trPr>
          <w:jc w:val="center"/>
        </w:trPr>
        <w:tc>
          <w:tcPr>
            <w:tcW w:w="1271" w:type="dxa"/>
            <w:vMerge/>
          </w:tcPr>
          <w:p w14:paraId="5A5FB7BB" w14:textId="77777777" w:rsidR="00106897" w:rsidRPr="00E47751" w:rsidRDefault="00106897" w:rsidP="00CB0680">
            <w:pPr>
              <w:spacing w:before="60" w:after="60" w:line="220" w:lineRule="atLeast"/>
              <w:ind w:left="57" w:right="57"/>
              <w:rPr>
                <w:b/>
                <w:bCs/>
                <w:lang w:val="fr-FR"/>
              </w:rPr>
            </w:pPr>
          </w:p>
        </w:tc>
        <w:tc>
          <w:tcPr>
            <w:tcW w:w="1134" w:type="dxa"/>
          </w:tcPr>
          <w:p w14:paraId="25185D52"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x</w:t>
            </w:r>
          </w:p>
        </w:tc>
        <w:tc>
          <w:tcPr>
            <w:tcW w:w="2268" w:type="dxa"/>
          </w:tcPr>
          <w:p w14:paraId="32C0EB35" w14:textId="77777777" w:rsidR="00106897" w:rsidRPr="00E47751" w:rsidRDefault="00106897" w:rsidP="00CB0680">
            <w:pPr>
              <w:spacing w:before="60" w:after="60" w:line="220" w:lineRule="atLeast"/>
              <w:ind w:left="57" w:right="57"/>
              <w:rPr>
                <w:b/>
                <w:bCs/>
                <w:lang w:val="fr-FR"/>
              </w:rPr>
            </w:pPr>
            <w:r w:rsidRPr="00E47751">
              <w:rPr>
                <w:b/>
                <w:bCs/>
                <w:lang w:val="fr-FR"/>
              </w:rPr>
              <w:t>AES x</w:t>
            </w:r>
          </w:p>
        </w:tc>
        <w:tc>
          <w:tcPr>
            <w:tcW w:w="2835" w:type="dxa"/>
          </w:tcPr>
          <w:p w14:paraId="2E0C109E"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x</w:t>
            </w:r>
            <w:r w:rsidR="00F72B31" w:rsidRPr="00F72B31">
              <w:rPr>
                <w:b/>
                <w:bCs/>
                <w:lang w:val="fr-FR"/>
              </w:rPr>
              <w:t>.</w:t>
            </w:r>
            <w:r w:rsidRPr="00E47751">
              <w:rPr>
                <w:b/>
                <w:bCs/>
                <w:lang w:val="fr-FR"/>
              </w:rPr>
              <w:t>1 Justification de l’AES</w:t>
            </w:r>
          </w:p>
          <w:p w14:paraId="1FE6585D"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x</w:t>
            </w:r>
            <w:r w:rsidR="00F72B31" w:rsidRPr="00F72B31">
              <w:rPr>
                <w:b/>
                <w:bCs/>
                <w:lang w:val="fr-FR"/>
              </w:rPr>
              <w:t>.</w:t>
            </w:r>
            <w:r w:rsidRPr="00E47751">
              <w:rPr>
                <w:b/>
                <w:bCs/>
                <w:lang w:val="fr-FR"/>
              </w:rPr>
              <w:t>2 Paramètres mesurés ou modélisés propres à l’AES concernée</w:t>
            </w:r>
          </w:p>
          <w:p w14:paraId="62D8AEE4"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x</w:t>
            </w:r>
            <w:r w:rsidR="00F72B31" w:rsidRPr="00F72B31">
              <w:rPr>
                <w:b/>
                <w:bCs/>
                <w:lang w:val="fr-FR"/>
              </w:rPr>
              <w:t>.</w:t>
            </w:r>
            <w:r w:rsidRPr="00E47751">
              <w:rPr>
                <w:b/>
                <w:bCs/>
                <w:lang w:val="fr-FR"/>
              </w:rPr>
              <w:t>3 Mode d’action de l’AES et paramètres utilisés</w:t>
            </w:r>
          </w:p>
          <w:p w14:paraId="2DBA4921"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x</w:t>
            </w:r>
            <w:r w:rsidR="00F72B31" w:rsidRPr="00F72B31">
              <w:rPr>
                <w:b/>
                <w:bCs/>
                <w:lang w:val="fr-FR"/>
              </w:rPr>
              <w:t>.</w:t>
            </w:r>
            <w:r w:rsidRPr="00E47751">
              <w:rPr>
                <w:b/>
                <w:bCs/>
                <w:lang w:val="fr-FR"/>
              </w:rPr>
              <w:t>4 Effets de l’AES sur les polluants et le CO</w:t>
            </w:r>
            <w:r w:rsidRPr="00E47751">
              <w:rPr>
                <w:b/>
                <w:bCs/>
                <w:vertAlign w:val="subscript"/>
                <w:lang w:val="fr-FR"/>
              </w:rPr>
              <w:t xml:space="preserve">2 </w:t>
            </w:r>
          </w:p>
        </w:tc>
      </w:tr>
      <w:tr w:rsidR="00106897" w:rsidRPr="00E47751" w14:paraId="50C70851" w14:textId="77777777" w:rsidTr="00106897">
        <w:trPr>
          <w:jc w:val="center"/>
        </w:trPr>
        <w:tc>
          <w:tcPr>
            <w:tcW w:w="1271" w:type="dxa"/>
            <w:vMerge/>
          </w:tcPr>
          <w:p w14:paraId="7A07B108" w14:textId="77777777" w:rsidR="00106897" w:rsidRPr="00E47751" w:rsidRDefault="00106897" w:rsidP="00CB0680">
            <w:pPr>
              <w:spacing w:before="60" w:after="60" w:line="220" w:lineRule="atLeast"/>
              <w:ind w:left="57" w:right="57"/>
              <w:rPr>
                <w:b/>
                <w:bCs/>
                <w:lang w:val="fr-FR"/>
              </w:rPr>
            </w:pPr>
          </w:p>
        </w:tc>
        <w:tc>
          <w:tcPr>
            <w:tcW w:w="1134" w:type="dxa"/>
          </w:tcPr>
          <w:p w14:paraId="141F7014"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y</w:t>
            </w:r>
          </w:p>
        </w:tc>
        <w:tc>
          <w:tcPr>
            <w:tcW w:w="2268" w:type="dxa"/>
          </w:tcPr>
          <w:p w14:paraId="151B5F99" w14:textId="77777777" w:rsidR="00106897" w:rsidRPr="00E47751" w:rsidRDefault="00106897" w:rsidP="00CB0680">
            <w:pPr>
              <w:spacing w:before="60" w:after="60" w:line="220" w:lineRule="atLeast"/>
              <w:ind w:left="57" w:right="57"/>
              <w:rPr>
                <w:b/>
                <w:bCs/>
                <w:lang w:val="fr-FR"/>
              </w:rPr>
            </w:pPr>
            <w:r w:rsidRPr="00E47751">
              <w:rPr>
                <w:b/>
                <w:bCs/>
                <w:lang w:val="fr-FR"/>
              </w:rPr>
              <w:t>AES y</w:t>
            </w:r>
          </w:p>
        </w:tc>
        <w:tc>
          <w:tcPr>
            <w:tcW w:w="2835" w:type="dxa"/>
          </w:tcPr>
          <w:p w14:paraId="562F2A20"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y</w:t>
            </w:r>
            <w:r w:rsidR="00F72B31" w:rsidRPr="00F72B31">
              <w:rPr>
                <w:b/>
                <w:bCs/>
                <w:lang w:val="fr-FR"/>
              </w:rPr>
              <w:t>.</w:t>
            </w:r>
            <w:r w:rsidRPr="00E47751">
              <w:rPr>
                <w:b/>
                <w:bCs/>
                <w:lang w:val="fr-FR"/>
              </w:rPr>
              <w:t>1 Justification de l’AES</w:t>
            </w:r>
          </w:p>
          <w:p w14:paraId="6A6FFAA5" w14:textId="77777777" w:rsidR="00106897" w:rsidRPr="00E47751" w:rsidRDefault="00106897" w:rsidP="00CB0680">
            <w:pPr>
              <w:spacing w:before="60" w:after="60" w:line="220" w:lineRule="atLeast"/>
              <w:ind w:left="57" w:right="57"/>
              <w:rPr>
                <w:b/>
                <w:bCs/>
                <w:lang w:val="fr-FR"/>
              </w:rPr>
            </w:pPr>
            <w:r w:rsidRPr="00E47751">
              <w:rPr>
                <w:b/>
                <w:bCs/>
                <w:lang w:val="fr-FR"/>
              </w:rPr>
              <w:t>3</w:t>
            </w:r>
            <w:r w:rsidR="00F72B31" w:rsidRPr="00F72B31">
              <w:rPr>
                <w:b/>
                <w:bCs/>
                <w:lang w:val="fr-FR"/>
              </w:rPr>
              <w:t>.</w:t>
            </w:r>
            <w:r w:rsidRPr="00E47751">
              <w:rPr>
                <w:b/>
                <w:bCs/>
                <w:lang w:val="fr-FR"/>
              </w:rPr>
              <w:t>y</w:t>
            </w:r>
            <w:r w:rsidR="00F72B31" w:rsidRPr="00F72B31">
              <w:rPr>
                <w:b/>
                <w:bCs/>
                <w:lang w:val="fr-FR"/>
              </w:rPr>
              <w:t>.</w:t>
            </w:r>
            <w:r w:rsidRPr="00E47751">
              <w:rPr>
                <w:b/>
                <w:bCs/>
                <w:lang w:val="fr-FR"/>
              </w:rPr>
              <w:t>2</w:t>
            </w:r>
            <w:r w:rsidRPr="00E47751">
              <w:rPr>
                <w:b/>
                <w:bCs/>
              </w:rPr>
              <w:t xml:space="preserve"> </w:t>
            </w:r>
            <w:r w:rsidRPr="00E47751">
              <w:rPr>
                <w:b/>
                <w:bCs/>
                <w:lang w:val="fr-FR"/>
              </w:rPr>
              <w:t>Paramètres mesurés ou modélisés propres à l’AES concernée</w:t>
            </w:r>
          </w:p>
          <w:p w14:paraId="64EF70CB" w14:textId="77777777" w:rsidR="00106897" w:rsidRPr="00E47751" w:rsidRDefault="00106897" w:rsidP="00CB0680">
            <w:pPr>
              <w:spacing w:before="60" w:after="60" w:line="220" w:lineRule="atLeast"/>
              <w:ind w:left="57" w:right="57"/>
              <w:rPr>
                <w:b/>
                <w:bCs/>
                <w:lang w:val="fr-FR"/>
              </w:rPr>
            </w:pPr>
            <w:r w:rsidRPr="00E47751">
              <w:rPr>
                <w:b/>
                <w:bCs/>
                <w:lang w:val="fr-FR"/>
              </w:rPr>
              <w:t>etc</w:t>
            </w:r>
            <w:r w:rsidR="00F72B31" w:rsidRPr="00F72B31">
              <w:rPr>
                <w:b/>
                <w:bCs/>
                <w:lang w:val="fr-FR"/>
              </w:rPr>
              <w:t>.</w:t>
            </w:r>
          </w:p>
        </w:tc>
      </w:tr>
      <w:tr w:rsidR="00106897" w:rsidRPr="00E47751" w14:paraId="6602193E" w14:textId="77777777" w:rsidTr="00106897">
        <w:trPr>
          <w:jc w:val="center"/>
        </w:trPr>
        <w:tc>
          <w:tcPr>
            <w:tcW w:w="1271" w:type="dxa"/>
            <w:vMerge/>
          </w:tcPr>
          <w:p w14:paraId="7E96ECD4" w14:textId="77777777" w:rsidR="00106897" w:rsidRPr="00E47751" w:rsidRDefault="00106897" w:rsidP="00CB0680">
            <w:pPr>
              <w:spacing w:before="60" w:after="60" w:line="220" w:lineRule="atLeast"/>
              <w:ind w:left="57" w:right="57"/>
              <w:rPr>
                <w:b/>
                <w:bCs/>
                <w:lang w:val="fr-FR"/>
              </w:rPr>
            </w:pPr>
          </w:p>
        </w:tc>
        <w:tc>
          <w:tcPr>
            <w:tcW w:w="1134" w:type="dxa"/>
          </w:tcPr>
          <w:p w14:paraId="7F08864F" w14:textId="77777777" w:rsidR="00106897" w:rsidRPr="00E47751" w:rsidRDefault="00106897" w:rsidP="00CB0680">
            <w:pPr>
              <w:spacing w:before="60" w:after="60" w:line="220" w:lineRule="atLeast"/>
              <w:ind w:left="57" w:right="57"/>
              <w:rPr>
                <w:b/>
                <w:bCs/>
                <w:lang w:val="fr-FR"/>
              </w:rPr>
            </w:pPr>
            <w:r w:rsidRPr="00E47751">
              <w:rPr>
                <w:b/>
                <w:bCs/>
                <w:lang w:val="fr-FR"/>
              </w:rPr>
              <w:t>4</w:t>
            </w:r>
            <w:r w:rsidR="00F72B31" w:rsidRPr="00F72B31">
              <w:rPr>
                <w:b/>
                <w:bCs/>
                <w:lang w:val="fr-FR"/>
              </w:rPr>
              <w:t>.</w:t>
            </w:r>
          </w:p>
        </w:tc>
        <w:tc>
          <w:tcPr>
            <w:tcW w:w="2268" w:type="dxa"/>
          </w:tcPr>
          <w:p w14:paraId="05158A4D" w14:textId="77777777" w:rsidR="00106897" w:rsidRPr="00E47751" w:rsidRDefault="00106897" w:rsidP="00CB0680">
            <w:pPr>
              <w:spacing w:before="60" w:after="60" w:line="220" w:lineRule="atLeast"/>
              <w:ind w:left="57" w:right="57"/>
              <w:rPr>
                <w:b/>
                <w:bCs/>
                <w:lang w:val="fr-FR"/>
              </w:rPr>
            </w:pPr>
            <w:r w:rsidRPr="00E47751">
              <w:rPr>
                <w:b/>
                <w:bCs/>
                <w:lang w:val="fr-FR"/>
              </w:rPr>
              <w:t>Description du système d’incitation, y compris les stratégies de surveillance associées</w:t>
            </w:r>
          </w:p>
        </w:tc>
        <w:tc>
          <w:tcPr>
            <w:tcW w:w="2835" w:type="dxa"/>
          </w:tcPr>
          <w:p w14:paraId="26675A5B" w14:textId="77777777" w:rsidR="00106897" w:rsidRPr="00E47751" w:rsidRDefault="00106897" w:rsidP="00CB0680">
            <w:pPr>
              <w:spacing w:before="60" w:after="60" w:line="220" w:lineRule="atLeast"/>
              <w:ind w:left="57" w:right="57"/>
              <w:rPr>
                <w:b/>
                <w:bCs/>
                <w:lang w:val="fr-FR"/>
              </w:rPr>
            </w:pPr>
          </w:p>
        </w:tc>
      </w:tr>
      <w:tr w:rsidR="00106897" w:rsidRPr="00E47751" w14:paraId="72B4BFF8" w14:textId="77777777" w:rsidTr="00106897">
        <w:trPr>
          <w:jc w:val="center"/>
        </w:trPr>
        <w:tc>
          <w:tcPr>
            <w:tcW w:w="1271" w:type="dxa"/>
            <w:vMerge/>
          </w:tcPr>
          <w:p w14:paraId="798F4499" w14:textId="77777777" w:rsidR="00106897" w:rsidRPr="00E47751" w:rsidRDefault="00106897" w:rsidP="00CB0680">
            <w:pPr>
              <w:spacing w:before="60" w:after="60" w:line="220" w:lineRule="atLeast"/>
              <w:ind w:left="57" w:right="57"/>
              <w:rPr>
                <w:b/>
                <w:bCs/>
                <w:lang w:val="fr-FR"/>
              </w:rPr>
            </w:pPr>
          </w:p>
        </w:tc>
        <w:tc>
          <w:tcPr>
            <w:tcW w:w="1134" w:type="dxa"/>
          </w:tcPr>
          <w:p w14:paraId="0847A310" w14:textId="77777777" w:rsidR="00106897" w:rsidRPr="00E47751" w:rsidRDefault="00106897" w:rsidP="00CB0680">
            <w:pPr>
              <w:spacing w:before="60" w:after="60" w:line="220" w:lineRule="atLeast"/>
              <w:ind w:left="57" w:right="57"/>
              <w:rPr>
                <w:b/>
                <w:bCs/>
                <w:lang w:val="fr-FR"/>
              </w:rPr>
            </w:pPr>
            <w:r w:rsidRPr="00E47751">
              <w:rPr>
                <w:b/>
                <w:bCs/>
                <w:lang w:val="fr-FR"/>
              </w:rPr>
              <w:t>5</w:t>
            </w:r>
            <w:r w:rsidR="00F72B31" w:rsidRPr="00F72B31">
              <w:rPr>
                <w:b/>
                <w:bCs/>
                <w:lang w:val="fr-FR"/>
              </w:rPr>
              <w:t>.</w:t>
            </w:r>
          </w:p>
        </w:tc>
        <w:tc>
          <w:tcPr>
            <w:tcW w:w="2268" w:type="dxa"/>
          </w:tcPr>
          <w:p w14:paraId="3F474B7E" w14:textId="77777777" w:rsidR="00106897" w:rsidRPr="00E47751" w:rsidRDefault="00106897" w:rsidP="00CB0680">
            <w:pPr>
              <w:spacing w:before="60" w:after="60" w:line="220" w:lineRule="atLeast"/>
              <w:ind w:left="57" w:right="57"/>
              <w:rPr>
                <w:b/>
                <w:bCs/>
                <w:lang w:val="fr-FR"/>
              </w:rPr>
            </w:pPr>
            <w:r w:rsidRPr="00E47751">
              <w:rPr>
                <w:b/>
                <w:bCs/>
                <w:lang w:val="fr-FR"/>
              </w:rPr>
              <w:t>Description des mesures de lutte contre les modifications non autorisées</w:t>
            </w:r>
          </w:p>
        </w:tc>
        <w:tc>
          <w:tcPr>
            <w:tcW w:w="2835" w:type="dxa"/>
          </w:tcPr>
          <w:p w14:paraId="2D2800D5" w14:textId="77777777" w:rsidR="00106897" w:rsidRPr="00E47751" w:rsidRDefault="00106897" w:rsidP="00CB0680">
            <w:pPr>
              <w:spacing w:before="60" w:after="60" w:line="220" w:lineRule="atLeast"/>
              <w:ind w:left="57" w:right="57"/>
              <w:rPr>
                <w:b/>
                <w:bCs/>
                <w:lang w:val="fr-FR"/>
              </w:rPr>
            </w:pPr>
          </w:p>
        </w:tc>
      </w:tr>
      <w:tr w:rsidR="00106897" w:rsidRPr="00E47751" w14:paraId="1412E781" w14:textId="77777777" w:rsidTr="00106897">
        <w:trPr>
          <w:jc w:val="center"/>
        </w:trPr>
        <w:tc>
          <w:tcPr>
            <w:tcW w:w="1271" w:type="dxa"/>
            <w:vMerge/>
          </w:tcPr>
          <w:p w14:paraId="1B359012" w14:textId="77777777" w:rsidR="00106897" w:rsidRPr="00E47751" w:rsidRDefault="00106897" w:rsidP="00CB0680">
            <w:pPr>
              <w:spacing w:before="60" w:after="60" w:line="220" w:lineRule="atLeast"/>
              <w:ind w:left="57" w:right="57"/>
              <w:rPr>
                <w:b/>
                <w:bCs/>
                <w:lang w:val="fr-FR"/>
              </w:rPr>
            </w:pPr>
          </w:p>
        </w:tc>
        <w:tc>
          <w:tcPr>
            <w:tcW w:w="6237" w:type="dxa"/>
            <w:gridSpan w:val="3"/>
          </w:tcPr>
          <w:p w14:paraId="70E4C97E" w14:textId="77777777" w:rsidR="00106897" w:rsidRPr="00E47751" w:rsidRDefault="00106897" w:rsidP="00DF79D5">
            <w:pPr>
              <w:spacing w:before="60" w:after="60" w:line="220" w:lineRule="atLeast"/>
              <w:ind w:left="57" w:right="57"/>
              <w:jc w:val="center"/>
              <w:rPr>
                <w:b/>
                <w:bCs/>
                <w:lang w:val="fr-FR"/>
              </w:rPr>
            </w:pPr>
            <w:r w:rsidRPr="00E47751">
              <w:rPr>
                <w:b/>
                <w:bCs/>
                <w:lang w:val="fr-FR"/>
              </w:rPr>
              <w:t>La limite de 100 pages se termine ici</w:t>
            </w:r>
          </w:p>
        </w:tc>
      </w:tr>
      <w:tr w:rsidR="00106897" w:rsidRPr="00E47751" w14:paraId="5474E588" w14:textId="77777777" w:rsidTr="00106897">
        <w:trPr>
          <w:jc w:val="center"/>
        </w:trPr>
        <w:tc>
          <w:tcPr>
            <w:tcW w:w="1271" w:type="dxa"/>
            <w:vMerge/>
          </w:tcPr>
          <w:p w14:paraId="3447F5BD" w14:textId="77777777" w:rsidR="00106897" w:rsidRPr="00E47751" w:rsidRDefault="00106897" w:rsidP="00CB0680">
            <w:pPr>
              <w:spacing w:before="60" w:after="60" w:line="220" w:lineRule="atLeast"/>
              <w:ind w:left="57" w:right="57"/>
              <w:rPr>
                <w:b/>
                <w:bCs/>
                <w:lang w:val="fr-FR"/>
              </w:rPr>
            </w:pPr>
          </w:p>
        </w:tc>
        <w:tc>
          <w:tcPr>
            <w:tcW w:w="1134" w:type="dxa"/>
          </w:tcPr>
          <w:p w14:paraId="47AB1E24" w14:textId="77777777" w:rsidR="00106897" w:rsidRPr="00E47751" w:rsidRDefault="00106897" w:rsidP="00CB0680">
            <w:pPr>
              <w:spacing w:before="60" w:after="60" w:line="220" w:lineRule="atLeast"/>
              <w:ind w:left="57" w:right="57"/>
              <w:rPr>
                <w:b/>
                <w:bCs/>
                <w:lang w:val="fr-FR"/>
              </w:rPr>
            </w:pPr>
            <w:r w:rsidRPr="00E47751">
              <w:rPr>
                <w:b/>
                <w:bCs/>
                <w:lang w:val="fr-FR"/>
              </w:rPr>
              <w:t>Annexe</w:t>
            </w:r>
          </w:p>
        </w:tc>
        <w:tc>
          <w:tcPr>
            <w:tcW w:w="2268" w:type="dxa"/>
          </w:tcPr>
          <w:p w14:paraId="0AB013B0" w14:textId="77777777" w:rsidR="00106897" w:rsidRPr="00E47751" w:rsidRDefault="00106897" w:rsidP="00CB0680">
            <w:pPr>
              <w:spacing w:before="60" w:after="60" w:line="220" w:lineRule="atLeast"/>
              <w:ind w:left="57" w:right="57"/>
              <w:rPr>
                <w:b/>
                <w:bCs/>
                <w:lang w:val="fr-FR"/>
              </w:rPr>
            </w:pPr>
          </w:p>
        </w:tc>
        <w:tc>
          <w:tcPr>
            <w:tcW w:w="2835" w:type="dxa"/>
          </w:tcPr>
          <w:p w14:paraId="1FEFFACA" w14:textId="77777777" w:rsidR="00106897" w:rsidRPr="00E47751" w:rsidRDefault="00106897" w:rsidP="00CB0680">
            <w:pPr>
              <w:spacing w:before="60" w:after="60" w:line="220" w:lineRule="atLeast"/>
              <w:ind w:left="57" w:right="57"/>
              <w:rPr>
                <w:b/>
                <w:bCs/>
                <w:lang w:val="fr-FR"/>
              </w:rPr>
            </w:pPr>
            <w:r w:rsidRPr="00E47751">
              <w:rPr>
                <w:b/>
                <w:bCs/>
                <w:lang w:val="fr-FR"/>
              </w:rPr>
              <w:t>Liste des types concernés par l’ensemble BES-AES soumis pour homologation : y compris référence de l’homologation, référence du logiciel, numéro d’étalonnage, sommes de contrôle de chaque version et de chaque dispositif de contrôle électronique (moteur ou traitement aval, le cas échéant)</w:t>
            </w:r>
          </w:p>
        </w:tc>
      </w:tr>
      <w:tr w:rsidR="00106897" w:rsidRPr="00E47751" w14:paraId="3E325D5F" w14:textId="77777777" w:rsidTr="00106897">
        <w:trPr>
          <w:jc w:val="center"/>
        </w:trPr>
        <w:tc>
          <w:tcPr>
            <w:tcW w:w="1271" w:type="dxa"/>
            <w:vMerge w:val="restart"/>
          </w:tcPr>
          <w:p w14:paraId="23967D8E" w14:textId="77777777" w:rsidR="00106897" w:rsidRPr="00E47751" w:rsidRDefault="00106897" w:rsidP="00106897">
            <w:pPr>
              <w:keepNext/>
              <w:spacing w:before="60" w:after="60" w:line="220" w:lineRule="atLeast"/>
              <w:ind w:left="57" w:right="57"/>
              <w:rPr>
                <w:b/>
                <w:bCs/>
                <w:lang w:val="fr-FR"/>
              </w:rPr>
            </w:pPr>
            <w:r w:rsidRPr="00E47751">
              <w:rPr>
                <w:b/>
                <w:bCs/>
                <w:lang w:val="fr-FR"/>
              </w:rPr>
              <w:lastRenderedPageBreak/>
              <w:t>Documents joints</w:t>
            </w:r>
          </w:p>
        </w:tc>
        <w:tc>
          <w:tcPr>
            <w:tcW w:w="1134" w:type="dxa"/>
          </w:tcPr>
          <w:p w14:paraId="5F5B80AF" w14:textId="77777777" w:rsidR="00106897" w:rsidRPr="00E47751" w:rsidRDefault="00106897" w:rsidP="00106897">
            <w:pPr>
              <w:keepNext/>
              <w:spacing w:before="60" w:after="60" w:line="220" w:lineRule="atLeast"/>
              <w:ind w:left="57" w:right="57"/>
              <w:rPr>
                <w:b/>
                <w:bCs/>
                <w:lang w:val="fr-FR"/>
              </w:rPr>
            </w:pPr>
          </w:p>
        </w:tc>
        <w:tc>
          <w:tcPr>
            <w:tcW w:w="2268" w:type="dxa"/>
          </w:tcPr>
          <w:p w14:paraId="54649A15" w14:textId="77777777" w:rsidR="00106897" w:rsidRPr="00E47751" w:rsidRDefault="00106897" w:rsidP="00106897">
            <w:pPr>
              <w:keepNext/>
              <w:spacing w:before="60" w:after="60" w:line="220" w:lineRule="atLeast"/>
              <w:ind w:left="57" w:right="57"/>
              <w:rPr>
                <w:b/>
                <w:bCs/>
                <w:lang w:val="fr-FR"/>
              </w:rPr>
            </w:pPr>
            <w:r w:rsidRPr="00E47751">
              <w:rPr>
                <w:b/>
                <w:bCs/>
                <w:lang w:val="fr-FR"/>
              </w:rPr>
              <w:t>Note technique de justification de l’AES n</w:t>
            </w:r>
            <w:r w:rsidRPr="00E47751">
              <w:rPr>
                <w:b/>
                <w:bCs/>
                <w:vertAlign w:val="superscript"/>
                <w:lang w:val="fr-FR"/>
              </w:rPr>
              <w:t>o</w:t>
            </w:r>
            <w:r w:rsidRPr="00E47751">
              <w:rPr>
                <w:b/>
                <w:bCs/>
                <w:lang w:val="fr-FR"/>
              </w:rPr>
              <w:t> xxx</w:t>
            </w:r>
          </w:p>
        </w:tc>
        <w:tc>
          <w:tcPr>
            <w:tcW w:w="2835" w:type="dxa"/>
          </w:tcPr>
          <w:p w14:paraId="3277EFAC" w14:textId="77777777" w:rsidR="00106897" w:rsidRPr="00E47751" w:rsidRDefault="00106897" w:rsidP="00106897">
            <w:pPr>
              <w:keepNext/>
              <w:spacing w:before="60" w:after="60" w:line="220" w:lineRule="atLeast"/>
              <w:ind w:left="57" w:right="57"/>
              <w:rPr>
                <w:b/>
                <w:bCs/>
                <w:lang w:val="fr-FR"/>
              </w:rPr>
            </w:pPr>
            <w:r w:rsidRPr="00E47751">
              <w:rPr>
                <w:b/>
                <w:bCs/>
                <w:lang w:val="fr-FR"/>
              </w:rPr>
              <w:t>Évaluation des risques ou justification par des essais ou exemple de dommage soudain, le cas échéant</w:t>
            </w:r>
          </w:p>
        </w:tc>
      </w:tr>
      <w:tr w:rsidR="00106897" w:rsidRPr="00E47751" w14:paraId="17211943" w14:textId="77777777" w:rsidTr="00106897">
        <w:trPr>
          <w:jc w:val="center"/>
        </w:trPr>
        <w:tc>
          <w:tcPr>
            <w:tcW w:w="1271" w:type="dxa"/>
            <w:vMerge/>
          </w:tcPr>
          <w:p w14:paraId="2D34CEB8" w14:textId="77777777" w:rsidR="00106897" w:rsidRPr="00E47751" w:rsidRDefault="00106897" w:rsidP="00CB0680">
            <w:pPr>
              <w:spacing w:before="60" w:after="60" w:line="220" w:lineRule="atLeast"/>
              <w:ind w:left="57" w:right="57"/>
              <w:rPr>
                <w:b/>
                <w:bCs/>
                <w:lang w:val="fr-FR"/>
              </w:rPr>
            </w:pPr>
          </w:p>
        </w:tc>
        <w:tc>
          <w:tcPr>
            <w:tcW w:w="1134" w:type="dxa"/>
          </w:tcPr>
          <w:p w14:paraId="5DEB2E13" w14:textId="77777777" w:rsidR="00106897" w:rsidRPr="00E47751" w:rsidRDefault="00106897" w:rsidP="00CB0680">
            <w:pPr>
              <w:spacing w:before="60" w:after="60" w:line="220" w:lineRule="atLeast"/>
              <w:ind w:left="57" w:right="57"/>
              <w:rPr>
                <w:b/>
                <w:bCs/>
                <w:lang w:val="fr-FR"/>
              </w:rPr>
            </w:pPr>
          </w:p>
        </w:tc>
        <w:tc>
          <w:tcPr>
            <w:tcW w:w="2268" w:type="dxa"/>
          </w:tcPr>
          <w:p w14:paraId="225388D0" w14:textId="77777777" w:rsidR="00106897" w:rsidRPr="00E47751" w:rsidRDefault="00106897" w:rsidP="00CB0680">
            <w:pPr>
              <w:spacing w:before="60" w:after="60" w:line="220" w:lineRule="atLeast"/>
              <w:ind w:left="57" w:right="57"/>
              <w:rPr>
                <w:b/>
                <w:bCs/>
                <w:lang w:val="fr-FR"/>
              </w:rPr>
            </w:pPr>
            <w:r w:rsidRPr="00E47751">
              <w:rPr>
                <w:b/>
                <w:bCs/>
                <w:lang w:val="fr-FR"/>
              </w:rPr>
              <w:t>Note technique de justification de l’AES n</w:t>
            </w:r>
            <w:r w:rsidRPr="00E47751">
              <w:rPr>
                <w:b/>
                <w:bCs/>
                <w:vertAlign w:val="superscript"/>
                <w:lang w:val="fr-FR"/>
              </w:rPr>
              <w:t>o</w:t>
            </w:r>
            <w:r w:rsidRPr="00E47751">
              <w:rPr>
                <w:b/>
                <w:bCs/>
                <w:lang w:val="fr-FR"/>
              </w:rPr>
              <w:t> </w:t>
            </w:r>
            <w:proofErr w:type="spellStart"/>
            <w:r w:rsidRPr="00E47751">
              <w:rPr>
                <w:b/>
                <w:bCs/>
                <w:lang w:val="fr-FR"/>
              </w:rPr>
              <w:t>yyy</w:t>
            </w:r>
            <w:proofErr w:type="spellEnd"/>
          </w:p>
        </w:tc>
        <w:tc>
          <w:tcPr>
            <w:tcW w:w="2835" w:type="dxa"/>
          </w:tcPr>
          <w:p w14:paraId="79B45B57" w14:textId="77777777" w:rsidR="00106897" w:rsidRPr="00E47751" w:rsidRDefault="00106897" w:rsidP="00CB0680">
            <w:pPr>
              <w:spacing w:before="60" w:after="60" w:line="220" w:lineRule="atLeast"/>
              <w:ind w:left="57" w:right="57"/>
              <w:rPr>
                <w:b/>
                <w:bCs/>
                <w:lang w:val="fr-FR"/>
              </w:rPr>
            </w:pPr>
          </w:p>
        </w:tc>
      </w:tr>
      <w:tr w:rsidR="00106897" w:rsidRPr="00E47751" w14:paraId="39F05973" w14:textId="77777777" w:rsidTr="00106897">
        <w:trPr>
          <w:jc w:val="center"/>
        </w:trPr>
        <w:tc>
          <w:tcPr>
            <w:tcW w:w="1271" w:type="dxa"/>
            <w:vMerge/>
          </w:tcPr>
          <w:p w14:paraId="6BD2CE2B" w14:textId="77777777" w:rsidR="00106897" w:rsidRPr="00E47751" w:rsidRDefault="00106897" w:rsidP="00CB0680">
            <w:pPr>
              <w:spacing w:before="60" w:after="60" w:line="220" w:lineRule="atLeast"/>
              <w:ind w:left="57" w:right="57"/>
              <w:rPr>
                <w:b/>
                <w:bCs/>
                <w:lang w:val="fr-FR"/>
              </w:rPr>
            </w:pPr>
          </w:p>
        </w:tc>
        <w:tc>
          <w:tcPr>
            <w:tcW w:w="1134" w:type="dxa"/>
          </w:tcPr>
          <w:p w14:paraId="113C359E" w14:textId="77777777" w:rsidR="00106897" w:rsidRPr="00E47751" w:rsidRDefault="00106897" w:rsidP="00CB0680">
            <w:pPr>
              <w:spacing w:before="60" w:after="60" w:line="220" w:lineRule="atLeast"/>
              <w:ind w:left="57" w:right="57"/>
              <w:rPr>
                <w:b/>
                <w:bCs/>
                <w:lang w:val="fr-FR"/>
              </w:rPr>
            </w:pPr>
          </w:p>
        </w:tc>
        <w:tc>
          <w:tcPr>
            <w:tcW w:w="2268" w:type="dxa"/>
          </w:tcPr>
          <w:p w14:paraId="4DE1BAC0" w14:textId="77777777" w:rsidR="00106897" w:rsidRPr="00E47751" w:rsidRDefault="00106897" w:rsidP="00CB0680">
            <w:pPr>
              <w:spacing w:before="60" w:after="60" w:line="220" w:lineRule="atLeast"/>
              <w:ind w:left="57" w:right="57"/>
              <w:rPr>
                <w:b/>
                <w:bCs/>
                <w:lang w:val="fr-FR"/>
              </w:rPr>
            </w:pPr>
            <w:r w:rsidRPr="00E47751">
              <w:rPr>
                <w:b/>
                <w:bCs/>
                <w:lang w:val="fr-FR"/>
              </w:rPr>
              <w:t>Procès-verbal d’essai concernant la quantification de l’incidence de l’AES</w:t>
            </w:r>
          </w:p>
        </w:tc>
        <w:tc>
          <w:tcPr>
            <w:tcW w:w="2835" w:type="dxa"/>
          </w:tcPr>
          <w:p w14:paraId="67C6351C" w14:textId="77777777" w:rsidR="00106897" w:rsidRPr="00E47751" w:rsidRDefault="00106897" w:rsidP="00CB0680">
            <w:pPr>
              <w:spacing w:before="60" w:after="60" w:line="220" w:lineRule="atLeast"/>
              <w:ind w:left="57" w:right="57"/>
              <w:rPr>
                <w:b/>
                <w:bCs/>
                <w:lang w:val="fr-FR"/>
              </w:rPr>
            </w:pPr>
            <w:r w:rsidRPr="00E47751">
              <w:rPr>
                <w:b/>
                <w:bCs/>
                <w:lang w:val="fr-FR"/>
              </w:rPr>
              <w:t>Procès-verbal de toutes les épreuves effectuées en vue de justifier l’AES, détails des conditions d’essai, description du véhicule, date des essais, incidence sur les émissions et le CO</w:t>
            </w:r>
            <w:r w:rsidRPr="00E47751">
              <w:rPr>
                <w:b/>
                <w:bCs/>
                <w:vertAlign w:val="subscript"/>
                <w:lang w:val="fr-FR"/>
              </w:rPr>
              <w:t>2</w:t>
            </w:r>
            <w:r w:rsidRPr="00E47751">
              <w:rPr>
                <w:b/>
                <w:bCs/>
                <w:lang w:val="fr-FR"/>
              </w:rPr>
              <w:t xml:space="preserve"> avec et sans activation de l’AES</w:t>
            </w:r>
          </w:p>
        </w:tc>
      </w:tr>
    </w:tbl>
    <w:p w14:paraId="54A4684B" w14:textId="77777777" w:rsidR="00F9573C" w:rsidRDefault="00213792" w:rsidP="00213792">
      <w:pPr>
        <w:jc w:val="right"/>
        <w:rPr>
          <w:lang w:val="fr-FR"/>
        </w:rPr>
      </w:pPr>
      <w:r w:rsidRPr="00E773DC">
        <w:rPr>
          <w:lang w:val="fr-FR"/>
        </w:rPr>
        <w:t> »</w:t>
      </w:r>
      <w:r w:rsidR="00106897">
        <w:rPr>
          <w:lang w:val="fr-FR"/>
        </w:rPr>
        <w:t xml:space="preserve"> </w:t>
      </w:r>
    </w:p>
    <w:p w14:paraId="4241E514" w14:textId="77777777" w:rsidR="00106897" w:rsidRDefault="00106897" w:rsidP="00213792">
      <w:pPr>
        <w:jc w:val="right"/>
        <w:rPr>
          <w:lang w:val="fr-FR"/>
        </w:rPr>
      </w:pPr>
    </w:p>
    <w:p w14:paraId="74FE1651" w14:textId="77777777" w:rsidR="00EF7D06" w:rsidRDefault="00EF7D06" w:rsidP="00AF0CB5">
      <w:pPr>
        <w:sectPr w:rsidR="00EF7D06" w:rsidSect="006644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2AB0A66" w14:textId="77777777" w:rsidR="00EF7D06" w:rsidRPr="00E773DC" w:rsidRDefault="00EF7D06" w:rsidP="00EF7D06">
      <w:pPr>
        <w:pStyle w:val="SingleTxtG"/>
        <w:keepNext/>
        <w:rPr>
          <w:i/>
          <w:iCs/>
          <w:lang w:val="fr-FR" w:eastAsia="de-DE"/>
        </w:rPr>
      </w:pPr>
      <w:r w:rsidRPr="00E773DC">
        <w:rPr>
          <w:i/>
          <w:iCs/>
          <w:lang w:val="fr-FR" w:eastAsia="de-DE"/>
        </w:rPr>
        <w:lastRenderedPageBreak/>
        <w:t>Annexe 3</w:t>
      </w:r>
    </w:p>
    <w:p w14:paraId="06BAD754" w14:textId="77777777" w:rsidR="00EF7D06" w:rsidRPr="00E773DC" w:rsidRDefault="00EF7D06" w:rsidP="00EF7D06">
      <w:pPr>
        <w:pStyle w:val="SingleTxtG"/>
        <w:keepNext/>
        <w:rPr>
          <w:color w:val="000000" w:themeColor="text1"/>
          <w:lang w:val="fr-FR"/>
        </w:rPr>
      </w:pPr>
      <w:r w:rsidRPr="00E773DC">
        <w:rPr>
          <w:i/>
          <w:iCs/>
          <w:color w:val="000000" w:themeColor="text1"/>
          <w:lang w:val="fr-FR"/>
        </w:rPr>
        <w:t>Tableau 1 et notes d</w:t>
      </w:r>
      <w:r w:rsidR="00B921D9">
        <w:rPr>
          <w:i/>
          <w:iCs/>
          <w:color w:val="000000" w:themeColor="text1"/>
          <w:lang w:val="fr-FR"/>
        </w:rPr>
        <w:t>’</w:t>
      </w:r>
      <w:r w:rsidRPr="00E773DC">
        <w:rPr>
          <w:i/>
          <w:iCs/>
          <w:color w:val="000000" w:themeColor="text1"/>
          <w:lang w:val="fr-FR"/>
        </w:rPr>
        <w:t>accompagnement</w:t>
      </w:r>
      <w:r w:rsidRPr="00E773DC">
        <w:rPr>
          <w:color w:val="000000" w:themeColor="text1"/>
          <w:lang w:val="fr-FR"/>
        </w:rPr>
        <w:t>, lire :</w:t>
      </w:r>
    </w:p>
    <w:p w14:paraId="48E3770D" w14:textId="77777777" w:rsidR="00742418" w:rsidRPr="00742418" w:rsidRDefault="00742418" w:rsidP="00742418">
      <w:pPr>
        <w:pStyle w:val="Titre1"/>
        <w:spacing w:after="120"/>
        <w:ind w:left="284"/>
        <w:rPr>
          <w:b/>
          <w:bCs/>
          <w:lang w:val="fr-FR"/>
        </w:rPr>
      </w:pPr>
      <w:r w:rsidRPr="00E773DC">
        <w:rPr>
          <w:color w:val="000000" w:themeColor="text1"/>
          <w:lang w:val="fr-FR"/>
        </w:rPr>
        <w:t>« </w:t>
      </w:r>
      <w:r w:rsidRPr="00E773DC">
        <w:rPr>
          <w:lang w:val="fr-FR"/>
        </w:rPr>
        <w:t>Tableau 1</w:t>
      </w:r>
      <w:r w:rsidR="00DF79D5">
        <w:rPr>
          <w:lang w:val="fr-FR"/>
        </w:rPr>
        <w:t xml:space="preserve"> </w:t>
      </w:r>
      <w:r>
        <w:rPr>
          <w:lang w:val="fr-FR"/>
        </w:rPr>
        <w:br/>
      </w:r>
      <w:r w:rsidRPr="00742418">
        <w:rPr>
          <w:b/>
          <w:bCs/>
          <w:lang w:val="fr-FR"/>
        </w:rPr>
        <w:t>Lettres faisant référence aux stades des prescriptions concernant les systèmes d’autodiagnostic (OBD) et de réduction catalytique sélective (RCS)</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
        <w:gridCol w:w="1425"/>
        <w:gridCol w:w="1301"/>
        <w:gridCol w:w="1288"/>
        <w:gridCol w:w="1171"/>
        <w:gridCol w:w="1190"/>
        <w:gridCol w:w="1246"/>
        <w:gridCol w:w="909"/>
        <w:gridCol w:w="1549"/>
        <w:gridCol w:w="1549"/>
        <w:gridCol w:w="1620"/>
      </w:tblGrid>
      <w:tr w:rsidR="00742418" w:rsidRPr="00742418" w14:paraId="4940DDFC" w14:textId="77777777" w:rsidTr="00A74DE5">
        <w:trPr>
          <w:tblHeader/>
        </w:trPr>
        <w:tc>
          <w:tcPr>
            <w:tcW w:w="528" w:type="dxa"/>
            <w:shd w:val="clear" w:color="auto" w:fill="auto"/>
            <w:vAlign w:val="bottom"/>
            <w:hideMark/>
          </w:tcPr>
          <w:p w14:paraId="595AF6C7"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Lettre</w:t>
            </w:r>
          </w:p>
        </w:tc>
        <w:tc>
          <w:tcPr>
            <w:tcW w:w="1425" w:type="dxa"/>
            <w:shd w:val="clear" w:color="auto" w:fill="auto"/>
            <w:vAlign w:val="bottom"/>
            <w:hideMark/>
          </w:tcPr>
          <w:p w14:paraId="11BA0DF5"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 xml:space="preserve">Valeurs limites </w:t>
            </w:r>
            <w:r w:rsidR="00742418">
              <w:rPr>
                <w:i/>
                <w:sz w:val="14"/>
                <w:szCs w:val="14"/>
                <w:lang w:val="fr-FR"/>
              </w:rPr>
              <w:br/>
            </w:r>
            <w:r w:rsidRPr="00742418">
              <w:rPr>
                <w:i/>
                <w:sz w:val="14"/>
                <w:szCs w:val="14"/>
                <w:lang w:val="fr-FR"/>
              </w:rPr>
              <w:t>OBD pour les oxydes d</w:t>
            </w:r>
            <w:r w:rsidR="00B921D9" w:rsidRPr="00742418">
              <w:rPr>
                <w:i/>
                <w:sz w:val="14"/>
                <w:szCs w:val="14"/>
                <w:lang w:val="fr-FR"/>
              </w:rPr>
              <w:t>’</w:t>
            </w:r>
            <w:r w:rsidRPr="00742418">
              <w:rPr>
                <w:i/>
                <w:sz w:val="14"/>
                <w:szCs w:val="14"/>
                <w:lang w:val="fr-FR"/>
              </w:rPr>
              <w:t>azote</w:t>
            </w:r>
            <w:r w:rsidRPr="00F72B31">
              <w:rPr>
                <w:iCs/>
                <w:sz w:val="14"/>
                <w:szCs w:val="14"/>
                <w:vertAlign w:val="superscript"/>
                <w:lang w:val="fr-FR"/>
              </w:rPr>
              <w:t>1</w:t>
            </w:r>
          </w:p>
        </w:tc>
        <w:tc>
          <w:tcPr>
            <w:tcW w:w="1301" w:type="dxa"/>
            <w:shd w:val="clear" w:color="auto" w:fill="auto"/>
            <w:vAlign w:val="bottom"/>
            <w:hideMark/>
          </w:tcPr>
          <w:p w14:paraId="29B6256E"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Valeurs limites OBD pour les particules</w:t>
            </w:r>
            <w:r w:rsidRPr="00F72B31">
              <w:rPr>
                <w:iCs/>
                <w:sz w:val="14"/>
                <w:szCs w:val="14"/>
                <w:vertAlign w:val="superscript"/>
                <w:lang w:val="fr-FR"/>
              </w:rPr>
              <w:t>2</w:t>
            </w:r>
          </w:p>
        </w:tc>
        <w:tc>
          <w:tcPr>
            <w:tcW w:w="1288" w:type="dxa"/>
            <w:shd w:val="clear" w:color="auto" w:fill="auto"/>
            <w:vAlign w:val="bottom"/>
            <w:hideMark/>
          </w:tcPr>
          <w:p w14:paraId="4BC6B3FE"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Valeurs limites OBD pour le monoxyde de carbone</w:t>
            </w:r>
            <w:r w:rsidRPr="00F72B31">
              <w:rPr>
                <w:iCs/>
                <w:sz w:val="14"/>
                <w:szCs w:val="14"/>
                <w:vertAlign w:val="superscript"/>
                <w:lang w:val="fr-FR"/>
              </w:rPr>
              <w:t>6</w:t>
            </w:r>
          </w:p>
        </w:tc>
        <w:tc>
          <w:tcPr>
            <w:tcW w:w="1171" w:type="dxa"/>
            <w:shd w:val="clear" w:color="auto" w:fill="auto"/>
            <w:vAlign w:val="bottom"/>
            <w:hideMark/>
          </w:tcPr>
          <w:p w14:paraId="20F3F89C"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Rapport d</w:t>
            </w:r>
            <w:r w:rsidR="00B921D9" w:rsidRPr="00742418">
              <w:rPr>
                <w:i/>
                <w:sz w:val="14"/>
                <w:szCs w:val="14"/>
                <w:lang w:val="fr-FR"/>
              </w:rPr>
              <w:t>’</w:t>
            </w:r>
            <w:r w:rsidRPr="00742418">
              <w:rPr>
                <w:i/>
                <w:sz w:val="14"/>
                <w:szCs w:val="14"/>
                <w:lang w:val="fr-FR"/>
              </w:rPr>
              <w:t>efficacité en service (IUPR)</w:t>
            </w:r>
            <w:r w:rsidRPr="00F72B31">
              <w:rPr>
                <w:iCs/>
                <w:sz w:val="14"/>
                <w:szCs w:val="14"/>
                <w:vertAlign w:val="superscript"/>
                <w:lang w:val="fr-FR"/>
              </w:rPr>
              <w:t>13</w:t>
            </w:r>
          </w:p>
        </w:tc>
        <w:tc>
          <w:tcPr>
            <w:tcW w:w="1190" w:type="dxa"/>
            <w:shd w:val="clear" w:color="auto" w:fill="auto"/>
            <w:vAlign w:val="bottom"/>
            <w:hideMark/>
          </w:tcPr>
          <w:p w14:paraId="4A952A46"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 xml:space="preserve">Qualité </w:t>
            </w:r>
            <w:r w:rsidR="00DF79D5">
              <w:rPr>
                <w:i/>
                <w:sz w:val="14"/>
                <w:szCs w:val="14"/>
                <w:lang w:val="fr-FR"/>
              </w:rPr>
              <w:br/>
            </w:r>
            <w:r w:rsidRPr="00742418">
              <w:rPr>
                <w:i/>
                <w:sz w:val="14"/>
                <w:szCs w:val="14"/>
                <w:lang w:val="fr-FR"/>
              </w:rPr>
              <w:t>du réactif</w:t>
            </w:r>
          </w:p>
        </w:tc>
        <w:tc>
          <w:tcPr>
            <w:tcW w:w="1246" w:type="dxa"/>
            <w:shd w:val="clear" w:color="auto" w:fill="auto"/>
            <w:vAlign w:val="bottom"/>
            <w:hideMark/>
          </w:tcPr>
          <w:p w14:paraId="5783A2B5"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Programmes de surveillance OBD supplémentaires</w:t>
            </w:r>
            <w:r w:rsidRPr="00F72B31">
              <w:rPr>
                <w:iCs/>
                <w:sz w:val="14"/>
                <w:szCs w:val="14"/>
                <w:vertAlign w:val="superscript"/>
                <w:lang w:val="fr-FR"/>
              </w:rPr>
              <w:t>12</w:t>
            </w:r>
          </w:p>
        </w:tc>
        <w:tc>
          <w:tcPr>
            <w:tcW w:w="909" w:type="dxa"/>
            <w:shd w:val="clear" w:color="auto" w:fill="auto"/>
            <w:vAlign w:val="bottom"/>
            <w:hideMark/>
          </w:tcPr>
          <w:p w14:paraId="7005ED71"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noProof/>
                <w:sz w:val="14"/>
                <w:szCs w:val="14"/>
                <w:lang w:val="fr-FR"/>
              </w:rPr>
              <w:t>Seuil de puissance</w:t>
            </w:r>
            <w:r w:rsidRPr="00F72B31">
              <w:rPr>
                <w:iCs/>
                <w:noProof/>
                <w:sz w:val="14"/>
                <w:szCs w:val="14"/>
                <w:vertAlign w:val="superscript"/>
                <w:lang w:val="fr-FR"/>
              </w:rPr>
              <w:t>14</w:t>
            </w:r>
          </w:p>
        </w:tc>
        <w:tc>
          <w:tcPr>
            <w:tcW w:w="1549" w:type="dxa"/>
            <w:shd w:val="clear" w:color="auto" w:fill="auto"/>
            <w:vAlign w:val="bottom"/>
          </w:tcPr>
          <w:p w14:paraId="2E72F346" w14:textId="77777777" w:rsidR="00EF7D06" w:rsidRPr="00DF79D5" w:rsidRDefault="00EF7D06" w:rsidP="00742418">
            <w:pPr>
              <w:suppressAutoHyphens w:val="0"/>
              <w:spacing w:before="80" w:after="80" w:line="200" w:lineRule="exact"/>
              <w:ind w:left="57" w:right="57"/>
              <w:rPr>
                <w:b/>
                <w:i/>
                <w:sz w:val="14"/>
                <w:szCs w:val="14"/>
                <w:lang w:val="fr-FR"/>
              </w:rPr>
            </w:pPr>
            <w:r w:rsidRPr="00DF79D5">
              <w:rPr>
                <w:b/>
                <w:i/>
                <w:sz w:val="14"/>
                <w:szCs w:val="14"/>
                <w:lang w:val="fr-FR"/>
              </w:rPr>
              <w:t>Démarrage à froid</w:t>
            </w:r>
            <w:r w:rsidRPr="00DF79D5">
              <w:rPr>
                <w:b/>
                <w:i/>
                <w:sz w:val="14"/>
                <w:szCs w:val="14"/>
                <w:lang w:val="fr-FR"/>
              </w:rPr>
              <w:br/>
              <w:t>et nombre de particules</w:t>
            </w:r>
          </w:p>
        </w:tc>
        <w:tc>
          <w:tcPr>
            <w:tcW w:w="1549" w:type="dxa"/>
            <w:shd w:val="clear" w:color="auto" w:fill="auto"/>
            <w:vAlign w:val="bottom"/>
            <w:hideMark/>
          </w:tcPr>
          <w:p w14:paraId="0AEB9B93"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Dates d</w:t>
            </w:r>
            <w:r w:rsidR="00B921D9" w:rsidRPr="00742418">
              <w:rPr>
                <w:i/>
                <w:sz w:val="14"/>
                <w:szCs w:val="14"/>
                <w:lang w:val="fr-FR"/>
              </w:rPr>
              <w:t>’</w:t>
            </w:r>
            <w:r w:rsidRPr="00742418">
              <w:rPr>
                <w:i/>
                <w:sz w:val="14"/>
                <w:szCs w:val="14"/>
                <w:lang w:val="fr-FR"/>
              </w:rPr>
              <w:t>application : nouveaux types</w:t>
            </w:r>
          </w:p>
        </w:tc>
        <w:tc>
          <w:tcPr>
            <w:tcW w:w="1620" w:type="dxa"/>
            <w:shd w:val="clear" w:color="auto" w:fill="auto"/>
            <w:vAlign w:val="bottom"/>
            <w:hideMark/>
          </w:tcPr>
          <w:p w14:paraId="0BBC1366" w14:textId="77777777" w:rsidR="00EF7D06" w:rsidRPr="00742418" w:rsidRDefault="00EF7D06" w:rsidP="00742418">
            <w:pPr>
              <w:suppressAutoHyphens w:val="0"/>
              <w:spacing w:before="80" w:after="80" w:line="200" w:lineRule="exact"/>
              <w:ind w:left="57" w:right="57"/>
              <w:rPr>
                <w:i/>
                <w:noProof/>
                <w:sz w:val="14"/>
                <w:szCs w:val="14"/>
                <w:lang w:val="fr-FR"/>
              </w:rPr>
            </w:pPr>
            <w:r w:rsidRPr="00742418">
              <w:rPr>
                <w:i/>
                <w:sz w:val="14"/>
                <w:szCs w:val="14"/>
                <w:lang w:val="fr-FR"/>
              </w:rPr>
              <w:t>Date à partir de laquelle les Parties contractantes sont en droit de refuser l</w:t>
            </w:r>
            <w:r w:rsidR="00B921D9" w:rsidRPr="00742418">
              <w:rPr>
                <w:i/>
                <w:sz w:val="14"/>
                <w:szCs w:val="14"/>
                <w:lang w:val="fr-FR"/>
              </w:rPr>
              <w:t>’</w:t>
            </w:r>
            <w:r w:rsidRPr="00742418">
              <w:rPr>
                <w:i/>
                <w:sz w:val="14"/>
                <w:szCs w:val="14"/>
                <w:lang w:val="fr-FR"/>
              </w:rPr>
              <w:t>homologation de type</w:t>
            </w:r>
          </w:p>
        </w:tc>
      </w:tr>
      <w:tr w:rsidR="00742418" w:rsidRPr="00742418" w14:paraId="22366EBE" w14:textId="77777777" w:rsidTr="00A74DE5">
        <w:tc>
          <w:tcPr>
            <w:tcW w:w="528" w:type="dxa"/>
            <w:shd w:val="clear" w:color="auto" w:fill="auto"/>
            <w:hideMark/>
          </w:tcPr>
          <w:p w14:paraId="5890F3A6"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A</w:t>
            </w:r>
            <w:r w:rsidRPr="00F72B31">
              <w:rPr>
                <w:i/>
                <w:sz w:val="18"/>
                <w:szCs w:val="18"/>
                <w:vertAlign w:val="superscript"/>
                <w:lang w:val="fr-FR"/>
              </w:rPr>
              <w:t>9</w:t>
            </w:r>
            <w:r w:rsidRPr="00742418">
              <w:rPr>
                <w:iCs/>
                <w:sz w:val="18"/>
                <w:szCs w:val="18"/>
                <w:vertAlign w:val="superscript"/>
                <w:lang w:val="fr-FR"/>
              </w:rPr>
              <w:t xml:space="preserve">, </w:t>
            </w:r>
            <w:r w:rsidRPr="00F72B31">
              <w:rPr>
                <w:i/>
                <w:sz w:val="18"/>
                <w:szCs w:val="18"/>
                <w:vertAlign w:val="superscript"/>
                <w:lang w:val="fr-FR"/>
              </w:rPr>
              <w:t>10</w:t>
            </w:r>
            <w:r w:rsidRPr="00742418">
              <w:rPr>
                <w:iCs/>
                <w:sz w:val="18"/>
                <w:szCs w:val="18"/>
                <w:lang w:val="fr-FR"/>
              </w:rPr>
              <w:t xml:space="preserve"> </w:t>
            </w:r>
            <w:r w:rsidRPr="00742418">
              <w:rPr>
                <w:iCs/>
                <w:sz w:val="18"/>
                <w:szCs w:val="18"/>
                <w:lang w:val="fr-FR"/>
              </w:rPr>
              <w:br/>
              <w:t>B</w:t>
            </w:r>
            <w:r w:rsidRPr="00F72B31">
              <w:rPr>
                <w:i/>
                <w:sz w:val="18"/>
                <w:szCs w:val="18"/>
                <w:vertAlign w:val="superscript"/>
                <w:lang w:val="fr-FR"/>
              </w:rPr>
              <w:t>10</w:t>
            </w:r>
          </w:p>
        </w:tc>
        <w:tc>
          <w:tcPr>
            <w:tcW w:w="1425" w:type="dxa"/>
            <w:shd w:val="clear" w:color="auto" w:fill="auto"/>
            <w:hideMark/>
          </w:tcPr>
          <w:p w14:paraId="4BDFFEBF"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“Phase transitoire” </w:t>
            </w:r>
            <w:r w:rsidRPr="00742418">
              <w:rPr>
                <w:sz w:val="18"/>
                <w:szCs w:val="18"/>
                <w:lang w:val="fr-FR"/>
              </w:rPr>
              <w:br/>
              <w:t>des tableaux 1 et 2 de l</w:t>
            </w:r>
            <w:r w:rsidR="00B921D9" w:rsidRPr="00742418">
              <w:rPr>
                <w:sz w:val="18"/>
                <w:szCs w:val="18"/>
                <w:lang w:val="fr-FR"/>
              </w:rPr>
              <w:t>’</w:t>
            </w:r>
            <w:r w:rsidRPr="00742418">
              <w:rPr>
                <w:sz w:val="18"/>
                <w:szCs w:val="18"/>
                <w:lang w:val="fr-FR"/>
              </w:rPr>
              <w:t>annexe 9A</w:t>
            </w:r>
          </w:p>
        </w:tc>
        <w:tc>
          <w:tcPr>
            <w:tcW w:w="1301" w:type="dxa"/>
            <w:shd w:val="clear" w:color="auto" w:fill="auto"/>
            <w:hideMark/>
          </w:tcPr>
          <w:p w14:paraId="6B3CBE40" w14:textId="77777777" w:rsidR="00EF7D06" w:rsidRPr="00742418" w:rsidRDefault="00EF7D06" w:rsidP="00742418">
            <w:pPr>
              <w:suppressAutoHyphens w:val="0"/>
              <w:spacing w:before="60" w:after="60" w:line="220" w:lineRule="atLeast"/>
              <w:ind w:left="57" w:right="57"/>
              <w:rPr>
                <w:noProof/>
                <w:sz w:val="18"/>
                <w:szCs w:val="18"/>
                <w:vertAlign w:val="superscript"/>
                <w:lang w:val="fr-FR"/>
              </w:rPr>
            </w:pPr>
            <w:r w:rsidRPr="00742418">
              <w:rPr>
                <w:sz w:val="18"/>
                <w:szCs w:val="18"/>
                <w:lang w:val="fr-FR"/>
              </w:rPr>
              <w:t xml:space="preserve">Surveillance </w:t>
            </w:r>
            <w:r w:rsidRPr="00742418">
              <w:rPr>
                <w:sz w:val="18"/>
                <w:szCs w:val="18"/>
                <w:lang w:val="fr-FR"/>
              </w:rPr>
              <w:br/>
              <w:t>de l</w:t>
            </w:r>
            <w:r w:rsidR="00B921D9" w:rsidRPr="00742418">
              <w:rPr>
                <w:sz w:val="18"/>
                <w:szCs w:val="18"/>
                <w:lang w:val="fr-FR"/>
              </w:rPr>
              <w:t>’</w:t>
            </w:r>
            <w:r w:rsidRPr="00742418">
              <w:rPr>
                <w:sz w:val="18"/>
                <w:szCs w:val="18"/>
                <w:lang w:val="fr-FR"/>
              </w:rPr>
              <w:t>efficacité</w:t>
            </w:r>
            <w:r w:rsidRPr="00F72B31">
              <w:rPr>
                <w:i/>
                <w:iCs/>
                <w:sz w:val="18"/>
                <w:szCs w:val="18"/>
                <w:vertAlign w:val="superscript"/>
                <w:lang w:val="fr-FR"/>
              </w:rPr>
              <w:t>3</w:t>
            </w:r>
          </w:p>
        </w:tc>
        <w:tc>
          <w:tcPr>
            <w:tcW w:w="1288" w:type="dxa"/>
            <w:shd w:val="clear" w:color="auto" w:fill="auto"/>
            <w:hideMark/>
          </w:tcPr>
          <w:p w14:paraId="145B876D" w14:textId="77777777" w:rsidR="00EF7D06" w:rsidRPr="00742418" w:rsidRDefault="00EF7D06" w:rsidP="00742418">
            <w:pPr>
              <w:suppressAutoHyphens w:val="0"/>
              <w:spacing w:before="60" w:after="60" w:line="220" w:lineRule="atLeast"/>
              <w:ind w:left="57" w:right="57"/>
              <w:rPr>
                <w:noProof/>
                <w:sz w:val="18"/>
                <w:szCs w:val="18"/>
                <w:lang w:val="fr-FR"/>
              </w:rPr>
            </w:pPr>
            <w:proofErr w:type="spellStart"/>
            <w:r w:rsidRPr="00742418">
              <w:rPr>
                <w:sz w:val="18"/>
                <w:szCs w:val="18"/>
                <w:lang w:val="fr-FR"/>
              </w:rPr>
              <w:t>s</w:t>
            </w:r>
            <w:r w:rsidR="00F72B31" w:rsidRPr="00F72B31">
              <w:rPr>
                <w:sz w:val="18"/>
                <w:szCs w:val="18"/>
                <w:lang w:val="fr-FR"/>
              </w:rPr>
              <w:t>.</w:t>
            </w:r>
            <w:r w:rsidRPr="00742418">
              <w:rPr>
                <w:sz w:val="18"/>
                <w:szCs w:val="18"/>
                <w:lang w:val="fr-FR"/>
              </w:rPr>
              <w:t>o</w:t>
            </w:r>
            <w:proofErr w:type="spellEnd"/>
            <w:r w:rsidR="00F72B31" w:rsidRPr="00F72B31">
              <w:rPr>
                <w:sz w:val="18"/>
                <w:szCs w:val="18"/>
                <w:lang w:val="fr-FR"/>
              </w:rPr>
              <w:t>.</w:t>
            </w:r>
          </w:p>
        </w:tc>
        <w:tc>
          <w:tcPr>
            <w:tcW w:w="1171" w:type="dxa"/>
            <w:shd w:val="clear" w:color="auto" w:fill="auto"/>
            <w:hideMark/>
          </w:tcPr>
          <w:p w14:paraId="166722E9"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Phase transitoire</w:t>
            </w:r>
            <w:r w:rsidRPr="00F72B31">
              <w:rPr>
                <w:i/>
                <w:iCs/>
                <w:sz w:val="18"/>
                <w:szCs w:val="18"/>
                <w:vertAlign w:val="superscript"/>
                <w:lang w:val="fr-FR"/>
              </w:rPr>
              <w:t>7</w:t>
            </w:r>
          </w:p>
        </w:tc>
        <w:tc>
          <w:tcPr>
            <w:tcW w:w="1190" w:type="dxa"/>
            <w:shd w:val="clear" w:color="auto" w:fill="auto"/>
            <w:hideMark/>
          </w:tcPr>
          <w:p w14:paraId="0DB314F9" w14:textId="77777777" w:rsidR="00EF7D06" w:rsidRPr="00742418" w:rsidRDefault="00EF7D06" w:rsidP="00742418">
            <w:pPr>
              <w:suppressAutoHyphens w:val="0"/>
              <w:spacing w:before="60" w:after="60" w:line="220" w:lineRule="atLeast"/>
              <w:ind w:left="57" w:right="57"/>
              <w:rPr>
                <w:noProof/>
                <w:sz w:val="18"/>
                <w:szCs w:val="18"/>
                <w:vertAlign w:val="superscript"/>
                <w:lang w:val="fr-FR"/>
              </w:rPr>
            </w:pPr>
            <w:r w:rsidRPr="00742418">
              <w:rPr>
                <w:sz w:val="18"/>
                <w:szCs w:val="18"/>
                <w:lang w:val="fr-FR"/>
              </w:rPr>
              <w:t>Phase transitoire</w:t>
            </w:r>
            <w:r w:rsidRPr="00F72B31">
              <w:rPr>
                <w:i/>
                <w:iCs/>
                <w:sz w:val="18"/>
                <w:szCs w:val="18"/>
                <w:vertAlign w:val="superscript"/>
                <w:lang w:val="fr-FR"/>
              </w:rPr>
              <w:t>4</w:t>
            </w:r>
          </w:p>
        </w:tc>
        <w:tc>
          <w:tcPr>
            <w:tcW w:w="1246" w:type="dxa"/>
            <w:shd w:val="clear" w:color="auto" w:fill="auto"/>
            <w:hideMark/>
          </w:tcPr>
          <w:p w14:paraId="2A383D25" w14:textId="77777777" w:rsidR="00EF7D06" w:rsidRPr="00742418" w:rsidRDefault="00EF7D06" w:rsidP="00742418">
            <w:pPr>
              <w:suppressAutoHyphens w:val="0"/>
              <w:spacing w:before="60" w:after="60" w:line="220" w:lineRule="atLeast"/>
              <w:ind w:left="57" w:right="57"/>
              <w:rPr>
                <w:noProof/>
                <w:sz w:val="18"/>
                <w:szCs w:val="18"/>
                <w:lang w:val="fr-FR"/>
              </w:rPr>
            </w:pPr>
            <w:proofErr w:type="spellStart"/>
            <w:r w:rsidRPr="00742418">
              <w:rPr>
                <w:sz w:val="18"/>
                <w:szCs w:val="18"/>
                <w:lang w:val="fr-FR"/>
              </w:rPr>
              <w:t>s</w:t>
            </w:r>
            <w:r w:rsidR="00F72B31" w:rsidRPr="00F72B31">
              <w:rPr>
                <w:sz w:val="18"/>
                <w:szCs w:val="18"/>
                <w:lang w:val="fr-FR"/>
              </w:rPr>
              <w:t>.</w:t>
            </w:r>
            <w:r w:rsidRPr="00742418">
              <w:rPr>
                <w:sz w:val="18"/>
                <w:szCs w:val="18"/>
                <w:lang w:val="fr-FR"/>
              </w:rPr>
              <w:t>o</w:t>
            </w:r>
            <w:proofErr w:type="spellEnd"/>
            <w:r w:rsidR="00F72B31" w:rsidRPr="00F72B31">
              <w:rPr>
                <w:sz w:val="18"/>
                <w:szCs w:val="18"/>
                <w:lang w:val="fr-FR"/>
              </w:rPr>
              <w:t>.</w:t>
            </w:r>
          </w:p>
        </w:tc>
        <w:tc>
          <w:tcPr>
            <w:tcW w:w="909" w:type="dxa"/>
            <w:shd w:val="clear" w:color="auto" w:fill="auto"/>
            <w:hideMark/>
          </w:tcPr>
          <w:p w14:paraId="4A8E801E"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20 %</w:t>
            </w:r>
          </w:p>
        </w:tc>
        <w:tc>
          <w:tcPr>
            <w:tcW w:w="1549" w:type="dxa"/>
            <w:shd w:val="clear" w:color="auto" w:fill="auto"/>
          </w:tcPr>
          <w:p w14:paraId="57D5EA45" w14:textId="77777777" w:rsidR="00EF7D06" w:rsidRPr="00742418" w:rsidRDefault="00EF7D06" w:rsidP="00742418">
            <w:pPr>
              <w:suppressAutoHyphens w:val="0"/>
              <w:spacing w:before="60" w:after="60" w:line="220" w:lineRule="atLeast"/>
              <w:ind w:left="57" w:right="57"/>
              <w:rPr>
                <w:b/>
                <w:bCs/>
                <w:sz w:val="18"/>
                <w:szCs w:val="18"/>
                <w:lang w:val="fr-FR"/>
              </w:rPr>
            </w:pPr>
            <w:proofErr w:type="spellStart"/>
            <w:r w:rsidRPr="00742418">
              <w:rPr>
                <w:b/>
                <w:bCs/>
                <w:sz w:val="18"/>
                <w:szCs w:val="18"/>
                <w:lang w:val="fr-FR"/>
              </w:rPr>
              <w:t>s</w:t>
            </w:r>
            <w:r w:rsidR="00F72B31" w:rsidRPr="00F72B31">
              <w:rPr>
                <w:b/>
                <w:bCs/>
                <w:sz w:val="18"/>
                <w:szCs w:val="18"/>
                <w:lang w:val="fr-FR"/>
              </w:rPr>
              <w:t>.</w:t>
            </w:r>
            <w:r w:rsidRPr="00742418">
              <w:rPr>
                <w:b/>
                <w:bCs/>
                <w:sz w:val="18"/>
                <w:szCs w:val="18"/>
                <w:lang w:val="fr-FR"/>
              </w:rPr>
              <w:t>o</w:t>
            </w:r>
            <w:proofErr w:type="spellEnd"/>
            <w:r w:rsidR="00F72B31" w:rsidRPr="00F72B31">
              <w:rPr>
                <w:b/>
                <w:bCs/>
                <w:sz w:val="18"/>
                <w:szCs w:val="18"/>
                <w:lang w:val="fr-FR"/>
              </w:rPr>
              <w:t>.</w:t>
            </w:r>
          </w:p>
        </w:tc>
        <w:tc>
          <w:tcPr>
            <w:tcW w:w="1549" w:type="dxa"/>
            <w:shd w:val="clear" w:color="auto" w:fill="auto"/>
            <w:hideMark/>
          </w:tcPr>
          <w:p w14:paraId="44893E12"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Date d</w:t>
            </w:r>
            <w:r w:rsidR="00B921D9" w:rsidRPr="00742418">
              <w:rPr>
                <w:sz w:val="18"/>
                <w:szCs w:val="18"/>
                <w:lang w:val="fr-FR"/>
              </w:rPr>
              <w:t>’</w:t>
            </w:r>
            <w:r w:rsidRPr="00742418">
              <w:rPr>
                <w:sz w:val="18"/>
                <w:szCs w:val="18"/>
                <w:lang w:val="fr-FR"/>
              </w:rPr>
              <w:t xml:space="preserve">entrée </w:t>
            </w:r>
            <w:r w:rsidRPr="00742418">
              <w:rPr>
                <w:sz w:val="18"/>
                <w:szCs w:val="18"/>
                <w:lang w:val="fr-FR"/>
              </w:rPr>
              <w:br/>
              <w:t xml:space="preserve">en vigueur </w:t>
            </w:r>
            <w:r w:rsidRPr="00742418">
              <w:rPr>
                <w:sz w:val="18"/>
                <w:szCs w:val="18"/>
                <w:lang w:val="fr-FR"/>
              </w:rPr>
              <w:br/>
              <w:t>de la série 06 d</w:t>
            </w:r>
            <w:r w:rsidR="00B921D9" w:rsidRPr="00742418">
              <w:rPr>
                <w:sz w:val="18"/>
                <w:szCs w:val="18"/>
                <w:lang w:val="fr-FR"/>
              </w:rPr>
              <w:t>’</w:t>
            </w:r>
            <w:r w:rsidRPr="00742418">
              <w:rPr>
                <w:sz w:val="18"/>
                <w:szCs w:val="18"/>
                <w:lang w:val="fr-FR"/>
              </w:rPr>
              <w:t xml:space="preserve">amendements </w:t>
            </w:r>
            <w:r w:rsidRPr="00742418">
              <w:rPr>
                <w:sz w:val="18"/>
                <w:szCs w:val="18"/>
                <w:lang w:val="fr-FR"/>
              </w:rPr>
              <w:br/>
              <w:t xml:space="preserve">au Règlement ONU </w:t>
            </w:r>
            <w:r w:rsidRPr="00742418">
              <w:rPr>
                <w:rFonts w:eastAsia="MS Mincho"/>
                <w:sz w:val="18"/>
                <w:szCs w:val="18"/>
                <w:lang w:val="fr-FR"/>
              </w:rPr>
              <w:t>n</w:t>
            </w:r>
            <w:r w:rsidRPr="00742418">
              <w:rPr>
                <w:rFonts w:eastAsia="MS Mincho"/>
                <w:sz w:val="18"/>
                <w:szCs w:val="18"/>
                <w:vertAlign w:val="superscript"/>
                <w:lang w:val="fr-FR"/>
              </w:rPr>
              <w:t>o</w:t>
            </w:r>
            <w:r w:rsidRPr="00742418">
              <w:rPr>
                <w:sz w:val="18"/>
                <w:szCs w:val="18"/>
                <w:lang w:val="fr-FR"/>
              </w:rPr>
              <w:t> 49</w:t>
            </w:r>
          </w:p>
        </w:tc>
        <w:tc>
          <w:tcPr>
            <w:tcW w:w="1620" w:type="dxa"/>
            <w:shd w:val="clear" w:color="auto" w:fill="auto"/>
            <w:hideMark/>
          </w:tcPr>
          <w:p w14:paraId="601F0CAF"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1</w:t>
            </w:r>
            <w:r w:rsidRPr="00742418">
              <w:rPr>
                <w:sz w:val="18"/>
                <w:szCs w:val="18"/>
                <w:vertAlign w:val="superscript"/>
                <w:lang w:val="fr-FR"/>
              </w:rPr>
              <w:t>er</w:t>
            </w:r>
            <w:r w:rsidRPr="00742418">
              <w:rPr>
                <w:sz w:val="18"/>
                <w:szCs w:val="18"/>
                <w:lang w:val="fr-FR"/>
              </w:rPr>
              <w:t> septembre 2015</w:t>
            </w:r>
            <w:r w:rsidRPr="00742418">
              <w:rPr>
                <w:sz w:val="18"/>
                <w:szCs w:val="18"/>
                <w:vertAlign w:val="superscript"/>
                <w:lang w:val="fr-FR"/>
              </w:rPr>
              <w:t xml:space="preserve">9 </w:t>
            </w:r>
            <w:r w:rsidRPr="00742418">
              <w:rPr>
                <w:sz w:val="18"/>
                <w:szCs w:val="18"/>
                <w:vertAlign w:val="superscript"/>
                <w:lang w:val="fr-FR"/>
              </w:rPr>
              <w:br/>
            </w:r>
            <w:r w:rsidRPr="00742418">
              <w:rPr>
                <w:sz w:val="18"/>
                <w:szCs w:val="18"/>
                <w:lang w:val="fr-FR"/>
              </w:rPr>
              <w:t>31 décembre 2016</w:t>
            </w:r>
            <w:r w:rsidRPr="00742418">
              <w:rPr>
                <w:sz w:val="18"/>
                <w:szCs w:val="18"/>
                <w:vertAlign w:val="superscript"/>
                <w:lang w:val="fr-FR"/>
              </w:rPr>
              <w:t>10</w:t>
            </w:r>
          </w:p>
        </w:tc>
      </w:tr>
      <w:tr w:rsidR="00742418" w:rsidRPr="00742418" w14:paraId="65571F19" w14:textId="77777777" w:rsidTr="00A74DE5">
        <w:tc>
          <w:tcPr>
            <w:tcW w:w="528" w:type="dxa"/>
            <w:shd w:val="clear" w:color="auto" w:fill="auto"/>
            <w:hideMark/>
          </w:tcPr>
          <w:p w14:paraId="1D432859"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B</w:t>
            </w:r>
            <w:r w:rsidRPr="00F72B31">
              <w:rPr>
                <w:i/>
                <w:sz w:val="18"/>
                <w:szCs w:val="18"/>
                <w:vertAlign w:val="superscript"/>
                <w:lang w:val="fr-FR"/>
              </w:rPr>
              <w:t>11</w:t>
            </w:r>
          </w:p>
        </w:tc>
        <w:tc>
          <w:tcPr>
            <w:tcW w:w="1425" w:type="dxa"/>
            <w:shd w:val="clear" w:color="auto" w:fill="auto"/>
            <w:hideMark/>
          </w:tcPr>
          <w:p w14:paraId="346F9016"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“Phase transitoire” </w:t>
            </w:r>
            <w:r w:rsidRPr="00742418">
              <w:rPr>
                <w:sz w:val="18"/>
                <w:szCs w:val="18"/>
                <w:lang w:val="fr-FR"/>
              </w:rPr>
              <w:br/>
              <w:t>des tableaux 1 et 2 de l</w:t>
            </w:r>
            <w:r w:rsidR="00B921D9" w:rsidRPr="00742418">
              <w:rPr>
                <w:sz w:val="18"/>
                <w:szCs w:val="18"/>
                <w:lang w:val="fr-FR"/>
              </w:rPr>
              <w:t>’</w:t>
            </w:r>
            <w:r w:rsidRPr="00742418">
              <w:rPr>
                <w:sz w:val="18"/>
                <w:szCs w:val="18"/>
                <w:lang w:val="fr-FR"/>
              </w:rPr>
              <w:t>annexe 9A</w:t>
            </w:r>
          </w:p>
        </w:tc>
        <w:tc>
          <w:tcPr>
            <w:tcW w:w="1301" w:type="dxa"/>
            <w:shd w:val="clear" w:color="auto" w:fill="auto"/>
            <w:hideMark/>
          </w:tcPr>
          <w:p w14:paraId="36F766D9" w14:textId="77777777" w:rsidR="00EF7D06" w:rsidRPr="00742418" w:rsidRDefault="00EF7D06" w:rsidP="00742418">
            <w:pPr>
              <w:suppressAutoHyphens w:val="0"/>
              <w:spacing w:before="60" w:after="60" w:line="220" w:lineRule="atLeast"/>
              <w:ind w:left="57" w:right="57"/>
              <w:rPr>
                <w:noProof/>
                <w:sz w:val="18"/>
                <w:szCs w:val="18"/>
                <w:lang w:val="fr-FR"/>
              </w:rPr>
            </w:pPr>
            <w:proofErr w:type="spellStart"/>
            <w:r w:rsidRPr="00742418">
              <w:rPr>
                <w:sz w:val="18"/>
                <w:szCs w:val="18"/>
                <w:lang w:val="fr-FR"/>
              </w:rPr>
              <w:t>s</w:t>
            </w:r>
            <w:r w:rsidR="00F72B31" w:rsidRPr="00F72B31">
              <w:rPr>
                <w:sz w:val="18"/>
                <w:szCs w:val="18"/>
                <w:lang w:val="fr-FR"/>
              </w:rPr>
              <w:t>.</w:t>
            </w:r>
            <w:r w:rsidRPr="00742418">
              <w:rPr>
                <w:sz w:val="18"/>
                <w:szCs w:val="18"/>
                <w:lang w:val="fr-FR"/>
              </w:rPr>
              <w:t>o</w:t>
            </w:r>
            <w:proofErr w:type="spellEnd"/>
            <w:r w:rsidR="00F72B31" w:rsidRPr="00F72B31">
              <w:rPr>
                <w:sz w:val="18"/>
                <w:szCs w:val="18"/>
                <w:lang w:val="fr-FR"/>
              </w:rPr>
              <w:t>.</w:t>
            </w:r>
          </w:p>
        </w:tc>
        <w:tc>
          <w:tcPr>
            <w:tcW w:w="1288" w:type="dxa"/>
            <w:shd w:val="clear" w:color="auto" w:fill="auto"/>
            <w:hideMark/>
          </w:tcPr>
          <w:p w14:paraId="4C3157EA"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“Phase transitoire” </w:t>
            </w:r>
            <w:r w:rsidRPr="00742418">
              <w:rPr>
                <w:sz w:val="18"/>
                <w:szCs w:val="18"/>
                <w:lang w:val="fr-FR"/>
              </w:rPr>
              <w:br/>
              <w:t xml:space="preserve">du tableau 2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171" w:type="dxa"/>
            <w:shd w:val="clear" w:color="auto" w:fill="auto"/>
            <w:hideMark/>
          </w:tcPr>
          <w:p w14:paraId="1C0697FB" w14:textId="77777777" w:rsidR="00EF7D06" w:rsidRPr="00742418" w:rsidRDefault="00EF7D06" w:rsidP="00742418">
            <w:pPr>
              <w:suppressAutoHyphens w:val="0"/>
              <w:spacing w:before="60" w:after="60" w:line="220" w:lineRule="atLeast"/>
              <w:ind w:left="57" w:right="57"/>
              <w:rPr>
                <w:noProof/>
                <w:sz w:val="18"/>
                <w:szCs w:val="18"/>
                <w:lang w:val="fr-FR"/>
              </w:rPr>
            </w:pPr>
            <w:proofErr w:type="spellStart"/>
            <w:r w:rsidRPr="00742418">
              <w:rPr>
                <w:sz w:val="18"/>
                <w:szCs w:val="18"/>
                <w:lang w:val="fr-FR"/>
              </w:rPr>
              <w:t>s</w:t>
            </w:r>
            <w:r w:rsidR="00F72B31" w:rsidRPr="00F72B31">
              <w:rPr>
                <w:sz w:val="18"/>
                <w:szCs w:val="18"/>
                <w:lang w:val="fr-FR"/>
              </w:rPr>
              <w:t>.</w:t>
            </w:r>
            <w:r w:rsidRPr="00742418">
              <w:rPr>
                <w:sz w:val="18"/>
                <w:szCs w:val="18"/>
                <w:lang w:val="fr-FR"/>
              </w:rPr>
              <w:t>o</w:t>
            </w:r>
            <w:proofErr w:type="spellEnd"/>
            <w:r w:rsidR="00F72B31" w:rsidRPr="00F72B31">
              <w:rPr>
                <w:sz w:val="18"/>
                <w:szCs w:val="18"/>
                <w:lang w:val="fr-FR"/>
              </w:rPr>
              <w:t>.</w:t>
            </w:r>
          </w:p>
        </w:tc>
        <w:tc>
          <w:tcPr>
            <w:tcW w:w="1190" w:type="dxa"/>
            <w:shd w:val="clear" w:color="auto" w:fill="auto"/>
            <w:hideMark/>
          </w:tcPr>
          <w:p w14:paraId="44014835" w14:textId="77777777" w:rsidR="00EF7D06" w:rsidRPr="00742418" w:rsidRDefault="00EF7D06" w:rsidP="00742418">
            <w:pPr>
              <w:suppressAutoHyphens w:val="0"/>
              <w:spacing w:before="60" w:after="60" w:line="220" w:lineRule="atLeast"/>
              <w:ind w:left="57" w:right="57"/>
              <w:rPr>
                <w:noProof/>
                <w:sz w:val="18"/>
                <w:szCs w:val="18"/>
                <w:vertAlign w:val="superscript"/>
                <w:lang w:val="fr-FR"/>
              </w:rPr>
            </w:pPr>
            <w:r w:rsidRPr="00742418">
              <w:rPr>
                <w:sz w:val="18"/>
                <w:szCs w:val="18"/>
                <w:lang w:val="fr-FR"/>
              </w:rPr>
              <w:t>Phase transitoire</w:t>
            </w:r>
            <w:r w:rsidRPr="00F72B31">
              <w:rPr>
                <w:i/>
                <w:iCs/>
                <w:sz w:val="18"/>
                <w:szCs w:val="18"/>
                <w:vertAlign w:val="superscript"/>
                <w:lang w:val="fr-FR"/>
              </w:rPr>
              <w:t>4</w:t>
            </w:r>
          </w:p>
        </w:tc>
        <w:tc>
          <w:tcPr>
            <w:tcW w:w="1246" w:type="dxa"/>
            <w:shd w:val="clear" w:color="auto" w:fill="auto"/>
            <w:hideMark/>
          </w:tcPr>
          <w:p w14:paraId="003BF2CC" w14:textId="77777777" w:rsidR="00EF7D06" w:rsidRPr="00742418" w:rsidRDefault="00EF7D06" w:rsidP="00742418">
            <w:pPr>
              <w:suppressAutoHyphens w:val="0"/>
              <w:spacing w:before="60" w:after="60" w:line="220" w:lineRule="atLeast"/>
              <w:ind w:left="57" w:right="57"/>
              <w:rPr>
                <w:noProof/>
                <w:sz w:val="18"/>
                <w:szCs w:val="18"/>
                <w:lang w:val="fr-FR"/>
              </w:rPr>
            </w:pPr>
            <w:proofErr w:type="spellStart"/>
            <w:r w:rsidRPr="00742418">
              <w:rPr>
                <w:sz w:val="18"/>
                <w:szCs w:val="18"/>
                <w:lang w:val="fr-FR"/>
              </w:rPr>
              <w:t>s</w:t>
            </w:r>
            <w:r w:rsidR="00F72B31" w:rsidRPr="00F72B31">
              <w:rPr>
                <w:sz w:val="18"/>
                <w:szCs w:val="18"/>
                <w:lang w:val="fr-FR"/>
              </w:rPr>
              <w:t>.</w:t>
            </w:r>
            <w:r w:rsidRPr="00742418">
              <w:rPr>
                <w:sz w:val="18"/>
                <w:szCs w:val="18"/>
                <w:lang w:val="fr-FR"/>
              </w:rPr>
              <w:t>o</w:t>
            </w:r>
            <w:proofErr w:type="spellEnd"/>
            <w:r w:rsidR="00F72B31" w:rsidRPr="00F72B31">
              <w:rPr>
                <w:sz w:val="18"/>
                <w:szCs w:val="18"/>
                <w:lang w:val="fr-FR"/>
              </w:rPr>
              <w:t>.</w:t>
            </w:r>
          </w:p>
        </w:tc>
        <w:tc>
          <w:tcPr>
            <w:tcW w:w="909" w:type="dxa"/>
            <w:shd w:val="clear" w:color="auto" w:fill="auto"/>
            <w:hideMark/>
          </w:tcPr>
          <w:p w14:paraId="16DE31E9"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20 %</w:t>
            </w:r>
          </w:p>
        </w:tc>
        <w:tc>
          <w:tcPr>
            <w:tcW w:w="1549" w:type="dxa"/>
            <w:shd w:val="clear" w:color="auto" w:fill="auto"/>
          </w:tcPr>
          <w:p w14:paraId="652D7B28" w14:textId="77777777" w:rsidR="00EF7D06" w:rsidRPr="00742418" w:rsidRDefault="00EF7D06" w:rsidP="00742418">
            <w:pPr>
              <w:suppressAutoHyphens w:val="0"/>
              <w:spacing w:before="60" w:after="60" w:line="220" w:lineRule="atLeast"/>
              <w:ind w:left="57" w:right="57"/>
              <w:rPr>
                <w:b/>
                <w:bCs/>
                <w:sz w:val="18"/>
                <w:szCs w:val="18"/>
                <w:lang w:val="fr-FR"/>
              </w:rPr>
            </w:pPr>
            <w:proofErr w:type="spellStart"/>
            <w:r w:rsidRPr="00742418">
              <w:rPr>
                <w:b/>
                <w:bCs/>
                <w:sz w:val="18"/>
                <w:szCs w:val="18"/>
                <w:lang w:val="fr-FR"/>
              </w:rPr>
              <w:t>s</w:t>
            </w:r>
            <w:r w:rsidR="00F72B31" w:rsidRPr="00F72B31">
              <w:rPr>
                <w:b/>
                <w:bCs/>
                <w:sz w:val="18"/>
                <w:szCs w:val="18"/>
                <w:lang w:val="fr-FR"/>
              </w:rPr>
              <w:t>.</w:t>
            </w:r>
            <w:r w:rsidRPr="00742418">
              <w:rPr>
                <w:b/>
                <w:bCs/>
                <w:sz w:val="18"/>
                <w:szCs w:val="18"/>
                <w:lang w:val="fr-FR"/>
              </w:rPr>
              <w:t>o</w:t>
            </w:r>
            <w:proofErr w:type="spellEnd"/>
            <w:r w:rsidR="00F72B31" w:rsidRPr="00F72B31">
              <w:rPr>
                <w:b/>
                <w:bCs/>
                <w:sz w:val="18"/>
                <w:szCs w:val="18"/>
                <w:lang w:val="fr-FR"/>
              </w:rPr>
              <w:t>.</w:t>
            </w:r>
          </w:p>
        </w:tc>
        <w:tc>
          <w:tcPr>
            <w:tcW w:w="1549" w:type="dxa"/>
            <w:shd w:val="clear" w:color="auto" w:fill="auto"/>
            <w:hideMark/>
          </w:tcPr>
          <w:p w14:paraId="1CDA88A1"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1</w:t>
            </w:r>
            <w:r w:rsidRPr="00742418">
              <w:rPr>
                <w:sz w:val="18"/>
                <w:szCs w:val="18"/>
                <w:vertAlign w:val="superscript"/>
                <w:lang w:val="fr-FR"/>
              </w:rPr>
              <w:t>er</w:t>
            </w:r>
            <w:r w:rsidRPr="00742418">
              <w:rPr>
                <w:sz w:val="18"/>
                <w:szCs w:val="18"/>
                <w:lang w:val="fr-FR"/>
              </w:rPr>
              <w:t> septembre 2014</w:t>
            </w:r>
          </w:p>
        </w:tc>
        <w:tc>
          <w:tcPr>
            <w:tcW w:w="1620" w:type="dxa"/>
            <w:shd w:val="clear" w:color="auto" w:fill="auto"/>
            <w:hideMark/>
          </w:tcPr>
          <w:p w14:paraId="06B83F0A"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31 décembre 2016</w:t>
            </w:r>
          </w:p>
        </w:tc>
      </w:tr>
      <w:tr w:rsidR="00742418" w:rsidRPr="00742418" w14:paraId="2EC66759" w14:textId="77777777" w:rsidTr="00A74DE5">
        <w:tc>
          <w:tcPr>
            <w:tcW w:w="528" w:type="dxa"/>
            <w:shd w:val="clear" w:color="auto" w:fill="auto"/>
            <w:hideMark/>
          </w:tcPr>
          <w:p w14:paraId="5A50F253"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C</w:t>
            </w:r>
          </w:p>
        </w:tc>
        <w:tc>
          <w:tcPr>
            <w:tcW w:w="1425" w:type="dxa"/>
            <w:shd w:val="clear" w:color="auto" w:fill="auto"/>
            <w:hideMark/>
          </w:tcPr>
          <w:p w14:paraId="6E6D37BC"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“Prescriptions générales” des tableaux 1 et 2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301" w:type="dxa"/>
            <w:shd w:val="clear" w:color="auto" w:fill="auto"/>
            <w:hideMark/>
          </w:tcPr>
          <w:p w14:paraId="6F00227A"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“Prescriptions générales” </w:t>
            </w:r>
            <w:r w:rsidRPr="00742418">
              <w:rPr>
                <w:sz w:val="18"/>
                <w:szCs w:val="18"/>
                <w:lang w:val="fr-FR"/>
              </w:rPr>
              <w:br/>
              <w:t xml:space="preserve">du tableau 1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288" w:type="dxa"/>
            <w:shd w:val="clear" w:color="auto" w:fill="auto"/>
            <w:hideMark/>
          </w:tcPr>
          <w:p w14:paraId="733793D5"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“Prescriptions générales” </w:t>
            </w:r>
            <w:r w:rsidRPr="00742418">
              <w:rPr>
                <w:sz w:val="18"/>
                <w:szCs w:val="18"/>
                <w:lang w:val="fr-FR"/>
              </w:rPr>
              <w:br/>
              <w:t xml:space="preserve">du tableau 2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171" w:type="dxa"/>
            <w:shd w:val="clear" w:color="auto" w:fill="auto"/>
            <w:hideMark/>
          </w:tcPr>
          <w:p w14:paraId="362F59C6"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Prescriptions générales</w:t>
            </w:r>
            <w:r w:rsidRPr="00F72B31">
              <w:rPr>
                <w:i/>
                <w:iCs/>
                <w:sz w:val="18"/>
                <w:szCs w:val="18"/>
                <w:vertAlign w:val="superscript"/>
                <w:lang w:val="fr-FR"/>
              </w:rPr>
              <w:t>8</w:t>
            </w:r>
          </w:p>
        </w:tc>
        <w:tc>
          <w:tcPr>
            <w:tcW w:w="1190" w:type="dxa"/>
            <w:shd w:val="clear" w:color="auto" w:fill="auto"/>
            <w:hideMark/>
          </w:tcPr>
          <w:p w14:paraId="5193E376" w14:textId="77777777" w:rsidR="00EF7D06" w:rsidRPr="00742418" w:rsidRDefault="00EF7D06" w:rsidP="00742418">
            <w:pPr>
              <w:suppressAutoHyphens w:val="0"/>
              <w:spacing w:before="60" w:after="60" w:line="220" w:lineRule="atLeast"/>
              <w:ind w:left="57" w:right="57"/>
              <w:rPr>
                <w:noProof/>
                <w:sz w:val="18"/>
                <w:szCs w:val="18"/>
                <w:vertAlign w:val="superscript"/>
                <w:lang w:val="fr-FR"/>
              </w:rPr>
            </w:pPr>
            <w:r w:rsidRPr="00742418">
              <w:rPr>
                <w:sz w:val="18"/>
                <w:szCs w:val="18"/>
                <w:lang w:val="fr-FR"/>
              </w:rPr>
              <w:t>Prescriptions générales</w:t>
            </w:r>
            <w:r w:rsidRPr="00F72B31">
              <w:rPr>
                <w:i/>
                <w:iCs/>
                <w:sz w:val="18"/>
                <w:szCs w:val="18"/>
                <w:vertAlign w:val="superscript"/>
                <w:lang w:val="fr-FR"/>
              </w:rPr>
              <w:t>5</w:t>
            </w:r>
          </w:p>
        </w:tc>
        <w:tc>
          <w:tcPr>
            <w:tcW w:w="1246" w:type="dxa"/>
            <w:shd w:val="clear" w:color="auto" w:fill="auto"/>
            <w:hideMark/>
          </w:tcPr>
          <w:p w14:paraId="3189FA3D"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Oui</w:t>
            </w:r>
          </w:p>
        </w:tc>
        <w:tc>
          <w:tcPr>
            <w:tcW w:w="909" w:type="dxa"/>
            <w:shd w:val="clear" w:color="auto" w:fill="auto"/>
            <w:hideMark/>
          </w:tcPr>
          <w:p w14:paraId="1551BDDF"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20 %</w:t>
            </w:r>
          </w:p>
        </w:tc>
        <w:tc>
          <w:tcPr>
            <w:tcW w:w="1549" w:type="dxa"/>
            <w:shd w:val="clear" w:color="auto" w:fill="auto"/>
          </w:tcPr>
          <w:p w14:paraId="7BEDC0F7" w14:textId="77777777" w:rsidR="00EF7D06" w:rsidRPr="00742418" w:rsidRDefault="00EF7D06" w:rsidP="00742418">
            <w:pPr>
              <w:suppressAutoHyphens w:val="0"/>
              <w:spacing w:before="60" w:after="60" w:line="220" w:lineRule="atLeast"/>
              <w:ind w:left="57" w:right="57"/>
              <w:rPr>
                <w:b/>
                <w:bCs/>
                <w:sz w:val="18"/>
                <w:szCs w:val="18"/>
                <w:lang w:val="fr-FR"/>
              </w:rPr>
            </w:pPr>
            <w:proofErr w:type="spellStart"/>
            <w:r w:rsidRPr="00742418">
              <w:rPr>
                <w:b/>
                <w:bCs/>
                <w:sz w:val="18"/>
                <w:szCs w:val="18"/>
                <w:lang w:val="fr-FR"/>
              </w:rPr>
              <w:t>s</w:t>
            </w:r>
            <w:r w:rsidR="00F72B31" w:rsidRPr="00F72B31">
              <w:rPr>
                <w:b/>
                <w:bCs/>
                <w:sz w:val="18"/>
                <w:szCs w:val="18"/>
                <w:lang w:val="fr-FR"/>
              </w:rPr>
              <w:t>.</w:t>
            </w:r>
            <w:r w:rsidRPr="00742418">
              <w:rPr>
                <w:b/>
                <w:bCs/>
                <w:sz w:val="18"/>
                <w:szCs w:val="18"/>
                <w:lang w:val="fr-FR"/>
              </w:rPr>
              <w:t>o</w:t>
            </w:r>
            <w:proofErr w:type="spellEnd"/>
            <w:r w:rsidR="00F72B31" w:rsidRPr="00F72B31">
              <w:rPr>
                <w:b/>
                <w:bCs/>
                <w:sz w:val="18"/>
                <w:szCs w:val="18"/>
                <w:lang w:val="fr-FR"/>
              </w:rPr>
              <w:t>.</w:t>
            </w:r>
          </w:p>
        </w:tc>
        <w:tc>
          <w:tcPr>
            <w:tcW w:w="1549" w:type="dxa"/>
            <w:shd w:val="clear" w:color="auto" w:fill="auto"/>
            <w:hideMark/>
          </w:tcPr>
          <w:p w14:paraId="6B10C355"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31 décembre 2015</w:t>
            </w:r>
          </w:p>
        </w:tc>
        <w:tc>
          <w:tcPr>
            <w:tcW w:w="1620" w:type="dxa"/>
            <w:shd w:val="clear" w:color="auto" w:fill="auto"/>
            <w:hideMark/>
          </w:tcPr>
          <w:p w14:paraId="7D227A9A"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1</w:t>
            </w:r>
            <w:r w:rsidRPr="00742418">
              <w:rPr>
                <w:sz w:val="18"/>
                <w:szCs w:val="18"/>
                <w:vertAlign w:val="superscript"/>
                <w:lang w:val="fr-FR"/>
              </w:rPr>
              <w:t>er</w:t>
            </w:r>
            <w:r w:rsidRPr="00742418">
              <w:rPr>
                <w:sz w:val="18"/>
                <w:szCs w:val="18"/>
                <w:lang w:val="fr-FR"/>
              </w:rPr>
              <w:t> septembre 2019</w:t>
            </w:r>
          </w:p>
        </w:tc>
      </w:tr>
      <w:tr w:rsidR="00742418" w:rsidRPr="00742418" w14:paraId="4CA43A47" w14:textId="77777777" w:rsidTr="00A74DE5">
        <w:tc>
          <w:tcPr>
            <w:tcW w:w="528" w:type="dxa"/>
            <w:shd w:val="clear" w:color="auto" w:fill="auto"/>
            <w:hideMark/>
          </w:tcPr>
          <w:p w14:paraId="0C778F7C"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D</w:t>
            </w:r>
          </w:p>
        </w:tc>
        <w:tc>
          <w:tcPr>
            <w:tcW w:w="1425" w:type="dxa"/>
            <w:shd w:val="clear" w:color="auto" w:fill="auto"/>
            <w:hideMark/>
          </w:tcPr>
          <w:p w14:paraId="61C84CD4"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“Prescriptions générales” des tableaux 1 et 2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301" w:type="dxa"/>
            <w:shd w:val="clear" w:color="auto" w:fill="auto"/>
            <w:hideMark/>
          </w:tcPr>
          <w:p w14:paraId="5C38577A"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“Prescriptions générales” </w:t>
            </w:r>
            <w:r w:rsidRPr="00742418">
              <w:rPr>
                <w:sz w:val="18"/>
                <w:szCs w:val="18"/>
                <w:lang w:val="fr-FR"/>
              </w:rPr>
              <w:br/>
              <w:t xml:space="preserve">du tableau 1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288" w:type="dxa"/>
            <w:shd w:val="clear" w:color="auto" w:fill="auto"/>
            <w:hideMark/>
          </w:tcPr>
          <w:p w14:paraId="7880C3D3"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 xml:space="preserve">Ligne “Prescriptions générales” </w:t>
            </w:r>
            <w:r w:rsidRPr="00742418">
              <w:rPr>
                <w:sz w:val="18"/>
                <w:szCs w:val="18"/>
                <w:lang w:val="fr-FR"/>
              </w:rPr>
              <w:br/>
              <w:t xml:space="preserve">du tableau 2 </w:t>
            </w:r>
            <w:r w:rsidRPr="00742418">
              <w:rPr>
                <w:sz w:val="18"/>
                <w:szCs w:val="18"/>
                <w:lang w:val="fr-FR"/>
              </w:rPr>
              <w:br/>
              <w:t>de l</w:t>
            </w:r>
            <w:r w:rsidR="00B921D9" w:rsidRPr="00742418">
              <w:rPr>
                <w:sz w:val="18"/>
                <w:szCs w:val="18"/>
                <w:lang w:val="fr-FR"/>
              </w:rPr>
              <w:t>’</w:t>
            </w:r>
            <w:r w:rsidRPr="00742418">
              <w:rPr>
                <w:sz w:val="18"/>
                <w:szCs w:val="18"/>
                <w:lang w:val="fr-FR"/>
              </w:rPr>
              <w:t>annexe 9A</w:t>
            </w:r>
          </w:p>
        </w:tc>
        <w:tc>
          <w:tcPr>
            <w:tcW w:w="1171" w:type="dxa"/>
            <w:shd w:val="clear" w:color="auto" w:fill="auto"/>
            <w:hideMark/>
          </w:tcPr>
          <w:p w14:paraId="7EE5740E"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Prescriptions générales</w:t>
            </w:r>
            <w:r w:rsidRPr="00F72B31">
              <w:rPr>
                <w:i/>
                <w:iCs/>
                <w:sz w:val="18"/>
                <w:szCs w:val="18"/>
                <w:vertAlign w:val="superscript"/>
                <w:lang w:val="fr-FR"/>
              </w:rPr>
              <w:t>8</w:t>
            </w:r>
          </w:p>
        </w:tc>
        <w:tc>
          <w:tcPr>
            <w:tcW w:w="1190" w:type="dxa"/>
            <w:shd w:val="clear" w:color="auto" w:fill="auto"/>
            <w:hideMark/>
          </w:tcPr>
          <w:p w14:paraId="43A22769" w14:textId="77777777" w:rsidR="00EF7D06" w:rsidRPr="00742418" w:rsidRDefault="00EF7D06" w:rsidP="00742418">
            <w:pPr>
              <w:suppressAutoHyphens w:val="0"/>
              <w:spacing w:before="60" w:after="60" w:line="220" w:lineRule="atLeast"/>
              <w:ind w:left="57" w:right="57"/>
              <w:rPr>
                <w:noProof/>
                <w:sz w:val="18"/>
                <w:szCs w:val="18"/>
                <w:vertAlign w:val="superscript"/>
                <w:lang w:val="fr-FR"/>
              </w:rPr>
            </w:pPr>
            <w:r w:rsidRPr="00742418">
              <w:rPr>
                <w:sz w:val="18"/>
                <w:szCs w:val="18"/>
                <w:lang w:val="fr-FR"/>
              </w:rPr>
              <w:t>Prescriptions générales</w:t>
            </w:r>
            <w:r w:rsidRPr="00F72B31">
              <w:rPr>
                <w:i/>
                <w:iCs/>
                <w:sz w:val="18"/>
                <w:szCs w:val="18"/>
                <w:vertAlign w:val="superscript"/>
                <w:lang w:val="fr-FR"/>
              </w:rPr>
              <w:t>5</w:t>
            </w:r>
          </w:p>
        </w:tc>
        <w:tc>
          <w:tcPr>
            <w:tcW w:w="1246" w:type="dxa"/>
            <w:shd w:val="clear" w:color="auto" w:fill="auto"/>
            <w:hideMark/>
          </w:tcPr>
          <w:p w14:paraId="3ECEB765"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Oui</w:t>
            </w:r>
          </w:p>
        </w:tc>
        <w:tc>
          <w:tcPr>
            <w:tcW w:w="909" w:type="dxa"/>
            <w:shd w:val="clear" w:color="auto" w:fill="auto"/>
            <w:hideMark/>
          </w:tcPr>
          <w:p w14:paraId="1B5E65C6"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10 %</w:t>
            </w:r>
          </w:p>
        </w:tc>
        <w:tc>
          <w:tcPr>
            <w:tcW w:w="1549" w:type="dxa"/>
            <w:shd w:val="clear" w:color="auto" w:fill="auto"/>
          </w:tcPr>
          <w:p w14:paraId="0F732CBB" w14:textId="77777777" w:rsidR="00EF7D06" w:rsidRPr="00742418" w:rsidRDefault="00EF7D06" w:rsidP="00742418">
            <w:pPr>
              <w:suppressAutoHyphens w:val="0"/>
              <w:spacing w:before="60" w:after="60" w:line="220" w:lineRule="atLeast"/>
              <w:ind w:left="57" w:right="57"/>
              <w:rPr>
                <w:b/>
                <w:bCs/>
                <w:sz w:val="18"/>
                <w:szCs w:val="18"/>
                <w:lang w:val="fr-FR"/>
              </w:rPr>
            </w:pPr>
            <w:proofErr w:type="spellStart"/>
            <w:r w:rsidRPr="00742418">
              <w:rPr>
                <w:b/>
                <w:bCs/>
                <w:sz w:val="18"/>
                <w:szCs w:val="18"/>
                <w:lang w:val="fr-FR"/>
              </w:rPr>
              <w:t>s</w:t>
            </w:r>
            <w:r w:rsidR="00F72B31" w:rsidRPr="00F72B31">
              <w:rPr>
                <w:b/>
                <w:bCs/>
                <w:sz w:val="18"/>
                <w:szCs w:val="18"/>
                <w:lang w:val="fr-FR"/>
              </w:rPr>
              <w:t>.</w:t>
            </w:r>
            <w:r w:rsidRPr="00742418">
              <w:rPr>
                <w:b/>
                <w:bCs/>
                <w:sz w:val="18"/>
                <w:szCs w:val="18"/>
                <w:lang w:val="fr-FR"/>
              </w:rPr>
              <w:t>o</w:t>
            </w:r>
            <w:proofErr w:type="spellEnd"/>
            <w:r w:rsidR="00F72B31" w:rsidRPr="00F72B31">
              <w:rPr>
                <w:b/>
                <w:bCs/>
                <w:sz w:val="18"/>
                <w:szCs w:val="18"/>
                <w:lang w:val="fr-FR"/>
              </w:rPr>
              <w:t>.</w:t>
            </w:r>
          </w:p>
        </w:tc>
        <w:tc>
          <w:tcPr>
            <w:tcW w:w="1549" w:type="dxa"/>
            <w:shd w:val="clear" w:color="auto" w:fill="auto"/>
            <w:hideMark/>
          </w:tcPr>
          <w:p w14:paraId="5087C691" w14:textId="77777777" w:rsidR="00EF7D06" w:rsidRPr="00742418" w:rsidRDefault="00EF7D06" w:rsidP="00742418">
            <w:pPr>
              <w:suppressAutoHyphens w:val="0"/>
              <w:spacing w:before="60" w:after="60" w:line="220" w:lineRule="atLeast"/>
              <w:ind w:left="57" w:right="57"/>
              <w:rPr>
                <w:noProof/>
                <w:sz w:val="18"/>
                <w:szCs w:val="18"/>
                <w:lang w:val="fr-FR"/>
              </w:rPr>
            </w:pPr>
            <w:r w:rsidRPr="00742418">
              <w:rPr>
                <w:sz w:val="18"/>
                <w:szCs w:val="18"/>
                <w:lang w:val="fr-FR"/>
              </w:rPr>
              <w:t>1</w:t>
            </w:r>
            <w:r w:rsidRPr="00742418">
              <w:rPr>
                <w:sz w:val="18"/>
                <w:szCs w:val="18"/>
                <w:vertAlign w:val="superscript"/>
                <w:lang w:val="fr-FR"/>
              </w:rPr>
              <w:t>er</w:t>
            </w:r>
            <w:r w:rsidRPr="00742418">
              <w:rPr>
                <w:sz w:val="18"/>
                <w:szCs w:val="18"/>
                <w:lang w:val="fr-FR"/>
              </w:rPr>
              <w:t> septembre 2018</w:t>
            </w:r>
          </w:p>
        </w:tc>
        <w:tc>
          <w:tcPr>
            <w:tcW w:w="1620" w:type="dxa"/>
            <w:shd w:val="clear" w:color="auto" w:fill="auto"/>
          </w:tcPr>
          <w:p w14:paraId="03D99134" w14:textId="77777777" w:rsidR="00EF7D06" w:rsidRPr="00742418" w:rsidRDefault="00EF7D06" w:rsidP="00742418">
            <w:pPr>
              <w:suppressAutoHyphens w:val="0"/>
              <w:spacing w:before="60" w:after="60" w:line="220" w:lineRule="atLeast"/>
              <w:ind w:left="57" w:right="57"/>
              <w:rPr>
                <w:b/>
                <w:bCs/>
                <w:noProof/>
                <w:sz w:val="18"/>
                <w:szCs w:val="18"/>
                <w:lang w:val="fr-FR"/>
              </w:rPr>
            </w:pPr>
            <w:r w:rsidRPr="00742418">
              <w:rPr>
                <w:b/>
                <w:bCs/>
                <w:noProof/>
                <w:sz w:val="18"/>
                <w:szCs w:val="18"/>
                <w:lang w:val="fr-FR"/>
              </w:rPr>
              <w:t>31 décembre 2021</w:t>
            </w:r>
          </w:p>
        </w:tc>
      </w:tr>
      <w:tr w:rsidR="00742418" w:rsidRPr="00742418" w14:paraId="6E8C2A04" w14:textId="77777777" w:rsidTr="00A74DE5">
        <w:tc>
          <w:tcPr>
            <w:tcW w:w="528" w:type="dxa"/>
            <w:shd w:val="clear" w:color="auto" w:fill="auto"/>
          </w:tcPr>
          <w:p w14:paraId="535C8D15"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lastRenderedPageBreak/>
              <w:t>E</w:t>
            </w:r>
          </w:p>
        </w:tc>
        <w:tc>
          <w:tcPr>
            <w:tcW w:w="1425" w:type="dxa"/>
            <w:shd w:val="clear" w:color="auto" w:fill="auto"/>
          </w:tcPr>
          <w:p w14:paraId="209D4FEC"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Ligne “Prescriptions générales” des tableaux 1 et 2 de l</w:t>
            </w:r>
            <w:r w:rsidR="00B921D9" w:rsidRPr="00742418">
              <w:rPr>
                <w:b/>
                <w:bCs/>
                <w:sz w:val="18"/>
                <w:szCs w:val="18"/>
                <w:lang w:val="fr-FR"/>
              </w:rPr>
              <w:t>’</w:t>
            </w:r>
            <w:r w:rsidRPr="00742418">
              <w:rPr>
                <w:b/>
                <w:bCs/>
                <w:sz w:val="18"/>
                <w:szCs w:val="18"/>
                <w:lang w:val="fr-FR"/>
              </w:rPr>
              <w:t>annexe 9A</w:t>
            </w:r>
          </w:p>
        </w:tc>
        <w:tc>
          <w:tcPr>
            <w:tcW w:w="1301" w:type="dxa"/>
            <w:shd w:val="clear" w:color="auto" w:fill="auto"/>
          </w:tcPr>
          <w:p w14:paraId="4E0FDCC9"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Ligne “Prescriptions générales” du tableau 1 de l</w:t>
            </w:r>
            <w:r w:rsidR="00B921D9" w:rsidRPr="00742418">
              <w:rPr>
                <w:b/>
                <w:bCs/>
                <w:sz w:val="18"/>
                <w:szCs w:val="18"/>
                <w:lang w:val="fr-FR"/>
              </w:rPr>
              <w:t>’</w:t>
            </w:r>
            <w:r w:rsidRPr="00742418">
              <w:rPr>
                <w:b/>
                <w:bCs/>
                <w:sz w:val="18"/>
                <w:szCs w:val="18"/>
                <w:lang w:val="fr-FR"/>
              </w:rPr>
              <w:t>annexe 9A</w:t>
            </w:r>
          </w:p>
        </w:tc>
        <w:tc>
          <w:tcPr>
            <w:tcW w:w="1288" w:type="dxa"/>
            <w:shd w:val="clear" w:color="auto" w:fill="auto"/>
          </w:tcPr>
          <w:p w14:paraId="5195F2DF"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Ligne “Prescriptions générales” du tableau 2 de l</w:t>
            </w:r>
            <w:r w:rsidR="00B921D9" w:rsidRPr="00742418">
              <w:rPr>
                <w:b/>
                <w:bCs/>
                <w:sz w:val="18"/>
                <w:szCs w:val="18"/>
                <w:lang w:val="fr-FR"/>
              </w:rPr>
              <w:t>’</w:t>
            </w:r>
            <w:r w:rsidRPr="00742418">
              <w:rPr>
                <w:b/>
                <w:bCs/>
                <w:sz w:val="18"/>
                <w:szCs w:val="18"/>
                <w:lang w:val="fr-FR"/>
              </w:rPr>
              <w:t>annexe 9A</w:t>
            </w:r>
          </w:p>
        </w:tc>
        <w:tc>
          <w:tcPr>
            <w:tcW w:w="1171" w:type="dxa"/>
            <w:shd w:val="clear" w:color="auto" w:fill="auto"/>
          </w:tcPr>
          <w:p w14:paraId="0093256A"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Prescriptions générales</w:t>
            </w:r>
            <w:r w:rsidRPr="00742418">
              <w:rPr>
                <w:b/>
                <w:bCs/>
                <w:sz w:val="18"/>
                <w:szCs w:val="18"/>
                <w:vertAlign w:val="superscript"/>
                <w:lang w:val="fr-FR"/>
              </w:rPr>
              <w:t>8</w:t>
            </w:r>
          </w:p>
        </w:tc>
        <w:tc>
          <w:tcPr>
            <w:tcW w:w="1190" w:type="dxa"/>
            <w:shd w:val="clear" w:color="auto" w:fill="auto"/>
          </w:tcPr>
          <w:p w14:paraId="280F032A"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Prescriptions générales</w:t>
            </w:r>
            <w:r w:rsidRPr="00742418">
              <w:rPr>
                <w:b/>
                <w:bCs/>
                <w:sz w:val="18"/>
                <w:szCs w:val="18"/>
                <w:vertAlign w:val="superscript"/>
                <w:lang w:val="fr-FR"/>
              </w:rPr>
              <w:t>5</w:t>
            </w:r>
          </w:p>
        </w:tc>
        <w:tc>
          <w:tcPr>
            <w:tcW w:w="1246" w:type="dxa"/>
            <w:shd w:val="clear" w:color="auto" w:fill="auto"/>
          </w:tcPr>
          <w:p w14:paraId="62F929D0"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Oui</w:t>
            </w:r>
          </w:p>
        </w:tc>
        <w:tc>
          <w:tcPr>
            <w:tcW w:w="909" w:type="dxa"/>
            <w:shd w:val="clear" w:color="auto" w:fill="auto"/>
          </w:tcPr>
          <w:p w14:paraId="0BC607D0"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10 %</w:t>
            </w:r>
          </w:p>
        </w:tc>
        <w:tc>
          <w:tcPr>
            <w:tcW w:w="1549" w:type="dxa"/>
            <w:shd w:val="clear" w:color="auto" w:fill="auto"/>
          </w:tcPr>
          <w:p w14:paraId="4726804B"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Oui</w:t>
            </w:r>
          </w:p>
        </w:tc>
        <w:tc>
          <w:tcPr>
            <w:tcW w:w="1549" w:type="dxa"/>
            <w:shd w:val="clear" w:color="auto" w:fill="auto"/>
          </w:tcPr>
          <w:p w14:paraId="2B148CE5" w14:textId="77777777" w:rsidR="00EF7D06" w:rsidRPr="00742418" w:rsidRDefault="00EF7D06" w:rsidP="00742418">
            <w:pPr>
              <w:keepNext/>
              <w:suppressAutoHyphens w:val="0"/>
              <w:spacing w:before="60" w:after="60" w:line="220" w:lineRule="atLeast"/>
              <w:ind w:left="57" w:right="57"/>
              <w:rPr>
                <w:b/>
                <w:bCs/>
                <w:sz w:val="18"/>
                <w:szCs w:val="18"/>
                <w:lang w:val="fr-FR"/>
              </w:rPr>
            </w:pPr>
            <w:r w:rsidRPr="00742418">
              <w:rPr>
                <w:b/>
                <w:bCs/>
                <w:sz w:val="18"/>
                <w:szCs w:val="18"/>
                <w:lang w:val="fr-FR"/>
              </w:rPr>
              <w:t>[Date d</w:t>
            </w:r>
            <w:r w:rsidR="00B921D9" w:rsidRPr="00742418">
              <w:rPr>
                <w:b/>
                <w:bCs/>
                <w:sz w:val="18"/>
                <w:szCs w:val="18"/>
                <w:lang w:val="fr-FR"/>
              </w:rPr>
              <w:t>’</w:t>
            </w:r>
            <w:r w:rsidRPr="00742418">
              <w:rPr>
                <w:b/>
                <w:bCs/>
                <w:sz w:val="18"/>
                <w:szCs w:val="18"/>
                <w:lang w:val="fr-FR"/>
              </w:rPr>
              <w:t>entrée en</w:t>
            </w:r>
            <w:r w:rsidR="00DF79D5">
              <w:rPr>
                <w:b/>
                <w:bCs/>
                <w:sz w:val="18"/>
                <w:szCs w:val="18"/>
                <w:lang w:val="fr-FR"/>
              </w:rPr>
              <w:t> </w:t>
            </w:r>
            <w:r w:rsidRPr="00742418">
              <w:rPr>
                <w:b/>
                <w:bCs/>
                <w:sz w:val="18"/>
                <w:szCs w:val="18"/>
                <w:lang w:val="fr-FR"/>
              </w:rPr>
              <w:t>vigueur de la série</w:t>
            </w:r>
            <w:r w:rsidR="0007092C">
              <w:rPr>
                <w:b/>
                <w:bCs/>
                <w:sz w:val="18"/>
                <w:szCs w:val="18"/>
                <w:lang w:val="fr-FR"/>
              </w:rPr>
              <w:t> </w:t>
            </w:r>
            <w:r w:rsidRPr="00742418">
              <w:rPr>
                <w:b/>
                <w:bCs/>
                <w:sz w:val="18"/>
                <w:szCs w:val="18"/>
                <w:lang w:val="fr-FR"/>
              </w:rPr>
              <w:t>07 d</w:t>
            </w:r>
            <w:r w:rsidR="00B921D9" w:rsidRPr="00742418">
              <w:rPr>
                <w:b/>
                <w:bCs/>
                <w:sz w:val="18"/>
                <w:szCs w:val="18"/>
                <w:lang w:val="fr-FR"/>
              </w:rPr>
              <w:t>’</w:t>
            </w:r>
            <w:r w:rsidRPr="00742418">
              <w:rPr>
                <w:b/>
                <w:bCs/>
                <w:sz w:val="18"/>
                <w:szCs w:val="18"/>
                <w:lang w:val="fr-FR"/>
              </w:rPr>
              <w:t>amendements au Règlement ONU n</w:t>
            </w:r>
            <w:r w:rsidRPr="00742418">
              <w:rPr>
                <w:b/>
                <w:bCs/>
                <w:sz w:val="18"/>
                <w:szCs w:val="18"/>
                <w:vertAlign w:val="superscript"/>
                <w:lang w:val="fr-FR"/>
              </w:rPr>
              <w:t>o</w:t>
            </w:r>
            <w:r w:rsidRPr="00742418">
              <w:rPr>
                <w:b/>
                <w:bCs/>
                <w:sz w:val="18"/>
                <w:szCs w:val="18"/>
                <w:lang w:val="fr-FR"/>
              </w:rPr>
              <w:t> 49</w:t>
            </w:r>
            <w:r w:rsidRPr="00F72B31">
              <w:rPr>
                <w:b/>
                <w:bCs/>
                <w:i/>
                <w:iCs/>
                <w:sz w:val="18"/>
                <w:szCs w:val="18"/>
                <w:vertAlign w:val="superscript"/>
                <w:lang w:val="fr-FR"/>
              </w:rPr>
              <w:t>15</w:t>
            </w:r>
            <w:r w:rsidRPr="00742418">
              <w:rPr>
                <w:b/>
                <w:bCs/>
                <w:sz w:val="18"/>
                <w:szCs w:val="18"/>
                <w:lang w:val="fr-FR"/>
              </w:rPr>
              <w:t>]</w:t>
            </w:r>
            <w:r w:rsidRPr="0007092C">
              <w:rPr>
                <w:rStyle w:val="Appelnotedebasdep"/>
                <w:b/>
                <w:bCs/>
                <w:noProof/>
                <w:szCs w:val="18"/>
                <w:vertAlign w:val="baseline"/>
              </w:rPr>
              <w:footnoteReference w:customMarkFollows="1" w:id="3"/>
              <w:t>*</w:t>
            </w:r>
          </w:p>
        </w:tc>
        <w:tc>
          <w:tcPr>
            <w:tcW w:w="1620" w:type="dxa"/>
            <w:shd w:val="clear" w:color="auto" w:fill="auto"/>
          </w:tcPr>
          <w:p w14:paraId="4E6E0A40" w14:textId="77777777" w:rsidR="00EF7D06" w:rsidRPr="00742418" w:rsidRDefault="00EF7D06" w:rsidP="00742418">
            <w:pPr>
              <w:keepNext/>
              <w:suppressAutoHyphens w:val="0"/>
              <w:spacing w:before="60" w:after="60" w:line="220" w:lineRule="atLeast"/>
              <w:ind w:left="57" w:right="57"/>
              <w:rPr>
                <w:b/>
                <w:bCs/>
                <w:noProof/>
                <w:sz w:val="18"/>
                <w:szCs w:val="18"/>
                <w:lang w:val="fr-FR"/>
              </w:rPr>
            </w:pPr>
          </w:p>
        </w:tc>
      </w:tr>
    </w:tbl>
    <w:p w14:paraId="1234C375" w14:textId="77777777" w:rsidR="00EF7D06" w:rsidRPr="006E1F63" w:rsidRDefault="00EF7D06" w:rsidP="00742418">
      <w:pPr>
        <w:keepNext/>
        <w:spacing w:before="120"/>
        <w:ind w:left="284" w:right="284" w:firstLine="170"/>
        <w:jc w:val="both"/>
        <w:rPr>
          <w:i/>
          <w:sz w:val="18"/>
          <w:szCs w:val="18"/>
          <w:lang w:val="fr-FR"/>
        </w:rPr>
      </w:pPr>
      <w:r w:rsidRPr="006E1F63">
        <w:rPr>
          <w:i/>
          <w:sz w:val="18"/>
          <w:szCs w:val="18"/>
          <w:lang w:val="fr-FR"/>
        </w:rPr>
        <w:t>Notes :</w:t>
      </w:r>
    </w:p>
    <w:p w14:paraId="0D3B177B" w14:textId="77777777" w:rsidR="00EF7D06" w:rsidRPr="006E1F63" w:rsidRDefault="00EF7D06" w:rsidP="0007092C">
      <w:pPr>
        <w:keepNext/>
        <w:ind w:left="284" w:right="284" w:firstLine="170"/>
        <w:rPr>
          <w:sz w:val="18"/>
          <w:szCs w:val="18"/>
          <w:lang w:val="fr-FR"/>
        </w:rPr>
      </w:pPr>
      <w:r w:rsidRPr="006E1F63">
        <w:rPr>
          <w:i/>
          <w:sz w:val="18"/>
          <w:szCs w:val="18"/>
          <w:vertAlign w:val="superscript"/>
          <w:lang w:val="fr-FR"/>
        </w:rPr>
        <w:t>1</w:t>
      </w:r>
      <w:r w:rsidR="00742418" w:rsidRPr="006E1F63">
        <w:rPr>
          <w:sz w:val="18"/>
          <w:szCs w:val="18"/>
          <w:lang w:val="fr-FR"/>
        </w:rPr>
        <w:t xml:space="preserve">  </w:t>
      </w:r>
      <w:r w:rsidRPr="006E1F63">
        <w:rPr>
          <w:sz w:val="18"/>
          <w:szCs w:val="18"/>
          <w:lang w:val="fr-FR"/>
        </w:rPr>
        <w:t>Prescriptions de surveillance des valeurs limites OBD pour les oxydes d</w:t>
      </w:r>
      <w:r w:rsidR="00B921D9" w:rsidRPr="006E1F63">
        <w:rPr>
          <w:sz w:val="18"/>
          <w:szCs w:val="18"/>
          <w:lang w:val="fr-FR"/>
        </w:rPr>
        <w:t>’</w:t>
      </w:r>
      <w:r w:rsidRPr="006E1F63">
        <w:rPr>
          <w:sz w:val="18"/>
          <w:szCs w:val="18"/>
          <w:lang w:val="fr-FR"/>
        </w:rPr>
        <w:t>azote, telles qu</w:t>
      </w:r>
      <w:r w:rsidR="00B921D9" w:rsidRPr="006E1F63">
        <w:rPr>
          <w:sz w:val="18"/>
          <w:szCs w:val="18"/>
          <w:lang w:val="fr-FR"/>
        </w:rPr>
        <w:t>’</w:t>
      </w:r>
      <w:r w:rsidRPr="006E1F63">
        <w:rPr>
          <w:sz w:val="18"/>
          <w:szCs w:val="18"/>
          <w:lang w:val="fr-FR"/>
        </w:rPr>
        <w:t>énoncées dans le tableau 1 de l</w:t>
      </w:r>
      <w:r w:rsidR="00B921D9" w:rsidRPr="006E1F63">
        <w:rPr>
          <w:sz w:val="18"/>
          <w:szCs w:val="18"/>
          <w:lang w:val="fr-FR"/>
        </w:rPr>
        <w:t>’</w:t>
      </w:r>
      <w:r w:rsidRPr="006E1F63">
        <w:rPr>
          <w:sz w:val="18"/>
          <w:szCs w:val="18"/>
          <w:lang w:val="fr-FR"/>
        </w:rPr>
        <w:t>annexe 9A pour les moteurs et véhicules à allumage par</w:t>
      </w:r>
      <w:r w:rsidR="006E1F63" w:rsidRPr="006E1F63">
        <w:rPr>
          <w:sz w:val="18"/>
          <w:szCs w:val="18"/>
          <w:lang w:val="fr-FR"/>
        </w:rPr>
        <w:t xml:space="preserve"> </w:t>
      </w:r>
      <w:r w:rsidRPr="006E1F63">
        <w:rPr>
          <w:sz w:val="18"/>
          <w:szCs w:val="18"/>
          <w:lang w:val="fr-FR"/>
        </w:rPr>
        <w:t>compression et bicarburant et dans le tableau 2 de l</w:t>
      </w:r>
      <w:r w:rsidR="00B921D9" w:rsidRPr="006E1F63">
        <w:rPr>
          <w:sz w:val="18"/>
          <w:szCs w:val="18"/>
          <w:lang w:val="fr-FR"/>
        </w:rPr>
        <w:t>’</w:t>
      </w:r>
      <w:r w:rsidRPr="006E1F63">
        <w:rPr>
          <w:sz w:val="18"/>
          <w:szCs w:val="18"/>
          <w:lang w:val="fr-FR"/>
        </w:rPr>
        <w:t>annexe 9A pour les moteurs et véhicules à allumage commandé</w:t>
      </w:r>
      <w:r w:rsidR="00CB0680" w:rsidRPr="006E1F63">
        <w:rPr>
          <w:sz w:val="18"/>
          <w:szCs w:val="18"/>
          <w:lang w:val="fr-FR"/>
        </w:rPr>
        <w:t>.</w:t>
      </w:r>
    </w:p>
    <w:p w14:paraId="2F007119" w14:textId="77777777" w:rsidR="00EF7D06" w:rsidRPr="00E773DC" w:rsidRDefault="00EF7D06" w:rsidP="0007092C">
      <w:pPr>
        <w:ind w:left="284" w:right="284" w:firstLine="170"/>
        <w:rPr>
          <w:sz w:val="18"/>
          <w:szCs w:val="18"/>
          <w:lang w:val="fr-FR"/>
        </w:rPr>
      </w:pPr>
      <w:r w:rsidRPr="006E1F63">
        <w:rPr>
          <w:i/>
          <w:sz w:val="18"/>
          <w:szCs w:val="18"/>
          <w:vertAlign w:val="superscript"/>
          <w:lang w:val="fr-FR"/>
        </w:rPr>
        <w:t>2</w:t>
      </w:r>
      <w:r w:rsidR="00742418" w:rsidRPr="006E1F63">
        <w:rPr>
          <w:sz w:val="18"/>
          <w:szCs w:val="18"/>
          <w:lang w:val="fr-FR"/>
        </w:rPr>
        <w:t xml:space="preserve">  </w:t>
      </w:r>
      <w:r w:rsidRPr="006E1F63">
        <w:rPr>
          <w:sz w:val="18"/>
          <w:szCs w:val="18"/>
          <w:lang w:val="fr-FR"/>
        </w:rPr>
        <w:t>Prescriptions de surveillance</w:t>
      </w:r>
      <w:r w:rsidRPr="00E773DC">
        <w:rPr>
          <w:sz w:val="18"/>
          <w:szCs w:val="18"/>
          <w:lang w:val="fr-FR"/>
        </w:rPr>
        <w:t xml:space="preserve"> des valeurs limites OBD pour les particules, telles qu</w:t>
      </w:r>
      <w:r w:rsidR="00B921D9">
        <w:rPr>
          <w:sz w:val="18"/>
          <w:szCs w:val="18"/>
          <w:lang w:val="fr-FR"/>
        </w:rPr>
        <w:t>’</w:t>
      </w:r>
      <w:r w:rsidRPr="00E773DC">
        <w:rPr>
          <w:sz w:val="18"/>
          <w:szCs w:val="18"/>
          <w:lang w:val="fr-FR"/>
        </w:rPr>
        <w:t>énoncées dans le tableau 1 de l</w:t>
      </w:r>
      <w:r w:rsidR="00B921D9">
        <w:rPr>
          <w:sz w:val="18"/>
          <w:szCs w:val="18"/>
          <w:lang w:val="fr-FR"/>
        </w:rPr>
        <w:t>’</w:t>
      </w:r>
      <w:r w:rsidRPr="00E773DC">
        <w:rPr>
          <w:sz w:val="18"/>
          <w:szCs w:val="18"/>
          <w:lang w:val="fr-FR"/>
        </w:rPr>
        <w:t>annexe 9A pour les moteurs et véhicules à allumage par compression et bicarburant</w:t>
      </w:r>
      <w:r w:rsidR="00F72B31" w:rsidRPr="00F72B31">
        <w:rPr>
          <w:sz w:val="18"/>
          <w:szCs w:val="18"/>
          <w:lang w:val="fr-FR"/>
        </w:rPr>
        <w:t>.</w:t>
      </w:r>
    </w:p>
    <w:p w14:paraId="3EFF9463"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3</w:t>
      </w:r>
      <w:r w:rsidR="00742418">
        <w:rPr>
          <w:sz w:val="18"/>
          <w:szCs w:val="18"/>
          <w:lang w:val="fr-FR"/>
        </w:rPr>
        <w:t xml:space="preserve">  </w:t>
      </w:r>
      <w:r w:rsidRPr="00E773DC">
        <w:rPr>
          <w:sz w:val="18"/>
          <w:szCs w:val="18"/>
          <w:lang w:val="fr-FR"/>
        </w:rPr>
        <w:t>Prescriptions de surveillance spécifiées au paragraphe 2</w:t>
      </w:r>
      <w:r w:rsidR="00F72B31" w:rsidRPr="00F72B31">
        <w:rPr>
          <w:sz w:val="18"/>
          <w:szCs w:val="18"/>
          <w:lang w:val="fr-FR"/>
        </w:rPr>
        <w:t>.</w:t>
      </w:r>
      <w:r w:rsidRPr="00E773DC">
        <w:rPr>
          <w:sz w:val="18"/>
          <w:szCs w:val="18"/>
          <w:lang w:val="fr-FR"/>
        </w:rPr>
        <w:t>3</w:t>
      </w:r>
      <w:r w:rsidR="00F72B31" w:rsidRPr="00F72B31">
        <w:rPr>
          <w:sz w:val="18"/>
          <w:szCs w:val="18"/>
          <w:lang w:val="fr-FR"/>
        </w:rPr>
        <w:t>.</w:t>
      </w:r>
      <w:r w:rsidRPr="00E773DC">
        <w:rPr>
          <w:sz w:val="18"/>
          <w:szCs w:val="18"/>
          <w:lang w:val="fr-FR"/>
        </w:rPr>
        <w:t>2</w:t>
      </w:r>
      <w:r w:rsidR="00F72B31" w:rsidRPr="00F72B31">
        <w:rPr>
          <w:sz w:val="18"/>
          <w:szCs w:val="18"/>
          <w:lang w:val="fr-FR"/>
        </w:rPr>
        <w:t>.</w:t>
      </w:r>
      <w:r w:rsidRPr="00E773DC">
        <w:rPr>
          <w:sz w:val="18"/>
          <w:szCs w:val="18"/>
          <w:lang w:val="fr-FR"/>
        </w:rPr>
        <w:t>2 de l</w:t>
      </w:r>
      <w:r w:rsidR="00B921D9">
        <w:rPr>
          <w:sz w:val="18"/>
          <w:szCs w:val="18"/>
          <w:lang w:val="fr-FR"/>
        </w:rPr>
        <w:t>’</w:t>
      </w:r>
      <w:r w:rsidRPr="00E773DC">
        <w:rPr>
          <w:sz w:val="18"/>
          <w:szCs w:val="18"/>
          <w:lang w:val="fr-FR"/>
        </w:rPr>
        <w:t>annexe 9A</w:t>
      </w:r>
      <w:r w:rsidR="00F72B31" w:rsidRPr="00F72B31">
        <w:rPr>
          <w:sz w:val="18"/>
          <w:szCs w:val="18"/>
          <w:lang w:val="fr-FR"/>
        </w:rPr>
        <w:t>.</w:t>
      </w:r>
    </w:p>
    <w:p w14:paraId="6DEC7EAA"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4</w:t>
      </w:r>
      <w:r w:rsidR="00742418">
        <w:rPr>
          <w:sz w:val="18"/>
          <w:szCs w:val="18"/>
          <w:lang w:val="fr-FR"/>
        </w:rPr>
        <w:t xml:space="preserve">  </w:t>
      </w:r>
      <w:r w:rsidRPr="00E773DC">
        <w:rPr>
          <w:sz w:val="18"/>
          <w:szCs w:val="18"/>
          <w:lang w:val="fr-FR"/>
        </w:rPr>
        <w:t>Prescriptions de la phase transitoire concernant la qualité du réactif, telles qu</w:t>
      </w:r>
      <w:r w:rsidR="00B921D9">
        <w:rPr>
          <w:sz w:val="18"/>
          <w:szCs w:val="18"/>
          <w:lang w:val="fr-FR"/>
        </w:rPr>
        <w:t>’</w:t>
      </w:r>
      <w:r w:rsidRPr="00E773DC">
        <w:rPr>
          <w:sz w:val="18"/>
          <w:szCs w:val="18"/>
          <w:lang w:val="fr-FR"/>
        </w:rPr>
        <w:t>énoncées au paragraphe 7</w:t>
      </w:r>
      <w:r w:rsidR="00F72B31" w:rsidRPr="00F72B31">
        <w:rPr>
          <w:sz w:val="18"/>
          <w:szCs w:val="18"/>
          <w:lang w:val="fr-FR"/>
        </w:rPr>
        <w:t>.</w:t>
      </w:r>
      <w:r w:rsidRPr="00E773DC">
        <w:rPr>
          <w:sz w:val="18"/>
          <w:szCs w:val="18"/>
          <w:lang w:val="fr-FR"/>
        </w:rPr>
        <w:t>1</w:t>
      </w:r>
      <w:r w:rsidR="00F72B31" w:rsidRPr="00F72B31">
        <w:rPr>
          <w:sz w:val="18"/>
          <w:szCs w:val="18"/>
          <w:lang w:val="fr-FR"/>
        </w:rPr>
        <w:t>.</w:t>
      </w:r>
      <w:r w:rsidRPr="00E773DC">
        <w:rPr>
          <w:sz w:val="18"/>
          <w:szCs w:val="18"/>
          <w:lang w:val="fr-FR"/>
        </w:rPr>
        <w:t>1</w:t>
      </w:r>
      <w:r w:rsidR="00F72B31" w:rsidRPr="00F72B31">
        <w:rPr>
          <w:sz w:val="18"/>
          <w:szCs w:val="18"/>
          <w:lang w:val="fr-FR"/>
        </w:rPr>
        <w:t>.</w:t>
      </w:r>
      <w:r w:rsidRPr="00E773DC">
        <w:rPr>
          <w:sz w:val="18"/>
          <w:szCs w:val="18"/>
          <w:lang w:val="fr-FR"/>
        </w:rPr>
        <w:t>1 de l</w:t>
      </w:r>
      <w:r w:rsidR="00B921D9">
        <w:rPr>
          <w:sz w:val="18"/>
          <w:szCs w:val="18"/>
          <w:lang w:val="fr-FR"/>
        </w:rPr>
        <w:t>’</w:t>
      </w:r>
      <w:r w:rsidRPr="00E773DC">
        <w:rPr>
          <w:sz w:val="18"/>
          <w:szCs w:val="18"/>
          <w:lang w:val="fr-FR"/>
        </w:rPr>
        <w:t>annexe 11</w:t>
      </w:r>
      <w:r w:rsidR="00F72B31" w:rsidRPr="00F72B31">
        <w:rPr>
          <w:sz w:val="18"/>
          <w:szCs w:val="18"/>
          <w:lang w:val="fr-FR"/>
        </w:rPr>
        <w:t>.</w:t>
      </w:r>
    </w:p>
    <w:p w14:paraId="24C444C2"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5</w:t>
      </w:r>
      <w:r w:rsidR="00742418">
        <w:rPr>
          <w:sz w:val="18"/>
          <w:szCs w:val="18"/>
          <w:lang w:val="fr-FR"/>
        </w:rPr>
        <w:t xml:space="preserve">  </w:t>
      </w:r>
      <w:r w:rsidRPr="00E773DC">
        <w:rPr>
          <w:sz w:val="18"/>
          <w:szCs w:val="18"/>
          <w:lang w:val="fr-FR"/>
        </w:rPr>
        <w:t>Prescriptions générales concernant la qualité du réactif, telles qu</w:t>
      </w:r>
      <w:r w:rsidR="00B921D9">
        <w:rPr>
          <w:sz w:val="18"/>
          <w:szCs w:val="18"/>
          <w:lang w:val="fr-FR"/>
        </w:rPr>
        <w:t>’</w:t>
      </w:r>
      <w:r w:rsidRPr="00E773DC">
        <w:rPr>
          <w:sz w:val="18"/>
          <w:szCs w:val="18"/>
          <w:lang w:val="fr-FR"/>
        </w:rPr>
        <w:t>énoncées au paragraphe 7</w:t>
      </w:r>
      <w:r w:rsidR="00F72B31" w:rsidRPr="00F72B31">
        <w:rPr>
          <w:sz w:val="18"/>
          <w:szCs w:val="18"/>
          <w:lang w:val="fr-FR"/>
        </w:rPr>
        <w:t>.</w:t>
      </w:r>
      <w:r w:rsidRPr="00E773DC">
        <w:rPr>
          <w:sz w:val="18"/>
          <w:szCs w:val="18"/>
          <w:lang w:val="fr-FR"/>
        </w:rPr>
        <w:t>1</w:t>
      </w:r>
      <w:r w:rsidR="00F72B31" w:rsidRPr="00F72B31">
        <w:rPr>
          <w:sz w:val="18"/>
          <w:szCs w:val="18"/>
          <w:lang w:val="fr-FR"/>
        </w:rPr>
        <w:t>.</w:t>
      </w:r>
      <w:r w:rsidRPr="00E773DC">
        <w:rPr>
          <w:sz w:val="18"/>
          <w:szCs w:val="18"/>
          <w:lang w:val="fr-FR"/>
        </w:rPr>
        <w:t>1 de l</w:t>
      </w:r>
      <w:r w:rsidR="00B921D9">
        <w:rPr>
          <w:sz w:val="18"/>
          <w:szCs w:val="18"/>
          <w:lang w:val="fr-FR"/>
        </w:rPr>
        <w:t>’</w:t>
      </w:r>
      <w:r w:rsidRPr="00E773DC">
        <w:rPr>
          <w:sz w:val="18"/>
          <w:szCs w:val="18"/>
          <w:lang w:val="fr-FR"/>
        </w:rPr>
        <w:t>annexe 11</w:t>
      </w:r>
      <w:r w:rsidR="00F72B31" w:rsidRPr="00F72B31">
        <w:rPr>
          <w:sz w:val="18"/>
          <w:szCs w:val="18"/>
          <w:lang w:val="fr-FR"/>
        </w:rPr>
        <w:t>.</w:t>
      </w:r>
    </w:p>
    <w:p w14:paraId="188E89D7"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6</w:t>
      </w:r>
      <w:r w:rsidR="00742418">
        <w:rPr>
          <w:sz w:val="18"/>
          <w:szCs w:val="18"/>
          <w:lang w:val="fr-FR"/>
        </w:rPr>
        <w:t xml:space="preserve">  </w:t>
      </w:r>
      <w:r w:rsidRPr="00E773DC">
        <w:rPr>
          <w:sz w:val="18"/>
          <w:szCs w:val="18"/>
          <w:lang w:val="fr-FR"/>
        </w:rPr>
        <w:t>Prescriptions de surveillance des valeurs limites OBD pour le monoxyde de carbone, telles qu</w:t>
      </w:r>
      <w:r w:rsidR="00B921D9">
        <w:rPr>
          <w:sz w:val="18"/>
          <w:szCs w:val="18"/>
          <w:lang w:val="fr-FR"/>
        </w:rPr>
        <w:t>’</w:t>
      </w:r>
      <w:r w:rsidRPr="00E773DC">
        <w:rPr>
          <w:sz w:val="18"/>
          <w:szCs w:val="18"/>
          <w:lang w:val="fr-FR"/>
        </w:rPr>
        <w:t>énoncées dans le tableau 2 de l</w:t>
      </w:r>
      <w:r w:rsidR="00B921D9">
        <w:rPr>
          <w:sz w:val="18"/>
          <w:szCs w:val="18"/>
          <w:lang w:val="fr-FR"/>
        </w:rPr>
        <w:t>’</w:t>
      </w:r>
      <w:r w:rsidRPr="00E773DC">
        <w:rPr>
          <w:sz w:val="18"/>
          <w:szCs w:val="18"/>
          <w:lang w:val="fr-FR"/>
        </w:rPr>
        <w:t>annexe 9A pour les moteurs et véhicules à allumage commandé</w:t>
      </w:r>
      <w:r w:rsidR="00F72B31" w:rsidRPr="00F72B31">
        <w:rPr>
          <w:sz w:val="18"/>
          <w:szCs w:val="18"/>
          <w:lang w:val="fr-FR"/>
        </w:rPr>
        <w:t>.</w:t>
      </w:r>
    </w:p>
    <w:p w14:paraId="2F4ABBE6"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7</w:t>
      </w:r>
      <w:r w:rsidR="00BA0FA5">
        <w:rPr>
          <w:sz w:val="18"/>
          <w:szCs w:val="18"/>
          <w:lang w:val="fr-FR"/>
        </w:rPr>
        <w:t xml:space="preserve">  </w:t>
      </w:r>
      <w:r w:rsidRPr="00E773DC">
        <w:rPr>
          <w:sz w:val="18"/>
          <w:szCs w:val="18"/>
          <w:lang w:val="fr-FR"/>
        </w:rPr>
        <w:t>À l</w:t>
      </w:r>
      <w:r w:rsidR="00B921D9">
        <w:rPr>
          <w:sz w:val="18"/>
          <w:szCs w:val="18"/>
          <w:lang w:val="fr-FR"/>
        </w:rPr>
        <w:t>’</w:t>
      </w:r>
      <w:r w:rsidRPr="00E773DC">
        <w:rPr>
          <w:sz w:val="18"/>
          <w:szCs w:val="18"/>
          <w:lang w:val="fr-FR"/>
        </w:rPr>
        <w:t>exception de la déclaration requise au paragraphe 6</w:t>
      </w:r>
      <w:r w:rsidR="00F72B31" w:rsidRPr="00F72B31">
        <w:rPr>
          <w:sz w:val="18"/>
          <w:szCs w:val="18"/>
          <w:lang w:val="fr-FR"/>
        </w:rPr>
        <w:t>.</w:t>
      </w:r>
      <w:r w:rsidRPr="00E773DC">
        <w:rPr>
          <w:sz w:val="18"/>
          <w:szCs w:val="18"/>
          <w:lang w:val="fr-FR"/>
        </w:rPr>
        <w:t>4</w:t>
      </w:r>
      <w:r w:rsidR="00F72B31" w:rsidRPr="00F72B31">
        <w:rPr>
          <w:sz w:val="18"/>
          <w:szCs w:val="18"/>
          <w:lang w:val="fr-FR"/>
        </w:rPr>
        <w:t>.</w:t>
      </w:r>
      <w:r w:rsidRPr="00E773DC">
        <w:rPr>
          <w:sz w:val="18"/>
          <w:szCs w:val="18"/>
          <w:lang w:val="fr-FR"/>
        </w:rPr>
        <w:t>1 de l</w:t>
      </w:r>
      <w:r w:rsidR="00B921D9">
        <w:rPr>
          <w:sz w:val="18"/>
          <w:szCs w:val="18"/>
          <w:lang w:val="fr-FR"/>
        </w:rPr>
        <w:t>’</w:t>
      </w:r>
      <w:r w:rsidRPr="00E773DC">
        <w:rPr>
          <w:sz w:val="18"/>
          <w:szCs w:val="18"/>
          <w:lang w:val="fr-FR"/>
        </w:rPr>
        <w:t>annexe 9A</w:t>
      </w:r>
      <w:r w:rsidR="00F72B31" w:rsidRPr="00F72B31">
        <w:rPr>
          <w:sz w:val="18"/>
          <w:szCs w:val="18"/>
          <w:lang w:val="fr-FR"/>
        </w:rPr>
        <w:t>.</w:t>
      </w:r>
    </w:p>
    <w:p w14:paraId="61172245"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8</w:t>
      </w:r>
      <w:r w:rsidR="00742418">
        <w:rPr>
          <w:sz w:val="18"/>
          <w:szCs w:val="18"/>
          <w:lang w:val="fr-FR"/>
        </w:rPr>
        <w:t xml:space="preserve">  </w:t>
      </w:r>
      <w:r w:rsidRPr="00E773DC">
        <w:rPr>
          <w:sz w:val="18"/>
          <w:szCs w:val="18"/>
          <w:lang w:val="fr-FR"/>
        </w:rPr>
        <w:t>Y compris la déclaration requise au paragraphe 6</w:t>
      </w:r>
      <w:r w:rsidR="00F72B31" w:rsidRPr="00F72B31">
        <w:rPr>
          <w:sz w:val="18"/>
          <w:szCs w:val="18"/>
          <w:lang w:val="fr-FR"/>
        </w:rPr>
        <w:t>.</w:t>
      </w:r>
      <w:r w:rsidRPr="00E773DC">
        <w:rPr>
          <w:sz w:val="18"/>
          <w:szCs w:val="18"/>
          <w:lang w:val="fr-FR"/>
        </w:rPr>
        <w:t>4</w:t>
      </w:r>
      <w:r w:rsidR="00F72B31" w:rsidRPr="00F72B31">
        <w:rPr>
          <w:sz w:val="18"/>
          <w:szCs w:val="18"/>
          <w:lang w:val="fr-FR"/>
        </w:rPr>
        <w:t>.</w:t>
      </w:r>
      <w:r w:rsidRPr="00E773DC">
        <w:rPr>
          <w:sz w:val="18"/>
          <w:szCs w:val="18"/>
          <w:lang w:val="fr-FR"/>
        </w:rPr>
        <w:t>1 de l</w:t>
      </w:r>
      <w:r w:rsidR="00B921D9">
        <w:rPr>
          <w:sz w:val="18"/>
          <w:szCs w:val="18"/>
          <w:lang w:val="fr-FR"/>
        </w:rPr>
        <w:t>’</w:t>
      </w:r>
      <w:r w:rsidRPr="00E773DC">
        <w:rPr>
          <w:sz w:val="18"/>
          <w:szCs w:val="18"/>
          <w:lang w:val="fr-FR"/>
        </w:rPr>
        <w:t>annexe 9A</w:t>
      </w:r>
      <w:r w:rsidR="00F72B31" w:rsidRPr="00F72B31">
        <w:rPr>
          <w:sz w:val="18"/>
          <w:szCs w:val="18"/>
          <w:lang w:val="fr-FR"/>
        </w:rPr>
        <w:t>.</w:t>
      </w:r>
    </w:p>
    <w:p w14:paraId="4F8AA85A"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9</w:t>
      </w:r>
      <w:r w:rsidR="00742418">
        <w:rPr>
          <w:sz w:val="18"/>
          <w:szCs w:val="18"/>
          <w:lang w:val="fr-FR"/>
        </w:rPr>
        <w:t xml:space="preserve">  </w:t>
      </w:r>
      <w:r w:rsidRPr="00E773DC">
        <w:rPr>
          <w:sz w:val="18"/>
          <w:szCs w:val="18"/>
          <w:lang w:val="fr-FR"/>
        </w:rPr>
        <w:t>Pour les moteurs et véhicules à allumage commandé</w:t>
      </w:r>
      <w:r w:rsidR="00F72B31" w:rsidRPr="00F72B31">
        <w:rPr>
          <w:sz w:val="18"/>
          <w:szCs w:val="18"/>
          <w:lang w:val="fr-FR"/>
        </w:rPr>
        <w:t>.</w:t>
      </w:r>
    </w:p>
    <w:p w14:paraId="15696522"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10</w:t>
      </w:r>
      <w:r w:rsidR="00742418">
        <w:rPr>
          <w:sz w:val="18"/>
          <w:szCs w:val="18"/>
          <w:lang w:val="fr-FR"/>
        </w:rPr>
        <w:t xml:space="preserve">  </w:t>
      </w:r>
      <w:r w:rsidRPr="00E773DC">
        <w:rPr>
          <w:sz w:val="18"/>
          <w:szCs w:val="18"/>
          <w:lang w:val="fr-FR"/>
        </w:rPr>
        <w:t>Pour les moteurs et véhicules à allumage par compression et bicarburant</w:t>
      </w:r>
      <w:r w:rsidR="00F72B31" w:rsidRPr="00F72B31">
        <w:rPr>
          <w:sz w:val="18"/>
          <w:szCs w:val="18"/>
          <w:lang w:val="fr-FR"/>
        </w:rPr>
        <w:t>.</w:t>
      </w:r>
    </w:p>
    <w:p w14:paraId="07597411"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11</w:t>
      </w:r>
      <w:r w:rsidR="00742418">
        <w:rPr>
          <w:sz w:val="18"/>
          <w:szCs w:val="18"/>
          <w:lang w:val="fr-FR"/>
        </w:rPr>
        <w:t xml:space="preserve">  </w:t>
      </w:r>
      <w:r w:rsidRPr="00E773DC">
        <w:rPr>
          <w:sz w:val="18"/>
          <w:szCs w:val="18"/>
          <w:lang w:val="fr-FR"/>
        </w:rPr>
        <w:t>S</w:t>
      </w:r>
      <w:r w:rsidR="00B921D9">
        <w:rPr>
          <w:sz w:val="18"/>
          <w:szCs w:val="18"/>
          <w:lang w:val="fr-FR"/>
        </w:rPr>
        <w:t>’</w:t>
      </w:r>
      <w:r w:rsidRPr="00E773DC">
        <w:rPr>
          <w:sz w:val="18"/>
          <w:szCs w:val="18"/>
          <w:lang w:val="fr-FR"/>
        </w:rPr>
        <w:t>applique uniquement aux moteurs et véhicules à allumage commandé</w:t>
      </w:r>
      <w:r w:rsidR="00F72B31" w:rsidRPr="00F72B31">
        <w:rPr>
          <w:sz w:val="18"/>
          <w:szCs w:val="18"/>
          <w:lang w:val="fr-FR"/>
        </w:rPr>
        <w:t>.</w:t>
      </w:r>
    </w:p>
    <w:p w14:paraId="0DC651D2"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12</w:t>
      </w:r>
      <w:r w:rsidR="00742418">
        <w:rPr>
          <w:sz w:val="18"/>
          <w:szCs w:val="18"/>
          <w:lang w:val="fr-FR"/>
        </w:rPr>
        <w:t xml:space="preserve">  </w:t>
      </w:r>
      <w:r w:rsidRPr="00E773DC">
        <w:rPr>
          <w:sz w:val="18"/>
          <w:szCs w:val="18"/>
          <w:lang w:val="fr-FR"/>
        </w:rPr>
        <w:t>Dispositions supplémentaires concernant les prescriptions de surveillance, telles qu</w:t>
      </w:r>
      <w:r w:rsidR="00B921D9">
        <w:rPr>
          <w:sz w:val="18"/>
          <w:szCs w:val="18"/>
          <w:lang w:val="fr-FR"/>
        </w:rPr>
        <w:t>’</w:t>
      </w:r>
      <w:r w:rsidRPr="00E773DC">
        <w:rPr>
          <w:sz w:val="18"/>
          <w:szCs w:val="18"/>
          <w:lang w:val="fr-FR"/>
        </w:rPr>
        <w:t>énoncées au paragraphe 2</w:t>
      </w:r>
      <w:r w:rsidR="00F72B31" w:rsidRPr="00F72B31">
        <w:rPr>
          <w:sz w:val="18"/>
          <w:szCs w:val="18"/>
          <w:lang w:val="fr-FR"/>
        </w:rPr>
        <w:t>.</w:t>
      </w:r>
      <w:r w:rsidRPr="00E773DC">
        <w:rPr>
          <w:sz w:val="18"/>
          <w:szCs w:val="18"/>
          <w:lang w:val="fr-FR"/>
        </w:rPr>
        <w:t>3</w:t>
      </w:r>
      <w:r w:rsidR="00F72B31" w:rsidRPr="00F72B31">
        <w:rPr>
          <w:sz w:val="18"/>
          <w:szCs w:val="18"/>
          <w:lang w:val="fr-FR"/>
        </w:rPr>
        <w:t>.</w:t>
      </w:r>
      <w:r w:rsidRPr="00E773DC">
        <w:rPr>
          <w:sz w:val="18"/>
          <w:szCs w:val="18"/>
          <w:lang w:val="fr-FR"/>
        </w:rPr>
        <w:t>1</w:t>
      </w:r>
      <w:r w:rsidR="00F72B31" w:rsidRPr="00F72B31">
        <w:rPr>
          <w:sz w:val="18"/>
          <w:szCs w:val="18"/>
          <w:lang w:val="fr-FR"/>
        </w:rPr>
        <w:t>.</w:t>
      </w:r>
      <w:r w:rsidRPr="00E773DC">
        <w:rPr>
          <w:sz w:val="18"/>
          <w:szCs w:val="18"/>
          <w:lang w:val="fr-FR"/>
        </w:rPr>
        <w:t>2 de l</w:t>
      </w:r>
      <w:r w:rsidR="00B921D9">
        <w:rPr>
          <w:sz w:val="18"/>
          <w:szCs w:val="18"/>
          <w:lang w:val="fr-FR"/>
        </w:rPr>
        <w:t>’</w:t>
      </w:r>
      <w:r w:rsidRPr="00E773DC">
        <w:rPr>
          <w:sz w:val="18"/>
          <w:szCs w:val="18"/>
          <w:lang w:val="fr-FR"/>
        </w:rPr>
        <w:t>annexe 9A</w:t>
      </w:r>
      <w:r w:rsidR="00F72B31" w:rsidRPr="00F72B31">
        <w:rPr>
          <w:sz w:val="18"/>
          <w:szCs w:val="18"/>
          <w:lang w:val="fr-FR"/>
        </w:rPr>
        <w:t>.</w:t>
      </w:r>
    </w:p>
    <w:p w14:paraId="0C3DAE1F" w14:textId="77777777" w:rsidR="00EF7D06" w:rsidRPr="00E773DC" w:rsidRDefault="00EF7D06" w:rsidP="0007092C">
      <w:pPr>
        <w:ind w:left="284" w:right="284" w:firstLine="170"/>
        <w:rPr>
          <w:sz w:val="18"/>
          <w:szCs w:val="18"/>
          <w:lang w:val="fr-FR"/>
        </w:rPr>
      </w:pPr>
      <w:r w:rsidRPr="00E773DC">
        <w:rPr>
          <w:i/>
          <w:sz w:val="18"/>
          <w:szCs w:val="18"/>
          <w:vertAlign w:val="superscript"/>
          <w:lang w:val="fr-FR"/>
        </w:rPr>
        <w:t>13</w:t>
      </w:r>
      <w:r w:rsidR="00742418">
        <w:rPr>
          <w:sz w:val="18"/>
          <w:szCs w:val="18"/>
          <w:lang w:val="fr-FR"/>
        </w:rPr>
        <w:t xml:space="preserve">  </w:t>
      </w:r>
      <w:r w:rsidRPr="00E773DC">
        <w:rPr>
          <w:sz w:val="18"/>
          <w:szCs w:val="18"/>
          <w:lang w:val="fr-FR"/>
        </w:rPr>
        <w:t>Les prescriptions concernant le rapport d</w:t>
      </w:r>
      <w:r w:rsidR="00B921D9">
        <w:rPr>
          <w:sz w:val="18"/>
          <w:szCs w:val="18"/>
          <w:lang w:val="fr-FR"/>
        </w:rPr>
        <w:t>’</w:t>
      </w:r>
      <w:r w:rsidRPr="00E773DC">
        <w:rPr>
          <w:sz w:val="18"/>
          <w:szCs w:val="18"/>
          <w:lang w:val="fr-FR"/>
        </w:rPr>
        <w:t>efficacité en service (IUPR) sont énoncées dans les annexes 9A et 9C du présent Règlement</w:t>
      </w:r>
      <w:r w:rsidR="00F72B31" w:rsidRPr="00F72B31">
        <w:rPr>
          <w:sz w:val="18"/>
          <w:szCs w:val="18"/>
          <w:lang w:val="fr-FR"/>
        </w:rPr>
        <w:t>.</w:t>
      </w:r>
      <w:r w:rsidRPr="00E773DC">
        <w:rPr>
          <w:sz w:val="18"/>
          <w:szCs w:val="18"/>
          <w:lang w:val="fr-FR"/>
        </w:rPr>
        <w:t xml:space="preserve"> Ce rapport ne s</w:t>
      </w:r>
      <w:r w:rsidR="00B921D9">
        <w:rPr>
          <w:sz w:val="18"/>
          <w:szCs w:val="18"/>
          <w:lang w:val="fr-FR"/>
        </w:rPr>
        <w:t>’</w:t>
      </w:r>
      <w:r w:rsidRPr="00E773DC">
        <w:rPr>
          <w:sz w:val="18"/>
          <w:szCs w:val="18"/>
          <w:lang w:val="fr-FR"/>
        </w:rPr>
        <w:t>applique pas aux moteurs à</w:t>
      </w:r>
      <w:r w:rsidR="00B12766">
        <w:rPr>
          <w:sz w:val="18"/>
          <w:szCs w:val="18"/>
          <w:lang w:val="fr-FR"/>
        </w:rPr>
        <w:t xml:space="preserve"> </w:t>
      </w:r>
      <w:r w:rsidRPr="00E773DC">
        <w:rPr>
          <w:sz w:val="18"/>
          <w:szCs w:val="18"/>
          <w:lang w:val="fr-FR"/>
        </w:rPr>
        <w:t>allumage commandé</w:t>
      </w:r>
      <w:r w:rsidR="00F72B31" w:rsidRPr="00F72B31">
        <w:rPr>
          <w:sz w:val="18"/>
          <w:szCs w:val="18"/>
          <w:lang w:val="fr-FR"/>
        </w:rPr>
        <w:t>.</w:t>
      </w:r>
    </w:p>
    <w:p w14:paraId="354DA405" w14:textId="77777777" w:rsidR="00EF7D06" w:rsidRDefault="00EF7D06" w:rsidP="0007092C">
      <w:pPr>
        <w:ind w:left="284" w:right="284" w:firstLine="170"/>
        <w:rPr>
          <w:lang w:val="fr-FR"/>
        </w:rPr>
      </w:pPr>
      <w:r w:rsidRPr="00E773DC">
        <w:rPr>
          <w:i/>
          <w:sz w:val="18"/>
          <w:szCs w:val="18"/>
          <w:vertAlign w:val="superscript"/>
          <w:lang w:val="fr-FR"/>
        </w:rPr>
        <w:t>14</w:t>
      </w:r>
      <w:r w:rsidR="00742418">
        <w:rPr>
          <w:sz w:val="18"/>
          <w:szCs w:val="18"/>
          <w:lang w:val="fr-FR"/>
        </w:rPr>
        <w:t xml:space="preserve">  </w:t>
      </w:r>
      <w:r w:rsidRPr="00E773DC">
        <w:rPr>
          <w:sz w:val="18"/>
          <w:szCs w:val="18"/>
          <w:lang w:val="fr-FR"/>
        </w:rPr>
        <w:t>Les prescriptions relatives aux essais de conformité en service sont énoncées dans l</w:t>
      </w:r>
      <w:r w:rsidR="00B921D9">
        <w:rPr>
          <w:sz w:val="18"/>
          <w:szCs w:val="18"/>
          <w:lang w:val="fr-FR"/>
        </w:rPr>
        <w:t>’</w:t>
      </w:r>
      <w:r w:rsidRPr="00E773DC">
        <w:rPr>
          <w:sz w:val="18"/>
          <w:szCs w:val="18"/>
          <w:lang w:val="fr-FR"/>
        </w:rPr>
        <w:t>appendice 1 de l</w:t>
      </w:r>
      <w:r w:rsidR="00B921D9">
        <w:rPr>
          <w:sz w:val="18"/>
          <w:szCs w:val="18"/>
          <w:lang w:val="fr-FR"/>
        </w:rPr>
        <w:t>’</w:t>
      </w:r>
      <w:r w:rsidRPr="00E773DC">
        <w:rPr>
          <w:sz w:val="18"/>
          <w:szCs w:val="18"/>
          <w:lang w:val="fr-FR"/>
        </w:rPr>
        <w:t>annexe 8</w:t>
      </w:r>
      <w:r w:rsidR="00F72B31" w:rsidRPr="00F72B31">
        <w:rPr>
          <w:sz w:val="18"/>
          <w:szCs w:val="18"/>
          <w:lang w:val="fr-FR"/>
        </w:rPr>
        <w:t>.</w:t>
      </w:r>
    </w:p>
    <w:p w14:paraId="7E9A159A" w14:textId="77777777" w:rsidR="00213792" w:rsidRDefault="00EF7D06" w:rsidP="0007092C">
      <w:pPr>
        <w:ind w:left="284" w:right="284" w:firstLine="170"/>
        <w:rPr>
          <w:b/>
          <w:bCs/>
          <w:sz w:val="18"/>
          <w:szCs w:val="18"/>
          <w:lang w:val="fr-FR"/>
        </w:rPr>
      </w:pPr>
      <w:r w:rsidRPr="0089754E">
        <w:rPr>
          <w:b/>
          <w:bCs/>
          <w:i/>
          <w:iCs/>
          <w:sz w:val="18"/>
          <w:szCs w:val="18"/>
          <w:vertAlign w:val="superscript"/>
          <w:lang w:val="fr-FR"/>
        </w:rPr>
        <w:t>15</w:t>
      </w:r>
      <w:r w:rsidR="00742418">
        <w:rPr>
          <w:sz w:val="18"/>
          <w:szCs w:val="18"/>
          <w:lang w:val="fr-FR"/>
        </w:rPr>
        <w:t xml:space="preserve">  </w:t>
      </w:r>
      <w:r w:rsidRPr="0089754E">
        <w:rPr>
          <w:b/>
          <w:bCs/>
          <w:sz w:val="18"/>
          <w:szCs w:val="18"/>
          <w:lang w:val="fr-FR"/>
        </w:rPr>
        <w:t>Sous réserve des dispositions transitoires énoncées au paragraphe 13</w:t>
      </w:r>
      <w:r w:rsidR="00F72B31" w:rsidRPr="00F72B31">
        <w:rPr>
          <w:b/>
          <w:bCs/>
          <w:sz w:val="18"/>
          <w:szCs w:val="18"/>
          <w:lang w:val="fr-FR"/>
        </w:rPr>
        <w:t>.</w:t>
      </w:r>
      <w:r w:rsidRPr="0089754E">
        <w:rPr>
          <w:b/>
          <w:bCs/>
          <w:sz w:val="18"/>
          <w:szCs w:val="18"/>
          <w:lang w:val="fr-FR"/>
        </w:rPr>
        <w:t>2</w:t>
      </w:r>
      <w:r w:rsidR="00F72B31" w:rsidRPr="00F72B31">
        <w:rPr>
          <w:b/>
          <w:bCs/>
          <w:sz w:val="18"/>
          <w:szCs w:val="18"/>
          <w:lang w:val="fr-FR"/>
        </w:rPr>
        <w:t>.</w:t>
      </w:r>
      <w:r w:rsidRPr="0089754E">
        <w:rPr>
          <w:b/>
          <w:bCs/>
          <w:sz w:val="18"/>
          <w:szCs w:val="18"/>
          <w:lang w:val="fr-FR"/>
        </w:rPr>
        <w:t>2 du présent Règlement</w:t>
      </w:r>
      <w:r w:rsidR="00F72B31" w:rsidRPr="00F72B31">
        <w:rPr>
          <w:b/>
          <w:bCs/>
          <w:sz w:val="18"/>
          <w:szCs w:val="18"/>
          <w:lang w:val="fr-FR"/>
        </w:rPr>
        <w:t>.</w:t>
      </w:r>
      <w:r w:rsidR="00B12766" w:rsidRPr="00E773DC">
        <w:rPr>
          <w:sz w:val="18"/>
          <w:szCs w:val="18"/>
          <w:lang w:val="fr-FR"/>
        </w:rPr>
        <w:t> </w:t>
      </w:r>
      <w:r w:rsidR="00B12766" w:rsidRPr="00E773DC">
        <w:rPr>
          <w:lang w:val="fr-FR"/>
        </w:rPr>
        <w:t>»</w:t>
      </w:r>
      <w:r w:rsidR="00F72B31" w:rsidRPr="00F72B31">
        <w:rPr>
          <w:lang w:val="fr-FR"/>
        </w:rPr>
        <w:t>.</w:t>
      </w:r>
    </w:p>
    <w:p w14:paraId="783BA137" w14:textId="77777777" w:rsidR="0007092C" w:rsidRDefault="0007092C" w:rsidP="0007092C">
      <w:pPr>
        <w:ind w:left="284" w:right="284" w:firstLine="170"/>
        <w:rPr>
          <w:b/>
          <w:bCs/>
          <w:sz w:val="18"/>
          <w:szCs w:val="18"/>
          <w:lang w:val="fr-FR"/>
        </w:rPr>
      </w:pPr>
    </w:p>
    <w:p w14:paraId="22A4A6F4" w14:textId="77777777" w:rsidR="00B921D9" w:rsidRDefault="00B921D9" w:rsidP="00EF7D06">
      <w:pPr>
        <w:sectPr w:rsidR="00B921D9" w:rsidSect="00EF7D06">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21A5AEBE" w14:textId="77777777" w:rsidR="00B921D9" w:rsidRPr="00E773DC" w:rsidRDefault="00B921D9" w:rsidP="00B921D9">
      <w:pPr>
        <w:pStyle w:val="SingleTxtG"/>
        <w:rPr>
          <w:i/>
          <w:iCs/>
          <w:lang w:val="fr-FR" w:eastAsia="de-DE"/>
        </w:rPr>
      </w:pPr>
      <w:r w:rsidRPr="00E773DC">
        <w:rPr>
          <w:i/>
          <w:iCs/>
          <w:lang w:val="fr-FR" w:eastAsia="de-DE"/>
        </w:rPr>
        <w:lastRenderedPageBreak/>
        <w:t>Annexe 8</w:t>
      </w:r>
    </w:p>
    <w:p w14:paraId="6C2D692A" w14:textId="77777777" w:rsidR="00B921D9" w:rsidRPr="00E773DC" w:rsidRDefault="00B921D9" w:rsidP="00B921D9">
      <w:pPr>
        <w:pStyle w:val="SingleTxtG"/>
        <w:rPr>
          <w:color w:val="000000" w:themeColor="text1"/>
          <w:lang w:val="fr-FR"/>
        </w:rPr>
      </w:pPr>
      <w:r w:rsidRPr="00E773DC">
        <w:rPr>
          <w:i/>
          <w:iCs/>
          <w:color w:val="000000" w:themeColor="text1"/>
          <w:lang w:val="fr-FR"/>
        </w:rPr>
        <w:t>Paragraphe 4</w:t>
      </w:r>
      <w:r w:rsidR="00F72B31" w:rsidRPr="00F72B31">
        <w:rPr>
          <w:i/>
          <w:iCs/>
          <w:color w:val="000000" w:themeColor="text1"/>
          <w:lang w:val="fr-FR"/>
        </w:rPr>
        <w:t>.</w:t>
      </w:r>
      <w:r w:rsidRPr="00E773DC">
        <w:rPr>
          <w:i/>
          <w:iCs/>
          <w:color w:val="000000" w:themeColor="text1"/>
          <w:lang w:val="fr-FR"/>
        </w:rPr>
        <w:t>1</w:t>
      </w:r>
      <w:r w:rsidRPr="00E773DC">
        <w:rPr>
          <w:color w:val="000000" w:themeColor="text1"/>
          <w:lang w:val="fr-FR"/>
        </w:rPr>
        <w:t>, lire :</w:t>
      </w:r>
    </w:p>
    <w:p w14:paraId="25286EAA" w14:textId="77777777" w:rsidR="00B921D9" w:rsidRPr="001F2F50" w:rsidRDefault="00B921D9" w:rsidP="00B921D9">
      <w:pPr>
        <w:pStyle w:val="SingleTxtG"/>
        <w:keepNext/>
        <w:ind w:left="2268" w:hanging="1134"/>
        <w:rPr>
          <w:szCs w:val="24"/>
          <w:lang w:val="fr-FR"/>
        </w:rPr>
      </w:pPr>
      <w:r w:rsidRPr="001F2F50">
        <w:rPr>
          <w:color w:val="000000" w:themeColor="text1"/>
          <w:lang w:val="fr-FR"/>
        </w:rPr>
        <w:t>« </w:t>
      </w:r>
      <w:r w:rsidRPr="001F2F50">
        <w:rPr>
          <w:szCs w:val="24"/>
          <w:lang w:val="fr-FR"/>
        </w:rPr>
        <w:t>4</w:t>
      </w:r>
      <w:r w:rsidR="00F72B31" w:rsidRPr="00F72B31">
        <w:rPr>
          <w:szCs w:val="24"/>
          <w:lang w:val="fr-FR"/>
        </w:rPr>
        <w:t>.</w:t>
      </w:r>
      <w:r w:rsidRPr="001F2F50">
        <w:rPr>
          <w:szCs w:val="24"/>
          <w:lang w:val="fr-FR"/>
        </w:rPr>
        <w:t>1</w:t>
      </w:r>
      <w:r w:rsidRPr="001F2F50">
        <w:rPr>
          <w:szCs w:val="24"/>
          <w:lang w:val="fr-FR"/>
        </w:rPr>
        <w:tab/>
        <w:t>Charge du véhicule</w:t>
      </w:r>
    </w:p>
    <w:p w14:paraId="1B2A33B8" w14:textId="77777777" w:rsidR="00B921D9" w:rsidRPr="001F2F50" w:rsidRDefault="00B921D9" w:rsidP="00B921D9">
      <w:pPr>
        <w:pStyle w:val="SingleTxtG"/>
        <w:ind w:left="2268"/>
        <w:rPr>
          <w:szCs w:val="24"/>
          <w:lang w:val="fr-FR"/>
        </w:rPr>
      </w:pPr>
      <w:r w:rsidRPr="001F2F50">
        <w:rPr>
          <w:szCs w:val="24"/>
          <w:lang w:val="fr-FR"/>
        </w:rPr>
        <w:t xml:space="preserve">La charge normale est une charge comprise entre 10 et 100 % de la charge </w:t>
      </w:r>
      <w:r w:rsidRPr="001F2F50">
        <w:rPr>
          <w:lang w:val="fr-FR"/>
        </w:rPr>
        <w:t>maximale</w:t>
      </w:r>
      <w:r w:rsidR="00F72B31" w:rsidRPr="00F72B31">
        <w:rPr>
          <w:szCs w:val="24"/>
          <w:lang w:val="fr-FR"/>
        </w:rPr>
        <w:t>.</w:t>
      </w:r>
    </w:p>
    <w:p w14:paraId="3D0EEA04" w14:textId="77777777" w:rsidR="00B921D9" w:rsidRPr="001F2F50" w:rsidRDefault="00B921D9" w:rsidP="00B921D9">
      <w:pPr>
        <w:pStyle w:val="SingleTxtG"/>
        <w:ind w:left="2268"/>
        <w:rPr>
          <w:spacing w:val="-2"/>
          <w:szCs w:val="24"/>
          <w:lang w:val="fr-FR"/>
        </w:rPr>
      </w:pPr>
      <w:r w:rsidRPr="001F2F50">
        <w:rPr>
          <w:spacing w:val="-2"/>
          <w:szCs w:val="24"/>
          <w:lang w:val="fr-FR"/>
        </w:rPr>
        <w:t xml:space="preserve">La </w:t>
      </w:r>
      <w:r w:rsidRPr="001F2F50">
        <w:rPr>
          <w:spacing w:val="-2"/>
          <w:lang w:val="fr-FR"/>
        </w:rPr>
        <w:t>charge</w:t>
      </w:r>
      <w:r w:rsidRPr="001F2F50">
        <w:rPr>
          <w:spacing w:val="-2"/>
          <w:szCs w:val="24"/>
          <w:lang w:val="fr-FR"/>
        </w:rPr>
        <w:t xml:space="preserve"> maximale est la différence entre la masse chargée maximale techniquement admissible du véhicule et la masse du véhicule en ordre de marche, comme spécifié à l</w:t>
      </w:r>
      <w:r>
        <w:rPr>
          <w:spacing w:val="-2"/>
          <w:szCs w:val="24"/>
          <w:lang w:val="fr-FR"/>
        </w:rPr>
        <w:t>’</w:t>
      </w:r>
      <w:r w:rsidRPr="001F2F50">
        <w:rPr>
          <w:spacing w:val="-2"/>
          <w:szCs w:val="24"/>
          <w:lang w:val="fr-FR"/>
        </w:rPr>
        <w:t xml:space="preserve">annexe 3 de la Résolution spéciale </w:t>
      </w:r>
      <w:r w:rsidRPr="001F2F50">
        <w:rPr>
          <w:rFonts w:eastAsia="MS Mincho"/>
          <w:spacing w:val="-2"/>
          <w:szCs w:val="22"/>
          <w:lang w:val="fr-FR"/>
        </w:rPr>
        <w:t>n</w:t>
      </w:r>
      <w:r w:rsidRPr="001F2F50">
        <w:rPr>
          <w:rFonts w:eastAsia="MS Mincho"/>
          <w:spacing w:val="-2"/>
          <w:szCs w:val="22"/>
          <w:vertAlign w:val="superscript"/>
          <w:lang w:val="fr-FR"/>
        </w:rPr>
        <w:t>o</w:t>
      </w:r>
      <w:r w:rsidRPr="001F2F50">
        <w:rPr>
          <w:spacing w:val="-2"/>
          <w:szCs w:val="24"/>
          <w:lang w:val="fr-FR"/>
        </w:rPr>
        <w:t> 1 (document ECE/TRANS/WP</w:t>
      </w:r>
      <w:r w:rsidR="00F72B31" w:rsidRPr="00F72B31">
        <w:rPr>
          <w:spacing w:val="-2"/>
          <w:szCs w:val="24"/>
          <w:lang w:val="fr-FR"/>
        </w:rPr>
        <w:t>.</w:t>
      </w:r>
      <w:r w:rsidRPr="001F2F50">
        <w:rPr>
          <w:spacing w:val="-2"/>
          <w:szCs w:val="24"/>
          <w:lang w:val="fr-FR"/>
        </w:rPr>
        <w:t>29/1045, tel que modifié par les documents ECE/TRANS/WP</w:t>
      </w:r>
      <w:r w:rsidR="00F72B31" w:rsidRPr="00F72B31">
        <w:rPr>
          <w:spacing w:val="-2"/>
          <w:szCs w:val="24"/>
          <w:lang w:val="fr-FR"/>
        </w:rPr>
        <w:t>.</w:t>
      </w:r>
      <w:r w:rsidRPr="001F2F50">
        <w:rPr>
          <w:spacing w:val="-2"/>
          <w:szCs w:val="24"/>
          <w:lang w:val="fr-FR"/>
        </w:rPr>
        <w:t>29/1045/Amend</w:t>
      </w:r>
      <w:r w:rsidR="00F72B31" w:rsidRPr="00F72B31">
        <w:rPr>
          <w:spacing w:val="-2"/>
          <w:szCs w:val="24"/>
          <w:lang w:val="fr-FR"/>
        </w:rPr>
        <w:t>.</w:t>
      </w:r>
      <w:r w:rsidRPr="001F2F50">
        <w:rPr>
          <w:spacing w:val="-2"/>
          <w:szCs w:val="24"/>
          <w:lang w:val="fr-FR"/>
        </w:rPr>
        <w:t>1 et 2)</w:t>
      </w:r>
      <w:r w:rsidR="00F72B31" w:rsidRPr="00F72B31">
        <w:rPr>
          <w:spacing w:val="-2"/>
          <w:szCs w:val="24"/>
          <w:lang w:val="fr-FR"/>
        </w:rPr>
        <w:t>.</w:t>
      </w:r>
    </w:p>
    <w:p w14:paraId="003482EF" w14:textId="77777777" w:rsidR="00B921D9" w:rsidRPr="001F2F50" w:rsidRDefault="00B921D9" w:rsidP="00B921D9">
      <w:pPr>
        <w:pStyle w:val="SingleTxtG"/>
        <w:ind w:left="2268"/>
        <w:rPr>
          <w:rFonts w:eastAsia="MS Mincho"/>
          <w:b/>
          <w:bCs/>
          <w:lang w:val="fr-FR" w:eastAsia="fi-FI"/>
        </w:rPr>
      </w:pPr>
      <w:r w:rsidRPr="001F2F50">
        <w:rPr>
          <w:rFonts w:eastAsia="MS Mincho"/>
          <w:b/>
          <w:bCs/>
          <w:lang w:val="fr-FR" w:eastAsia="fi-FI"/>
        </w:rPr>
        <w:t>Si le poids maximum légal du véhicule est inférieur à la masse en charge techniquement admissible du véhicule, il est permis d</w:t>
      </w:r>
      <w:r>
        <w:rPr>
          <w:rFonts w:eastAsia="MS Mincho"/>
          <w:b/>
          <w:bCs/>
          <w:lang w:val="fr-FR" w:eastAsia="fi-FI"/>
        </w:rPr>
        <w:t>’</w:t>
      </w:r>
      <w:r w:rsidRPr="001F2F50">
        <w:rPr>
          <w:rFonts w:eastAsia="MS Mincho"/>
          <w:b/>
          <w:bCs/>
          <w:lang w:val="fr-FR" w:eastAsia="fi-FI"/>
        </w:rPr>
        <w:t>utiliser le poids maximum légal du véhicule pour déterminer la charge utile du véhicule pour le parcours d</w:t>
      </w:r>
      <w:r>
        <w:rPr>
          <w:rFonts w:eastAsia="MS Mincho"/>
          <w:b/>
          <w:bCs/>
          <w:lang w:val="fr-FR" w:eastAsia="fi-FI"/>
        </w:rPr>
        <w:t>’</w:t>
      </w:r>
      <w:r w:rsidRPr="001F2F50">
        <w:rPr>
          <w:rFonts w:eastAsia="MS Mincho"/>
          <w:b/>
          <w:bCs/>
          <w:lang w:val="fr-FR" w:eastAsia="fi-FI"/>
        </w:rPr>
        <w:t>essai</w:t>
      </w:r>
      <w:r w:rsidR="00F72B31" w:rsidRPr="00F72B31">
        <w:rPr>
          <w:rFonts w:eastAsia="MS Mincho"/>
          <w:b/>
          <w:bCs/>
          <w:lang w:val="fr-FR" w:eastAsia="fi-FI"/>
        </w:rPr>
        <w:t>.</w:t>
      </w:r>
    </w:p>
    <w:p w14:paraId="798FB861" w14:textId="77777777" w:rsidR="00B921D9" w:rsidRPr="001F2F50" w:rsidRDefault="00B921D9" w:rsidP="00B921D9">
      <w:pPr>
        <w:pStyle w:val="SingleTxtG"/>
        <w:ind w:left="2268"/>
        <w:rPr>
          <w:szCs w:val="24"/>
          <w:lang w:val="fr-FR"/>
        </w:rPr>
      </w:pPr>
      <w:r w:rsidRPr="001F2F50">
        <w:rPr>
          <w:szCs w:val="24"/>
          <w:lang w:val="fr-FR"/>
        </w:rPr>
        <w:t>Pour les besoins des essais de conformité en service, la charge peut être reproduite et un chargement artificiel peut être utilisé</w:t>
      </w:r>
      <w:r w:rsidR="00F72B31" w:rsidRPr="00F72B31">
        <w:rPr>
          <w:szCs w:val="24"/>
          <w:lang w:val="fr-FR"/>
        </w:rPr>
        <w:t>.</w:t>
      </w:r>
    </w:p>
    <w:p w14:paraId="19A14BDE" w14:textId="77777777" w:rsidR="00B921D9" w:rsidRPr="001F2F50" w:rsidRDefault="00B921D9" w:rsidP="00B921D9">
      <w:pPr>
        <w:pStyle w:val="SingleTxtG"/>
        <w:ind w:left="2268"/>
        <w:rPr>
          <w:szCs w:val="24"/>
          <w:lang w:val="fr-FR"/>
        </w:rPr>
      </w:pPr>
      <w:r w:rsidRPr="001F2F50">
        <w:rPr>
          <w:szCs w:val="24"/>
          <w:lang w:val="fr-FR"/>
        </w:rPr>
        <w:t>Les autorités d</w:t>
      </w:r>
      <w:r>
        <w:rPr>
          <w:szCs w:val="24"/>
          <w:lang w:val="fr-FR"/>
        </w:rPr>
        <w:t>’</w:t>
      </w:r>
      <w:r w:rsidRPr="001F2F50">
        <w:rPr>
          <w:szCs w:val="24"/>
          <w:lang w:val="fr-FR"/>
        </w:rPr>
        <w:t>homologation peuvent demander que le véhicule soit essayé avec une charge comprise entre 10 et 100 % de sa charge maximale</w:t>
      </w:r>
      <w:r w:rsidR="00F72B31" w:rsidRPr="00F72B31">
        <w:rPr>
          <w:szCs w:val="24"/>
          <w:lang w:val="fr-FR"/>
        </w:rPr>
        <w:t>.</w:t>
      </w:r>
      <w:r w:rsidRPr="001F2F50">
        <w:rPr>
          <w:szCs w:val="24"/>
          <w:lang w:val="fr-FR"/>
        </w:rPr>
        <w:t xml:space="preserve"> Dans le cas où la masse du système mobile de mesure des émissions requis dépasse 10 % de la charge maximale du véhicule, cette masse peut être considérée comme la charge minimale</w:t>
      </w:r>
      <w:r w:rsidR="00F72B31" w:rsidRPr="00F72B31">
        <w:rPr>
          <w:szCs w:val="24"/>
          <w:lang w:val="fr-FR"/>
        </w:rPr>
        <w:t>.</w:t>
      </w:r>
      <w:r w:rsidRPr="001F2F50">
        <w:rPr>
          <w:szCs w:val="24"/>
          <w:lang w:val="fr-FR"/>
        </w:rPr>
        <w:t> »</w:t>
      </w:r>
      <w:r w:rsidR="00F72B31" w:rsidRPr="00F72B31">
        <w:rPr>
          <w:szCs w:val="24"/>
          <w:lang w:val="fr-FR"/>
        </w:rPr>
        <w:t>.</w:t>
      </w:r>
    </w:p>
    <w:p w14:paraId="5BE8316E" w14:textId="77777777" w:rsidR="00B921D9" w:rsidRPr="00E773DC" w:rsidRDefault="00B921D9" w:rsidP="00B921D9">
      <w:pPr>
        <w:pStyle w:val="SingleTxtG"/>
        <w:rPr>
          <w:color w:val="000000" w:themeColor="text1"/>
          <w:lang w:val="fr-FR"/>
        </w:rPr>
      </w:pPr>
      <w:r w:rsidRPr="00E773DC">
        <w:rPr>
          <w:i/>
          <w:iCs/>
          <w:color w:val="000000" w:themeColor="text1"/>
          <w:lang w:val="fr-FR"/>
        </w:rPr>
        <w:t>Paragraphe 4</w:t>
      </w:r>
      <w:r w:rsidR="00F72B31" w:rsidRPr="00F72B31">
        <w:rPr>
          <w:i/>
          <w:iCs/>
          <w:color w:val="000000" w:themeColor="text1"/>
          <w:lang w:val="fr-FR"/>
        </w:rPr>
        <w:t>.</w:t>
      </w:r>
      <w:r w:rsidRPr="00E773DC">
        <w:rPr>
          <w:i/>
          <w:iCs/>
          <w:color w:val="000000" w:themeColor="text1"/>
          <w:lang w:val="fr-FR"/>
        </w:rPr>
        <w:t>6</w:t>
      </w:r>
      <w:r w:rsidR="00F72B31" w:rsidRPr="00F72B31">
        <w:rPr>
          <w:i/>
          <w:iCs/>
          <w:color w:val="000000" w:themeColor="text1"/>
          <w:lang w:val="fr-FR"/>
        </w:rPr>
        <w:t>.</w:t>
      </w:r>
      <w:r w:rsidRPr="00E773DC">
        <w:rPr>
          <w:i/>
          <w:iCs/>
          <w:color w:val="000000" w:themeColor="text1"/>
          <w:lang w:val="fr-FR"/>
        </w:rPr>
        <w:t>2</w:t>
      </w:r>
      <w:r w:rsidRPr="00E773DC">
        <w:rPr>
          <w:color w:val="000000" w:themeColor="text1"/>
          <w:lang w:val="fr-FR"/>
        </w:rPr>
        <w:t>, lire :</w:t>
      </w:r>
    </w:p>
    <w:p w14:paraId="75BD221F" w14:textId="77777777" w:rsidR="00B921D9" w:rsidRPr="00E773DC" w:rsidRDefault="00B921D9" w:rsidP="00B921D9">
      <w:pPr>
        <w:pStyle w:val="SingleTxtG"/>
        <w:ind w:left="2268" w:hanging="1134"/>
        <w:rPr>
          <w:color w:val="000000" w:themeColor="text1"/>
          <w:lang w:val="fr-FR"/>
        </w:rPr>
      </w:pPr>
      <w:r w:rsidRPr="00E773DC">
        <w:rPr>
          <w:color w:val="000000" w:themeColor="text1"/>
          <w:lang w:val="fr-FR"/>
        </w:rPr>
        <w:t>« </w:t>
      </w:r>
      <w:r w:rsidRPr="00E773DC">
        <w:rPr>
          <w:rFonts w:eastAsia="MS Mincho"/>
          <w:lang w:val="fr-FR" w:eastAsia="fi-FI"/>
        </w:rPr>
        <w:t>4</w:t>
      </w:r>
      <w:r w:rsidR="00F72B31" w:rsidRPr="00F72B31">
        <w:rPr>
          <w:rFonts w:eastAsia="MS Mincho"/>
          <w:lang w:val="fr-FR" w:eastAsia="fi-FI"/>
        </w:rPr>
        <w:t>.</w:t>
      </w:r>
      <w:r w:rsidRPr="00E773DC">
        <w:rPr>
          <w:rFonts w:eastAsia="MS Mincho"/>
          <w:lang w:val="fr-FR" w:eastAsia="fi-FI"/>
        </w:rPr>
        <w:t>6</w:t>
      </w:r>
      <w:r w:rsidR="00F72B31" w:rsidRPr="00F72B31">
        <w:rPr>
          <w:rFonts w:eastAsia="MS Mincho"/>
          <w:lang w:val="fr-FR" w:eastAsia="fi-FI"/>
        </w:rPr>
        <w:t>.</w:t>
      </w:r>
      <w:r w:rsidRPr="00E773DC">
        <w:rPr>
          <w:rFonts w:eastAsia="MS Mincho"/>
          <w:lang w:val="fr-FR" w:eastAsia="fi-FI"/>
        </w:rPr>
        <w:t>2</w:t>
      </w:r>
      <w:r w:rsidRPr="00E773DC">
        <w:rPr>
          <w:rFonts w:eastAsia="MS Mincho"/>
          <w:lang w:val="fr-FR" w:eastAsia="fi-FI"/>
        </w:rPr>
        <w:tab/>
      </w:r>
      <w:r w:rsidRPr="00B40BD1">
        <w:rPr>
          <w:strike/>
          <w:noProof/>
          <w:lang w:val="fr-FR"/>
        </w:rPr>
        <w:t>Le prélèvement des émissions et des autres données commence avant le démarrage du moteur</w:t>
      </w:r>
      <w:r w:rsidR="00F72B31" w:rsidRPr="00F72B31">
        <w:rPr>
          <w:strike/>
          <w:noProof/>
          <w:lang w:val="fr-FR"/>
        </w:rPr>
        <w:t>.</w:t>
      </w:r>
      <w:r w:rsidRPr="00B40BD1">
        <w:rPr>
          <w:strike/>
          <w:noProof/>
          <w:lang w:val="fr-FR"/>
        </w:rPr>
        <w:t xml:space="preserve"> Les émissions de démarrage à froid peuvent être omises de l</w:t>
      </w:r>
      <w:r>
        <w:rPr>
          <w:strike/>
          <w:noProof/>
          <w:lang w:val="fr-FR"/>
        </w:rPr>
        <w:t>’</w:t>
      </w:r>
      <w:r w:rsidRPr="00B40BD1">
        <w:rPr>
          <w:strike/>
          <w:noProof/>
          <w:lang w:val="fr-FR"/>
        </w:rPr>
        <w:t>évaluation des émissions, conformément au paragraphe A</w:t>
      </w:r>
      <w:r w:rsidR="00F72B31" w:rsidRPr="00F72B31">
        <w:rPr>
          <w:strike/>
          <w:noProof/>
          <w:lang w:val="fr-FR"/>
        </w:rPr>
        <w:t>.</w:t>
      </w:r>
      <w:r w:rsidRPr="00B40BD1">
        <w:rPr>
          <w:strike/>
          <w:noProof/>
          <w:lang w:val="fr-FR"/>
        </w:rPr>
        <w:t>1</w:t>
      </w:r>
      <w:r w:rsidR="00F72B31" w:rsidRPr="00F72B31">
        <w:rPr>
          <w:strike/>
          <w:noProof/>
          <w:lang w:val="fr-FR"/>
        </w:rPr>
        <w:t>.</w:t>
      </w:r>
      <w:r w:rsidRPr="00B40BD1">
        <w:rPr>
          <w:strike/>
          <w:noProof/>
          <w:lang w:val="fr-FR"/>
        </w:rPr>
        <w:t>2</w:t>
      </w:r>
      <w:r w:rsidR="00F72B31" w:rsidRPr="00F72B31">
        <w:rPr>
          <w:strike/>
          <w:noProof/>
          <w:lang w:val="fr-FR"/>
        </w:rPr>
        <w:t>.</w:t>
      </w:r>
      <w:r w:rsidRPr="00B40BD1">
        <w:rPr>
          <w:strike/>
          <w:noProof/>
          <w:lang w:val="fr-FR"/>
        </w:rPr>
        <w:t>6 de l</w:t>
      </w:r>
      <w:r>
        <w:rPr>
          <w:strike/>
          <w:noProof/>
          <w:lang w:val="fr-FR"/>
        </w:rPr>
        <w:t>’</w:t>
      </w:r>
      <w:r w:rsidRPr="00B40BD1">
        <w:rPr>
          <w:strike/>
          <w:noProof/>
          <w:lang w:val="fr-FR"/>
        </w:rPr>
        <w:t>appendice 1 de la présente annexe</w:t>
      </w:r>
      <w:r w:rsidR="00F72B31" w:rsidRPr="00F72B31">
        <w:rPr>
          <w:strike/>
          <w:noProof/>
          <w:lang w:val="fr-FR"/>
        </w:rPr>
        <w:t>.</w:t>
      </w:r>
      <w:r w:rsidRPr="00E773DC">
        <w:rPr>
          <w:strike/>
          <w:noProof/>
          <w:lang w:val="fr-FR"/>
        </w:rPr>
        <w:t xml:space="preserve"> </w:t>
      </w:r>
      <w:r w:rsidRPr="00F80EEC">
        <w:rPr>
          <w:b/>
          <w:bCs/>
          <w:noProof/>
          <w:lang w:val="fr-FR"/>
        </w:rPr>
        <w:t xml:space="preserve">Le prélèvement </w:t>
      </w:r>
      <w:r w:rsidRPr="00E773DC">
        <w:rPr>
          <w:b/>
          <w:bCs/>
          <w:noProof/>
          <w:lang w:val="fr-FR"/>
        </w:rPr>
        <w:t>des émissions et des autres données commence avant le démarrage du moteur</w:t>
      </w:r>
      <w:r w:rsidR="00F72B31" w:rsidRPr="00F72B31">
        <w:rPr>
          <w:b/>
          <w:bCs/>
          <w:noProof/>
          <w:lang w:val="fr-FR"/>
        </w:rPr>
        <w:t>.</w:t>
      </w:r>
      <w:r w:rsidRPr="00E773DC">
        <w:rPr>
          <w:b/>
          <w:bCs/>
          <w:noProof/>
          <w:lang w:val="fr-FR"/>
        </w:rPr>
        <w:t xml:space="preserve"> Les émissions </w:t>
      </w:r>
      <w:r>
        <w:rPr>
          <w:b/>
          <w:bCs/>
          <w:noProof/>
          <w:lang w:val="fr-FR"/>
        </w:rPr>
        <w:t xml:space="preserve">de </w:t>
      </w:r>
      <w:r w:rsidRPr="00E773DC">
        <w:rPr>
          <w:b/>
          <w:bCs/>
          <w:noProof/>
          <w:lang w:val="fr-FR"/>
        </w:rPr>
        <w:t>démarrage à froid doivent être prises en compte dans l</w:t>
      </w:r>
      <w:r>
        <w:rPr>
          <w:b/>
          <w:bCs/>
          <w:noProof/>
          <w:lang w:val="fr-FR"/>
        </w:rPr>
        <w:t>’</w:t>
      </w:r>
      <w:r w:rsidRPr="00E773DC">
        <w:rPr>
          <w:b/>
          <w:bCs/>
          <w:noProof/>
          <w:lang w:val="fr-FR"/>
        </w:rPr>
        <w:t>évaluation des émissions, conformément au paragraphe A</w:t>
      </w:r>
      <w:r w:rsidR="00F72B31" w:rsidRPr="00F72B31">
        <w:rPr>
          <w:b/>
          <w:bCs/>
          <w:noProof/>
          <w:lang w:val="fr-FR"/>
        </w:rPr>
        <w:t>.</w:t>
      </w:r>
      <w:r w:rsidRPr="00E773DC">
        <w:rPr>
          <w:b/>
          <w:bCs/>
          <w:noProof/>
          <w:lang w:val="fr-FR"/>
        </w:rPr>
        <w:t>1</w:t>
      </w:r>
      <w:r w:rsidR="00F72B31" w:rsidRPr="00F72B31">
        <w:rPr>
          <w:b/>
          <w:bCs/>
          <w:noProof/>
          <w:lang w:val="fr-FR"/>
        </w:rPr>
        <w:t>.</w:t>
      </w:r>
      <w:r w:rsidRPr="00E773DC">
        <w:rPr>
          <w:b/>
          <w:bCs/>
          <w:noProof/>
          <w:lang w:val="fr-FR"/>
        </w:rPr>
        <w:t>2</w:t>
      </w:r>
      <w:r w:rsidR="00F72B31" w:rsidRPr="00F72B31">
        <w:rPr>
          <w:b/>
          <w:bCs/>
          <w:noProof/>
          <w:lang w:val="fr-FR"/>
        </w:rPr>
        <w:t>.</w:t>
      </w:r>
      <w:r w:rsidRPr="00E773DC">
        <w:rPr>
          <w:b/>
          <w:bCs/>
          <w:noProof/>
          <w:lang w:val="fr-FR"/>
        </w:rPr>
        <w:t>6 de l</w:t>
      </w:r>
      <w:r>
        <w:rPr>
          <w:b/>
          <w:bCs/>
          <w:noProof/>
          <w:lang w:val="fr-FR"/>
        </w:rPr>
        <w:t>’</w:t>
      </w:r>
      <w:r w:rsidRPr="00E773DC">
        <w:rPr>
          <w:b/>
          <w:bCs/>
          <w:noProof/>
          <w:lang w:val="fr-FR"/>
        </w:rPr>
        <w:t>appendice 1 de la présente annexe</w:t>
      </w:r>
      <w:r w:rsidR="00F72B31" w:rsidRPr="00F72B31">
        <w:rPr>
          <w:b/>
          <w:bCs/>
          <w:noProof/>
          <w:lang w:val="fr-FR"/>
        </w:rPr>
        <w:t>.</w:t>
      </w:r>
      <w:r w:rsidRPr="00E773DC">
        <w:rPr>
          <w:b/>
          <w:bCs/>
          <w:noProof/>
          <w:lang w:val="fr-FR"/>
        </w:rPr>
        <w:t> </w:t>
      </w:r>
      <w:r w:rsidRPr="00E773DC">
        <w:rPr>
          <w:color w:val="000000" w:themeColor="text1"/>
          <w:lang w:val="fr-FR"/>
        </w:rPr>
        <w:t>»</w:t>
      </w:r>
      <w:r w:rsidR="00F72B31" w:rsidRPr="00F72B31">
        <w:rPr>
          <w:color w:val="000000" w:themeColor="text1"/>
          <w:lang w:val="fr-FR"/>
        </w:rPr>
        <w:t>.</w:t>
      </w:r>
    </w:p>
    <w:p w14:paraId="73D3054E" w14:textId="77777777" w:rsidR="00B921D9" w:rsidRPr="00E773DC" w:rsidRDefault="00B921D9" w:rsidP="00B921D9">
      <w:pPr>
        <w:pStyle w:val="SingleTxtG"/>
        <w:rPr>
          <w:color w:val="000000" w:themeColor="text1"/>
          <w:lang w:val="fr-FR"/>
        </w:rPr>
      </w:pPr>
      <w:r>
        <w:rPr>
          <w:i/>
          <w:iCs/>
          <w:color w:val="000000" w:themeColor="text1"/>
          <w:lang w:val="fr-FR"/>
        </w:rPr>
        <w:t>P</w:t>
      </w:r>
      <w:r w:rsidRPr="00E773DC">
        <w:rPr>
          <w:i/>
          <w:iCs/>
          <w:color w:val="000000" w:themeColor="text1"/>
          <w:lang w:val="fr-FR"/>
        </w:rPr>
        <w:t>aragraphe 6</w:t>
      </w:r>
      <w:r w:rsidR="00F72B31" w:rsidRPr="00F72B31">
        <w:rPr>
          <w:i/>
          <w:iCs/>
          <w:color w:val="000000" w:themeColor="text1"/>
          <w:lang w:val="fr-FR"/>
        </w:rPr>
        <w:t>.</w:t>
      </w:r>
      <w:r w:rsidRPr="00E773DC">
        <w:rPr>
          <w:i/>
          <w:iCs/>
          <w:color w:val="000000" w:themeColor="text1"/>
          <w:lang w:val="fr-FR"/>
        </w:rPr>
        <w:t>3, y compris le tableau 2</w:t>
      </w:r>
      <w:r w:rsidRPr="00B12766">
        <w:rPr>
          <w:color w:val="000000" w:themeColor="text1"/>
          <w:lang w:val="fr-FR"/>
        </w:rPr>
        <w:t>,</w:t>
      </w:r>
      <w:r w:rsidRPr="00E773DC">
        <w:rPr>
          <w:i/>
          <w:iCs/>
          <w:color w:val="000000" w:themeColor="text1"/>
          <w:lang w:val="fr-FR"/>
        </w:rPr>
        <w:t xml:space="preserve"> </w:t>
      </w:r>
      <w:r>
        <w:rPr>
          <w:color w:val="000000" w:themeColor="text1"/>
          <w:lang w:val="fr-FR"/>
        </w:rPr>
        <w:t>lire :</w:t>
      </w:r>
    </w:p>
    <w:p w14:paraId="017F7FE5" w14:textId="77777777" w:rsidR="00B921D9" w:rsidRPr="00E773DC" w:rsidRDefault="00B921D9" w:rsidP="00B921D9">
      <w:pPr>
        <w:pStyle w:val="SingleTxtG"/>
        <w:ind w:left="2268" w:hanging="1134"/>
        <w:rPr>
          <w:noProof/>
          <w:lang w:val="fr-FR" w:eastAsia="fi-FI"/>
        </w:rPr>
      </w:pPr>
      <w:r w:rsidRPr="00E773DC">
        <w:rPr>
          <w:color w:val="000000" w:themeColor="text1"/>
          <w:lang w:val="fr-FR"/>
        </w:rPr>
        <w:t>« </w:t>
      </w:r>
      <w:r w:rsidRPr="00E773DC">
        <w:rPr>
          <w:noProof/>
          <w:lang w:val="fr-FR"/>
        </w:rPr>
        <w:t>6</w:t>
      </w:r>
      <w:r w:rsidR="00F72B31" w:rsidRPr="00F72B31">
        <w:rPr>
          <w:noProof/>
          <w:lang w:val="fr-FR"/>
        </w:rPr>
        <w:t>.</w:t>
      </w:r>
      <w:r w:rsidRPr="00E773DC">
        <w:rPr>
          <w:noProof/>
          <w:lang w:val="fr-FR"/>
        </w:rPr>
        <w:t>3</w:t>
      </w:r>
      <w:r w:rsidRPr="00E773DC">
        <w:rPr>
          <w:noProof/>
          <w:lang w:val="fr-FR"/>
        </w:rPr>
        <w:tab/>
      </w:r>
      <w:r w:rsidRPr="00B40BD1">
        <w:rPr>
          <w:strike/>
          <w:noProof/>
          <w:lang w:val="fr-FR"/>
        </w:rPr>
        <w:t>Le percentile cumulatif 90 % des facteurs de conformité des émissions d</w:t>
      </w:r>
      <w:r>
        <w:rPr>
          <w:strike/>
          <w:noProof/>
          <w:lang w:val="fr-FR"/>
        </w:rPr>
        <w:t>’</w:t>
      </w:r>
      <w:r w:rsidRPr="00B40BD1">
        <w:rPr>
          <w:strike/>
          <w:noProof/>
          <w:lang w:val="fr-FR"/>
        </w:rPr>
        <w:t>échappement de chaque système moteur essayé, déterminé conformément aux procédures de mesure et de calcul spécifiées à l</w:t>
      </w:r>
      <w:r>
        <w:rPr>
          <w:strike/>
          <w:noProof/>
          <w:lang w:val="fr-FR"/>
        </w:rPr>
        <w:t>’</w:t>
      </w:r>
      <w:r w:rsidRPr="00B40BD1">
        <w:rPr>
          <w:strike/>
          <w:noProof/>
          <w:lang w:val="fr-FR"/>
        </w:rPr>
        <w:t>appendice 1 de la présente annexe, ne doit excéder aucune des valeurs indiquées dans le tableau 2</w:t>
      </w:r>
      <w:r w:rsidR="00F72B31" w:rsidRPr="00F72B31">
        <w:rPr>
          <w:strike/>
          <w:noProof/>
          <w:lang w:val="fr-FR"/>
        </w:rPr>
        <w:t>.</w:t>
      </w:r>
      <w:r w:rsidRPr="00E773DC">
        <w:rPr>
          <w:strike/>
          <w:noProof/>
          <w:lang w:val="fr-FR"/>
        </w:rPr>
        <w:t xml:space="preserve"> </w:t>
      </w:r>
      <w:r w:rsidRPr="00E773DC">
        <w:rPr>
          <w:b/>
          <w:bCs/>
          <w:noProof/>
          <w:lang w:val="fr-FR"/>
        </w:rPr>
        <w:t>Le facteur de conformité final de l</w:t>
      </w:r>
      <w:r>
        <w:rPr>
          <w:b/>
          <w:bCs/>
          <w:noProof/>
          <w:lang w:val="fr-FR"/>
        </w:rPr>
        <w:t>’</w:t>
      </w:r>
      <w:r w:rsidRPr="00E773DC">
        <w:rPr>
          <w:b/>
          <w:bCs/>
          <w:noProof/>
          <w:lang w:val="fr-FR"/>
        </w:rPr>
        <w:t>essai (CF</w:t>
      </w:r>
      <w:r w:rsidRPr="00362577">
        <w:rPr>
          <w:b/>
          <w:bCs/>
          <w:noProof/>
          <w:vertAlign w:val="subscript"/>
          <w:lang w:val="fr-FR"/>
        </w:rPr>
        <w:t>final</w:t>
      </w:r>
      <w:r w:rsidRPr="00E773DC">
        <w:rPr>
          <w:b/>
          <w:bCs/>
          <w:noProof/>
          <w:lang w:val="fr-FR"/>
        </w:rPr>
        <w:t>) pour chaque polluant calculé conformément à l</w:t>
      </w:r>
      <w:r>
        <w:rPr>
          <w:b/>
          <w:bCs/>
          <w:noProof/>
          <w:lang w:val="fr-FR"/>
        </w:rPr>
        <w:t>’</w:t>
      </w:r>
      <w:r w:rsidRPr="00E773DC">
        <w:rPr>
          <w:b/>
          <w:bCs/>
          <w:noProof/>
          <w:lang w:val="fr-FR"/>
        </w:rPr>
        <w:t>appendice 1 ne doit pas dépasser le facteur de conformité maximal autorisé pour ce polluant, indiqué dans le tableau 2</w:t>
      </w:r>
      <w:r w:rsidR="00F72B31" w:rsidRPr="00F72B31">
        <w:rPr>
          <w:b/>
          <w:bCs/>
          <w:noProof/>
          <w:lang w:val="fr-FR"/>
        </w:rPr>
        <w:t>.</w:t>
      </w:r>
    </w:p>
    <w:p w14:paraId="135A1FBA" w14:textId="77777777" w:rsidR="00B921D9" w:rsidRPr="00E773DC" w:rsidRDefault="00B921D9" w:rsidP="00BA0FA5">
      <w:pPr>
        <w:pStyle w:val="SingleTxtG"/>
        <w:ind w:left="2268"/>
        <w:jc w:val="left"/>
        <w:rPr>
          <w:rFonts w:eastAsia="MS Mincho"/>
          <w:b/>
          <w:bCs/>
          <w:noProof/>
          <w:lang w:val="fr-FR"/>
        </w:rPr>
      </w:pPr>
      <w:bookmarkStart w:id="15" w:name="_Toc339542154"/>
      <w:bookmarkStart w:id="16" w:name="_Toc339460631"/>
      <w:r w:rsidRPr="00E773DC">
        <w:rPr>
          <w:rFonts w:eastAsia="MS Mincho"/>
          <w:bCs/>
          <w:noProof/>
          <w:lang w:val="fr-FR"/>
        </w:rPr>
        <w:t>Tableau 2</w:t>
      </w:r>
      <w:bookmarkEnd w:id="15"/>
      <w:bookmarkEnd w:id="16"/>
      <w:r w:rsidR="00BA0FA5">
        <w:rPr>
          <w:rFonts w:eastAsia="MS Mincho"/>
          <w:bCs/>
          <w:noProof/>
          <w:lang w:val="fr-FR"/>
        </w:rPr>
        <w:t xml:space="preserve"> </w:t>
      </w:r>
      <w:bookmarkStart w:id="17" w:name="_Toc339542155"/>
      <w:bookmarkStart w:id="18" w:name="_Toc339460632"/>
      <w:r w:rsidR="00BA0FA5">
        <w:rPr>
          <w:rFonts w:eastAsia="MS Mincho"/>
          <w:bCs/>
          <w:noProof/>
          <w:lang w:val="fr-FR"/>
        </w:rPr>
        <w:br/>
      </w:r>
      <w:r w:rsidRPr="00E773DC">
        <w:rPr>
          <w:rFonts w:eastAsia="MS Mincho"/>
          <w:b/>
          <w:bCs/>
          <w:noProof/>
          <w:lang w:val="fr-FR"/>
        </w:rPr>
        <w:t>Facteurs de conformité maxim</w:t>
      </w:r>
      <w:r>
        <w:rPr>
          <w:rFonts w:eastAsia="MS Mincho"/>
          <w:b/>
          <w:bCs/>
          <w:noProof/>
          <w:lang w:val="fr-FR"/>
        </w:rPr>
        <w:t>aux</w:t>
      </w:r>
      <w:r w:rsidRPr="00E773DC">
        <w:rPr>
          <w:rFonts w:eastAsia="MS Mincho"/>
          <w:b/>
          <w:bCs/>
          <w:noProof/>
          <w:lang w:val="fr-FR"/>
        </w:rPr>
        <w:t xml:space="preserve"> autorisés pour les essais </w:t>
      </w:r>
      <w:r w:rsidR="00B12766">
        <w:rPr>
          <w:rFonts w:eastAsia="MS Mincho"/>
          <w:b/>
          <w:bCs/>
          <w:noProof/>
          <w:lang w:val="fr-FR"/>
        </w:rPr>
        <w:br/>
      </w:r>
      <w:r w:rsidRPr="00E773DC">
        <w:rPr>
          <w:rFonts w:eastAsia="MS Mincho"/>
          <w:b/>
          <w:bCs/>
          <w:noProof/>
          <w:lang w:val="fr-FR"/>
        </w:rPr>
        <w:t xml:space="preserve">de conformité des émissions en service </w:t>
      </w:r>
      <w:bookmarkEnd w:id="17"/>
      <w:bookmarkEnd w:id="18"/>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3118"/>
      </w:tblGrid>
      <w:tr w:rsidR="0007092C" w:rsidRPr="0007092C" w14:paraId="7FFEA097" w14:textId="77777777" w:rsidTr="00BA0FA5">
        <w:trPr>
          <w:tblHeader/>
        </w:trPr>
        <w:tc>
          <w:tcPr>
            <w:tcW w:w="3685" w:type="dxa"/>
            <w:shd w:val="clear" w:color="auto" w:fill="auto"/>
            <w:noWrap/>
            <w:vAlign w:val="bottom"/>
            <w:hideMark/>
          </w:tcPr>
          <w:p w14:paraId="037FEA82" w14:textId="77777777" w:rsidR="00B921D9" w:rsidRPr="0007092C" w:rsidRDefault="00B921D9" w:rsidP="00BA0FA5">
            <w:pPr>
              <w:suppressAutoHyphens w:val="0"/>
              <w:spacing w:before="60" w:after="60" w:line="220" w:lineRule="atLeast"/>
              <w:ind w:left="57" w:right="57"/>
              <w:rPr>
                <w:rFonts w:eastAsia="MS Mincho"/>
                <w:i/>
                <w:noProof/>
                <w:sz w:val="16"/>
                <w:lang w:val="fr-FR"/>
              </w:rPr>
            </w:pPr>
            <w:r w:rsidRPr="0007092C">
              <w:rPr>
                <w:i/>
                <w:noProof/>
                <w:sz w:val="16"/>
                <w:lang w:val="fr-FR"/>
              </w:rPr>
              <w:t>Polluant</w:t>
            </w:r>
          </w:p>
        </w:tc>
        <w:tc>
          <w:tcPr>
            <w:tcW w:w="3685" w:type="dxa"/>
            <w:shd w:val="clear" w:color="auto" w:fill="auto"/>
            <w:noWrap/>
            <w:vAlign w:val="bottom"/>
            <w:hideMark/>
          </w:tcPr>
          <w:p w14:paraId="5D54243A" w14:textId="77777777" w:rsidR="00B921D9" w:rsidRPr="0007092C" w:rsidRDefault="00B921D9" w:rsidP="00BA0FA5">
            <w:pPr>
              <w:suppressAutoHyphens w:val="0"/>
              <w:spacing w:before="60" w:after="60" w:line="220" w:lineRule="atLeast"/>
              <w:ind w:left="57" w:right="57"/>
              <w:jc w:val="right"/>
              <w:rPr>
                <w:i/>
                <w:noProof/>
                <w:sz w:val="16"/>
                <w:lang w:val="fr-FR"/>
              </w:rPr>
            </w:pPr>
            <w:r w:rsidRPr="0007092C">
              <w:rPr>
                <w:i/>
                <w:noProof/>
                <w:sz w:val="16"/>
                <w:lang w:val="fr-FR"/>
              </w:rPr>
              <w:t>Facteur de conformité maximum autorisé</w:t>
            </w:r>
          </w:p>
        </w:tc>
      </w:tr>
      <w:tr w:rsidR="0007092C" w:rsidRPr="0007092C" w14:paraId="7B6EF582" w14:textId="77777777" w:rsidTr="00BA0FA5">
        <w:tc>
          <w:tcPr>
            <w:tcW w:w="3685" w:type="dxa"/>
            <w:shd w:val="clear" w:color="auto" w:fill="auto"/>
            <w:noWrap/>
            <w:hideMark/>
          </w:tcPr>
          <w:p w14:paraId="6663CF5E" w14:textId="77777777" w:rsidR="00B921D9" w:rsidRPr="0007092C" w:rsidRDefault="00B921D9" w:rsidP="00BA0FA5">
            <w:pPr>
              <w:suppressAutoHyphens w:val="0"/>
              <w:spacing w:before="60" w:after="60" w:line="220" w:lineRule="atLeast"/>
              <w:ind w:left="57" w:right="57"/>
              <w:rPr>
                <w:noProof/>
                <w:sz w:val="18"/>
                <w:lang w:val="fr-FR"/>
              </w:rPr>
            </w:pPr>
            <w:r w:rsidRPr="0007092C">
              <w:rPr>
                <w:noProof/>
                <w:sz w:val="18"/>
                <w:lang w:val="fr-FR"/>
              </w:rPr>
              <w:t>CO</w:t>
            </w:r>
          </w:p>
        </w:tc>
        <w:tc>
          <w:tcPr>
            <w:tcW w:w="3685" w:type="dxa"/>
            <w:shd w:val="clear" w:color="auto" w:fill="auto"/>
            <w:noWrap/>
            <w:vAlign w:val="bottom"/>
            <w:hideMark/>
          </w:tcPr>
          <w:p w14:paraId="1E173592" w14:textId="77777777" w:rsidR="00B921D9" w:rsidRPr="0007092C" w:rsidRDefault="00B921D9" w:rsidP="00BA0FA5">
            <w:pPr>
              <w:suppressAutoHyphens w:val="0"/>
              <w:spacing w:before="60" w:after="60" w:line="220" w:lineRule="atLeast"/>
              <w:ind w:left="57" w:right="57"/>
              <w:jc w:val="right"/>
              <w:rPr>
                <w:noProof/>
                <w:sz w:val="18"/>
                <w:lang w:val="fr-FR"/>
              </w:rPr>
            </w:pPr>
            <w:r w:rsidRPr="0007092C">
              <w:rPr>
                <w:noProof/>
                <w:sz w:val="18"/>
                <w:lang w:val="fr-FR"/>
              </w:rPr>
              <w:t>1,50</w:t>
            </w:r>
          </w:p>
        </w:tc>
      </w:tr>
      <w:tr w:rsidR="00B921D9" w:rsidRPr="0007092C" w14:paraId="023F2DB6" w14:textId="77777777" w:rsidTr="00BA0FA5">
        <w:tc>
          <w:tcPr>
            <w:tcW w:w="3685" w:type="dxa"/>
            <w:shd w:val="clear" w:color="auto" w:fill="auto"/>
            <w:noWrap/>
            <w:hideMark/>
          </w:tcPr>
          <w:p w14:paraId="6ACD6367" w14:textId="77777777" w:rsidR="00B921D9" w:rsidRPr="0007092C" w:rsidRDefault="00B921D9" w:rsidP="00BA0FA5">
            <w:pPr>
              <w:suppressAutoHyphens w:val="0"/>
              <w:spacing w:before="60" w:after="60" w:line="220" w:lineRule="atLeast"/>
              <w:ind w:left="57" w:right="57"/>
              <w:rPr>
                <w:noProof/>
                <w:sz w:val="18"/>
                <w:vertAlign w:val="superscript"/>
                <w:lang w:val="fr-FR"/>
              </w:rPr>
            </w:pPr>
            <w:r w:rsidRPr="0007092C">
              <w:rPr>
                <w:noProof/>
                <w:sz w:val="18"/>
                <w:lang w:val="fr-FR"/>
              </w:rPr>
              <w:t>THC</w:t>
            </w:r>
            <w:r w:rsidRPr="00B12766">
              <w:rPr>
                <w:b/>
                <w:bCs/>
                <w:i/>
                <w:iCs/>
                <w:noProof/>
                <w:sz w:val="18"/>
                <w:vertAlign w:val="superscript"/>
                <w:lang w:val="fr-FR"/>
              </w:rPr>
              <w:t>1</w:t>
            </w:r>
          </w:p>
        </w:tc>
        <w:tc>
          <w:tcPr>
            <w:tcW w:w="3685" w:type="dxa"/>
            <w:shd w:val="clear" w:color="auto" w:fill="auto"/>
            <w:noWrap/>
            <w:vAlign w:val="bottom"/>
            <w:hideMark/>
          </w:tcPr>
          <w:p w14:paraId="646B44E7" w14:textId="77777777" w:rsidR="00B921D9" w:rsidRPr="0007092C" w:rsidRDefault="00B921D9" w:rsidP="00BA0FA5">
            <w:pPr>
              <w:suppressAutoHyphens w:val="0"/>
              <w:spacing w:before="60" w:after="60" w:line="220" w:lineRule="atLeast"/>
              <w:ind w:left="57" w:right="57"/>
              <w:jc w:val="right"/>
              <w:rPr>
                <w:noProof/>
                <w:sz w:val="18"/>
                <w:lang w:val="fr-FR"/>
              </w:rPr>
            </w:pPr>
            <w:r w:rsidRPr="0007092C">
              <w:rPr>
                <w:noProof/>
                <w:sz w:val="18"/>
                <w:lang w:val="fr-FR"/>
              </w:rPr>
              <w:t>1,50</w:t>
            </w:r>
          </w:p>
        </w:tc>
      </w:tr>
      <w:tr w:rsidR="00B921D9" w:rsidRPr="0007092C" w14:paraId="3A3EE2AA" w14:textId="77777777" w:rsidTr="00BA0FA5">
        <w:tc>
          <w:tcPr>
            <w:tcW w:w="3685" w:type="dxa"/>
            <w:shd w:val="clear" w:color="auto" w:fill="auto"/>
            <w:noWrap/>
            <w:hideMark/>
          </w:tcPr>
          <w:p w14:paraId="4CC93FC9" w14:textId="77777777" w:rsidR="00B921D9" w:rsidRPr="0007092C" w:rsidRDefault="00B921D9" w:rsidP="00BA0FA5">
            <w:pPr>
              <w:suppressAutoHyphens w:val="0"/>
              <w:spacing w:before="60" w:after="60" w:line="220" w:lineRule="atLeast"/>
              <w:ind w:left="57" w:right="57"/>
              <w:rPr>
                <w:noProof/>
                <w:sz w:val="18"/>
                <w:vertAlign w:val="superscript"/>
                <w:lang w:val="fr-FR"/>
              </w:rPr>
            </w:pPr>
            <w:r w:rsidRPr="0007092C">
              <w:rPr>
                <w:noProof/>
                <w:sz w:val="18"/>
                <w:lang w:val="fr-FR"/>
              </w:rPr>
              <w:t>NMHC</w:t>
            </w:r>
            <w:r w:rsidRPr="00B12766">
              <w:rPr>
                <w:b/>
                <w:bCs/>
                <w:i/>
                <w:iCs/>
                <w:noProof/>
                <w:sz w:val="18"/>
                <w:vertAlign w:val="superscript"/>
                <w:lang w:val="fr-FR"/>
              </w:rPr>
              <w:t>2</w:t>
            </w:r>
          </w:p>
        </w:tc>
        <w:tc>
          <w:tcPr>
            <w:tcW w:w="3685" w:type="dxa"/>
            <w:shd w:val="clear" w:color="auto" w:fill="auto"/>
            <w:noWrap/>
            <w:vAlign w:val="bottom"/>
            <w:hideMark/>
          </w:tcPr>
          <w:p w14:paraId="5FA0E35A" w14:textId="77777777" w:rsidR="00B921D9" w:rsidRPr="0007092C" w:rsidRDefault="00B921D9" w:rsidP="00BA0FA5">
            <w:pPr>
              <w:suppressAutoHyphens w:val="0"/>
              <w:spacing w:before="60" w:after="60" w:line="220" w:lineRule="atLeast"/>
              <w:ind w:left="57" w:right="57"/>
              <w:jc w:val="right"/>
              <w:rPr>
                <w:noProof/>
                <w:sz w:val="18"/>
                <w:lang w:val="fr-FR"/>
              </w:rPr>
            </w:pPr>
            <w:r w:rsidRPr="0007092C">
              <w:rPr>
                <w:noProof/>
                <w:sz w:val="18"/>
                <w:lang w:val="fr-FR"/>
              </w:rPr>
              <w:t>1,50</w:t>
            </w:r>
          </w:p>
        </w:tc>
      </w:tr>
      <w:tr w:rsidR="00B921D9" w:rsidRPr="0007092C" w14:paraId="7FF5A074" w14:textId="77777777" w:rsidTr="00BA0FA5">
        <w:tc>
          <w:tcPr>
            <w:tcW w:w="3685" w:type="dxa"/>
            <w:shd w:val="clear" w:color="auto" w:fill="auto"/>
            <w:noWrap/>
            <w:hideMark/>
          </w:tcPr>
          <w:p w14:paraId="198A6DF9" w14:textId="77777777" w:rsidR="00B921D9" w:rsidRPr="0007092C" w:rsidRDefault="00B921D9" w:rsidP="00BA0FA5">
            <w:pPr>
              <w:suppressAutoHyphens w:val="0"/>
              <w:spacing w:before="60" w:after="60" w:line="220" w:lineRule="atLeast"/>
              <w:ind w:left="57" w:right="57"/>
              <w:rPr>
                <w:noProof/>
                <w:sz w:val="18"/>
                <w:vertAlign w:val="superscript"/>
                <w:lang w:val="fr-FR"/>
              </w:rPr>
            </w:pPr>
            <w:r w:rsidRPr="0007092C">
              <w:rPr>
                <w:noProof/>
                <w:sz w:val="18"/>
                <w:lang w:val="fr-FR"/>
              </w:rPr>
              <w:t>CH</w:t>
            </w:r>
            <w:r w:rsidRPr="0007092C">
              <w:rPr>
                <w:noProof/>
                <w:sz w:val="18"/>
                <w:vertAlign w:val="subscript"/>
                <w:lang w:val="fr-FR"/>
              </w:rPr>
              <w:t>4</w:t>
            </w:r>
            <w:r w:rsidRPr="00B12766">
              <w:rPr>
                <w:b/>
                <w:bCs/>
                <w:i/>
                <w:iCs/>
                <w:noProof/>
                <w:sz w:val="18"/>
                <w:vertAlign w:val="superscript"/>
                <w:lang w:val="fr-FR"/>
              </w:rPr>
              <w:t>2</w:t>
            </w:r>
          </w:p>
        </w:tc>
        <w:tc>
          <w:tcPr>
            <w:tcW w:w="3685" w:type="dxa"/>
            <w:shd w:val="clear" w:color="auto" w:fill="auto"/>
            <w:noWrap/>
            <w:vAlign w:val="bottom"/>
            <w:hideMark/>
          </w:tcPr>
          <w:p w14:paraId="6EA9B79B" w14:textId="77777777" w:rsidR="00B921D9" w:rsidRPr="0007092C" w:rsidRDefault="00B921D9" w:rsidP="00BA0FA5">
            <w:pPr>
              <w:suppressAutoHyphens w:val="0"/>
              <w:spacing w:before="60" w:after="60" w:line="220" w:lineRule="atLeast"/>
              <w:ind w:left="57" w:right="57"/>
              <w:jc w:val="right"/>
              <w:rPr>
                <w:noProof/>
                <w:sz w:val="18"/>
                <w:lang w:val="fr-FR"/>
              </w:rPr>
            </w:pPr>
            <w:r w:rsidRPr="0007092C">
              <w:rPr>
                <w:noProof/>
                <w:sz w:val="18"/>
                <w:lang w:val="fr-FR"/>
              </w:rPr>
              <w:t>1,50</w:t>
            </w:r>
          </w:p>
        </w:tc>
      </w:tr>
      <w:tr w:rsidR="00B921D9" w:rsidRPr="0007092C" w14:paraId="488CC9D5" w14:textId="77777777" w:rsidTr="00BA0FA5">
        <w:tc>
          <w:tcPr>
            <w:tcW w:w="3685" w:type="dxa"/>
            <w:shd w:val="clear" w:color="auto" w:fill="auto"/>
            <w:noWrap/>
            <w:hideMark/>
          </w:tcPr>
          <w:p w14:paraId="0D1978C1" w14:textId="77777777" w:rsidR="00B921D9" w:rsidRPr="0007092C" w:rsidRDefault="00B921D9" w:rsidP="00BA0FA5">
            <w:pPr>
              <w:suppressAutoHyphens w:val="0"/>
              <w:spacing w:before="60" w:after="60" w:line="220" w:lineRule="atLeast"/>
              <w:ind w:left="57" w:right="57"/>
              <w:rPr>
                <w:noProof/>
                <w:sz w:val="18"/>
                <w:lang w:val="fr-FR"/>
              </w:rPr>
            </w:pPr>
            <w:r w:rsidRPr="0007092C">
              <w:rPr>
                <w:noProof/>
                <w:sz w:val="18"/>
                <w:lang w:val="fr-FR"/>
              </w:rPr>
              <w:t>NO</w:t>
            </w:r>
            <w:r w:rsidRPr="0007092C">
              <w:rPr>
                <w:noProof/>
                <w:sz w:val="18"/>
                <w:vertAlign w:val="subscript"/>
                <w:lang w:val="fr-FR"/>
              </w:rPr>
              <w:t>x</w:t>
            </w:r>
          </w:p>
        </w:tc>
        <w:tc>
          <w:tcPr>
            <w:tcW w:w="3685" w:type="dxa"/>
            <w:shd w:val="clear" w:color="auto" w:fill="auto"/>
            <w:noWrap/>
            <w:vAlign w:val="bottom"/>
            <w:hideMark/>
          </w:tcPr>
          <w:p w14:paraId="253A4C45" w14:textId="77777777" w:rsidR="00B921D9" w:rsidRPr="0007092C" w:rsidRDefault="00B921D9" w:rsidP="00BA0FA5">
            <w:pPr>
              <w:suppressAutoHyphens w:val="0"/>
              <w:spacing w:before="60" w:after="60" w:line="220" w:lineRule="atLeast"/>
              <w:ind w:left="57" w:right="57"/>
              <w:jc w:val="right"/>
              <w:rPr>
                <w:noProof/>
                <w:sz w:val="18"/>
                <w:lang w:val="fr-FR"/>
              </w:rPr>
            </w:pPr>
            <w:r w:rsidRPr="0007092C">
              <w:rPr>
                <w:noProof/>
                <w:sz w:val="18"/>
                <w:lang w:val="fr-FR"/>
              </w:rPr>
              <w:t>1,50</w:t>
            </w:r>
          </w:p>
        </w:tc>
      </w:tr>
      <w:tr w:rsidR="00B921D9" w:rsidRPr="0007092C" w14:paraId="7D01A3D1" w14:textId="77777777" w:rsidTr="00BA0FA5">
        <w:tc>
          <w:tcPr>
            <w:tcW w:w="3685" w:type="dxa"/>
            <w:shd w:val="clear" w:color="auto" w:fill="auto"/>
            <w:noWrap/>
            <w:hideMark/>
          </w:tcPr>
          <w:p w14:paraId="5C27D741" w14:textId="77777777" w:rsidR="00B921D9" w:rsidRPr="0007092C" w:rsidRDefault="00B921D9" w:rsidP="00BA0FA5">
            <w:pPr>
              <w:suppressAutoHyphens w:val="0"/>
              <w:spacing w:before="60" w:after="60" w:line="220" w:lineRule="atLeast"/>
              <w:ind w:left="57" w:right="57"/>
              <w:rPr>
                <w:strike/>
                <w:noProof/>
                <w:sz w:val="18"/>
                <w:lang w:val="fr-FR"/>
              </w:rPr>
            </w:pPr>
            <w:r w:rsidRPr="0007092C">
              <w:rPr>
                <w:strike/>
                <w:noProof/>
                <w:sz w:val="18"/>
                <w:lang w:val="fr-FR"/>
              </w:rPr>
              <w:t>Masse PM</w:t>
            </w:r>
          </w:p>
        </w:tc>
        <w:tc>
          <w:tcPr>
            <w:tcW w:w="3685" w:type="dxa"/>
            <w:shd w:val="clear" w:color="auto" w:fill="auto"/>
            <w:noWrap/>
            <w:vAlign w:val="bottom"/>
            <w:hideMark/>
          </w:tcPr>
          <w:p w14:paraId="7F79C182" w14:textId="77777777" w:rsidR="00B921D9" w:rsidRPr="0007092C" w:rsidRDefault="00B921D9" w:rsidP="00BA0FA5">
            <w:pPr>
              <w:suppressAutoHyphens w:val="0"/>
              <w:spacing w:before="60" w:after="60" w:line="220" w:lineRule="atLeast"/>
              <w:ind w:left="57" w:right="57"/>
              <w:jc w:val="right"/>
              <w:rPr>
                <w:strike/>
                <w:noProof/>
                <w:sz w:val="18"/>
                <w:lang w:val="fr-FR"/>
              </w:rPr>
            </w:pPr>
            <w:r w:rsidRPr="0007092C">
              <w:rPr>
                <w:strike/>
                <w:noProof/>
                <w:sz w:val="18"/>
                <w:lang w:val="fr-FR"/>
              </w:rPr>
              <w:t>-</w:t>
            </w:r>
          </w:p>
        </w:tc>
      </w:tr>
      <w:tr w:rsidR="0007092C" w:rsidRPr="0007092C" w14:paraId="348E0E55" w14:textId="77777777" w:rsidTr="00BA0FA5">
        <w:tc>
          <w:tcPr>
            <w:tcW w:w="3685" w:type="dxa"/>
            <w:shd w:val="clear" w:color="auto" w:fill="auto"/>
            <w:noWrap/>
            <w:hideMark/>
          </w:tcPr>
          <w:p w14:paraId="42F6720D" w14:textId="77777777" w:rsidR="00B921D9" w:rsidRPr="0007092C" w:rsidRDefault="00B921D9" w:rsidP="00BA0FA5">
            <w:pPr>
              <w:keepNext/>
              <w:suppressAutoHyphens w:val="0"/>
              <w:spacing w:before="60" w:after="60" w:line="220" w:lineRule="atLeast"/>
              <w:ind w:left="57" w:right="57"/>
              <w:rPr>
                <w:noProof/>
                <w:sz w:val="18"/>
                <w:lang w:val="fr-FR"/>
              </w:rPr>
            </w:pPr>
            <w:r w:rsidRPr="0007092C">
              <w:rPr>
                <w:noProof/>
                <w:sz w:val="18"/>
                <w:lang w:val="fr-FR"/>
              </w:rPr>
              <w:lastRenderedPageBreak/>
              <w:t>Nombre PM</w:t>
            </w:r>
          </w:p>
        </w:tc>
        <w:tc>
          <w:tcPr>
            <w:tcW w:w="3685" w:type="dxa"/>
            <w:shd w:val="clear" w:color="auto" w:fill="auto"/>
            <w:noWrap/>
            <w:vAlign w:val="bottom"/>
            <w:hideMark/>
          </w:tcPr>
          <w:p w14:paraId="03823092" w14:textId="77777777" w:rsidR="00B921D9" w:rsidRPr="0007092C" w:rsidRDefault="00B921D9" w:rsidP="00BA0FA5">
            <w:pPr>
              <w:keepNext/>
              <w:suppressAutoHyphens w:val="0"/>
              <w:spacing w:before="60" w:after="60" w:line="220" w:lineRule="atLeast"/>
              <w:ind w:left="57" w:right="57"/>
              <w:jc w:val="right"/>
              <w:rPr>
                <w:noProof/>
                <w:sz w:val="18"/>
                <w:lang w:val="fr-FR"/>
              </w:rPr>
            </w:pPr>
            <w:r w:rsidRPr="0007092C">
              <w:rPr>
                <w:b/>
                <w:bCs/>
                <w:noProof/>
                <w:sz w:val="18"/>
                <w:lang w:val="fr-FR"/>
              </w:rPr>
              <w:t>1,63</w:t>
            </w:r>
            <w:r w:rsidRPr="00F72B31">
              <w:rPr>
                <w:b/>
                <w:bCs/>
                <w:i/>
                <w:iCs/>
                <w:noProof/>
                <w:sz w:val="18"/>
                <w:vertAlign w:val="superscript"/>
                <w:lang w:val="fr-FR"/>
              </w:rPr>
              <w:t>3</w:t>
            </w:r>
            <w:r w:rsidRPr="0007092C">
              <w:rPr>
                <w:b/>
                <w:bCs/>
                <w:noProof/>
                <w:sz w:val="18"/>
                <w:lang w:val="fr-FR"/>
              </w:rPr>
              <w:t>-</w:t>
            </w:r>
          </w:p>
        </w:tc>
      </w:tr>
    </w:tbl>
    <w:p w14:paraId="48C89CAF" w14:textId="77777777" w:rsidR="00B921D9" w:rsidRPr="00BA0FA5" w:rsidRDefault="00B921D9" w:rsidP="0007092C">
      <w:pPr>
        <w:spacing w:before="120"/>
        <w:ind w:left="2410" w:right="1134" w:firstLine="170"/>
        <w:rPr>
          <w:b/>
          <w:bCs/>
          <w:sz w:val="18"/>
          <w:szCs w:val="18"/>
          <w:lang w:val="fr-FR" w:eastAsia="fi-FI"/>
        </w:rPr>
      </w:pPr>
      <w:r w:rsidRPr="00B12766">
        <w:rPr>
          <w:b/>
          <w:bCs/>
          <w:i/>
          <w:iCs/>
          <w:sz w:val="18"/>
          <w:szCs w:val="18"/>
          <w:vertAlign w:val="superscript"/>
          <w:lang w:val="fr-FR" w:eastAsia="fi-FI"/>
        </w:rPr>
        <w:t>1</w:t>
      </w:r>
      <w:r w:rsidR="0007092C" w:rsidRPr="00BA0FA5">
        <w:rPr>
          <w:b/>
          <w:bCs/>
          <w:sz w:val="18"/>
          <w:szCs w:val="18"/>
          <w:lang w:val="fr-FR" w:eastAsia="fi-FI"/>
        </w:rPr>
        <w:t xml:space="preserve">  </w:t>
      </w:r>
      <w:r w:rsidRPr="00BA0FA5">
        <w:rPr>
          <w:b/>
          <w:bCs/>
          <w:sz w:val="18"/>
          <w:szCs w:val="18"/>
          <w:lang w:val="fr-FR" w:eastAsia="fi-FI"/>
        </w:rPr>
        <w:t>Pour les moteurs à allumage par compression</w:t>
      </w:r>
      <w:r w:rsidR="00F72B31" w:rsidRPr="00F72B31">
        <w:rPr>
          <w:b/>
          <w:bCs/>
          <w:sz w:val="18"/>
          <w:szCs w:val="18"/>
          <w:lang w:val="fr-FR" w:eastAsia="fi-FI"/>
        </w:rPr>
        <w:t>.</w:t>
      </w:r>
    </w:p>
    <w:p w14:paraId="532FBC31" w14:textId="77777777" w:rsidR="00B921D9" w:rsidRPr="00BA0FA5" w:rsidRDefault="00B921D9" w:rsidP="0007092C">
      <w:pPr>
        <w:ind w:left="2410" w:right="1134" w:firstLine="170"/>
        <w:rPr>
          <w:b/>
          <w:bCs/>
          <w:sz w:val="18"/>
          <w:szCs w:val="18"/>
          <w:lang w:val="fr-FR" w:eastAsia="fi-FI"/>
        </w:rPr>
      </w:pPr>
      <w:r w:rsidRPr="00B12766">
        <w:rPr>
          <w:b/>
          <w:bCs/>
          <w:i/>
          <w:iCs/>
          <w:sz w:val="18"/>
          <w:szCs w:val="18"/>
          <w:vertAlign w:val="superscript"/>
          <w:lang w:val="fr-FR" w:eastAsia="fi-FI"/>
        </w:rPr>
        <w:t>2</w:t>
      </w:r>
      <w:r w:rsidR="0007092C" w:rsidRPr="00BA0FA5">
        <w:rPr>
          <w:b/>
          <w:bCs/>
          <w:sz w:val="18"/>
          <w:szCs w:val="18"/>
          <w:lang w:val="fr-FR" w:eastAsia="fi-FI"/>
        </w:rPr>
        <w:t xml:space="preserve">  </w:t>
      </w:r>
      <w:r w:rsidRPr="00BA0FA5">
        <w:rPr>
          <w:b/>
          <w:bCs/>
          <w:sz w:val="18"/>
          <w:szCs w:val="18"/>
          <w:lang w:val="fr-FR" w:eastAsia="fi-FI"/>
        </w:rPr>
        <w:t>Pour les moteurs à allumage commandé</w:t>
      </w:r>
      <w:r w:rsidR="00F72B31" w:rsidRPr="00F72B31">
        <w:rPr>
          <w:b/>
          <w:bCs/>
          <w:sz w:val="18"/>
          <w:szCs w:val="18"/>
          <w:lang w:val="fr-FR" w:eastAsia="fi-FI"/>
        </w:rPr>
        <w:t>.</w:t>
      </w:r>
    </w:p>
    <w:p w14:paraId="69537CBD" w14:textId="77777777" w:rsidR="00B921D9" w:rsidRPr="00BA0FA5" w:rsidRDefault="00B921D9" w:rsidP="0007092C">
      <w:pPr>
        <w:tabs>
          <w:tab w:val="left" w:pos="2410"/>
        </w:tabs>
        <w:spacing w:after="240"/>
        <w:ind w:left="2410" w:right="567" w:firstLine="170"/>
        <w:rPr>
          <w:b/>
          <w:bCs/>
          <w:sz w:val="18"/>
          <w:szCs w:val="18"/>
          <w:lang w:val="fr-FR" w:eastAsia="fi-FI"/>
        </w:rPr>
      </w:pPr>
      <w:r w:rsidRPr="00B12766">
        <w:rPr>
          <w:b/>
          <w:bCs/>
          <w:i/>
          <w:iCs/>
          <w:sz w:val="18"/>
          <w:szCs w:val="18"/>
          <w:vertAlign w:val="superscript"/>
          <w:lang w:val="fr-FR" w:eastAsia="fi-FI"/>
        </w:rPr>
        <w:t>3</w:t>
      </w:r>
      <w:r w:rsidR="0007092C" w:rsidRPr="00BA0FA5">
        <w:rPr>
          <w:b/>
          <w:bCs/>
          <w:sz w:val="18"/>
          <w:szCs w:val="18"/>
          <w:lang w:val="fr-FR" w:eastAsia="fi-FI"/>
        </w:rPr>
        <w:t xml:space="preserve"> </w:t>
      </w:r>
      <w:r w:rsidR="00BA0FA5">
        <w:rPr>
          <w:b/>
          <w:bCs/>
          <w:sz w:val="18"/>
          <w:szCs w:val="18"/>
          <w:lang w:val="fr-FR" w:eastAsia="fi-FI"/>
        </w:rPr>
        <w:t xml:space="preserve"> </w:t>
      </w:r>
      <w:r w:rsidRPr="00BA0FA5">
        <w:rPr>
          <w:b/>
          <w:bCs/>
          <w:sz w:val="18"/>
          <w:szCs w:val="18"/>
          <w:lang w:val="fr-FR" w:eastAsia="fi-FI"/>
        </w:rPr>
        <w:t>Sous réserve des dispositions transitoires prévues au</w:t>
      </w:r>
      <w:r w:rsidR="0007092C" w:rsidRPr="00BA0FA5">
        <w:rPr>
          <w:b/>
          <w:bCs/>
          <w:sz w:val="18"/>
          <w:szCs w:val="18"/>
          <w:lang w:val="fr-FR" w:eastAsia="fi-FI"/>
        </w:rPr>
        <w:t xml:space="preserve"> </w:t>
      </w:r>
      <w:r w:rsidRPr="00BA0FA5">
        <w:rPr>
          <w:b/>
          <w:bCs/>
          <w:sz w:val="18"/>
          <w:szCs w:val="18"/>
          <w:lang w:val="fr-FR" w:eastAsia="fi-FI"/>
        </w:rPr>
        <w:t>paragraphe 13</w:t>
      </w:r>
      <w:r w:rsidR="00F72B31" w:rsidRPr="00F72B31">
        <w:rPr>
          <w:b/>
          <w:bCs/>
          <w:sz w:val="18"/>
          <w:szCs w:val="18"/>
          <w:lang w:val="fr-FR" w:eastAsia="fi-FI"/>
        </w:rPr>
        <w:t>.</w:t>
      </w:r>
      <w:r w:rsidRPr="00BA0FA5">
        <w:rPr>
          <w:b/>
          <w:bCs/>
          <w:sz w:val="18"/>
          <w:szCs w:val="18"/>
          <w:lang w:val="fr-FR" w:eastAsia="fi-FI"/>
        </w:rPr>
        <w:t>2</w:t>
      </w:r>
      <w:r w:rsidR="0007092C" w:rsidRPr="00BA0FA5">
        <w:rPr>
          <w:b/>
          <w:bCs/>
          <w:sz w:val="18"/>
          <w:szCs w:val="18"/>
          <w:lang w:val="fr-FR" w:eastAsia="fi-FI"/>
        </w:rPr>
        <w:t> </w:t>
      </w:r>
      <w:r w:rsidR="00B12766">
        <w:rPr>
          <w:b/>
          <w:bCs/>
          <w:sz w:val="18"/>
          <w:szCs w:val="18"/>
          <w:lang w:val="fr-FR" w:eastAsia="fi-FI"/>
        </w:rPr>
        <w:br/>
      </w:r>
      <w:r w:rsidRPr="00BA0FA5">
        <w:rPr>
          <w:b/>
          <w:bCs/>
          <w:sz w:val="18"/>
          <w:szCs w:val="18"/>
          <w:lang w:val="fr-FR" w:eastAsia="fi-FI"/>
        </w:rPr>
        <w:t>du</w:t>
      </w:r>
      <w:r w:rsidR="0007092C" w:rsidRPr="00BA0FA5">
        <w:rPr>
          <w:b/>
          <w:bCs/>
          <w:sz w:val="18"/>
          <w:szCs w:val="18"/>
          <w:lang w:val="fr-FR" w:eastAsia="fi-FI"/>
        </w:rPr>
        <w:t> </w:t>
      </w:r>
      <w:r w:rsidRPr="00BA0FA5">
        <w:rPr>
          <w:b/>
          <w:bCs/>
          <w:sz w:val="18"/>
          <w:szCs w:val="18"/>
          <w:lang w:val="fr-FR" w:eastAsia="fi-FI"/>
        </w:rPr>
        <w:t>présent Règlement</w:t>
      </w:r>
      <w:r w:rsidR="00F72B31" w:rsidRPr="00F72B31">
        <w:rPr>
          <w:b/>
          <w:bCs/>
          <w:sz w:val="18"/>
          <w:szCs w:val="18"/>
          <w:lang w:val="fr-FR" w:eastAsia="fi-FI"/>
        </w:rPr>
        <w:t>.</w:t>
      </w:r>
    </w:p>
    <w:p w14:paraId="42E54FCD" w14:textId="77777777" w:rsidR="00B921D9" w:rsidRPr="00E773DC" w:rsidRDefault="00B921D9" w:rsidP="00B921D9">
      <w:pPr>
        <w:pStyle w:val="SingleTxtG"/>
        <w:tabs>
          <w:tab w:val="left" w:pos="2410"/>
        </w:tabs>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8</w:t>
      </w:r>
      <w:r w:rsidR="00F72B31" w:rsidRPr="00F72B31">
        <w:rPr>
          <w:i/>
          <w:lang w:val="fr-FR" w:eastAsia="de-DE"/>
        </w:rPr>
        <w:t>.</w:t>
      </w:r>
      <w:r w:rsidRPr="00E773DC">
        <w:rPr>
          <w:i/>
          <w:lang w:val="fr-FR" w:eastAsia="de-DE"/>
        </w:rPr>
        <w:t>5</w:t>
      </w:r>
      <w:r>
        <w:rPr>
          <w:i/>
          <w:lang w:val="fr-FR" w:eastAsia="de-DE"/>
        </w:rPr>
        <w:t xml:space="preserve"> a</w:t>
      </w:r>
      <w:r w:rsidR="00B12766" w:rsidRPr="00B12766">
        <w:rPr>
          <w:iCs/>
          <w:lang w:val="fr-FR" w:eastAsia="de-DE"/>
        </w:rPr>
        <w:t>,</w:t>
      </w:r>
      <w:r w:rsidRPr="00E773DC">
        <w:rPr>
          <w:i/>
          <w:lang w:val="fr-FR" w:eastAsia="de-DE"/>
        </w:rPr>
        <w:t xml:space="preserve"> comme </w:t>
      </w:r>
      <w:r w:rsidRPr="00E773DC">
        <w:rPr>
          <w:lang w:val="fr-FR" w:eastAsia="de-DE"/>
        </w:rPr>
        <w:t xml:space="preserve">suit : </w:t>
      </w:r>
    </w:p>
    <w:p w14:paraId="72334FF3"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8</w:t>
      </w:r>
      <w:r w:rsidR="00F72B31" w:rsidRPr="00F72B31">
        <w:rPr>
          <w:b/>
          <w:bCs/>
          <w:lang w:val="fr-FR"/>
        </w:rPr>
        <w:t>.</w:t>
      </w:r>
      <w:r w:rsidRPr="00E773DC">
        <w:rPr>
          <w:b/>
          <w:bCs/>
          <w:lang w:val="fr-FR"/>
        </w:rPr>
        <w:t>5</w:t>
      </w:r>
      <w:r>
        <w:rPr>
          <w:b/>
          <w:bCs/>
          <w:lang w:val="fr-FR"/>
        </w:rPr>
        <w:t xml:space="preserve"> </w:t>
      </w:r>
      <w:r w:rsidRPr="00E773DC">
        <w:rPr>
          <w:b/>
          <w:bCs/>
          <w:lang w:val="fr-FR"/>
        </w:rPr>
        <w:t>a</w:t>
      </w:r>
      <w:r w:rsidRPr="00E773DC">
        <w:rPr>
          <w:b/>
          <w:bCs/>
          <w:lang w:val="fr-FR"/>
        </w:rPr>
        <w:tab/>
        <w:t>Concentration de particules</w:t>
      </w:r>
      <w:r w:rsidRPr="009D4B02">
        <w:rPr>
          <w:b/>
          <w:bCs/>
          <w:lang w:val="fr-FR"/>
        </w:rPr>
        <w:t>, en nombre</w:t>
      </w:r>
      <w:r w:rsidRPr="00E773DC">
        <w:rPr>
          <w:b/>
          <w:bCs/>
          <w:lang w:val="fr-FR"/>
        </w:rPr>
        <w:t xml:space="preserve"> [#/cm</w:t>
      </w:r>
      <w:r w:rsidRPr="00AB7D58">
        <w:rPr>
          <w:b/>
          <w:bCs/>
          <w:vertAlign w:val="superscript"/>
          <w:lang w:val="fr-FR"/>
        </w:rPr>
        <w:t>3</w:t>
      </w:r>
      <w:r w:rsidRPr="00E773DC">
        <w:rPr>
          <w:b/>
          <w:bCs/>
          <w:lang w:val="fr-FR"/>
        </w:rPr>
        <w:t>]</w:t>
      </w:r>
      <w:r>
        <w:rPr>
          <w:b/>
          <w:bCs/>
          <w:lang w:val="fr-FR"/>
        </w:rPr>
        <w:t> ;</w:t>
      </w:r>
      <w:r w:rsidRPr="00E773DC">
        <w:rPr>
          <w:lang w:val="fr-FR"/>
        </w:rPr>
        <w:t> »</w:t>
      </w:r>
      <w:r w:rsidR="00F72B31" w:rsidRPr="00F72B31">
        <w:rPr>
          <w:lang w:val="fr-FR"/>
        </w:rPr>
        <w:t>.</w:t>
      </w:r>
    </w:p>
    <w:p w14:paraId="358F0D5F"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9</w:t>
      </w:r>
      <w:r w:rsidR="00F72B31" w:rsidRPr="00F72B31">
        <w:rPr>
          <w:i/>
          <w:lang w:val="fr-FR" w:eastAsia="de-DE"/>
        </w:rPr>
        <w:t>.</w:t>
      </w:r>
      <w:r w:rsidRPr="00E773DC">
        <w:rPr>
          <w:i/>
          <w:lang w:val="fr-FR" w:eastAsia="de-DE"/>
        </w:rPr>
        <w:t>5</w:t>
      </w:r>
      <w:r>
        <w:rPr>
          <w:i/>
          <w:lang w:val="fr-FR" w:eastAsia="de-DE"/>
        </w:rPr>
        <w:t xml:space="preserve"> a</w:t>
      </w:r>
      <w:r w:rsidRPr="00B12766">
        <w:rPr>
          <w:iCs/>
          <w:lang w:val="fr-FR" w:eastAsia="de-DE"/>
        </w:rPr>
        <w:t>,</w:t>
      </w:r>
      <w:r w:rsidRPr="00E773DC">
        <w:rPr>
          <w:i/>
          <w:lang w:val="fr-FR" w:eastAsia="de-DE"/>
        </w:rPr>
        <w:t xml:space="preserve"> </w:t>
      </w:r>
      <w:r w:rsidRPr="00E773DC">
        <w:rPr>
          <w:lang w:val="fr-FR" w:eastAsia="de-DE"/>
        </w:rPr>
        <w:t>libellé comme suit :</w:t>
      </w:r>
    </w:p>
    <w:p w14:paraId="4C00C529"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9</w:t>
      </w:r>
      <w:r w:rsidR="00F72B31" w:rsidRPr="00F72B31">
        <w:rPr>
          <w:b/>
          <w:bCs/>
          <w:lang w:val="fr-FR"/>
        </w:rPr>
        <w:t>.</w:t>
      </w:r>
      <w:r w:rsidRPr="00E773DC">
        <w:rPr>
          <w:b/>
          <w:bCs/>
          <w:lang w:val="fr-FR"/>
        </w:rPr>
        <w:t>5</w:t>
      </w:r>
      <w:r>
        <w:rPr>
          <w:b/>
          <w:bCs/>
          <w:lang w:val="fr-FR"/>
        </w:rPr>
        <w:t xml:space="preserve"> </w:t>
      </w:r>
      <w:r w:rsidRPr="00E773DC">
        <w:rPr>
          <w:b/>
          <w:bCs/>
          <w:lang w:val="fr-FR"/>
        </w:rPr>
        <w:t>a</w:t>
      </w:r>
      <w:r w:rsidRPr="00E773DC">
        <w:rPr>
          <w:b/>
          <w:bCs/>
          <w:lang w:val="fr-FR"/>
        </w:rPr>
        <w:tab/>
        <w:t>Flux de particules</w:t>
      </w:r>
      <w:r>
        <w:rPr>
          <w:b/>
          <w:bCs/>
          <w:lang w:val="fr-FR"/>
        </w:rPr>
        <w:t>, en nombre</w:t>
      </w:r>
      <w:r w:rsidRPr="00E773DC">
        <w:rPr>
          <w:b/>
          <w:bCs/>
          <w:lang w:val="fr-FR"/>
        </w:rPr>
        <w:t xml:space="preserve"> [#/s]</w:t>
      </w:r>
      <w:r>
        <w:rPr>
          <w:b/>
          <w:bCs/>
          <w:lang w:val="fr-FR"/>
        </w:rPr>
        <w:t> ;</w:t>
      </w:r>
      <w:r w:rsidRPr="00E773DC">
        <w:rPr>
          <w:lang w:val="fr-FR"/>
        </w:rPr>
        <w:t> »</w:t>
      </w:r>
      <w:r w:rsidR="00F72B31" w:rsidRPr="00F72B31">
        <w:rPr>
          <w:lang w:val="fr-FR"/>
        </w:rPr>
        <w:t>.</w:t>
      </w:r>
    </w:p>
    <w:p w14:paraId="549892F4"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9</w:t>
      </w:r>
      <w:r w:rsidR="00F72B31" w:rsidRPr="00F72B31">
        <w:rPr>
          <w:i/>
          <w:lang w:val="fr-FR" w:eastAsia="de-DE"/>
        </w:rPr>
        <w:t>.</w:t>
      </w:r>
      <w:r w:rsidRPr="00E773DC">
        <w:rPr>
          <w:i/>
          <w:lang w:val="fr-FR" w:eastAsia="de-DE"/>
        </w:rPr>
        <w:t xml:space="preserve">10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7C4A8B68"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9</w:t>
      </w:r>
      <w:r w:rsidR="00F72B31" w:rsidRPr="00F72B31">
        <w:rPr>
          <w:b/>
          <w:bCs/>
          <w:lang w:val="fr-FR"/>
        </w:rPr>
        <w:t>.</w:t>
      </w:r>
      <w:r w:rsidRPr="00E773DC">
        <w:rPr>
          <w:b/>
          <w:bCs/>
          <w:lang w:val="fr-FR"/>
        </w:rPr>
        <w:t>10</w:t>
      </w:r>
      <w:r>
        <w:rPr>
          <w:b/>
          <w:bCs/>
          <w:lang w:val="fr-FR"/>
        </w:rPr>
        <w:t xml:space="preserve"> </w:t>
      </w:r>
      <w:r w:rsidRPr="00E773DC">
        <w:rPr>
          <w:b/>
          <w:bCs/>
          <w:lang w:val="fr-FR"/>
        </w:rPr>
        <w:t>a</w:t>
      </w:r>
      <w:r w:rsidRPr="00E773DC">
        <w:rPr>
          <w:b/>
          <w:bCs/>
          <w:lang w:val="fr-FR"/>
        </w:rPr>
        <w:tab/>
      </w:r>
      <w:r>
        <w:rPr>
          <w:b/>
          <w:bCs/>
          <w:lang w:val="fr-FR"/>
        </w:rPr>
        <w:t>N</w:t>
      </w:r>
      <w:r w:rsidRPr="001228DF">
        <w:rPr>
          <w:b/>
          <w:bCs/>
          <w:lang w:val="fr-FR"/>
        </w:rPr>
        <w:t>ombre</w:t>
      </w:r>
      <w:r>
        <w:rPr>
          <w:b/>
          <w:bCs/>
          <w:lang w:val="fr-FR"/>
        </w:rPr>
        <w:t xml:space="preserve"> de</w:t>
      </w:r>
      <w:r w:rsidRPr="00E773DC">
        <w:rPr>
          <w:b/>
          <w:bCs/>
          <w:lang w:val="fr-FR"/>
        </w:rPr>
        <w:t xml:space="preserve"> </w:t>
      </w:r>
      <w:r w:rsidRPr="001228DF">
        <w:rPr>
          <w:b/>
          <w:bCs/>
          <w:lang w:val="fr-FR"/>
        </w:rPr>
        <w:t xml:space="preserve">particules </w:t>
      </w:r>
      <w:r w:rsidRPr="00E773DC">
        <w:rPr>
          <w:b/>
          <w:bCs/>
          <w:lang w:val="fr-FR"/>
        </w:rPr>
        <w:t>[#]</w:t>
      </w:r>
      <w:r>
        <w:rPr>
          <w:b/>
          <w:bCs/>
          <w:lang w:val="fr-FR"/>
        </w:rPr>
        <w:t> ;</w:t>
      </w:r>
      <w:r w:rsidRPr="00E773DC">
        <w:rPr>
          <w:lang w:val="fr-FR"/>
        </w:rPr>
        <w:t> »</w:t>
      </w:r>
      <w:r w:rsidR="00F72B31" w:rsidRPr="00F72B31">
        <w:rPr>
          <w:lang w:val="fr-FR"/>
        </w:rPr>
        <w:t>.</w:t>
      </w:r>
    </w:p>
    <w:p w14:paraId="52D2FCC8"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9</w:t>
      </w:r>
      <w:r w:rsidR="00F72B31" w:rsidRPr="00F72B31">
        <w:rPr>
          <w:i/>
          <w:lang w:val="fr-FR" w:eastAsia="de-DE"/>
        </w:rPr>
        <w:t>.</w:t>
      </w:r>
      <w:r w:rsidRPr="00E773DC">
        <w:rPr>
          <w:i/>
          <w:lang w:val="fr-FR" w:eastAsia="de-DE"/>
        </w:rPr>
        <w:t xml:space="preserve">19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033862FF"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9</w:t>
      </w:r>
      <w:r w:rsidR="00F72B31" w:rsidRPr="00F72B31">
        <w:rPr>
          <w:b/>
          <w:bCs/>
          <w:lang w:val="fr-FR"/>
        </w:rPr>
        <w:t>.</w:t>
      </w:r>
      <w:r w:rsidRPr="00E773DC">
        <w:rPr>
          <w:b/>
          <w:bCs/>
          <w:lang w:val="fr-FR"/>
        </w:rPr>
        <w:t>19</w:t>
      </w:r>
      <w:r>
        <w:rPr>
          <w:b/>
          <w:bCs/>
          <w:lang w:val="fr-FR"/>
        </w:rPr>
        <w:t xml:space="preserve"> </w:t>
      </w:r>
      <w:r w:rsidRPr="00E773DC">
        <w:rPr>
          <w:b/>
          <w:bCs/>
          <w:lang w:val="fr-FR"/>
        </w:rPr>
        <w:t>a</w:t>
      </w:r>
      <w:r w:rsidRPr="00E773DC">
        <w:rPr>
          <w:b/>
          <w:bCs/>
          <w:lang w:val="fr-FR"/>
        </w:rPr>
        <w:tab/>
        <w:t xml:space="preserve">Facteur de conformité du </w:t>
      </w:r>
      <w:r w:rsidRPr="00AB7D58">
        <w:rPr>
          <w:b/>
          <w:bCs/>
          <w:lang w:val="fr-FR"/>
        </w:rPr>
        <w:t xml:space="preserve">nombre de particules </w:t>
      </w:r>
      <w:r w:rsidRPr="00E773DC">
        <w:rPr>
          <w:b/>
          <w:bCs/>
          <w:lang w:val="fr-FR"/>
        </w:rPr>
        <w:t>de la fenêtre de travail [</w:t>
      </w:r>
      <w:r>
        <w:rPr>
          <w:b/>
          <w:bCs/>
          <w:lang w:val="fr-FR"/>
        </w:rPr>
        <w:t>-</w:t>
      </w:r>
      <w:r w:rsidRPr="00E773DC">
        <w:rPr>
          <w:b/>
          <w:bCs/>
          <w:lang w:val="fr-FR"/>
        </w:rPr>
        <w:t>]</w:t>
      </w:r>
      <w:r>
        <w:rPr>
          <w:b/>
          <w:bCs/>
          <w:lang w:val="fr-FR"/>
        </w:rPr>
        <w:t> ;</w:t>
      </w:r>
      <w:r w:rsidRPr="00E773DC">
        <w:rPr>
          <w:lang w:val="fr-FR"/>
        </w:rPr>
        <w:t> »</w:t>
      </w:r>
      <w:r w:rsidR="00F72B31" w:rsidRPr="00F72B31">
        <w:rPr>
          <w:lang w:val="fr-FR"/>
        </w:rPr>
        <w:t>.</w:t>
      </w:r>
    </w:p>
    <w:p w14:paraId="253A780D"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9</w:t>
      </w:r>
      <w:r w:rsidR="00F72B31" w:rsidRPr="00F72B31">
        <w:rPr>
          <w:i/>
          <w:lang w:val="fr-FR" w:eastAsia="de-DE"/>
        </w:rPr>
        <w:t>.</w:t>
      </w:r>
      <w:r w:rsidRPr="00E773DC">
        <w:rPr>
          <w:i/>
          <w:lang w:val="fr-FR" w:eastAsia="de-DE"/>
        </w:rPr>
        <w:t xml:space="preserve">24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4F1C5308"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9</w:t>
      </w:r>
      <w:r w:rsidR="00F72B31" w:rsidRPr="00F72B31">
        <w:rPr>
          <w:b/>
          <w:bCs/>
          <w:lang w:val="fr-FR"/>
        </w:rPr>
        <w:t>.</w:t>
      </w:r>
      <w:r w:rsidRPr="00E773DC">
        <w:rPr>
          <w:b/>
          <w:bCs/>
          <w:lang w:val="fr-FR"/>
        </w:rPr>
        <w:t>24</w:t>
      </w:r>
      <w:r>
        <w:rPr>
          <w:b/>
          <w:bCs/>
          <w:lang w:val="fr-FR"/>
        </w:rPr>
        <w:t xml:space="preserve"> </w:t>
      </w:r>
      <w:r w:rsidRPr="00E773DC">
        <w:rPr>
          <w:b/>
          <w:bCs/>
          <w:lang w:val="fr-FR"/>
        </w:rPr>
        <w:t>a</w:t>
      </w:r>
      <w:r>
        <w:rPr>
          <w:b/>
          <w:bCs/>
          <w:lang w:val="fr-FR"/>
        </w:rPr>
        <w:tab/>
      </w:r>
      <w:r w:rsidRPr="00E773DC">
        <w:rPr>
          <w:b/>
          <w:bCs/>
          <w:lang w:val="fr-FR"/>
        </w:rPr>
        <w:t xml:space="preserve">Facteur de conformité du </w:t>
      </w:r>
      <w:r w:rsidRPr="00AB7D58">
        <w:rPr>
          <w:b/>
          <w:bCs/>
          <w:lang w:val="fr-FR"/>
        </w:rPr>
        <w:t xml:space="preserve">nombre de particules </w:t>
      </w:r>
      <w:r w:rsidRPr="00E773DC">
        <w:rPr>
          <w:b/>
          <w:bCs/>
          <w:lang w:val="fr-FR"/>
        </w:rPr>
        <w:t xml:space="preserve">de la fenêtre de masse du </w:t>
      </w:r>
      <w:r w:rsidRPr="00AB7D58">
        <w:rPr>
          <w:b/>
          <w:bCs/>
          <w:lang w:val="fr-FR"/>
        </w:rPr>
        <w:t>CO</w:t>
      </w:r>
      <w:r w:rsidRPr="00E773DC">
        <w:rPr>
          <w:b/>
          <w:bCs/>
          <w:vertAlign w:val="subscript"/>
          <w:lang w:val="fr-FR"/>
        </w:rPr>
        <w:t xml:space="preserve">2 </w:t>
      </w:r>
      <w:r w:rsidRPr="00E773DC">
        <w:rPr>
          <w:b/>
          <w:bCs/>
          <w:lang w:val="fr-FR"/>
        </w:rPr>
        <w:t>[-]</w:t>
      </w:r>
      <w:r>
        <w:rPr>
          <w:b/>
          <w:bCs/>
          <w:lang w:val="fr-FR"/>
        </w:rPr>
        <w:t> ;</w:t>
      </w:r>
      <w:r w:rsidRPr="00E773DC">
        <w:rPr>
          <w:lang w:val="fr-FR"/>
        </w:rPr>
        <w:t> »</w:t>
      </w:r>
      <w:r w:rsidR="00F72B31" w:rsidRPr="00F72B31">
        <w:rPr>
          <w:lang w:val="fr-FR"/>
        </w:rPr>
        <w:t>.</w:t>
      </w:r>
    </w:p>
    <w:p w14:paraId="0CAA2F41"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10</w:t>
      </w:r>
      <w:r w:rsidR="00F72B31" w:rsidRPr="00F72B31">
        <w:rPr>
          <w:i/>
          <w:lang w:val="fr-FR" w:eastAsia="de-DE"/>
        </w:rPr>
        <w:t>.</w:t>
      </w:r>
      <w:r w:rsidRPr="00E773DC">
        <w:rPr>
          <w:i/>
          <w:lang w:val="fr-FR" w:eastAsia="de-DE"/>
        </w:rPr>
        <w:t xml:space="preserve">12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77E37FD1"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10</w:t>
      </w:r>
      <w:r w:rsidR="00F72B31" w:rsidRPr="00F72B31">
        <w:rPr>
          <w:b/>
          <w:bCs/>
          <w:lang w:val="fr-FR"/>
        </w:rPr>
        <w:t>.</w:t>
      </w:r>
      <w:r w:rsidRPr="00E773DC">
        <w:rPr>
          <w:b/>
          <w:bCs/>
          <w:lang w:val="fr-FR"/>
        </w:rPr>
        <w:t>12</w:t>
      </w:r>
      <w:r>
        <w:rPr>
          <w:b/>
          <w:bCs/>
          <w:lang w:val="fr-FR"/>
        </w:rPr>
        <w:t xml:space="preserve"> </w:t>
      </w:r>
      <w:r w:rsidRPr="00E773DC">
        <w:rPr>
          <w:b/>
          <w:bCs/>
          <w:lang w:val="fr-FR"/>
        </w:rPr>
        <w:t>a</w:t>
      </w:r>
      <w:r w:rsidRPr="00E773DC">
        <w:rPr>
          <w:b/>
          <w:bCs/>
          <w:lang w:val="fr-FR"/>
        </w:rPr>
        <w:tab/>
      </w:r>
      <w:r>
        <w:rPr>
          <w:b/>
          <w:bCs/>
          <w:lang w:val="fr-FR"/>
        </w:rPr>
        <w:t>N</w:t>
      </w:r>
      <w:r w:rsidRPr="00AB7D58">
        <w:rPr>
          <w:b/>
          <w:bCs/>
          <w:lang w:val="fr-FR"/>
        </w:rPr>
        <w:t xml:space="preserve">ombre de particules </w:t>
      </w:r>
      <w:r w:rsidRPr="00E773DC">
        <w:rPr>
          <w:b/>
          <w:bCs/>
          <w:lang w:val="fr-FR"/>
        </w:rPr>
        <w:t>[#]</w:t>
      </w:r>
      <w:r>
        <w:rPr>
          <w:b/>
          <w:bCs/>
          <w:lang w:val="fr-FR"/>
        </w:rPr>
        <w:t> ;</w:t>
      </w:r>
      <w:r w:rsidRPr="00E773DC">
        <w:rPr>
          <w:lang w:val="fr-FR"/>
        </w:rPr>
        <w:t> »</w:t>
      </w:r>
      <w:r w:rsidR="00F72B31" w:rsidRPr="00F72B31">
        <w:rPr>
          <w:lang w:val="fr-FR"/>
        </w:rPr>
        <w:t>.</w:t>
      </w:r>
    </w:p>
    <w:p w14:paraId="6DAB5F65"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11</w:t>
      </w:r>
      <w:r w:rsidR="00F72B31" w:rsidRPr="00F72B31">
        <w:rPr>
          <w:i/>
          <w:lang w:val="fr-FR" w:eastAsia="de-DE"/>
        </w:rPr>
        <w:t>.</w:t>
      </w:r>
      <w:r w:rsidRPr="00E773DC">
        <w:rPr>
          <w:i/>
          <w:lang w:val="fr-FR" w:eastAsia="de-DE"/>
        </w:rPr>
        <w:t xml:space="preserve">5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6277AA3D"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11</w:t>
      </w:r>
      <w:r w:rsidR="00F72B31" w:rsidRPr="00F72B31">
        <w:rPr>
          <w:b/>
          <w:bCs/>
          <w:lang w:val="fr-FR"/>
        </w:rPr>
        <w:t>.</w:t>
      </w:r>
      <w:r w:rsidRPr="00E773DC">
        <w:rPr>
          <w:b/>
          <w:bCs/>
          <w:lang w:val="fr-FR"/>
        </w:rPr>
        <w:t>5</w:t>
      </w:r>
      <w:r>
        <w:rPr>
          <w:b/>
          <w:bCs/>
          <w:lang w:val="fr-FR"/>
        </w:rPr>
        <w:t xml:space="preserve"> </w:t>
      </w:r>
      <w:r w:rsidRPr="00E773DC">
        <w:rPr>
          <w:b/>
          <w:bCs/>
          <w:lang w:val="fr-FR"/>
        </w:rPr>
        <w:t>a</w:t>
      </w:r>
      <w:r w:rsidRPr="00E773DC">
        <w:rPr>
          <w:b/>
          <w:bCs/>
          <w:lang w:val="fr-FR"/>
        </w:rPr>
        <w:tab/>
        <w:t xml:space="preserve">Facteur de conformité du </w:t>
      </w:r>
      <w:r w:rsidRPr="00AB7D58">
        <w:rPr>
          <w:b/>
          <w:bCs/>
          <w:lang w:val="fr-FR"/>
        </w:rPr>
        <w:t xml:space="preserve">nombre de particules </w:t>
      </w:r>
      <w:r w:rsidRPr="00E773DC">
        <w:rPr>
          <w:b/>
          <w:bCs/>
          <w:lang w:val="fr-FR"/>
        </w:rPr>
        <w:t>de la fenêtre de travail [-]</w:t>
      </w:r>
      <w:r>
        <w:rPr>
          <w:b/>
          <w:bCs/>
          <w:lang w:val="fr-FR"/>
        </w:rPr>
        <w:t> ;</w:t>
      </w:r>
      <w:r w:rsidRPr="00E773DC">
        <w:rPr>
          <w:lang w:val="fr-FR"/>
        </w:rPr>
        <w:t> »</w:t>
      </w:r>
      <w:r w:rsidR="00F72B31" w:rsidRPr="00F72B31">
        <w:rPr>
          <w:lang w:val="fr-FR"/>
        </w:rPr>
        <w:t>.</w:t>
      </w:r>
    </w:p>
    <w:p w14:paraId="23CACC70"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11</w:t>
      </w:r>
      <w:r w:rsidR="00F72B31" w:rsidRPr="00F72B31">
        <w:rPr>
          <w:i/>
          <w:lang w:val="fr-FR" w:eastAsia="de-DE"/>
        </w:rPr>
        <w:t>.</w:t>
      </w:r>
      <w:r w:rsidRPr="00E773DC">
        <w:rPr>
          <w:i/>
          <w:lang w:val="fr-FR" w:eastAsia="de-DE"/>
        </w:rPr>
        <w:t xml:space="preserve">9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3611BC34" w14:textId="77777777" w:rsidR="00B921D9" w:rsidRPr="00E773DC" w:rsidRDefault="00B921D9" w:rsidP="00B921D9">
      <w:pPr>
        <w:pStyle w:val="SingleTxtG"/>
        <w:ind w:left="2410" w:hanging="1276"/>
        <w:rPr>
          <w:rFonts w:eastAsia="MS Mincho"/>
          <w:lang w:val="fr-FR" w:eastAsia="fi-FI"/>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11</w:t>
      </w:r>
      <w:r w:rsidR="00F72B31" w:rsidRPr="00F72B31">
        <w:rPr>
          <w:b/>
          <w:bCs/>
          <w:lang w:val="fr-FR"/>
        </w:rPr>
        <w:t>.</w:t>
      </w:r>
      <w:r w:rsidRPr="00E773DC">
        <w:rPr>
          <w:b/>
          <w:bCs/>
          <w:lang w:val="fr-FR"/>
        </w:rPr>
        <w:t>9</w:t>
      </w:r>
      <w:r>
        <w:rPr>
          <w:b/>
          <w:bCs/>
          <w:lang w:val="fr-FR"/>
        </w:rPr>
        <w:t xml:space="preserve"> </w:t>
      </w:r>
      <w:r w:rsidRPr="00E773DC">
        <w:rPr>
          <w:b/>
          <w:bCs/>
          <w:lang w:val="fr-FR"/>
        </w:rPr>
        <w:t>a</w:t>
      </w:r>
      <w:r w:rsidRPr="00E773DC">
        <w:rPr>
          <w:b/>
          <w:bCs/>
          <w:lang w:val="fr-FR"/>
        </w:rPr>
        <w:tab/>
        <w:t xml:space="preserve">Facteur de conformité du </w:t>
      </w:r>
      <w:r w:rsidRPr="00AB7D58">
        <w:rPr>
          <w:b/>
          <w:bCs/>
          <w:lang w:val="fr-FR"/>
        </w:rPr>
        <w:t xml:space="preserve">nombre de particules </w:t>
      </w:r>
      <w:r w:rsidRPr="00E773DC">
        <w:rPr>
          <w:b/>
          <w:bCs/>
          <w:lang w:val="fr-FR"/>
        </w:rPr>
        <w:t>de la fenêtre de masse du CO</w:t>
      </w:r>
      <w:r w:rsidRPr="001228DF">
        <w:rPr>
          <w:b/>
          <w:bCs/>
          <w:vertAlign w:val="subscript"/>
          <w:lang w:val="fr-FR"/>
        </w:rPr>
        <w:t>2</w:t>
      </w:r>
      <w:r w:rsidRPr="00E773DC">
        <w:rPr>
          <w:b/>
          <w:bCs/>
          <w:lang w:val="fr-FR"/>
        </w:rPr>
        <w:t xml:space="preserve"> [-]</w:t>
      </w:r>
      <w:r>
        <w:rPr>
          <w:b/>
          <w:bCs/>
          <w:lang w:val="fr-FR"/>
        </w:rPr>
        <w:t> ;</w:t>
      </w:r>
      <w:r w:rsidRPr="00E773DC">
        <w:rPr>
          <w:lang w:val="fr-FR"/>
        </w:rPr>
        <w:t> »</w:t>
      </w:r>
      <w:r w:rsidR="00F72B31" w:rsidRPr="00F72B31">
        <w:rPr>
          <w:lang w:val="fr-FR"/>
        </w:rPr>
        <w:t>.</w:t>
      </w:r>
    </w:p>
    <w:p w14:paraId="616DF6B9" w14:textId="77777777" w:rsidR="00B921D9" w:rsidRPr="00E773DC" w:rsidRDefault="00B921D9" w:rsidP="00B921D9">
      <w:pPr>
        <w:pStyle w:val="SingleTxtG"/>
        <w:rPr>
          <w:lang w:val="fr-FR" w:eastAsia="de-DE"/>
        </w:rPr>
      </w:pPr>
      <w:r w:rsidRPr="00E773DC">
        <w:rPr>
          <w:i/>
          <w:lang w:val="fr-FR" w:eastAsia="de-DE"/>
        </w:rPr>
        <w:t>Ajouter un nouveau paragraphe 10</w:t>
      </w:r>
      <w:r w:rsidR="00F72B31" w:rsidRPr="00F72B31">
        <w:rPr>
          <w:i/>
          <w:lang w:val="fr-FR" w:eastAsia="de-DE"/>
        </w:rPr>
        <w:t>.</w:t>
      </w:r>
      <w:r w:rsidRPr="00E773DC">
        <w:rPr>
          <w:i/>
          <w:lang w:val="fr-FR" w:eastAsia="de-DE"/>
        </w:rPr>
        <w:t>1</w:t>
      </w:r>
      <w:r w:rsidR="00F72B31" w:rsidRPr="00F72B31">
        <w:rPr>
          <w:i/>
          <w:lang w:val="fr-FR" w:eastAsia="de-DE"/>
        </w:rPr>
        <w:t>.</w:t>
      </w:r>
      <w:r w:rsidRPr="00E773DC">
        <w:rPr>
          <w:i/>
          <w:lang w:val="fr-FR" w:eastAsia="de-DE"/>
        </w:rPr>
        <w:t>12</w:t>
      </w:r>
      <w:r w:rsidR="00F72B31" w:rsidRPr="00F72B31">
        <w:rPr>
          <w:i/>
          <w:lang w:val="fr-FR" w:eastAsia="de-DE"/>
        </w:rPr>
        <w:t>.</w:t>
      </w:r>
      <w:r w:rsidRPr="00E773DC">
        <w:rPr>
          <w:i/>
          <w:lang w:val="fr-FR" w:eastAsia="de-DE"/>
        </w:rPr>
        <w:t xml:space="preserve">4 </w:t>
      </w:r>
      <w:r>
        <w:rPr>
          <w:i/>
          <w:lang w:val="fr-FR" w:eastAsia="de-DE"/>
        </w:rPr>
        <w:t>a</w:t>
      </w:r>
      <w:r w:rsidRPr="00B12766">
        <w:rPr>
          <w:iCs/>
          <w:lang w:val="fr-FR" w:eastAsia="de-DE"/>
        </w:rPr>
        <w:t>,</w:t>
      </w:r>
      <w:r w:rsidRPr="00E773DC">
        <w:rPr>
          <w:i/>
          <w:lang w:val="fr-FR" w:eastAsia="de-DE"/>
        </w:rPr>
        <w:t xml:space="preserve"> </w:t>
      </w:r>
      <w:r w:rsidRPr="00E773DC">
        <w:rPr>
          <w:lang w:val="fr-FR" w:eastAsia="de-DE"/>
        </w:rPr>
        <w:t>libellé comme suit :</w:t>
      </w:r>
    </w:p>
    <w:p w14:paraId="529EFD42" w14:textId="77777777" w:rsidR="00B921D9" w:rsidRPr="00E773DC" w:rsidRDefault="00B921D9" w:rsidP="00B921D9">
      <w:pPr>
        <w:pStyle w:val="SingleTxtG"/>
        <w:ind w:left="2410" w:hanging="1276"/>
        <w:rPr>
          <w:lang w:val="fr-FR"/>
        </w:rPr>
      </w:pPr>
      <w:r w:rsidRPr="00E773DC">
        <w:rPr>
          <w:lang w:val="fr-FR"/>
        </w:rPr>
        <w:t>« </w:t>
      </w:r>
      <w:r w:rsidRPr="00E773DC">
        <w:rPr>
          <w:b/>
          <w:bCs/>
          <w:lang w:val="fr-FR"/>
        </w:rPr>
        <w:t>10</w:t>
      </w:r>
      <w:r w:rsidR="00F72B31" w:rsidRPr="00F72B31">
        <w:rPr>
          <w:b/>
          <w:bCs/>
          <w:lang w:val="fr-FR"/>
        </w:rPr>
        <w:t>.</w:t>
      </w:r>
      <w:r w:rsidRPr="00E773DC">
        <w:rPr>
          <w:b/>
          <w:bCs/>
          <w:lang w:val="fr-FR"/>
        </w:rPr>
        <w:t>1</w:t>
      </w:r>
      <w:r w:rsidR="00F72B31" w:rsidRPr="00F72B31">
        <w:rPr>
          <w:b/>
          <w:bCs/>
          <w:lang w:val="fr-FR"/>
        </w:rPr>
        <w:t>.</w:t>
      </w:r>
      <w:r w:rsidRPr="00E773DC">
        <w:rPr>
          <w:b/>
          <w:bCs/>
          <w:lang w:val="fr-FR"/>
        </w:rPr>
        <w:t>12</w:t>
      </w:r>
      <w:r w:rsidR="00F72B31" w:rsidRPr="00F72B31">
        <w:rPr>
          <w:b/>
          <w:bCs/>
          <w:lang w:val="fr-FR"/>
        </w:rPr>
        <w:t>.</w:t>
      </w:r>
      <w:r w:rsidRPr="00E773DC">
        <w:rPr>
          <w:b/>
          <w:bCs/>
          <w:lang w:val="fr-FR"/>
        </w:rPr>
        <w:t>4</w:t>
      </w:r>
      <w:r>
        <w:rPr>
          <w:b/>
          <w:bCs/>
          <w:lang w:val="fr-FR"/>
        </w:rPr>
        <w:t xml:space="preserve"> </w:t>
      </w:r>
      <w:r w:rsidRPr="00E773DC">
        <w:rPr>
          <w:b/>
          <w:bCs/>
          <w:lang w:val="fr-FR"/>
        </w:rPr>
        <w:t>a</w:t>
      </w:r>
      <w:r w:rsidRPr="00E773DC">
        <w:rPr>
          <w:b/>
          <w:bCs/>
          <w:lang w:val="fr-FR"/>
        </w:rPr>
        <w:tab/>
      </w:r>
      <w:r>
        <w:rPr>
          <w:b/>
          <w:bCs/>
          <w:lang w:val="fr-FR"/>
        </w:rPr>
        <w:t xml:space="preserve">Mise à </w:t>
      </w:r>
      <w:r w:rsidRPr="001228DF">
        <w:rPr>
          <w:b/>
          <w:bCs/>
          <w:lang w:val="fr-FR"/>
        </w:rPr>
        <w:t xml:space="preserve">zéro </w:t>
      </w:r>
      <w:r>
        <w:rPr>
          <w:b/>
          <w:bCs/>
          <w:lang w:val="fr-FR"/>
        </w:rPr>
        <w:t>de l’analyseur du</w:t>
      </w:r>
      <w:r w:rsidRPr="00E773DC">
        <w:rPr>
          <w:b/>
          <w:bCs/>
          <w:lang w:val="fr-FR"/>
        </w:rPr>
        <w:t xml:space="preserve"> </w:t>
      </w:r>
      <w:r w:rsidRPr="00AB7D58">
        <w:rPr>
          <w:b/>
          <w:bCs/>
          <w:lang w:val="fr-FR"/>
        </w:rPr>
        <w:t>nombre de particules</w:t>
      </w:r>
      <w:r w:rsidRPr="00E773DC">
        <w:rPr>
          <w:b/>
          <w:bCs/>
          <w:lang w:val="fr-FR"/>
        </w:rPr>
        <w:t xml:space="preserve">, </w:t>
      </w:r>
      <w:r>
        <w:rPr>
          <w:b/>
          <w:bCs/>
          <w:lang w:val="fr-FR"/>
        </w:rPr>
        <w:t>avant et après l’essai ; </w:t>
      </w:r>
      <w:r w:rsidRPr="00E773DC">
        <w:rPr>
          <w:lang w:val="fr-FR"/>
        </w:rPr>
        <w:t>»</w:t>
      </w:r>
      <w:r w:rsidR="00F72B31" w:rsidRPr="00F72B31">
        <w:rPr>
          <w:lang w:val="fr-FR"/>
        </w:rPr>
        <w:t>.</w:t>
      </w:r>
    </w:p>
    <w:p w14:paraId="3866B5F4" w14:textId="77777777" w:rsidR="00B921D9" w:rsidRPr="00E773DC" w:rsidRDefault="00B921D9" w:rsidP="00B921D9">
      <w:pPr>
        <w:pStyle w:val="SingleTxtG"/>
        <w:keepNext/>
        <w:rPr>
          <w:i/>
          <w:iCs/>
          <w:lang w:val="fr-FR" w:eastAsia="de-DE"/>
        </w:rPr>
      </w:pPr>
      <w:r w:rsidRPr="00E773DC">
        <w:rPr>
          <w:i/>
          <w:iCs/>
          <w:lang w:val="fr-FR" w:eastAsia="de-DE"/>
        </w:rPr>
        <w:t>Annexe 8, appendice 1</w:t>
      </w:r>
    </w:p>
    <w:p w14:paraId="575F1779" w14:textId="77777777" w:rsidR="00B921D9" w:rsidRPr="00E773DC" w:rsidRDefault="00B921D9" w:rsidP="00B921D9">
      <w:pPr>
        <w:pStyle w:val="SingleTxtG"/>
        <w:keepNext/>
        <w:rPr>
          <w:color w:val="000000" w:themeColor="text1"/>
          <w:lang w:val="fr-FR"/>
        </w:rPr>
      </w:pPr>
      <w:r w:rsidRPr="00E773DC">
        <w:rPr>
          <w:i/>
          <w:iCs/>
          <w:color w:val="000000" w:themeColor="text1"/>
          <w:lang w:val="fr-FR"/>
        </w:rPr>
        <w:t>Paragraphe A</w:t>
      </w:r>
      <w:r w:rsidR="00F72B31" w:rsidRPr="00F72B31">
        <w:rPr>
          <w:i/>
          <w:iCs/>
          <w:color w:val="000000" w:themeColor="text1"/>
          <w:lang w:val="fr-FR"/>
        </w:rPr>
        <w:t>.</w:t>
      </w:r>
      <w:r w:rsidRPr="00E773DC">
        <w:rPr>
          <w:i/>
          <w:iCs/>
          <w:color w:val="000000" w:themeColor="text1"/>
          <w:lang w:val="fr-FR"/>
        </w:rPr>
        <w:t>1</w:t>
      </w:r>
      <w:r w:rsidR="00F72B31" w:rsidRPr="00F72B31">
        <w:rPr>
          <w:i/>
          <w:iCs/>
          <w:color w:val="000000" w:themeColor="text1"/>
          <w:lang w:val="fr-FR"/>
        </w:rPr>
        <w:t>.</w:t>
      </w:r>
      <w:r w:rsidRPr="00E773DC">
        <w:rPr>
          <w:i/>
          <w:iCs/>
          <w:color w:val="000000" w:themeColor="text1"/>
          <w:lang w:val="fr-FR"/>
        </w:rPr>
        <w:t>1</w:t>
      </w:r>
      <w:r w:rsidRPr="00E773DC">
        <w:rPr>
          <w:color w:val="000000" w:themeColor="text1"/>
          <w:lang w:val="fr-FR"/>
        </w:rPr>
        <w:t>, lire :</w:t>
      </w:r>
    </w:p>
    <w:p w14:paraId="761461E2" w14:textId="77777777" w:rsidR="00B921D9" w:rsidRPr="00E773DC" w:rsidRDefault="00B921D9" w:rsidP="00B921D9">
      <w:pPr>
        <w:pStyle w:val="SingleTxtG"/>
        <w:keepNext/>
        <w:rPr>
          <w:color w:val="000000" w:themeColor="text1"/>
          <w:lang w:val="fr-FR"/>
        </w:rPr>
      </w:pPr>
      <w:r w:rsidRPr="00E773DC">
        <w:rPr>
          <w:color w:val="000000" w:themeColor="text1"/>
          <w:lang w:val="fr-FR"/>
        </w:rPr>
        <w:t>« A</w:t>
      </w:r>
      <w:r w:rsidR="00F72B31" w:rsidRPr="00F72B31">
        <w:rPr>
          <w:color w:val="000000" w:themeColor="text1"/>
          <w:lang w:val="fr-FR"/>
        </w:rPr>
        <w:t>.</w:t>
      </w:r>
      <w:r w:rsidRPr="00E773DC">
        <w:rPr>
          <w:color w:val="000000" w:themeColor="text1"/>
          <w:lang w:val="fr-FR"/>
        </w:rPr>
        <w:t>1</w:t>
      </w:r>
      <w:r w:rsidR="00F72B31" w:rsidRPr="00F72B31">
        <w:rPr>
          <w:color w:val="000000" w:themeColor="text1"/>
          <w:lang w:val="fr-FR"/>
        </w:rPr>
        <w:t>.</w:t>
      </w:r>
      <w:r w:rsidRPr="00E773DC">
        <w:rPr>
          <w:color w:val="000000" w:themeColor="text1"/>
          <w:lang w:val="fr-FR"/>
        </w:rPr>
        <w:t>1</w:t>
      </w:r>
      <w:r w:rsidRPr="00E773DC">
        <w:rPr>
          <w:color w:val="000000" w:themeColor="text1"/>
          <w:lang w:val="fr-FR"/>
        </w:rPr>
        <w:tab/>
        <w:t>Introduction</w:t>
      </w:r>
    </w:p>
    <w:p w14:paraId="06FC0EA5" w14:textId="77777777" w:rsidR="00B921D9" w:rsidRPr="00E773DC" w:rsidRDefault="00B921D9" w:rsidP="00B921D9">
      <w:pPr>
        <w:pStyle w:val="SingleTxtG"/>
        <w:ind w:left="2268"/>
        <w:rPr>
          <w:color w:val="000000" w:themeColor="text1"/>
          <w:lang w:val="fr-FR"/>
        </w:rPr>
      </w:pPr>
      <w:r w:rsidRPr="00563D37">
        <w:rPr>
          <w:strike/>
          <w:color w:val="000000" w:themeColor="text1"/>
          <w:lang w:val="fr-FR"/>
        </w:rPr>
        <w:t>Le présent appendice décrit la procédure à suivre pour déterminer les émissions gazeuses à partir de mesures faites sur des véhicules sur route au moyen de systèmes portables de mesure des émissions (ci-après “PEMS”)</w:t>
      </w:r>
      <w:r w:rsidR="00F72B31" w:rsidRPr="00F72B31">
        <w:rPr>
          <w:strike/>
          <w:color w:val="000000" w:themeColor="text1"/>
          <w:lang w:val="fr-FR"/>
        </w:rPr>
        <w:t>.</w:t>
      </w:r>
      <w:r w:rsidRPr="00563D37">
        <w:rPr>
          <w:strike/>
          <w:color w:val="000000" w:themeColor="text1"/>
          <w:lang w:val="fr-FR"/>
        </w:rPr>
        <w:t xml:space="preserve"> Les émissions de polluants à mesurer </w:t>
      </w:r>
      <w:bookmarkStart w:id="19" w:name="_Hlk55769806"/>
      <w:r w:rsidRPr="00563D37">
        <w:rPr>
          <w:strike/>
          <w:color w:val="000000" w:themeColor="text1"/>
          <w:lang w:val="fr-FR"/>
        </w:rPr>
        <w:t>en sortie d</w:t>
      </w:r>
      <w:r>
        <w:rPr>
          <w:strike/>
          <w:color w:val="000000" w:themeColor="text1"/>
          <w:lang w:val="fr-FR"/>
        </w:rPr>
        <w:t>’</w:t>
      </w:r>
      <w:r w:rsidRPr="00563D37">
        <w:rPr>
          <w:strike/>
          <w:color w:val="000000" w:themeColor="text1"/>
          <w:lang w:val="fr-FR"/>
        </w:rPr>
        <w:t xml:space="preserve">échappement du moteur comprennent les composants </w:t>
      </w:r>
      <w:bookmarkEnd w:id="19"/>
      <w:r w:rsidRPr="00563D37">
        <w:rPr>
          <w:strike/>
          <w:color w:val="000000" w:themeColor="text1"/>
          <w:lang w:val="fr-FR"/>
        </w:rPr>
        <w:t>suivants : monoxyde de carbone, hydrocarbures totaux et oxydes d</w:t>
      </w:r>
      <w:r>
        <w:rPr>
          <w:strike/>
          <w:color w:val="000000" w:themeColor="text1"/>
          <w:lang w:val="fr-FR"/>
        </w:rPr>
        <w:t>’</w:t>
      </w:r>
      <w:r w:rsidRPr="00563D37">
        <w:rPr>
          <w:strike/>
          <w:color w:val="000000" w:themeColor="text1"/>
          <w:lang w:val="fr-FR"/>
        </w:rPr>
        <w:t>azote pour les moteurs à allumage par compression, et monoxyde de carbone, hydrocarbures non méthaniques, méthane et oxydes d</w:t>
      </w:r>
      <w:r>
        <w:rPr>
          <w:strike/>
          <w:color w:val="000000" w:themeColor="text1"/>
          <w:lang w:val="fr-FR"/>
        </w:rPr>
        <w:t>’</w:t>
      </w:r>
      <w:r w:rsidRPr="00563D37">
        <w:rPr>
          <w:strike/>
          <w:color w:val="000000" w:themeColor="text1"/>
          <w:lang w:val="fr-FR"/>
        </w:rPr>
        <w:t>azote pour les moteurs à allumage commandé</w:t>
      </w:r>
      <w:r w:rsidR="00F72B31" w:rsidRPr="00F72B31">
        <w:rPr>
          <w:strike/>
          <w:color w:val="000000" w:themeColor="text1"/>
          <w:lang w:val="fr-FR"/>
        </w:rPr>
        <w:t>.</w:t>
      </w:r>
      <w:r w:rsidRPr="00563D37">
        <w:rPr>
          <w:strike/>
          <w:color w:val="000000" w:themeColor="text1"/>
          <w:lang w:val="fr-FR"/>
        </w:rPr>
        <w:t xml:space="preserve"> De plus, le dioxyde de carbone doit être mesuré afin de pouvoir appliquer les procédures de calcul décrites au paragraphe A</w:t>
      </w:r>
      <w:r w:rsidR="00F72B31" w:rsidRPr="00F72B31">
        <w:rPr>
          <w:strike/>
          <w:color w:val="000000" w:themeColor="text1"/>
          <w:lang w:val="fr-FR"/>
        </w:rPr>
        <w:t>.</w:t>
      </w:r>
      <w:r w:rsidRPr="00563D37">
        <w:rPr>
          <w:strike/>
          <w:color w:val="000000" w:themeColor="text1"/>
          <w:lang w:val="fr-FR"/>
        </w:rPr>
        <w:t>1</w:t>
      </w:r>
      <w:r w:rsidR="00F72B31" w:rsidRPr="00F72B31">
        <w:rPr>
          <w:strike/>
          <w:color w:val="000000" w:themeColor="text1"/>
          <w:lang w:val="fr-FR"/>
        </w:rPr>
        <w:t>.</w:t>
      </w:r>
      <w:r w:rsidRPr="00563D37">
        <w:rPr>
          <w:strike/>
          <w:color w:val="000000" w:themeColor="text1"/>
          <w:lang w:val="fr-FR"/>
        </w:rPr>
        <w:t>4</w:t>
      </w:r>
      <w:r w:rsidR="00F72B31" w:rsidRPr="00F72B31">
        <w:rPr>
          <w:strike/>
          <w:color w:val="000000" w:themeColor="text1"/>
          <w:lang w:val="fr-FR"/>
        </w:rPr>
        <w:t>.</w:t>
      </w:r>
      <w:r>
        <w:rPr>
          <w:strike/>
          <w:color w:val="000000" w:themeColor="text1"/>
          <w:lang w:val="fr-FR"/>
        </w:rPr>
        <w:t xml:space="preserve"> </w:t>
      </w:r>
      <w:r w:rsidRPr="00563D37">
        <w:rPr>
          <w:b/>
          <w:bCs/>
          <w:color w:val="000000" w:themeColor="text1"/>
          <w:lang w:val="fr-FR"/>
        </w:rPr>
        <w:t>Le</w:t>
      </w:r>
      <w:r w:rsidRPr="00E773DC">
        <w:rPr>
          <w:strike/>
          <w:color w:val="000000" w:themeColor="text1"/>
          <w:lang w:val="fr-FR"/>
        </w:rPr>
        <w:t xml:space="preserve"> </w:t>
      </w:r>
      <w:r w:rsidRPr="00E773DC">
        <w:rPr>
          <w:b/>
          <w:bCs/>
          <w:color w:val="000000" w:themeColor="text1"/>
          <w:lang w:val="fr-FR"/>
        </w:rPr>
        <w:t xml:space="preserve">présent appendice décrit la procédure à suivre pour déterminer les émissions de polluants à partir de mesures effectuées sur des véhicules </w:t>
      </w:r>
      <w:r>
        <w:rPr>
          <w:b/>
          <w:bCs/>
          <w:color w:val="000000" w:themeColor="text1"/>
          <w:lang w:val="fr-FR"/>
        </w:rPr>
        <w:t xml:space="preserve">sur </w:t>
      </w:r>
      <w:r w:rsidRPr="00E773DC">
        <w:rPr>
          <w:b/>
          <w:bCs/>
          <w:color w:val="000000" w:themeColor="text1"/>
          <w:lang w:val="fr-FR"/>
        </w:rPr>
        <w:t>rout</w:t>
      </w:r>
      <w:r>
        <w:rPr>
          <w:b/>
          <w:bCs/>
          <w:color w:val="000000" w:themeColor="text1"/>
          <w:lang w:val="fr-FR"/>
        </w:rPr>
        <w:t>e</w:t>
      </w:r>
      <w:r w:rsidRPr="00E773DC">
        <w:rPr>
          <w:b/>
          <w:bCs/>
          <w:color w:val="000000" w:themeColor="text1"/>
          <w:lang w:val="fr-FR"/>
        </w:rPr>
        <w:t xml:space="preserve"> à l</w:t>
      </w:r>
      <w:r>
        <w:rPr>
          <w:b/>
          <w:bCs/>
          <w:color w:val="000000" w:themeColor="text1"/>
          <w:lang w:val="fr-FR"/>
        </w:rPr>
        <w:t>’</w:t>
      </w:r>
      <w:r w:rsidRPr="00E773DC">
        <w:rPr>
          <w:b/>
          <w:bCs/>
          <w:color w:val="000000" w:themeColor="text1"/>
          <w:lang w:val="fr-FR"/>
        </w:rPr>
        <w:t xml:space="preserve">aide de systèmes </w:t>
      </w:r>
      <w:r w:rsidRPr="00563D37">
        <w:rPr>
          <w:b/>
          <w:bCs/>
          <w:color w:val="000000" w:themeColor="text1"/>
          <w:lang w:val="fr-FR"/>
        </w:rPr>
        <w:t>mobile</w:t>
      </w:r>
      <w:r>
        <w:rPr>
          <w:b/>
          <w:bCs/>
          <w:color w:val="000000" w:themeColor="text1"/>
          <w:lang w:val="fr-FR"/>
        </w:rPr>
        <w:t>s</w:t>
      </w:r>
      <w:r w:rsidRPr="00563D37">
        <w:rPr>
          <w:b/>
          <w:bCs/>
          <w:color w:val="000000" w:themeColor="text1"/>
          <w:lang w:val="fr-FR"/>
        </w:rPr>
        <w:t xml:space="preserve"> </w:t>
      </w:r>
      <w:r w:rsidRPr="00E773DC">
        <w:rPr>
          <w:b/>
          <w:bCs/>
          <w:color w:val="000000" w:themeColor="text1"/>
          <w:lang w:val="fr-FR"/>
        </w:rPr>
        <w:t xml:space="preserve">de mesure des émissions (ci-après </w:t>
      </w:r>
      <w:r w:rsidR="00BA0FA5" w:rsidRPr="00BA0FA5">
        <w:rPr>
          <w:b/>
          <w:bCs/>
          <w:color w:val="000000" w:themeColor="text1"/>
        </w:rPr>
        <w:t>“</w:t>
      </w:r>
      <w:r w:rsidRPr="00E773DC">
        <w:rPr>
          <w:b/>
          <w:bCs/>
          <w:color w:val="000000" w:themeColor="text1"/>
          <w:lang w:val="fr-FR"/>
        </w:rPr>
        <w:t>PEMS</w:t>
      </w:r>
      <w:r w:rsidR="00BA0FA5" w:rsidRPr="00BA0FA5">
        <w:rPr>
          <w:b/>
          <w:bCs/>
          <w:color w:val="000000" w:themeColor="text1"/>
        </w:rPr>
        <w:t>”</w:t>
      </w:r>
      <w:r w:rsidRPr="00E773DC">
        <w:rPr>
          <w:b/>
          <w:bCs/>
          <w:color w:val="000000" w:themeColor="text1"/>
          <w:lang w:val="fr-FR"/>
        </w:rPr>
        <w:t>)</w:t>
      </w:r>
      <w:r w:rsidR="00F72B31" w:rsidRPr="00F72B31">
        <w:rPr>
          <w:b/>
          <w:bCs/>
          <w:color w:val="000000" w:themeColor="text1"/>
          <w:lang w:val="fr-FR"/>
        </w:rPr>
        <w:t>.</w:t>
      </w:r>
      <w:r w:rsidRPr="00E773DC">
        <w:rPr>
          <w:b/>
          <w:bCs/>
          <w:color w:val="000000" w:themeColor="text1"/>
          <w:lang w:val="fr-FR"/>
        </w:rPr>
        <w:t xml:space="preserve"> Les émissions </w:t>
      </w:r>
      <w:r>
        <w:rPr>
          <w:b/>
          <w:bCs/>
          <w:color w:val="000000" w:themeColor="text1"/>
          <w:lang w:val="fr-FR"/>
        </w:rPr>
        <w:t xml:space="preserve">de </w:t>
      </w:r>
      <w:r w:rsidRPr="00E773DC">
        <w:rPr>
          <w:b/>
          <w:bCs/>
          <w:color w:val="000000" w:themeColor="text1"/>
          <w:lang w:val="fr-FR"/>
        </w:rPr>
        <w:t xml:space="preserve">polluants à mesurer </w:t>
      </w:r>
      <w:r w:rsidRPr="00563D37">
        <w:rPr>
          <w:b/>
          <w:bCs/>
          <w:color w:val="000000" w:themeColor="text1"/>
          <w:lang w:val="fr-FR"/>
        </w:rPr>
        <w:t>en sortie d</w:t>
      </w:r>
      <w:r>
        <w:rPr>
          <w:b/>
          <w:bCs/>
          <w:color w:val="000000" w:themeColor="text1"/>
          <w:lang w:val="fr-FR"/>
        </w:rPr>
        <w:t>’</w:t>
      </w:r>
      <w:r w:rsidRPr="00563D37">
        <w:rPr>
          <w:b/>
          <w:bCs/>
          <w:color w:val="000000" w:themeColor="text1"/>
          <w:lang w:val="fr-FR"/>
        </w:rPr>
        <w:t xml:space="preserve">échappement du moteur comprennent les </w:t>
      </w:r>
      <w:r w:rsidRPr="00563D37">
        <w:rPr>
          <w:b/>
          <w:bCs/>
          <w:color w:val="000000" w:themeColor="text1"/>
          <w:lang w:val="fr-FR"/>
        </w:rPr>
        <w:lastRenderedPageBreak/>
        <w:t>composants</w:t>
      </w:r>
      <w:r>
        <w:rPr>
          <w:b/>
          <w:bCs/>
          <w:color w:val="000000" w:themeColor="text1"/>
          <w:lang w:val="fr-FR"/>
        </w:rPr>
        <w:t xml:space="preserve"> suivants</w:t>
      </w:r>
      <w:r w:rsidRPr="00E773DC">
        <w:rPr>
          <w:b/>
          <w:bCs/>
          <w:color w:val="000000" w:themeColor="text1"/>
          <w:lang w:val="fr-FR"/>
        </w:rPr>
        <w:t> : monoxyde de carbone, hydrocarbures totaux, oxydes d</w:t>
      </w:r>
      <w:r>
        <w:rPr>
          <w:b/>
          <w:bCs/>
          <w:color w:val="000000" w:themeColor="text1"/>
          <w:lang w:val="fr-FR"/>
        </w:rPr>
        <w:t>’</w:t>
      </w:r>
      <w:r w:rsidRPr="00E773DC">
        <w:rPr>
          <w:b/>
          <w:bCs/>
          <w:color w:val="000000" w:themeColor="text1"/>
          <w:lang w:val="fr-FR"/>
        </w:rPr>
        <w:t xml:space="preserve">azote et </w:t>
      </w:r>
      <w:r>
        <w:rPr>
          <w:b/>
          <w:bCs/>
          <w:color w:val="000000" w:themeColor="text1"/>
          <w:lang w:val="fr-FR"/>
        </w:rPr>
        <w:t>nombre</w:t>
      </w:r>
      <w:r w:rsidRPr="00E773DC">
        <w:rPr>
          <w:b/>
          <w:bCs/>
          <w:color w:val="000000" w:themeColor="text1"/>
          <w:lang w:val="fr-FR"/>
        </w:rPr>
        <w:t xml:space="preserve"> de particules pour les moteurs à allumage par compression</w:t>
      </w:r>
      <w:r>
        <w:rPr>
          <w:b/>
          <w:bCs/>
          <w:color w:val="000000" w:themeColor="text1"/>
          <w:lang w:val="fr-FR"/>
        </w:rPr>
        <w:t>,</w:t>
      </w:r>
      <w:r w:rsidRPr="00E773DC">
        <w:rPr>
          <w:b/>
          <w:bCs/>
          <w:color w:val="000000" w:themeColor="text1"/>
          <w:lang w:val="fr-FR"/>
        </w:rPr>
        <w:t xml:space="preserve"> et monoxyde de carbone, hydrocarbures non méthaniques, méthane, oxydes d</w:t>
      </w:r>
      <w:r>
        <w:rPr>
          <w:b/>
          <w:bCs/>
          <w:color w:val="000000" w:themeColor="text1"/>
          <w:lang w:val="fr-FR"/>
        </w:rPr>
        <w:t>’</w:t>
      </w:r>
      <w:r w:rsidRPr="00E773DC">
        <w:rPr>
          <w:b/>
          <w:bCs/>
          <w:color w:val="000000" w:themeColor="text1"/>
          <w:lang w:val="fr-FR"/>
        </w:rPr>
        <w:t xml:space="preserve">azote et </w:t>
      </w:r>
      <w:r>
        <w:rPr>
          <w:b/>
          <w:bCs/>
          <w:color w:val="000000" w:themeColor="text1"/>
          <w:lang w:val="fr-FR"/>
        </w:rPr>
        <w:t>nombre</w:t>
      </w:r>
      <w:r w:rsidRPr="00E773DC">
        <w:rPr>
          <w:b/>
          <w:bCs/>
          <w:color w:val="000000" w:themeColor="text1"/>
          <w:lang w:val="fr-FR"/>
        </w:rPr>
        <w:t xml:space="preserve"> de particules pour les moteurs à allumage commandé</w:t>
      </w:r>
      <w:r w:rsidR="00F72B31" w:rsidRPr="00F72B31">
        <w:rPr>
          <w:b/>
          <w:bCs/>
          <w:color w:val="000000" w:themeColor="text1"/>
          <w:lang w:val="fr-FR"/>
        </w:rPr>
        <w:t>.</w:t>
      </w:r>
      <w:r w:rsidRPr="00E773DC">
        <w:rPr>
          <w:b/>
          <w:bCs/>
          <w:color w:val="000000" w:themeColor="text1"/>
          <w:lang w:val="fr-FR"/>
        </w:rPr>
        <w:t xml:space="preserve"> En outre, le dioxyde de carbone doit être mesuré pour permettre les procédures de calcul décrites au paragraphe A</w:t>
      </w:r>
      <w:r w:rsidR="00F72B31" w:rsidRPr="00F72B31">
        <w:rPr>
          <w:b/>
          <w:bCs/>
          <w:color w:val="000000" w:themeColor="text1"/>
          <w:lang w:val="fr-FR"/>
        </w:rPr>
        <w:t>.</w:t>
      </w:r>
      <w:r w:rsidRPr="00E773DC">
        <w:rPr>
          <w:b/>
          <w:bCs/>
          <w:color w:val="000000" w:themeColor="text1"/>
          <w:lang w:val="fr-FR"/>
        </w:rPr>
        <w:t>1</w:t>
      </w:r>
      <w:r w:rsidR="00F72B31" w:rsidRPr="00F72B31">
        <w:rPr>
          <w:b/>
          <w:bCs/>
          <w:color w:val="000000" w:themeColor="text1"/>
          <w:lang w:val="fr-FR"/>
        </w:rPr>
        <w:t>.</w:t>
      </w:r>
      <w:r w:rsidRPr="00E773DC">
        <w:rPr>
          <w:b/>
          <w:bCs/>
          <w:color w:val="000000" w:themeColor="text1"/>
          <w:lang w:val="fr-FR"/>
        </w:rPr>
        <w:t>4</w:t>
      </w:r>
      <w:r w:rsidR="00F72B31" w:rsidRPr="00F72B31">
        <w:rPr>
          <w:b/>
          <w:bCs/>
          <w:color w:val="000000" w:themeColor="text1"/>
          <w:lang w:val="fr-FR"/>
        </w:rPr>
        <w:t>.</w:t>
      </w:r>
    </w:p>
    <w:p w14:paraId="0ECA8704" w14:textId="77777777" w:rsidR="00B921D9" w:rsidRPr="00563D37" w:rsidRDefault="00B921D9" w:rsidP="00B921D9">
      <w:pPr>
        <w:pStyle w:val="SingleTxtG"/>
        <w:ind w:left="2268"/>
        <w:rPr>
          <w:szCs w:val="24"/>
          <w:lang w:val="fr-FR"/>
        </w:rPr>
      </w:pPr>
      <w:r w:rsidRPr="00563D37">
        <w:rPr>
          <w:szCs w:val="24"/>
          <w:lang w:val="fr-FR"/>
        </w:rPr>
        <w:t>Pour les moteurs alimentés au gaz naturel, le constructeur, le service technique ou l</w:t>
      </w:r>
      <w:r>
        <w:rPr>
          <w:szCs w:val="24"/>
          <w:lang w:val="fr-FR"/>
        </w:rPr>
        <w:t>’</w:t>
      </w:r>
      <w:r w:rsidRPr="00563D37">
        <w:rPr>
          <w:szCs w:val="24"/>
          <w:lang w:val="fr-FR"/>
        </w:rPr>
        <w:t>autorité d</w:t>
      </w:r>
      <w:r>
        <w:rPr>
          <w:szCs w:val="24"/>
          <w:lang w:val="fr-FR"/>
        </w:rPr>
        <w:t>’</w:t>
      </w:r>
      <w:r w:rsidRPr="00563D37">
        <w:rPr>
          <w:szCs w:val="24"/>
          <w:lang w:val="fr-FR"/>
        </w:rPr>
        <w:t>homologation de type peu</w:t>
      </w:r>
      <w:r>
        <w:rPr>
          <w:szCs w:val="24"/>
          <w:lang w:val="fr-FR"/>
        </w:rPr>
        <w:t>ven</w:t>
      </w:r>
      <w:r w:rsidRPr="00563D37">
        <w:rPr>
          <w:szCs w:val="24"/>
          <w:lang w:val="fr-FR"/>
        </w:rPr>
        <w:t>t choisir de mesurer les émissions totales d</w:t>
      </w:r>
      <w:r>
        <w:rPr>
          <w:szCs w:val="24"/>
          <w:lang w:val="fr-FR"/>
        </w:rPr>
        <w:t>’</w:t>
      </w:r>
      <w:r w:rsidRPr="00563D37">
        <w:rPr>
          <w:szCs w:val="24"/>
          <w:lang w:val="fr-FR"/>
        </w:rPr>
        <w:t xml:space="preserve">hydrocarbures (HCT) uniquement, plutôt que les </w:t>
      </w:r>
      <w:r w:rsidRPr="00563D37">
        <w:rPr>
          <w:spacing w:val="-2"/>
          <w:szCs w:val="24"/>
          <w:lang w:val="fr-FR"/>
        </w:rPr>
        <w:t>émissions d</w:t>
      </w:r>
      <w:r>
        <w:rPr>
          <w:spacing w:val="-2"/>
          <w:szCs w:val="24"/>
          <w:lang w:val="fr-FR"/>
        </w:rPr>
        <w:t>’</w:t>
      </w:r>
      <w:r w:rsidRPr="00563D37">
        <w:rPr>
          <w:spacing w:val="-2"/>
          <w:szCs w:val="24"/>
          <w:lang w:val="fr-FR"/>
        </w:rPr>
        <w:t>hydrocarbures méthaniques et non méthaniques</w:t>
      </w:r>
      <w:r w:rsidR="00F72B31" w:rsidRPr="00F72B31">
        <w:rPr>
          <w:spacing w:val="-2"/>
          <w:szCs w:val="24"/>
          <w:lang w:val="fr-FR"/>
        </w:rPr>
        <w:t>.</w:t>
      </w:r>
      <w:r w:rsidRPr="00563D37">
        <w:rPr>
          <w:spacing w:val="-2"/>
          <w:szCs w:val="24"/>
          <w:lang w:val="fr-FR"/>
        </w:rPr>
        <w:t xml:space="preserve"> Dans ce cas,</w:t>
      </w:r>
      <w:r w:rsidRPr="00563D37">
        <w:rPr>
          <w:szCs w:val="24"/>
          <w:lang w:val="fr-FR"/>
        </w:rPr>
        <w:t xml:space="preserve"> la limite pour les émissions d</w:t>
      </w:r>
      <w:r>
        <w:rPr>
          <w:szCs w:val="24"/>
          <w:lang w:val="fr-FR"/>
        </w:rPr>
        <w:t>’</w:t>
      </w:r>
      <w:r w:rsidRPr="00563D37">
        <w:rPr>
          <w:szCs w:val="24"/>
          <w:lang w:val="fr-FR"/>
        </w:rPr>
        <w:t>hydrocarbures totaux est la même que celle indiquée au paragraphe 5</w:t>
      </w:r>
      <w:r w:rsidR="00F72B31" w:rsidRPr="00F72B31">
        <w:rPr>
          <w:szCs w:val="24"/>
          <w:lang w:val="fr-FR"/>
        </w:rPr>
        <w:t>.</w:t>
      </w:r>
      <w:r w:rsidRPr="00563D37">
        <w:rPr>
          <w:szCs w:val="24"/>
          <w:lang w:val="fr-FR"/>
        </w:rPr>
        <w:t>3 du présent Règlement pour les émissions de méthane</w:t>
      </w:r>
      <w:r w:rsidR="00F72B31" w:rsidRPr="00F72B31">
        <w:rPr>
          <w:szCs w:val="24"/>
          <w:lang w:val="fr-FR"/>
        </w:rPr>
        <w:t>.</w:t>
      </w:r>
      <w:r w:rsidRPr="00563D37">
        <w:rPr>
          <w:szCs w:val="24"/>
          <w:lang w:val="fr-FR"/>
        </w:rPr>
        <w:t xml:space="preserve"> Aux fins du calcul des facteurs de conformité conformément aux paragraphes A</w:t>
      </w:r>
      <w:r w:rsidR="00F72B31" w:rsidRPr="00F72B31">
        <w:rPr>
          <w:szCs w:val="24"/>
          <w:lang w:val="fr-FR"/>
        </w:rPr>
        <w:t>.</w:t>
      </w:r>
      <w:r w:rsidRPr="00563D37">
        <w:rPr>
          <w:szCs w:val="24"/>
          <w:lang w:val="fr-FR"/>
        </w:rPr>
        <w:t>1</w:t>
      </w:r>
      <w:r w:rsidR="00F72B31" w:rsidRPr="00F72B31">
        <w:rPr>
          <w:szCs w:val="24"/>
          <w:lang w:val="fr-FR"/>
        </w:rPr>
        <w:t>.</w:t>
      </w:r>
      <w:r w:rsidRPr="00563D37">
        <w:rPr>
          <w:szCs w:val="24"/>
          <w:lang w:val="fr-FR"/>
        </w:rPr>
        <w:t>4</w:t>
      </w:r>
      <w:r w:rsidR="00F72B31" w:rsidRPr="00F72B31">
        <w:rPr>
          <w:szCs w:val="24"/>
          <w:lang w:val="fr-FR"/>
        </w:rPr>
        <w:t>.</w:t>
      </w:r>
      <w:r w:rsidRPr="00563D37">
        <w:rPr>
          <w:szCs w:val="24"/>
          <w:lang w:val="fr-FR"/>
        </w:rPr>
        <w:t>2</w:t>
      </w:r>
      <w:r w:rsidR="00F72B31" w:rsidRPr="00F72B31">
        <w:rPr>
          <w:szCs w:val="24"/>
          <w:lang w:val="fr-FR"/>
        </w:rPr>
        <w:t>.</w:t>
      </w:r>
      <w:r w:rsidRPr="00563D37">
        <w:rPr>
          <w:szCs w:val="24"/>
          <w:lang w:val="fr-FR"/>
        </w:rPr>
        <w:t>3 et A</w:t>
      </w:r>
      <w:r w:rsidR="00F72B31" w:rsidRPr="00F72B31">
        <w:rPr>
          <w:szCs w:val="24"/>
          <w:lang w:val="fr-FR"/>
        </w:rPr>
        <w:t>.</w:t>
      </w:r>
      <w:r w:rsidRPr="00563D37">
        <w:rPr>
          <w:szCs w:val="24"/>
          <w:lang w:val="fr-FR"/>
        </w:rPr>
        <w:t>1</w:t>
      </w:r>
      <w:r w:rsidR="00F72B31" w:rsidRPr="00F72B31">
        <w:rPr>
          <w:szCs w:val="24"/>
          <w:lang w:val="fr-FR"/>
        </w:rPr>
        <w:t>.</w:t>
      </w:r>
      <w:r w:rsidRPr="00563D37">
        <w:rPr>
          <w:szCs w:val="24"/>
          <w:lang w:val="fr-FR"/>
        </w:rPr>
        <w:t>4</w:t>
      </w:r>
      <w:r w:rsidR="00F72B31" w:rsidRPr="00F72B31">
        <w:rPr>
          <w:szCs w:val="24"/>
          <w:lang w:val="fr-FR"/>
        </w:rPr>
        <w:t>.</w:t>
      </w:r>
      <w:r w:rsidRPr="00563D37">
        <w:rPr>
          <w:szCs w:val="24"/>
          <w:lang w:val="fr-FR"/>
        </w:rPr>
        <w:t>3</w:t>
      </w:r>
      <w:r w:rsidR="00F72B31" w:rsidRPr="00F72B31">
        <w:rPr>
          <w:szCs w:val="24"/>
          <w:lang w:val="fr-FR"/>
        </w:rPr>
        <w:t>.</w:t>
      </w:r>
      <w:r w:rsidRPr="00563D37">
        <w:rPr>
          <w:szCs w:val="24"/>
          <w:lang w:val="fr-FR"/>
        </w:rPr>
        <w:t>2, la limite applicable dans ce cas est la limite pour les émissions de méthane uniquement</w:t>
      </w:r>
      <w:r w:rsidR="00F72B31" w:rsidRPr="00F72B31">
        <w:rPr>
          <w:szCs w:val="24"/>
          <w:lang w:val="fr-FR"/>
        </w:rPr>
        <w:t>.</w:t>
      </w:r>
    </w:p>
    <w:p w14:paraId="0AAA6B57" w14:textId="77777777" w:rsidR="00B921D9" w:rsidRPr="00563D37" w:rsidRDefault="00B921D9" w:rsidP="00B921D9">
      <w:pPr>
        <w:pStyle w:val="SingleTxtG"/>
        <w:ind w:left="2268"/>
        <w:rPr>
          <w:color w:val="000000" w:themeColor="text1"/>
          <w:lang w:val="fr-FR"/>
        </w:rPr>
      </w:pPr>
      <w:r w:rsidRPr="00563D37">
        <w:rPr>
          <w:szCs w:val="24"/>
          <w:lang w:val="fr-FR"/>
        </w:rPr>
        <w:t xml:space="preserve">Pour les </w:t>
      </w:r>
      <w:r w:rsidRPr="00563D37">
        <w:rPr>
          <w:lang w:val="fr-FR"/>
        </w:rPr>
        <w:t>moteurs</w:t>
      </w:r>
      <w:r w:rsidRPr="00563D37">
        <w:rPr>
          <w:szCs w:val="24"/>
          <w:lang w:val="fr-FR"/>
        </w:rPr>
        <w:t xml:space="preserve"> alimentés avec un gaz autre que le gaz naturel, le constructeur, le service technique ou l</w:t>
      </w:r>
      <w:r>
        <w:rPr>
          <w:szCs w:val="24"/>
          <w:lang w:val="fr-FR"/>
        </w:rPr>
        <w:t>’</w:t>
      </w:r>
      <w:r w:rsidRPr="00563D37">
        <w:rPr>
          <w:szCs w:val="24"/>
          <w:lang w:val="fr-FR"/>
        </w:rPr>
        <w:t>autorité d</w:t>
      </w:r>
      <w:r>
        <w:rPr>
          <w:szCs w:val="24"/>
          <w:lang w:val="fr-FR"/>
        </w:rPr>
        <w:t>’</w:t>
      </w:r>
      <w:r w:rsidRPr="00563D37">
        <w:rPr>
          <w:szCs w:val="24"/>
          <w:lang w:val="fr-FR"/>
        </w:rPr>
        <w:t>homologation de type peut choisir de mesurer les émissions totales d</w:t>
      </w:r>
      <w:r>
        <w:rPr>
          <w:szCs w:val="24"/>
          <w:lang w:val="fr-FR"/>
        </w:rPr>
        <w:t>’</w:t>
      </w:r>
      <w:r w:rsidRPr="00563D37">
        <w:rPr>
          <w:szCs w:val="24"/>
          <w:lang w:val="fr-FR"/>
        </w:rPr>
        <w:t>hydrocarbures (HCT) plutôt que les émissions d</w:t>
      </w:r>
      <w:r>
        <w:rPr>
          <w:szCs w:val="24"/>
          <w:lang w:val="fr-FR"/>
        </w:rPr>
        <w:t>’</w:t>
      </w:r>
      <w:r w:rsidRPr="00563D37">
        <w:rPr>
          <w:szCs w:val="24"/>
          <w:lang w:val="fr-FR"/>
        </w:rPr>
        <w:t>hydrocarbures non méthaniques (HCNM)</w:t>
      </w:r>
      <w:r w:rsidR="00F72B31" w:rsidRPr="00F72B31">
        <w:rPr>
          <w:szCs w:val="24"/>
          <w:lang w:val="fr-FR"/>
        </w:rPr>
        <w:t>.</w:t>
      </w:r>
      <w:r w:rsidRPr="00563D37">
        <w:rPr>
          <w:szCs w:val="24"/>
          <w:lang w:val="fr-FR"/>
        </w:rPr>
        <w:t xml:space="preserve"> Dans ce cas, la limite pour les émissions totales d</w:t>
      </w:r>
      <w:r>
        <w:rPr>
          <w:szCs w:val="24"/>
          <w:lang w:val="fr-FR"/>
        </w:rPr>
        <w:t>’</w:t>
      </w:r>
      <w:r w:rsidRPr="00563D37">
        <w:rPr>
          <w:szCs w:val="24"/>
          <w:lang w:val="fr-FR"/>
        </w:rPr>
        <w:t>hydrocarbures est la même que celle indiquée au paragraphe 5</w:t>
      </w:r>
      <w:r w:rsidR="00F72B31" w:rsidRPr="00F72B31">
        <w:rPr>
          <w:szCs w:val="24"/>
          <w:lang w:val="fr-FR"/>
        </w:rPr>
        <w:t>.</w:t>
      </w:r>
      <w:r w:rsidRPr="00563D37">
        <w:rPr>
          <w:szCs w:val="24"/>
          <w:lang w:val="fr-FR"/>
        </w:rPr>
        <w:t>3 du présent Règlement pour les émissions d</w:t>
      </w:r>
      <w:r>
        <w:rPr>
          <w:szCs w:val="24"/>
          <w:lang w:val="fr-FR"/>
        </w:rPr>
        <w:t>’</w:t>
      </w:r>
      <w:r w:rsidRPr="00563D37">
        <w:rPr>
          <w:szCs w:val="24"/>
          <w:lang w:val="fr-FR"/>
        </w:rPr>
        <w:t>hydrocarbures non méthaniques</w:t>
      </w:r>
      <w:r w:rsidR="00F72B31" w:rsidRPr="00F72B31">
        <w:rPr>
          <w:szCs w:val="24"/>
          <w:lang w:val="fr-FR"/>
        </w:rPr>
        <w:t>.</w:t>
      </w:r>
      <w:r w:rsidRPr="00563D37">
        <w:rPr>
          <w:szCs w:val="24"/>
          <w:lang w:val="fr-FR"/>
        </w:rPr>
        <w:t xml:space="preserve"> Aux fins du calcul des facteurs de conformité selon les paragraphes A</w:t>
      </w:r>
      <w:r w:rsidR="00F72B31" w:rsidRPr="00F72B31">
        <w:rPr>
          <w:szCs w:val="24"/>
          <w:lang w:val="fr-FR"/>
        </w:rPr>
        <w:t>.</w:t>
      </w:r>
      <w:r w:rsidRPr="00563D37">
        <w:rPr>
          <w:szCs w:val="24"/>
          <w:lang w:val="fr-FR"/>
        </w:rPr>
        <w:t>1</w:t>
      </w:r>
      <w:r w:rsidR="00F72B31" w:rsidRPr="00F72B31">
        <w:rPr>
          <w:szCs w:val="24"/>
          <w:lang w:val="fr-FR"/>
        </w:rPr>
        <w:t>.</w:t>
      </w:r>
      <w:r w:rsidRPr="00563D37">
        <w:rPr>
          <w:szCs w:val="24"/>
          <w:lang w:val="fr-FR"/>
        </w:rPr>
        <w:t>4</w:t>
      </w:r>
      <w:r w:rsidR="00F72B31" w:rsidRPr="00F72B31">
        <w:rPr>
          <w:szCs w:val="24"/>
          <w:lang w:val="fr-FR"/>
        </w:rPr>
        <w:t>.</w:t>
      </w:r>
      <w:r w:rsidRPr="00563D37">
        <w:rPr>
          <w:szCs w:val="24"/>
          <w:lang w:val="fr-FR"/>
        </w:rPr>
        <w:t>2</w:t>
      </w:r>
      <w:r w:rsidR="00F72B31" w:rsidRPr="00F72B31">
        <w:rPr>
          <w:szCs w:val="24"/>
          <w:lang w:val="fr-FR"/>
        </w:rPr>
        <w:t>.</w:t>
      </w:r>
      <w:r w:rsidRPr="00563D37">
        <w:rPr>
          <w:szCs w:val="24"/>
          <w:lang w:val="fr-FR"/>
        </w:rPr>
        <w:t>3 et A</w:t>
      </w:r>
      <w:r w:rsidR="00F72B31" w:rsidRPr="00F72B31">
        <w:rPr>
          <w:szCs w:val="24"/>
          <w:lang w:val="fr-FR"/>
        </w:rPr>
        <w:t>.</w:t>
      </w:r>
      <w:r w:rsidRPr="00563D37">
        <w:rPr>
          <w:szCs w:val="24"/>
          <w:lang w:val="fr-FR"/>
        </w:rPr>
        <w:t>1</w:t>
      </w:r>
      <w:r w:rsidR="00F72B31" w:rsidRPr="00F72B31">
        <w:rPr>
          <w:szCs w:val="24"/>
          <w:lang w:val="fr-FR"/>
        </w:rPr>
        <w:t>.</w:t>
      </w:r>
      <w:r w:rsidRPr="00563D37">
        <w:rPr>
          <w:szCs w:val="24"/>
          <w:lang w:val="fr-FR"/>
        </w:rPr>
        <w:t>4</w:t>
      </w:r>
      <w:r w:rsidR="00F72B31" w:rsidRPr="00F72B31">
        <w:rPr>
          <w:szCs w:val="24"/>
          <w:lang w:val="fr-FR"/>
        </w:rPr>
        <w:t>.</w:t>
      </w:r>
      <w:r w:rsidRPr="00563D37">
        <w:rPr>
          <w:szCs w:val="24"/>
          <w:lang w:val="fr-FR"/>
        </w:rPr>
        <w:t>3</w:t>
      </w:r>
      <w:r w:rsidR="00F72B31" w:rsidRPr="00F72B31">
        <w:rPr>
          <w:szCs w:val="24"/>
          <w:lang w:val="fr-FR"/>
        </w:rPr>
        <w:t>.</w:t>
      </w:r>
      <w:r w:rsidRPr="00563D37">
        <w:rPr>
          <w:szCs w:val="24"/>
          <w:lang w:val="fr-FR"/>
        </w:rPr>
        <w:t>2, la limite applicable est alors la limite d</w:t>
      </w:r>
      <w:r>
        <w:rPr>
          <w:szCs w:val="24"/>
          <w:lang w:val="fr-FR"/>
        </w:rPr>
        <w:t>’</w:t>
      </w:r>
      <w:r w:rsidRPr="00563D37">
        <w:rPr>
          <w:szCs w:val="24"/>
          <w:lang w:val="fr-FR"/>
        </w:rPr>
        <w:t>émissions non méthaniques</w:t>
      </w:r>
      <w:r w:rsidR="00F72B31" w:rsidRPr="00F72B31">
        <w:rPr>
          <w:szCs w:val="24"/>
          <w:lang w:val="fr-FR"/>
        </w:rPr>
        <w:t>.</w:t>
      </w:r>
      <w:r w:rsidRPr="00563D37">
        <w:rPr>
          <w:color w:val="000000" w:themeColor="text1"/>
          <w:lang w:val="fr-FR"/>
        </w:rPr>
        <w:t> »</w:t>
      </w:r>
      <w:r w:rsidR="00F72B31" w:rsidRPr="00F72B31">
        <w:rPr>
          <w:color w:val="000000" w:themeColor="text1"/>
          <w:lang w:val="fr-FR"/>
        </w:rPr>
        <w:t>.</w:t>
      </w:r>
    </w:p>
    <w:p w14:paraId="46E495A3" w14:textId="77777777" w:rsidR="00B921D9" w:rsidRPr="00CE2EDF" w:rsidRDefault="00B921D9" w:rsidP="00B921D9">
      <w:pPr>
        <w:pStyle w:val="SingleTxtG"/>
        <w:keepNext/>
        <w:rPr>
          <w:lang w:val="fr-FR"/>
        </w:rPr>
      </w:pPr>
      <w:r w:rsidRPr="00CE2EDF">
        <w:rPr>
          <w:i/>
          <w:iCs/>
          <w:lang w:val="fr-FR"/>
        </w:rPr>
        <w:t>Paragraphe A</w:t>
      </w:r>
      <w:r w:rsidR="00F72B31" w:rsidRPr="00F72B31">
        <w:rPr>
          <w:i/>
          <w:iCs/>
          <w:lang w:val="fr-FR"/>
        </w:rPr>
        <w:t>.</w:t>
      </w:r>
      <w:r w:rsidRPr="00CE2EDF">
        <w:rPr>
          <w:i/>
          <w:iCs/>
          <w:lang w:val="fr-FR"/>
        </w:rPr>
        <w:t>1</w:t>
      </w:r>
      <w:r w:rsidR="00F72B31" w:rsidRPr="00F72B31">
        <w:rPr>
          <w:i/>
          <w:iCs/>
          <w:lang w:val="fr-FR"/>
        </w:rPr>
        <w:t>.</w:t>
      </w:r>
      <w:r w:rsidRPr="00CE2EDF">
        <w:rPr>
          <w:i/>
          <w:iCs/>
          <w:lang w:val="fr-FR"/>
        </w:rPr>
        <w:t>2</w:t>
      </w:r>
      <w:r w:rsidR="00F72B31" w:rsidRPr="00F72B31">
        <w:rPr>
          <w:i/>
          <w:iCs/>
          <w:lang w:val="fr-FR"/>
        </w:rPr>
        <w:t>.</w:t>
      </w:r>
      <w:r w:rsidRPr="00CE2EDF">
        <w:rPr>
          <w:i/>
          <w:iCs/>
          <w:lang w:val="fr-FR"/>
        </w:rPr>
        <w:t>1</w:t>
      </w:r>
      <w:r w:rsidR="00F72B31" w:rsidRPr="00F72B31">
        <w:rPr>
          <w:i/>
          <w:iCs/>
          <w:lang w:val="fr-FR"/>
        </w:rPr>
        <w:t>.</w:t>
      </w:r>
      <w:r w:rsidRPr="00CE2EDF">
        <w:rPr>
          <w:i/>
          <w:iCs/>
          <w:lang w:val="fr-FR"/>
        </w:rPr>
        <w:t>1</w:t>
      </w:r>
      <w:r w:rsidRPr="00CE2EDF">
        <w:rPr>
          <w:lang w:val="fr-FR"/>
        </w:rPr>
        <w:t>, lire :</w:t>
      </w:r>
    </w:p>
    <w:p w14:paraId="4A4D6E6C" w14:textId="77777777" w:rsidR="00B921D9" w:rsidRPr="00E773DC" w:rsidRDefault="00B921D9" w:rsidP="00B921D9">
      <w:pPr>
        <w:pStyle w:val="SingleTxtG"/>
        <w:ind w:left="2268" w:hanging="1134"/>
        <w:rPr>
          <w:color w:val="000000" w:themeColor="text1"/>
          <w:lang w:val="fr-FR"/>
        </w:rPr>
      </w:pPr>
      <w:r w:rsidRPr="00E773DC">
        <w:rPr>
          <w:color w:val="000000" w:themeColor="text1"/>
          <w:lang w:val="fr-FR"/>
        </w:rPr>
        <w:t>« A</w:t>
      </w:r>
      <w:r w:rsidR="00F72B31" w:rsidRPr="00F72B31">
        <w:rPr>
          <w:color w:val="000000" w:themeColor="text1"/>
          <w:lang w:val="fr-FR"/>
        </w:rPr>
        <w:t>.</w:t>
      </w:r>
      <w:r w:rsidRPr="00E773DC">
        <w:rPr>
          <w:color w:val="000000" w:themeColor="text1"/>
          <w:lang w:val="fr-FR"/>
        </w:rPr>
        <w:t>1</w:t>
      </w:r>
      <w:r w:rsidR="00F72B31" w:rsidRPr="00F72B31">
        <w:rPr>
          <w:color w:val="000000" w:themeColor="text1"/>
          <w:lang w:val="fr-FR"/>
        </w:rPr>
        <w:t>.</w:t>
      </w:r>
      <w:r w:rsidRPr="00E773DC">
        <w:rPr>
          <w:color w:val="000000" w:themeColor="text1"/>
          <w:lang w:val="fr-FR"/>
        </w:rPr>
        <w:t>2</w:t>
      </w:r>
      <w:r w:rsidR="00F72B31" w:rsidRPr="00F72B31">
        <w:rPr>
          <w:color w:val="000000" w:themeColor="text1"/>
          <w:lang w:val="fr-FR"/>
        </w:rPr>
        <w:t>.</w:t>
      </w:r>
      <w:r w:rsidRPr="00E773DC">
        <w:rPr>
          <w:color w:val="000000" w:themeColor="text1"/>
          <w:lang w:val="fr-FR"/>
        </w:rPr>
        <w:t>1</w:t>
      </w:r>
      <w:r w:rsidR="00F72B31" w:rsidRPr="00F72B31">
        <w:rPr>
          <w:color w:val="000000" w:themeColor="text1"/>
          <w:lang w:val="fr-FR"/>
        </w:rPr>
        <w:t>.</w:t>
      </w:r>
      <w:r w:rsidRPr="00E773DC">
        <w:rPr>
          <w:color w:val="000000" w:themeColor="text1"/>
          <w:lang w:val="fr-FR"/>
        </w:rPr>
        <w:t>1</w:t>
      </w:r>
      <w:r w:rsidRPr="00E773DC">
        <w:rPr>
          <w:color w:val="000000" w:themeColor="text1"/>
          <w:lang w:val="fr-FR"/>
        </w:rPr>
        <w:tab/>
      </w:r>
      <w:r w:rsidRPr="00CE2EDF">
        <w:rPr>
          <w:strike/>
          <w:color w:val="000000" w:themeColor="text1"/>
          <w:lang w:val="fr-FR"/>
        </w:rPr>
        <w:t>Des analyseurs de gaz pour mesurer les concentrations des polluants gazeux réglementés dans les gaz d</w:t>
      </w:r>
      <w:r>
        <w:rPr>
          <w:strike/>
          <w:color w:val="000000" w:themeColor="text1"/>
          <w:lang w:val="fr-FR"/>
        </w:rPr>
        <w:t>’</w:t>
      </w:r>
      <w:r w:rsidRPr="00CE2EDF">
        <w:rPr>
          <w:strike/>
          <w:color w:val="000000" w:themeColor="text1"/>
          <w:lang w:val="fr-FR"/>
        </w:rPr>
        <w:t xml:space="preserve">échappement </w:t>
      </w:r>
      <w:r>
        <w:rPr>
          <w:b/>
          <w:bCs/>
          <w:color w:val="000000" w:themeColor="text1"/>
          <w:lang w:val="fr-FR"/>
        </w:rPr>
        <w:t>Des a</w:t>
      </w:r>
      <w:r w:rsidRPr="00CE2EDF">
        <w:rPr>
          <w:b/>
          <w:bCs/>
          <w:color w:val="000000" w:themeColor="text1"/>
          <w:lang w:val="fr-FR"/>
        </w:rPr>
        <w:t xml:space="preserve">nalyseurs de gaz et </w:t>
      </w:r>
      <w:r>
        <w:rPr>
          <w:b/>
          <w:bCs/>
          <w:color w:val="000000" w:themeColor="text1"/>
          <w:lang w:val="fr-FR"/>
        </w:rPr>
        <w:t xml:space="preserve">des </w:t>
      </w:r>
      <w:r w:rsidRPr="00E773DC">
        <w:rPr>
          <w:b/>
          <w:bCs/>
          <w:color w:val="000000" w:themeColor="text1"/>
          <w:lang w:val="fr-FR"/>
        </w:rPr>
        <w:t>analyseurs de particules pour mesurer les concentrations de</w:t>
      </w:r>
      <w:r>
        <w:rPr>
          <w:b/>
          <w:bCs/>
          <w:color w:val="000000" w:themeColor="text1"/>
          <w:lang w:val="fr-FR"/>
        </w:rPr>
        <w:t>s</w:t>
      </w:r>
      <w:r w:rsidRPr="00E773DC">
        <w:rPr>
          <w:b/>
          <w:bCs/>
          <w:color w:val="000000" w:themeColor="text1"/>
          <w:lang w:val="fr-FR"/>
        </w:rPr>
        <w:t xml:space="preserve"> polluants réglementés dans les gaz d</w:t>
      </w:r>
      <w:r>
        <w:rPr>
          <w:b/>
          <w:bCs/>
          <w:color w:val="000000" w:themeColor="text1"/>
          <w:lang w:val="fr-FR"/>
        </w:rPr>
        <w:t>’</w:t>
      </w:r>
      <w:r w:rsidRPr="00E773DC">
        <w:rPr>
          <w:b/>
          <w:bCs/>
          <w:color w:val="000000" w:themeColor="text1"/>
          <w:lang w:val="fr-FR"/>
        </w:rPr>
        <w:t>échappement</w:t>
      </w:r>
      <w:r w:rsidRPr="00A0517E">
        <w:rPr>
          <w:color w:val="000000" w:themeColor="text1"/>
          <w:lang w:val="fr-FR"/>
        </w:rPr>
        <w:t> ;</w:t>
      </w:r>
      <w:r w:rsidRPr="00E773DC">
        <w:rPr>
          <w:color w:val="000000" w:themeColor="text1"/>
          <w:lang w:val="fr-FR"/>
        </w:rPr>
        <w:t> »</w:t>
      </w:r>
      <w:r w:rsidR="00F72B31" w:rsidRPr="00F72B31">
        <w:rPr>
          <w:color w:val="000000" w:themeColor="text1"/>
          <w:lang w:val="fr-FR"/>
        </w:rPr>
        <w:t>.</w:t>
      </w:r>
    </w:p>
    <w:p w14:paraId="179207C5" w14:textId="77777777" w:rsidR="00B921D9" w:rsidRPr="00E773DC" w:rsidRDefault="00B921D9" w:rsidP="00B921D9">
      <w:pPr>
        <w:pStyle w:val="SingleTxtG"/>
        <w:keepNext/>
        <w:rPr>
          <w:color w:val="000000" w:themeColor="text1"/>
          <w:lang w:val="fr-FR"/>
        </w:rPr>
      </w:pPr>
      <w:r w:rsidRPr="00E773DC">
        <w:rPr>
          <w:i/>
          <w:iCs/>
          <w:color w:val="000000" w:themeColor="text1"/>
          <w:lang w:val="fr-FR"/>
        </w:rPr>
        <w:t>Tableau 1 du paragraphe A</w:t>
      </w:r>
      <w:r w:rsidR="00F72B31" w:rsidRPr="00F72B31">
        <w:rPr>
          <w:i/>
          <w:iCs/>
          <w:color w:val="000000" w:themeColor="text1"/>
          <w:lang w:val="fr-FR"/>
        </w:rPr>
        <w:t>.</w:t>
      </w:r>
      <w:r w:rsidRPr="00E773DC">
        <w:rPr>
          <w:i/>
          <w:iCs/>
          <w:color w:val="000000" w:themeColor="text1"/>
          <w:lang w:val="fr-FR"/>
        </w:rPr>
        <w:t>1</w:t>
      </w:r>
      <w:r w:rsidR="00F72B31" w:rsidRPr="00F72B31">
        <w:rPr>
          <w:i/>
          <w:iCs/>
          <w:color w:val="000000" w:themeColor="text1"/>
          <w:lang w:val="fr-FR"/>
        </w:rPr>
        <w:t>.</w:t>
      </w:r>
      <w:r w:rsidRPr="00E773DC">
        <w:rPr>
          <w:i/>
          <w:iCs/>
          <w:color w:val="000000" w:themeColor="text1"/>
          <w:lang w:val="fr-FR"/>
        </w:rPr>
        <w:t>2</w:t>
      </w:r>
      <w:r w:rsidR="00F72B31" w:rsidRPr="00F72B31">
        <w:rPr>
          <w:i/>
          <w:iCs/>
          <w:color w:val="000000" w:themeColor="text1"/>
          <w:lang w:val="fr-FR"/>
        </w:rPr>
        <w:t>.</w:t>
      </w:r>
      <w:r w:rsidRPr="00E773DC">
        <w:rPr>
          <w:i/>
          <w:iCs/>
          <w:color w:val="000000" w:themeColor="text1"/>
          <w:lang w:val="fr-FR"/>
        </w:rPr>
        <w:t>2</w:t>
      </w:r>
      <w:r w:rsidRPr="00E773DC">
        <w:rPr>
          <w:color w:val="000000" w:themeColor="text1"/>
          <w:lang w:val="fr-FR"/>
        </w:rPr>
        <w:t>, lire :</w:t>
      </w:r>
    </w:p>
    <w:p w14:paraId="5840BE92" w14:textId="77777777" w:rsidR="00B921D9" w:rsidRDefault="00B921D9" w:rsidP="0007092C">
      <w:pPr>
        <w:pStyle w:val="Titre1"/>
        <w:spacing w:after="120"/>
        <w:rPr>
          <w:rFonts w:eastAsia="MS Mincho"/>
          <w:b/>
          <w:noProof/>
          <w:lang w:val="fr-FR" w:eastAsia="fi-FI"/>
        </w:rPr>
      </w:pPr>
      <w:r w:rsidRPr="00E773DC">
        <w:rPr>
          <w:color w:val="000000" w:themeColor="text1"/>
          <w:lang w:val="fr-FR"/>
        </w:rPr>
        <w:t>« </w:t>
      </w:r>
      <w:bookmarkStart w:id="20" w:name="_Toc339542158"/>
      <w:bookmarkStart w:id="21" w:name="_Toc339460635"/>
      <w:r w:rsidRPr="00E773DC">
        <w:rPr>
          <w:noProof/>
          <w:lang w:val="fr-FR" w:eastAsia="fi-FI"/>
        </w:rPr>
        <w:t>Tableau 1</w:t>
      </w:r>
      <w:bookmarkStart w:id="22" w:name="_Toc339542159"/>
      <w:bookmarkStart w:id="23" w:name="_Toc339460636"/>
      <w:bookmarkEnd w:id="20"/>
      <w:bookmarkEnd w:id="21"/>
      <w:r w:rsidR="0007092C">
        <w:rPr>
          <w:noProof/>
          <w:lang w:val="fr-FR" w:eastAsia="fi-FI"/>
        </w:rPr>
        <w:br/>
      </w:r>
      <w:r w:rsidRPr="00E773DC">
        <w:rPr>
          <w:rFonts w:eastAsia="MS Mincho"/>
          <w:b/>
          <w:noProof/>
          <w:lang w:val="fr-FR" w:eastAsia="fi-FI"/>
        </w:rPr>
        <w:t>Paramètres d</w:t>
      </w:r>
      <w:r>
        <w:rPr>
          <w:rFonts w:eastAsia="MS Mincho"/>
          <w:b/>
          <w:noProof/>
          <w:lang w:val="fr-FR" w:eastAsia="fi-FI"/>
        </w:rPr>
        <w:t>’essai</w:t>
      </w:r>
      <w:bookmarkEnd w:id="22"/>
      <w:bookmarkEnd w:id="23"/>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4250"/>
        <w:gridCol w:w="1416"/>
        <w:gridCol w:w="2838"/>
      </w:tblGrid>
      <w:tr w:rsidR="00B921D9" w:rsidRPr="00BA0FA5" w14:paraId="67175ED1" w14:textId="77777777" w:rsidTr="00BA0FA5">
        <w:trPr>
          <w:tblHeader/>
        </w:trPr>
        <w:tc>
          <w:tcPr>
            <w:tcW w:w="4250" w:type="dxa"/>
            <w:shd w:val="clear" w:color="auto" w:fill="auto"/>
            <w:vAlign w:val="bottom"/>
          </w:tcPr>
          <w:p w14:paraId="46DBD51C" w14:textId="77777777" w:rsidR="00B921D9" w:rsidRPr="00BA0FA5" w:rsidRDefault="00B921D9" w:rsidP="00BA0FA5">
            <w:pPr>
              <w:spacing w:before="60" w:after="60" w:line="220" w:lineRule="atLeast"/>
              <w:ind w:left="57" w:right="57"/>
              <w:rPr>
                <w:i/>
                <w:sz w:val="16"/>
                <w:lang w:val="fr-FR"/>
              </w:rPr>
            </w:pPr>
            <w:r w:rsidRPr="00BA0FA5">
              <w:rPr>
                <w:i/>
                <w:sz w:val="16"/>
                <w:lang w:val="fr-FR"/>
              </w:rPr>
              <w:t>Paramètre</w:t>
            </w:r>
          </w:p>
        </w:tc>
        <w:tc>
          <w:tcPr>
            <w:tcW w:w="1416" w:type="dxa"/>
            <w:shd w:val="clear" w:color="auto" w:fill="auto"/>
            <w:vAlign w:val="bottom"/>
          </w:tcPr>
          <w:p w14:paraId="7A8B667D" w14:textId="77777777" w:rsidR="00B921D9" w:rsidRPr="00BA0FA5" w:rsidRDefault="00B921D9" w:rsidP="00BA0FA5">
            <w:pPr>
              <w:spacing w:before="60" w:after="60" w:line="220" w:lineRule="atLeast"/>
              <w:ind w:left="57" w:right="57"/>
              <w:rPr>
                <w:i/>
                <w:sz w:val="16"/>
                <w:lang w:val="fr-FR"/>
              </w:rPr>
            </w:pPr>
            <w:r w:rsidRPr="00BA0FA5">
              <w:rPr>
                <w:i/>
                <w:sz w:val="16"/>
                <w:lang w:val="fr-FR"/>
              </w:rPr>
              <w:t>Unité</w:t>
            </w:r>
          </w:p>
        </w:tc>
        <w:tc>
          <w:tcPr>
            <w:tcW w:w="2838" w:type="dxa"/>
            <w:shd w:val="clear" w:color="auto" w:fill="auto"/>
            <w:vAlign w:val="bottom"/>
          </w:tcPr>
          <w:p w14:paraId="50E7C903" w14:textId="77777777" w:rsidR="00B921D9" w:rsidRPr="00BA0FA5" w:rsidRDefault="00B921D9" w:rsidP="00BA0FA5">
            <w:pPr>
              <w:spacing w:before="60" w:after="60" w:line="220" w:lineRule="atLeast"/>
              <w:ind w:left="57" w:right="57"/>
              <w:rPr>
                <w:i/>
                <w:sz w:val="16"/>
                <w:lang w:val="fr-FR"/>
              </w:rPr>
            </w:pPr>
            <w:r w:rsidRPr="00BA0FA5">
              <w:rPr>
                <w:i/>
                <w:sz w:val="16"/>
                <w:lang w:val="fr-FR"/>
              </w:rPr>
              <w:t>Source</w:t>
            </w:r>
          </w:p>
        </w:tc>
      </w:tr>
      <w:tr w:rsidR="00B921D9" w:rsidRPr="00BA0FA5" w14:paraId="2525A779" w14:textId="77777777" w:rsidTr="00BA0FA5">
        <w:tc>
          <w:tcPr>
            <w:tcW w:w="4250" w:type="dxa"/>
            <w:shd w:val="clear" w:color="auto" w:fill="auto"/>
          </w:tcPr>
          <w:p w14:paraId="069D52E4" w14:textId="77777777" w:rsidR="00B921D9" w:rsidRPr="00BA0FA5" w:rsidRDefault="00B921D9" w:rsidP="00BA0FA5">
            <w:pPr>
              <w:spacing w:before="60" w:after="60" w:line="220" w:lineRule="atLeast"/>
              <w:ind w:left="57" w:right="57"/>
              <w:rPr>
                <w:lang w:val="fr-FR"/>
              </w:rPr>
            </w:pPr>
            <w:r w:rsidRPr="00BA0FA5">
              <w:rPr>
                <w:lang w:val="fr-FR"/>
              </w:rPr>
              <w:t>Concentration THC</w:t>
            </w:r>
            <w:r w:rsidRPr="00690297">
              <w:rPr>
                <w:i/>
                <w:iCs/>
                <w:szCs w:val="18"/>
                <w:vertAlign w:val="superscript"/>
                <w:lang w:val="fr-FR"/>
              </w:rPr>
              <w:t>1</w:t>
            </w:r>
          </w:p>
        </w:tc>
        <w:tc>
          <w:tcPr>
            <w:tcW w:w="1416" w:type="dxa"/>
            <w:shd w:val="clear" w:color="auto" w:fill="auto"/>
          </w:tcPr>
          <w:p w14:paraId="5C81BBEF" w14:textId="77777777" w:rsidR="00B921D9" w:rsidRPr="00BA0FA5" w:rsidRDefault="00B921D9" w:rsidP="00BA0FA5">
            <w:pPr>
              <w:spacing w:before="60" w:after="60" w:line="220" w:lineRule="atLeast"/>
              <w:ind w:left="57" w:right="57"/>
              <w:rPr>
                <w:lang w:val="fr-FR"/>
              </w:rPr>
            </w:pPr>
            <w:r w:rsidRPr="00BA0FA5">
              <w:rPr>
                <w:lang w:val="fr-FR"/>
              </w:rPr>
              <w:t>ppm</w:t>
            </w:r>
          </w:p>
        </w:tc>
        <w:tc>
          <w:tcPr>
            <w:tcW w:w="2838" w:type="dxa"/>
            <w:shd w:val="clear" w:color="auto" w:fill="auto"/>
          </w:tcPr>
          <w:p w14:paraId="7813A81F" w14:textId="77777777" w:rsidR="00B921D9" w:rsidRPr="00BA0FA5" w:rsidRDefault="00B921D9" w:rsidP="00BA0FA5">
            <w:pPr>
              <w:spacing w:before="60" w:after="60" w:line="220" w:lineRule="atLeast"/>
              <w:ind w:left="57" w:right="57"/>
              <w:rPr>
                <w:b/>
                <w:bCs/>
                <w:lang w:val="fr-FR"/>
              </w:rPr>
            </w:pPr>
            <w:r w:rsidRPr="00BA0FA5">
              <w:rPr>
                <w:lang w:val="fr-FR"/>
              </w:rPr>
              <w:t xml:space="preserve">Analyseur </w:t>
            </w:r>
            <w:r w:rsidRPr="00BA0FA5">
              <w:rPr>
                <w:b/>
                <w:bCs/>
                <w:lang w:val="fr-FR"/>
              </w:rPr>
              <w:t>de gaz</w:t>
            </w:r>
          </w:p>
        </w:tc>
      </w:tr>
      <w:tr w:rsidR="00B921D9" w:rsidRPr="00BA0FA5" w14:paraId="204AD089" w14:textId="77777777" w:rsidTr="00BA0FA5">
        <w:tc>
          <w:tcPr>
            <w:tcW w:w="4250" w:type="dxa"/>
            <w:shd w:val="clear" w:color="auto" w:fill="auto"/>
          </w:tcPr>
          <w:p w14:paraId="30968A53" w14:textId="77777777" w:rsidR="00B921D9" w:rsidRPr="00BA0FA5" w:rsidRDefault="00B921D9" w:rsidP="00BA0FA5">
            <w:pPr>
              <w:spacing w:before="60" w:after="60" w:line="220" w:lineRule="atLeast"/>
              <w:ind w:left="57" w:right="57"/>
              <w:rPr>
                <w:lang w:val="fr-FR"/>
              </w:rPr>
            </w:pPr>
            <w:r w:rsidRPr="00BA0FA5">
              <w:rPr>
                <w:lang w:val="fr-FR"/>
              </w:rPr>
              <w:t>Concentration CO</w:t>
            </w:r>
            <w:r w:rsidRPr="00690297">
              <w:rPr>
                <w:i/>
                <w:iCs/>
                <w:szCs w:val="18"/>
                <w:vertAlign w:val="superscript"/>
                <w:lang w:val="fr-FR"/>
              </w:rPr>
              <w:t>1</w:t>
            </w:r>
          </w:p>
        </w:tc>
        <w:tc>
          <w:tcPr>
            <w:tcW w:w="1416" w:type="dxa"/>
            <w:shd w:val="clear" w:color="auto" w:fill="auto"/>
          </w:tcPr>
          <w:p w14:paraId="1A4562ED" w14:textId="77777777" w:rsidR="00B921D9" w:rsidRPr="00BA0FA5" w:rsidRDefault="00B921D9" w:rsidP="00BA0FA5">
            <w:pPr>
              <w:spacing w:before="60" w:after="60" w:line="220" w:lineRule="atLeast"/>
              <w:ind w:left="57" w:right="57"/>
              <w:rPr>
                <w:lang w:val="fr-FR"/>
              </w:rPr>
            </w:pPr>
            <w:r w:rsidRPr="00BA0FA5">
              <w:rPr>
                <w:lang w:val="fr-FR"/>
              </w:rPr>
              <w:t>ppm</w:t>
            </w:r>
          </w:p>
        </w:tc>
        <w:tc>
          <w:tcPr>
            <w:tcW w:w="2838" w:type="dxa"/>
            <w:shd w:val="clear" w:color="auto" w:fill="auto"/>
          </w:tcPr>
          <w:p w14:paraId="72F0F097" w14:textId="77777777" w:rsidR="00B921D9" w:rsidRPr="00BA0FA5" w:rsidRDefault="00B921D9" w:rsidP="00BA0FA5">
            <w:pPr>
              <w:spacing w:before="60" w:after="60" w:line="220" w:lineRule="atLeast"/>
              <w:ind w:left="57" w:right="57"/>
              <w:rPr>
                <w:lang w:val="fr-FR"/>
              </w:rPr>
            </w:pPr>
            <w:r w:rsidRPr="00BA0FA5">
              <w:rPr>
                <w:lang w:val="fr-FR"/>
              </w:rPr>
              <w:t>Analyseur</w:t>
            </w:r>
            <w:r w:rsidRPr="00BA0FA5">
              <w:rPr>
                <w:b/>
                <w:bCs/>
                <w:lang w:val="fr-FR"/>
              </w:rPr>
              <w:t xml:space="preserve"> de gaz</w:t>
            </w:r>
          </w:p>
        </w:tc>
      </w:tr>
      <w:tr w:rsidR="00B921D9" w:rsidRPr="00BA0FA5" w14:paraId="7A85E119" w14:textId="77777777" w:rsidTr="00BA0FA5">
        <w:tc>
          <w:tcPr>
            <w:tcW w:w="4250" w:type="dxa"/>
            <w:shd w:val="clear" w:color="auto" w:fill="auto"/>
          </w:tcPr>
          <w:p w14:paraId="712EDF06" w14:textId="77777777" w:rsidR="00B921D9" w:rsidRPr="00BA0FA5" w:rsidRDefault="00B921D9" w:rsidP="00BA0FA5">
            <w:pPr>
              <w:spacing w:before="60" w:after="60" w:line="220" w:lineRule="atLeast"/>
              <w:ind w:left="57" w:right="57"/>
              <w:rPr>
                <w:lang w:val="fr-FR"/>
              </w:rPr>
            </w:pPr>
            <w:r w:rsidRPr="00BA0FA5">
              <w:rPr>
                <w:lang w:val="fr-FR"/>
              </w:rPr>
              <w:t>Concentration NO</w:t>
            </w:r>
            <w:r w:rsidRPr="00BA0FA5">
              <w:rPr>
                <w:vertAlign w:val="subscript"/>
                <w:lang w:val="fr-FR"/>
              </w:rPr>
              <w:t>x</w:t>
            </w:r>
            <w:r w:rsidRPr="00690297">
              <w:rPr>
                <w:i/>
                <w:iCs/>
                <w:szCs w:val="18"/>
                <w:vertAlign w:val="superscript"/>
                <w:lang w:val="fr-FR"/>
              </w:rPr>
              <w:t>1</w:t>
            </w:r>
          </w:p>
        </w:tc>
        <w:tc>
          <w:tcPr>
            <w:tcW w:w="1416" w:type="dxa"/>
            <w:shd w:val="clear" w:color="auto" w:fill="auto"/>
          </w:tcPr>
          <w:p w14:paraId="2E2EDF6B" w14:textId="77777777" w:rsidR="00B921D9" w:rsidRPr="00BA0FA5" w:rsidRDefault="00B921D9" w:rsidP="00BA0FA5">
            <w:pPr>
              <w:spacing w:before="60" w:after="60" w:line="220" w:lineRule="atLeast"/>
              <w:ind w:left="57" w:right="57"/>
              <w:rPr>
                <w:lang w:val="fr-FR"/>
              </w:rPr>
            </w:pPr>
            <w:r w:rsidRPr="00BA0FA5">
              <w:rPr>
                <w:lang w:val="fr-FR"/>
              </w:rPr>
              <w:t>ppm</w:t>
            </w:r>
          </w:p>
        </w:tc>
        <w:tc>
          <w:tcPr>
            <w:tcW w:w="2838" w:type="dxa"/>
            <w:shd w:val="clear" w:color="auto" w:fill="auto"/>
          </w:tcPr>
          <w:p w14:paraId="573DD79F" w14:textId="77777777" w:rsidR="00B921D9" w:rsidRPr="00BA0FA5" w:rsidRDefault="00B921D9" w:rsidP="00BA0FA5">
            <w:pPr>
              <w:spacing w:before="60" w:after="60" w:line="220" w:lineRule="atLeast"/>
              <w:ind w:left="57" w:right="57"/>
              <w:rPr>
                <w:lang w:val="fr-FR"/>
              </w:rPr>
            </w:pPr>
            <w:r w:rsidRPr="00BA0FA5">
              <w:rPr>
                <w:lang w:val="fr-FR"/>
              </w:rPr>
              <w:t>Analyseur</w:t>
            </w:r>
            <w:r w:rsidRPr="00BA0FA5">
              <w:rPr>
                <w:b/>
                <w:bCs/>
                <w:lang w:val="fr-FR"/>
              </w:rPr>
              <w:t xml:space="preserve"> de gaz</w:t>
            </w:r>
          </w:p>
        </w:tc>
      </w:tr>
      <w:tr w:rsidR="00B921D9" w:rsidRPr="00BA0FA5" w14:paraId="313F6DD9" w14:textId="77777777" w:rsidTr="00BA0FA5">
        <w:tc>
          <w:tcPr>
            <w:tcW w:w="4250" w:type="dxa"/>
            <w:shd w:val="clear" w:color="auto" w:fill="auto"/>
          </w:tcPr>
          <w:p w14:paraId="7D198353" w14:textId="77777777" w:rsidR="00B921D9" w:rsidRPr="00BA0FA5" w:rsidRDefault="00B921D9" w:rsidP="00BA0FA5">
            <w:pPr>
              <w:spacing w:before="60" w:after="60" w:line="220" w:lineRule="atLeast"/>
              <w:ind w:left="57" w:right="57"/>
              <w:rPr>
                <w:lang w:val="fr-FR"/>
              </w:rPr>
            </w:pPr>
            <w:r w:rsidRPr="00BA0FA5">
              <w:rPr>
                <w:lang w:val="fr-FR"/>
              </w:rPr>
              <w:t>Concentration CO</w:t>
            </w:r>
            <w:r w:rsidRPr="00BA0FA5">
              <w:rPr>
                <w:vertAlign w:val="subscript"/>
                <w:lang w:val="fr-FR"/>
              </w:rPr>
              <w:t>2</w:t>
            </w:r>
            <w:r w:rsidRPr="00690297">
              <w:rPr>
                <w:i/>
                <w:iCs/>
                <w:szCs w:val="18"/>
                <w:vertAlign w:val="superscript"/>
                <w:lang w:val="fr-FR"/>
              </w:rPr>
              <w:t>1</w:t>
            </w:r>
          </w:p>
        </w:tc>
        <w:tc>
          <w:tcPr>
            <w:tcW w:w="1416" w:type="dxa"/>
            <w:shd w:val="clear" w:color="auto" w:fill="auto"/>
          </w:tcPr>
          <w:p w14:paraId="56D0021C" w14:textId="77777777" w:rsidR="00B921D9" w:rsidRPr="00BA0FA5" w:rsidRDefault="00B921D9" w:rsidP="00BA0FA5">
            <w:pPr>
              <w:spacing w:before="60" w:after="60" w:line="220" w:lineRule="atLeast"/>
              <w:ind w:left="57" w:right="57"/>
              <w:rPr>
                <w:lang w:val="fr-FR"/>
              </w:rPr>
            </w:pPr>
            <w:r w:rsidRPr="00BA0FA5">
              <w:rPr>
                <w:lang w:val="fr-FR"/>
              </w:rPr>
              <w:t>ppm</w:t>
            </w:r>
          </w:p>
        </w:tc>
        <w:tc>
          <w:tcPr>
            <w:tcW w:w="2838" w:type="dxa"/>
            <w:shd w:val="clear" w:color="auto" w:fill="auto"/>
          </w:tcPr>
          <w:p w14:paraId="04EDC8DD" w14:textId="77777777" w:rsidR="00B921D9" w:rsidRPr="00BA0FA5" w:rsidRDefault="00B921D9" w:rsidP="00BA0FA5">
            <w:pPr>
              <w:spacing w:before="60" w:after="60" w:line="220" w:lineRule="atLeast"/>
              <w:ind w:left="57" w:right="57"/>
              <w:rPr>
                <w:lang w:val="fr-FR"/>
              </w:rPr>
            </w:pPr>
            <w:r w:rsidRPr="00BA0FA5">
              <w:rPr>
                <w:lang w:val="fr-FR"/>
              </w:rPr>
              <w:t>Analyseur</w:t>
            </w:r>
            <w:r w:rsidRPr="00BA0FA5">
              <w:rPr>
                <w:b/>
                <w:bCs/>
                <w:lang w:val="fr-FR"/>
              </w:rPr>
              <w:t xml:space="preserve"> de gaz</w:t>
            </w:r>
          </w:p>
        </w:tc>
      </w:tr>
      <w:tr w:rsidR="00B921D9" w:rsidRPr="00BA0FA5" w14:paraId="231E683B" w14:textId="77777777" w:rsidTr="00BA0FA5">
        <w:tc>
          <w:tcPr>
            <w:tcW w:w="4250" w:type="dxa"/>
            <w:shd w:val="clear" w:color="auto" w:fill="auto"/>
          </w:tcPr>
          <w:p w14:paraId="6965F413" w14:textId="77777777" w:rsidR="00B921D9" w:rsidRPr="00BA0FA5" w:rsidRDefault="00B921D9" w:rsidP="00BA0FA5">
            <w:pPr>
              <w:spacing w:before="60" w:after="60" w:line="220" w:lineRule="atLeast"/>
              <w:ind w:left="57" w:right="57"/>
              <w:rPr>
                <w:lang w:val="fr-FR"/>
              </w:rPr>
            </w:pPr>
            <w:r w:rsidRPr="00BA0FA5">
              <w:rPr>
                <w:lang w:val="fr-FR"/>
              </w:rPr>
              <w:t>Concentration CH</w:t>
            </w:r>
            <w:r w:rsidRPr="00BA0FA5">
              <w:rPr>
                <w:vertAlign w:val="subscript"/>
                <w:lang w:val="fr-FR"/>
              </w:rPr>
              <w:t>4</w:t>
            </w:r>
            <w:r w:rsidRPr="00690297">
              <w:rPr>
                <w:i/>
                <w:iCs/>
                <w:szCs w:val="18"/>
                <w:vertAlign w:val="superscript"/>
                <w:lang w:val="fr-FR"/>
              </w:rPr>
              <w:t>1, 2</w:t>
            </w:r>
          </w:p>
        </w:tc>
        <w:tc>
          <w:tcPr>
            <w:tcW w:w="1416" w:type="dxa"/>
            <w:shd w:val="clear" w:color="auto" w:fill="auto"/>
          </w:tcPr>
          <w:p w14:paraId="0751595E" w14:textId="77777777" w:rsidR="00B921D9" w:rsidRPr="00BA0FA5" w:rsidRDefault="00B921D9" w:rsidP="00BA0FA5">
            <w:pPr>
              <w:spacing w:before="60" w:after="60" w:line="220" w:lineRule="atLeast"/>
              <w:ind w:left="57" w:right="57"/>
              <w:rPr>
                <w:lang w:val="fr-FR"/>
              </w:rPr>
            </w:pPr>
            <w:r w:rsidRPr="00BA0FA5">
              <w:rPr>
                <w:lang w:val="fr-FR"/>
              </w:rPr>
              <w:t>ppm</w:t>
            </w:r>
          </w:p>
        </w:tc>
        <w:tc>
          <w:tcPr>
            <w:tcW w:w="2838" w:type="dxa"/>
            <w:shd w:val="clear" w:color="auto" w:fill="auto"/>
          </w:tcPr>
          <w:p w14:paraId="56DE242B" w14:textId="77777777" w:rsidR="00B921D9" w:rsidRPr="00BA0FA5" w:rsidRDefault="00B921D9" w:rsidP="00BA0FA5">
            <w:pPr>
              <w:spacing w:before="60" w:after="60" w:line="220" w:lineRule="atLeast"/>
              <w:ind w:left="57" w:right="57"/>
              <w:rPr>
                <w:lang w:val="fr-FR"/>
              </w:rPr>
            </w:pPr>
            <w:r w:rsidRPr="00BA0FA5">
              <w:rPr>
                <w:lang w:val="fr-FR"/>
              </w:rPr>
              <w:t>Analyseur</w:t>
            </w:r>
            <w:r w:rsidRPr="00BA0FA5">
              <w:rPr>
                <w:b/>
                <w:bCs/>
                <w:lang w:val="fr-FR"/>
              </w:rPr>
              <w:t xml:space="preserve"> de gaz</w:t>
            </w:r>
          </w:p>
        </w:tc>
      </w:tr>
      <w:tr w:rsidR="00B921D9" w:rsidRPr="00BA0FA5" w14:paraId="45CB2635" w14:textId="77777777" w:rsidTr="00BA0FA5">
        <w:tc>
          <w:tcPr>
            <w:tcW w:w="4250" w:type="dxa"/>
            <w:shd w:val="clear" w:color="auto" w:fill="auto"/>
          </w:tcPr>
          <w:p w14:paraId="60915468" w14:textId="77777777" w:rsidR="00B921D9" w:rsidRPr="00BA0FA5" w:rsidRDefault="00B921D9" w:rsidP="00BA0FA5">
            <w:pPr>
              <w:spacing w:before="60" w:after="60" w:line="220" w:lineRule="atLeast"/>
              <w:ind w:left="57" w:right="57"/>
              <w:rPr>
                <w:b/>
                <w:bCs/>
                <w:lang w:val="fr-FR"/>
              </w:rPr>
            </w:pPr>
            <w:r w:rsidRPr="00BA0FA5">
              <w:rPr>
                <w:b/>
                <w:bCs/>
                <w:lang w:val="fr-FR"/>
              </w:rPr>
              <w:t>Concentration PM</w:t>
            </w:r>
          </w:p>
        </w:tc>
        <w:tc>
          <w:tcPr>
            <w:tcW w:w="1416" w:type="dxa"/>
            <w:shd w:val="clear" w:color="auto" w:fill="auto"/>
          </w:tcPr>
          <w:p w14:paraId="426003BB" w14:textId="77777777" w:rsidR="00B921D9" w:rsidRPr="00BA0FA5" w:rsidRDefault="00B921D9" w:rsidP="00BA0FA5">
            <w:pPr>
              <w:spacing w:before="60" w:after="60" w:line="220" w:lineRule="atLeast"/>
              <w:ind w:left="57" w:right="57"/>
              <w:rPr>
                <w:b/>
                <w:bCs/>
                <w:szCs w:val="18"/>
                <w:lang w:val="fr-FR"/>
              </w:rPr>
            </w:pPr>
            <w:r w:rsidRPr="00BA0FA5">
              <w:rPr>
                <w:rFonts w:eastAsia="MS Mincho"/>
                <w:b/>
                <w:bCs/>
                <w:noProof/>
                <w:szCs w:val="18"/>
                <w:lang w:val="fi-FI" w:eastAsia="fi-FI"/>
              </w:rPr>
              <w:t>#/cm</w:t>
            </w:r>
            <w:r w:rsidRPr="00BA0FA5">
              <w:rPr>
                <w:rFonts w:eastAsia="MS Mincho"/>
                <w:b/>
                <w:bCs/>
                <w:noProof/>
                <w:szCs w:val="18"/>
                <w:vertAlign w:val="superscript"/>
                <w:lang w:val="fi-FI" w:eastAsia="fi-FI"/>
              </w:rPr>
              <w:t>3</w:t>
            </w:r>
          </w:p>
        </w:tc>
        <w:tc>
          <w:tcPr>
            <w:tcW w:w="2838" w:type="dxa"/>
            <w:shd w:val="clear" w:color="auto" w:fill="auto"/>
          </w:tcPr>
          <w:p w14:paraId="787BF0A0" w14:textId="77777777" w:rsidR="00B921D9" w:rsidRPr="00BA0FA5" w:rsidRDefault="00B921D9" w:rsidP="00BA0FA5">
            <w:pPr>
              <w:spacing w:before="60" w:after="60" w:line="220" w:lineRule="atLeast"/>
              <w:ind w:left="57" w:right="57"/>
              <w:rPr>
                <w:b/>
                <w:bCs/>
                <w:lang w:val="fr-FR"/>
              </w:rPr>
            </w:pPr>
            <w:r w:rsidRPr="00BA0FA5">
              <w:rPr>
                <w:b/>
                <w:bCs/>
                <w:lang w:val="fr-FR"/>
              </w:rPr>
              <w:t>Analyseur de particules</w:t>
            </w:r>
          </w:p>
        </w:tc>
      </w:tr>
      <w:tr w:rsidR="00B921D9" w:rsidRPr="00BA0FA5" w14:paraId="412B63FB" w14:textId="77777777" w:rsidTr="00BA0FA5">
        <w:tc>
          <w:tcPr>
            <w:tcW w:w="4250" w:type="dxa"/>
            <w:shd w:val="clear" w:color="auto" w:fill="auto"/>
          </w:tcPr>
          <w:p w14:paraId="1D85914E" w14:textId="77777777" w:rsidR="00B921D9" w:rsidRPr="00BA0FA5" w:rsidRDefault="00B921D9" w:rsidP="00BA0FA5">
            <w:pPr>
              <w:spacing w:before="60" w:after="60" w:line="220" w:lineRule="atLeast"/>
              <w:ind w:left="57" w:right="57"/>
              <w:rPr>
                <w:b/>
                <w:bCs/>
                <w:lang w:val="fr-FR"/>
              </w:rPr>
            </w:pPr>
            <w:r w:rsidRPr="00BA0FA5">
              <w:rPr>
                <w:b/>
                <w:bCs/>
                <w:lang w:val="fr-FR"/>
              </w:rPr>
              <w:t>Niveau de dilution (le cas échéant)</w:t>
            </w:r>
          </w:p>
        </w:tc>
        <w:tc>
          <w:tcPr>
            <w:tcW w:w="1416" w:type="dxa"/>
            <w:shd w:val="clear" w:color="auto" w:fill="auto"/>
          </w:tcPr>
          <w:p w14:paraId="28240CD8" w14:textId="77777777" w:rsidR="00B921D9" w:rsidRPr="00BA0FA5" w:rsidRDefault="00B921D9" w:rsidP="00BA0FA5">
            <w:pPr>
              <w:spacing w:before="60" w:after="60" w:line="220" w:lineRule="atLeast"/>
              <w:ind w:left="57" w:right="57"/>
              <w:rPr>
                <w:b/>
                <w:bCs/>
                <w:lang w:val="fr-FR"/>
              </w:rPr>
            </w:pPr>
            <w:r w:rsidRPr="00BA0FA5">
              <w:rPr>
                <w:b/>
                <w:bCs/>
                <w:lang w:val="fr-FR"/>
              </w:rPr>
              <w:t>–</w:t>
            </w:r>
          </w:p>
        </w:tc>
        <w:tc>
          <w:tcPr>
            <w:tcW w:w="2838" w:type="dxa"/>
            <w:shd w:val="clear" w:color="auto" w:fill="auto"/>
          </w:tcPr>
          <w:p w14:paraId="0A0D7418" w14:textId="77777777" w:rsidR="00B921D9" w:rsidRPr="00BA0FA5" w:rsidRDefault="00B921D9" w:rsidP="00BA0FA5">
            <w:pPr>
              <w:spacing w:before="60" w:after="60" w:line="220" w:lineRule="atLeast"/>
              <w:ind w:left="57" w:right="57"/>
              <w:rPr>
                <w:b/>
                <w:bCs/>
                <w:lang w:val="fr-FR"/>
              </w:rPr>
            </w:pPr>
            <w:r w:rsidRPr="00BA0FA5">
              <w:rPr>
                <w:b/>
                <w:bCs/>
                <w:lang w:val="fr-FR"/>
              </w:rPr>
              <w:t>Analyseur de particules</w:t>
            </w:r>
          </w:p>
        </w:tc>
      </w:tr>
      <w:tr w:rsidR="00B921D9" w:rsidRPr="00BA0FA5" w14:paraId="65C5E45F" w14:textId="77777777" w:rsidTr="00BA0FA5">
        <w:tc>
          <w:tcPr>
            <w:tcW w:w="4250" w:type="dxa"/>
            <w:shd w:val="clear" w:color="auto" w:fill="auto"/>
          </w:tcPr>
          <w:p w14:paraId="38A774EB" w14:textId="77777777" w:rsidR="00B921D9" w:rsidRPr="00BA0FA5" w:rsidRDefault="00B921D9" w:rsidP="00BA0FA5">
            <w:pPr>
              <w:spacing w:before="60" w:after="60" w:line="220" w:lineRule="atLeast"/>
              <w:ind w:left="57" w:right="57"/>
              <w:rPr>
                <w:lang w:val="fr-FR"/>
              </w:rPr>
            </w:pPr>
            <w:r w:rsidRPr="00BA0FA5">
              <w:rPr>
                <w:lang w:val="fr-FR"/>
              </w:rPr>
              <w:t>Débit des gaz d’échappement</w:t>
            </w:r>
          </w:p>
        </w:tc>
        <w:tc>
          <w:tcPr>
            <w:tcW w:w="1416" w:type="dxa"/>
            <w:shd w:val="clear" w:color="auto" w:fill="auto"/>
          </w:tcPr>
          <w:p w14:paraId="0B3D21F5" w14:textId="77777777" w:rsidR="00B921D9" w:rsidRPr="00BA0FA5" w:rsidRDefault="00B921D9" w:rsidP="00BA0FA5">
            <w:pPr>
              <w:spacing w:before="60" w:after="60" w:line="220" w:lineRule="atLeast"/>
              <w:ind w:left="57" w:right="57"/>
              <w:rPr>
                <w:lang w:val="fr-FR"/>
              </w:rPr>
            </w:pPr>
            <w:r w:rsidRPr="00BA0FA5">
              <w:rPr>
                <w:lang w:val="fr-FR"/>
              </w:rPr>
              <w:t>kg/h</w:t>
            </w:r>
          </w:p>
        </w:tc>
        <w:tc>
          <w:tcPr>
            <w:tcW w:w="2838" w:type="dxa"/>
            <w:shd w:val="clear" w:color="auto" w:fill="auto"/>
          </w:tcPr>
          <w:p w14:paraId="434C6B87" w14:textId="77777777" w:rsidR="00B921D9" w:rsidRPr="00BA0FA5" w:rsidRDefault="00B921D9" w:rsidP="00BA0FA5">
            <w:pPr>
              <w:spacing w:before="60" w:after="60" w:line="220" w:lineRule="atLeast"/>
              <w:ind w:left="57" w:right="57"/>
              <w:rPr>
                <w:lang w:val="fr-FR"/>
              </w:rPr>
            </w:pPr>
            <w:r w:rsidRPr="00BA0FA5">
              <w:rPr>
                <w:lang w:val="fr-FR"/>
              </w:rPr>
              <w:t>Débitmètre des gaz d’échappement (ci</w:t>
            </w:r>
            <w:r w:rsidR="00B12766">
              <w:rPr>
                <w:lang w:val="fr-FR"/>
              </w:rPr>
              <w:t>-</w:t>
            </w:r>
            <w:r w:rsidRPr="00BA0FA5">
              <w:rPr>
                <w:lang w:val="fr-FR"/>
              </w:rPr>
              <w:t xml:space="preserve">après </w:t>
            </w:r>
            <w:r w:rsidR="00BA0FA5" w:rsidRPr="00BA0FA5">
              <w:rPr>
                <w:color w:val="000000" w:themeColor="text1"/>
              </w:rPr>
              <w:t>“</w:t>
            </w:r>
            <w:r w:rsidRPr="00BA0FA5">
              <w:rPr>
                <w:lang w:val="fr-FR"/>
              </w:rPr>
              <w:t>EFM</w:t>
            </w:r>
            <w:r w:rsidR="00BA0FA5" w:rsidRPr="00BA0FA5">
              <w:rPr>
                <w:color w:val="000000" w:themeColor="text1"/>
              </w:rPr>
              <w:t>”</w:t>
            </w:r>
            <w:r w:rsidRPr="00BA0FA5">
              <w:rPr>
                <w:lang w:val="fr-FR"/>
              </w:rPr>
              <w:t>)</w:t>
            </w:r>
          </w:p>
        </w:tc>
      </w:tr>
      <w:tr w:rsidR="00B921D9" w:rsidRPr="00BA0FA5" w14:paraId="1D47F291" w14:textId="77777777" w:rsidTr="00BA0FA5">
        <w:tc>
          <w:tcPr>
            <w:tcW w:w="4250" w:type="dxa"/>
            <w:shd w:val="clear" w:color="auto" w:fill="auto"/>
          </w:tcPr>
          <w:p w14:paraId="73D6F18B" w14:textId="77777777" w:rsidR="00B921D9" w:rsidRPr="00BA0FA5" w:rsidRDefault="00B921D9" w:rsidP="00BA0FA5">
            <w:pPr>
              <w:spacing w:before="60" w:after="60" w:line="220" w:lineRule="atLeast"/>
              <w:ind w:left="57" w:right="57"/>
              <w:rPr>
                <w:lang w:val="fr-FR"/>
              </w:rPr>
            </w:pPr>
            <w:r w:rsidRPr="00BA0FA5">
              <w:rPr>
                <w:lang w:val="fr-FR"/>
              </w:rPr>
              <w:t>Température des gaz d’échappement</w:t>
            </w:r>
          </w:p>
        </w:tc>
        <w:tc>
          <w:tcPr>
            <w:tcW w:w="1416" w:type="dxa"/>
            <w:shd w:val="clear" w:color="auto" w:fill="auto"/>
          </w:tcPr>
          <w:p w14:paraId="17FD43F4" w14:textId="77777777" w:rsidR="00B921D9" w:rsidRPr="00BA0FA5" w:rsidRDefault="00B921D9" w:rsidP="00BA0FA5">
            <w:pPr>
              <w:spacing w:before="60" w:after="60" w:line="220" w:lineRule="atLeast"/>
              <w:ind w:left="57" w:right="57"/>
              <w:rPr>
                <w:lang w:val="fr-FR"/>
              </w:rPr>
            </w:pPr>
            <w:r w:rsidRPr="00BA0FA5">
              <w:rPr>
                <w:strike/>
                <w:lang w:val="fr-FR"/>
              </w:rPr>
              <w:t>°</w:t>
            </w:r>
            <w:r w:rsidRPr="00BA0FA5">
              <w:rPr>
                <w:lang w:val="fr-FR"/>
              </w:rPr>
              <w:t>K</w:t>
            </w:r>
          </w:p>
        </w:tc>
        <w:tc>
          <w:tcPr>
            <w:tcW w:w="2838" w:type="dxa"/>
            <w:shd w:val="clear" w:color="auto" w:fill="auto"/>
          </w:tcPr>
          <w:p w14:paraId="6A24B530" w14:textId="77777777" w:rsidR="00B921D9" w:rsidRPr="00BA0FA5" w:rsidRDefault="00B921D9" w:rsidP="00BA0FA5">
            <w:pPr>
              <w:spacing w:before="60" w:after="60" w:line="220" w:lineRule="atLeast"/>
              <w:ind w:left="57" w:right="57"/>
              <w:rPr>
                <w:lang w:val="fr-FR"/>
              </w:rPr>
            </w:pPr>
            <w:r w:rsidRPr="00BA0FA5">
              <w:rPr>
                <w:lang w:val="fr-FR"/>
              </w:rPr>
              <w:t>EFM</w:t>
            </w:r>
          </w:p>
        </w:tc>
      </w:tr>
      <w:tr w:rsidR="00B921D9" w:rsidRPr="00BA0FA5" w14:paraId="7A908B37" w14:textId="77777777" w:rsidTr="00BA0FA5">
        <w:tc>
          <w:tcPr>
            <w:tcW w:w="4250" w:type="dxa"/>
            <w:shd w:val="clear" w:color="auto" w:fill="auto"/>
          </w:tcPr>
          <w:p w14:paraId="6C316F60" w14:textId="77777777" w:rsidR="00B921D9" w:rsidRPr="00BA0FA5" w:rsidRDefault="00B921D9" w:rsidP="00BA0FA5">
            <w:pPr>
              <w:spacing w:before="60" w:after="60" w:line="220" w:lineRule="atLeast"/>
              <w:ind w:left="57" w:right="57"/>
              <w:rPr>
                <w:lang w:val="fr-FR"/>
              </w:rPr>
            </w:pPr>
            <w:r w:rsidRPr="00BA0FA5">
              <w:rPr>
                <w:lang w:val="fr-FR"/>
              </w:rPr>
              <w:t>Température ambiante</w:t>
            </w:r>
            <w:r w:rsidRPr="00690297">
              <w:rPr>
                <w:i/>
                <w:iCs/>
                <w:szCs w:val="18"/>
                <w:vertAlign w:val="superscript"/>
                <w:lang w:val="fr-FR"/>
              </w:rPr>
              <w:t>3</w:t>
            </w:r>
          </w:p>
        </w:tc>
        <w:tc>
          <w:tcPr>
            <w:tcW w:w="1416" w:type="dxa"/>
            <w:shd w:val="clear" w:color="auto" w:fill="auto"/>
          </w:tcPr>
          <w:p w14:paraId="3F8AB9C0" w14:textId="77777777" w:rsidR="00B921D9" w:rsidRPr="00BA0FA5" w:rsidRDefault="00B921D9" w:rsidP="00BA0FA5">
            <w:pPr>
              <w:spacing w:before="60" w:after="60" w:line="220" w:lineRule="atLeast"/>
              <w:ind w:left="57" w:right="57"/>
              <w:rPr>
                <w:lang w:val="fr-FR"/>
              </w:rPr>
            </w:pPr>
            <w:r w:rsidRPr="00BA0FA5">
              <w:rPr>
                <w:strike/>
                <w:lang w:val="fr-FR"/>
              </w:rPr>
              <w:t>°</w:t>
            </w:r>
            <w:r w:rsidRPr="00BA0FA5">
              <w:rPr>
                <w:lang w:val="fr-FR"/>
              </w:rPr>
              <w:t>K</w:t>
            </w:r>
          </w:p>
        </w:tc>
        <w:tc>
          <w:tcPr>
            <w:tcW w:w="2838" w:type="dxa"/>
            <w:shd w:val="clear" w:color="auto" w:fill="auto"/>
          </w:tcPr>
          <w:p w14:paraId="4804C89A" w14:textId="77777777" w:rsidR="00B921D9" w:rsidRPr="00BA0FA5" w:rsidRDefault="00B921D9" w:rsidP="00BA0FA5">
            <w:pPr>
              <w:spacing w:before="60" w:after="60" w:line="220" w:lineRule="atLeast"/>
              <w:ind w:left="57" w:right="57"/>
              <w:rPr>
                <w:lang w:val="fr-FR"/>
              </w:rPr>
            </w:pPr>
            <w:r w:rsidRPr="00BA0FA5">
              <w:rPr>
                <w:lang w:val="fr-FR"/>
              </w:rPr>
              <w:t>Capteur</w:t>
            </w:r>
          </w:p>
        </w:tc>
      </w:tr>
      <w:tr w:rsidR="00B921D9" w:rsidRPr="00BA0FA5" w14:paraId="19F241A9" w14:textId="77777777" w:rsidTr="00BA0FA5">
        <w:tc>
          <w:tcPr>
            <w:tcW w:w="4250" w:type="dxa"/>
            <w:shd w:val="clear" w:color="auto" w:fill="auto"/>
          </w:tcPr>
          <w:p w14:paraId="1639C3EE" w14:textId="77777777" w:rsidR="00B921D9" w:rsidRPr="00BA0FA5" w:rsidRDefault="00B921D9" w:rsidP="00BA0FA5">
            <w:pPr>
              <w:spacing w:before="60" w:after="60" w:line="220" w:lineRule="atLeast"/>
              <w:ind w:left="57" w:right="57"/>
              <w:rPr>
                <w:lang w:val="fr-FR"/>
              </w:rPr>
            </w:pPr>
            <w:r w:rsidRPr="00BA0FA5">
              <w:rPr>
                <w:lang w:val="fr-FR"/>
              </w:rPr>
              <w:t>Pression ambiante</w:t>
            </w:r>
          </w:p>
        </w:tc>
        <w:tc>
          <w:tcPr>
            <w:tcW w:w="1416" w:type="dxa"/>
            <w:shd w:val="clear" w:color="auto" w:fill="auto"/>
          </w:tcPr>
          <w:p w14:paraId="411E3A2F" w14:textId="77777777" w:rsidR="00B921D9" w:rsidRPr="00BA0FA5" w:rsidRDefault="00B921D9" w:rsidP="00BA0FA5">
            <w:pPr>
              <w:spacing w:before="60" w:after="60" w:line="220" w:lineRule="atLeast"/>
              <w:ind w:left="57" w:right="57"/>
              <w:rPr>
                <w:lang w:val="fr-FR"/>
              </w:rPr>
            </w:pPr>
            <w:r w:rsidRPr="00BA0FA5">
              <w:rPr>
                <w:lang w:val="fr-FR"/>
              </w:rPr>
              <w:t>kPa</w:t>
            </w:r>
          </w:p>
        </w:tc>
        <w:tc>
          <w:tcPr>
            <w:tcW w:w="2838" w:type="dxa"/>
            <w:shd w:val="clear" w:color="auto" w:fill="auto"/>
          </w:tcPr>
          <w:p w14:paraId="3FAAE3CF" w14:textId="77777777" w:rsidR="00B921D9" w:rsidRPr="00BA0FA5" w:rsidRDefault="00B921D9" w:rsidP="00BA0FA5">
            <w:pPr>
              <w:spacing w:before="60" w:after="60" w:line="220" w:lineRule="atLeast"/>
              <w:ind w:left="57" w:right="57"/>
              <w:rPr>
                <w:lang w:val="fr-FR"/>
              </w:rPr>
            </w:pPr>
            <w:r w:rsidRPr="00BA0FA5">
              <w:rPr>
                <w:lang w:val="fr-FR"/>
              </w:rPr>
              <w:t>Capteur</w:t>
            </w:r>
          </w:p>
        </w:tc>
      </w:tr>
      <w:tr w:rsidR="00B921D9" w:rsidRPr="00BA0FA5" w14:paraId="7B289E5D" w14:textId="77777777" w:rsidTr="00BA0FA5">
        <w:tc>
          <w:tcPr>
            <w:tcW w:w="4250" w:type="dxa"/>
            <w:shd w:val="clear" w:color="auto" w:fill="auto"/>
          </w:tcPr>
          <w:p w14:paraId="7DCDB27A" w14:textId="77777777" w:rsidR="00B921D9" w:rsidRPr="00BA0FA5" w:rsidRDefault="00B921D9" w:rsidP="00BA0FA5">
            <w:pPr>
              <w:spacing w:before="60" w:after="60" w:line="220" w:lineRule="atLeast"/>
              <w:ind w:left="57" w:right="57"/>
              <w:rPr>
                <w:lang w:val="fr-FR"/>
              </w:rPr>
            </w:pPr>
            <w:r w:rsidRPr="00BA0FA5">
              <w:rPr>
                <w:lang w:val="fr-FR"/>
              </w:rPr>
              <w:t>Couple moteur</w:t>
            </w:r>
            <w:r w:rsidRPr="00690297">
              <w:rPr>
                <w:i/>
                <w:iCs/>
                <w:szCs w:val="18"/>
                <w:vertAlign w:val="superscript"/>
                <w:lang w:val="fr-FR"/>
              </w:rPr>
              <w:t>4</w:t>
            </w:r>
          </w:p>
        </w:tc>
        <w:tc>
          <w:tcPr>
            <w:tcW w:w="1416" w:type="dxa"/>
            <w:shd w:val="clear" w:color="auto" w:fill="auto"/>
          </w:tcPr>
          <w:p w14:paraId="5744FA77" w14:textId="77777777" w:rsidR="00B921D9" w:rsidRPr="00BA0FA5" w:rsidRDefault="00B921D9" w:rsidP="00BA0FA5">
            <w:pPr>
              <w:spacing w:before="60" w:after="60" w:line="220" w:lineRule="atLeast"/>
              <w:ind w:left="57" w:right="57"/>
              <w:rPr>
                <w:lang w:val="fr-FR"/>
              </w:rPr>
            </w:pPr>
            <w:r w:rsidRPr="00BA0FA5">
              <w:rPr>
                <w:lang w:val="fr-FR"/>
              </w:rPr>
              <w:t>Nm</w:t>
            </w:r>
          </w:p>
        </w:tc>
        <w:tc>
          <w:tcPr>
            <w:tcW w:w="2838" w:type="dxa"/>
            <w:shd w:val="clear" w:color="auto" w:fill="auto"/>
          </w:tcPr>
          <w:p w14:paraId="0C4982B9" w14:textId="77777777" w:rsidR="00B921D9" w:rsidRPr="00BA0FA5" w:rsidRDefault="00B921D9" w:rsidP="00BA0FA5">
            <w:pPr>
              <w:spacing w:before="60" w:after="60" w:line="220" w:lineRule="atLeast"/>
              <w:ind w:left="57" w:right="57"/>
              <w:rPr>
                <w:lang w:val="fr-FR"/>
              </w:rPr>
            </w:pPr>
            <w:r w:rsidRPr="00BA0FA5">
              <w:rPr>
                <w:lang w:val="fr-FR"/>
              </w:rPr>
              <w:t>ECU ou capteur</w:t>
            </w:r>
          </w:p>
        </w:tc>
      </w:tr>
      <w:tr w:rsidR="00B921D9" w:rsidRPr="00BA0FA5" w14:paraId="2B7DD481" w14:textId="77777777" w:rsidTr="00BA0FA5">
        <w:tc>
          <w:tcPr>
            <w:tcW w:w="4250" w:type="dxa"/>
            <w:shd w:val="clear" w:color="auto" w:fill="auto"/>
          </w:tcPr>
          <w:p w14:paraId="60504799" w14:textId="77777777" w:rsidR="00B921D9" w:rsidRPr="00BA0FA5" w:rsidRDefault="00B921D9" w:rsidP="00BA0FA5">
            <w:pPr>
              <w:spacing w:before="60" w:after="60" w:line="220" w:lineRule="atLeast"/>
              <w:ind w:left="57" w:right="57"/>
              <w:rPr>
                <w:lang w:val="fr-FR"/>
              </w:rPr>
            </w:pPr>
            <w:r w:rsidRPr="00BA0FA5">
              <w:rPr>
                <w:lang w:val="fr-FR"/>
              </w:rPr>
              <w:t>Régime moteur</w:t>
            </w:r>
          </w:p>
        </w:tc>
        <w:tc>
          <w:tcPr>
            <w:tcW w:w="1416" w:type="dxa"/>
            <w:shd w:val="clear" w:color="auto" w:fill="auto"/>
          </w:tcPr>
          <w:p w14:paraId="02D7B57E" w14:textId="77777777" w:rsidR="00B921D9" w:rsidRPr="00BA0FA5" w:rsidRDefault="00B921D9" w:rsidP="00BA0FA5">
            <w:pPr>
              <w:spacing w:before="60" w:after="60" w:line="220" w:lineRule="atLeast"/>
              <w:ind w:left="57" w:right="57"/>
              <w:rPr>
                <w:lang w:val="fr-FR"/>
              </w:rPr>
            </w:pPr>
            <w:r w:rsidRPr="00BA0FA5">
              <w:rPr>
                <w:lang w:val="fr-FR"/>
              </w:rPr>
              <w:t>tr/min</w:t>
            </w:r>
          </w:p>
        </w:tc>
        <w:tc>
          <w:tcPr>
            <w:tcW w:w="2838" w:type="dxa"/>
            <w:shd w:val="clear" w:color="auto" w:fill="auto"/>
          </w:tcPr>
          <w:p w14:paraId="285A4E62" w14:textId="77777777" w:rsidR="00B921D9" w:rsidRPr="00BA0FA5" w:rsidRDefault="00B921D9" w:rsidP="00BA0FA5">
            <w:pPr>
              <w:spacing w:before="60" w:after="60" w:line="220" w:lineRule="atLeast"/>
              <w:ind w:left="57" w:right="57"/>
              <w:rPr>
                <w:lang w:val="fr-FR"/>
              </w:rPr>
            </w:pPr>
            <w:r w:rsidRPr="00BA0FA5">
              <w:rPr>
                <w:lang w:val="fr-FR"/>
              </w:rPr>
              <w:t>ECU ou capteur</w:t>
            </w:r>
          </w:p>
        </w:tc>
      </w:tr>
      <w:tr w:rsidR="00B921D9" w:rsidRPr="00BA0FA5" w14:paraId="32678B67" w14:textId="77777777" w:rsidTr="00BA0FA5">
        <w:tc>
          <w:tcPr>
            <w:tcW w:w="4250" w:type="dxa"/>
            <w:shd w:val="clear" w:color="auto" w:fill="auto"/>
          </w:tcPr>
          <w:p w14:paraId="154E2D9C" w14:textId="77777777" w:rsidR="00B921D9" w:rsidRPr="00BA0FA5" w:rsidRDefault="00B921D9" w:rsidP="00BA0FA5">
            <w:pPr>
              <w:spacing w:before="60" w:after="60" w:line="220" w:lineRule="atLeast"/>
              <w:ind w:left="57" w:right="57"/>
              <w:rPr>
                <w:lang w:val="fr-FR"/>
              </w:rPr>
            </w:pPr>
            <w:r w:rsidRPr="00BA0FA5">
              <w:rPr>
                <w:lang w:val="fr-FR"/>
              </w:rPr>
              <w:t>Débit de carburant du moteur</w:t>
            </w:r>
          </w:p>
        </w:tc>
        <w:tc>
          <w:tcPr>
            <w:tcW w:w="1416" w:type="dxa"/>
            <w:shd w:val="clear" w:color="auto" w:fill="auto"/>
          </w:tcPr>
          <w:p w14:paraId="73387DDB" w14:textId="77777777" w:rsidR="00B921D9" w:rsidRPr="00BA0FA5" w:rsidRDefault="00B921D9" w:rsidP="00BA0FA5">
            <w:pPr>
              <w:spacing w:before="60" w:after="60" w:line="220" w:lineRule="atLeast"/>
              <w:ind w:left="57" w:right="57"/>
              <w:rPr>
                <w:lang w:val="fr-FR"/>
              </w:rPr>
            </w:pPr>
            <w:r w:rsidRPr="00BA0FA5">
              <w:rPr>
                <w:lang w:val="fr-FR"/>
              </w:rPr>
              <w:t>g/s</w:t>
            </w:r>
          </w:p>
        </w:tc>
        <w:tc>
          <w:tcPr>
            <w:tcW w:w="2838" w:type="dxa"/>
            <w:shd w:val="clear" w:color="auto" w:fill="auto"/>
          </w:tcPr>
          <w:p w14:paraId="59411FA3" w14:textId="77777777" w:rsidR="00B921D9" w:rsidRPr="00BA0FA5" w:rsidRDefault="00B921D9" w:rsidP="00BA0FA5">
            <w:pPr>
              <w:spacing w:before="60" w:after="60" w:line="220" w:lineRule="atLeast"/>
              <w:ind w:left="57" w:right="57"/>
              <w:rPr>
                <w:lang w:val="fr-FR"/>
              </w:rPr>
            </w:pPr>
            <w:r w:rsidRPr="00BA0FA5">
              <w:rPr>
                <w:lang w:val="fr-FR"/>
              </w:rPr>
              <w:t>ECU ou capteur</w:t>
            </w:r>
          </w:p>
        </w:tc>
      </w:tr>
      <w:tr w:rsidR="00B921D9" w:rsidRPr="00BA0FA5" w14:paraId="7F76CAC4" w14:textId="77777777" w:rsidTr="00BA0FA5">
        <w:tc>
          <w:tcPr>
            <w:tcW w:w="4250" w:type="dxa"/>
            <w:shd w:val="clear" w:color="auto" w:fill="auto"/>
          </w:tcPr>
          <w:p w14:paraId="495BCA6E" w14:textId="77777777" w:rsidR="00B921D9" w:rsidRPr="00BA0FA5" w:rsidRDefault="00B921D9" w:rsidP="00BA0FA5">
            <w:pPr>
              <w:spacing w:before="60" w:after="60" w:line="220" w:lineRule="atLeast"/>
              <w:ind w:left="57" w:right="57"/>
              <w:rPr>
                <w:lang w:val="fr-FR"/>
              </w:rPr>
            </w:pPr>
            <w:r w:rsidRPr="00BA0FA5">
              <w:rPr>
                <w:lang w:val="fr-FR"/>
              </w:rPr>
              <w:lastRenderedPageBreak/>
              <w:t>Température du liquide de refroidissement du moteur</w:t>
            </w:r>
          </w:p>
        </w:tc>
        <w:tc>
          <w:tcPr>
            <w:tcW w:w="1416" w:type="dxa"/>
            <w:shd w:val="clear" w:color="auto" w:fill="auto"/>
          </w:tcPr>
          <w:p w14:paraId="6171B9E5" w14:textId="77777777" w:rsidR="00B921D9" w:rsidRPr="00BA0FA5" w:rsidRDefault="00B921D9" w:rsidP="00BA0FA5">
            <w:pPr>
              <w:spacing w:before="60" w:after="60" w:line="220" w:lineRule="atLeast"/>
              <w:ind w:left="57" w:right="57"/>
              <w:rPr>
                <w:lang w:val="fr-FR"/>
              </w:rPr>
            </w:pPr>
            <w:r w:rsidRPr="00BA0FA5">
              <w:rPr>
                <w:strike/>
                <w:lang w:val="fr-FR"/>
              </w:rPr>
              <w:t>°</w:t>
            </w:r>
            <w:r w:rsidRPr="00BA0FA5">
              <w:rPr>
                <w:lang w:val="fr-FR"/>
              </w:rPr>
              <w:t>K</w:t>
            </w:r>
          </w:p>
        </w:tc>
        <w:tc>
          <w:tcPr>
            <w:tcW w:w="2838" w:type="dxa"/>
            <w:shd w:val="clear" w:color="auto" w:fill="auto"/>
          </w:tcPr>
          <w:p w14:paraId="62F58186" w14:textId="77777777" w:rsidR="00B921D9" w:rsidRPr="00BA0FA5" w:rsidRDefault="00B921D9" w:rsidP="00BA0FA5">
            <w:pPr>
              <w:spacing w:before="60" w:after="60" w:line="220" w:lineRule="atLeast"/>
              <w:ind w:left="57" w:right="57"/>
              <w:rPr>
                <w:lang w:val="fr-FR"/>
              </w:rPr>
            </w:pPr>
            <w:r w:rsidRPr="00BA0FA5">
              <w:rPr>
                <w:lang w:val="fr-FR"/>
              </w:rPr>
              <w:t>ECU ou capteur</w:t>
            </w:r>
          </w:p>
        </w:tc>
      </w:tr>
      <w:tr w:rsidR="00B921D9" w:rsidRPr="00BA0FA5" w14:paraId="650A8F97" w14:textId="77777777" w:rsidTr="00BA0FA5">
        <w:tc>
          <w:tcPr>
            <w:tcW w:w="4250" w:type="dxa"/>
            <w:shd w:val="clear" w:color="auto" w:fill="auto"/>
          </w:tcPr>
          <w:p w14:paraId="0B4DC049" w14:textId="77777777" w:rsidR="00B921D9" w:rsidRPr="00BA0FA5" w:rsidRDefault="00B921D9" w:rsidP="00BA0FA5">
            <w:pPr>
              <w:spacing w:before="60" w:after="60" w:line="220" w:lineRule="atLeast"/>
              <w:ind w:left="57" w:right="57"/>
              <w:rPr>
                <w:lang w:val="fr-FR"/>
              </w:rPr>
            </w:pPr>
            <w:r w:rsidRPr="00BA0FA5">
              <w:rPr>
                <w:lang w:val="fr-FR"/>
              </w:rPr>
              <w:t>Température de l’air d’admission du moteur</w:t>
            </w:r>
            <w:r w:rsidRPr="00690297">
              <w:rPr>
                <w:i/>
                <w:iCs/>
                <w:szCs w:val="18"/>
                <w:vertAlign w:val="superscript"/>
                <w:lang w:val="fr-FR"/>
              </w:rPr>
              <w:t>3</w:t>
            </w:r>
          </w:p>
        </w:tc>
        <w:tc>
          <w:tcPr>
            <w:tcW w:w="1416" w:type="dxa"/>
            <w:shd w:val="clear" w:color="auto" w:fill="auto"/>
          </w:tcPr>
          <w:p w14:paraId="40D66665" w14:textId="77777777" w:rsidR="00B921D9" w:rsidRPr="00BA0FA5" w:rsidRDefault="00B921D9" w:rsidP="00BA0FA5">
            <w:pPr>
              <w:spacing w:before="60" w:after="60" w:line="220" w:lineRule="atLeast"/>
              <w:ind w:left="57" w:right="57"/>
              <w:rPr>
                <w:lang w:val="fr-FR"/>
              </w:rPr>
            </w:pPr>
            <w:r w:rsidRPr="00BA0FA5">
              <w:rPr>
                <w:strike/>
                <w:lang w:val="fr-FR"/>
              </w:rPr>
              <w:t>°</w:t>
            </w:r>
            <w:r w:rsidRPr="00BA0FA5">
              <w:rPr>
                <w:lang w:val="fr-FR"/>
              </w:rPr>
              <w:t>K</w:t>
            </w:r>
          </w:p>
        </w:tc>
        <w:tc>
          <w:tcPr>
            <w:tcW w:w="2838" w:type="dxa"/>
            <w:shd w:val="clear" w:color="auto" w:fill="auto"/>
          </w:tcPr>
          <w:p w14:paraId="7C22FB2B" w14:textId="77777777" w:rsidR="00B921D9" w:rsidRPr="00BA0FA5" w:rsidRDefault="00B921D9" w:rsidP="00BA0FA5">
            <w:pPr>
              <w:spacing w:before="60" w:after="60" w:line="220" w:lineRule="atLeast"/>
              <w:ind w:left="57" w:right="57"/>
              <w:rPr>
                <w:lang w:val="fr-FR"/>
              </w:rPr>
            </w:pPr>
            <w:r w:rsidRPr="00BA0FA5">
              <w:rPr>
                <w:lang w:val="fr-FR"/>
              </w:rPr>
              <w:t>Capteur</w:t>
            </w:r>
          </w:p>
        </w:tc>
      </w:tr>
      <w:tr w:rsidR="00B921D9" w:rsidRPr="00BA0FA5" w14:paraId="3F61514B" w14:textId="77777777" w:rsidTr="00BA0FA5">
        <w:tc>
          <w:tcPr>
            <w:tcW w:w="4250" w:type="dxa"/>
            <w:shd w:val="clear" w:color="auto" w:fill="auto"/>
          </w:tcPr>
          <w:p w14:paraId="61336E24" w14:textId="77777777" w:rsidR="00B921D9" w:rsidRPr="00BA0FA5" w:rsidRDefault="00B921D9" w:rsidP="00BA0FA5">
            <w:pPr>
              <w:spacing w:before="60" w:after="60" w:line="220" w:lineRule="atLeast"/>
              <w:ind w:left="57" w:right="57"/>
              <w:rPr>
                <w:lang w:val="fr-FR"/>
              </w:rPr>
            </w:pPr>
            <w:r w:rsidRPr="00BA0FA5">
              <w:rPr>
                <w:lang w:val="fr-FR"/>
              </w:rPr>
              <w:t>Vitesse au sol du véhicule</w:t>
            </w:r>
          </w:p>
        </w:tc>
        <w:tc>
          <w:tcPr>
            <w:tcW w:w="1416" w:type="dxa"/>
            <w:shd w:val="clear" w:color="auto" w:fill="auto"/>
          </w:tcPr>
          <w:p w14:paraId="0D155690" w14:textId="77777777" w:rsidR="00B921D9" w:rsidRPr="00BA0FA5" w:rsidRDefault="00B921D9" w:rsidP="00BA0FA5">
            <w:pPr>
              <w:spacing w:before="60" w:after="60" w:line="220" w:lineRule="atLeast"/>
              <w:ind w:left="57" w:right="57"/>
              <w:rPr>
                <w:lang w:val="fr-FR"/>
              </w:rPr>
            </w:pPr>
            <w:r w:rsidRPr="00BA0FA5">
              <w:rPr>
                <w:lang w:val="fr-FR"/>
              </w:rPr>
              <w:t>km/h</w:t>
            </w:r>
          </w:p>
        </w:tc>
        <w:tc>
          <w:tcPr>
            <w:tcW w:w="2838" w:type="dxa"/>
            <w:shd w:val="clear" w:color="auto" w:fill="auto"/>
          </w:tcPr>
          <w:p w14:paraId="06A692FB" w14:textId="77777777" w:rsidR="00B921D9" w:rsidRPr="00BA0FA5" w:rsidRDefault="00B921D9" w:rsidP="00BA0FA5">
            <w:pPr>
              <w:spacing w:before="60" w:after="60" w:line="220" w:lineRule="atLeast"/>
              <w:ind w:left="57" w:right="57"/>
              <w:rPr>
                <w:lang w:val="fr-FR"/>
              </w:rPr>
            </w:pPr>
            <w:r w:rsidRPr="00BA0FA5">
              <w:rPr>
                <w:lang w:val="fr-FR"/>
              </w:rPr>
              <w:t>ECU et GPS</w:t>
            </w:r>
          </w:p>
        </w:tc>
      </w:tr>
      <w:tr w:rsidR="00B921D9" w:rsidRPr="00BA0FA5" w14:paraId="4F60288C" w14:textId="77777777" w:rsidTr="00BA0FA5">
        <w:tc>
          <w:tcPr>
            <w:tcW w:w="4250" w:type="dxa"/>
            <w:shd w:val="clear" w:color="auto" w:fill="auto"/>
          </w:tcPr>
          <w:p w14:paraId="1378873C" w14:textId="77777777" w:rsidR="00B921D9" w:rsidRPr="00BA0FA5" w:rsidRDefault="00B921D9" w:rsidP="00BA0FA5">
            <w:pPr>
              <w:spacing w:before="60" w:after="60" w:line="220" w:lineRule="atLeast"/>
              <w:ind w:left="57" w:right="57"/>
              <w:rPr>
                <w:lang w:val="fr-FR"/>
              </w:rPr>
            </w:pPr>
            <w:r w:rsidRPr="00BA0FA5">
              <w:rPr>
                <w:lang w:val="fr-FR"/>
              </w:rPr>
              <w:t>Latitude de la position du véhicule</w:t>
            </w:r>
          </w:p>
        </w:tc>
        <w:tc>
          <w:tcPr>
            <w:tcW w:w="1416" w:type="dxa"/>
            <w:shd w:val="clear" w:color="auto" w:fill="auto"/>
          </w:tcPr>
          <w:p w14:paraId="11E8CC3C" w14:textId="77777777" w:rsidR="00B921D9" w:rsidRPr="00BA0FA5" w:rsidRDefault="00B921D9" w:rsidP="00BA0FA5">
            <w:pPr>
              <w:spacing w:before="60" w:after="60" w:line="220" w:lineRule="atLeast"/>
              <w:ind w:left="57" w:right="57"/>
              <w:rPr>
                <w:lang w:val="fr-FR"/>
              </w:rPr>
            </w:pPr>
            <w:r w:rsidRPr="00BA0FA5">
              <w:rPr>
                <w:lang w:val="fr-FR"/>
              </w:rPr>
              <w:t>degrés</w:t>
            </w:r>
          </w:p>
        </w:tc>
        <w:tc>
          <w:tcPr>
            <w:tcW w:w="2838" w:type="dxa"/>
            <w:shd w:val="clear" w:color="auto" w:fill="auto"/>
          </w:tcPr>
          <w:p w14:paraId="2AEFDF8F" w14:textId="77777777" w:rsidR="00B921D9" w:rsidRPr="00BA0FA5" w:rsidRDefault="00B921D9" w:rsidP="00BA0FA5">
            <w:pPr>
              <w:spacing w:before="60" w:after="60" w:line="220" w:lineRule="atLeast"/>
              <w:ind w:left="57" w:right="57"/>
              <w:rPr>
                <w:lang w:val="fr-FR"/>
              </w:rPr>
            </w:pPr>
            <w:r w:rsidRPr="00BA0FA5">
              <w:rPr>
                <w:lang w:val="fr-FR"/>
              </w:rPr>
              <w:t>GPS</w:t>
            </w:r>
          </w:p>
        </w:tc>
      </w:tr>
      <w:tr w:rsidR="00B921D9" w:rsidRPr="00BA0FA5" w14:paraId="05282BFC" w14:textId="77777777" w:rsidTr="00BA0FA5">
        <w:tc>
          <w:tcPr>
            <w:tcW w:w="4250" w:type="dxa"/>
            <w:shd w:val="clear" w:color="auto" w:fill="auto"/>
          </w:tcPr>
          <w:p w14:paraId="37005428" w14:textId="77777777" w:rsidR="00B921D9" w:rsidRPr="00BA0FA5" w:rsidRDefault="00B921D9" w:rsidP="00BA0FA5">
            <w:pPr>
              <w:spacing w:before="60" w:after="60" w:line="220" w:lineRule="atLeast"/>
              <w:ind w:left="57" w:right="57"/>
              <w:rPr>
                <w:lang w:val="fr-FR"/>
              </w:rPr>
            </w:pPr>
            <w:r w:rsidRPr="00BA0FA5">
              <w:rPr>
                <w:lang w:val="fr-FR"/>
              </w:rPr>
              <w:t>Longitude de la position du véhicule</w:t>
            </w:r>
          </w:p>
        </w:tc>
        <w:tc>
          <w:tcPr>
            <w:tcW w:w="1416" w:type="dxa"/>
            <w:shd w:val="clear" w:color="auto" w:fill="auto"/>
          </w:tcPr>
          <w:p w14:paraId="22A95F72" w14:textId="77777777" w:rsidR="00B921D9" w:rsidRPr="00BA0FA5" w:rsidRDefault="00B921D9" w:rsidP="00BA0FA5">
            <w:pPr>
              <w:spacing w:before="60" w:after="60" w:line="220" w:lineRule="atLeast"/>
              <w:ind w:left="57" w:right="57"/>
              <w:rPr>
                <w:lang w:val="fr-FR"/>
              </w:rPr>
            </w:pPr>
            <w:r w:rsidRPr="00BA0FA5">
              <w:rPr>
                <w:lang w:val="fr-FR"/>
              </w:rPr>
              <w:t>degrés</w:t>
            </w:r>
          </w:p>
        </w:tc>
        <w:tc>
          <w:tcPr>
            <w:tcW w:w="2838" w:type="dxa"/>
            <w:shd w:val="clear" w:color="auto" w:fill="auto"/>
          </w:tcPr>
          <w:p w14:paraId="56BF54E1" w14:textId="77777777" w:rsidR="00B921D9" w:rsidRPr="00BA0FA5" w:rsidRDefault="00B921D9" w:rsidP="00BA0FA5">
            <w:pPr>
              <w:spacing w:before="60" w:after="60" w:line="220" w:lineRule="atLeast"/>
              <w:ind w:left="57" w:right="57"/>
              <w:rPr>
                <w:lang w:val="fr-FR"/>
              </w:rPr>
            </w:pPr>
            <w:r w:rsidRPr="00BA0FA5">
              <w:rPr>
                <w:lang w:val="fr-FR"/>
              </w:rPr>
              <w:t>GPS</w:t>
            </w:r>
          </w:p>
        </w:tc>
      </w:tr>
    </w:tbl>
    <w:p w14:paraId="712C19C4" w14:textId="77777777" w:rsidR="00B921D9" w:rsidRPr="00E773DC" w:rsidRDefault="00B921D9" w:rsidP="0007092C">
      <w:pPr>
        <w:keepNext/>
        <w:suppressAutoHyphens w:val="0"/>
        <w:spacing w:before="120" w:line="240" w:lineRule="auto"/>
        <w:ind w:left="1134" w:right="1134" w:firstLine="170"/>
        <w:jc w:val="both"/>
        <w:rPr>
          <w:rFonts w:eastAsia="MS Mincho"/>
          <w:noProof/>
          <w:sz w:val="18"/>
          <w:szCs w:val="18"/>
          <w:lang w:val="fr-FR" w:eastAsia="en-GB"/>
        </w:rPr>
      </w:pPr>
      <w:r w:rsidRPr="00E773DC">
        <w:rPr>
          <w:rFonts w:eastAsia="MS Mincho"/>
          <w:i/>
          <w:noProof/>
          <w:sz w:val="18"/>
          <w:szCs w:val="18"/>
          <w:lang w:val="fr-FR" w:eastAsia="en-GB"/>
        </w:rPr>
        <w:t>Notes :</w:t>
      </w:r>
    </w:p>
    <w:p w14:paraId="43E56F63" w14:textId="77777777" w:rsidR="00B921D9" w:rsidRPr="00DD795E" w:rsidRDefault="00B921D9" w:rsidP="0007092C">
      <w:pPr>
        <w:pStyle w:val="SingleTxtG"/>
        <w:spacing w:after="0"/>
        <w:ind w:right="0" w:firstLine="170"/>
        <w:jc w:val="left"/>
        <w:rPr>
          <w:sz w:val="18"/>
          <w:szCs w:val="18"/>
          <w:lang w:val="fr-FR"/>
        </w:rPr>
      </w:pPr>
      <w:r w:rsidRPr="00DD795E">
        <w:rPr>
          <w:i/>
          <w:sz w:val="18"/>
          <w:szCs w:val="18"/>
          <w:vertAlign w:val="superscript"/>
          <w:lang w:val="fr-FR"/>
        </w:rPr>
        <w:t>1</w:t>
      </w:r>
      <w:r w:rsidRPr="00DD795E">
        <w:rPr>
          <w:sz w:val="18"/>
          <w:szCs w:val="18"/>
          <w:lang w:val="fr-FR"/>
        </w:rPr>
        <w:t xml:space="preserve">  Mesurée dans des conditions humides</w:t>
      </w:r>
      <w:r>
        <w:rPr>
          <w:sz w:val="18"/>
          <w:szCs w:val="18"/>
          <w:lang w:val="fr-FR"/>
        </w:rPr>
        <w:t xml:space="preserve"> ou </w:t>
      </w:r>
      <w:r w:rsidRPr="00DD795E">
        <w:rPr>
          <w:sz w:val="18"/>
          <w:szCs w:val="18"/>
          <w:lang w:val="fr-FR"/>
        </w:rPr>
        <w:t xml:space="preserve">rapportée </w:t>
      </w:r>
      <w:r>
        <w:rPr>
          <w:sz w:val="18"/>
          <w:szCs w:val="18"/>
          <w:lang w:val="fr-FR"/>
        </w:rPr>
        <w:t>à ces conditions</w:t>
      </w:r>
      <w:r w:rsidR="00F72B31" w:rsidRPr="00F72B31">
        <w:rPr>
          <w:sz w:val="18"/>
          <w:szCs w:val="18"/>
          <w:lang w:val="fr-FR"/>
        </w:rPr>
        <w:t>.</w:t>
      </w:r>
    </w:p>
    <w:p w14:paraId="53EEF41E" w14:textId="77777777" w:rsidR="00B921D9" w:rsidRPr="00DD795E" w:rsidRDefault="00B921D9" w:rsidP="0007092C">
      <w:pPr>
        <w:pStyle w:val="SingleTxtG"/>
        <w:spacing w:after="0"/>
        <w:ind w:right="0" w:firstLine="170"/>
        <w:jc w:val="left"/>
        <w:rPr>
          <w:sz w:val="18"/>
          <w:szCs w:val="18"/>
          <w:lang w:val="fr-FR"/>
        </w:rPr>
      </w:pPr>
      <w:r w:rsidRPr="00DD795E">
        <w:rPr>
          <w:i/>
          <w:sz w:val="18"/>
          <w:szCs w:val="18"/>
          <w:vertAlign w:val="superscript"/>
          <w:lang w:val="fr-FR"/>
        </w:rPr>
        <w:t>2</w:t>
      </w:r>
      <w:r w:rsidRPr="00DD795E">
        <w:rPr>
          <w:sz w:val="18"/>
          <w:szCs w:val="18"/>
          <w:lang w:val="fr-FR"/>
        </w:rPr>
        <w:t xml:space="preserve">  Moteurs alimentés au gaz naturel uniquement</w:t>
      </w:r>
      <w:r w:rsidR="00F72B31" w:rsidRPr="00F72B31">
        <w:rPr>
          <w:sz w:val="18"/>
          <w:szCs w:val="18"/>
          <w:lang w:val="fr-FR"/>
        </w:rPr>
        <w:t>.</w:t>
      </w:r>
    </w:p>
    <w:p w14:paraId="111803DC" w14:textId="77777777" w:rsidR="00B921D9" w:rsidRPr="00DD795E" w:rsidRDefault="00B921D9" w:rsidP="0007092C">
      <w:pPr>
        <w:pStyle w:val="SingleTxtG"/>
        <w:spacing w:after="0"/>
        <w:ind w:right="0" w:firstLine="170"/>
        <w:jc w:val="left"/>
        <w:rPr>
          <w:sz w:val="18"/>
          <w:szCs w:val="18"/>
          <w:lang w:val="fr-FR"/>
        </w:rPr>
      </w:pPr>
      <w:r w:rsidRPr="00DD795E">
        <w:rPr>
          <w:i/>
          <w:sz w:val="18"/>
          <w:szCs w:val="18"/>
          <w:vertAlign w:val="superscript"/>
          <w:lang w:val="fr-FR"/>
        </w:rPr>
        <w:t>3</w:t>
      </w:r>
      <w:r w:rsidRPr="00DD795E">
        <w:rPr>
          <w:sz w:val="18"/>
          <w:szCs w:val="18"/>
          <w:lang w:val="fr-FR"/>
        </w:rPr>
        <w:t xml:space="preserve">  Utiliser le capteur de température ambiante ou le capteur de température d</w:t>
      </w:r>
      <w:r>
        <w:rPr>
          <w:sz w:val="18"/>
          <w:szCs w:val="18"/>
          <w:lang w:val="fr-FR"/>
        </w:rPr>
        <w:t>’</w:t>
      </w:r>
      <w:r w:rsidRPr="00DD795E">
        <w:rPr>
          <w:sz w:val="18"/>
          <w:szCs w:val="18"/>
          <w:lang w:val="fr-FR"/>
        </w:rPr>
        <w:t>air d</w:t>
      </w:r>
      <w:r>
        <w:rPr>
          <w:sz w:val="18"/>
          <w:szCs w:val="18"/>
          <w:lang w:val="fr-FR"/>
        </w:rPr>
        <w:t>’</w:t>
      </w:r>
      <w:r w:rsidRPr="00DD795E">
        <w:rPr>
          <w:sz w:val="18"/>
          <w:szCs w:val="18"/>
          <w:lang w:val="fr-FR"/>
        </w:rPr>
        <w:t>admission</w:t>
      </w:r>
      <w:r w:rsidR="00F72B31" w:rsidRPr="00F72B31">
        <w:rPr>
          <w:sz w:val="18"/>
          <w:szCs w:val="18"/>
          <w:lang w:val="fr-FR"/>
        </w:rPr>
        <w:t>.</w:t>
      </w:r>
    </w:p>
    <w:p w14:paraId="6158C40B" w14:textId="77777777" w:rsidR="00B921D9" w:rsidRPr="00DD795E" w:rsidRDefault="00B921D9" w:rsidP="0007092C">
      <w:pPr>
        <w:pStyle w:val="SingleTxtG"/>
        <w:spacing w:after="240"/>
        <w:ind w:right="0" w:firstLine="170"/>
        <w:jc w:val="left"/>
        <w:rPr>
          <w:sz w:val="18"/>
          <w:szCs w:val="18"/>
          <w:lang w:val="fr-FR"/>
        </w:rPr>
      </w:pPr>
      <w:r w:rsidRPr="009232B0">
        <w:rPr>
          <w:i/>
          <w:sz w:val="18"/>
          <w:szCs w:val="18"/>
          <w:vertAlign w:val="superscript"/>
          <w:lang w:val="fr-FR"/>
        </w:rPr>
        <w:t>4</w:t>
      </w:r>
      <w:r w:rsidRPr="009232B0">
        <w:rPr>
          <w:sz w:val="18"/>
          <w:szCs w:val="18"/>
          <w:lang w:val="fr-FR"/>
        </w:rPr>
        <w:t xml:space="preserve">  </w:t>
      </w:r>
      <w:r w:rsidRPr="009232B0">
        <w:rPr>
          <w:spacing w:val="-2"/>
          <w:sz w:val="18"/>
          <w:szCs w:val="18"/>
          <w:lang w:val="fr-FR"/>
        </w:rPr>
        <w:t>La valeur enregistrée doit être soit a) le couple net</w:t>
      </w:r>
      <w:r w:rsidR="001051E9" w:rsidRPr="009232B0">
        <w:rPr>
          <w:spacing w:val="-2"/>
          <w:sz w:val="18"/>
          <w:szCs w:val="18"/>
          <w:lang w:val="fr-FR"/>
        </w:rPr>
        <w:t xml:space="preserve"> du moteur conformément au paragraphe A.1.2.4.4 du présente appendice</w:t>
      </w:r>
      <w:r w:rsidRPr="009232B0">
        <w:rPr>
          <w:spacing w:val="-2"/>
          <w:sz w:val="18"/>
          <w:szCs w:val="18"/>
          <w:lang w:val="fr-FR"/>
        </w:rPr>
        <w:t>, soit b) le couple net du moteur</w:t>
      </w:r>
      <w:r w:rsidR="001051E9" w:rsidRPr="009232B0">
        <w:rPr>
          <w:spacing w:val="-2"/>
          <w:sz w:val="18"/>
          <w:szCs w:val="18"/>
          <w:lang w:val="fr-FR"/>
        </w:rPr>
        <w:t xml:space="preserve"> calculé à partir des valeurs de couple conformément a</w:t>
      </w:r>
      <w:r w:rsidR="001051E9" w:rsidRPr="009232B0">
        <w:rPr>
          <w:spacing w:val="-2"/>
          <w:sz w:val="18"/>
          <w:szCs w:val="18"/>
          <w:lang w:val="fr-FR"/>
        </w:rPr>
        <w:t>u paragraphe A.1.2.4.4 du présente appendice</w:t>
      </w:r>
      <w:r w:rsidR="00F72B31" w:rsidRPr="009232B0">
        <w:rPr>
          <w:spacing w:val="-2"/>
          <w:sz w:val="18"/>
          <w:szCs w:val="18"/>
          <w:lang w:val="fr-FR"/>
        </w:rPr>
        <w:t>.</w:t>
      </w:r>
    </w:p>
    <w:p w14:paraId="2565D1E2" w14:textId="77777777" w:rsidR="00B921D9" w:rsidRPr="00E773DC" w:rsidRDefault="00B921D9" w:rsidP="00B921D9">
      <w:pPr>
        <w:pStyle w:val="SingleTxtG"/>
        <w:keepNext/>
        <w:rPr>
          <w:lang w:val="fr-FR" w:eastAsia="de-DE"/>
        </w:rPr>
      </w:pPr>
      <w:r w:rsidRPr="00E773DC">
        <w:rPr>
          <w:i/>
          <w:iCs/>
          <w:lang w:val="fr-FR" w:eastAsia="de-DE"/>
        </w:rPr>
        <w:t>Ajouter les nouveaux paragraphes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6 et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4</w:t>
      </w:r>
      <w:r w:rsidR="00F72B31" w:rsidRPr="00F72B31">
        <w:rPr>
          <w:i/>
          <w:iCs/>
          <w:lang w:val="fr-FR" w:eastAsia="de-DE"/>
        </w:rPr>
        <w:t>.</w:t>
      </w:r>
      <w:r>
        <w:rPr>
          <w:i/>
          <w:iCs/>
          <w:lang w:val="fr-FR" w:eastAsia="de-DE"/>
        </w:rPr>
        <w:t>7,</w:t>
      </w:r>
      <w:r w:rsidRPr="00E773DC">
        <w:rPr>
          <w:i/>
          <w:iCs/>
          <w:lang w:val="fr-FR" w:eastAsia="de-DE"/>
        </w:rPr>
        <w:t xml:space="preserve"> </w:t>
      </w:r>
      <w:r>
        <w:rPr>
          <w:lang w:val="fr-FR" w:eastAsia="de-DE"/>
        </w:rPr>
        <w:t>libellés comme suit :</w:t>
      </w:r>
    </w:p>
    <w:p w14:paraId="4E31968E" w14:textId="77777777" w:rsidR="00B921D9" w:rsidRPr="00E773DC" w:rsidRDefault="00B921D9" w:rsidP="00B921D9">
      <w:pPr>
        <w:pStyle w:val="SingleTxtG"/>
        <w:tabs>
          <w:tab w:val="left" w:pos="8505"/>
        </w:tabs>
        <w:ind w:left="2268" w:hanging="1134"/>
        <w:rPr>
          <w:rFonts w:eastAsia="MS Mincho"/>
          <w:b/>
          <w:bCs/>
          <w:lang w:val="fr-FR" w:eastAsia="fi-FI"/>
        </w:rPr>
      </w:pPr>
      <w:r w:rsidRPr="00E773DC">
        <w:rPr>
          <w:lang w:val="fr-FR" w:eastAsia="de-DE"/>
        </w:rPr>
        <w:t>« </w:t>
      </w:r>
      <w:r w:rsidRPr="00E773DC">
        <w:rPr>
          <w:b/>
          <w:bCs/>
          <w:lang w:val="fr-FR" w:eastAsia="de-DE"/>
        </w:rPr>
        <w:t>A</w:t>
      </w:r>
      <w:r w:rsidR="00F72B31" w:rsidRPr="00F72B31">
        <w:rPr>
          <w:b/>
          <w:bCs/>
          <w:lang w:val="fr-FR" w:eastAsia="de-DE"/>
        </w:rPr>
        <w:t>.</w:t>
      </w:r>
      <w:r w:rsidRPr="00E773DC">
        <w:rPr>
          <w:b/>
          <w:bCs/>
          <w:lang w:val="fr-FR" w:eastAsia="de-DE"/>
        </w:rPr>
        <w:t>1</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4</w:t>
      </w:r>
      <w:r w:rsidR="00F72B31" w:rsidRPr="00F72B31">
        <w:rPr>
          <w:rFonts w:eastAsia="MS Mincho"/>
          <w:b/>
          <w:bCs/>
          <w:lang w:val="fr-FR" w:eastAsia="fi-FI"/>
        </w:rPr>
        <w:t>.</w:t>
      </w:r>
      <w:r w:rsidRPr="00E773DC">
        <w:rPr>
          <w:rFonts w:eastAsia="MS Mincho"/>
          <w:b/>
          <w:bCs/>
          <w:lang w:val="fr-FR" w:eastAsia="fi-FI"/>
        </w:rPr>
        <w:t>6</w:t>
      </w:r>
      <w:r w:rsidRPr="00E773DC">
        <w:rPr>
          <w:rFonts w:eastAsia="MS Mincho"/>
          <w:b/>
          <w:bCs/>
          <w:lang w:val="fr-FR" w:eastAsia="fi-FI"/>
        </w:rPr>
        <w:tab/>
        <w:t xml:space="preserve">Installation </w:t>
      </w:r>
      <w:r>
        <w:rPr>
          <w:rFonts w:eastAsia="MS Mincho"/>
          <w:b/>
          <w:bCs/>
          <w:lang w:val="fr-FR" w:eastAsia="fi-FI"/>
        </w:rPr>
        <w:t>du compteur de particules</w:t>
      </w:r>
    </w:p>
    <w:p w14:paraId="5F699C0D" w14:textId="77777777" w:rsidR="00B921D9" w:rsidRPr="00E773DC" w:rsidRDefault="00B921D9" w:rsidP="00B921D9">
      <w:pPr>
        <w:pStyle w:val="SingleTxtG"/>
        <w:tabs>
          <w:tab w:val="left" w:pos="8505"/>
        </w:tabs>
        <w:ind w:left="2268"/>
        <w:rPr>
          <w:rFonts w:eastAsia="MS Mincho"/>
          <w:b/>
          <w:bCs/>
          <w:lang w:val="fr-FR" w:eastAsia="fi-FI"/>
        </w:rPr>
      </w:pPr>
      <w:r w:rsidRPr="00E773DC">
        <w:rPr>
          <w:rFonts w:eastAsia="MS Mincho"/>
          <w:b/>
          <w:bCs/>
          <w:lang w:val="fr-FR" w:eastAsia="fi-FI"/>
        </w:rPr>
        <w:t>L</w:t>
      </w:r>
      <w:r>
        <w:rPr>
          <w:rFonts w:eastAsia="MS Mincho"/>
          <w:b/>
          <w:bCs/>
          <w:lang w:val="fr-FR" w:eastAsia="fi-FI"/>
        </w:rPr>
        <w:t>e</w:t>
      </w:r>
      <w:r w:rsidRPr="00D81C33">
        <w:rPr>
          <w:rFonts w:eastAsia="MS Mincho"/>
          <w:b/>
          <w:bCs/>
          <w:lang w:val="fr-FR" w:eastAsia="fi-FI"/>
        </w:rPr>
        <w:t xml:space="preserve"> </w:t>
      </w:r>
      <w:r w:rsidRPr="00E773DC">
        <w:rPr>
          <w:rFonts w:eastAsia="MS Mincho"/>
          <w:b/>
          <w:bCs/>
          <w:lang w:val="fr-FR" w:eastAsia="fi-FI"/>
        </w:rPr>
        <w:t>PEMS</w:t>
      </w:r>
      <w:r>
        <w:rPr>
          <w:rFonts w:eastAsia="MS Mincho"/>
          <w:b/>
          <w:bCs/>
          <w:lang w:val="fr-FR" w:eastAsia="fi-FI"/>
        </w:rPr>
        <w:t xml:space="preserve"> doit être </w:t>
      </w:r>
      <w:r w:rsidRPr="00E773DC">
        <w:rPr>
          <w:rFonts w:eastAsia="MS Mincho"/>
          <w:b/>
          <w:bCs/>
          <w:lang w:val="fr-FR" w:eastAsia="fi-FI"/>
        </w:rPr>
        <w:t>install</w:t>
      </w:r>
      <w:r>
        <w:rPr>
          <w:rFonts w:eastAsia="MS Mincho"/>
          <w:b/>
          <w:bCs/>
          <w:lang w:val="fr-FR" w:eastAsia="fi-FI"/>
        </w:rPr>
        <w:t>é</w:t>
      </w:r>
      <w:r w:rsidRPr="00E773DC">
        <w:rPr>
          <w:rFonts w:eastAsia="MS Mincho"/>
          <w:b/>
          <w:bCs/>
          <w:lang w:val="fr-FR" w:eastAsia="fi-FI"/>
        </w:rPr>
        <w:t xml:space="preserve"> et fonctionne</w:t>
      </w:r>
      <w:r>
        <w:rPr>
          <w:rFonts w:eastAsia="MS Mincho"/>
          <w:b/>
          <w:bCs/>
          <w:lang w:val="fr-FR" w:eastAsia="fi-FI"/>
        </w:rPr>
        <w:t>r de manière à</w:t>
      </w:r>
      <w:r w:rsidRPr="00E773DC">
        <w:rPr>
          <w:rFonts w:eastAsia="MS Mincho"/>
          <w:b/>
          <w:bCs/>
          <w:lang w:val="fr-FR" w:eastAsia="fi-FI"/>
        </w:rPr>
        <w:t xml:space="preserve"> être étanche et </w:t>
      </w:r>
      <w:r>
        <w:rPr>
          <w:rFonts w:eastAsia="MS Mincho"/>
          <w:b/>
          <w:bCs/>
          <w:lang w:val="fr-FR" w:eastAsia="fi-FI"/>
        </w:rPr>
        <w:t xml:space="preserve">à </w:t>
      </w:r>
      <w:r w:rsidRPr="00E773DC">
        <w:rPr>
          <w:rFonts w:eastAsia="MS Mincho"/>
          <w:b/>
          <w:bCs/>
          <w:lang w:val="fr-FR" w:eastAsia="fi-FI"/>
        </w:rPr>
        <w:t>minimiser les pertes de chaleur</w:t>
      </w:r>
      <w:r w:rsidR="00F72B31" w:rsidRPr="00F72B31">
        <w:rPr>
          <w:rFonts w:eastAsia="MS Mincho"/>
          <w:b/>
          <w:bCs/>
          <w:lang w:val="fr-FR" w:eastAsia="fi-FI"/>
        </w:rPr>
        <w:t>.</w:t>
      </w:r>
      <w:r w:rsidRPr="00E773DC">
        <w:rPr>
          <w:rFonts w:eastAsia="MS Mincho"/>
          <w:b/>
          <w:bCs/>
          <w:lang w:val="fr-FR" w:eastAsia="fi-FI"/>
        </w:rPr>
        <w:t xml:space="preserve"> Pour éviter la production de particules, les connecteurs doivent être thermiquement stables aux températures des gaz d</w:t>
      </w:r>
      <w:r>
        <w:rPr>
          <w:rFonts w:eastAsia="MS Mincho"/>
          <w:b/>
          <w:bCs/>
          <w:lang w:val="fr-FR" w:eastAsia="fi-FI"/>
        </w:rPr>
        <w:t>’</w:t>
      </w:r>
      <w:r w:rsidRPr="00E773DC">
        <w:rPr>
          <w:rFonts w:eastAsia="MS Mincho"/>
          <w:b/>
          <w:bCs/>
          <w:lang w:val="fr-FR" w:eastAsia="fi-FI"/>
        </w:rPr>
        <w:t>échappement prévues pendant l</w:t>
      </w:r>
      <w:r>
        <w:rPr>
          <w:rFonts w:eastAsia="MS Mincho"/>
          <w:b/>
          <w:bCs/>
          <w:lang w:val="fr-FR" w:eastAsia="fi-FI"/>
        </w:rPr>
        <w:t>’</w:t>
      </w:r>
      <w:r w:rsidRPr="00E773DC">
        <w:rPr>
          <w:rFonts w:eastAsia="MS Mincho"/>
          <w:b/>
          <w:bCs/>
          <w:lang w:val="fr-FR" w:eastAsia="fi-FI"/>
        </w:rPr>
        <w:t>essai</w:t>
      </w:r>
      <w:r w:rsidR="00F72B31" w:rsidRPr="00F72B31">
        <w:rPr>
          <w:rFonts w:eastAsia="MS Mincho"/>
          <w:b/>
          <w:bCs/>
          <w:lang w:val="fr-FR" w:eastAsia="fi-FI"/>
        </w:rPr>
        <w:t>.</w:t>
      </w:r>
      <w:r w:rsidRPr="00E773DC">
        <w:rPr>
          <w:rFonts w:eastAsia="MS Mincho"/>
          <w:b/>
          <w:bCs/>
          <w:lang w:val="fr-FR" w:eastAsia="fi-FI"/>
        </w:rPr>
        <w:t xml:space="preserve"> </w:t>
      </w:r>
      <w:r>
        <w:rPr>
          <w:rFonts w:eastAsia="MS Mincho"/>
          <w:b/>
          <w:bCs/>
          <w:lang w:val="fr-FR" w:eastAsia="fi-FI"/>
        </w:rPr>
        <w:t>Si</w:t>
      </w:r>
      <w:r w:rsidRPr="00E773DC">
        <w:rPr>
          <w:rFonts w:eastAsia="MS Mincho"/>
          <w:b/>
          <w:bCs/>
          <w:lang w:val="fr-FR" w:eastAsia="fi-FI"/>
        </w:rPr>
        <w:t xml:space="preserve"> des connecteurs en élastomère sont utilisés pour relier la sortie d</w:t>
      </w:r>
      <w:r>
        <w:rPr>
          <w:rFonts w:eastAsia="MS Mincho"/>
          <w:b/>
          <w:bCs/>
          <w:lang w:val="fr-FR" w:eastAsia="fi-FI"/>
        </w:rPr>
        <w:t>’</w:t>
      </w:r>
      <w:r w:rsidRPr="00E773DC">
        <w:rPr>
          <w:rFonts w:eastAsia="MS Mincho"/>
          <w:b/>
          <w:bCs/>
          <w:lang w:val="fr-FR" w:eastAsia="fi-FI"/>
        </w:rPr>
        <w:t>échappement du véhicule et le tube de raccordement, ces connecteurs ne doivent pas être en contact avec les gaz d</w:t>
      </w:r>
      <w:r>
        <w:rPr>
          <w:rFonts w:eastAsia="MS Mincho"/>
          <w:b/>
          <w:bCs/>
          <w:lang w:val="fr-FR" w:eastAsia="fi-FI"/>
        </w:rPr>
        <w:t>’</w:t>
      </w:r>
      <w:r w:rsidRPr="00E773DC">
        <w:rPr>
          <w:rFonts w:eastAsia="MS Mincho"/>
          <w:b/>
          <w:bCs/>
          <w:lang w:val="fr-FR" w:eastAsia="fi-FI"/>
        </w:rPr>
        <w:t>échappement afin d</w:t>
      </w:r>
      <w:r>
        <w:rPr>
          <w:rFonts w:eastAsia="MS Mincho"/>
          <w:b/>
          <w:bCs/>
          <w:lang w:val="fr-FR" w:eastAsia="fi-FI"/>
        </w:rPr>
        <w:t>’</w:t>
      </w:r>
      <w:r w:rsidRPr="00E773DC">
        <w:rPr>
          <w:rFonts w:eastAsia="MS Mincho"/>
          <w:b/>
          <w:bCs/>
          <w:lang w:val="fr-FR" w:eastAsia="fi-FI"/>
        </w:rPr>
        <w:t>éviter les artefacts en cas de charge moteur élevée</w:t>
      </w:r>
      <w:r w:rsidR="00F72B31" w:rsidRPr="00F72B31">
        <w:rPr>
          <w:rFonts w:eastAsia="MS Mincho"/>
          <w:b/>
          <w:bCs/>
          <w:lang w:val="fr-FR" w:eastAsia="fi-FI"/>
        </w:rPr>
        <w:t>.</w:t>
      </w:r>
    </w:p>
    <w:p w14:paraId="71949016" w14:textId="77777777" w:rsidR="00B921D9" w:rsidRPr="00E773DC" w:rsidRDefault="00B921D9" w:rsidP="00B921D9">
      <w:pPr>
        <w:pStyle w:val="SingleTxtG"/>
        <w:ind w:left="2268" w:hanging="1134"/>
        <w:rPr>
          <w:rFonts w:eastAsia="MS Mincho"/>
          <w:b/>
          <w:bCs/>
          <w:lang w:val="fr-FR" w:eastAsia="fi-FI"/>
        </w:rPr>
      </w:pPr>
      <w:r w:rsidRPr="00E773DC">
        <w:rPr>
          <w:rFonts w:eastAsia="MS Mincho"/>
          <w:b/>
          <w:bCs/>
          <w:lang w:val="fr-FR" w:eastAsia="fi-FI"/>
        </w:rPr>
        <w:t>A</w:t>
      </w:r>
      <w:r w:rsidR="00F72B31" w:rsidRPr="00F72B31">
        <w:rPr>
          <w:rFonts w:eastAsia="MS Mincho"/>
          <w:b/>
          <w:bCs/>
          <w:lang w:val="fr-FR" w:eastAsia="fi-FI"/>
        </w:rPr>
        <w:t>.</w:t>
      </w:r>
      <w:r w:rsidRPr="00E773DC">
        <w:rPr>
          <w:rFonts w:eastAsia="MS Mincho"/>
          <w:b/>
          <w:bCs/>
          <w:lang w:val="fr-FR" w:eastAsia="fi-FI"/>
        </w:rPr>
        <w:t>1</w:t>
      </w:r>
      <w:r w:rsidR="00F72B31" w:rsidRPr="00F72B31">
        <w:rPr>
          <w:rFonts w:eastAsia="MS Mincho"/>
          <w:b/>
          <w:bCs/>
          <w:lang w:val="fr-FR" w:eastAsia="fi-FI"/>
        </w:rPr>
        <w:t>.</w:t>
      </w:r>
      <w:r w:rsidRPr="00E773DC">
        <w:rPr>
          <w:rFonts w:eastAsia="MS Mincho"/>
          <w:b/>
          <w:bCs/>
          <w:lang w:val="fr-FR" w:eastAsia="fi-FI"/>
        </w:rPr>
        <w:t>2</w:t>
      </w:r>
      <w:r w:rsidR="00F72B31" w:rsidRPr="00F72B31">
        <w:rPr>
          <w:rFonts w:eastAsia="MS Mincho"/>
          <w:b/>
          <w:bCs/>
          <w:lang w:val="fr-FR" w:eastAsia="fi-FI"/>
        </w:rPr>
        <w:t>.</w:t>
      </w:r>
      <w:r w:rsidRPr="00E773DC">
        <w:rPr>
          <w:rFonts w:eastAsia="MS Mincho"/>
          <w:b/>
          <w:bCs/>
          <w:lang w:val="fr-FR" w:eastAsia="fi-FI"/>
        </w:rPr>
        <w:t>4</w:t>
      </w:r>
      <w:r w:rsidR="00F72B31" w:rsidRPr="00F72B31">
        <w:rPr>
          <w:rFonts w:eastAsia="MS Mincho"/>
          <w:b/>
          <w:bCs/>
          <w:lang w:val="fr-FR" w:eastAsia="fi-FI"/>
        </w:rPr>
        <w:t>.</w:t>
      </w:r>
      <w:r w:rsidRPr="00E773DC">
        <w:rPr>
          <w:rFonts w:eastAsia="MS Mincho"/>
          <w:b/>
          <w:bCs/>
          <w:lang w:val="fr-FR" w:eastAsia="fi-FI"/>
        </w:rPr>
        <w:t>7</w:t>
      </w:r>
      <w:r w:rsidRPr="00E773DC">
        <w:rPr>
          <w:rFonts w:eastAsia="MS Mincho"/>
          <w:b/>
          <w:bCs/>
          <w:lang w:val="fr-FR" w:eastAsia="fi-FI"/>
        </w:rPr>
        <w:tab/>
      </w:r>
      <w:r>
        <w:rPr>
          <w:rFonts w:eastAsia="MS Mincho"/>
          <w:b/>
          <w:bCs/>
          <w:lang w:val="fr-FR" w:eastAsia="fi-FI"/>
        </w:rPr>
        <w:t>P</w:t>
      </w:r>
      <w:r w:rsidRPr="00F80EEC">
        <w:rPr>
          <w:rFonts w:eastAsia="MS Mincho"/>
          <w:b/>
          <w:bCs/>
          <w:lang w:val="fr-FR" w:eastAsia="fi-FI"/>
        </w:rPr>
        <w:t xml:space="preserve">rélèvement </w:t>
      </w:r>
      <w:r w:rsidRPr="00E773DC">
        <w:rPr>
          <w:rFonts w:eastAsia="MS Mincho"/>
          <w:b/>
          <w:bCs/>
          <w:lang w:val="fr-FR" w:eastAsia="fi-FI"/>
        </w:rPr>
        <w:t>des émissions de particules</w:t>
      </w:r>
    </w:p>
    <w:p w14:paraId="6B689560" w14:textId="77777777" w:rsidR="00B921D9" w:rsidRPr="00E773DC" w:rsidRDefault="00B921D9" w:rsidP="00B921D9">
      <w:pPr>
        <w:pStyle w:val="SingleTxtG"/>
        <w:ind w:left="2268"/>
        <w:rPr>
          <w:rFonts w:eastAsia="MS Mincho"/>
          <w:b/>
          <w:bCs/>
          <w:lang w:val="fr-FR" w:eastAsia="fi-FI"/>
        </w:rPr>
      </w:pPr>
      <w:r w:rsidRPr="00F80EEC">
        <w:rPr>
          <w:rFonts w:eastAsia="MS Mincho"/>
          <w:b/>
          <w:bCs/>
          <w:lang w:val="fr-FR" w:eastAsia="fi-FI"/>
        </w:rPr>
        <w:t xml:space="preserve">Le prélèvement </w:t>
      </w:r>
      <w:r w:rsidRPr="00E773DC">
        <w:rPr>
          <w:rFonts w:eastAsia="MS Mincho"/>
          <w:b/>
          <w:bCs/>
          <w:lang w:val="fr-FR" w:eastAsia="fi-FI"/>
        </w:rPr>
        <w:t xml:space="preserve">des émissions doit être représentatif et effectué </w:t>
      </w:r>
      <w:r>
        <w:rPr>
          <w:rFonts w:eastAsia="MS Mincho"/>
          <w:b/>
          <w:bCs/>
          <w:lang w:val="fr-FR" w:eastAsia="fi-FI"/>
        </w:rPr>
        <w:t>en</w:t>
      </w:r>
      <w:r w:rsidRPr="00E773DC">
        <w:rPr>
          <w:rFonts w:eastAsia="MS Mincho"/>
          <w:b/>
          <w:bCs/>
          <w:lang w:val="fr-FR" w:eastAsia="fi-FI"/>
        </w:rPr>
        <w:t xml:space="preserve"> des </w:t>
      </w:r>
      <w:r>
        <w:rPr>
          <w:rFonts w:eastAsia="MS Mincho"/>
          <w:b/>
          <w:bCs/>
          <w:lang w:val="fr-FR" w:eastAsia="fi-FI"/>
        </w:rPr>
        <w:t>points</w:t>
      </w:r>
      <w:r w:rsidRPr="00E773DC">
        <w:rPr>
          <w:rFonts w:eastAsia="MS Mincho"/>
          <w:b/>
          <w:bCs/>
          <w:lang w:val="fr-FR" w:eastAsia="fi-FI"/>
        </w:rPr>
        <w:t xml:space="preserve"> où les gaz d</w:t>
      </w:r>
      <w:r>
        <w:rPr>
          <w:rFonts w:eastAsia="MS Mincho"/>
          <w:b/>
          <w:bCs/>
          <w:lang w:val="fr-FR" w:eastAsia="fi-FI"/>
        </w:rPr>
        <w:t>’</w:t>
      </w:r>
      <w:r w:rsidRPr="00E773DC">
        <w:rPr>
          <w:rFonts w:eastAsia="MS Mincho"/>
          <w:b/>
          <w:bCs/>
          <w:lang w:val="fr-FR" w:eastAsia="fi-FI"/>
        </w:rPr>
        <w:t>échappement sont bien mélangés et où l</w:t>
      </w:r>
      <w:r>
        <w:rPr>
          <w:rFonts w:eastAsia="MS Mincho"/>
          <w:b/>
          <w:bCs/>
          <w:lang w:val="fr-FR" w:eastAsia="fi-FI"/>
        </w:rPr>
        <w:t>’</w:t>
      </w:r>
      <w:r w:rsidRPr="00E773DC">
        <w:rPr>
          <w:rFonts w:eastAsia="MS Mincho"/>
          <w:b/>
          <w:bCs/>
          <w:lang w:val="fr-FR" w:eastAsia="fi-FI"/>
        </w:rPr>
        <w:t>influence de l</w:t>
      </w:r>
      <w:r>
        <w:rPr>
          <w:rFonts w:eastAsia="MS Mincho"/>
          <w:b/>
          <w:bCs/>
          <w:lang w:val="fr-FR" w:eastAsia="fi-FI"/>
        </w:rPr>
        <w:t>’</w:t>
      </w:r>
      <w:r w:rsidRPr="00E773DC">
        <w:rPr>
          <w:rFonts w:eastAsia="MS Mincho"/>
          <w:b/>
          <w:bCs/>
          <w:lang w:val="fr-FR" w:eastAsia="fi-FI"/>
        </w:rPr>
        <w:t xml:space="preserve">air ambiant en aval du point </w:t>
      </w:r>
      <w:r>
        <w:rPr>
          <w:rFonts w:eastAsia="MS Mincho"/>
          <w:b/>
          <w:bCs/>
          <w:lang w:val="fr-FR" w:eastAsia="fi-FI"/>
        </w:rPr>
        <w:t>d</w:t>
      </w:r>
      <w:r w:rsidRPr="00F80EEC">
        <w:rPr>
          <w:rFonts w:eastAsia="MS Mincho"/>
          <w:b/>
          <w:bCs/>
          <w:lang w:val="fr-FR" w:eastAsia="fi-FI"/>
        </w:rPr>
        <w:t xml:space="preserve">e prélèvement </w:t>
      </w:r>
      <w:r w:rsidRPr="00E773DC">
        <w:rPr>
          <w:rFonts w:eastAsia="MS Mincho"/>
          <w:b/>
          <w:bCs/>
          <w:lang w:val="fr-FR" w:eastAsia="fi-FI"/>
        </w:rPr>
        <w:t>est minimale</w:t>
      </w:r>
      <w:r w:rsidR="00F72B31" w:rsidRPr="00F72B31">
        <w:rPr>
          <w:rFonts w:eastAsia="MS Mincho"/>
          <w:b/>
          <w:bCs/>
          <w:lang w:val="fr-FR" w:eastAsia="fi-FI"/>
        </w:rPr>
        <w:t>.</w:t>
      </w:r>
      <w:r w:rsidRPr="00E773DC">
        <w:rPr>
          <w:rFonts w:eastAsia="MS Mincho"/>
          <w:b/>
          <w:bCs/>
          <w:lang w:val="fr-FR" w:eastAsia="fi-FI"/>
        </w:rPr>
        <w:t xml:space="preserve"> Le cas échéant, les émissions sont prélevées en aval du débitmètre massique des gaz d</w:t>
      </w:r>
      <w:r>
        <w:rPr>
          <w:rFonts w:eastAsia="MS Mincho"/>
          <w:b/>
          <w:bCs/>
          <w:lang w:val="fr-FR" w:eastAsia="fi-FI"/>
        </w:rPr>
        <w:t>’</w:t>
      </w:r>
      <w:r w:rsidRPr="00E773DC">
        <w:rPr>
          <w:rFonts w:eastAsia="MS Mincho"/>
          <w:b/>
          <w:bCs/>
          <w:lang w:val="fr-FR" w:eastAsia="fi-FI"/>
        </w:rPr>
        <w:t>échappement, en respectant une distance d</w:t>
      </w:r>
      <w:r>
        <w:rPr>
          <w:rFonts w:eastAsia="MS Mincho"/>
          <w:b/>
          <w:bCs/>
          <w:lang w:val="fr-FR" w:eastAsia="fi-FI"/>
        </w:rPr>
        <w:t>’</w:t>
      </w:r>
      <w:r w:rsidRPr="00E773DC">
        <w:rPr>
          <w:rFonts w:eastAsia="MS Mincho"/>
          <w:b/>
          <w:bCs/>
          <w:lang w:val="fr-FR" w:eastAsia="fi-FI"/>
        </w:rPr>
        <w:t xml:space="preserve">au moins 150 mm par rapport </w:t>
      </w:r>
      <w:r>
        <w:rPr>
          <w:rFonts w:eastAsia="MS Mincho"/>
          <w:b/>
          <w:bCs/>
          <w:lang w:val="fr-FR" w:eastAsia="fi-FI"/>
        </w:rPr>
        <w:t xml:space="preserve">au capteur de </w:t>
      </w:r>
      <w:r w:rsidRPr="00E773DC">
        <w:rPr>
          <w:rFonts w:eastAsia="MS Mincho"/>
          <w:b/>
          <w:bCs/>
          <w:lang w:val="fr-FR" w:eastAsia="fi-FI"/>
        </w:rPr>
        <w:t>débit</w:t>
      </w:r>
      <w:r w:rsidR="00F72B31" w:rsidRPr="00F72B31">
        <w:rPr>
          <w:rFonts w:eastAsia="MS Mincho"/>
          <w:b/>
          <w:bCs/>
          <w:lang w:val="fr-FR" w:eastAsia="fi-FI"/>
        </w:rPr>
        <w:t>.</w:t>
      </w:r>
      <w:r w:rsidRPr="00E773DC">
        <w:rPr>
          <w:rFonts w:eastAsia="MS Mincho"/>
          <w:b/>
          <w:bCs/>
          <w:lang w:val="fr-FR" w:eastAsia="fi-FI"/>
        </w:rPr>
        <w:t xml:space="preserve"> La sonde de prélèvement </w:t>
      </w:r>
      <w:r>
        <w:rPr>
          <w:rFonts w:eastAsia="MS Mincho"/>
          <w:b/>
          <w:bCs/>
          <w:lang w:val="fr-FR" w:eastAsia="fi-FI"/>
        </w:rPr>
        <w:t xml:space="preserve">est </w:t>
      </w:r>
      <w:r w:rsidRPr="00E773DC">
        <w:rPr>
          <w:rFonts w:eastAsia="MS Mincho"/>
          <w:b/>
          <w:bCs/>
          <w:lang w:val="fr-FR" w:eastAsia="fi-FI"/>
        </w:rPr>
        <w:t xml:space="preserve">montée </w:t>
      </w:r>
      <w:r>
        <w:rPr>
          <w:rFonts w:eastAsia="MS Mincho"/>
          <w:b/>
          <w:bCs/>
          <w:lang w:val="fr-FR" w:eastAsia="fi-FI"/>
        </w:rPr>
        <w:t>à une distance d’</w:t>
      </w:r>
      <w:r w:rsidRPr="00E773DC">
        <w:rPr>
          <w:rFonts w:eastAsia="MS Mincho"/>
          <w:b/>
          <w:bCs/>
          <w:lang w:val="fr-FR" w:eastAsia="fi-FI"/>
        </w:rPr>
        <w:t>au moins trois fois le diamètre intérieur du tuyau d</w:t>
      </w:r>
      <w:r>
        <w:rPr>
          <w:rFonts w:eastAsia="MS Mincho"/>
          <w:b/>
          <w:bCs/>
          <w:lang w:val="fr-FR" w:eastAsia="fi-FI"/>
        </w:rPr>
        <w:t>’</w:t>
      </w:r>
      <w:r w:rsidRPr="00E773DC">
        <w:rPr>
          <w:rFonts w:eastAsia="MS Mincho"/>
          <w:b/>
          <w:bCs/>
          <w:lang w:val="fr-FR" w:eastAsia="fi-FI"/>
        </w:rPr>
        <w:t>échappement en amont du point de sortie des gaz d</w:t>
      </w:r>
      <w:r>
        <w:rPr>
          <w:rFonts w:eastAsia="MS Mincho"/>
          <w:b/>
          <w:bCs/>
          <w:lang w:val="fr-FR" w:eastAsia="fi-FI"/>
        </w:rPr>
        <w:t>’</w:t>
      </w:r>
      <w:r w:rsidRPr="00E773DC">
        <w:rPr>
          <w:rFonts w:eastAsia="MS Mincho"/>
          <w:b/>
          <w:bCs/>
          <w:lang w:val="fr-FR" w:eastAsia="fi-FI"/>
        </w:rPr>
        <w:t>échappement dans l</w:t>
      </w:r>
      <w:r>
        <w:rPr>
          <w:rFonts w:eastAsia="MS Mincho"/>
          <w:b/>
          <w:bCs/>
          <w:lang w:val="fr-FR" w:eastAsia="fi-FI"/>
        </w:rPr>
        <w:t>’</w:t>
      </w:r>
      <w:r w:rsidRPr="00E773DC">
        <w:rPr>
          <w:rFonts w:eastAsia="MS Mincho"/>
          <w:b/>
          <w:bCs/>
          <w:lang w:val="fr-FR" w:eastAsia="fi-FI"/>
        </w:rPr>
        <w:t>environnement</w:t>
      </w:r>
      <w:r w:rsidR="00F72B31" w:rsidRPr="00F72B31">
        <w:rPr>
          <w:rFonts w:eastAsia="MS Mincho"/>
          <w:b/>
          <w:bCs/>
          <w:lang w:val="fr-FR" w:eastAsia="fi-FI"/>
        </w:rPr>
        <w:t>.</w:t>
      </w:r>
      <w:r w:rsidRPr="00E773DC">
        <w:rPr>
          <w:rFonts w:eastAsia="MS Mincho"/>
          <w:b/>
          <w:bCs/>
          <w:lang w:val="fr-FR" w:eastAsia="fi-FI"/>
        </w:rPr>
        <w:t xml:space="preserve"> Les gaz d</w:t>
      </w:r>
      <w:r>
        <w:rPr>
          <w:rFonts w:eastAsia="MS Mincho"/>
          <w:b/>
          <w:bCs/>
          <w:lang w:val="fr-FR" w:eastAsia="fi-FI"/>
        </w:rPr>
        <w:t>’</w:t>
      </w:r>
      <w:r w:rsidRPr="00E773DC">
        <w:rPr>
          <w:rFonts w:eastAsia="MS Mincho"/>
          <w:b/>
          <w:bCs/>
          <w:lang w:val="fr-FR" w:eastAsia="fi-FI"/>
        </w:rPr>
        <w:t>échappement sont prélevés au centre du flux de gaz d</w:t>
      </w:r>
      <w:r>
        <w:rPr>
          <w:rFonts w:eastAsia="MS Mincho"/>
          <w:b/>
          <w:bCs/>
          <w:lang w:val="fr-FR" w:eastAsia="fi-FI"/>
        </w:rPr>
        <w:t>’</w:t>
      </w:r>
      <w:r w:rsidRPr="00E773DC">
        <w:rPr>
          <w:rFonts w:eastAsia="MS Mincho"/>
          <w:b/>
          <w:bCs/>
          <w:lang w:val="fr-FR" w:eastAsia="fi-FI"/>
        </w:rPr>
        <w:t>échappement</w:t>
      </w:r>
      <w:r w:rsidR="00F72B31" w:rsidRPr="00F72B31">
        <w:rPr>
          <w:rFonts w:eastAsia="MS Mincho"/>
          <w:b/>
          <w:bCs/>
          <w:lang w:val="fr-FR" w:eastAsia="fi-FI"/>
        </w:rPr>
        <w:t>.</w:t>
      </w:r>
      <w:r w:rsidRPr="00E773DC">
        <w:rPr>
          <w:rFonts w:eastAsia="MS Mincho"/>
          <w:b/>
          <w:bCs/>
          <w:lang w:val="fr-FR" w:eastAsia="fi-FI"/>
        </w:rPr>
        <w:t xml:space="preserve"> Lorsque plusieurs sondes sont utilisées pour </w:t>
      </w:r>
      <w:r>
        <w:rPr>
          <w:rFonts w:eastAsia="MS Mincho"/>
          <w:b/>
          <w:bCs/>
          <w:lang w:val="fr-FR" w:eastAsia="fi-FI"/>
        </w:rPr>
        <w:t>l</w:t>
      </w:r>
      <w:r w:rsidRPr="00F80EEC">
        <w:rPr>
          <w:rFonts w:eastAsia="MS Mincho"/>
          <w:b/>
          <w:bCs/>
          <w:lang w:val="fr-FR" w:eastAsia="fi-FI"/>
        </w:rPr>
        <w:t xml:space="preserve">e prélèvement </w:t>
      </w:r>
      <w:r w:rsidRPr="00E773DC">
        <w:rPr>
          <w:rFonts w:eastAsia="MS Mincho"/>
          <w:b/>
          <w:bCs/>
          <w:lang w:val="fr-FR" w:eastAsia="fi-FI"/>
        </w:rPr>
        <w:t>des émissions, la sonde de prélèvement des particules est placée en amont des autres sondes</w:t>
      </w:r>
      <w:r w:rsidR="00F72B31" w:rsidRPr="00F72B31">
        <w:rPr>
          <w:rFonts w:eastAsia="MS Mincho"/>
          <w:b/>
          <w:bCs/>
          <w:lang w:val="fr-FR" w:eastAsia="fi-FI"/>
        </w:rPr>
        <w:t>.</w:t>
      </w:r>
      <w:r w:rsidRPr="00E773DC">
        <w:rPr>
          <w:rFonts w:eastAsia="MS Mincho"/>
          <w:b/>
          <w:bCs/>
          <w:lang w:val="fr-FR" w:eastAsia="fi-FI"/>
        </w:rPr>
        <w:t xml:space="preserve"> La sonde de prélèvement des particules ne doit pas interférer avec le prélèvement des polluants gazeux</w:t>
      </w:r>
      <w:r w:rsidR="00F72B31" w:rsidRPr="00F72B31">
        <w:rPr>
          <w:rFonts w:eastAsia="MS Mincho"/>
          <w:b/>
          <w:bCs/>
          <w:lang w:val="fr-FR" w:eastAsia="fi-FI"/>
        </w:rPr>
        <w:t>.</w:t>
      </w:r>
      <w:r w:rsidRPr="00E773DC">
        <w:rPr>
          <w:rFonts w:eastAsia="MS Mincho"/>
          <w:b/>
          <w:bCs/>
          <w:lang w:val="fr-FR" w:eastAsia="fi-FI"/>
        </w:rPr>
        <w:t xml:space="preserve"> Le type et les spécifications de la sonde et de son montage doivent être </w:t>
      </w:r>
      <w:r>
        <w:rPr>
          <w:rFonts w:eastAsia="MS Mincho"/>
          <w:b/>
          <w:bCs/>
          <w:lang w:val="fr-FR" w:eastAsia="fi-FI"/>
        </w:rPr>
        <w:t>décrits</w:t>
      </w:r>
      <w:r w:rsidRPr="00E773DC">
        <w:rPr>
          <w:rFonts w:eastAsia="MS Mincho"/>
          <w:b/>
          <w:bCs/>
          <w:lang w:val="fr-FR" w:eastAsia="fi-FI"/>
        </w:rPr>
        <w:t xml:space="preserve"> en détail, soit dans le </w:t>
      </w:r>
      <w:r>
        <w:rPr>
          <w:rFonts w:eastAsia="MS Mincho"/>
          <w:b/>
          <w:bCs/>
          <w:lang w:val="fr-FR" w:eastAsia="fi-FI"/>
        </w:rPr>
        <w:t>procès-verbal</w:t>
      </w:r>
      <w:r w:rsidRPr="00E773DC">
        <w:rPr>
          <w:rFonts w:eastAsia="MS Mincho"/>
          <w:b/>
          <w:bCs/>
          <w:lang w:val="fr-FR" w:eastAsia="fi-FI"/>
        </w:rPr>
        <w:t xml:space="preserve"> d</w:t>
      </w:r>
      <w:r>
        <w:rPr>
          <w:rFonts w:eastAsia="MS Mincho"/>
          <w:b/>
          <w:bCs/>
          <w:lang w:val="fr-FR" w:eastAsia="fi-FI"/>
        </w:rPr>
        <w:t>’</w:t>
      </w:r>
      <w:r w:rsidRPr="00E773DC">
        <w:rPr>
          <w:rFonts w:eastAsia="MS Mincho"/>
          <w:b/>
          <w:bCs/>
          <w:lang w:val="fr-FR" w:eastAsia="fi-FI"/>
        </w:rPr>
        <w:t>essai du service technique (dans le cas d</w:t>
      </w:r>
      <w:r>
        <w:rPr>
          <w:rFonts w:eastAsia="MS Mincho"/>
          <w:b/>
          <w:bCs/>
          <w:lang w:val="fr-FR" w:eastAsia="fi-FI"/>
        </w:rPr>
        <w:t>’</w:t>
      </w:r>
      <w:r w:rsidRPr="00E773DC">
        <w:rPr>
          <w:rFonts w:eastAsia="MS Mincho"/>
          <w:b/>
          <w:bCs/>
          <w:lang w:val="fr-FR" w:eastAsia="fi-FI"/>
        </w:rPr>
        <w:t xml:space="preserve">un essai </w:t>
      </w:r>
      <w:r>
        <w:rPr>
          <w:rFonts w:eastAsia="MS Mincho"/>
          <w:b/>
          <w:bCs/>
          <w:lang w:val="fr-FR" w:eastAsia="fi-FI"/>
        </w:rPr>
        <w:t>effectué dans le cadre</w:t>
      </w:r>
      <w:r w:rsidRPr="00E773DC">
        <w:rPr>
          <w:rFonts w:eastAsia="MS Mincho"/>
          <w:b/>
          <w:bCs/>
          <w:lang w:val="fr-FR" w:eastAsia="fi-FI"/>
        </w:rPr>
        <w:t xml:space="preserve"> de l</w:t>
      </w:r>
      <w:r>
        <w:rPr>
          <w:rFonts w:eastAsia="MS Mincho"/>
          <w:b/>
          <w:bCs/>
          <w:lang w:val="fr-FR" w:eastAsia="fi-FI"/>
        </w:rPr>
        <w:t>’</w:t>
      </w:r>
      <w:r w:rsidRPr="00E773DC">
        <w:rPr>
          <w:rFonts w:eastAsia="MS Mincho"/>
          <w:b/>
          <w:bCs/>
          <w:lang w:val="fr-FR" w:eastAsia="fi-FI"/>
        </w:rPr>
        <w:t xml:space="preserve">homologation de type), soit dans </w:t>
      </w:r>
      <w:r>
        <w:rPr>
          <w:rFonts w:eastAsia="MS Mincho"/>
          <w:b/>
          <w:bCs/>
          <w:lang w:val="fr-FR" w:eastAsia="fi-FI"/>
        </w:rPr>
        <w:t>le dossier fourni par le</w:t>
      </w:r>
      <w:r w:rsidRPr="00E773DC">
        <w:rPr>
          <w:rFonts w:eastAsia="MS Mincho"/>
          <w:b/>
          <w:bCs/>
          <w:lang w:val="fr-FR" w:eastAsia="fi-FI"/>
        </w:rPr>
        <w:t xml:space="preserve"> constructeur du véhicule (dans le cas d</w:t>
      </w:r>
      <w:r>
        <w:rPr>
          <w:rFonts w:eastAsia="MS Mincho"/>
          <w:b/>
          <w:bCs/>
          <w:lang w:val="fr-FR" w:eastAsia="fi-FI"/>
        </w:rPr>
        <w:t>’</w:t>
      </w:r>
      <w:r w:rsidRPr="00E773DC">
        <w:rPr>
          <w:rFonts w:eastAsia="MS Mincho"/>
          <w:b/>
          <w:bCs/>
          <w:lang w:val="fr-FR" w:eastAsia="fi-FI"/>
        </w:rPr>
        <w:t>un essai de conformité en service)</w:t>
      </w:r>
      <w:r w:rsidR="00F72B31" w:rsidRPr="00F72B31">
        <w:rPr>
          <w:rFonts w:eastAsia="MS Mincho"/>
          <w:b/>
          <w:bCs/>
          <w:lang w:val="fr-FR" w:eastAsia="fi-FI"/>
        </w:rPr>
        <w:t>.</w:t>
      </w:r>
    </w:p>
    <w:p w14:paraId="2637679B" w14:textId="77777777" w:rsidR="00B921D9" w:rsidRPr="00E773DC" w:rsidRDefault="00B921D9" w:rsidP="00B921D9">
      <w:pPr>
        <w:pStyle w:val="SingleTxtG"/>
        <w:ind w:left="2268"/>
        <w:rPr>
          <w:rFonts w:eastAsia="MS Mincho"/>
          <w:b/>
          <w:bCs/>
          <w:lang w:val="fr-FR" w:eastAsia="fi-FI"/>
        </w:rPr>
      </w:pPr>
      <w:r w:rsidRPr="00E773DC">
        <w:rPr>
          <w:rFonts w:eastAsia="MS Mincho"/>
          <w:b/>
          <w:bCs/>
          <w:lang w:val="fr-FR" w:eastAsia="fi-FI"/>
        </w:rPr>
        <w:t>Lorsque des particules sont prélevées et non diluées au tuyau d</w:t>
      </w:r>
      <w:r>
        <w:rPr>
          <w:rFonts w:eastAsia="MS Mincho"/>
          <w:b/>
          <w:bCs/>
          <w:lang w:val="fr-FR" w:eastAsia="fi-FI"/>
        </w:rPr>
        <w:t>’</w:t>
      </w:r>
      <w:r w:rsidRPr="00E773DC">
        <w:rPr>
          <w:rFonts w:eastAsia="MS Mincho"/>
          <w:b/>
          <w:bCs/>
          <w:lang w:val="fr-FR" w:eastAsia="fi-FI"/>
        </w:rPr>
        <w:t xml:space="preserve">échappement, la </w:t>
      </w:r>
      <w:r>
        <w:rPr>
          <w:rFonts w:eastAsia="MS Mincho"/>
          <w:b/>
          <w:bCs/>
          <w:lang w:val="fr-FR" w:eastAsia="fi-FI"/>
        </w:rPr>
        <w:t>conduite</w:t>
      </w:r>
      <w:r w:rsidRPr="00E773DC">
        <w:rPr>
          <w:rFonts w:eastAsia="MS Mincho"/>
          <w:b/>
          <w:bCs/>
          <w:lang w:val="fr-FR" w:eastAsia="fi-FI"/>
        </w:rPr>
        <w:t xml:space="preserve"> de prélèvement allant du point </w:t>
      </w:r>
      <w:r>
        <w:rPr>
          <w:rFonts w:eastAsia="MS Mincho"/>
          <w:b/>
          <w:bCs/>
          <w:lang w:val="fr-FR" w:eastAsia="fi-FI"/>
        </w:rPr>
        <w:t>d</w:t>
      </w:r>
      <w:r w:rsidRPr="00F80EEC">
        <w:rPr>
          <w:rFonts w:eastAsia="MS Mincho"/>
          <w:b/>
          <w:bCs/>
          <w:lang w:val="fr-FR" w:eastAsia="fi-FI"/>
        </w:rPr>
        <w:t xml:space="preserve">e prélèvement </w:t>
      </w:r>
      <w:r w:rsidRPr="00E773DC">
        <w:rPr>
          <w:rFonts w:eastAsia="MS Mincho"/>
          <w:b/>
          <w:bCs/>
          <w:lang w:val="fr-FR" w:eastAsia="fi-FI"/>
        </w:rPr>
        <w:t>des gaz d</w:t>
      </w:r>
      <w:r>
        <w:rPr>
          <w:rFonts w:eastAsia="MS Mincho"/>
          <w:b/>
          <w:bCs/>
          <w:lang w:val="fr-FR" w:eastAsia="fi-FI"/>
        </w:rPr>
        <w:t>’</w:t>
      </w:r>
      <w:r w:rsidRPr="00E773DC">
        <w:rPr>
          <w:rFonts w:eastAsia="MS Mincho"/>
          <w:b/>
          <w:bCs/>
          <w:lang w:val="fr-FR" w:eastAsia="fi-FI"/>
        </w:rPr>
        <w:t>échappement bruts au point de dilution ou au détecteur de particules doit être chauffée à un</w:t>
      </w:r>
      <w:r>
        <w:rPr>
          <w:rFonts w:eastAsia="MS Mincho"/>
          <w:b/>
          <w:bCs/>
          <w:lang w:val="fr-FR" w:eastAsia="fi-FI"/>
        </w:rPr>
        <w:t>e température</w:t>
      </w:r>
      <w:r w:rsidRPr="00E773DC">
        <w:rPr>
          <w:rFonts w:eastAsia="MS Mincho"/>
          <w:b/>
          <w:bCs/>
          <w:lang w:val="fr-FR" w:eastAsia="fi-FI"/>
        </w:rPr>
        <w:t xml:space="preserve"> minim</w:t>
      </w:r>
      <w:r>
        <w:rPr>
          <w:rFonts w:eastAsia="MS Mincho"/>
          <w:b/>
          <w:bCs/>
          <w:lang w:val="fr-FR" w:eastAsia="fi-FI"/>
        </w:rPr>
        <w:t>um</w:t>
      </w:r>
      <w:r w:rsidRPr="00E773DC">
        <w:rPr>
          <w:rFonts w:eastAsia="MS Mincho"/>
          <w:b/>
          <w:bCs/>
          <w:lang w:val="fr-FR" w:eastAsia="fi-FI"/>
        </w:rPr>
        <w:t xml:space="preserve"> de 373 K (100</w:t>
      </w:r>
      <w:r>
        <w:rPr>
          <w:rFonts w:eastAsia="MS Mincho"/>
          <w:b/>
          <w:bCs/>
          <w:lang w:val="fr-FR" w:eastAsia="fi-FI"/>
        </w:rPr>
        <w:t> </w:t>
      </w:r>
      <w:r w:rsidRPr="00E773DC">
        <w:rPr>
          <w:rFonts w:eastAsia="MS Mincho"/>
          <w:b/>
          <w:bCs/>
          <w:lang w:val="fr-FR" w:eastAsia="fi-FI"/>
        </w:rPr>
        <w:t>°C)</w:t>
      </w:r>
      <w:r w:rsidR="00F72B31" w:rsidRPr="00F72B31">
        <w:rPr>
          <w:rFonts w:eastAsia="MS Mincho"/>
          <w:b/>
          <w:bCs/>
          <w:lang w:val="fr-FR" w:eastAsia="fi-FI"/>
        </w:rPr>
        <w:t>.</w:t>
      </w:r>
    </w:p>
    <w:p w14:paraId="368E7628" w14:textId="77777777" w:rsidR="00B921D9" w:rsidRPr="00E773DC" w:rsidRDefault="00B921D9" w:rsidP="00B921D9">
      <w:pPr>
        <w:pStyle w:val="SingleTxtG"/>
        <w:tabs>
          <w:tab w:val="left" w:pos="8505"/>
        </w:tabs>
        <w:ind w:left="2268"/>
        <w:rPr>
          <w:lang w:val="fr-FR" w:eastAsia="de-DE"/>
        </w:rPr>
      </w:pPr>
      <w:r w:rsidRPr="00E773DC">
        <w:rPr>
          <w:rFonts w:eastAsia="MS Mincho"/>
          <w:b/>
          <w:bCs/>
          <w:lang w:val="fr-FR" w:eastAsia="fi-FI"/>
        </w:rPr>
        <w:t xml:space="preserve">Toutes les parties du système </w:t>
      </w:r>
      <w:r>
        <w:rPr>
          <w:rFonts w:eastAsia="MS Mincho"/>
          <w:b/>
          <w:bCs/>
          <w:lang w:val="fr-FR" w:eastAsia="fi-FI"/>
        </w:rPr>
        <w:t>d</w:t>
      </w:r>
      <w:r w:rsidRPr="00F80EEC">
        <w:rPr>
          <w:rFonts w:eastAsia="MS Mincho"/>
          <w:b/>
          <w:bCs/>
          <w:lang w:val="fr-FR" w:eastAsia="fi-FI"/>
        </w:rPr>
        <w:t>e prélèvement</w:t>
      </w:r>
      <w:r w:rsidRPr="00E773DC">
        <w:rPr>
          <w:rFonts w:eastAsia="MS Mincho"/>
          <w:b/>
          <w:bCs/>
          <w:lang w:val="fr-FR" w:eastAsia="fi-FI"/>
        </w:rPr>
        <w:t>, du tuyau d</w:t>
      </w:r>
      <w:r>
        <w:rPr>
          <w:rFonts w:eastAsia="MS Mincho"/>
          <w:b/>
          <w:bCs/>
          <w:lang w:val="fr-FR" w:eastAsia="fi-FI"/>
        </w:rPr>
        <w:t>’</w:t>
      </w:r>
      <w:r w:rsidRPr="00E773DC">
        <w:rPr>
          <w:rFonts w:eastAsia="MS Mincho"/>
          <w:b/>
          <w:bCs/>
          <w:lang w:val="fr-FR" w:eastAsia="fi-FI"/>
        </w:rPr>
        <w:t>échappement au détecteur de particules, qui sont en contact avec les gaz d</w:t>
      </w:r>
      <w:r>
        <w:rPr>
          <w:rFonts w:eastAsia="MS Mincho"/>
          <w:b/>
          <w:bCs/>
          <w:lang w:val="fr-FR" w:eastAsia="fi-FI"/>
        </w:rPr>
        <w:t>’</w:t>
      </w:r>
      <w:r w:rsidRPr="00E773DC">
        <w:rPr>
          <w:rFonts w:eastAsia="MS Mincho"/>
          <w:b/>
          <w:bCs/>
          <w:lang w:val="fr-FR" w:eastAsia="fi-FI"/>
        </w:rPr>
        <w:t>échappement bruts ou dilués, doivent être conçues pour réduire au minimum le dépôt de</w:t>
      </w:r>
      <w:r>
        <w:rPr>
          <w:rFonts w:eastAsia="MS Mincho"/>
          <w:b/>
          <w:bCs/>
          <w:lang w:val="fr-FR" w:eastAsia="fi-FI"/>
        </w:rPr>
        <w:t>s</w:t>
      </w:r>
      <w:r w:rsidRPr="00E773DC">
        <w:rPr>
          <w:rFonts w:eastAsia="MS Mincho"/>
          <w:b/>
          <w:bCs/>
          <w:lang w:val="fr-FR" w:eastAsia="fi-FI"/>
        </w:rPr>
        <w:t xml:space="preserve"> particules</w:t>
      </w:r>
      <w:r w:rsidR="00F72B31" w:rsidRPr="00F72B31">
        <w:rPr>
          <w:rFonts w:eastAsia="MS Mincho"/>
          <w:b/>
          <w:bCs/>
          <w:lang w:val="fr-FR" w:eastAsia="fi-FI"/>
        </w:rPr>
        <w:t>.</w:t>
      </w:r>
      <w:r w:rsidRPr="00E773DC">
        <w:rPr>
          <w:rFonts w:eastAsia="MS Mincho"/>
          <w:b/>
          <w:bCs/>
          <w:lang w:val="fr-FR" w:eastAsia="fi-FI"/>
        </w:rPr>
        <w:t xml:space="preserve"> Toutes les pièces doivent être </w:t>
      </w:r>
      <w:r w:rsidRPr="00E773DC">
        <w:rPr>
          <w:rFonts w:eastAsia="MS Mincho"/>
          <w:b/>
          <w:bCs/>
          <w:lang w:val="fr-FR" w:eastAsia="fi-FI"/>
        </w:rPr>
        <w:lastRenderedPageBreak/>
        <w:t>fabriquées dans un matériau antistatique afin d</w:t>
      </w:r>
      <w:r>
        <w:rPr>
          <w:rFonts w:eastAsia="MS Mincho"/>
          <w:b/>
          <w:bCs/>
          <w:lang w:val="fr-FR" w:eastAsia="fi-FI"/>
        </w:rPr>
        <w:t>’</w:t>
      </w:r>
      <w:r w:rsidRPr="00E773DC">
        <w:rPr>
          <w:rFonts w:eastAsia="MS Mincho"/>
          <w:b/>
          <w:bCs/>
          <w:lang w:val="fr-FR" w:eastAsia="fi-FI"/>
        </w:rPr>
        <w:t>éviter les effets électrostatiques</w:t>
      </w:r>
      <w:r w:rsidR="00F72B31" w:rsidRPr="00F72B31">
        <w:rPr>
          <w:rFonts w:eastAsia="MS Mincho"/>
          <w:b/>
          <w:bCs/>
          <w:lang w:val="fr-FR" w:eastAsia="fi-FI"/>
        </w:rPr>
        <w:t>.</w:t>
      </w:r>
      <w:r w:rsidRPr="00E773DC">
        <w:rPr>
          <w:rFonts w:eastAsia="MS Mincho"/>
          <w:b/>
          <w:bCs/>
          <w:lang w:val="fr-FR" w:eastAsia="fi-FI"/>
        </w:rPr>
        <w:t> </w:t>
      </w:r>
      <w:r w:rsidRPr="00E773DC">
        <w:rPr>
          <w:lang w:val="fr-FR" w:eastAsia="de-DE"/>
        </w:rPr>
        <w:t>»</w:t>
      </w:r>
      <w:r w:rsidR="00F72B31" w:rsidRPr="00F72B31">
        <w:rPr>
          <w:lang w:val="fr-FR" w:eastAsia="de-DE"/>
        </w:rPr>
        <w:t>.</w:t>
      </w:r>
      <w:r w:rsidR="0086418F">
        <w:rPr>
          <w:lang w:val="fr-FR" w:eastAsia="de-DE"/>
        </w:rPr>
        <w:t xml:space="preserve"> </w:t>
      </w:r>
    </w:p>
    <w:p w14:paraId="1257B600" w14:textId="77777777" w:rsidR="00B921D9" w:rsidRPr="00E773DC" w:rsidRDefault="00B921D9" w:rsidP="0007092C">
      <w:pPr>
        <w:pStyle w:val="SingleTxtG"/>
        <w:keepNext/>
        <w:ind w:left="2268" w:hanging="1134"/>
        <w:rPr>
          <w:lang w:val="fr-FR" w:eastAsia="de-DE"/>
        </w:rPr>
      </w:pPr>
      <w:r w:rsidRPr="00E773DC">
        <w:rPr>
          <w:i/>
          <w:iCs/>
          <w:lang w:val="fr-FR" w:eastAsia="de-DE"/>
        </w:rPr>
        <w:t>Ajouter un nouveau 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5</w:t>
      </w:r>
      <w:r w:rsidR="00F72B31" w:rsidRPr="00F72B31">
        <w:rPr>
          <w:i/>
          <w:iCs/>
          <w:lang w:val="fr-FR" w:eastAsia="de-DE"/>
        </w:rPr>
        <w:t>.</w:t>
      </w:r>
      <w:r w:rsidRPr="00E773DC">
        <w:rPr>
          <w:i/>
          <w:iCs/>
          <w:lang w:val="fr-FR" w:eastAsia="de-DE"/>
        </w:rPr>
        <w:t>5</w:t>
      </w:r>
      <w:r w:rsidRPr="00CE1A05">
        <w:rPr>
          <w:lang w:val="fr-FR" w:eastAsia="de-DE"/>
        </w:rPr>
        <w:t>,</w:t>
      </w:r>
      <w:r w:rsidRPr="00E773DC">
        <w:rPr>
          <w:i/>
          <w:iCs/>
          <w:lang w:val="fr-FR" w:eastAsia="de-DE"/>
        </w:rPr>
        <w:t xml:space="preserve"> </w:t>
      </w:r>
      <w:r w:rsidRPr="00E773DC">
        <w:rPr>
          <w:iCs/>
          <w:lang w:val="fr-FR" w:eastAsia="de-DE"/>
        </w:rPr>
        <w:t>libellé comme suit :</w:t>
      </w:r>
    </w:p>
    <w:p w14:paraId="49EDCCD4" w14:textId="77777777" w:rsidR="00B921D9" w:rsidRPr="00E773DC" w:rsidRDefault="00B921D9" w:rsidP="00B921D9">
      <w:pPr>
        <w:pStyle w:val="SingleTxtG"/>
        <w:rPr>
          <w:b/>
          <w:bCs/>
          <w:lang w:val="fr-FR" w:eastAsia="de-DE"/>
        </w:rPr>
      </w:pPr>
      <w:r w:rsidRPr="00E773DC">
        <w:rPr>
          <w:b/>
          <w:bCs/>
          <w:lang w:val="fr-FR" w:eastAsia="de-DE"/>
        </w:rPr>
        <w:t>« </w:t>
      </w:r>
      <w:bookmarkStart w:id="24" w:name="_Hlk53501859"/>
      <w:r w:rsidRPr="00E773DC">
        <w:rPr>
          <w:b/>
          <w:bCs/>
          <w:lang w:val="fr-FR" w:eastAsia="de-DE"/>
        </w:rPr>
        <w:t>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5</w:t>
      </w:r>
      <w:r w:rsidRPr="00E773DC">
        <w:rPr>
          <w:b/>
          <w:bCs/>
          <w:lang w:val="fr-FR" w:eastAsia="de-DE"/>
        </w:rPr>
        <w:tab/>
        <w:t xml:space="preserve">Vérification </w:t>
      </w:r>
      <w:r>
        <w:rPr>
          <w:b/>
          <w:bCs/>
          <w:lang w:val="fr-FR" w:eastAsia="de-DE"/>
        </w:rPr>
        <w:t>du compteur de particules</w:t>
      </w:r>
    </w:p>
    <w:p w14:paraId="42D7CF03" w14:textId="77777777" w:rsidR="00B921D9" w:rsidRPr="00E773DC" w:rsidRDefault="00B921D9" w:rsidP="00B921D9">
      <w:pPr>
        <w:pStyle w:val="SingleTxtG"/>
        <w:ind w:left="2268"/>
        <w:rPr>
          <w:b/>
          <w:bCs/>
          <w:lang w:val="fr-FR" w:eastAsia="de-DE"/>
        </w:rPr>
      </w:pPr>
      <w:r w:rsidRPr="00E773DC">
        <w:rPr>
          <w:b/>
          <w:bCs/>
          <w:lang w:val="fr-FR" w:eastAsia="de-DE"/>
        </w:rPr>
        <w:t>Le PEMS doit fonctionner sans erreurs et sans avertissements critiques</w:t>
      </w:r>
      <w:r w:rsidR="00F72B31" w:rsidRPr="00F72B31">
        <w:rPr>
          <w:b/>
          <w:bCs/>
          <w:lang w:val="fr-FR" w:eastAsia="de-DE"/>
        </w:rPr>
        <w:t>.</w:t>
      </w:r>
      <w:r w:rsidRPr="00E773DC">
        <w:rPr>
          <w:b/>
          <w:bCs/>
          <w:lang w:val="fr-FR" w:eastAsia="de-DE"/>
        </w:rPr>
        <w:t xml:space="preserve"> L</w:t>
      </w:r>
      <w:r>
        <w:rPr>
          <w:b/>
          <w:bCs/>
          <w:lang w:val="fr-FR" w:eastAsia="de-DE"/>
        </w:rPr>
        <w:t>e compteur</w:t>
      </w:r>
      <w:r w:rsidRPr="00E773DC">
        <w:rPr>
          <w:b/>
          <w:bCs/>
          <w:lang w:val="fr-FR" w:eastAsia="de-DE"/>
        </w:rPr>
        <w:t xml:space="preserve"> de particules doit être </w:t>
      </w:r>
      <w:r>
        <w:rPr>
          <w:b/>
          <w:bCs/>
          <w:lang w:val="fr-FR" w:eastAsia="de-DE"/>
        </w:rPr>
        <w:t>mis à zéro</w:t>
      </w:r>
      <w:r w:rsidRPr="00E773DC">
        <w:rPr>
          <w:b/>
          <w:bCs/>
          <w:lang w:val="fr-FR" w:eastAsia="de-DE"/>
        </w:rPr>
        <w:t xml:space="preserve"> </w:t>
      </w:r>
      <w:r>
        <w:rPr>
          <w:b/>
          <w:bCs/>
          <w:lang w:val="fr-FR" w:eastAsia="de-DE"/>
        </w:rPr>
        <w:t>au moyen d’un</w:t>
      </w:r>
      <w:r w:rsidRPr="00E773DC">
        <w:rPr>
          <w:b/>
          <w:bCs/>
          <w:lang w:val="fr-FR" w:eastAsia="de-DE"/>
        </w:rPr>
        <w:t xml:space="preserve"> pré</w:t>
      </w:r>
      <w:r>
        <w:rPr>
          <w:b/>
          <w:bCs/>
          <w:lang w:val="fr-FR" w:eastAsia="de-DE"/>
        </w:rPr>
        <w:t>lèveme</w:t>
      </w:r>
      <w:r w:rsidRPr="00E773DC">
        <w:rPr>
          <w:b/>
          <w:bCs/>
          <w:lang w:val="fr-FR" w:eastAsia="de-DE"/>
        </w:rPr>
        <w:t>nt d</w:t>
      </w:r>
      <w:r>
        <w:rPr>
          <w:b/>
          <w:bCs/>
          <w:lang w:val="fr-FR" w:eastAsia="de-DE"/>
        </w:rPr>
        <w:t>’</w:t>
      </w:r>
      <w:r w:rsidRPr="00E773DC">
        <w:rPr>
          <w:b/>
          <w:bCs/>
          <w:lang w:val="fr-FR" w:eastAsia="de-DE"/>
        </w:rPr>
        <w:t>air ambiant filtré à haute efficacité (HEPA) à l</w:t>
      </w:r>
      <w:r>
        <w:rPr>
          <w:b/>
          <w:bCs/>
          <w:lang w:val="fr-FR" w:eastAsia="de-DE"/>
        </w:rPr>
        <w:t>’</w:t>
      </w:r>
      <w:r w:rsidRPr="00E773DC">
        <w:rPr>
          <w:b/>
          <w:bCs/>
          <w:lang w:val="fr-FR" w:eastAsia="de-DE"/>
        </w:rPr>
        <w:t xml:space="preserve">entrée de la </w:t>
      </w:r>
      <w:r w:rsidRPr="00295824">
        <w:rPr>
          <w:b/>
          <w:bCs/>
          <w:lang w:val="fr-FR" w:eastAsia="de-DE"/>
        </w:rPr>
        <w:t xml:space="preserve">conduite </w:t>
      </w:r>
      <w:r w:rsidRPr="00E773DC">
        <w:rPr>
          <w:b/>
          <w:bCs/>
          <w:lang w:val="fr-FR" w:eastAsia="de-DE"/>
        </w:rPr>
        <w:t>de prélèvement pendant les 12 heures précédant le début de l</w:t>
      </w:r>
      <w:r>
        <w:rPr>
          <w:b/>
          <w:bCs/>
          <w:lang w:val="fr-FR" w:eastAsia="de-DE"/>
        </w:rPr>
        <w:t>’</w:t>
      </w:r>
      <w:r w:rsidRPr="00E773DC">
        <w:rPr>
          <w:b/>
          <w:bCs/>
          <w:lang w:val="fr-FR" w:eastAsia="de-DE"/>
        </w:rPr>
        <w:t>essai</w:t>
      </w:r>
      <w:r w:rsidR="00F72B31" w:rsidRPr="00F72B31">
        <w:rPr>
          <w:b/>
          <w:bCs/>
          <w:lang w:val="fr-FR" w:eastAsia="de-DE"/>
        </w:rPr>
        <w:t>.</w:t>
      </w:r>
      <w:r w:rsidRPr="00E773DC">
        <w:rPr>
          <w:b/>
          <w:bCs/>
          <w:lang w:val="fr-FR" w:eastAsia="de-DE"/>
        </w:rPr>
        <w:t xml:space="preserve"> Le signal doit être enregistré à une fréquence constante d</w:t>
      </w:r>
      <w:r>
        <w:rPr>
          <w:b/>
          <w:bCs/>
          <w:lang w:val="fr-FR" w:eastAsia="de-DE"/>
        </w:rPr>
        <w:t>’</w:t>
      </w:r>
      <w:r w:rsidRPr="00E773DC">
        <w:rPr>
          <w:b/>
          <w:bCs/>
          <w:lang w:val="fr-FR" w:eastAsia="de-DE"/>
        </w:rPr>
        <w:t>au moins 1,0</w:t>
      </w:r>
      <w:r>
        <w:rPr>
          <w:b/>
          <w:bCs/>
          <w:lang w:val="fr-FR" w:eastAsia="de-DE"/>
        </w:rPr>
        <w:t> </w:t>
      </w:r>
      <w:r w:rsidRPr="00E773DC">
        <w:rPr>
          <w:b/>
          <w:bCs/>
          <w:lang w:val="fr-FR" w:eastAsia="de-DE"/>
        </w:rPr>
        <w:t xml:space="preserve">Hz </w:t>
      </w:r>
      <w:r>
        <w:rPr>
          <w:b/>
          <w:bCs/>
          <w:lang w:val="fr-FR" w:eastAsia="de-DE"/>
        </w:rPr>
        <w:t xml:space="preserve">en </w:t>
      </w:r>
      <w:r w:rsidRPr="00E773DC">
        <w:rPr>
          <w:b/>
          <w:bCs/>
          <w:lang w:val="fr-FR" w:eastAsia="de-DE"/>
        </w:rPr>
        <w:t>moyenne calculée sur une période de 2 minutes</w:t>
      </w:r>
      <w:r w:rsidR="00F72B31" w:rsidRPr="00F72B31">
        <w:rPr>
          <w:b/>
          <w:bCs/>
          <w:lang w:val="fr-FR" w:eastAsia="de-DE"/>
        </w:rPr>
        <w:t>.</w:t>
      </w:r>
      <w:r w:rsidRPr="00E773DC">
        <w:rPr>
          <w:b/>
          <w:bCs/>
          <w:lang w:val="fr-FR" w:eastAsia="de-DE"/>
        </w:rPr>
        <w:t xml:space="preserve"> La concentration absolue finale doit être conforme aux spécifications du constructeur et, en outre, ne doit pas dépasser 5 000 particules par centimètre cube</w:t>
      </w:r>
      <w:r w:rsidR="00F72B31" w:rsidRPr="00F72B31">
        <w:rPr>
          <w:b/>
          <w:bCs/>
          <w:lang w:val="fr-FR" w:eastAsia="de-DE"/>
        </w:rPr>
        <w:t>.</w:t>
      </w:r>
      <w:bookmarkEnd w:id="24"/>
      <w:r w:rsidRPr="00E773DC">
        <w:rPr>
          <w:b/>
          <w:bCs/>
          <w:lang w:val="fr-FR" w:eastAsia="de-DE"/>
        </w:rPr>
        <w:t> »</w:t>
      </w:r>
      <w:r w:rsidR="00F72B31" w:rsidRPr="00F72B31">
        <w:rPr>
          <w:b/>
          <w:bCs/>
          <w:lang w:val="fr-FR" w:eastAsia="de-DE"/>
        </w:rPr>
        <w:t>.</w:t>
      </w:r>
    </w:p>
    <w:p w14:paraId="6C2D7270" w14:textId="77777777" w:rsidR="00B921D9" w:rsidRPr="00E773DC" w:rsidRDefault="00B921D9" w:rsidP="00B921D9">
      <w:pPr>
        <w:pStyle w:val="SingleTxtG"/>
        <w:keepNext/>
        <w:rPr>
          <w:lang w:val="fr-FR" w:eastAsia="de-DE"/>
        </w:rPr>
      </w:pPr>
      <w:r w:rsidRPr="00E773DC">
        <w:rPr>
          <w:i/>
          <w:iCs/>
          <w:lang w:val="fr-FR" w:eastAsia="de-DE"/>
        </w:rPr>
        <w:t>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6</w:t>
      </w:r>
      <w:r w:rsidR="00F72B31" w:rsidRPr="00F72B31">
        <w:rPr>
          <w:i/>
          <w:iCs/>
          <w:lang w:val="fr-FR" w:eastAsia="de-DE"/>
        </w:rPr>
        <w:t>.</w:t>
      </w:r>
      <w:r w:rsidRPr="00E773DC">
        <w:rPr>
          <w:i/>
          <w:iCs/>
          <w:lang w:val="fr-FR" w:eastAsia="de-DE"/>
        </w:rPr>
        <w:t>1</w:t>
      </w:r>
      <w:r w:rsidRPr="00E773DC">
        <w:rPr>
          <w:lang w:val="fr-FR" w:eastAsia="de-DE"/>
        </w:rPr>
        <w:t>, lire :</w:t>
      </w:r>
    </w:p>
    <w:p w14:paraId="268C366A" w14:textId="77777777" w:rsidR="00B921D9" w:rsidRPr="00E773DC" w:rsidRDefault="00B921D9" w:rsidP="00B921D9">
      <w:pPr>
        <w:pStyle w:val="SingleTxtG"/>
        <w:rPr>
          <w:rFonts w:eastAsia="MS Mincho"/>
          <w:noProof/>
          <w:lang w:val="fr-FR"/>
        </w:rPr>
      </w:pPr>
      <w:r w:rsidRPr="00E773DC">
        <w:rPr>
          <w:lang w:val="fr-FR"/>
        </w:rPr>
        <w:t>« A</w:t>
      </w:r>
      <w:r w:rsidR="00F72B31" w:rsidRPr="00F72B31">
        <w:rPr>
          <w:lang w:val="fr-FR"/>
        </w:rPr>
        <w:t>.</w:t>
      </w:r>
      <w:r w:rsidRPr="00E773DC">
        <w:rPr>
          <w:lang w:val="fr-FR"/>
        </w:rPr>
        <w:t>1</w:t>
      </w:r>
      <w:r w:rsidR="00F72B31" w:rsidRPr="00F72B31">
        <w:rPr>
          <w:lang w:val="fr-FR"/>
        </w:rPr>
        <w:t>.</w:t>
      </w:r>
      <w:r w:rsidRPr="00E773DC">
        <w:rPr>
          <w:lang w:val="fr-FR"/>
        </w:rPr>
        <w:t>2</w:t>
      </w:r>
      <w:r w:rsidR="00F72B31" w:rsidRPr="00F72B31">
        <w:rPr>
          <w:lang w:val="fr-FR"/>
        </w:rPr>
        <w:t>.</w:t>
      </w:r>
      <w:r w:rsidRPr="00E773DC">
        <w:rPr>
          <w:lang w:val="fr-FR"/>
        </w:rPr>
        <w:t>6</w:t>
      </w:r>
      <w:r w:rsidR="00F72B31" w:rsidRPr="00F72B31">
        <w:rPr>
          <w:lang w:val="fr-FR"/>
        </w:rPr>
        <w:t>.</w:t>
      </w:r>
      <w:r w:rsidRPr="00E773DC">
        <w:rPr>
          <w:lang w:val="fr-FR"/>
        </w:rPr>
        <w:t>1</w:t>
      </w:r>
      <w:r w:rsidRPr="00E773DC">
        <w:rPr>
          <w:lang w:val="fr-FR"/>
        </w:rPr>
        <w:tab/>
      </w:r>
      <w:r w:rsidRPr="00295824">
        <w:rPr>
          <w:rFonts w:eastAsia="MS Mincho"/>
          <w:noProof/>
          <w:lang w:val="fr-FR"/>
        </w:rPr>
        <w:t>Démarrage de l</w:t>
      </w:r>
      <w:r>
        <w:rPr>
          <w:rFonts w:eastAsia="MS Mincho"/>
          <w:noProof/>
          <w:lang w:val="fr-FR"/>
        </w:rPr>
        <w:t>’</w:t>
      </w:r>
      <w:r w:rsidRPr="00295824">
        <w:rPr>
          <w:rFonts w:eastAsia="MS Mincho"/>
          <w:noProof/>
          <w:lang w:val="fr-FR"/>
        </w:rPr>
        <w:t>essai</w:t>
      </w:r>
    </w:p>
    <w:p w14:paraId="6C104092" w14:textId="77777777" w:rsidR="00B921D9" w:rsidRPr="00E773DC" w:rsidRDefault="00B921D9" w:rsidP="00B921D9">
      <w:pPr>
        <w:pStyle w:val="SingleTxtG"/>
        <w:ind w:left="2268"/>
        <w:rPr>
          <w:rFonts w:eastAsia="MS Mincho"/>
          <w:strike/>
          <w:noProof/>
          <w:lang w:val="fr-FR" w:eastAsia="fi-FI"/>
        </w:rPr>
      </w:pPr>
      <w:bookmarkStart w:id="25" w:name="_Hlk55854092"/>
      <w:r w:rsidRPr="00295824">
        <w:rPr>
          <w:rFonts w:eastAsia="MS Mincho"/>
          <w:strike/>
          <w:noProof/>
          <w:lang w:val="fr-FR" w:eastAsia="fi-FI"/>
        </w:rPr>
        <w:t xml:space="preserve">Le prélèvement </w:t>
      </w:r>
      <w:bookmarkEnd w:id="25"/>
      <w:r w:rsidRPr="00295824">
        <w:rPr>
          <w:rFonts w:eastAsia="MS Mincho"/>
          <w:strike/>
          <w:noProof/>
          <w:lang w:val="fr-FR" w:eastAsia="fi-FI"/>
        </w:rPr>
        <w:t>des émissions, la mesure des paramètres d</w:t>
      </w:r>
      <w:r>
        <w:rPr>
          <w:rFonts w:eastAsia="MS Mincho"/>
          <w:strike/>
          <w:noProof/>
          <w:lang w:val="fr-FR" w:eastAsia="fi-FI"/>
        </w:rPr>
        <w:t>’</w:t>
      </w:r>
      <w:r w:rsidRPr="00295824">
        <w:rPr>
          <w:rFonts w:eastAsia="MS Mincho"/>
          <w:strike/>
          <w:noProof/>
          <w:lang w:val="fr-FR" w:eastAsia="fi-FI"/>
        </w:rPr>
        <w:t>échappement et l</w:t>
      </w:r>
      <w:r>
        <w:rPr>
          <w:rFonts w:eastAsia="MS Mincho"/>
          <w:strike/>
          <w:noProof/>
          <w:lang w:val="fr-FR" w:eastAsia="fi-FI"/>
        </w:rPr>
        <w:t>’</w:t>
      </w:r>
      <w:r w:rsidRPr="00295824">
        <w:rPr>
          <w:rFonts w:eastAsia="MS Mincho"/>
          <w:strike/>
          <w:noProof/>
          <w:lang w:val="fr-FR" w:eastAsia="fi-FI"/>
        </w:rPr>
        <w:t>enregistrement des données sur le moteur et les conditions ambiantes doivent débuter avant le démarrage du moteur</w:t>
      </w:r>
      <w:r w:rsidR="00F72B31" w:rsidRPr="00F72B31">
        <w:rPr>
          <w:rFonts w:eastAsia="MS Mincho"/>
          <w:strike/>
          <w:noProof/>
          <w:lang w:val="fr-FR" w:eastAsia="fi-FI"/>
        </w:rPr>
        <w:t>.</w:t>
      </w:r>
      <w:r w:rsidRPr="00295824">
        <w:rPr>
          <w:rFonts w:eastAsia="MS Mincho"/>
          <w:strike/>
          <w:noProof/>
          <w:lang w:val="fr-FR" w:eastAsia="fi-FI"/>
        </w:rPr>
        <w:t xml:space="preserve"> La température du liquide de refroidissement ne doit pas dépasser 303 K (30 °C) au début de l</w:t>
      </w:r>
      <w:r>
        <w:rPr>
          <w:rFonts w:eastAsia="MS Mincho"/>
          <w:strike/>
          <w:noProof/>
          <w:lang w:val="fr-FR" w:eastAsia="fi-FI"/>
        </w:rPr>
        <w:t>’</w:t>
      </w:r>
      <w:r w:rsidRPr="00295824">
        <w:rPr>
          <w:rFonts w:eastAsia="MS Mincho"/>
          <w:strike/>
          <w:noProof/>
          <w:lang w:val="fr-FR" w:eastAsia="fi-FI"/>
        </w:rPr>
        <w:t>essai</w:t>
      </w:r>
      <w:r w:rsidR="00F72B31" w:rsidRPr="00F72B31">
        <w:rPr>
          <w:rFonts w:eastAsia="MS Mincho"/>
          <w:strike/>
          <w:noProof/>
          <w:lang w:val="fr-FR" w:eastAsia="fi-FI"/>
        </w:rPr>
        <w:t>.</w:t>
      </w:r>
      <w:r w:rsidRPr="00295824">
        <w:rPr>
          <w:rFonts w:eastAsia="MS Mincho"/>
          <w:strike/>
          <w:noProof/>
          <w:lang w:val="fr-FR" w:eastAsia="fi-FI"/>
        </w:rPr>
        <w:t xml:space="preserve"> Si la température ambiante dépasse 303 K (30 °C) au début de l</w:t>
      </w:r>
      <w:r>
        <w:rPr>
          <w:rFonts w:eastAsia="MS Mincho"/>
          <w:strike/>
          <w:noProof/>
          <w:lang w:val="fr-FR" w:eastAsia="fi-FI"/>
        </w:rPr>
        <w:t>’</w:t>
      </w:r>
      <w:r w:rsidRPr="00295824">
        <w:rPr>
          <w:rFonts w:eastAsia="MS Mincho"/>
          <w:strike/>
          <w:noProof/>
          <w:lang w:val="fr-FR" w:eastAsia="fi-FI"/>
        </w:rPr>
        <w:t>essai, la température du liquide de refroidissement ne doit pas dépasser la température ambiante de plus de 2 °C</w:t>
      </w:r>
      <w:r w:rsidR="00F72B31" w:rsidRPr="00F72B31">
        <w:rPr>
          <w:rFonts w:eastAsia="MS Mincho"/>
          <w:strike/>
          <w:noProof/>
          <w:lang w:val="fr-FR" w:eastAsia="fi-FI"/>
        </w:rPr>
        <w:t>.</w:t>
      </w:r>
      <w:r w:rsidRPr="00295824">
        <w:rPr>
          <w:rFonts w:eastAsia="MS Mincho"/>
          <w:strike/>
          <w:noProof/>
          <w:lang w:val="fr-FR" w:eastAsia="fi-FI"/>
        </w:rPr>
        <w:t xml:space="preserve"> L</w:t>
      </w:r>
      <w:r>
        <w:rPr>
          <w:rFonts w:eastAsia="MS Mincho"/>
          <w:strike/>
          <w:noProof/>
          <w:lang w:val="fr-FR" w:eastAsia="fi-FI"/>
        </w:rPr>
        <w:t>’</w:t>
      </w:r>
      <w:r w:rsidRPr="00295824">
        <w:rPr>
          <w:rFonts w:eastAsia="MS Mincho"/>
          <w:strike/>
          <w:noProof/>
          <w:lang w:val="fr-FR" w:eastAsia="fi-FI"/>
        </w:rPr>
        <w:t>évaluation des données doit commencer après que la température du liquide de refroidissement a atteint 343 K (70 °C) pour la première fois, ou après que la température du liquide de refroidissement s</w:t>
      </w:r>
      <w:r>
        <w:rPr>
          <w:rFonts w:eastAsia="MS Mincho"/>
          <w:strike/>
          <w:noProof/>
          <w:lang w:val="fr-FR" w:eastAsia="fi-FI"/>
        </w:rPr>
        <w:t>’</w:t>
      </w:r>
      <w:r w:rsidRPr="00295824">
        <w:rPr>
          <w:rFonts w:eastAsia="MS Mincho"/>
          <w:strike/>
          <w:noProof/>
          <w:lang w:val="fr-FR" w:eastAsia="fi-FI"/>
        </w:rPr>
        <w:t xml:space="preserve">est stabilisée dans une fourchette de </w:t>
      </w:r>
      <w:r w:rsidR="00690297">
        <w:rPr>
          <w:b/>
          <w:bCs/>
          <w:lang w:val="fr-FR" w:eastAsia="de-DE"/>
        </w:rPr>
        <w:t>± </w:t>
      </w:r>
      <w:r w:rsidRPr="00295824">
        <w:rPr>
          <w:rFonts w:eastAsia="MS Mincho"/>
          <w:strike/>
          <w:noProof/>
          <w:lang w:val="fr-FR" w:eastAsia="fi-FI"/>
        </w:rPr>
        <w:t>2 K durant une période de 5 min, la condition réalisée en premier étant retenue, mais au plus tard 15 min après le démarrage du moteur</w:t>
      </w:r>
      <w:r w:rsidR="00F72B31" w:rsidRPr="00F72B31">
        <w:rPr>
          <w:rFonts w:eastAsia="MS Mincho"/>
          <w:strike/>
          <w:noProof/>
          <w:lang w:val="fr-FR" w:eastAsia="fi-FI"/>
        </w:rPr>
        <w:t>.</w:t>
      </w:r>
    </w:p>
    <w:p w14:paraId="468A067E" w14:textId="77777777" w:rsidR="00B921D9" w:rsidRPr="00E773DC" w:rsidRDefault="00B921D9" w:rsidP="00B921D9">
      <w:pPr>
        <w:pStyle w:val="SingleTxtG"/>
        <w:ind w:left="2268"/>
        <w:rPr>
          <w:b/>
          <w:bCs/>
          <w:lang w:val="fr-FR" w:eastAsia="de-DE"/>
        </w:rPr>
      </w:pPr>
      <w:r w:rsidRPr="00E773DC">
        <w:rPr>
          <w:b/>
          <w:bCs/>
          <w:lang w:val="fr-FR" w:eastAsia="de-DE"/>
        </w:rPr>
        <w:t>Aux fins de la procédure d</w:t>
      </w:r>
      <w:r>
        <w:rPr>
          <w:b/>
          <w:bCs/>
          <w:lang w:val="fr-FR" w:eastAsia="de-DE"/>
        </w:rPr>
        <w:t>’</w:t>
      </w:r>
      <w:r w:rsidRPr="00E773DC">
        <w:rPr>
          <w:b/>
          <w:bCs/>
          <w:lang w:val="fr-FR" w:eastAsia="de-DE"/>
        </w:rPr>
        <w:t xml:space="preserve">essai, on entend par </w:t>
      </w:r>
      <w:r w:rsidR="00690297" w:rsidRPr="00690297">
        <w:rPr>
          <w:b/>
          <w:bCs/>
          <w:lang w:eastAsia="de-DE"/>
        </w:rPr>
        <w:t>“</w:t>
      </w:r>
      <w:r w:rsidRPr="00E773DC">
        <w:rPr>
          <w:b/>
          <w:bCs/>
          <w:lang w:val="fr-FR" w:eastAsia="de-DE"/>
        </w:rPr>
        <w:t>démarrage d</w:t>
      </w:r>
      <w:r>
        <w:rPr>
          <w:b/>
          <w:bCs/>
          <w:lang w:val="fr-FR" w:eastAsia="de-DE"/>
        </w:rPr>
        <w:t>e l’</w:t>
      </w:r>
      <w:r w:rsidRPr="00E773DC">
        <w:rPr>
          <w:b/>
          <w:bCs/>
          <w:lang w:val="fr-FR" w:eastAsia="de-DE"/>
        </w:rPr>
        <w:t>essai</w:t>
      </w:r>
      <w:r w:rsidR="00690297" w:rsidRPr="00BA0FA5">
        <w:rPr>
          <w:b/>
          <w:bCs/>
          <w:color w:val="000000" w:themeColor="text1"/>
        </w:rPr>
        <w:t>”</w:t>
      </w:r>
      <w:r w:rsidRPr="00E773DC">
        <w:rPr>
          <w:b/>
          <w:bCs/>
          <w:lang w:val="fr-FR" w:eastAsia="de-DE"/>
        </w:rPr>
        <w:t xml:space="preserve"> le premier allumage du moteur à combustion interne</w:t>
      </w:r>
      <w:r w:rsidR="00F72B31" w:rsidRPr="00F72B31">
        <w:rPr>
          <w:b/>
          <w:bCs/>
          <w:lang w:val="fr-FR" w:eastAsia="de-DE"/>
        </w:rPr>
        <w:t>.</w:t>
      </w:r>
    </w:p>
    <w:p w14:paraId="3827E784" w14:textId="77777777" w:rsidR="00B921D9" w:rsidRPr="00E773DC" w:rsidRDefault="00B921D9" w:rsidP="00B921D9">
      <w:pPr>
        <w:pStyle w:val="SingleTxtG"/>
        <w:ind w:left="2268"/>
        <w:rPr>
          <w:b/>
          <w:bCs/>
          <w:lang w:val="fr-FR" w:eastAsia="de-DE"/>
        </w:rPr>
      </w:pPr>
      <w:r w:rsidRPr="00F80EEC">
        <w:rPr>
          <w:b/>
          <w:bCs/>
          <w:lang w:val="fr-FR" w:eastAsia="de-DE"/>
        </w:rPr>
        <w:t xml:space="preserve">Le prélèvement </w:t>
      </w:r>
      <w:r w:rsidRPr="00E773DC">
        <w:rPr>
          <w:b/>
          <w:bCs/>
          <w:lang w:val="fr-FR" w:eastAsia="de-DE"/>
        </w:rPr>
        <w:t>des émissions, la mesure des paramètres d</w:t>
      </w:r>
      <w:r>
        <w:rPr>
          <w:b/>
          <w:bCs/>
          <w:lang w:val="fr-FR" w:eastAsia="de-DE"/>
        </w:rPr>
        <w:t>’</w:t>
      </w:r>
      <w:r w:rsidRPr="00E773DC">
        <w:rPr>
          <w:b/>
          <w:bCs/>
          <w:lang w:val="fr-FR" w:eastAsia="de-DE"/>
        </w:rPr>
        <w:t>échappement et l</w:t>
      </w:r>
      <w:r>
        <w:rPr>
          <w:b/>
          <w:bCs/>
          <w:lang w:val="fr-FR" w:eastAsia="de-DE"/>
        </w:rPr>
        <w:t>’</w:t>
      </w:r>
      <w:r w:rsidRPr="00E773DC">
        <w:rPr>
          <w:b/>
          <w:bCs/>
          <w:lang w:val="fr-FR" w:eastAsia="de-DE"/>
        </w:rPr>
        <w:t>enregistrement des données relatives au moteur et à l</w:t>
      </w:r>
      <w:r>
        <w:rPr>
          <w:b/>
          <w:bCs/>
          <w:lang w:val="fr-FR" w:eastAsia="de-DE"/>
        </w:rPr>
        <w:t>’</w:t>
      </w:r>
      <w:r w:rsidRPr="00E773DC">
        <w:rPr>
          <w:b/>
          <w:bCs/>
          <w:lang w:val="fr-FR" w:eastAsia="de-DE"/>
        </w:rPr>
        <w:t>environnement doivent commencer avant le début de l</w:t>
      </w:r>
      <w:r>
        <w:rPr>
          <w:b/>
          <w:bCs/>
          <w:lang w:val="fr-FR" w:eastAsia="de-DE"/>
        </w:rPr>
        <w:t>’</w:t>
      </w:r>
      <w:r w:rsidRPr="00E773DC">
        <w:rPr>
          <w:b/>
          <w:bCs/>
          <w:lang w:val="fr-FR" w:eastAsia="de-DE"/>
        </w:rPr>
        <w:t>essai</w:t>
      </w:r>
      <w:r w:rsidR="00F72B31" w:rsidRPr="00F72B31">
        <w:rPr>
          <w:b/>
          <w:bCs/>
          <w:lang w:val="fr-FR" w:eastAsia="de-DE"/>
        </w:rPr>
        <w:t>.</w:t>
      </w:r>
      <w:r w:rsidRPr="00E773DC">
        <w:rPr>
          <w:b/>
          <w:bCs/>
          <w:lang w:val="fr-FR" w:eastAsia="de-DE"/>
        </w:rPr>
        <w:t xml:space="preserve"> </w:t>
      </w:r>
      <w:r w:rsidRPr="00F80EEC">
        <w:rPr>
          <w:b/>
          <w:bCs/>
          <w:lang w:val="fr-FR" w:eastAsia="de-DE"/>
        </w:rPr>
        <w:t xml:space="preserve">Il est interdit de réchauffer artificiellement </w:t>
      </w:r>
      <w:r>
        <w:rPr>
          <w:b/>
          <w:bCs/>
          <w:lang w:val="fr-FR" w:eastAsia="de-DE"/>
        </w:rPr>
        <w:t>l</w:t>
      </w:r>
      <w:r w:rsidRPr="00E773DC">
        <w:rPr>
          <w:b/>
          <w:bCs/>
          <w:lang w:val="fr-FR" w:eastAsia="de-DE"/>
        </w:rPr>
        <w:t>es systèmes de contrôle des émissions du véhicule avant le début de l</w:t>
      </w:r>
      <w:r>
        <w:rPr>
          <w:b/>
          <w:bCs/>
          <w:lang w:val="fr-FR" w:eastAsia="de-DE"/>
        </w:rPr>
        <w:t>’</w:t>
      </w:r>
      <w:r w:rsidRPr="00E773DC">
        <w:rPr>
          <w:b/>
          <w:bCs/>
          <w:lang w:val="fr-FR" w:eastAsia="de-DE"/>
        </w:rPr>
        <w:t>essai</w:t>
      </w:r>
      <w:r w:rsidR="00F72B31" w:rsidRPr="00F72B31">
        <w:rPr>
          <w:b/>
          <w:bCs/>
          <w:lang w:val="fr-FR" w:eastAsia="de-DE"/>
        </w:rPr>
        <w:t>.</w:t>
      </w:r>
    </w:p>
    <w:p w14:paraId="6DE98153" w14:textId="77777777" w:rsidR="00B921D9" w:rsidRPr="00E773DC" w:rsidRDefault="00B921D9" w:rsidP="00B921D9">
      <w:pPr>
        <w:pStyle w:val="SingleTxtG"/>
        <w:ind w:left="2268"/>
        <w:rPr>
          <w:lang w:val="fr-FR"/>
        </w:rPr>
      </w:pPr>
      <w:r w:rsidRPr="00E773DC">
        <w:rPr>
          <w:b/>
          <w:bCs/>
          <w:lang w:val="fr-FR" w:eastAsia="de-DE"/>
        </w:rPr>
        <w:t>Au début de l</w:t>
      </w:r>
      <w:r>
        <w:rPr>
          <w:b/>
          <w:bCs/>
          <w:lang w:val="fr-FR" w:eastAsia="de-DE"/>
        </w:rPr>
        <w:t>’</w:t>
      </w:r>
      <w:r w:rsidRPr="00E773DC">
        <w:rPr>
          <w:b/>
          <w:bCs/>
          <w:lang w:val="fr-FR" w:eastAsia="de-DE"/>
        </w:rPr>
        <w:t>essai, la température du liquide de refroidissement ne doit pas dépasser la température ambiante de plus de 5</w:t>
      </w:r>
      <w:r>
        <w:rPr>
          <w:b/>
          <w:bCs/>
          <w:lang w:val="fr-FR" w:eastAsia="de-DE"/>
        </w:rPr>
        <w:t> </w:t>
      </w:r>
      <w:r w:rsidRPr="00E773DC">
        <w:rPr>
          <w:b/>
          <w:bCs/>
          <w:lang w:val="fr-FR" w:eastAsia="de-DE"/>
        </w:rPr>
        <w:t>°C, et ne doit pas dépasser 303</w:t>
      </w:r>
      <w:r w:rsidR="00CE1A05">
        <w:rPr>
          <w:b/>
          <w:bCs/>
          <w:lang w:val="fr-FR" w:eastAsia="de-DE"/>
        </w:rPr>
        <w:t> </w:t>
      </w:r>
      <w:r w:rsidRPr="00E773DC">
        <w:rPr>
          <w:b/>
          <w:bCs/>
          <w:lang w:val="fr-FR" w:eastAsia="de-DE"/>
        </w:rPr>
        <w:t>K (30</w:t>
      </w:r>
      <w:r w:rsidR="00CE1A05">
        <w:rPr>
          <w:b/>
          <w:bCs/>
          <w:lang w:val="fr-FR" w:eastAsia="de-DE"/>
        </w:rPr>
        <w:t> </w:t>
      </w:r>
      <w:r w:rsidRPr="00E773DC">
        <w:rPr>
          <w:b/>
          <w:bCs/>
          <w:lang w:val="fr-FR" w:eastAsia="de-DE"/>
        </w:rPr>
        <w:t>°C)</w:t>
      </w:r>
      <w:r w:rsidR="00F72B31" w:rsidRPr="00F72B31">
        <w:rPr>
          <w:b/>
          <w:bCs/>
          <w:lang w:val="fr-FR" w:eastAsia="de-DE"/>
        </w:rPr>
        <w:t>.</w:t>
      </w:r>
      <w:r w:rsidRPr="00E773DC">
        <w:rPr>
          <w:b/>
          <w:bCs/>
          <w:lang w:val="fr-FR" w:eastAsia="de-DE"/>
        </w:rPr>
        <w:t xml:space="preserve"> L</w:t>
      </w:r>
      <w:r>
        <w:rPr>
          <w:b/>
          <w:bCs/>
          <w:lang w:val="fr-FR" w:eastAsia="de-DE"/>
        </w:rPr>
        <w:t>’</w:t>
      </w:r>
      <w:r w:rsidRPr="00E773DC">
        <w:rPr>
          <w:b/>
          <w:bCs/>
          <w:lang w:val="fr-FR" w:eastAsia="de-DE"/>
        </w:rPr>
        <w:t>évaluation des données doit commencer lorsque la température du liquide de refroidissement a atteint 303 K (30</w:t>
      </w:r>
      <w:r w:rsidR="00690297">
        <w:rPr>
          <w:b/>
          <w:bCs/>
          <w:lang w:val="fr-FR" w:eastAsia="de-DE"/>
        </w:rPr>
        <w:t> </w:t>
      </w:r>
      <w:r w:rsidRPr="00E773DC">
        <w:rPr>
          <w:b/>
          <w:bCs/>
          <w:lang w:val="fr-FR" w:eastAsia="de-DE"/>
        </w:rPr>
        <w:t>°C) pour la première fois ou</w:t>
      </w:r>
      <w:r w:rsidRPr="00FF770B">
        <w:rPr>
          <w:b/>
          <w:bCs/>
          <w:lang w:val="fr-FR" w:eastAsia="de-DE"/>
        </w:rPr>
        <w:t>, si cette seconde éventualité intervient plus tôt,</w:t>
      </w:r>
      <w:r w:rsidRPr="00E773DC">
        <w:rPr>
          <w:b/>
          <w:bCs/>
          <w:lang w:val="fr-FR" w:eastAsia="de-DE"/>
        </w:rPr>
        <w:t xml:space="preserve"> lorsque la température du liquide de refroidissement est stabilisée à </w:t>
      </w:r>
      <w:r>
        <w:rPr>
          <w:b/>
          <w:bCs/>
          <w:lang w:val="fr-FR" w:eastAsia="de-DE"/>
        </w:rPr>
        <w:t>±</w:t>
      </w:r>
      <w:r w:rsidRPr="00E773DC">
        <w:rPr>
          <w:b/>
          <w:bCs/>
          <w:lang w:val="fr-FR" w:eastAsia="de-DE"/>
        </w:rPr>
        <w:t>2</w:t>
      </w:r>
      <w:r>
        <w:rPr>
          <w:b/>
          <w:bCs/>
          <w:lang w:val="fr-FR" w:eastAsia="de-DE"/>
        </w:rPr>
        <w:t> </w:t>
      </w:r>
      <w:r w:rsidRPr="00E773DC">
        <w:rPr>
          <w:b/>
          <w:bCs/>
          <w:lang w:val="fr-FR" w:eastAsia="de-DE"/>
        </w:rPr>
        <w:t xml:space="preserve">K sur une période de 5 minutes, </w:t>
      </w:r>
      <w:r>
        <w:rPr>
          <w:b/>
          <w:bCs/>
          <w:lang w:val="fr-FR" w:eastAsia="de-DE"/>
        </w:rPr>
        <w:t>et</w:t>
      </w:r>
      <w:r w:rsidRPr="00E773DC">
        <w:rPr>
          <w:b/>
          <w:bCs/>
          <w:lang w:val="fr-FR" w:eastAsia="de-DE"/>
        </w:rPr>
        <w:t xml:space="preserve"> en tout cas au plus tard 10 minutes après le début de l</w:t>
      </w:r>
      <w:r>
        <w:rPr>
          <w:b/>
          <w:bCs/>
          <w:lang w:val="fr-FR" w:eastAsia="de-DE"/>
        </w:rPr>
        <w:t>’</w:t>
      </w:r>
      <w:r w:rsidRPr="00E773DC">
        <w:rPr>
          <w:b/>
          <w:bCs/>
          <w:lang w:val="fr-FR" w:eastAsia="de-DE"/>
        </w:rPr>
        <w:t>essai</w:t>
      </w:r>
      <w:r w:rsidR="00F72B31" w:rsidRPr="00F72B31">
        <w:rPr>
          <w:b/>
          <w:bCs/>
          <w:lang w:val="fr-FR" w:eastAsia="de-DE"/>
        </w:rPr>
        <w:t>.</w:t>
      </w:r>
      <w:r w:rsidRPr="00E773DC">
        <w:rPr>
          <w:b/>
          <w:bCs/>
          <w:lang w:val="fr-FR" w:eastAsia="de-DE"/>
        </w:rPr>
        <w:t> </w:t>
      </w:r>
      <w:r w:rsidRPr="00E773DC">
        <w:rPr>
          <w:lang w:val="fr-FR"/>
        </w:rPr>
        <w:t>»</w:t>
      </w:r>
      <w:r w:rsidR="00F72B31" w:rsidRPr="00F72B31">
        <w:rPr>
          <w:lang w:val="fr-FR"/>
        </w:rPr>
        <w:t>.</w:t>
      </w:r>
    </w:p>
    <w:p w14:paraId="32134D35" w14:textId="77777777" w:rsidR="00B921D9" w:rsidRPr="001E084D" w:rsidRDefault="00B921D9" w:rsidP="00B921D9">
      <w:pPr>
        <w:pStyle w:val="SingleTxtG"/>
        <w:ind w:left="2268" w:hanging="1134"/>
        <w:rPr>
          <w:lang w:val="fr-FR" w:eastAsia="de-DE"/>
        </w:rPr>
      </w:pPr>
      <w:r w:rsidRPr="001E084D">
        <w:rPr>
          <w:i/>
          <w:iCs/>
          <w:lang w:val="fr-FR" w:eastAsia="de-DE"/>
        </w:rPr>
        <w:t>Paragraphe A</w:t>
      </w:r>
      <w:r w:rsidR="00F72B31" w:rsidRPr="00F72B31">
        <w:rPr>
          <w:i/>
          <w:iCs/>
          <w:lang w:val="fr-FR" w:eastAsia="de-DE"/>
        </w:rPr>
        <w:t>.</w:t>
      </w:r>
      <w:r w:rsidRPr="001E084D">
        <w:rPr>
          <w:i/>
          <w:iCs/>
          <w:lang w:val="fr-FR" w:eastAsia="de-DE"/>
        </w:rPr>
        <w:t>1</w:t>
      </w:r>
      <w:r w:rsidR="00F72B31" w:rsidRPr="00F72B31">
        <w:rPr>
          <w:i/>
          <w:iCs/>
          <w:lang w:val="fr-FR" w:eastAsia="de-DE"/>
        </w:rPr>
        <w:t>.</w:t>
      </w:r>
      <w:r w:rsidRPr="001E084D">
        <w:rPr>
          <w:i/>
          <w:iCs/>
          <w:lang w:val="fr-FR" w:eastAsia="de-DE"/>
        </w:rPr>
        <w:t>2</w:t>
      </w:r>
      <w:r w:rsidR="00F72B31" w:rsidRPr="00F72B31">
        <w:rPr>
          <w:i/>
          <w:iCs/>
          <w:lang w:val="fr-FR" w:eastAsia="de-DE"/>
        </w:rPr>
        <w:t>.</w:t>
      </w:r>
      <w:r w:rsidRPr="001E084D">
        <w:rPr>
          <w:i/>
          <w:iCs/>
          <w:lang w:val="fr-FR" w:eastAsia="de-DE"/>
        </w:rPr>
        <w:t>6</w:t>
      </w:r>
      <w:r w:rsidR="00F72B31" w:rsidRPr="00F72B31">
        <w:rPr>
          <w:i/>
          <w:iCs/>
          <w:lang w:val="fr-FR" w:eastAsia="de-DE"/>
        </w:rPr>
        <w:t>.</w:t>
      </w:r>
      <w:r w:rsidRPr="001E084D">
        <w:rPr>
          <w:i/>
          <w:iCs/>
          <w:lang w:val="fr-FR" w:eastAsia="de-DE"/>
        </w:rPr>
        <w:t>3</w:t>
      </w:r>
      <w:r w:rsidRPr="001E084D">
        <w:rPr>
          <w:lang w:val="fr-FR" w:eastAsia="de-DE"/>
        </w:rPr>
        <w:t>, lire :</w:t>
      </w:r>
    </w:p>
    <w:p w14:paraId="2985AE11" w14:textId="77777777" w:rsidR="00B921D9" w:rsidRPr="00E773DC" w:rsidRDefault="00B921D9" w:rsidP="00B921D9">
      <w:pPr>
        <w:pStyle w:val="SingleTxtG"/>
        <w:rPr>
          <w:strike/>
          <w:lang w:val="fr-FR" w:eastAsia="de-DE"/>
        </w:rPr>
      </w:pPr>
      <w:r w:rsidRPr="00E773DC">
        <w:rPr>
          <w:lang w:val="fr-FR" w:eastAsia="de-DE"/>
        </w:rPr>
        <w:t>« A</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6</w:t>
      </w:r>
      <w:r w:rsidR="00F72B31" w:rsidRPr="00F72B31">
        <w:rPr>
          <w:lang w:val="fr-FR" w:eastAsia="de-DE"/>
        </w:rPr>
        <w:t>.</w:t>
      </w:r>
      <w:r w:rsidRPr="00E773DC">
        <w:rPr>
          <w:lang w:val="fr-FR" w:eastAsia="de-DE"/>
        </w:rPr>
        <w:t>3</w:t>
      </w:r>
      <w:r w:rsidRPr="00E773DC">
        <w:rPr>
          <w:lang w:val="fr-FR" w:eastAsia="de-DE"/>
        </w:rPr>
        <w:tab/>
      </w:r>
      <w:r w:rsidRPr="00AD5FB8">
        <w:rPr>
          <w:strike/>
          <w:lang w:val="fr-FR" w:eastAsia="de-DE"/>
        </w:rPr>
        <w:t>Fin de la séquence d</w:t>
      </w:r>
      <w:r>
        <w:rPr>
          <w:strike/>
          <w:lang w:val="fr-FR" w:eastAsia="de-DE"/>
        </w:rPr>
        <w:t>’</w:t>
      </w:r>
      <w:r w:rsidRPr="00AD5FB8">
        <w:rPr>
          <w:strike/>
          <w:lang w:val="fr-FR" w:eastAsia="de-DE"/>
        </w:rPr>
        <w:t>essai</w:t>
      </w:r>
    </w:p>
    <w:p w14:paraId="0873846B" w14:textId="77777777" w:rsidR="00B921D9" w:rsidRPr="00E773DC" w:rsidRDefault="00B921D9" w:rsidP="00B921D9">
      <w:pPr>
        <w:pStyle w:val="SingleTxtG"/>
        <w:ind w:left="2268"/>
        <w:rPr>
          <w:strike/>
          <w:lang w:val="fr-FR" w:eastAsia="de-DE"/>
        </w:rPr>
      </w:pPr>
      <w:r w:rsidRPr="00AD5FB8">
        <w:rPr>
          <w:strike/>
          <w:lang w:val="fr-FR" w:eastAsia="de-DE"/>
        </w:rPr>
        <w:t>À l</w:t>
      </w:r>
      <w:r>
        <w:rPr>
          <w:strike/>
          <w:lang w:val="fr-FR" w:eastAsia="de-DE"/>
        </w:rPr>
        <w:t>’</w:t>
      </w:r>
      <w:bookmarkStart w:id="26" w:name="_Hlk55889661"/>
      <w:r w:rsidRPr="00AD5FB8">
        <w:rPr>
          <w:strike/>
          <w:lang w:val="fr-FR" w:eastAsia="de-DE"/>
        </w:rPr>
        <w:t>achèvement</w:t>
      </w:r>
      <w:bookmarkEnd w:id="26"/>
      <w:r w:rsidRPr="00AD5FB8">
        <w:rPr>
          <w:strike/>
          <w:lang w:val="fr-FR" w:eastAsia="de-DE"/>
        </w:rPr>
        <w:t xml:space="preserve"> </w:t>
      </w:r>
      <w:bookmarkStart w:id="27" w:name="_Hlk55889645"/>
      <w:r w:rsidRPr="00AD5FB8">
        <w:rPr>
          <w:strike/>
          <w:lang w:val="fr-FR" w:eastAsia="de-DE"/>
        </w:rPr>
        <w:t>de l</w:t>
      </w:r>
      <w:r>
        <w:rPr>
          <w:strike/>
          <w:lang w:val="fr-FR" w:eastAsia="de-DE"/>
        </w:rPr>
        <w:t>’</w:t>
      </w:r>
      <w:r w:rsidRPr="00AD5FB8">
        <w:rPr>
          <w:strike/>
          <w:lang w:val="fr-FR" w:eastAsia="de-DE"/>
        </w:rPr>
        <w:t>essai</w:t>
      </w:r>
      <w:bookmarkEnd w:id="27"/>
      <w:r w:rsidRPr="00AD5FB8">
        <w:rPr>
          <w:strike/>
          <w:lang w:val="fr-FR" w:eastAsia="de-DE"/>
        </w:rPr>
        <w:t>, le prélèvement doit continuer jusqu</w:t>
      </w:r>
      <w:r>
        <w:rPr>
          <w:strike/>
          <w:lang w:val="fr-FR" w:eastAsia="de-DE"/>
        </w:rPr>
        <w:t>’</w:t>
      </w:r>
      <w:r w:rsidRPr="00AD5FB8">
        <w:rPr>
          <w:strike/>
          <w:lang w:val="fr-FR" w:eastAsia="de-DE"/>
        </w:rPr>
        <w:t>à ce que les temps de réponse du système se soient écoulés</w:t>
      </w:r>
      <w:r w:rsidR="00F72B31" w:rsidRPr="00F72B31">
        <w:rPr>
          <w:strike/>
          <w:lang w:val="fr-FR" w:eastAsia="de-DE"/>
        </w:rPr>
        <w:t>.</w:t>
      </w:r>
      <w:r w:rsidRPr="00AD5FB8">
        <w:rPr>
          <w:strike/>
          <w:lang w:val="fr-FR" w:eastAsia="de-DE"/>
        </w:rPr>
        <w:t xml:space="preserve"> Le moteur peut être arrêté avant ou après l</w:t>
      </w:r>
      <w:r>
        <w:rPr>
          <w:strike/>
          <w:lang w:val="fr-FR" w:eastAsia="de-DE"/>
        </w:rPr>
        <w:t>’</w:t>
      </w:r>
      <w:r w:rsidRPr="00AD5FB8">
        <w:rPr>
          <w:strike/>
          <w:lang w:val="fr-FR" w:eastAsia="de-DE"/>
        </w:rPr>
        <w:t>arrêt du prélèvement</w:t>
      </w:r>
      <w:r w:rsidR="00F72B31" w:rsidRPr="00F72B31">
        <w:rPr>
          <w:strike/>
          <w:lang w:val="fr-FR" w:eastAsia="de-DE"/>
        </w:rPr>
        <w:t>.</w:t>
      </w:r>
    </w:p>
    <w:p w14:paraId="52AB9FDD" w14:textId="77777777" w:rsidR="00B921D9" w:rsidRPr="00E773DC" w:rsidRDefault="00B921D9" w:rsidP="00B921D9">
      <w:pPr>
        <w:pStyle w:val="SingleTxtG"/>
        <w:ind w:left="2268"/>
        <w:rPr>
          <w:b/>
          <w:bCs/>
          <w:lang w:val="fr-FR" w:eastAsia="de-DE"/>
        </w:rPr>
      </w:pPr>
      <w:r>
        <w:rPr>
          <w:b/>
          <w:bCs/>
          <w:lang w:val="fr-FR" w:eastAsia="de-DE"/>
        </w:rPr>
        <w:t>Fin</w:t>
      </w:r>
      <w:r w:rsidRPr="00AD5FB8">
        <w:rPr>
          <w:b/>
          <w:bCs/>
          <w:lang w:val="fr-FR" w:eastAsia="de-DE"/>
        </w:rPr>
        <w:t xml:space="preserve"> de l</w:t>
      </w:r>
      <w:bookmarkStart w:id="28" w:name="_Hlk55889717"/>
      <w:r>
        <w:rPr>
          <w:b/>
          <w:bCs/>
          <w:lang w:val="fr-FR" w:eastAsia="de-DE"/>
        </w:rPr>
        <w:t>’</w:t>
      </w:r>
      <w:r w:rsidRPr="00AD5FB8">
        <w:rPr>
          <w:b/>
          <w:bCs/>
          <w:lang w:val="fr-FR" w:eastAsia="de-DE"/>
        </w:rPr>
        <w:t>essai</w:t>
      </w:r>
      <w:bookmarkEnd w:id="28"/>
    </w:p>
    <w:p w14:paraId="1D20B475" w14:textId="77777777" w:rsidR="00B921D9" w:rsidRPr="00E773DC" w:rsidRDefault="00B921D9" w:rsidP="00B921D9">
      <w:pPr>
        <w:pStyle w:val="SingleTxtG"/>
        <w:ind w:left="2268"/>
        <w:rPr>
          <w:b/>
          <w:bCs/>
          <w:lang w:val="fr-FR" w:eastAsia="de-DE"/>
        </w:rPr>
      </w:pPr>
      <w:r w:rsidRPr="00E773DC">
        <w:rPr>
          <w:b/>
          <w:bCs/>
          <w:lang w:val="fr-FR" w:eastAsia="de-DE"/>
        </w:rPr>
        <w:t>L</w:t>
      </w:r>
      <w:r>
        <w:rPr>
          <w:b/>
          <w:bCs/>
          <w:lang w:val="fr-FR" w:eastAsia="de-DE"/>
        </w:rPr>
        <w:t>’</w:t>
      </w:r>
      <w:r w:rsidRPr="00AD5FB8">
        <w:rPr>
          <w:b/>
          <w:bCs/>
          <w:lang w:val="fr-FR" w:eastAsia="de-DE"/>
        </w:rPr>
        <w:t>essai</w:t>
      </w:r>
      <w:r w:rsidRPr="00E773DC">
        <w:rPr>
          <w:b/>
          <w:bCs/>
          <w:lang w:val="fr-FR" w:eastAsia="de-DE"/>
        </w:rPr>
        <w:t xml:space="preserve"> est </w:t>
      </w:r>
      <w:r>
        <w:rPr>
          <w:b/>
          <w:bCs/>
          <w:lang w:val="fr-FR" w:eastAsia="de-DE"/>
        </w:rPr>
        <w:t>achevé</w:t>
      </w:r>
      <w:r w:rsidRPr="00E773DC">
        <w:rPr>
          <w:b/>
          <w:bCs/>
          <w:lang w:val="fr-FR" w:eastAsia="de-DE"/>
        </w:rPr>
        <w:t xml:space="preserve"> lorsque le véhicule a terminé le </w:t>
      </w:r>
      <w:r w:rsidRPr="00AD5FB8">
        <w:rPr>
          <w:b/>
          <w:bCs/>
          <w:lang w:val="fr-FR" w:eastAsia="de-DE"/>
        </w:rPr>
        <w:t xml:space="preserve">parcours </w:t>
      </w:r>
      <w:r w:rsidRPr="00E773DC">
        <w:rPr>
          <w:b/>
          <w:bCs/>
          <w:lang w:val="fr-FR" w:eastAsia="de-DE"/>
        </w:rPr>
        <w:t>et que le moteur à combustion interne est arrêté</w:t>
      </w:r>
      <w:r w:rsidR="00F72B31" w:rsidRPr="00F72B31">
        <w:rPr>
          <w:b/>
          <w:bCs/>
          <w:lang w:val="fr-FR" w:eastAsia="de-DE"/>
        </w:rPr>
        <w:t>.</w:t>
      </w:r>
    </w:p>
    <w:p w14:paraId="0AB7B7CF" w14:textId="77777777" w:rsidR="00B921D9" w:rsidRPr="00E773DC" w:rsidRDefault="00B921D9" w:rsidP="00B921D9">
      <w:pPr>
        <w:pStyle w:val="SingleTxtG"/>
        <w:ind w:left="2268"/>
        <w:rPr>
          <w:lang w:val="fr-FR" w:eastAsia="de-DE"/>
        </w:rPr>
      </w:pPr>
      <w:r w:rsidRPr="00E773DC">
        <w:rPr>
          <w:b/>
          <w:bCs/>
          <w:lang w:val="fr-FR" w:eastAsia="de-DE"/>
        </w:rPr>
        <w:lastRenderedPageBreak/>
        <w:t xml:space="preserve">Le moteur à combustion interne doit être arrêté dès que possible à la fin du </w:t>
      </w:r>
      <w:r w:rsidRPr="00AD5FB8">
        <w:rPr>
          <w:b/>
          <w:bCs/>
          <w:lang w:val="fr-FR" w:eastAsia="de-DE"/>
        </w:rPr>
        <w:t>parcours</w:t>
      </w:r>
      <w:r w:rsidR="00F72B31" w:rsidRPr="00F72B31">
        <w:rPr>
          <w:b/>
          <w:bCs/>
          <w:lang w:val="fr-FR" w:eastAsia="de-DE"/>
        </w:rPr>
        <w:t>.</w:t>
      </w:r>
      <w:r w:rsidRPr="00E773DC">
        <w:rPr>
          <w:b/>
          <w:bCs/>
          <w:lang w:val="fr-FR" w:eastAsia="de-DE"/>
        </w:rPr>
        <w:t xml:space="preserve"> L</w:t>
      </w:r>
      <w:r>
        <w:rPr>
          <w:b/>
          <w:bCs/>
          <w:lang w:val="fr-FR" w:eastAsia="de-DE"/>
        </w:rPr>
        <w:t>’</w:t>
      </w:r>
      <w:r w:rsidRPr="00B9386B">
        <w:rPr>
          <w:b/>
          <w:bCs/>
          <w:lang w:val="fr-FR" w:eastAsia="de-DE"/>
        </w:rPr>
        <w:t>enregistrement des données</w:t>
      </w:r>
      <w:r w:rsidRPr="00E773DC">
        <w:rPr>
          <w:b/>
          <w:bCs/>
          <w:lang w:val="fr-FR" w:eastAsia="de-DE"/>
        </w:rPr>
        <w:t xml:space="preserve"> doit </w:t>
      </w:r>
      <w:r>
        <w:rPr>
          <w:b/>
          <w:bCs/>
          <w:lang w:val="fr-FR" w:eastAsia="de-DE"/>
        </w:rPr>
        <w:t xml:space="preserve">se poursuivre </w:t>
      </w:r>
      <w:r w:rsidRPr="00E773DC">
        <w:rPr>
          <w:b/>
          <w:bCs/>
          <w:lang w:val="fr-FR" w:eastAsia="de-DE"/>
        </w:rPr>
        <w:t>jusqu</w:t>
      </w:r>
      <w:r>
        <w:rPr>
          <w:b/>
          <w:bCs/>
          <w:lang w:val="fr-FR" w:eastAsia="de-DE"/>
        </w:rPr>
        <w:t>’</w:t>
      </w:r>
      <w:r w:rsidRPr="00E773DC">
        <w:rPr>
          <w:b/>
          <w:bCs/>
          <w:lang w:val="fr-FR" w:eastAsia="de-DE"/>
        </w:rPr>
        <w:t xml:space="preserve">à ce que le temps de </w:t>
      </w:r>
      <w:r>
        <w:rPr>
          <w:b/>
          <w:bCs/>
          <w:lang w:val="fr-FR" w:eastAsia="de-DE"/>
        </w:rPr>
        <w:t>réaction</w:t>
      </w:r>
      <w:r w:rsidRPr="00E773DC">
        <w:rPr>
          <w:b/>
          <w:bCs/>
          <w:lang w:val="fr-FR" w:eastAsia="de-DE"/>
        </w:rPr>
        <w:t xml:space="preserve"> des systèmes </w:t>
      </w:r>
      <w:r>
        <w:rPr>
          <w:b/>
          <w:bCs/>
          <w:lang w:val="fr-FR" w:eastAsia="de-DE"/>
        </w:rPr>
        <w:t>d</w:t>
      </w:r>
      <w:r w:rsidRPr="00F80EEC">
        <w:rPr>
          <w:b/>
          <w:bCs/>
          <w:lang w:val="fr-FR" w:eastAsia="de-DE"/>
        </w:rPr>
        <w:t xml:space="preserve">e prélèvement </w:t>
      </w:r>
      <w:r w:rsidRPr="00E773DC">
        <w:rPr>
          <w:b/>
          <w:bCs/>
          <w:lang w:val="fr-FR" w:eastAsia="de-DE"/>
        </w:rPr>
        <w:t>soit écoulé</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451348BB" w14:textId="77777777" w:rsidR="00B921D9" w:rsidRPr="00E773DC" w:rsidRDefault="00B921D9" w:rsidP="0007092C">
      <w:pPr>
        <w:pStyle w:val="SingleTxtG"/>
        <w:keepNext/>
        <w:ind w:left="2268" w:hanging="1134"/>
        <w:rPr>
          <w:lang w:val="fr-FR" w:eastAsia="de-DE"/>
        </w:rPr>
      </w:pPr>
      <w:r w:rsidRPr="00E773DC">
        <w:rPr>
          <w:i/>
          <w:iCs/>
          <w:lang w:val="fr-FR" w:eastAsia="de-DE"/>
        </w:rPr>
        <w:t>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7</w:t>
      </w:r>
      <w:r w:rsidR="00F72B31" w:rsidRPr="00F72B31">
        <w:rPr>
          <w:i/>
          <w:iCs/>
          <w:lang w:val="fr-FR" w:eastAsia="de-DE"/>
        </w:rPr>
        <w:t>.</w:t>
      </w:r>
      <w:r w:rsidRPr="00E773DC">
        <w:rPr>
          <w:i/>
          <w:iCs/>
          <w:lang w:val="fr-FR" w:eastAsia="de-DE"/>
        </w:rPr>
        <w:t>4 a)</w:t>
      </w:r>
      <w:r w:rsidRPr="00E773DC">
        <w:rPr>
          <w:lang w:val="fr-FR" w:eastAsia="de-DE"/>
        </w:rPr>
        <w:t>, lire :</w:t>
      </w:r>
    </w:p>
    <w:p w14:paraId="0FDA012F" w14:textId="77777777" w:rsidR="00B921D9" w:rsidRPr="00E773DC" w:rsidRDefault="00B921D9" w:rsidP="00B921D9">
      <w:pPr>
        <w:pStyle w:val="SingleTxtG"/>
        <w:ind w:left="2835" w:hanging="567"/>
        <w:rPr>
          <w:lang w:val="fr-FR" w:eastAsia="de-DE"/>
        </w:rPr>
      </w:pPr>
      <w:r w:rsidRPr="00E773DC">
        <w:rPr>
          <w:lang w:val="fr-FR" w:eastAsia="de-DE"/>
        </w:rPr>
        <w:t>« a)</w:t>
      </w:r>
      <w:r w:rsidRPr="00E773DC">
        <w:rPr>
          <w:lang w:val="fr-FR" w:eastAsia="de-DE"/>
        </w:rPr>
        <w:tab/>
      </w:r>
      <w:r w:rsidRPr="00B9386B">
        <w:rPr>
          <w:strike/>
          <w:lang w:val="fr-FR" w:eastAsia="de-DE"/>
        </w:rPr>
        <w:t>Si la différence entre les résultats avant et après l</w:t>
      </w:r>
      <w:r>
        <w:rPr>
          <w:strike/>
          <w:lang w:val="fr-FR" w:eastAsia="de-DE"/>
        </w:rPr>
        <w:t>’</w:t>
      </w:r>
      <w:r w:rsidRPr="00B9386B">
        <w:rPr>
          <w:strike/>
          <w:lang w:val="fr-FR" w:eastAsia="de-DE"/>
        </w:rPr>
        <w:t>essai est inférieure à 2 % comme spécifié aux paragraphes A</w:t>
      </w:r>
      <w:r w:rsidR="00F72B31" w:rsidRPr="00F72B31">
        <w:rPr>
          <w:strike/>
          <w:lang w:val="fr-FR" w:eastAsia="de-DE"/>
        </w:rPr>
        <w:t>.</w:t>
      </w:r>
      <w:r w:rsidRPr="00B9386B">
        <w:rPr>
          <w:strike/>
          <w:lang w:val="fr-FR" w:eastAsia="de-DE"/>
        </w:rPr>
        <w:t>1</w:t>
      </w:r>
      <w:r w:rsidR="00F72B31" w:rsidRPr="00F72B31">
        <w:rPr>
          <w:strike/>
          <w:lang w:val="fr-FR" w:eastAsia="de-DE"/>
        </w:rPr>
        <w:t>.</w:t>
      </w:r>
      <w:r w:rsidRPr="00B9386B">
        <w:rPr>
          <w:strike/>
          <w:lang w:val="fr-FR" w:eastAsia="de-DE"/>
        </w:rPr>
        <w:t>2</w:t>
      </w:r>
      <w:r w:rsidR="00F72B31" w:rsidRPr="00F72B31">
        <w:rPr>
          <w:strike/>
          <w:lang w:val="fr-FR" w:eastAsia="de-DE"/>
        </w:rPr>
        <w:t>.</w:t>
      </w:r>
      <w:r w:rsidRPr="00B9386B">
        <w:rPr>
          <w:strike/>
          <w:lang w:val="fr-FR" w:eastAsia="de-DE"/>
        </w:rPr>
        <w:t>7</w:t>
      </w:r>
      <w:r w:rsidR="00F72B31" w:rsidRPr="00F72B31">
        <w:rPr>
          <w:strike/>
          <w:lang w:val="fr-FR" w:eastAsia="de-DE"/>
        </w:rPr>
        <w:t>.</w:t>
      </w:r>
      <w:r w:rsidRPr="00B9386B">
        <w:rPr>
          <w:strike/>
          <w:lang w:val="fr-FR" w:eastAsia="de-DE"/>
        </w:rPr>
        <w:t>2 et A</w:t>
      </w:r>
      <w:r w:rsidR="00F72B31" w:rsidRPr="00F72B31">
        <w:rPr>
          <w:strike/>
          <w:lang w:val="fr-FR" w:eastAsia="de-DE"/>
        </w:rPr>
        <w:t>.</w:t>
      </w:r>
      <w:r w:rsidRPr="00B9386B">
        <w:rPr>
          <w:strike/>
          <w:lang w:val="fr-FR" w:eastAsia="de-DE"/>
        </w:rPr>
        <w:t>1</w:t>
      </w:r>
      <w:r w:rsidR="00F72B31" w:rsidRPr="00F72B31">
        <w:rPr>
          <w:strike/>
          <w:lang w:val="fr-FR" w:eastAsia="de-DE"/>
        </w:rPr>
        <w:t>.</w:t>
      </w:r>
      <w:r w:rsidRPr="00B9386B">
        <w:rPr>
          <w:strike/>
          <w:lang w:val="fr-FR" w:eastAsia="de-DE"/>
        </w:rPr>
        <w:t>2</w:t>
      </w:r>
      <w:r w:rsidR="00F72B31" w:rsidRPr="00F72B31">
        <w:rPr>
          <w:strike/>
          <w:lang w:val="fr-FR" w:eastAsia="de-DE"/>
        </w:rPr>
        <w:t>.</w:t>
      </w:r>
      <w:r w:rsidRPr="00B9386B">
        <w:rPr>
          <w:strike/>
          <w:lang w:val="fr-FR" w:eastAsia="de-DE"/>
        </w:rPr>
        <w:t>7</w:t>
      </w:r>
      <w:r w:rsidR="00F72B31" w:rsidRPr="00F72B31">
        <w:rPr>
          <w:strike/>
          <w:lang w:val="fr-FR" w:eastAsia="de-DE"/>
        </w:rPr>
        <w:t>.</w:t>
      </w:r>
      <w:r w:rsidRPr="00B9386B">
        <w:rPr>
          <w:strike/>
          <w:lang w:val="fr-FR" w:eastAsia="de-DE"/>
        </w:rPr>
        <w:t>3, les concentrations mesurées peuvent être utilisées sans correction ou peuvent être corrigées de la dérive conformément au paragraphe A</w:t>
      </w:r>
      <w:r w:rsidR="00F72B31" w:rsidRPr="00F72B31">
        <w:rPr>
          <w:strike/>
          <w:lang w:val="fr-FR" w:eastAsia="de-DE"/>
        </w:rPr>
        <w:t>.</w:t>
      </w:r>
      <w:r w:rsidRPr="00B9386B">
        <w:rPr>
          <w:strike/>
          <w:lang w:val="fr-FR" w:eastAsia="de-DE"/>
        </w:rPr>
        <w:t>1</w:t>
      </w:r>
      <w:r w:rsidR="00F72B31" w:rsidRPr="00F72B31">
        <w:rPr>
          <w:strike/>
          <w:lang w:val="fr-FR" w:eastAsia="de-DE"/>
        </w:rPr>
        <w:t>.</w:t>
      </w:r>
      <w:r w:rsidRPr="00B9386B">
        <w:rPr>
          <w:strike/>
          <w:lang w:val="fr-FR" w:eastAsia="de-DE"/>
        </w:rPr>
        <w:t>2</w:t>
      </w:r>
      <w:r w:rsidR="00F72B31" w:rsidRPr="00F72B31">
        <w:rPr>
          <w:strike/>
          <w:lang w:val="fr-FR" w:eastAsia="de-DE"/>
        </w:rPr>
        <w:t>.</w:t>
      </w:r>
      <w:r w:rsidRPr="00B9386B">
        <w:rPr>
          <w:strike/>
          <w:lang w:val="fr-FR" w:eastAsia="de-DE"/>
        </w:rPr>
        <w:t>7</w:t>
      </w:r>
      <w:r w:rsidR="00F72B31" w:rsidRPr="00F72B31">
        <w:rPr>
          <w:strike/>
          <w:lang w:val="fr-FR" w:eastAsia="de-DE"/>
        </w:rPr>
        <w:t>.</w:t>
      </w:r>
      <w:r w:rsidRPr="00B9386B">
        <w:rPr>
          <w:strike/>
          <w:lang w:val="fr-FR" w:eastAsia="de-DE"/>
        </w:rPr>
        <w:t>5</w:t>
      </w:r>
      <w:r>
        <w:rPr>
          <w:strike/>
          <w:lang w:val="fr-FR" w:eastAsia="de-DE"/>
        </w:rPr>
        <w:t xml:space="preserve"> </w:t>
      </w:r>
      <w:r w:rsidRPr="00E773DC">
        <w:rPr>
          <w:b/>
          <w:bCs/>
          <w:lang w:val="fr-FR" w:eastAsia="de-DE"/>
        </w:rPr>
        <w:t xml:space="preserve">Si la différence entre les résultats </w:t>
      </w:r>
      <w:r w:rsidRPr="00B9386B">
        <w:rPr>
          <w:b/>
          <w:bCs/>
          <w:lang w:val="fr-FR" w:eastAsia="de-DE"/>
        </w:rPr>
        <w:t>avant et après l</w:t>
      </w:r>
      <w:r>
        <w:rPr>
          <w:b/>
          <w:bCs/>
          <w:lang w:val="fr-FR" w:eastAsia="de-DE"/>
        </w:rPr>
        <w:t>’</w:t>
      </w:r>
      <w:r w:rsidRPr="00B9386B">
        <w:rPr>
          <w:b/>
          <w:bCs/>
          <w:lang w:val="fr-FR" w:eastAsia="de-DE"/>
        </w:rPr>
        <w:t xml:space="preserve">essai </w:t>
      </w:r>
      <w:r w:rsidRPr="00E773DC">
        <w:rPr>
          <w:b/>
          <w:bCs/>
          <w:lang w:val="fr-FR" w:eastAsia="de-DE"/>
        </w:rPr>
        <w:t>est inférieure à 2</w:t>
      </w:r>
      <w:r>
        <w:rPr>
          <w:b/>
          <w:bCs/>
          <w:lang w:val="fr-FR" w:eastAsia="de-DE"/>
        </w:rPr>
        <w:t> </w:t>
      </w:r>
      <w:r w:rsidRPr="00E773DC">
        <w:rPr>
          <w:b/>
          <w:bCs/>
          <w:lang w:val="fr-FR" w:eastAsia="de-DE"/>
        </w:rPr>
        <w:t>%, comme indiqué aux paragraphes 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7</w:t>
      </w:r>
      <w:r w:rsidR="00F72B31" w:rsidRPr="00F72B31">
        <w:rPr>
          <w:b/>
          <w:bCs/>
          <w:lang w:val="fr-FR" w:eastAsia="de-DE"/>
        </w:rPr>
        <w:t>.</w:t>
      </w:r>
      <w:r w:rsidRPr="00E773DC">
        <w:rPr>
          <w:b/>
          <w:bCs/>
          <w:lang w:val="fr-FR" w:eastAsia="de-DE"/>
        </w:rPr>
        <w:t>2 et 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7</w:t>
      </w:r>
      <w:r w:rsidR="00F72B31" w:rsidRPr="00F72B31">
        <w:rPr>
          <w:b/>
          <w:bCs/>
          <w:lang w:val="fr-FR" w:eastAsia="de-DE"/>
        </w:rPr>
        <w:t>.</w:t>
      </w:r>
      <w:r w:rsidRPr="00E773DC">
        <w:rPr>
          <w:b/>
          <w:bCs/>
          <w:lang w:val="fr-FR" w:eastAsia="de-DE"/>
        </w:rPr>
        <w:t xml:space="preserve">3, </w:t>
      </w:r>
      <w:r w:rsidRPr="00B9386B">
        <w:rPr>
          <w:b/>
          <w:bCs/>
          <w:lang w:val="fr-FR" w:eastAsia="de-DE"/>
        </w:rPr>
        <w:t>les concentrations mesurées peuvent être utilisées non corrigées ou peuvent</w:t>
      </w:r>
      <w:r w:rsidRPr="00E773DC">
        <w:rPr>
          <w:b/>
          <w:bCs/>
          <w:lang w:val="fr-FR" w:eastAsia="de-DE"/>
        </w:rPr>
        <w:t>, à la demande du constructeur,</w:t>
      </w:r>
      <w:r w:rsidRPr="00B9386B">
        <w:rPr>
          <w:b/>
          <w:bCs/>
          <w:lang w:val="fr-FR" w:eastAsia="de-DE"/>
        </w:rPr>
        <w:t xml:space="preserve"> être corrigées pour la dérive</w:t>
      </w:r>
      <w:r w:rsidRPr="00E773DC">
        <w:rPr>
          <w:b/>
          <w:bCs/>
          <w:lang w:val="fr-FR" w:eastAsia="de-DE"/>
        </w:rPr>
        <w:t xml:space="preserve"> conformément au paragraphe</w:t>
      </w:r>
      <w:r w:rsidR="00690297">
        <w:rPr>
          <w:b/>
          <w:bCs/>
          <w:lang w:val="fr-FR" w:eastAsia="de-DE"/>
        </w:rPr>
        <w:t> </w:t>
      </w:r>
      <w:r w:rsidRPr="00E773DC">
        <w:rPr>
          <w:b/>
          <w:bCs/>
          <w:lang w:val="fr-FR" w:eastAsia="de-DE"/>
        </w:rPr>
        <w:t>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7</w:t>
      </w:r>
      <w:r w:rsidR="00F72B31" w:rsidRPr="00F72B31">
        <w:rPr>
          <w:b/>
          <w:bCs/>
          <w:lang w:val="fr-FR" w:eastAsia="de-DE"/>
        </w:rPr>
        <w:t>.</w:t>
      </w:r>
      <w:r w:rsidRPr="00690297">
        <w:rPr>
          <w:b/>
          <w:bCs/>
          <w:lang w:val="fr-FR" w:eastAsia="de-DE"/>
        </w:rPr>
        <w:t>5 ;</w:t>
      </w:r>
      <w:r w:rsidRPr="00621135">
        <w:rPr>
          <w:lang w:val="fr-FR" w:eastAsia="de-DE"/>
        </w:rPr>
        <w:t> </w:t>
      </w:r>
      <w:r w:rsidRPr="00E773DC">
        <w:rPr>
          <w:lang w:val="fr-FR" w:eastAsia="de-DE"/>
        </w:rPr>
        <w:t>»</w:t>
      </w:r>
      <w:r w:rsidR="00F72B31" w:rsidRPr="00F72B31">
        <w:rPr>
          <w:lang w:val="fr-FR" w:eastAsia="de-DE"/>
        </w:rPr>
        <w:t>.</w:t>
      </w:r>
    </w:p>
    <w:p w14:paraId="396C13FC" w14:textId="77777777" w:rsidR="00B921D9" w:rsidRPr="00E773DC" w:rsidRDefault="00B921D9" w:rsidP="00B921D9">
      <w:pPr>
        <w:pStyle w:val="SingleTxtG"/>
        <w:ind w:left="2268" w:hanging="1134"/>
        <w:rPr>
          <w:lang w:val="fr-FR" w:eastAsia="de-DE"/>
        </w:rPr>
      </w:pPr>
      <w:r w:rsidRPr="00E773DC">
        <w:rPr>
          <w:i/>
          <w:iCs/>
          <w:lang w:val="fr-FR" w:eastAsia="de-DE"/>
        </w:rPr>
        <w:t>Ajouter un nouveau 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7</w:t>
      </w:r>
      <w:r w:rsidR="00F72B31" w:rsidRPr="00F72B31">
        <w:rPr>
          <w:i/>
          <w:iCs/>
          <w:lang w:val="fr-FR" w:eastAsia="de-DE"/>
        </w:rPr>
        <w:t>.</w:t>
      </w:r>
      <w:r w:rsidRPr="00E773DC">
        <w:rPr>
          <w:i/>
          <w:iCs/>
          <w:lang w:val="fr-FR" w:eastAsia="de-DE"/>
        </w:rPr>
        <w:t>6</w:t>
      </w:r>
      <w:r w:rsidRPr="00690297">
        <w:rPr>
          <w:lang w:val="fr-FR" w:eastAsia="de-DE"/>
        </w:rPr>
        <w:t>,</w:t>
      </w:r>
      <w:r w:rsidRPr="00E773DC">
        <w:rPr>
          <w:i/>
          <w:iCs/>
          <w:lang w:val="fr-FR" w:eastAsia="de-DE"/>
        </w:rPr>
        <w:t xml:space="preserve"> </w:t>
      </w:r>
      <w:r w:rsidRPr="00E773DC">
        <w:rPr>
          <w:iCs/>
          <w:lang w:val="fr-FR" w:eastAsia="de-DE"/>
        </w:rPr>
        <w:t>libellé comme suit :</w:t>
      </w:r>
    </w:p>
    <w:p w14:paraId="02476EF6" w14:textId="77777777" w:rsidR="00B921D9" w:rsidRPr="00E773DC" w:rsidRDefault="00B921D9" w:rsidP="00B921D9">
      <w:pPr>
        <w:pStyle w:val="SingleTxtG"/>
        <w:rPr>
          <w:b/>
          <w:bCs/>
          <w:lang w:val="fr-FR" w:eastAsia="de-DE"/>
        </w:rPr>
      </w:pPr>
      <w:r w:rsidRPr="00CE1A05">
        <w:rPr>
          <w:lang w:val="fr-FR" w:eastAsia="de-DE"/>
        </w:rPr>
        <w:t>«</w:t>
      </w:r>
      <w:r w:rsidRPr="00E773DC">
        <w:rPr>
          <w:b/>
          <w:bCs/>
          <w:lang w:val="fr-FR" w:eastAsia="de-DE"/>
        </w:rPr>
        <w:t> 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7</w:t>
      </w:r>
      <w:r w:rsidR="00F72B31" w:rsidRPr="00F72B31">
        <w:rPr>
          <w:b/>
          <w:bCs/>
          <w:lang w:val="fr-FR" w:eastAsia="de-DE"/>
        </w:rPr>
        <w:t>.</w:t>
      </w:r>
      <w:r w:rsidRPr="00E773DC">
        <w:rPr>
          <w:b/>
          <w:bCs/>
          <w:lang w:val="fr-FR" w:eastAsia="de-DE"/>
        </w:rPr>
        <w:t>6</w:t>
      </w:r>
      <w:r w:rsidRPr="00E773DC">
        <w:rPr>
          <w:b/>
          <w:bCs/>
          <w:lang w:val="fr-FR" w:eastAsia="de-DE"/>
        </w:rPr>
        <w:tab/>
      </w:r>
      <w:r>
        <w:rPr>
          <w:b/>
          <w:bCs/>
          <w:lang w:val="fr-FR" w:eastAsia="de-DE"/>
        </w:rPr>
        <w:t>V</w:t>
      </w:r>
      <w:r w:rsidRPr="00E773DC">
        <w:rPr>
          <w:b/>
          <w:bCs/>
          <w:lang w:val="fr-FR" w:eastAsia="de-DE"/>
        </w:rPr>
        <w:t xml:space="preserve">érification </w:t>
      </w:r>
      <w:r>
        <w:rPr>
          <w:b/>
          <w:bCs/>
          <w:lang w:val="fr-FR" w:eastAsia="de-DE"/>
        </w:rPr>
        <w:t>du compteur de particules</w:t>
      </w:r>
    </w:p>
    <w:p w14:paraId="097880A1" w14:textId="77777777" w:rsidR="00B921D9" w:rsidRPr="00E773DC" w:rsidRDefault="00B921D9" w:rsidP="00B921D9">
      <w:pPr>
        <w:pStyle w:val="SingleTxtG"/>
        <w:ind w:left="2268"/>
        <w:rPr>
          <w:b/>
          <w:bCs/>
          <w:lang w:val="fr-FR" w:eastAsia="de-DE"/>
        </w:rPr>
      </w:pPr>
      <w:r w:rsidRPr="00E773DC">
        <w:rPr>
          <w:b/>
          <w:bCs/>
          <w:lang w:val="fr-FR" w:eastAsia="de-DE"/>
        </w:rPr>
        <w:t xml:space="preserve">Le zéro </w:t>
      </w:r>
      <w:r>
        <w:rPr>
          <w:b/>
          <w:bCs/>
          <w:lang w:val="fr-FR" w:eastAsia="de-DE"/>
        </w:rPr>
        <w:t>du compteur de particules</w:t>
      </w:r>
      <w:r w:rsidRPr="00E773DC">
        <w:rPr>
          <w:b/>
          <w:bCs/>
          <w:lang w:val="fr-FR" w:eastAsia="de-DE"/>
        </w:rPr>
        <w:t xml:space="preserve"> doit être vérifié avant le début et après la fin de l</w:t>
      </w:r>
      <w:r>
        <w:rPr>
          <w:b/>
          <w:bCs/>
          <w:lang w:val="fr-FR" w:eastAsia="de-DE"/>
        </w:rPr>
        <w:t>’</w:t>
      </w:r>
      <w:r w:rsidRPr="00E773DC">
        <w:rPr>
          <w:b/>
          <w:bCs/>
          <w:lang w:val="fr-FR" w:eastAsia="de-DE"/>
        </w:rPr>
        <w:t xml:space="preserve">essai et enregistré conformément aux </w:t>
      </w:r>
      <w:r>
        <w:rPr>
          <w:b/>
          <w:bCs/>
          <w:lang w:val="fr-FR" w:eastAsia="de-DE"/>
        </w:rPr>
        <w:t>prescriptions</w:t>
      </w:r>
      <w:r w:rsidRPr="00E773DC">
        <w:rPr>
          <w:b/>
          <w:bCs/>
          <w:lang w:val="fr-FR" w:eastAsia="de-DE"/>
        </w:rPr>
        <w:t xml:space="preserve"> du paragraphe 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 </w:t>
      </w:r>
      <w:r w:rsidRPr="00CE1A05">
        <w:rPr>
          <w:lang w:val="fr-FR" w:eastAsia="de-DE"/>
        </w:rPr>
        <w:t>»</w:t>
      </w:r>
      <w:r w:rsidR="00F72B31" w:rsidRPr="00F72B31">
        <w:rPr>
          <w:lang w:val="fr-FR" w:eastAsia="de-DE"/>
        </w:rPr>
        <w:t>.</w:t>
      </w:r>
    </w:p>
    <w:p w14:paraId="6EEB48E0" w14:textId="77777777" w:rsidR="00B921D9" w:rsidRPr="00E773DC" w:rsidRDefault="00B921D9" w:rsidP="00B921D9">
      <w:pPr>
        <w:pStyle w:val="SingleTxtG"/>
        <w:ind w:left="2268" w:hanging="1134"/>
        <w:rPr>
          <w:lang w:val="fr-FR" w:eastAsia="de-DE"/>
        </w:rPr>
      </w:pPr>
      <w:r w:rsidRPr="00E773DC">
        <w:rPr>
          <w:i/>
          <w:iCs/>
          <w:lang w:val="fr-FR" w:eastAsia="de-DE"/>
        </w:rPr>
        <w:t>Paragraphes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1</w:t>
      </w:r>
      <w:r>
        <w:rPr>
          <w:i/>
          <w:iCs/>
          <w:lang w:val="fr-FR" w:eastAsia="de-DE"/>
        </w:rPr>
        <w:t xml:space="preserve"> à</w:t>
      </w:r>
      <w:r w:rsidRPr="00E773DC">
        <w:rPr>
          <w:i/>
          <w:iCs/>
          <w:lang w:val="fr-FR" w:eastAsia="de-DE"/>
        </w:rPr>
        <w:t xml:space="preserv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Pr="00690297">
        <w:rPr>
          <w:lang w:val="fr-FR" w:eastAsia="de-DE"/>
        </w:rPr>
        <w:t>,</w:t>
      </w:r>
      <w:r w:rsidRPr="00E773DC">
        <w:rPr>
          <w:i/>
          <w:iCs/>
          <w:lang w:val="fr-FR" w:eastAsia="de-DE"/>
        </w:rPr>
        <w:t xml:space="preserve"> </w:t>
      </w:r>
      <w:r w:rsidRPr="00E773DC">
        <w:rPr>
          <w:lang w:val="fr-FR" w:eastAsia="de-DE"/>
        </w:rPr>
        <w:t>lire :</w:t>
      </w:r>
    </w:p>
    <w:p w14:paraId="5357A689" w14:textId="77777777" w:rsidR="00B921D9" w:rsidRPr="007453BB" w:rsidRDefault="00B921D9" w:rsidP="00B921D9">
      <w:pPr>
        <w:pStyle w:val="SingleTxtG"/>
        <w:keepNext/>
        <w:jc w:val="left"/>
        <w:rPr>
          <w:strike/>
          <w:lang w:val="fr-FR"/>
        </w:rPr>
      </w:pPr>
      <w:r w:rsidRPr="006B472E">
        <w:rPr>
          <w:lang w:val="fr-FR" w:eastAsia="de-DE"/>
        </w:rPr>
        <w:t>« </w:t>
      </w:r>
      <w:r w:rsidRPr="00FA4A44">
        <w:rPr>
          <w:strike/>
          <w:noProof/>
          <w:kern w:val="32"/>
        </w:rPr>
        <w:t>A</w:t>
      </w:r>
      <w:r w:rsidR="00F72B31" w:rsidRPr="00F72B31">
        <w:rPr>
          <w:strike/>
          <w:noProof/>
          <w:kern w:val="32"/>
        </w:rPr>
        <w:t>.</w:t>
      </w:r>
      <w:r w:rsidRPr="00FA4A44">
        <w:rPr>
          <w:strike/>
          <w:noProof/>
          <w:kern w:val="32"/>
        </w:rPr>
        <w:t>1</w:t>
      </w:r>
      <w:r w:rsidR="00F72B31" w:rsidRPr="00F72B31">
        <w:rPr>
          <w:strike/>
          <w:noProof/>
          <w:kern w:val="32"/>
        </w:rPr>
        <w:t>.</w:t>
      </w:r>
      <w:r w:rsidRPr="00FA4A44">
        <w:rPr>
          <w:strike/>
          <w:noProof/>
        </w:rPr>
        <w:t>3</w:t>
      </w:r>
      <w:r w:rsidR="00F72B31" w:rsidRPr="00F72B31">
        <w:rPr>
          <w:strike/>
          <w:noProof/>
        </w:rPr>
        <w:t>.</w:t>
      </w:r>
      <w:r w:rsidRPr="00FA4A44">
        <w:rPr>
          <w:strike/>
          <w:noProof/>
        </w:rPr>
        <w:t>1</w:t>
      </w:r>
      <w:r w:rsidR="00F72B31" w:rsidRPr="00F72B31">
        <w:rPr>
          <w:strike/>
          <w:noProof/>
        </w:rPr>
        <w:t>.</w:t>
      </w:r>
      <w:r w:rsidRPr="00FA4A44">
        <w:rPr>
          <w:strike/>
          <w:noProof/>
        </w:rPr>
        <w:t>1</w:t>
      </w:r>
      <w:r w:rsidRPr="00FA4A44">
        <w:rPr>
          <w:strike/>
          <w:noProof/>
        </w:rPr>
        <w:tab/>
      </w:r>
      <w:r w:rsidRPr="007453BB">
        <w:rPr>
          <w:iCs/>
          <w:strike/>
          <w:lang w:val="fr-FR"/>
        </w:rPr>
        <w:t>Données des analyseurs de gaz</w:t>
      </w:r>
    </w:p>
    <w:p w14:paraId="649CB959" w14:textId="77777777" w:rsidR="00B921D9" w:rsidRPr="007453BB" w:rsidRDefault="00B921D9" w:rsidP="00B921D9">
      <w:pPr>
        <w:pStyle w:val="SingleTxtG"/>
        <w:ind w:left="2268"/>
        <w:rPr>
          <w:strike/>
          <w:lang w:val="fr-FR"/>
        </w:rPr>
      </w:pPr>
      <w:r w:rsidRPr="007453BB">
        <w:rPr>
          <w:strike/>
          <w:lang w:val="fr-FR"/>
        </w:rPr>
        <w:t>Les données des analyseurs de gaz doivent être correctement alignées en utilisant la procédure indiquée au paragraphe 9</w:t>
      </w:r>
      <w:r w:rsidR="00F72B31" w:rsidRPr="00F72B31">
        <w:rPr>
          <w:strike/>
          <w:lang w:val="fr-FR"/>
        </w:rPr>
        <w:t>.</w:t>
      </w:r>
      <w:r w:rsidRPr="007453BB">
        <w:rPr>
          <w:strike/>
          <w:lang w:val="fr-FR"/>
        </w:rPr>
        <w:t>3</w:t>
      </w:r>
      <w:r w:rsidR="00F72B31" w:rsidRPr="00F72B31">
        <w:rPr>
          <w:strike/>
          <w:lang w:val="fr-FR"/>
        </w:rPr>
        <w:t>.</w:t>
      </w:r>
      <w:r w:rsidRPr="007453BB">
        <w:rPr>
          <w:strike/>
          <w:lang w:val="fr-FR"/>
        </w:rPr>
        <w:t>5 de l</w:t>
      </w:r>
      <w:r>
        <w:rPr>
          <w:strike/>
          <w:lang w:val="fr-FR"/>
        </w:rPr>
        <w:t>’</w:t>
      </w:r>
      <w:r w:rsidRPr="007453BB">
        <w:rPr>
          <w:strike/>
          <w:lang w:val="fr-FR"/>
        </w:rPr>
        <w:t>annexe</w:t>
      </w:r>
      <w:r w:rsidRPr="00FA4A44">
        <w:rPr>
          <w:strike/>
        </w:rPr>
        <w:t> </w:t>
      </w:r>
      <w:r w:rsidRPr="007453BB">
        <w:rPr>
          <w:strike/>
          <w:lang w:val="fr-FR"/>
        </w:rPr>
        <w:t>4</w:t>
      </w:r>
      <w:r w:rsidR="00F72B31" w:rsidRPr="00F72B31">
        <w:rPr>
          <w:strike/>
          <w:lang w:val="fr-FR"/>
        </w:rPr>
        <w:t>.</w:t>
      </w:r>
    </w:p>
    <w:p w14:paraId="6B7F7487" w14:textId="77777777" w:rsidR="00B921D9" w:rsidRPr="007453BB" w:rsidRDefault="00B921D9" w:rsidP="00B921D9">
      <w:pPr>
        <w:pStyle w:val="SingleTxtG"/>
        <w:keepNext/>
        <w:jc w:val="left"/>
        <w:rPr>
          <w:strike/>
          <w:lang w:val="fr-FR"/>
        </w:rPr>
      </w:pPr>
      <w:r w:rsidRPr="00FA4A44">
        <w:rPr>
          <w:strike/>
          <w:noProof/>
          <w:kern w:val="32"/>
        </w:rPr>
        <w:t>A</w:t>
      </w:r>
      <w:r w:rsidR="00F72B31" w:rsidRPr="00F72B31">
        <w:rPr>
          <w:strike/>
          <w:noProof/>
          <w:kern w:val="32"/>
        </w:rPr>
        <w:t>.</w:t>
      </w:r>
      <w:r w:rsidRPr="00FA4A44">
        <w:rPr>
          <w:strike/>
          <w:noProof/>
          <w:kern w:val="32"/>
        </w:rPr>
        <w:t>1</w:t>
      </w:r>
      <w:r w:rsidR="00F72B31" w:rsidRPr="00F72B31">
        <w:rPr>
          <w:strike/>
          <w:noProof/>
          <w:kern w:val="32"/>
        </w:rPr>
        <w:t>.</w:t>
      </w:r>
      <w:r w:rsidRPr="00FA4A44">
        <w:rPr>
          <w:strike/>
          <w:noProof/>
        </w:rPr>
        <w:t>3</w:t>
      </w:r>
      <w:r w:rsidR="00F72B31" w:rsidRPr="00F72B31">
        <w:rPr>
          <w:strike/>
          <w:noProof/>
        </w:rPr>
        <w:t>.</w:t>
      </w:r>
      <w:r w:rsidRPr="00FA4A44">
        <w:rPr>
          <w:strike/>
          <w:noProof/>
        </w:rPr>
        <w:t>1</w:t>
      </w:r>
      <w:r w:rsidR="00F72B31" w:rsidRPr="00F72B31">
        <w:rPr>
          <w:strike/>
          <w:noProof/>
        </w:rPr>
        <w:t>.</w:t>
      </w:r>
      <w:r w:rsidRPr="00FA4A44">
        <w:rPr>
          <w:strike/>
          <w:noProof/>
        </w:rPr>
        <w:t>2</w:t>
      </w:r>
      <w:r w:rsidRPr="00FA4A44">
        <w:rPr>
          <w:strike/>
          <w:noProof/>
        </w:rPr>
        <w:tab/>
      </w:r>
      <w:r w:rsidRPr="007453BB">
        <w:rPr>
          <w:iCs/>
          <w:strike/>
          <w:lang w:val="fr-FR"/>
        </w:rPr>
        <w:t>Analyseurs de gaz et données EFM</w:t>
      </w:r>
    </w:p>
    <w:p w14:paraId="13A66026" w14:textId="77777777" w:rsidR="00B921D9" w:rsidRPr="007453BB" w:rsidRDefault="00B921D9" w:rsidP="00B921D9">
      <w:pPr>
        <w:pStyle w:val="SingleTxtG"/>
        <w:ind w:left="2268"/>
        <w:rPr>
          <w:strike/>
          <w:spacing w:val="-2"/>
          <w:lang w:val="fr-FR"/>
        </w:rPr>
      </w:pPr>
      <w:r w:rsidRPr="007453BB">
        <w:rPr>
          <w:strike/>
          <w:spacing w:val="-2"/>
          <w:lang w:val="fr-FR"/>
        </w:rPr>
        <w:t>Les données des analyseurs de gaz doivent être correctement alignées avec les données de l</w:t>
      </w:r>
      <w:r>
        <w:rPr>
          <w:strike/>
          <w:spacing w:val="-2"/>
          <w:lang w:val="fr-FR"/>
        </w:rPr>
        <w:t>’</w:t>
      </w:r>
      <w:r w:rsidRPr="007453BB">
        <w:rPr>
          <w:strike/>
          <w:spacing w:val="-2"/>
          <w:lang w:val="fr-FR"/>
        </w:rPr>
        <w:t>EFM en utilisant la procédure indiquée au paragraphe </w:t>
      </w:r>
      <w:r w:rsidRPr="00FA4A44">
        <w:rPr>
          <w:strike/>
          <w:noProof/>
          <w:spacing w:val="-2"/>
          <w:kern w:val="32"/>
        </w:rPr>
        <w:t>A</w:t>
      </w:r>
      <w:r w:rsidR="00F72B31" w:rsidRPr="00F72B31">
        <w:rPr>
          <w:strike/>
          <w:noProof/>
          <w:spacing w:val="-2"/>
          <w:kern w:val="32"/>
        </w:rPr>
        <w:t>.</w:t>
      </w:r>
      <w:r w:rsidRPr="00FA4A44">
        <w:rPr>
          <w:strike/>
          <w:noProof/>
          <w:spacing w:val="-2"/>
          <w:kern w:val="32"/>
        </w:rPr>
        <w:t>1</w:t>
      </w:r>
      <w:r w:rsidR="00F72B31" w:rsidRPr="00F72B31">
        <w:rPr>
          <w:strike/>
          <w:noProof/>
          <w:spacing w:val="-2"/>
          <w:kern w:val="32"/>
        </w:rPr>
        <w:t>.</w:t>
      </w:r>
      <w:r w:rsidRPr="00FA4A44">
        <w:rPr>
          <w:strike/>
          <w:noProof/>
          <w:spacing w:val="-2"/>
        </w:rPr>
        <w:t>3</w:t>
      </w:r>
      <w:r w:rsidR="00F72B31" w:rsidRPr="00F72B31">
        <w:rPr>
          <w:strike/>
          <w:noProof/>
          <w:spacing w:val="-2"/>
        </w:rPr>
        <w:t>.</w:t>
      </w:r>
      <w:r w:rsidRPr="00FA4A44">
        <w:rPr>
          <w:strike/>
          <w:noProof/>
          <w:spacing w:val="-2"/>
        </w:rPr>
        <w:t>1</w:t>
      </w:r>
      <w:r w:rsidR="00F72B31" w:rsidRPr="00F72B31">
        <w:rPr>
          <w:strike/>
          <w:noProof/>
          <w:spacing w:val="-2"/>
        </w:rPr>
        <w:t>.</w:t>
      </w:r>
      <w:r w:rsidRPr="00FA4A44">
        <w:rPr>
          <w:strike/>
          <w:noProof/>
          <w:spacing w:val="-2"/>
        </w:rPr>
        <w:t>4</w:t>
      </w:r>
      <w:r w:rsidR="00F72B31" w:rsidRPr="00F72B31">
        <w:rPr>
          <w:strike/>
          <w:spacing w:val="-2"/>
          <w:lang w:val="fr-FR"/>
        </w:rPr>
        <w:t>.</w:t>
      </w:r>
    </w:p>
    <w:p w14:paraId="70C34414" w14:textId="77777777" w:rsidR="00B921D9" w:rsidRPr="007453BB" w:rsidRDefault="00B921D9" w:rsidP="00B921D9">
      <w:pPr>
        <w:pStyle w:val="SingleTxtG"/>
        <w:keepNext/>
        <w:jc w:val="left"/>
        <w:rPr>
          <w:strike/>
          <w:lang w:val="fr-FR"/>
        </w:rPr>
      </w:pPr>
      <w:r w:rsidRPr="00FA4A44">
        <w:rPr>
          <w:strike/>
          <w:noProof/>
          <w:kern w:val="32"/>
        </w:rPr>
        <w:t>A</w:t>
      </w:r>
      <w:r w:rsidR="00F72B31" w:rsidRPr="00F72B31">
        <w:rPr>
          <w:strike/>
          <w:noProof/>
          <w:kern w:val="32"/>
        </w:rPr>
        <w:t>.</w:t>
      </w:r>
      <w:r w:rsidRPr="00FA4A44">
        <w:rPr>
          <w:strike/>
          <w:noProof/>
          <w:kern w:val="32"/>
        </w:rPr>
        <w:t>1</w:t>
      </w:r>
      <w:r w:rsidR="00F72B31" w:rsidRPr="00F72B31">
        <w:rPr>
          <w:strike/>
          <w:noProof/>
          <w:kern w:val="32"/>
        </w:rPr>
        <w:t>.</w:t>
      </w:r>
      <w:r w:rsidRPr="00FA4A44">
        <w:rPr>
          <w:strike/>
          <w:noProof/>
        </w:rPr>
        <w:t>3</w:t>
      </w:r>
      <w:r w:rsidR="00F72B31" w:rsidRPr="00F72B31">
        <w:rPr>
          <w:strike/>
          <w:noProof/>
        </w:rPr>
        <w:t>.</w:t>
      </w:r>
      <w:r w:rsidRPr="00FA4A44">
        <w:rPr>
          <w:strike/>
          <w:noProof/>
        </w:rPr>
        <w:t>1</w:t>
      </w:r>
      <w:r w:rsidR="00F72B31" w:rsidRPr="00F72B31">
        <w:rPr>
          <w:strike/>
          <w:noProof/>
        </w:rPr>
        <w:t>.</w:t>
      </w:r>
      <w:r w:rsidRPr="00FA4A44">
        <w:rPr>
          <w:strike/>
          <w:noProof/>
        </w:rPr>
        <w:t>3</w:t>
      </w:r>
      <w:r w:rsidRPr="00FA4A44">
        <w:rPr>
          <w:strike/>
          <w:noProof/>
        </w:rPr>
        <w:tab/>
      </w:r>
      <w:r w:rsidRPr="007453BB">
        <w:rPr>
          <w:iCs/>
          <w:strike/>
          <w:lang w:val="fr-FR"/>
        </w:rPr>
        <w:t>Données des PEMS et données du moteur</w:t>
      </w:r>
    </w:p>
    <w:p w14:paraId="0E17AEE7" w14:textId="77777777" w:rsidR="00B921D9" w:rsidRDefault="00B921D9" w:rsidP="00B921D9">
      <w:pPr>
        <w:pStyle w:val="SingleTxtG"/>
        <w:ind w:left="2268"/>
        <w:rPr>
          <w:lang w:val="fr-FR" w:eastAsia="de-DE"/>
        </w:rPr>
      </w:pPr>
      <w:r w:rsidRPr="007453BB">
        <w:rPr>
          <w:strike/>
          <w:lang w:val="fr-FR"/>
        </w:rPr>
        <w:t>Les données des PEMS (analyseurs de gaz et EFM) doivent être correctement alignées avec les données du module de gestion ECU du moteur en utilisant la procédure indiquée au paragraphe </w:t>
      </w:r>
      <w:r w:rsidRPr="00FA4A44">
        <w:rPr>
          <w:strike/>
          <w:noProof/>
          <w:kern w:val="32"/>
        </w:rPr>
        <w:t>A</w:t>
      </w:r>
      <w:r w:rsidR="00F72B31" w:rsidRPr="00F72B31">
        <w:rPr>
          <w:strike/>
          <w:noProof/>
          <w:kern w:val="32"/>
        </w:rPr>
        <w:t>.</w:t>
      </w:r>
      <w:r w:rsidRPr="00FA4A44">
        <w:rPr>
          <w:strike/>
          <w:noProof/>
          <w:kern w:val="32"/>
        </w:rPr>
        <w:t>1</w:t>
      </w:r>
      <w:r w:rsidR="00F72B31" w:rsidRPr="00F72B31">
        <w:rPr>
          <w:strike/>
          <w:noProof/>
          <w:kern w:val="32"/>
        </w:rPr>
        <w:t>.</w:t>
      </w:r>
      <w:r w:rsidRPr="00FA4A44">
        <w:rPr>
          <w:strike/>
          <w:noProof/>
        </w:rPr>
        <w:t>3</w:t>
      </w:r>
      <w:r w:rsidR="00F72B31" w:rsidRPr="00F72B31">
        <w:rPr>
          <w:strike/>
          <w:noProof/>
        </w:rPr>
        <w:t>.</w:t>
      </w:r>
      <w:r w:rsidRPr="00FA4A44">
        <w:rPr>
          <w:strike/>
          <w:noProof/>
        </w:rPr>
        <w:t>1</w:t>
      </w:r>
      <w:r w:rsidR="00F72B31" w:rsidRPr="00F72B31">
        <w:rPr>
          <w:strike/>
          <w:noProof/>
        </w:rPr>
        <w:t>.</w:t>
      </w:r>
      <w:r w:rsidRPr="00FA4A44">
        <w:rPr>
          <w:strike/>
          <w:noProof/>
        </w:rPr>
        <w:t>4</w:t>
      </w:r>
      <w:r w:rsidR="00F72B31" w:rsidRPr="00F72B31">
        <w:rPr>
          <w:strike/>
          <w:lang w:val="fr-FR"/>
        </w:rPr>
        <w:t>.</w:t>
      </w:r>
    </w:p>
    <w:p w14:paraId="3D9D7C4E" w14:textId="77777777" w:rsidR="00B921D9" w:rsidRPr="00182ED0" w:rsidRDefault="00B921D9" w:rsidP="00B921D9">
      <w:pPr>
        <w:pStyle w:val="SingleTxtG"/>
        <w:rPr>
          <w:b/>
          <w:bCs/>
          <w:lang w:val="fr-FR" w:eastAsia="de-DE"/>
        </w:rPr>
      </w:pPr>
      <w:r w:rsidRPr="00182ED0">
        <w:rPr>
          <w:b/>
          <w:bCs/>
          <w:lang w:val="fr-FR" w:eastAsia="de-DE"/>
        </w:rPr>
        <w:t>A</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3</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1</w:t>
      </w:r>
      <w:r w:rsidRPr="00182ED0">
        <w:rPr>
          <w:b/>
          <w:bCs/>
          <w:lang w:val="fr-FR" w:eastAsia="de-DE"/>
        </w:rPr>
        <w:tab/>
        <w:t xml:space="preserve">Données des analyseurs </w:t>
      </w:r>
    </w:p>
    <w:p w14:paraId="5DB69281" w14:textId="77777777" w:rsidR="00B921D9" w:rsidRPr="00182ED0" w:rsidRDefault="00B921D9" w:rsidP="00B921D9">
      <w:pPr>
        <w:pStyle w:val="SingleTxtG"/>
        <w:ind w:left="2268"/>
        <w:rPr>
          <w:b/>
          <w:bCs/>
          <w:lang w:val="fr-FR" w:eastAsia="de-DE"/>
        </w:rPr>
      </w:pPr>
      <w:r w:rsidRPr="00182ED0">
        <w:rPr>
          <w:b/>
          <w:bCs/>
          <w:lang w:val="fr-FR" w:eastAsia="de-DE"/>
        </w:rPr>
        <w:t>Les données des analyseurs de gaz doivent être correctement alignées en utilisant la procédure indiquée au paragraphe 9</w:t>
      </w:r>
      <w:r w:rsidR="00CB0680" w:rsidRPr="00182ED0">
        <w:rPr>
          <w:b/>
          <w:bCs/>
          <w:lang w:val="fr-FR" w:eastAsia="de-DE"/>
        </w:rPr>
        <w:t>.</w:t>
      </w:r>
      <w:r w:rsidRPr="00182ED0">
        <w:rPr>
          <w:b/>
          <w:bCs/>
          <w:lang w:val="fr-FR" w:eastAsia="de-DE"/>
        </w:rPr>
        <w:t>3</w:t>
      </w:r>
      <w:r w:rsidR="00CB0680" w:rsidRPr="00182ED0">
        <w:rPr>
          <w:b/>
          <w:bCs/>
          <w:lang w:val="fr-FR" w:eastAsia="de-DE"/>
        </w:rPr>
        <w:t>.</w:t>
      </w:r>
      <w:r w:rsidRPr="00182ED0">
        <w:rPr>
          <w:b/>
          <w:bCs/>
          <w:lang w:val="fr-FR" w:eastAsia="de-DE"/>
        </w:rPr>
        <w:t>5 de l’annexe 4</w:t>
      </w:r>
      <w:r w:rsidR="00CB0680" w:rsidRPr="00182ED0">
        <w:rPr>
          <w:b/>
          <w:bCs/>
          <w:lang w:val="fr-FR" w:eastAsia="de-DE"/>
        </w:rPr>
        <w:t>.</w:t>
      </w:r>
      <w:r w:rsidRPr="00182ED0">
        <w:rPr>
          <w:b/>
          <w:bCs/>
          <w:lang w:val="fr-FR" w:eastAsia="de-DE"/>
        </w:rPr>
        <w:t xml:space="preserve"> Les données du compteur de particules doivent être alignées sur son propre temps de transformation, conformément aux instructions du fabricant de l’instrument</w:t>
      </w:r>
      <w:r w:rsidR="00CB0680" w:rsidRPr="00182ED0">
        <w:rPr>
          <w:b/>
          <w:bCs/>
          <w:lang w:val="fr-FR" w:eastAsia="de-DE"/>
        </w:rPr>
        <w:t>.</w:t>
      </w:r>
    </w:p>
    <w:p w14:paraId="401F345B" w14:textId="77777777" w:rsidR="00B921D9" w:rsidRPr="00182ED0" w:rsidRDefault="00B921D9" w:rsidP="00B921D9">
      <w:pPr>
        <w:pStyle w:val="SingleTxtG"/>
        <w:ind w:left="2268" w:hanging="1134"/>
        <w:rPr>
          <w:b/>
          <w:bCs/>
          <w:lang w:val="fr-FR" w:eastAsia="de-DE"/>
        </w:rPr>
      </w:pPr>
      <w:r w:rsidRPr="00182ED0">
        <w:rPr>
          <w:b/>
          <w:bCs/>
          <w:lang w:val="fr-FR" w:eastAsia="de-DE"/>
        </w:rPr>
        <w:t>A</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3</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2</w:t>
      </w:r>
      <w:r w:rsidRPr="00182ED0">
        <w:rPr>
          <w:b/>
          <w:bCs/>
          <w:lang w:val="fr-FR" w:eastAsia="de-DE"/>
        </w:rPr>
        <w:tab/>
        <w:t>Données des analyseurs et du débitmètre des gaz d’échappement (EFM)</w:t>
      </w:r>
    </w:p>
    <w:p w14:paraId="08286A91" w14:textId="77777777" w:rsidR="00B921D9" w:rsidRPr="00182ED0" w:rsidRDefault="00B921D9" w:rsidP="00B921D9">
      <w:pPr>
        <w:pStyle w:val="SingleTxtG"/>
        <w:ind w:left="2268"/>
        <w:rPr>
          <w:b/>
          <w:bCs/>
          <w:lang w:val="fr-FR" w:eastAsia="de-DE"/>
        </w:rPr>
      </w:pPr>
      <w:r w:rsidRPr="00182ED0">
        <w:rPr>
          <w:b/>
          <w:bCs/>
          <w:lang w:val="fr-FR" w:eastAsia="de-DE"/>
        </w:rPr>
        <w:t xml:space="preserve">Les </w:t>
      </w:r>
      <w:bookmarkStart w:id="29" w:name="_Hlk55893011"/>
      <w:r w:rsidRPr="00182ED0">
        <w:rPr>
          <w:b/>
          <w:bCs/>
          <w:lang w:val="fr-FR" w:eastAsia="de-DE"/>
        </w:rPr>
        <w:t xml:space="preserve">données des analyseurs </w:t>
      </w:r>
      <w:bookmarkEnd w:id="29"/>
      <w:r w:rsidRPr="00182ED0">
        <w:rPr>
          <w:b/>
          <w:bCs/>
          <w:lang w:val="fr-FR" w:eastAsia="de-DE"/>
        </w:rPr>
        <w:t>de gaz et des analyseurs de particules doivent être correctement alignées avec les données de l’EFM en utilisant la procédure indiquée au paragraphe A</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3</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4</w:t>
      </w:r>
      <w:r w:rsidR="00CB0680" w:rsidRPr="00182ED0">
        <w:rPr>
          <w:b/>
          <w:bCs/>
          <w:lang w:val="fr-FR" w:eastAsia="de-DE"/>
        </w:rPr>
        <w:t>.</w:t>
      </w:r>
    </w:p>
    <w:p w14:paraId="118CF88C" w14:textId="77777777" w:rsidR="00B921D9" w:rsidRPr="00182ED0" w:rsidRDefault="00B921D9" w:rsidP="00B921D9">
      <w:pPr>
        <w:pStyle w:val="SingleTxtG"/>
        <w:rPr>
          <w:b/>
          <w:bCs/>
          <w:lang w:val="fr-FR" w:eastAsia="de-DE"/>
        </w:rPr>
      </w:pPr>
      <w:r w:rsidRPr="00182ED0">
        <w:rPr>
          <w:b/>
          <w:bCs/>
          <w:lang w:val="fr-FR" w:eastAsia="de-DE"/>
        </w:rPr>
        <w:t>A</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3</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3</w:t>
      </w:r>
      <w:r w:rsidRPr="00182ED0">
        <w:rPr>
          <w:b/>
          <w:bCs/>
          <w:lang w:val="fr-FR" w:eastAsia="de-DE"/>
        </w:rPr>
        <w:tab/>
        <w:t>Données des PEMS et données du moteur</w:t>
      </w:r>
    </w:p>
    <w:p w14:paraId="6827CB5A" w14:textId="77777777" w:rsidR="00B921D9" w:rsidRDefault="00B921D9" w:rsidP="00B921D9">
      <w:pPr>
        <w:pStyle w:val="SingleTxtG"/>
        <w:ind w:left="2268"/>
        <w:rPr>
          <w:lang w:val="fr-FR" w:eastAsia="de-DE"/>
        </w:rPr>
      </w:pPr>
      <w:r w:rsidRPr="00182ED0">
        <w:rPr>
          <w:b/>
          <w:bCs/>
          <w:lang w:val="fr-FR" w:eastAsia="de-DE"/>
        </w:rPr>
        <w:t>Les données des PEMS (analyseurs de gaz, analyseurs de particules et EFM) doivent être correctement alignées avec les données du module de gestion ECU du moteur en utilisant la procédure indiquée au paragraphe A</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3</w:t>
      </w:r>
      <w:r w:rsidR="00CB0680" w:rsidRPr="00182ED0">
        <w:rPr>
          <w:b/>
          <w:bCs/>
          <w:lang w:val="fr-FR" w:eastAsia="de-DE"/>
        </w:rPr>
        <w:t>.</w:t>
      </w:r>
      <w:r w:rsidRPr="00182ED0">
        <w:rPr>
          <w:b/>
          <w:bCs/>
          <w:lang w:val="fr-FR" w:eastAsia="de-DE"/>
        </w:rPr>
        <w:t>1</w:t>
      </w:r>
      <w:r w:rsidR="00CB0680" w:rsidRPr="00182ED0">
        <w:rPr>
          <w:b/>
          <w:bCs/>
          <w:lang w:val="fr-FR" w:eastAsia="de-DE"/>
        </w:rPr>
        <w:t>.</w:t>
      </w:r>
      <w:r w:rsidRPr="00182ED0">
        <w:rPr>
          <w:b/>
          <w:bCs/>
          <w:lang w:val="fr-FR" w:eastAsia="de-DE"/>
        </w:rPr>
        <w:t>4</w:t>
      </w:r>
      <w:r w:rsidR="00CB0680" w:rsidRPr="00182ED0">
        <w:rPr>
          <w:b/>
          <w:bCs/>
          <w:lang w:val="fr-FR" w:eastAsia="de-DE"/>
        </w:rPr>
        <w:t>.</w:t>
      </w:r>
      <w:r w:rsidRPr="00182ED0">
        <w:rPr>
          <w:lang w:val="fr-FR" w:eastAsia="de-DE"/>
        </w:rPr>
        <w:t> »</w:t>
      </w:r>
      <w:r w:rsidR="00CB0680" w:rsidRPr="00182ED0">
        <w:rPr>
          <w:lang w:val="fr-FR" w:eastAsia="de-DE"/>
        </w:rPr>
        <w:t>.</w:t>
      </w:r>
    </w:p>
    <w:p w14:paraId="59B13A3F" w14:textId="77777777" w:rsidR="00B921D9" w:rsidRPr="00E773DC" w:rsidRDefault="00B921D9" w:rsidP="00B921D9">
      <w:pPr>
        <w:pStyle w:val="SingleTxtG"/>
        <w:ind w:left="2268" w:hanging="1134"/>
        <w:rPr>
          <w:lang w:val="fr-FR" w:eastAsia="de-DE"/>
        </w:rPr>
      </w:pPr>
      <w:bookmarkStart w:id="30" w:name="_Hlk52362245"/>
      <w:r w:rsidRPr="00E773DC">
        <w:rPr>
          <w:i/>
          <w:iCs/>
          <w:lang w:val="fr-FR" w:eastAsia="de-DE"/>
        </w:rPr>
        <w:t>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Pr="00E773DC">
        <w:rPr>
          <w:lang w:val="fr-FR" w:eastAsia="de-DE"/>
        </w:rPr>
        <w:t>, lire :</w:t>
      </w:r>
      <w:bookmarkEnd w:id="30"/>
    </w:p>
    <w:p w14:paraId="7F147B11" w14:textId="77777777" w:rsidR="00B921D9" w:rsidRPr="00E773DC" w:rsidRDefault="00B921D9" w:rsidP="00B921D9">
      <w:pPr>
        <w:pStyle w:val="SingleTxtG"/>
        <w:rPr>
          <w:lang w:val="fr-FR" w:eastAsia="de-DE"/>
        </w:rPr>
      </w:pPr>
      <w:r w:rsidRPr="00E773DC">
        <w:rPr>
          <w:lang w:val="fr-FR" w:eastAsia="de-DE"/>
        </w:rPr>
        <w:t>« A</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3</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4</w:t>
      </w:r>
      <w:r w:rsidRPr="00E773DC">
        <w:rPr>
          <w:lang w:val="fr-FR" w:eastAsia="de-DE"/>
        </w:rPr>
        <w:tab/>
      </w:r>
      <w:r w:rsidRPr="006B472E">
        <w:rPr>
          <w:lang w:val="fr-FR" w:eastAsia="de-DE"/>
        </w:rPr>
        <w:t>Procédure pour améliorer la synchronisation des données des PEMS</w:t>
      </w:r>
    </w:p>
    <w:p w14:paraId="4FC248DD" w14:textId="77777777" w:rsidR="00B921D9" w:rsidRDefault="00B921D9" w:rsidP="00B921D9">
      <w:pPr>
        <w:pStyle w:val="SingleTxtG"/>
        <w:ind w:left="2268"/>
        <w:rPr>
          <w:lang w:val="fr-FR" w:eastAsia="de-DE"/>
        </w:rPr>
      </w:pPr>
      <w:r w:rsidRPr="006B472E">
        <w:rPr>
          <w:lang w:val="fr-FR" w:eastAsia="de-DE"/>
        </w:rPr>
        <w:t>Les données d</w:t>
      </w:r>
      <w:r>
        <w:rPr>
          <w:lang w:val="fr-FR" w:eastAsia="de-DE"/>
        </w:rPr>
        <w:t>’</w:t>
      </w:r>
      <w:r w:rsidRPr="006B472E">
        <w:rPr>
          <w:lang w:val="fr-FR" w:eastAsia="de-DE"/>
        </w:rPr>
        <w:t>essai énumérées au tableau 1 sont subdivisées en trois catégories différentes</w:t>
      </w:r>
      <w:r>
        <w:rPr>
          <w:lang w:val="fr-FR" w:eastAsia="de-DE"/>
        </w:rPr>
        <w:t> </w:t>
      </w:r>
      <w:r w:rsidRPr="006B472E">
        <w:rPr>
          <w:lang w:val="fr-FR" w:eastAsia="de-DE"/>
        </w:rPr>
        <w:t>:</w:t>
      </w:r>
    </w:p>
    <w:p w14:paraId="6B7232B4" w14:textId="77777777" w:rsidR="00B921D9" w:rsidRPr="00E773DC" w:rsidRDefault="00B921D9" w:rsidP="00B921D9">
      <w:pPr>
        <w:pStyle w:val="SingleTxtG"/>
        <w:ind w:left="2268"/>
        <w:rPr>
          <w:lang w:val="fr-FR" w:eastAsia="de-DE"/>
        </w:rPr>
      </w:pPr>
      <w:r w:rsidRPr="00E773DC">
        <w:rPr>
          <w:lang w:val="fr-FR" w:eastAsia="de-DE"/>
        </w:rPr>
        <w:lastRenderedPageBreak/>
        <w:t>1</w:t>
      </w:r>
      <w:r w:rsidR="00F72B31" w:rsidRPr="00F72B31">
        <w:rPr>
          <w:lang w:val="fr-FR" w:eastAsia="de-DE"/>
        </w:rPr>
        <w:t>.</w:t>
      </w:r>
      <w:r w:rsidRPr="00E773DC">
        <w:rPr>
          <w:lang w:val="fr-FR" w:eastAsia="de-DE"/>
        </w:rPr>
        <w:tab/>
      </w:r>
      <w:r w:rsidRPr="00F54990">
        <w:rPr>
          <w:strike/>
          <w:lang w:val="fr-FR"/>
        </w:rPr>
        <w:t xml:space="preserve">Analyseurs de gaz (concentrations THC, </w:t>
      </w:r>
      <w:r w:rsidRPr="00F54990">
        <w:rPr>
          <w:strike/>
          <w:spacing w:val="-2"/>
          <w:lang w:val="fr-FR"/>
        </w:rPr>
        <w:t>selon le cas</w:t>
      </w:r>
      <w:r w:rsidRPr="00F54990">
        <w:rPr>
          <w:strike/>
          <w:lang w:val="fr-FR"/>
        </w:rPr>
        <w:t xml:space="preserve"> CH</w:t>
      </w:r>
      <w:r w:rsidRPr="00F54990">
        <w:rPr>
          <w:strike/>
          <w:vertAlign w:val="subscript"/>
          <w:lang w:val="fr-FR"/>
        </w:rPr>
        <w:t>4</w:t>
      </w:r>
      <w:r w:rsidRPr="00F54990">
        <w:rPr>
          <w:strike/>
          <w:lang w:val="fr-FR"/>
        </w:rPr>
        <w:t>, CO, CO</w:t>
      </w:r>
      <w:r w:rsidRPr="00F54990">
        <w:rPr>
          <w:strike/>
          <w:vertAlign w:val="subscript"/>
          <w:lang w:val="fr-FR"/>
        </w:rPr>
        <w:t>2</w:t>
      </w:r>
      <w:r w:rsidRPr="00F54990">
        <w:rPr>
          <w:strike/>
          <w:lang w:val="fr-FR"/>
        </w:rPr>
        <w:t>, NO</w:t>
      </w:r>
      <w:r w:rsidRPr="00F54990">
        <w:rPr>
          <w:strike/>
          <w:vertAlign w:val="subscript"/>
          <w:lang w:val="fr-FR"/>
        </w:rPr>
        <w:t>x</w:t>
      </w:r>
      <w:r w:rsidRPr="00F54990">
        <w:rPr>
          <w:strike/>
          <w:lang w:val="fr-FR"/>
        </w:rPr>
        <w:t>)</w:t>
      </w:r>
      <w:r>
        <w:rPr>
          <w:lang w:val="fr-FR"/>
        </w:rPr>
        <w:t xml:space="preserve"> </w:t>
      </w:r>
      <w:r w:rsidRPr="00E773DC">
        <w:rPr>
          <w:b/>
          <w:bCs/>
          <w:lang w:val="fr-FR" w:eastAsia="de-DE"/>
        </w:rPr>
        <w:t xml:space="preserve">Analyseurs de gaz (concentrations de THC, CO, </w:t>
      </w:r>
      <w:r w:rsidRPr="00F54990">
        <w:rPr>
          <w:b/>
          <w:bCs/>
          <w:lang w:val="fr-FR" w:eastAsia="de-DE"/>
        </w:rPr>
        <w:t>CO</w:t>
      </w:r>
      <w:r w:rsidRPr="00E773DC">
        <w:rPr>
          <w:b/>
          <w:bCs/>
          <w:vertAlign w:val="subscript"/>
          <w:lang w:val="fr-FR" w:eastAsia="de-DE"/>
        </w:rPr>
        <w:t>2</w:t>
      </w:r>
      <w:r>
        <w:rPr>
          <w:b/>
          <w:bCs/>
          <w:lang w:val="fr-FR" w:eastAsia="de-DE"/>
        </w:rPr>
        <w:t xml:space="preserve"> et </w:t>
      </w:r>
      <w:r w:rsidRPr="00E773DC">
        <w:rPr>
          <w:b/>
          <w:bCs/>
          <w:lang w:val="fr-FR" w:eastAsia="de-DE"/>
        </w:rPr>
        <w:t>NO</w:t>
      </w:r>
      <w:r w:rsidRPr="00F54990">
        <w:rPr>
          <w:b/>
          <w:bCs/>
          <w:vertAlign w:val="subscript"/>
          <w:lang w:val="fr-FR" w:eastAsia="de-DE"/>
        </w:rPr>
        <w:t>x</w:t>
      </w:r>
      <w:r w:rsidRPr="00E773DC">
        <w:rPr>
          <w:b/>
          <w:bCs/>
          <w:lang w:val="fr-FR" w:eastAsia="de-DE"/>
        </w:rPr>
        <w:t xml:space="preserve">) et </w:t>
      </w:r>
      <w:r>
        <w:rPr>
          <w:b/>
          <w:bCs/>
          <w:lang w:val="fr-FR" w:eastAsia="de-DE"/>
        </w:rPr>
        <w:t>compteur de particules</w:t>
      </w:r>
      <w:r w:rsidRPr="00F54990">
        <w:rPr>
          <w:lang w:val="fr-FR" w:eastAsia="de-DE"/>
        </w:rPr>
        <w:t> ;</w:t>
      </w:r>
    </w:p>
    <w:p w14:paraId="17101D3A" w14:textId="77777777" w:rsidR="00B921D9" w:rsidRPr="00E773DC" w:rsidRDefault="00B921D9" w:rsidP="00B921D9">
      <w:pPr>
        <w:pStyle w:val="SingleTxtG"/>
        <w:ind w:left="2268"/>
        <w:rPr>
          <w:lang w:val="fr-FR" w:eastAsia="de-DE"/>
        </w:rPr>
      </w:pPr>
      <w:r w:rsidRPr="00E773DC">
        <w:rPr>
          <w:lang w:val="fr-FR" w:eastAsia="de-DE"/>
        </w:rPr>
        <w:t>2</w:t>
      </w:r>
      <w:r w:rsidR="00F72B31" w:rsidRPr="00F72B31">
        <w:rPr>
          <w:lang w:val="fr-FR" w:eastAsia="de-DE"/>
        </w:rPr>
        <w:t>.</w:t>
      </w:r>
      <w:r w:rsidRPr="00E773DC">
        <w:rPr>
          <w:lang w:val="fr-FR" w:eastAsia="de-DE"/>
        </w:rPr>
        <w:tab/>
      </w:r>
      <w:r>
        <w:rPr>
          <w:lang w:val="fr-FR" w:eastAsia="de-DE"/>
        </w:rPr>
        <w:t>D</w:t>
      </w:r>
      <w:r w:rsidRPr="00E773DC">
        <w:rPr>
          <w:lang w:val="fr-FR" w:eastAsia="de-DE"/>
        </w:rPr>
        <w:t xml:space="preserve">ébitmètre </w:t>
      </w:r>
      <w:r>
        <w:rPr>
          <w:lang w:val="fr-FR" w:eastAsia="de-DE"/>
        </w:rPr>
        <w:t xml:space="preserve">des gaz </w:t>
      </w:r>
      <w:r w:rsidRPr="00E773DC">
        <w:rPr>
          <w:lang w:val="fr-FR" w:eastAsia="de-DE"/>
        </w:rPr>
        <w:t>d</w:t>
      </w:r>
      <w:r>
        <w:rPr>
          <w:lang w:val="fr-FR" w:eastAsia="de-DE"/>
        </w:rPr>
        <w:t>’</w:t>
      </w:r>
      <w:r w:rsidRPr="00E773DC">
        <w:rPr>
          <w:lang w:val="fr-FR" w:eastAsia="de-DE"/>
        </w:rPr>
        <w:t>échappement (débit massique d</w:t>
      </w:r>
      <w:r>
        <w:rPr>
          <w:lang w:val="fr-FR" w:eastAsia="de-DE"/>
        </w:rPr>
        <w:t>’</w:t>
      </w:r>
      <w:r w:rsidRPr="00E773DC">
        <w:rPr>
          <w:lang w:val="fr-FR" w:eastAsia="de-DE"/>
        </w:rPr>
        <w:t xml:space="preserve">échappement et température </w:t>
      </w:r>
      <w:r w:rsidRPr="00F54990">
        <w:rPr>
          <w:lang w:val="fr-FR" w:eastAsia="de-DE"/>
        </w:rPr>
        <w:t xml:space="preserve">des gaz </w:t>
      </w:r>
      <w:r w:rsidRPr="00E773DC">
        <w:rPr>
          <w:lang w:val="fr-FR" w:eastAsia="de-DE"/>
        </w:rPr>
        <w:t>d</w:t>
      </w:r>
      <w:r>
        <w:rPr>
          <w:lang w:val="fr-FR" w:eastAsia="de-DE"/>
        </w:rPr>
        <w:t>’</w:t>
      </w:r>
      <w:r w:rsidRPr="00E773DC">
        <w:rPr>
          <w:lang w:val="fr-FR" w:eastAsia="de-DE"/>
        </w:rPr>
        <w:t>échappement) ;</w:t>
      </w:r>
    </w:p>
    <w:p w14:paraId="603DFB08" w14:textId="77777777" w:rsidR="00B921D9" w:rsidRPr="00E773DC" w:rsidRDefault="00B921D9" w:rsidP="00B921D9">
      <w:pPr>
        <w:pStyle w:val="SingleTxtG"/>
        <w:ind w:left="2268"/>
        <w:rPr>
          <w:lang w:val="fr-FR" w:eastAsia="de-DE"/>
        </w:rPr>
      </w:pPr>
      <w:r w:rsidRPr="00E773DC">
        <w:rPr>
          <w:lang w:val="fr-FR" w:eastAsia="de-DE"/>
        </w:rPr>
        <w:t>3</w:t>
      </w:r>
      <w:r w:rsidR="00F72B31" w:rsidRPr="00F72B31">
        <w:rPr>
          <w:lang w:val="fr-FR" w:eastAsia="de-DE"/>
        </w:rPr>
        <w:t>.</w:t>
      </w:r>
      <w:r w:rsidRPr="00E773DC">
        <w:rPr>
          <w:lang w:val="fr-FR" w:eastAsia="de-DE"/>
        </w:rPr>
        <w:tab/>
      </w:r>
      <w:r>
        <w:rPr>
          <w:lang w:val="fr-FR" w:eastAsia="de-DE"/>
        </w:rPr>
        <w:t>M</w:t>
      </w:r>
      <w:r w:rsidRPr="00E773DC">
        <w:rPr>
          <w:lang w:val="fr-FR" w:eastAsia="de-DE"/>
        </w:rPr>
        <w:t xml:space="preserve">oteur (couple, vitesse, températures, </w:t>
      </w:r>
      <w:r w:rsidRPr="00F54990">
        <w:rPr>
          <w:lang w:val="fr-FR" w:eastAsia="de-DE"/>
        </w:rPr>
        <w:t>débit de carburant, régime du moteur mesurés par le module de gestion ECU</w:t>
      </w:r>
      <w:r w:rsidRPr="00E773DC">
        <w:rPr>
          <w:lang w:val="fr-FR" w:eastAsia="de-DE"/>
        </w:rPr>
        <w:t>)</w:t>
      </w:r>
      <w:r w:rsidR="00F72B31" w:rsidRPr="00F72B31">
        <w:rPr>
          <w:lang w:val="fr-FR" w:eastAsia="de-DE"/>
        </w:rPr>
        <w:t>.</w:t>
      </w:r>
    </w:p>
    <w:p w14:paraId="44D44E41" w14:textId="77777777" w:rsidR="00B921D9" w:rsidRPr="00E773DC" w:rsidRDefault="00B921D9" w:rsidP="00B921D9">
      <w:pPr>
        <w:pStyle w:val="SingleTxtG"/>
        <w:ind w:left="2268"/>
        <w:rPr>
          <w:lang w:val="fr-FR" w:eastAsia="de-DE"/>
        </w:rPr>
      </w:pPr>
      <w:r w:rsidRPr="00F54990">
        <w:rPr>
          <w:lang w:val="fr-FR" w:eastAsia="de-DE"/>
        </w:rPr>
        <w:t>La synchronisation de chaque catégorie avec les autres catégories doit être vérifiée en recherchant le coefficient de corrélation le plus élevé entre deux séries de paramètres</w:t>
      </w:r>
      <w:r w:rsidR="00F72B31" w:rsidRPr="00F72B31">
        <w:rPr>
          <w:lang w:val="fr-FR" w:eastAsia="de-DE"/>
        </w:rPr>
        <w:t>.</w:t>
      </w:r>
      <w:r w:rsidRPr="00F54990">
        <w:rPr>
          <w:lang w:val="fr-FR" w:eastAsia="de-DE"/>
        </w:rPr>
        <w:t xml:space="preserve"> Tous les paramètres d</w:t>
      </w:r>
      <w:r>
        <w:rPr>
          <w:lang w:val="fr-FR" w:eastAsia="de-DE"/>
        </w:rPr>
        <w:t>’</w:t>
      </w:r>
      <w:r w:rsidRPr="00F54990">
        <w:rPr>
          <w:lang w:val="fr-FR" w:eastAsia="de-DE"/>
        </w:rPr>
        <w:t>une catégorie doivent être décalés pour maximiser le facteur de corrélation</w:t>
      </w:r>
      <w:r w:rsidR="00F72B31" w:rsidRPr="00F72B31">
        <w:rPr>
          <w:lang w:val="fr-FR" w:eastAsia="de-DE"/>
        </w:rPr>
        <w:t>.</w:t>
      </w:r>
      <w:r w:rsidRPr="00F54990">
        <w:rPr>
          <w:lang w:val="fr-FR" w:eastAsia="de-DE"/>
        </w:rPr>
        <w:t xml:space="preserve"> Les paramètres suivants doivent être utilisés pour calculer les coefficients de corrélation</w:t>
      </w:r>
      <w:r w:rsidRPr="00E773DC">
        <w:rPr>
          <w:lang w:val="fr-FR" w:eastAsia="de-DE"/>
        </w:rPr>
        <w:t> :</w:t>
      </w:r>
    </w:p>
    <w:p w14:paraId="1FCAE01E" w14:textId="77777777" w:rsidR="00B921D9" w:rsidRPr="00E773DC" w:rsidRDefault="00B921D9" w:rsidP="00B921D9">
      <w:pPr>
        <w:pStyle w:val="SingleTxtG"/>
        <w:ind w:left="2268"/>
        <w:rPr>
          <w:lang w:val="fr-FR" w:eastAsia="de-DE"/>
        </w:rPr>
      </w:pPr>
      <w:r w:rsidRPr="00E773DC">
        <w:rPr>
          <w:lang w:val="fr-FR" w:eastAsia="de-DE"/>
        </w:rPr>
        <w:t xml:space="preserve">Pour </w:t>
      </w:r>
      <w:r w:rsidRPr="00F54990">
        <w:rPr>
          <w:lang w:val="fr-FR" w:eastAsia="de-DE"/>
        </w:rPr>
        <w:t>synchroniser</w:t>
      </w:r>
      <w:r w:rsidRPr="00E773DC">
        <w:rPr>
          <w:lang w:val="fr-FR" w:eastAsia="de-DE"/>
        </w:rPr>
        <w:t> :</w:t>
      </w:r>
    </w:p>
    <w:p w14:paraId="4504A3D5" w14:textId="77777777" w:rsidR="00B921D9" w:rsidRPr="00E773DC" w:rsidRDefault="00B921D9" w:rsidP="00B921D9">
      <w:pPr>
        <w:pStyle w:val="SingleTxtG"/>
        <w:ind w:left="2835" w:hanging="567"/>
        <w:rPr>
          <w:lang w:val="fr-FR" w:eastAsia="de-DE"/>
        </w:rPr>
      </w:pPr>
      <w:r w:rsidRPr="00E773DC">
        <w:rPr>
          <w:lang w:val="fr-FR" w:eastAsia="de-DE"/>
        </w:rPr>
        <w:t>a)</w:t>
      </w:r>
      <w:r w:rsidRPr="00E773DC">
        <w:rPr>
          <w:lang w:val="fr-FR" w:eastAsia="de-DE"/>
        </w:rPr>
        <w:tab/>
      </w:r>
      <w:r w:rsidRPr="00F54990">
        <w:rPr>
          <w:lang w:val="fr-FR" w:eastAsia="de-DE"/>
        </w:rPr>
        <w:t>Les catégories 1 et 2 (données des analyseurs et de l</w:t>
      </w:r>
      <w:r>
        <w:rPr>
          <w:lang w:val="fr-FR" w:eastAsia="de-DE"/>
        </w:rPr>
        <w:t>’</w:t>
      </w:r>
      <w:r w:rsidRPr="00F54990">
        <w:rPr>
          <w:lang w:val="fr-FR" w:eastAsia="de-DE"/>
        </w:rPr>
        <w:t>EFM) avec la catégorie 3 (données du moteur)</w:t>
      </w:r>
      <w:r>
        <w:rPr>
          <w:lang w:val="fr-FR" w:eastAsia="de-DE"/>
        </w:rPr>
        <w:t> </w:t>
      </w:r>
      <w:r w:rsidRPr="00F54990">
        <w:rPr>
          <w:lang w:val="fr-FR" w:eastAsia="de-DE"/>
        </w:rPr>
        <w:t>: la vitesse du véhicule mesurée par le GPS et le module de gestion ECU</w:t>
      </w:r>
      <w:r w:rsidRPr="00E773DC">
        <w:rPr>
          <w:lang w:val="fr-FR" w:eastAsia="de-DE"/>
        </w:rPr>
        <w:t> ;</w:t>
      </w:r>
    </w:p>
    <w:p w14:paraId="5E0E006A" w14:textId="77777777" w:rsidR="00B921D9" w:rsidRPr="00E773DC" w:rsidRDefault="00B921D9" w:rsidP="00B921D9">
      <w:pPr>
        <w:pStyle w:val="SingleTxtG"/>
        <w:ind w:left="2835" w:hanging="567"/>
        <w:rPr>
          <w:lang w:val="fr-FR" w:eastAsia="de-DE"/>
        </w:rPr>
      </w:pPr>
      <w:r w:rsidRPr="00E773DC">
        <w:rPr>
          <w:lang w:val="fr-FR" w:eastAsia="de-DE"/>
        </w:rPr>
        <w:t>b)</w:t>
      </w:r>
      <w:r w:rsidRPr="00E773DC">
        <w:rPr>
          <w:lang w:val="fr-FR" w:eastAsia="de-DE"/>
        </w:rPr>
        <w:tab/>
      </w:r>
      <w:r w:rsidRPr="00DD795E">
        <w:rPr>
          <w:lang w:val="fr-FR"/>
        </w:rPr>
        <w:t>La catégorie 1 avec la catégorie 2</w:t>
      </w:r>
      <w:r>
        <w:rPr>
          <w:lang w:val="fr-FR"/>
        </w:rPr>
        <w:t> </w:t>
      </w:r>
      <w:r w:rsidRPr="00DD795E">
        <w:rPr>
          <w:lang w:val="fr-FR"/>
        </w:rPr>
        <w:t>: la concentration de CO</w:t>
      </w:r>
      <w:r w:rsidRPr="00DD795E">
        <w:rPr>
          <w:vertAlign w:val="subscript"/>
          <w:lang w:val="fr-FR"/>
        </w:rPr>
        <w:t>2</w:t>
      </w:r>
      <w:r w:rsidRPr="00DD795E">
        <w:rPr>
          <w:lang w:val="fr-FR"/>
        </w:rPr>
        <w:t xml:space="preserve"> et la masse des gaz d</w:t>
      </w:r>
      <w:r>
        <w:rPr>
          <w:lang w:val="fr-FR"/>
        </w:rPr>
        <w:t>’</w:t>
      </w:r>
      <w:r w:rsidRPr="00DD795E">
        <w:rPr>
          <w:lang w:val="fr-FR"/>
        </w:rPr>
        <w:t>échappement</w:t>
      </w:r>
      <w:r w:rsidR="00CE1A05">
        <w:rPr>
          <w:lang w:val="fr-FR"/>
        </w:rPr>
        <w:t> </w:t>
      </w:r>
      <w:r w:rsidRPr="00E773DC">
        <w:rPr>
          <w:lang w:val="fr-FR" w:eastAsia="de-DE"/>
        </w:rPr>
        <w:t>;</w:t>
      </w:r>
    </w:p>
    <w:p w14:paraId="5A32BAC6" w14:textId="77777777" w:rsidR="00B921D9" w:rsidRPr="00E773DC" w:rsidRDefault="00B921D9" w:rsidP="00B921D9">
      <w:pPr>
        <w:pStyle w:val="SingleTxtG"/>
        <w:ind w:left="2835" w:hanging="567"/>
        <w:rPr>
          <w:lang w:val="fr-FR" w:eastAsia="de-DE"/>
        </w:rPr>
      </w:pPr>
      <w:r w:rsidRPr="00E773DC">
        <w:rPr>
          <w:lang w:val="fr-FR" w:eastAsia="de-DE"/>
        </w:rPr>
        <w:t>c)</w:t>
      </w:r>
      <w:r w:rsidRPr="00E773DC">
        <w:rPr>
          <w:lang w:val="fr-FR" w:eastAsia="de-DE"/>
        </w:rPr>
        <w:tab/>
      </w:r>
      <w:r w:rsidRPr="00DD795E">
        <w:rPr>
          <w:lang w:val="fr-FR"/>
        </w:rPr>
        <w:t>La catégorie 2 avec la catégorie 3</w:t>
      </w:r>
      <w:r>
        <w:rPr>
          <w:lang w:val="fr-FR"/>
        </w:rPr>
        <w:t> </w:t>
      </w:r>
      <w:r w:rsidRPr="00DD795E">
        <w:rPr>
          <w:lang w:val="fr-FR"/>
        </w:rPr>
        <w:t>: la concentration de CO</w:t>
      </w:r>
      <w:r w:rsidRPr="00DD795E">
        <w:rPr>
          <w:vertAlign w:val="subscript"/>
          <w:lang w:val="fr-FR"/>
        </w:rPr>
        <w:t>2</w:t>
      </w:r>
      <w:r w:rsidRPr="00DD795E">
        <w:rPr>
          <w:lang w:val="fr-FR"/>
        </w:rPr>
        <w:t xml:space="preserve"> et le débit de carburant du moteur</w:t>
      </w:r>
      <w:r w:rsidR="00F72B31" w:rsidRPr="00F72B31">
        <w:rPr>
          <w:lang w:val="fr-FR"/>
        </w:rPr>
        <w:t>.</w:t>
      </w:r>
      <w:r w:rsidRPr="00E773DC">
        <w:rPr>
          <w:lang w:val="fr-FR" w:eastAsia="de-DE"/>
        </w:rPr>
        <w:t> »</w:t>
      </w:r>
      <w:r w:rsidR="00F72B31" w:rsidRPr="00F72B31">
        <w:rPr>
          <w:lang w:val="fr-FR" w:eastAsia="de-DE"/>
        </w:rPr>
        <w:t>.</w:t>
      </w:r>
    </w:p>
    <w:p w14:paraId="673416B8" w14:textId="77777777" w:rsidR="00B921D9" w:rsidRPr="00E773DC" w:rsidRDefault="00B921D9" w:rsidP="00B921D9">
      <w:pPr>
        <w:pStyle w:val="SingleTxtG"/>
        <w:ind w:left="2268" w:hanging="1134"/>
        <w:rPr>
          <w:lang w:val="fr-FR" w:eastAsia="de-DE"/>
        </w:rPr>
      </w:pPr>
      <w:r w:rsidRPr="00E773DC">
        <w:rPr>
          <w:i/>
          <w:iCs/>
          <w:lang w:val="fr-FR" w:eastAsia="de-DE"/>
        </w:rPr>
        <w:t xml:space="preserve">Ajouter un </w:t>
      </w:r>
      <w:bookmarkStart w:id="31" w:name="_Hlk52363288"/>
      <w:r w:rsidRPr="00E773DC">
        <w:rPr>
          <w:i/>
          <w:iCs/>
          <w:lang w:val="fr-FR" w:eastAsia="de-DE"/>
        </w:rPr>
        <w:t>nouveau 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6</w:t>
      </w:r>
      <w:r w:rsidRPr="00CE1A05">
        <w:rPr>
          <w:lang w:val="fr-FR" w:eastAsia="de-DE"/>
        </w:rPr>
        <w:t>,</w:t>
      </w:r>
      <w:r w:rsidRPr="00E773DC">
        <w:rPr>
          <w:i/>
          <w:iCs/>
          <w:lang w:val="fr-FR" w:eastAsia="de-DE"/>
        </w:rPr>
        <w:t xml:space="preserve"> </w:t>
      </w:r>
      <w:r w:rsidRPr="00E773DC">
        <w:rPr>
          <w:lang w:val="fr-FR" w:eastAsia="de-DE"/>
        </w:rPr>
        <w:t>libellé comme suit :</w:t>
      </w:r>
    </w:p>
    <w:p w14:paraId="5458740C" w14:textId="77777777" w:rsidR="00B921D9" w:rsidRPr="00E773DC" w:rsidRDefault="00B921D9" w:rsidP="00B921D9">
      <w:pPr>
        <w:pStyle w:val="SingleTxtG"/>
        <w:ind w:left="2268" w:hanging="1134"/>
        <w:rPr>
          <w:b/>
          <w:bCs/>
          <w:lang w:val="fr-FR" w:eastAsia="de-DE"/>
        </w:rPr>
      </w:pPr>
      <w:r w:rsidRPr="00E773DC">
        <w:rPr>
          <w:lang w:val="fr-FR" w:eastAsia="de-DE"/>
        </w:rPr>
        <w:t>« </w:t>
      </w:r>
      <w:bookmarkEnd w:id="31"/>
      <w:r w:rsidRPr="00E773DC">
        <w:rPr>
          <w:b/>
          <w:bCs/>
          <w:lang w:val="fr-FR" w:eastAsia="de-DE"/>
        </w:rPr>
        <w:t>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6</w:t>
      </w:r>
      <w:r w:rsidRPr="00E773DC">
        <w:rPr>
          <w:b/>
          <w:bCs/>
          <w:lang w:val="fr-FR" w:eastAsia="de-DE"/>
        </w:rPr>
        <w:tab/>
        <w:t>Calcul des émissions instantanées de particules</w:t>
      </w:r>
    </w:p>
    <w:p w14:paraId="6068DD14" w14:textId="77777777" w:rsidR="00B921D9" w:rsidRPr="00E773DC" w:rsidRDefault="00B921D9" w:rsidP="00B921D9">
      <w:pPr>
        <w:pStyle w:val="SingleTxtG"/>
        <w:ind w:left="2268"/>
        <w:rPr>
          <w:b/>
          <w:bCs/>
          <w:lang w:val="fr-FR" w:eastAsia="de-DE"/>
        </w:rPr>
      </w:pPr>
      <w:r w:rsidRPr="00E773DC">
        <w:rPr>
          <w:b/>
          <w:bCs/>
          <w:lang w:val="fr-FR" w:eastAsia="de-DE"/>
        </w:rPr>
        <w:t>Le nombre instantané de particules (</w:t>
      </w:r>
      <w:proofErr w:type="spellStart"/>
      <w:r w:rsidRPr="00E773DC">
        <w:rPr>
          <w:b/>
          <w:bCs/>
          <w:lang w:val="fr-FR" w:eastAsia="de-DE"/>
        </w:rPr>
        <w:t>PN</w:t>
      </w:r>
      <w:r w:rsidRPr="00882BF4">
        <w:rPr>
          <w:b/>
          <w:bCs/>
          <w:vertAlign w:val="subscript"/>
          <w:lang w:val="fr-FR" w:eastAsia="de-DE"/>
        </w:rPr>
        <w:t>i</w:t>
      </w:r>
      <w:proofErr w:type="spellEnd"/>
      <w:r w:rsidRPr="00E773DC">
        <w:rPr>
          <w:b/>
          <w:bCs/>
          <w:lang w:val="fr-FR" w:eastAsia="de-DE"/>
        </w:rPr>
        <w:t>) d</w:t>
      </w:r>
      <w:r>
        <w:rPr>
          <w:b/>
          <w:bCs/>
          <w:lang w:val="fr-FR" w:eastAsia="de-DE"/>
        </w:rPr>
        <w:t>ans l</w:t>
      </w:r>
      <w:r w:rsidRPr="00E773DC">
        <w:rPr>
          <w:b/>
          <w:bCs/>
          <w:lang w:val="fr-FR" w:eastAsia="de-DE"/>
        </w:rPr>
        <w:t>es émissions (#/s) est déterminé en multipliant la concentration instantanée du nombre de particules (#/cm</w:t>
      </w:r>
      <w:r w:rsidRPr="00882BF4">
        <w:rPr>
          <w:b/>
          <w:bCs/>
          <w:vertAlign w:val="superscript"/>
          <w:lang w:val="fr-FR" w:eastAsia="de-DE"/>
        </w:rPr>
        <w:t>3</w:t>
      </w:r>
      <w:r w:rsidRPr="00E773DC">
        <w:rPr>
          <w:b/>
          <w:bCs/>
          <w:lang w:val="fr-FR" w:eastAsia="de-DE"/>
        </w:rPr>
        <w:t>) par le débit massique instantané des gaz d</w:t>
      </w:r>
      <w:r>
        <w:rPr>
          <w:b/>
          <w:bCs/>
          <w:lang w:val="fr-FR" w:eastAsia="de-DE"/>
        </w:rPr>
        <w:t>’</w:t>
      </w:r>
      <w:r w:rsidRPr="00E773DC">
        <w:rPr>
          <w:b/>
          <w:bCs/>
          <w:lang w:val="fr-FR" w:eastAsia="de-DE"/>
        </w:rPr>
        <w:t>échappement (kg/s), à la fois corrigé et aligné en fonction du temps de transformation, conformément au paragraphe</w:t>
      </w:r>
      <w:r w:rsidR="00CE1A05">
        <w:rPr>
          <w:b/>
          <w:bCs/>
          <w:lang w:val="fr-FR" w:eastAsia="de-DE"/>
        </w:rPr>
        <w:t> </w:t>
      </w:r>
      <w:r w:rsidRPr="00E773DC">
        <w:rPr>
          <w:b/>
          <w:bCs/>
          <w:lang w:val="fr-FR" w:eastAsia="de-DE"/>
        </w:rPr>
        <w:t>A</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3 de l</w:t>
      </w:r>
      <w:r>
        <w:rPr>
          <w:b/>
          <w:bCs/>
          <w:lang w:val="fr-FR" w:eastAsia="de-DE"/>
        </w:rPr>
        <w:t>’</w:t>
      </w:r>
      <w:r w:rsidRPr="00E773DC">
        <w:rPr>
          <w:b/>
          <w:bCs/>
          <w:lang w:val="fr-FR" w:eastAsia="de-DE"/>
        </w:rPr>
        <w:t>appendice</w:t>
      </w:r>
      <w:r w:rsidR="00690297">
        <w:rPr>
          <w:b/>
          <w:bCs/>
          <w:lang w:val="fr-FR" w:eastAsia="de-DE"/>
        </w:rPr>
        <w:t> </w:t>
      </w:r>
      <w:r w:rsidRPr="00E773DC">
        <w:rPr>
          <w:b/>
          <w:bCs/>
          <w:lang w:val="fr-FR" w:eastAsia="de-DE"/>
        </w:rPr>
        <w:t>3</w:t>
      </w:r>
      <w:r w:rsidR="00F72B31" w:rsidRPr="00F72B31">
        <w:rPr>
          <w:b/>
          <w:bCs/>
          <w:lang w:val="fr-FR" w:eastAsia="de-DE"/>
        </w:rPr>
        <w:t>.</w:t>
      </w:r>
      <w:r w:rsidRPr="00E773DC">
        <w:rPr>
          <w:b/>
          <w:bCs/>
          <w:lang w:val="fr-FR" w:eastAsia="de-DE"/>
        </w:rPr>
        <w:t xml:space="preserve"> Toutes les valeurs d</w:t>
      </w:r>
      <w:r>
        <w:rPr>
          <w:b/>
          <w:bCs/>
          <w:lang w:val="fr-FR" w:eastAsia="de-DE"/>
        </w:rPr>
        <w:t>’</w:t>
      </w:r>
      <w:r w:rsidRPr="00E773DC">
        <w:rPr>
          <w:b/>
          <w:bCs/>
          <w:lang w:val="fr-FR" w:eastAsia="de-DE"/>
        </w:rPr>
        <w:t>émissions instantanées négatives doivent être inscrites comme étant nulles dans les évaluations ultérieures des données</w:t>
      </w:r>
      <w:r w:rsidR="00F72B31" w:rsidRPr="00F72B31">
        <w:rPr>
          <w:b/>
          <w:bCs/>
          <w:lang w:val="fr-FR" w:eastAsia="de-DE"/>
        </w:rPr>
        <w:t>.</w:t>
      </w:r>
      <w:r w:rsidRPr="00E773DC">
        <w:rPr>
          <w:b/>
          <w:bCs/>
          <w:lang w:val="fr-FR" w:eastAsia="de-DE"/>
        </w:rPr>
        <w:t xml:space="preserve"> Tous les chiffres significatifs des résultats intermédiaires doivent entrer dans le calcul des émissions instantanées</w:t>
      </w:r>
      <w:r w:rsidR="00F72B31" w:rsidRPr="00F72B31">
        <w:rPr>
          <w:b/>
          <w:bCs/>
          <w:lang w:val="fr-FR" w:eastAsia="de-DE"/>
        </w:rPr>
        <w:t>.</w:t>
      </w:r>
      <w:r w:rsidRPr="00E773DC">
        <w:rPr>
          <w:b/>
          <w:bCs/>
          <w:lang w:val="fr-FR" w:eastAsia="de-DE"/>
        </w:rPr>
        <w:t xml:space="preserve"> La formule suivante s</w:t>
      </w:r>
      <w:r>
        <w:rPr>
          <w:b/>
          <w:bCs/>
          <w:lang w:val="fr-FR" w:eastAsia="de-DE"/>
        </w:rPr>
        <w:t>’</w:t>
      </w:r>
      <w:r w:rsidRPr="00E773DC">
        <w:rPr>
          <w:b/>
          <w:bCs/>
          <w:lang w:val="fr-FR" w:eastAsia="de-DE"/>
        </w:rPr>
        <w:t>applique aux fins de la détermination des émissions instantanées de particules :</w:t>
      </w:r>
    </w:p>
    <w:p w14:paraId="31F6379C" w14:textId="77777777" w:rsidR="00B921D9" w:rsidRPr="00CE1A05" w:rsidRDefault="00B921D9" w:rsidP="00B921D9">
      <w:pPr>
        <w:pStyle w:val="SingleTxtG"/>
        <w:ind w:left="2268"/>
        <w:rPr>
          <w:b/>
          <w:bCs/>
          <w:iCs/>
          <w:lang w:val="fr-FR" w:eastAsia="de-DE"/>
        </w:rPr>
      </w:pPr>
      <m:oMathPara>
        <m:oMathParaPr>
          <m:jc m:val="center"/>
        </m:oMathParaPr>
        <m:oMath>
          <m:sSub>
            <m:sSubPr>
              <m:ctrlPr>
                <w:rPr>
                  <w:rFonts w:ascii="Cambria Math" w:hAnsi="Cambria Math"/>
                  <w:b/>
                  <w:bCs/>
                  <w:iCs/>
                  <w:lang w:val="fr-FR" w:eastAsia="de-DE"/>
                </w:rPr>
              </m:ctrlPr>
            </m:sSubPr>
            <m:e>
              <m:r>
                <m:rPr>
                  <m:sty m:val="b"/>
                </m:rPr>
                <w:rPr>
                  <w:rFonts w:ascii="Cambria Math" w:hAnsi="Cambria Math"/>
                  <w:lang w:val="fr-FR" w:eastAsia="de-DE"/>
                </w:rPr>
                <m:t>PN</m:t>
              </m:r>
            </m:e>
            <m:sub>
              <m:r>
                <m:rPr>
                  <m:sty m:val="b"/>
                </m:rPr>
                <w:rPr>
                  <w:rFonts w:ascii="Cambria Math" w:hAnsi="Cambria Math"/>
                  <w:lang w:val="fr-FR" w:eastAsia="de-DE"/>
                </w:rPr>
                <m:t>i</m:t>
              </m:r>
            </m:sub>
          </m:sSub>
          <m:r>
            <m:rPr>
              <m:sty m:val="b"/>
            </m:rPr>
            <w:rPr>
              <w:rFonts w:ascii="Cambria Math" w:hAnsi="Cambria Math"/>
              <w:lang w:val="fr-FR" w:eastAsia="de-DE"/>
            </w:rPr>
            <m:t>=</m:t>
          </m:r>
          <m:sSub>
            <m:sSubPr>
              <m:ctrlPr>
                <w:rPr>
                  <w:rFonts w:ascii="Cambria Math" w:hAnsi="Cambria Math"/>
                  <w:b/>
                  <w:bCs/>
                  <w:iCs/>
                  <w:lang w:val="fr-FR" w:eastAsia="de-DE"/>
                </w:rPr>
              </m:ctrlPr>
            </m:sSubPr>
            <m:e>
              <m:r>
                <m:rPr>
                  <m:sty m:val="b"/>
                </m:rPr>
                <w:rPr>
                  <w:rFonts w:ascii="Cambria Math" w:hAnsi="Cambria Math"/>
                  <w:lang w:val="fr-FR" w:eastAsia="de-DE"/>
                </w:rPr>
                <m:t>c</m:t>
              </m:r>
            </m:e>
            <m:sub>
              <m:r>
                <m:rPr>
                  <m:sty m:val="b"/>
                </m:rPr>
                <w:rPr>
                  <w:rFonts w:ascii="Cambria Math" w:hAnsi="Cambria Math"/>
                  <w:lang w:val="fr-FR" w:eastAsia="de-DE"/>
                </w:rPr>
                <m:t>PNi</m:t>
              </m:r>
            </m:sub>
          </m:sSub>
          <m:r>
            <m:rPr>
              <m:sty m:val="b"/>
            </m:rPr>
            <w:rPr>
              <w:rFonts w:ascii="Cambria Math" w:hAnsi="Cambria Math"/>
              <w:lang w:val="fr-FR" w:eastAsia="de-DE"/>
            </w:rPr>
            <m:t xml:space="preserve"> ×</m:t>
          </m:r>
          <m:sSub>
            <m:sSubPr>
              <m:ctrlPr>
                <w:rPr>
                  <w:rFonts w:ascii="Cambria Math" w:hAnsi="Cambria Math"/>
                  <w:b/>
                  <w:bCs/>
                  <w:iCs/>
                  <w:lang w:val="fr-FR" w:eastAsia="de-DE"/>
                </w:rPr>
              </m:ctrlPr>
            </m:sSubPr>
            <m:e>
              <m:r>
                <m:rPr>
                  <m:sty m:val="b"/>
                </m:rPr>
                <w:rPr>
                  <w:rFonts w:ascii="Cambria Math" w:hAnsi="Cambria Math"/>
                  <w:lang w:val="fr-FR" w:eastAsia="de-DE"/>
                </w:rPr>
                <m:t>q</m:t>
              </m:r>
            </m:e>
            <m:sub>
              <m:r>
                <m:rPr>
                  <m:sty m:val="b"/>
                </m:rPr>
                <w:rPr>
                  <w:rFonts w:ascii="Cambria Math" w:hAnsi="Cambria Math"/>
                  <w:lang w:val="fr-FR" w:eastAsia="de-DE"/>
                </w:rPr>
                <m:t>mewi</m:t>
              </m:r>
            </m:sub>
          </m:sSub>
          <m:r>
            <m:rPr>
              <m:sty m:val="b"/>
            </m:rPr>
            <w:rPr>
              <w:rFonts w:ascii="Cambria Math" w:hAnsi="Cambria Math"/>
              <w:lang w:val="fr-FR" w:eastAsia="de-DE"/>
            </w:rPr>
            <m:t>/</m:t>
          </m:r>
          <m:sSub>
            <m:sSubPr>
              <m:ctrlPr>
                <w:rPr>
                  <w:rFonts w:ascii="Cambria Math" w:hAnsi="Cambria Math"/>
                  <w:b/>
                  <w:bCs/>
                  <w:iCs/>
                  <w:lang w:val="fr-FR" w:eastAsia="de-DE"/>
                </w:rPr>
              </m:ctrlPr>
            </m:sSubPr>
            <m:e>
              <m:r>
                <m:rPr>
                  <m:sty m:val="b"/>
                </m:rPr>
                <w:rPr>
                  <w:rFonts w:ascii="Cambria Math" w:hAnsi="Cambria Math"/>
                  <w:lang w:val="fr-FR" w:eastAsia="de-DE"/>
                </w:rPr>
                <m:t>ρ</m:t>
              </m:r>
            </m:e>
            <m:sub>
              <m:r>
                <m:rPr>
                  <m:sty m:val="b"/>
                </m:rPr>
                <w:rPr>
                  <w:rFonts w:ascii="Cambria Math" w:hAnsi="Cambria Math"/>
                  <w:lang w:val="fr-FR" w:eastAsia="de-DE"/>
                </w:rPr>
                <m:t>e</m:t>
              </m:r>
            </m:sub>
          </m:sSub>
        </m:oMath>
      </m:oMathPara>
    </w:p>
    <w:p w14:paraId="4DC0325D" w14:textId="77777777" w:rsidR="00B921D9" w:rsidRPr="00E773DC" w:rsidRDefault="00B921D9" w:rsidP="00B921D9">
      <w:pPr>
        <w:pStyle w:val="SingleTxtG"/>
        <w:ind w:left="2268"/>
        <w:rPr>
          <w:b/>
          <w:bCs/>
          <w:lang w:val="fr-FR" w:eastAsia="de-DE"/>
        </w:rPr>
      </w:pPr>
      <w:r w:rsidRPr="00E773DC">
        <w:rPr>
          <w:b/>
          <w:bCs/>
          <w:lang w:val="fr-FR" w:eastAsia="de-DE"/>
        </w:rPr>
        <w:t>où :</w:t>
      </w:r>
    </w:p>
    <w:p w14:paraId="6158F9B1" w14:textId="77777777" w:rsidR="00B921D9" w:rsidRPr="00E773DC" w:rsidRDefault="00B921D9" w:rsidP="00B921D9">
      <w:pPr>
        <w:pStyle w:val="SingleTxtG"/>
        <w:ind w:left="3402" w:hanging="1134"/>
        <w:rPr>
          <w:b/>
          <w:bCs/>
          <w:lang w:val="fr-FR" w:eastAsia="de-DE"/>
        </w:rPr>
      </w:pPr>
      <m:oMath>
        <m:sSub>
          <m:sSubPr>
            <m:ctrlPr>
              <w:rPr>
                <w:rFonts w:ascii="Cambria Math" w:hAnsi="Cambria Math"/>
                <w:b/>
                <w:bCs/>
                <w:iCs/>
                <w:lang w:val="fr-FR" w:eastAsia="de-DE"/>
              </w:rPr>
            </m:ctrlPr>
          </m:sSubPr>
          <m:e>
            <m:r>
              <m:rPr>
                <m:sty m:val="b"/>
              </m:rPr>
              <w:rPr>
                <w:rFonts w:ascii="Cambria Math" w:hAnsi="Cambria Math"/>
                <w:lang w:val="fr-FR" w:eastAsia="de-DE"/>
              </w:rPr>
              <m:t>PN</m:t>
            </m:r>
          </m:e>
          <m:sub>
            <m:r>
              <m:rPr>
                <m:sty m:val="b"/>
              </m:rPr>
              <w:rPr>
                <w:rFonts w:ascii="Cambria Math" w:hAnsi="Cambria Math"/>
                <w:lang w:val="fr-FR" w:eastAsia="de-DE"/>
              </w:rPr>
              <m:t>i</m:t>
            </m:r>
          </m:sub>
        </m:sSub>
      </m:oMath>
      <w:r w:rsidRPr="00E773DC">
        <w:rPr>
          <w:b/>
          <w:bCs/>
          <w:vertAlign w:val="subscript"/>
          <w:lang w:val="fr-FR" w:eastAsia="de-DE"/>
        </w:rPr>
        <w:tab/>
      </w:r>
      <w:r w:rsidRPr="00E773DC">
        <w:rPr>
          <w:b/>
          <w:bCs/>
          <w:lang w:val="fr-FR" w:eastAsia="de-DE"/>
        </w:rPr>
        <w:t>est le nombre instantané de particules</w:t>
      </w:r>
      <w:r>
        <w:rPr>
          <w:b/>
          <w:bCs/>
          <w:lang w:val="fr-FR" w:eastAsia="de-DE"/>
        </w:rPr>
        <w:t xml:space="preserve"> </w:t>
      </w:r>
      <w:r w:rsidRPr="002D1BDD">
        <w:rPr>
          <w:b/>
          <w:bCs/>
          <w:lang w:val="fr-FR" w:eastAsia="de-DE"/>
        </w:rPr>
        <w:t>dans les émissions</w:t>
      </w:r>
      <w:r w:rsidRPr="00E773DC">
        <w:rPr>
          <w:b/>
          <w:bCs/>
          <w:lang w:val="fr-FR" w:eastAsia="de-DE"/>
        </w:rPr>
        <w:t xml:space="preserve">, </w:t>
      </w:r>
      <w:r>
        <w:rPr>
          <w:b/>
          <w:bCs/>
          <w:lang w:val="fr-FR" w:eastAsia="de-DE"/>
        </w:rPr>
        <w:t>en </w:t>
      </w:r>
      <w:r w:rsidRPr="00E773DC">
        <w:rPr>
          <w:b/>
          <w:bCs/>
          <w:lang w:val="fr-FR" w:eastAsia="de-DE"/>
        </w:rPr>
        <w:t>#/s</w:t>
      </w:r>
      <w:r>
        <w:rPr>
          <w:b/>
          <w:bCs/>
          <w:lang w:val="fr-FR" w:eastAsia="de-DE"/>
        </w:rPr>
        <w:t> ;</w:t>
      </w:r>
    </w:p>
    <w:p w14:paraId="2D6FE853" w14:textId="77777777" w:rsidR="00B921D9" w:rsidRPr="00E773DC" w:rsidRDefault="00B921D9" w:rsidP="00B921D9">
      <w:pPr>
        <w:pStyle w:val="SingleTxtG"/>
        <w:ind w:left="3402" w:hanging="1134"/>
        <w:rPr>
          <w:b/>
          <w:bCs/>
          <w:lang w:val="fr-FR" w:eastAsia="de-DE"/>
        </w:rPr>
      </w:pPr>
      <m:oMath>
        <m:sSub>
          <m:sSubPr>
            <m:ctrlPr>
              <w:rPr>
                <w:rFonts w:ascii="Cambria Math" w:hAnsi="Cambria Math"/>
                <w:b/>
                <w:bCs/>
                <w:iCs/>
                <w:lang w:val="fr-FR" w:eastAsia="de-DE"/>
              </w:rPr>
            </m:ctrlPr>
          </m:sSubPr>
          <m:e>
            <m:r>
              <m:rPr>
                <m:sty m:val="b"/>
              </m:rPr>
              <w:rPr>
                <w:rFonts w:ascii="Cambria Math" w:hAnsi="Cambria Math"/>
                <w:lang w:val="fr-FR" w:eastAsia="de-DE"/>
              </w:rPr>
              <m:t>c</m:t>
            </m:r>
          </m:e>
          <m:sub>
            <m:r>
              <m:rPr>
                <m:sty m:val="b"/>
              </m:rPr>
              <w:rPr>
                <w:rFonts w:ascii="Cambria Math" w:hAnsi="Cambria Math"/>
                <w:lang w:val="fr-FR" w:eastAsia="de-DE"/>
              </w:rPr>
              <m:t>PNi</m:t>
            </m:r>
          </m:sub>
        </m:sSub>
      </m:oMath>
      <w:r w:rsidRPr="00E773DC">
        <w:rPr>
          <w:b/>
          <w:bCs/>
          <w:lang w:val="fr-FR" w:eastAsia="de-DE"/>
        </w:rPr>
        <w:tab/>
        <w:t xml:space="preserve">est la concentration mesurée en nombre de particules, </w:t>
      </w:r>
      <w:r>
        <w:rPr>
          <w:b/>
          <w:bCs/>
          <w:lang w:val="fr-FR" w:eastAsia="de-DE"/>
        </w:rPr>
        <w:t xml:space="preserve">en </w:t>
      </w:r>
      <w:r w:rsidRPr="00E773DC">
        <w:rPr>
          <w:b/>
          <w:bCs/>
          <w:lang w:val="fr-FR" w:eastAsia="de-DE"/>
        </w:rPr>
        <w:t>#/m</w:t>
      </w:r>
      <w:r w:rsidRPr="00882BF4">
        <w:rPr>
          <w:b/>
          <w:bCs/>
          <w:vertAlign w:val="superscript"/>
          <w:lang w:val="fr-FR" w:eastAsia="de-DE"/>
        </w:rPr>
        <w:t>3</w:t>
      </w:r>
      <w:r w:rsidRPr="00E773DC">
        <w:rPr>
          <w:b/>
          <w:bCs/>
          <w:lang w:val="fr-FR" w:eastAsia="de-DE"/>
        </w:rPr>
        <w:t xml:space="preserve"> normalisée à 273</w:t>
      </w:r>
      <w:r w:rsidR="00CE1A05">
        <w:rPr>
          <w:b/>
          <w:bCs/>
          <w:lang w:val="fr-FR" w:eastAsia="de-DE"/>
        </w:rPr>
        <w:t> </w:t>
      </w:r>
      <w:r w:rsidRPr="00E773DC">
        <w:rPr>
          <w:b/>
          <w:bCs/>
          <w:lang w:val="fr-FR" w:eastAsia="de-DE"/>
        </w:rPr>
        <w:t>K (0</w:t>
      </w:r>
      <w:r w:rsidR="00CE1A05">
        <w:rPr>
          <w:b/>
          <w:bCs/>
          <w:lang w:val="fr-FR" w:eastAsia="de-DE"/>
        </w:rPr>
        <w:t> </w:t>
      </w:r>
      <w:r w:rsidRPr="00E773DC">
        <w:rPr>
          <w:b/>
          <w:bCs/>
          <w:lang w:val="fr-FR" w:eastAsia="de-DE"/>
        </w:rPr>
        <w:t>°C), y compris la dilution interne et les pertes de particules</w:t>
      </w:r>
      <w:r>
        <w:rPr>
          <w:b/>
          <w:bCs/>
          <w:lang w:val="fr-FR" w:eastAsia="de-DE"/>
        </w:rPr>
        <w:t> ;</w:t>
      </w:r>
    </w:p>
    <w:p w14:paraId="393076A5" w14:textId="77777777" w:rsidR="00B921D9" w:rsidRPr="00E773DC" w:rsidRDefault="00B921D9" w:rsidP="00B921D9">
      <w:pPr>
        <w:pStyle w:val="SingleTxtG"/>
        <w:ind w:left="3402" w:hanging="1134"/>
        <w:rPr>
          <w:b/>
          <w:bCs/>
          <w:lang w:val="fr-FR" w:eastAsia="de-DE"/>
        </w:rPr>
      </w:pPr>
      <m:oMath>
        <m:sSub>
          <m:sSubPr>
            <m:ctrlPr>
              <w:rPr>
                <w:rFonts w:ascii="Cambria Math" w:hAnsi="Cambria Math"/>
                <w:b/>
                <w:bCs/>
                <w:iCs/>
                <w:lang w:val="fr-FR" w:eastAsia="de-DE"/>
              </w:rPr>
            </m:ctrlPr>
          </m:sSubPr>
          <m:e>
            <m:r>
              <m:rPr>
                <m:sty m:val="b"/>
              </m:rPr>
              <w:rPr>
                <w:rFonts w:ascii="Cambria Math" w:hAnsi="Cambria Math"/>
                <w:lang w:val="fr-FR" w:eastAsia="de-DE"/>
              </w:rPr>
              <m:t>q</m:t>
            </m:r>
          </m:e>
          <m:sub>
            <m:r>
              <m:rPr>
                <m:sty m:val="b"/>
              </m:rPr>
              <w:rPr>
                <w:rFonts w:ascii="Cambria Math" w:hAnsi="Cambria Math"/>
                <w:lang w:val="fr-FR" w:eastAsia="de-DE"/>
              </w:rPr>
              <m:t>mewi</m:t>
            </m:r>
          </m:sub>
        </m:sSub>
      </m:oMath>
      <w:r w:rsidRPr="00E773DC">
        <w:rPr>
          <w:b/>
          <w:bCs/>
          <w:lang w:val="fr-FR" w:eastAsia="de-DE"/>
        </w:rPr>
        <w:tab/>
      </w:r>
      <w:r w:rsidRPr="00E773DC">
        <w:rPr>
          <w:b/>
          <w:bCs/>
          <w:lang w:val="fr-FR" w:eastAsia="de-DE"/>
        </w:rPr>
        <w:tab/>
        <w:t>est le débit massique de gaz d</w:t>
      </w:r>
      <w:r>
        <w:rPr>
          <w:b/>
          <w:bCs/>
          <w:lang w:val="fr-FR" w:eastAsia="de-DE"/>
        </w:rPr>
        <w:t>’</w:t>
      </w:r>
      <w:r w:rsidRPr="00E773DC">
        <w:rPr>
          <w:b/>
          <w:bCs/>
          <w:lang w:val="fr-FR" w:eastAsia="de-DE"/>
        </w:rPr>
        <w:t>échappement mesuré, en kg/s</w:t>
      </w:r>
      <w:r>
        <w:rPr>
          <w:b/>
          <w:bCs/>
          <w:lang w:val="fr-FR" w:eastAsia="de-DE"/>
        </w:rPr>
        <w:t> ;</w:t>
      </w:r>
    </w:p>
    <w:p w14:paraId="13445E27" w14:textId="77777777" w:rsidR="00B921D9" w:rsidRPr="00E773DC" w:rsidRDefault="00B921D9" w:rsidP="00B921D9">
      <w:pPr>
        <w:pStyle w:val="SingleTxtG"/>
        <w:ind w:left="3402" w:hanging="1134"/>
        <w:rPr>
          <w:lang w:val="fr-FR" w:eastAsia="de-DE"/>
        </w:rPr>
      </w:pPr>
      <m:oMath>
        <m:sSub>
          <m:sSubPr>
            <m:ctrlPr>
              <w:rPr>
                <w:rFonts w:ascii="Cambria Math" w:hAnsi="Cambria Math"/>
                <w:b/>
                <w:bCs/>
                <w:iCs/>
                <w:lang w:val="fr-FR" w:eastAsia="de-DE"/>
              </w:rPr>
            </m:ctrlPr>
          </m:sSubPr>
          <m:e>
            <m:r>
              <m:rPr>
                <m:sty m:val="b"/>
              </m:rPr>
              <w:rPr>
                <w:rFonts w:ascii="Cambria Math" w:hAnsi="Cambria Math"/>
                <w:lang w:val="fr-FR" w:eastAsia="de-DE"/>
              </w:rPr>
              <m:t>ρ</m:t>
            </m:r>
          </m:e>
          <m:sub>
            <m:r>
              <m:rPr>
                <m:sty m:val="b"/>
              </m:rPr>
              <w:rPr>
                <w:rFonts w:ascii="Cambria Math" w:hAnsi="Cambria Math"/>
                <w:lang w:val="fr-FR" w:eastAsia="de-DE"/>
              </w:rPr>
              <m:t>e</m:t>
            </m:r>
          </m:sub>
        </m:sSub>
      </m:oMath>
      <w:r w:rsidRPr="00E773DC">
        <w:rPr>
          <w:b/>
          <w:bCs/>
          <w:lang w:val="fr-FR" w:eastAsia="de-DE"/>
        </w:rPr>
        <w:tab/>
        <w:t>est la densité des gaz d</w:t>
      </w:r>
      <w:r>
        <w:rPr>
          <w:b/>
          <w:bCs/>
          <w:lang w:val="fr-FR" w:eastAsia="de-DE"/>
        </w:rPr>
        <w:t>’</w:t>
      </w:r>
      <w:r w:rsidRPr="00E773DC">
        <w:rPr>
          <w:b/>
          <w:bCs/>
          <w:lang w:val="fr-FR" w:eastAsia="de-DE"/>
        </w:rPr>
        <w:t>échappement, en kg/m</w:t>
      </w:r>
      <w:r w:rsidRPr="00882BF4">
        <w:rPr>
          <w:b/>
          <w:bCs/>
          <w:vertAlign w:val="superscript"/>
          <w:lang w:val="fr-FR" w:eastAsia="de-DE"/>
        </w:rPr>
        <w:t>3</w:t>
      </w:r>
      <w:r w:rsidRPr="00E773DC">
        <w:rPr>
          <w:b/>
          <w:bCs/>
          <w:lang w:val="fr-FR" w:eastAsia="de-DE"/>
        </w:rPr>
        <w:t xml:space="preserve"> à 273</w:t>
      </w:r>
      <w:r w:rsidR="00CE1A05">
        <w:rPr>
          <w:b/>
          <w:bCs/>
          <w:lang w:val="fr-FR" w:eastAsia="de-DE"/>
        </w:rPr>
        <w:t> </w:t>
      </w:r>
      <w:r w:rsidRPr="00E773DC">
        <w:rPr>
          <w:b/>
          <w:bCs/>
          <w:lang w:val="fr-FR" w:eastAsia="de-DE"/>
        </w:rPr>
        <w:t>K (0</w:t>
      </w:r>
      <w:r>
        <w:rPr>
          <w:b/>
          <w:bCs/>
          <w:lang w:val="fr-FR" w:eastAsia="de-DE"/>
        </w:rPr>
        <w:t> </w:t>
      </w:r>
      <w:r w:rsidRPr="00E773DC">
        <w:rPr>
          <w:b/>
          <w:bCs/>
          <w:lang w:val="fr-FR" w:eastAsia="de-DE"/>
        </w:rPr>
        <w:t>°C)</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40DCB936" w14:textId="77777777" w:rsidR="00B921D9" w:rsidRPr="00E773DC" w:rsidRDefault="00B921D9" w:rsidP="00B921D9">
      <w:pPr>
        <w:pStyle w:val="SingleTxtG"/>
        <w:rPr>
          <w:lang w:val="fr-FR" w:eastAsia="de-DE"/>
        </w:rPr>
      </w:pPr>
      <w:r>
        <w:rPr>
          <w:i/>
          <w:iCs/>
          <w:lang w:val="fr-FR" w:eastAsia="de-DE"/>
        </w:rPr>
        <w:t>P</w:t>
      </w:r>
      <w:r w:rsidRPr="00E773DC">
        <w:rPr>
          <w:i/>
          <w:iCs/>
          <w:lang w:val="fr-FR" w:eastAsia="de-DE"/>
        </w:rPr>
        <w:t>aragraphes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1 et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1</w:t>
      </w:r>
      <w:r>
        <w:rPr>
          <w:i/>
          <w:iCs/>
          <w:lang w:val="fr-FR" w:eastAsia="de-DE"/>
        </w:rPr>
        <w:t>,</w:t>
      </w:r>
      <w:r w:rsidRPr="00E773DC">
        <w:rPr>
          <w:i/>
          <w:iCs/>
          <w:lang w:val="fr-FR" w:eastAsia="de-DE"/>
        </w:rPr>
        <w:t xml:space="preserve"> </w:t>
      </w:r>
      <w:r>
        <w:rPr>
          <w:lang w:val="fr-FR" w:eastAsia="de-DE"/>
        </w:rPr>
        <w:t>lire :</w:t>
      </w:r>
    </w:p>
    <w:p w14:paraId="6EBA2B8C" w14:textId="77777777" w:rsidR="00B921D9" w:rsidRPr="00882BF4" w:rsidRDefault="00B921D9" w:rsidP="00B921D9">
      <w:pPr>
        <w:pStyle w:val="SingleTxtG"/>
        <w:keepNext/>
        <w:ind w:left="2268" w:hanging="1134"/>
        <w:jc w:val="left"/>
        <w:rPr>
          <w:strike/>
          <w:lang w:val="fr-FR"/>
        </w:rPr>
      </w:pPr>
      <w:r w:rsidRPr="00E773DC">
        <w:rPr>
          <w:lang w:val="fr-FR" w:eastAsia="de-DE"/>
        </w:rPr>
        <w:t>« </w:t>
      </w:r>
      <w:r w:rsidRPr="00882BF4">
        <w:rPr>
          <w:strike/>
          <w:lang w:val="fr-FR"/>
        </w:rPr>
        <w:t>A</w:t>
      </w:r>
      <w:r w:rsidR="00F72B31" w:rsidRPr="00F72B31">
        <w:rPr>
          <w:strike/>
          <w:lang w:val="fr-FR"/>
        </w:rPr>
        <w:t>.</w:t>
      </w:r>
      <w:r w:rsidRPr="00882BF4">
        <w:rPr>
          <w:strike/>
          <w:lang w:val="fr-FR"/>
        </w:rPr>
        <w:t>1</w:t>
      </w:r>
      <w:r w:rsidR="00F72B31" w:rsidRPr="00F72B31">
        <w:rPr>
          <w:strike/>
          <w:lang w:val="fr-FR"/>
        </w:rPr>
        <w:t>.</w:t>
      </w:r>
      <w:r w:rsidRPr="00882BF4">
        <w:rPr>
          <w:strike/>
          <w:lang w:val="fr-FR"/>
        </w:rPr>
        <w:t>4</w:t>
      </w:r>
      <w:r w:rsidR="00F72B31" w:rsidRPr="00F72B31">
        <w:rPr>
          <w:strike/>
          <w:lang w:val="fr-FR"/>
        </w:rPr>
        <w:t>.</w:t>
      </w:r>
      <w:r w:rsidRPr="00882BF4">
        <w:rPr>
          <w:strike/>
          <w:lang w:val="fr-FR"/>
        </w:rPr>
        <w:t>2</w:t>
      </w:r>
      <w:r w:rsidR="00F72B31" w:rsidRPr="00F72B31">
        <w:rPr>
          <w:strike/>
          <w:lang w:val="fr-FR"/>
        </w:rPr>
        <w:t>.</w:t>
      </w:r>
      <w:r w:rsidRPr="00882BF4">
        <w:rPr>
          <w:strike/>
          <w:lang w:val="fr-FR"/>
        </w:rPr>
        <w:t>1</w:t>
      </w:r>
      <w:r w:rsidRPr="00882BF4">
        <w:rPr>
          <w:strike/>
          <w:lang w:val="fr-FR"/>
        </w:rPr>
        <w:tab/>
      </w:r>
      <w:r w:rsidRPr="00882BF4">
        <w:rPr>
          <w:iCs/>
          <w:strike/>
          <w:lang w:val="fr-FR"/>
        </w:rPr>
        <w:t>Calcul des émissions spécifiques</w:t>
      </w:r>
    </w:p>
    <w:p w14:paraId="77259F61" w14:textId="77777777" w:rsidR="00B921D9" w:rsidRPr="00882BF4" w:rsidRDefault="00B921D9" w:rsidP="00B921D9">
      <w:pPr>
        <w:pStyle w:val="SingleTxtG"/>
        <w:ind w:left="2268"/>
        <w:rPr>
          <w:strike/>
          <w:lang w:val="fr-FR"/>
        </w:rPr>
      </w:pPr>
      <w:r w:rsidRPr="00882BF4">
        <w:rPr>
          <w:strike/>
          <w:lang w:val="fr-FR"/>
        </w:rPr>
        <w:t xml:space="preserve">Les émissions spécifiques </w:t>
      </w:r>
      <w:proofErr w:type="spellStart"/>
      <w:r w:rsidRPr="00882BF4">
        <w:rPr>
          <w:iCs/>
          <w:strike/>
          <w:lang w:val="fr-FR"/>
        </w:rPr>
        <w:t>e</w:t>
      </w:r>
      <w:r w:rsidRPr="00882BF4">
        <w:rPr>
          <w:iCs/>
          <w:strike/>
          <w:vertAlign w:val="subscript"/>
          <w:lang w:val="fr-FR"/>
        </w:rPr>
        <w:t>gas</w:t>
      </w:r>
      <w:proofErr w:type="spellEnd"/>
      <w:r w:rsidRPr="00882BF4">
        <w:rPr>
          <w:strike/>
          <w:lang w:val="fr-FR"/>
        </w:rPr>
        <w:t xml:space="preserve"> (mg/kWh) doivent être calculées pour chaque fenêtre et chaque polluant de la manière suivante :</w:t>
      </w:r>
    </w:p>
    <w:p w14:paraId="79604073" w14:textId="77777777" w:rsidR="00B921D9" w:rsidRPr="00882BF4" w:rsidRDefault="00B921D9" w:rsidP="00B921D9">
      <w:pPr>
        <w:pStyle w:val="SingleTxtG"/>
        <w:ind w:left="2835"/>
        <w:rPr>
          <w:i/>
          <w:iCs/>
          <w:strike/>
          <w:lang w:val="fr-FR"/>
        </w:rPr>
      </w:pPr>
      <w:r w:rsidRPr="00882BF4">
        <w:rPr>
          <w:i/>
          <w:iCs/>
          <w:strike/>
          <w:position w:val="-32"/>
          <w:lang w:val="fr-FR"/>
        </w:rPr>
        <w:object w:dxaOrig="2220" w:dyaOrig="700" w14:anchorId="365C6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pt;height:29.6pt" o:ole="">
            <v:imagedata r:id="rId17" o:title=""/>
          </v:shape>
          <o:OLEObject Type="Embed" ProgID="Equation.3" ShapeID="_x0000_i1025" DrawAspect="Content" ObjectID="_1667304421" r:id="rId18"/>
        </w:object>
      </w:r>
    </w:p>
    <w:p w14:paraId="7C95717C" w14:textId="77777777" w:rsidR="00B921D9" w:rsidRPr="00882BF4" w:rsidRDefault="00B921D9" w:rsidP="00B921D9">
      <w:pPr>
        <w:pStyle w:val="SingleTxtG"/>
        <w:keepNext/>
        <w:ind w:left="2268"/>
        <w:rPr>
          <w:strike/>
          <w:lang w:val="fr-FR"/>
        </w:rPr>
      </w:pPr>
      <w:r w:rsidRPr="00882BF4">
        <w:rPr>
          <w:strike/>
          <w:lang w:val="fr-FR"/>
        </w:rPr>
        <w:t>où :</w:t>
      </w:r>
    </w:p>
    <w:p w14:paraId="0C2FB00A" w14:textId="77777777" w:rsidR="00B921D9" w:rsidRPr="00882BF4" w:rsidRDefault="00B921D9" w:rsidP="00B921D9">
      <w:pPr>
        <w:pStyle w:val="SingleTxtG"/>
        <w:ind w:left="3402" w:hanging="1134"/>
        <w:rPr>
          <w:strike/>
          <w:lang w:val="fr-FR"/>
        </w:rPr>
      </w:pPr>
      <w:r w:rsidRPr="00882BF4">
        <w:rPr>
          <w:strike/>
          <w:lang w:val="fr-FR"/>
        </w:rPr>
        <w:t>m</w:t>
      </w:r>
      <w:r w:rsidRPr="00882BF4">
        <w:rPr>
          <w:strike/>
          <w:lang w:val="fr-FR"/>
        </w:rPr>
        <w:tab/>
        <w:t>est l</w:t>
      </w:r>
      <w:r>
        <w:rPr>
          <w:strike/>
          <w:lang w:val="fr-FR"/>
        </w:rPr>
        <w:t>’</w:t>
      </w:r>
      <w:r w:rsidRPr="00882BF4">
        <w:rPr>
          <w:strike/>
          <w:lang w:val="fr-FR"/>
        </w:rPr>
        <w:t xml:space="preserve">émission </w:t>
      </w:r>
      <w:bookmarkStart w:id="32" w:name="_Hlk55894595"/>
      <w:r w:rsidRPr="00882BF4">
        <w:rPr>
          <w:strike/>
          <w:lang w:val="fr-FR"/>
        </w:rPr>
        <w:t>massique du constituant, en mg/fenêtre</w:t>
      </w:r>
      <w:bookmarkEnd w:id="32"/>
      <w:r w:rsidRPr="00882BF4">
        <w:rPr>
          <w:strike/>
          <w:lang w:val="fr-FR"/>
        </w:rPr>
        <w:t>;</w:t>
      </w:r>
    </w:p>
    <w:p w14:paraId="1C812B34" w14:textId="77777777" w:rsidR="00B921D9" w:rsidRPr="00DD795E" w:rsidRDefault="00B921D9" w:rsidP="00B921D9">
      <w:pPr>
        <w:pStyle w:val="SingleTxtG"/>
        <w:ind w:left="3402" w:hanging="1134"/>
        <w:rPr>
          <w:lang w:val="fr-FR"/>
        </w:rPr>
      </w:pPr>
      <w:r w:rsidRPr="00882BF4">
        <w:rPr>
          <w:iCs/>
          <w:strike/>
          <w:lang w:val="fr-FR"/>
        </w:rPr>
        <w:t>W(t</w:t>
      </w:r>
      <w:r w:rsidRPr="00882BF4">
        <w:rPr>
          <w:iCs/>
          <w:strike/>
          <w:vertAlign w:val="subscript"/>
          <w:lang w:val="fr-FR"/>
        </w:rPr>
        <w:t>2,i</w:t>
      </w:r>
      <w:r w:rsidRPr="00882BF4">
        <w:rPr>
          <w:iCs/>
          <w:strike/>
          <w:lang w:val="fr-FR"/>
        </w:rPr>
        <w:t>)-W(</w:t>
      </w:r>
      <w:proofErr w:type="spellStart"/>
      <w:r w:rsidRPr="00882BF4">
        <w:rPr>
          <w:iCs/>
          <w:strike/>
          <w:lang w:val="fr-FR"/>
        </w:rPr>
        <w:t>t</w:t>
      </w:r>
      <w:r w:rsidRPr="00882BF4">
        <w:rPr>
          <w:iCs/>
          <w:strike/>
          <w:vertAlign w:val="subscript"/>
          <w:lang w:val="fr-FR"/>
        </w:rPr>
        <w:t>l,i</w:t>
      </w:r>
      <w:proofErr w:type="spellEnd"/>
      <w:r w:rsidRPr="00882BF4">
        <w:rPr>
          <w:iCs/>
          <w:strike/>
          <w:lang w:val="fr-FR"/>
        </w:rPr>
        <w:t>)</w:t>
      </w:r>
      <w:r w:rsidRPr="00882BF4">
        <w:rPr>
          <w:iCs/>
          <w:strike/>
          <w:lang w:val="fr-FR"/>
        </w:rPr>
        <w:tab/>
      </w:r>
      <w:r w:rsidRPr="00882BF4">
        <w:rPr>
          <w:strike/>
          <w:lang w:val="fr-FR"/>
        </w:rPr>
        <w:t xml:space="preserve">est le travail du moteur </w:t>
      </w:r>
      <w:bookmarkStart w:id="33" w:name="_Hlk55894680"/>
      <w:r w:rsidRPr="00882BF4">
        <w:rPr>
          <w:strike/>
          <w:lang w:val="fr-FR"/>
        </w:rPr>
        <w:t xml:space="preserve">durant la </w:t>
      </w:r>
      <w:proofErr w:type="spellStart"/>
      <w:r w:rsidRPr="00882BF4">
        <w:rPr>
          <w:strike/>
          <w:lang w:val="fr-FR"/>
        </w:rPr>
        <w:t>i</w:t>
      </w:r>
      <w:r w:rsidRPr="00882BF4">
        <w:rPr>
          <w:strike/>
          <w:vertAlign w:val="superscript"/>
          <w:lang w:val="fr-FR"/>
        </w:rPr>
        <w:t>e</w:t>
      </w:r>
      <w:proofErr w:type="spellEnd"/>
      <w:r w:rsidRPr="00882BF4">
        <w:rPr>
          <w:strike/>
          <w:lang w:val="fr-FR"/>
        </w:rPr>
        <w:t xml:space="preserve"> fenêtre de calcul de moyenne</w:t>
      </w:r>
      <w:bookmarkEnd w:id="33"/>
      <w:r w:rsidRPr="00882BF4">
        <w:rPr>
          <w:strike/>
          <w:lang w:val="fr-FR"/>
        </w:rPr>
        <w:t>, en kWh</w:t>
      </w:r>
      <w:r w:rsidR="00F72B31" w:rsidRPr="00F72B31">
        <w:rPr>
          <w:strike/>
          <w:lang w:val="fr-FR"/>
        </w:rPr>
        <w:t>.</w:t>
      </w:r>
    </w:p>
    <w:p w14:paraId="22632CE1" w14:textId="77777777" w:rsidR="00B921D9" w:rsidRPr="00E773DC" w:rsidRDefault="00B921D9" w:rsidP="00B921D9">
      <w:pPr>
        <w:pStyle w:val="SingleTxtG"/>
        <w:tabs>
          <w:tab w:val="left" w:pos="2268"/>
        </w:tabs>
        <w:rPr>
          <w:strike/>
          <w:lang w:val="fr-FR" w:eastAsia="de-DE"/>
        </w:rPr>
      </w:pPr>
      <w:r w:rsidRPr="00E773DC">
        <w:rPr>
          <w:strike/>
          <w:lang w:val="fr-FR" w:eastAsia="de-DE"/>
        </w:rPr>
        <w:t>A</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strike/>
          <w:lang w:val="fr-FR" w:eastAsia="de-DE"/>
        </w:rPr>
        <w:t>4</w:t>
      </w:r>
      <w:r w:rsidR="00F72B31" w:rsidRPr="00F72B31">
        <w:rPr>
          <w:strike/>
          <w:lang w:val="fr-FR" w:eastAsia="de-DE"/>
        </w:rPr>
        <w:t>.</w:t>
      </w:r>
      <w:r w:rsidRPr="00E773DC">
        <w:rPr>
          <w:strike/>
          <w:lang w:val="fr-FR" w:eastAsia="de-DE"/>
        </w:rPr>
        <w:t>2</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strike/>
          <w:lang w:val="fr-FR" w:eastAsia="de-DE"/>
        </w:rPr>
        <w:t>1</w:t>
      </w:r>
      <w:r w:rsidRPr="00E773DC">
        <w:rPr>
          <w:strike/>
          <w:lang w:val="fr-FR" w:eastAsia="de-DE"/>
        </w:rPr>
        <w:tab/>
      </w:r>
      <w:r w:rsidRPr="00673728">
        <w:rPr>
          <w:strike/>
          <w:lang w:val="fr-FR" w:eastAsia="de-DE"/>
        </w:rPr>
        <w:t>Calcul des émissions spécifiques pour un carburant commercial déclaré</w:t>
      </w:r>
    </w:p>
    <w:p w14:paraId="51BD760D" w14:textId="77777777" w:rsidR="00B921D9" w:rsidRPr="00E773DC" w:rsidRDefault="00B921D9" w:rsidP="00B921D9">
      <w:pPr>
        <w:pStyle w:val="SingleTxtG"/>
        <w:tabs>
          <w:tab w:val="left" w:pos="2268"/>
        </w:tabs>
        <w:ind w:left="2268"/>
        <w:rPr>
          <w:strike/>
          <w:lang w:val="fr-FR" w:eastAsia="de-DE"/>
        </w:rPr>
      </w:pPr>
      <w:r w:rsidRPr="00E773DC">
        <w:rPr>
          <w:strike/>
          <w:lang w:val="fr-FR" w:eastAsia="de-DE"/>
        </w:rPr>
        <w:tab/>
      </w:r>
      <w:r w:rsidRPr="00673728">
        <w:rPr>
          <w:strike/>
          <w:lang w:val="fr-FR" w:eastAsia="de-DE"/>
        </w:rPr>
        <w:t>Si, dans le contexte de la présente annexe, un essai a été réalisé avec un carburant commercial déclaré conformément au point 3</w:t>
      </w:r>
      <w:r w:rsidR="00F72B31" w:rsidRPr="00F72B31">
        <w:rPr>
          <w:strike/>
          <w:lang w:val="fr-FR" w:eastAsia="de-DE"/>
        </w:rPr>
        <w:t>.</w:t>
      </w:r>
      <w:r w:rsidRPr="00673728">
        <w:rPr>
          <w:strike/>
          <w:lang w:val="fr-FR" w:eastAsia="de-DE"/>
        </w:rPr>
        <w:t>2</w:t>
      </w:r>
      <w:r w:rsidR="00F72B31" w:rsidRPr="00F72B31">
        <w:rPr>
          <w:strike/>
          <w:lang w:val="fr-FR" w:eastAsia="de-DE"/>
        </w:rPr>
        <w:t>.</w:t>
      </w:r>
      <w:r w:rsidRPr="00673728">
        <w:rPr>
          <w:strike/>
          <w:lang w:val="fr-FR" w:eastAsia="de-DE"/>
        </w:rPr>
        <w:t>2</w:t>
      </w:r>
      <w:r w:rsidR="00F72B31" w:rsidRPr="00F72B31">
        <w:rPr>
          <w:strike/>
          <w:lang w:val="fr-FR" w:eastAsia="de-DE"/>
        </w:rPr>
        <w:t>.</w:t>
      </w:r>
      <w:r w:rsidRPr="00673728">
        <w:rPr>
          <w:strike/>
          <w:lang w:val="fr-FR" w:eastAsia="de-DE"/>
        </w:rPr>
        <w:t>2</w:t>
      </w:r>
      <w:r w:rsidR="00F72B31" w:rsidRPr="00F72B31">
        <w:rPr>
          <w:strike/>
          <w:lang w:val="fr-FR" w:eastAsia="de-DE"/>
        </w:rPr>
        <w:t>.</w:t>
      </w:r>
      <w:r w:rsidRPr="00673728">
        <w:rPr>
          <w:strike/>
          <w:lang w:val="fr-FR" w:eastAsia="de-DE"/>
        </w:rPr>
        <w:t>1 de la première partie de l</w:t>
      </w:r>
      <w:r>
        <w:rPr>
          <w:strike/>
          <w:lang w:val="fr-FR" w:eastAsia="de-DE"/>
        </w:rPr>
        <w:t>’</w:t>
      </w:r>
      <w:r w:rsidRPr="00673728">
        <w:rPr>
          <w:strike/>
          <w:lang w:val="fr-FR" w:eastAsia="de-DE"/>
        </w:rPr>
        <w:t>annexe 1 du présent Règlement et si un facteur de correction de la puissance, conformément au point 3</w:t>
      </w:r>
      <w:r w:rsidR="00F72B31" w:rsidRPr="00F72B31">
        <w:rPr>
          <w:strike/>
          <w:lang w:val="fr-FR" w:eastAsia="de-DE"/>
        </w:rPr>
        <w:t>.</w:t>
      </w:r>
      <w:r w:rsidRPr="00673728">
        <w:rPr>
          <w:strike/>
          <w:lang w:val="fr-FR" w:eastAsia="de-DE"/>
        </w:rPr>
        <w:t>2</w:t>
      </w:r>
      <w:r w:rsidR="00F72B31" w:rsidRPr="00F72B31">
        <w:rPr>
          <w:strike/>
          <w:lang w:val="fr-FR" w:eastAsia="de-DE"/>
        </w:rPr>
        <w:t>.</w:t>
      </w:r>
      <w:r w:rsidRPr="00673728">
        <w:rPr>
          <w:strike/>
          <w:lang w:val="fr-FR" w:eastAsia="de-DE"/>
        </w:rPr>
        <w:t>2</w:t>
      </w:r>
      <w:r w:rsidR="00F72B31" w:rsidRPr="00F72B31">
        <w:rPr>
          <w:strike/>
          <w:lang w:val="fr-FR" w:eastAsia="de-DE"/>
        </w:rPr>
        <w:t>.</w:t>
      </w:r>
      <w:r w:rsidRPr="00673728">
        <w:rPr>
          <w:strike/>
          <w:lang w:val="fr-FR" w:eastAsia="de-DE"/>
        </w:rPr>
        <w:t>2</w:t>
      </w:r>
      <w:r w:rsidR="00F72B31" w:rsidRPr="00F72B31">
        <w:rPr>
          <w:strike/>
          <w:lang w:val="fr-FR" w:eastAsia="de-DE"/>
        </w:rPr>
        <w:t>.</w:t>
      </w:r>
      <w:r w:rsidRPr="00673728">
        <w:rPr>
          <w:strike/>
          <w:lang w:val="fr-FR" w:eastAsia="de-DE"/>
        </w:rPr>
        <w:t>2 de la première partie de l</w:t>
      </w:r>
      <w:r>
        <w:rPr>
          <w:strike/>
          <w:lang w:val="fr-FR" w:eastAsia="de-DE"/>
        </w:rPr>
        <w:t>’</w:t>
      </w:r>
      <w:r w:rsidRPr="00673728">
        <w:rPr>
          <w:strike/>
          <w:lang w:val="fr-FR" w:eastAsia="de-DE"/>
        </w:rPr>
        <w:t>annexe 1 du même Règlement, a été spécifié pour le carburant utilisé aux fins de l</w:t>
      </w:r>
      <w:r>
        <w:rPr>
          <w:strike/>
          <w:lang w:val="fr-FR" w:eastAsia="de-DE"/>
        </w:rPr>
        <w:t>’</w:t>
      </w:r>
      <w:r w:rsidRPr="00673728">
        <w:rPr>
          <w:strike/>
          <w:lang w:val="fr-FR" w:eastAsia="de-DE"/>
        </w:rPr>
        <w:t xml:space="preserve">essai, les émissions spécifiques </w:t>
      </w:r>
      <w:proofErr w:type="spellStart"/>
      <w:r w:rsidRPr="00673728">
        <w:rPr>
          <w:strike/>
          <w:lang w:val="fr-FR" w:eastAsia="de-DE"/>
        </w:rPr>
        <w:t>egas</w:t>
      </w:r>
      <w:proofErr w:type="spellEnd"/>
      <w:r w:rsidRPr="00673728">
        <w:rPr>
          <w:strike/>
          <w:lang w:val="fr-FR" w:eastAsia="de-DE"/>
        </w:rPr>
        <w:t xml:space="preserve"> (mg/kWh) doivent être calculées pour chaque fenêtre et chaque polluant en multipliant chaque émission spécifique par le facteur de correction de la puissance déclaré</w:t>
      </w:r>
      <w:r w:rsidR="00F72B31" w:rsidRPr="00F72B31">
        <w:rPr>
          <w:strike/>
          <w:lang w:val="fr-FR" w:eastAsia="de-DE"/>
        </w:rPr>
        <w:t>.</w:t>
      </w:r>
    </w:p>
    <w:p w14:paraId="6C66A10B"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1</w:t>
      </w:r>
      <w:r w:rsidRPr="00E773DC">
        <w:rPr>
          <w:b/>
          <w:bCs/>
          <w:lang w:val="fr-FR" w:eastAsia="de-DE"/>
        </w:rPr>
        <w:tab/>
        <w:t>Calcul des émissions spécifiques</w:t>
      </w:r>
    </w:p>
    <w:p w14:paraId="383D1869" w14:textId="77777777" w:rsidR="00B921D9" w:rsidRPr="00E773DC" w:rsidRDefault="00B921D9" w:rsidP="00B921D9">
      <w:pPr>
        <w:pStyle w:val="SingleTxtG"/>
        <w:ind w:left="2268"/>
        <w:rPr>
          <w:b/>
          <w:bCs/>
          <w:lang w:val="fr-FR" w:eastAsia="de-DE"/>
        </w:rPr>
      </w:pPr>
      <w:r w:rsidRPr="00E773DC">
        <w:rPr>
          <w:b/>
          <w:bCs/>
          <w:lang w:val="fr-FR" w:eastAsia="de-DE"/>
        </w:rPr>
        <w:t xml:space="preserve">Les émissions spécifiques e (mg/kWh ou #/kWh) </w:t>
      </w:r>
      <w:r w:rsidRPr="00882BF4">
        <w:rPr>
          <w:b/>
          <w:bCs/>
          <w:lang w:val="fr-FR" w:eastAsia="de-DE"/>
        </w:rPr>
        <w:t xml:space="preserve">doivent être </w:t>
      </w:r>
      <w:r w:rsidRPr="00E773DC">
        <w:rPr>
          <w:b/>
          <w:bCs/>
          <w:lang w:val="fr-FR" w:eastAsia="de-DE"/>
        </w:rPr>
        <w:t>calculées pour chaque fenêtre et chaque polluant de la manière suivante :</w:t>
      </w:r>
    </w:p>
    <w:p w14:paraId="1ADE3FE6" w14:textId="77777777" w:rsidR="00B921D9" w:rsidRPr="00C7616C" w:rsidRDefault="00C7616C" w:rsidP="00B921D9">
      <w:pPr>
        <w:pStyle w:val="SingleTxtG"/>
        <w:ind w:left="2268"/>
        <w:rPr>
          <w:b/>
          <w:lang w:val="fr-FR" w:eastAsia="de-DE"/>
        </w:rPr>
      </w:pPr>
      <m:oMathPara>
        <m:oMathParaPr>
          <m:jc m:val="left"/>
        </m:oMathParaPr>
        <m:oMath>
          <m:r>
            <m:rPr>
              <m:sty m:val="b"/>
            </m:rPr>
            <w:rPr>
              <w:rFonts w:ascii="Cambria Math" w:hAnsi="Cambria Math"/>
              <w:lang w:val="fr-FR" w:eastAsia="de-DE"/>
            </w:rPr>
            <m:t>e=</m:t>
          </m:r>
          <m:f>
            <m:fPr>
              <m:ctrlPr>
                <w:rPr>
                  <w:rFonts w:ascii="Cambria Math" w:hAnsi="Cambria Math"/>
                  <w:b/>
                  <w:lang w:val="fr-FR" w:eastAsia="de-DE"/>
                </w:rPr>
              </m:ctrlPr>
            </m:fPr>
            <m:num>
              <m:r>
                <m:rPr>
                  <m:sty m:val="b"/>
                </m:rPr>
                <w:rPr>
                  <w:rFonts w:ascii="Cambria Math" w:hAnsi="Cambria Math"/>
                  <w:lang w:val="fr-FR" w:eastAsia="de-DE"/>
                </w:rPr>
                <m:t>m</m:t>
              </m:r>
            </m:num>
            <m:den>
              <m:r>
                <m:rPr>
                  <m:sty m:val="b"/>
                </m:rPr>
                <w:rPr>
                  <w:rFonts w:ascii="Cambria Math" w:hAnsi="Cambria Math"/>
                  <w:lang w:val="fr-FR" w:eastAsia="de-DE"/>
                </w:rPr>
                <m:t>W</m:t>
              </m:r>
              <m:d>
                <m:dPr>
                  <m:ctrlPr>
                    <w:rPr>
                      <w:rFonts w:ascii="Cambria Math" w:hAnsi="Cambria Math"/>
                      <w:b/>
                      <w:lang w:val="fr-FR" w:eastAsia="de-DE"/>
                    </w:rPr>
                  </m:ctrlPr>
                </m:dPr>
                <m:e>
                  <m:sSub>
                    <m:sSubPr>
                      <m:ctrlPr>
                        <w:rPr>
                          <w:rFonts w:ascii="Cambria Math" w:hAnsi="Cambria Math"/>
                          <w:b/>
                          <w:iCs/>
                          <w:lang w:val="fr-FR" w:eastAsia="de-DE"/>
                        </w:rPr>
                      </m:ctrlPr>
                    </m:sSubPr>
                    <m:e>
                      <m:r>
                        <m:rPr>
                          <m:sty m:val="b"/>
                        </m:rPr>
                        <w:rPr>
                          <w:rFonts w:ascii="Cambria Math" w:hAnsi="Cambria Math"/>
                          <w:lang w:val="fr-FR" w:eastAsia="de-DE"/>
                        </w:rPr>
                        <m:t>t</m:t>
                      </m:r>
                    </m:e>
                    <m:sub>
                      <m:r>
                        <m:rPr>
                          <m:sty m:val="b"/>
                        </m:rPr>
                        <w:rPr>
                          <w:rFonts w:ascii="Cambria Math" w:hAnsi="Cambria Math"/>
                          <w:lang w:val="fr-FR" w:eastAsia="de-DE"/>
                        </w:rPr>
                        <m:t>2, i</m:t>
                      </m:r>
                    </m:sub>
                  </m:sSub>
                </m:e>
              </m:d>
              <m:r>
                <m:rPr>
                  <m:sty m:val="b"/>
                </m:rPr>
                <w:rPr>
                  <w:rFonts w:ascii="Cambria Math" w:hAnsi="Cambria Math"/>
                  <w:lang w:val="fr-FR" w:eastAsia="de-DE"/>
                </w:rPr>
                <m:t>-W(</m:t>
              </m:r>
              <m:sSub>
                <m:sSubPr>
                  <m:ctrlPr>
                    <w:rPr>
                      <w:rFonts w:ascii="Cambria Math" w:hAnsi="Cambria Math"/>
                      <w:b/>
                      <w:iCs/>
                      <w:lang w:val="fr-FR" w:eastAsia="de-DE"/>
                    </w:rPr>
                  </m:ctrlPr>
                </m:sSubPr>
                <m:e>
                  <m:r>
                    <m:rPr>
                      <m:sty m:val="b"/>
                    </m:rPr>
                    <w:rPr>
                      <w:rFonts w:ascii="Cambria Math" w:hAnsi="Cambria Math"/>
                      <w:lang w:val="fr-FR" w:eastAsia="de-DE"/>
                    </w:rPr>
                    <m:t>t</m:t>
                  </m:r>
                </m:e>
                <m:sub>
                  <m:r>
                    <m:rPr>
                      <m:sty m:val="b"/>
                    </m:rPr>
                    <w:rPr>
                      <w:rFonts w:ascii="Cambria Math" w:hAnsi="Cambria Math"/>
                      <w:lang w:val="fr-FR" w:eastAsia="de-DE"/>
                    </w:rPr>
                    <m:t>1, i</m:t>
                  </m:r>
                </m:sub>
              </m:sSub>
              <m:r>
                <m:rPr>
                  <m:sty m:val="bi"/>
                </m:rPr>
                <w:rPr>
                  <w:rFonts w:ascii="Cambria Math" w:hAnsi="Cambria Math"/>
                  <w:lang w:val="fr-FR" w:eastAsia="de-DE"/>
                </w:rPr>
                <m:t>)</m:t>
              </m:r>
            </m:den>
          </m:f>
        </m:oMath>
      </m:oMathPara>
    </w:p>
    <w:p w14:paraId="5B462688" w14:textId="77777777" w:rsidR="00B921D9" w:rsidRPr="00E773DC" w:rsidRDefault="00B921D9" w:rsidP="00B921D9">
      <w:pPr>
        <w:pStyle w:val="SingleTxtG"/>
        <w:ind w:left="2268"/>
        <w:rPr>
          <w:b/>
          <w:bCs/>
          <w:lang w:val="fr-FR" w:eastAsia="de-DE"/>
        </w:rPr>
      </w:pPr>
      <w:r w:rsidRPr="00E773DC">
        <w:rPr>
          <w:b/>
          <w:bCs/>
          <w:lang w:val="fr-FR" w:eastAsia="de-DE"/>
        </w:rPr>
        <w:t>où :</w:t>
      </w:r>
    </w:p>
    <w:p w14:paraId="2D41104A" w14:textId="77777777" w:rsidR="00B921D9" w:rsidRPr="00E773DC" w:rsidRDefault="00B921D9" w:rsidP="00B921D9">
      <w:pPr>
        <w:pStyle w:val="SingleTxtG"/>
        <w:ind w:left="3969" w:hanging="1701"/>
        <w:rPr>
          <w:b/>
          <w:bCs/>
          <w:lang w:val="fr-FR" w:eastAsia="de-DE"/>
        </w:rPr>
      </w:pPr>
      <w:r w:rsidRPr="00E773DC">
        <w:rPr>
          <w:b/>
          <w:bCs/>
          <w:lang w:val="fr-FR" w:eastAsia="de-DE"/>
        </w:rPr>
        <w:t>m</w:t>
      </w:r>
      <w:r w:rsidRPr="00E773DC">
        <w:rPr>
          <w:b/>
          <w:bCs/>
          <w:lang w:val="fr-FR" w:eastAsia="de-DE"/>
        </w:rPr>
        <w:tab/>
        <w:t>est l</w:t>
      </w:r>
      <w:r>
        <w:rPr>
          <w:b/>
          <w:bCs/>
          <w:lang w:val="fr-FR" w:eastAsia="de-DE"/>
        </w:rPr>
        <w:t>’</w:t>
      </w:r>
      <w:r w:rsidRPr="00E773DC">
        <w:rPr>
          <w:b/>
          <w:bCs/>
          <w:lang w:val="fr-FR" w:eastAsia="de-DE"/>
        </w:rPr>
        <w:t xml:space="preserve">émission </w:t>
      </w:r>
      <w:r w:rsidRPr="00673728">
        <w:rPr>
          <w:b/>
          <w:bCs/>
          <w:lang w:val="fr-FR" w:eastAsia="de-DE"/>
        </w:rPr>
        <w:t>massique du constituant, en mg/fenêtre</w:t>
      </w:r>
      <w:r w:rsidRPr="00E773DC">
        <w:rPr>
          <w:b/>
          <w:bCs/>
          <w:lang w:val="fr-FR" w:eastAsia="de-DE"/>
        </w:rPr>
        <w:t xml:space="preserve">, ou le nombre de PM, </w:t>
      </w:r>
      <w:r>
        <w:rPr>
          <w:b/>
          <w:bCs/>
          <w:lang w:val="fr-FR" w:eastAsia="de-DE"/>
        </w:rPr>
        <w:t xml:space="preserve">en </w:t>
      </w:r>
      <w:r w:rsidRPr="00E773DC">
        <w:rPr>
          <w:b/>
          <w:bCs/>
          <w:lang w:val="fr-FR" w:eastAsia="de-DE"/>
        </w:rPr>
        <w:t>#/fenêtre</w:t>
      </w:r>
      <w:r>
        <w:rPr>
          <w:b/>
          <w:bCs/>
          <w:lang w:val="fr-FR" w:eastAsia="de-DE"/>
        </w:rPr>
        <w:t> ;</w:t>
      </w:r>
    </w:p>
    <w:p w14:paraId="341ABB67" w14:textId="77777777" w:rsidR="00B921D9" w:rsidRPr="00E773DC" w:rsidRDefault="00B921D9" w:rsidP="00B921D9">
      <w:pPr>
        <w:pStyle w:val="SingleTxtG"/>
        <w:ind w:left="3969" w:hanging="1701"/>
        <w:rPr>
          <w:b/>
          <w:bCs/>
          <w:lang w:val="fr-FR" w:eastAsia="de-DE"/>
        </w:rPr>
      </w:pPr>
      <w:r w:rsidRPr="00E773DC">
        <w:rPr>
          <w:b/>
          <w:bCs/>
          <w:lang w:val="fr-FR" w:eastAsia="de-DE"/>
        </w:rPr>
        <w:t>W(t</w:t>
      </w:r>
      <w:r w:rsidRPr="00673728">
        <w:rPr>
          <w:b/>
          <w:bCs/>
          <w:vertAlign w:val="subscript"/>
          <w:lang w:val="fr-FR" w:eastAsia="de-DE"/>
        </w:rPr>
        <w:t>2</w:t>
      </w:r>
      <w:r w:rsidRPr="00E773DC">
        <w:rPr>
          <w:b/>
          <w:bCs/>
          <w:vertAlign w:val="subscript"/>
          <w:lang w:val="fr-FR" w:eastAsia="de-DE"/>
        </w:rPr>
        <w:t>,i</w:t>
      </w:r>
      <w:r w:rsidRPr="00E773DC">
        <w:rPr>
          <w:b/>
          <w:bCs/>
          <w:lang w:val="fr-FR" w:eastAsia="de-DE"/>
        </w:rPr>
        <w:t xml:space="preserve">) </w:t>
      </w:r>
      <w:r>
        <w:rPr>
          <w:b/>
          <w:bCs/>
          <w:lang w:val="fr-FR" w:eastAsia="de-DE"/>
        </w:rPr>
        <w:t>–</w:t>
      </w:r>
      <w:r w:rsidRPr="00E773DC">
        <w:rPr>
          <w:b/>
          <w:bCs/>
          <w:lang w:val="fr-FR" w:eastAsia="de-DE"/>
        </w:rPr>
        <w:t xml:space="preserve"> W(t</w:t>
      </w:r>
      <w:r w:rsidRPr="00673728">
        <w:rPr>
          <w:b/>
          <w:bCs/>
          <w:vertAlign w:val="subscript"/>
          <w:lang w:val="fr-FR" w:eastAsia="de-DE"/>
        </w:rPr>
        <w:t>1</w:t>
      </w:r>
      <w:r w:rsidRPr="00E773DC">
        <w:rPr>
          <w:b/>
          <w:bCs/>
          <w:vertAlign w:val="subscript"/>
          <w:lang w:val="fr-FR" w:eastAsia="de-DE"/>
        </w:rPr>
        <w:t>,i</w:t>
      </w:r>
      <w:r w:rsidRPr="00E773DC">
        <w:rPr>
          <w:b/>
          <w:bCs/>
          <w:lang w:val="fr-FR" w:eastAsia="de-DE"/>
        </w:rPr>
        <w:t>)</w:t>
      </w:r>
      <w:r w:rsidRPr="00E773DC">
        <w:rPr>
          <w:b/>
          <w:bCs/>
          <w:lang w:val="fr-FR" w:eastAsia="de-DE"/>
        </w:rPr>
        <w:tab/>
        <w:t xml:space="preserve">est le travail du moteur </w:t>
      </w:r>
      <w:r w:rsidRPr="00673728">
        <w:rPr>
          <w:b/>
          <w:bCs/>
          <w:lang w:val="fr-FR"/>
        </w:rPr>
        <w:t xml:space="preserve">durant la </w:t>
      </w:r>
      <w:proofErr w:type="spellStart"/>
      <w:r w:rsidRPr="00673728">
        <w:rPr>
          <w:b/>
          <w:bCs/>
          <w:lang w:val="fr-FR"/>
        </w:rPr>
        <w:t>i</w:t>
      </w:r>
      <w:r w:rsidRPr="00673728">
        <w:rPr>
          <w:b/>
          <w:bCs/>
          <w:vertAlign w:val="superscript"/>
          <w:lang w:val="fr-FR"/>
        </w:rPr>
        <w:t>e</w:t>
      </w:r>
      <w:proofErr w:type="spellEnd"/>
      <w:r>
        <w:rPr>
          <w:b/>
          <w:bCs/>
          <w:lang w:val="fr-FR"/>
        </w:rPr>
        <w:t> </w:t>
      </w:r>
      <w:r w:rsidRPr="00673728">
        <w:rPr>
          <w:b/>
          <w:bCs/>
          <w:lang w:val="fr-FR"/>
        </w:rPr>
        <w:t>fenêtre de calcul de</w:t>
      </w:r>
      <w:r w:rsidR="00CE1A05">
        <w:rPr>
          <w:b/>
          <w:bCs/>
          <w:lang w:val="fr-FR"/>
        </w:rPr>
        <w:t xml:space="preserve"> </w:t>
      </w:r>
      <w:r>
        <w:rPr>
          <w:b/>
          <w:bCs/>
          <w:lang w:val="fr-FR"/>
        </w:rPr>
        <w:t xml:space="preserve">la </w:t>
      </w:r>
      <w:r w:rsidRPr="00673728">
        <w:rPr>
          <w:b/>
          <w:bCs/>
          <w:lang w:val="fr-FR"/>
        </w:rPr>
        <w:t>moyenne</w:t>
      </w:r>
      <w:r w:rsidRPr="00E773DC">
        <w:rPr>
          <w:b/>
          <w:bCs/>
          <w:lang w:val="fr-FR" w:eastAsia="de-DE"/>
        </w:rPr>
        <w:t>, en kWh</w:t>
      </w:r>
      <w:r w:rsidR="00F72B31" w:rsidRPr="00F72B31">
        <w:rPr>
          <w:b/>
          <w:bCs/>
          <w:lang w:val="fr-FR" w:eastAsia="de-DE"/>
        </w:rPr>
        <w:t>.</w:t>
      </w:r>
    </w:p>
    <w:p w14:paraId="00943411"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1</w:t>
      </w:r>
      <w:r w:rsidRPr="00E773DC">
        <w:rPr>
          <w:b/>
          <w:bCs/>
          <w:lang w:val="fr-FR" w:eastAsia="de-DE"/>
        </w:rPr>
        <w:tab/>
        <w:t xml:space="preserve">Calcul des émissions spécifiques pour un carburant </w:t>
      </w:r>
      <w:r w:rsidRPr="00673728">
        <w:rPr>
          <w:b/>
          <w:bCs/>
          <w:lang w:val="fr-FR" w:eastAsia="de-DE"/>
        </w:rPr>
        <w:t>commercial déclaré</w:t>
      </w:r>
    </w:p>
    <w:p w14:paraId="509E14E4" w14:textId="77777777" w:rsidR="00B921D9" w:rsidRPr="00E773DC" w:rsidRDefault="00B921D9" w:rsidP="00B921D9">
      <w:pPr>
        <w:pStyle w:val="SingleTxtG"/>
        <w:ind w:left="2268"/>
        <w:rPr>
          <w:lang w:val="fr-FR" w:eastAsia="de-DE"/>
        </w:rPr>
      </w:pPr>
      <w:r w:rsidRPr="00E773DC">
        <w:rPr>
          <w:b/>
          <w:bCs/>
          <w:lang w:val="fr-FR" w:eastAsia="de-DE"/>
        </w:rPr>
        <w:t xml:space="preserve">Si un essai effectué conformément à la présente annexe a été réalisé avec un carburant </w:t>
      </w:r>
      <w:r w:rsidRPr="00673728">
        <w:rPr>
          <w:b/>
          <w:bCs/>
          <w:lang w:val="fr-FR" w:eastAsia="de-DE"/>
        </w:rPr>
        <w:t xml:space="preserve">commercial déclaré conformément </w:t>
      </w:r>
      <w:r w:rsidRPr="00E773DC">
        <w:rPr>
          <w:b/>
          <w:bCs/>
          <w:lang w:val="fr-FR" w:eastAsia="de-DE"/>
        </w:rPr>
        <w:t>au paragraphe 3</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 xml:space="preserve">1 de la </w:t>
      </w:r>
      <w:r w:rsidRPr="00673728">
        <w:rPr>
          <w:b/>
          <w:bCs/>
          <w:lang w:val="fr-FR" w:eastAsia="de-DE"/>
        </w:rPr>
        <w:t>première partie de l</w:t>
      </w:r>
      <w:r>
        <w:rPr>
          <w:b/>
          <w:bCs/>
          <w:lang w:val="fr-FR" w:eastAsia="de-DE"/>
        </w:rPr>
        <w:t>’</w:t>
      </w:r>
      <w:r w:rsidRPr="00673728">
        <w:rPr>
          <w:b/>
          <w:bCs/>
          <w:lang w:val="fr-FR" w:eastAsia="de-DE"/>
        </w:rPr>
        <w:t>annexe 1 du présent Règlement</w:t>
      </w:r>
      <w:r w:rsidRPr="00E773DC">
        <w:rPr>
          <w:b/>
          <w:bCs/>
          <w:lang w:val="fr-FR" w:eastAsia="de-DE"/>
        </w:rPr>
        <w:t xml:space="preserve">, les émissions spécifiques e (mg/kWh ou #/kWh) </w:t>
      </w:r>
      <w:r>
        <w:rPr>
          <w:b/>
          <w:bCs/>
          <w:lang w:val="fr-FR" w:eastAsia="de-DE"/>
        </w:rPr>
        <w:t>doivent être</w:t>
      </w:r>
      <w:r w:rsidRPr="00E773DC">
        <w:rPr>
          <w:b/>
          <w:bCs/>
          <w:lang w:val="fr-FR" w:eastAsia="de-DE"/>
        </w:rPr>
        <w:t xml:space="preserve"> calculées pour chaque fenêtre et chaque polluant en multipliant les émissions spécifiques déterminées conformément au paragraphe A</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1 par le facteur de correction de puissance déterminé conformément au paragraphe 4</w:t>
      </w:r>
      <w:r w:rsidR="00F72B31" w:rsidRPr="00F72B31">
        <w:rPr>
          <w:b/>
          <w:bCs/>
          <w:lang w:val="fr-FR" w:eastAsia="de-DE"/>
        </w:rPr>
        <w:t>.</w:t>
      </w:r>
      <w:r w:rsidRPr="00E773DC">
        <w:rPr>
          <w:b/>
          <w:bCs/>
          <w:lang w:val="fr-FR" w:eastAsia="de-DE"/>
        </w:rPr>
        <w:t>6</w:t>
      </w:r>
      <w:r w:rsidR="00F72B31" w:rsidRPr="00F72B31">
        <w:rPr>
          <w:b/>
          <w:bCs/>
          <w:lang w:val="fr-FR" w:eastAsia="de-DE"/>
        </w:rPr>
        <w:t>.</w:t>
      </w:r>
      <w:r w:rsidRPr="00E773DC">
        <w:rPr>
          <w:b/>
          <w:bCs/>
          <w:lang w:val="fr-FR" w:eastAsia="de-DE"/>
        </w:rPr>
        <w:t>2</w:t>
      </w:r>
      <w:r>
        <w:rPr>
          <w:b/>
          <w:bCs/>
          <w:lang w:val="fr-FR" w:eastAsia="de-DE"/>
        </w:rPr>
        <w:t> </w:t>
      </w:r>
      <w:r w:rsidRPr="00E773DC">
        <w:rPr>
          <w:b/>
          <w:bCs/>
          <w:lang w:val="fr-FR" w:eastAsia="de-DE"/>
        </w:rPr>
        <w:t>b) du présent Règlement</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5B9448D1" w14:textId="77777777" w:rsidR="00B921D9" w:rsidRPr="00E773DC" w:rsidRDefault="00B921D9" w:rsidP="00B921D9">
      <w:pPr>
        <w:pStyle w:val="SingleTxtG"/>
        <w:keepNext/>
        <w:rPr>
          <w:lang w:val="fr-FR" w:eastAsia="de-DE"/>
        </w:rPr>
      </w:pPr>
      <w:r w:rsidRPr="00E773DC">
        <w:rPr>
          <w:i/>
          <w:iCs/>
          <w:lang w:val="fr-FR" w:eastAsia="de-DE"/>
        </w:rPr>
        <w:t>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3</w:t>
      </w:r>
      <w:r w:rsidRPr="00E773DC">
        <w:rPr>
          <w:lang w:val="fr-FR" w:eastAsia="de-DE"/>
        </w:rPr>
        <w:t>, lire :</w:t>
      </w:r>
    </w:p>
    <w:p w14:paraId="62BA64FF" w14:textId="77777777" w:rsidR="00B921D9" w:rsidRPr="00E773DC" w:rsidRDefault="00B921D9" w:rsidP="00B921D9">
      <w:pPr>
        <w:pStyle w:val="ManualNumPar2"/>
        <w:keepNext/>
        <w:ind w:left="2268" w:right="1134" w:hanging="1134"/>
        <w:rPr>
          <w:noProof/>
          <w:kern w:val="32"/>
          <w:sz w:val="20"/>
          <w:szCs w:val="20"/>
          <w:lang w:val="fr-FR"/>
        </w:rPr>
      </w:pPr>
      <w:r w:rsidRPr="00E773DC">
        <w:rPr>
          <w:lang w:val="fr-FR"/>
        </w:rPr>
        <w:t>« </w:t>
      </w:r>
      <w:r w:rsidRPr="00E773DC">
        <w:rPr>
          <w:noProof/>
          <w:kern w:val="32"/>
          <w:sz w:val="20"/>
          <w:szCs w:val="20"/>
          <w:lang w:val="fr-FR"/>
        </w:rPr>
        <w:t>A</w:t>
      </w:r>
      <w:r w:rsidR="00F72B31" w:rsidRPr="00F72B31">
        <w:rPr>
          <w:noProof/>
          <w:kern w:val="32"/>
          <w:sz w:val="20"/>
          <w:szCs w:val="20"/>
          <w:lang w:val="fr-FR"/>
        </w:rPr>
        <w:t>.</w:t>
      </w:r>
      <w:r w:rsidRPr="00E773DC">
        <w:rPr>
          <w:noProof/>
          <w:kern w:val="32"/>
          <w:sz w:val="20"/>
          <w:szCs w:val="20"/>
          <w:lang w:val="fr-FR"/>
        </w:rPr>
        <w:t>1</w:t>
      </w:r>
      <w:r w:rsidR="00F72B31" w:rsidRPr="00F72B31">
        <w:rPr>
          <w:noProof/>
          <w:kern w:val="32"/>
          <w:sz w:val="20"/>
          <w:szCs w:val="20"/>
          <w:lang w:val="fr-FR"/>
        </w:rPr>
        <w:t>.</w:t>
      </w:r>
      <w:r w:rsidRPr="00E773DC">
        <w:rPr>
          <w:noProof/>
          <w:kern w:val="32"/>
          <w:sz w:val="20"/>
          <w:szCs w:val="20"/>
          <w:lang w:val="fr-FR"/>
        </w:rPr>
        <w:t>4</w:t>
      </w:r>
      <w:r w:rsidR="00F72B31" w:rsidRPr="00F72B31">
        <w:rPr>
          <w:noProof/>
          <w:kern w:val="32"/>
          <w:sz w:val="20"/>
          <w:szCs w:val="20"/>
          <w:lang w:val="fr-FR"/>
        </w:rPr>
        <w:t>.</w:t>
      </w:r>
      <w:r w:rsidRPr="00E773DC">
        <w:rPr>
          <w:noProof/>
          <w:kern w:val="32"/>
          <w:sz w:val="20"/>
          <w:szCs w:val="20"/>
          <w:lang w:val="fr-FR"/>
        </w:rPr>
        <w:t>2</w:t>
      </w:r>
      <w:r w:rsidR="00F72B31" w:rsidRPr="00F72B31">
        <w:rPr>
          <w:noProof/>
          <w:kern w:val="32"/>
          <w:sz w:val="20"/>
          <w:szCs w:val="20"/>
          <w:lang w:val="fr-FR"/>
        </w:rPr>
        <w:t>.</w:t>
      </w:r>
      <w:r w:rsidRPr="00E773DC">
        <w:rPr>
          <w:noProof/>
          <w:kern w:val="32"/>
          <w:sz w:val="20"/>
          <w:szCs w:val="20"/>
          <w:lang w:val="fr-FR"/>
        </w:rPr>
        <w:t>3</w:t>
      </w:r>
      <w:r w:rsidR="00CE1A05">
        <w:rPr>
          <w:noProof/>
          <w:kern w:val="32"/>
          <w:sz w:val="20"/>
          <w:szCs w:val="20"/>
          <w:lang w:val="fr-FR"/>
        </w:rPr>
        <w:tab/>
      </w:r>
      <w:r w:rsidRPr="00E773DC">
        <w:rPr>
          <w:noProof/>
          <w:kern w:val="32"/>
          <w:sz w:val="20"/>
          <w:szCs w:val="20"/>
          <w:lang w:val="fr-FR"/>
        </w:rPr>
        <w:t>Calcul des facteurs de conformité</w:t>
      </w:r>
    </w:p>
    <w:p w14:paraId="23C17A22" w14:textId="77777777" w:rsidR="00B921D9" w:rsidRPr="00E773DC" w:rsidRDefault="00B921D9" w:rsidP="00B921D9">
      <w:pPr>
        <w:pStyle w:val="ManualNumPar2"/>
        <w:keepNext/>
        <w:ind w:left="2268" w:right="1134" w:firstLine="0"/>
        <w:rPr>
          <w:noProof/>
          <w:sz w:val="20"/>
          <w:szCs w:val="20"/>
          <w:lang w:val="fr-FR"/>
        </w:rPr>
      </w:pPr>
      <w:r w:rsidRPr="00673728">
        <w:rPr>
          <w:noProof/>
          <w:sz w:val="20"/>
          <w:lang w:val="fr-FR"/>
        </w:rPr>
        <w:t>Les facteurs de conformité doivent être calculés pour chaque fenêtre valide individuelle et chaque polluant individuel de la manière suivante</w:t>
      </w:r>
      <w:r w:rsidRPr="00E773DC">
        <w:rPr>
          <w:noProof/>
          <w:sz w:val="20"/>
          <w:lang w:val="fr-FR"/>
        </w:rPr>
        <w:t> :</w:t>
      </w:r>
    </w:p>
    <w:p w14:paraId="5077289E" w14:textId="77777777" w:rsidR="00B921D9" w:rsidRPr="00485EFD" w:rsidRDefault="00485EFD" w:rsidP="00B921D9">
      <w:pPr>
        <w:pStyle w:val="ManualNumPar2"/>
        <w:keepNext/>
        <w:ind w:left="2268" w:right="1134" w:firstLine="0"/>
        <w:rPr>
          <w:noProof/>
          <w:sz w:val="20"/>
          <w:lang w:val="fr-FR"/>
        </w:rPr>
      </w:pPr>
      <m:oMathPara>
        <m:oMathParaPr>
          <m:jc m:val="left"/>
        </m:oMathParaPr>
        <m:oMath>
          <m:r>
            <m:rPr>
              <m:sty m:val="p"/>
            </m:rPr>
            <w:rPr>
              <w:rFonts w:ascii="Cambria Math" w:hAnsi="Cambria Math"/>
              <w:noProof/>
              <w:sz w:val="20"/>
              <w:lang w:val="fr-FR"/>
            </w:rPr>
            <m:t>CF=</m:t>
          </m:r>
          <m:f>
            <m:fPr>
              <m:ctrlPr>
                <w:rPr>
                  <w:rFonts w:ascii="Cambria Math" w:hAnsi="Cambria Math"/>
                  <w:iCs/>
                  <w:noProof/>
                  <w:sz w:val="20"/>
                  <w:lang w:val="fr-FR"/>
                </w:rPr>
              </m:ctrlPr>
            </m:fPr>
            <m:num>
              <m:r>
                <m:rPr>
                  <m:sty m:val="p"/>
                </m:rPr>
                <w:rPr>
                  <w:rFonts w:ascii="Cambria Math" w:hAnsi="Cambria Math"/>
                  <w:noProof/>
                  <w:sz w:val="20"/>
                  <w:lang w:val="fr-FR"/>
                </w:rPr>
                <m:t>e</m:t>
              </m:r>
            </m:num>
            <m:den>
              <m:r>
                <m:rPr>
                  <m:sty m:val="p"/>
                </m:rPr>
                <w:rPr>
                  <w:rFonts w:ascii="Cambria Math" w:hAnsi="Cambria Math"/>
                  <w:noProof/>
                  <w:sz w:val="20"/>
                  <w:lang w:val="fr-FR"/>
                </w:rPr>
                <m:t>L</m:t>
              </m:r>
            </m:den>
          </m:f>
        </m:oMath>
      </m:oMathPara>
    </w:p>
    <w:p w14:paraId="065E0D12" w14:textId="77777777" w:rsidR="00B921D9" w:rsidRPr="00E773DC" w:rsidRDefault="00B921D9" w:rsidP="00B921D9">
      <w:pPr>
        <w:pStyle w:val="ManualNumPar2"/>
        <w:keepNext/>
        <w:ind w:left="2268" w:right="1134" w:firstLine="0"/>
        <w:rPr>
          <w:noProof/>
          <w:sz w:val="20"/>
          <w:lang w:val="fr-FR"/>
        </w:rPr>
      </w:pPr>
      <w:r w:rsidRPr="00E773DC">
        <w:rPr>
          <w:noProof/>
          <w:sz w:val="20"/>
          <w:lang w:val="fr-FR"/>
        </w:rPr>
        <w:t>Où :</w:t>
      </w:r>
    </w:p>
    <w:p w14:paraId="61280C95" w14:textId="77777777" w:rsidR="00B921D9" w:rsidRPr="00E773DC" w:rsidRDefault="00B921D9" w:rsidP="00B921D9">
      <w:pPr>
        <w:pStyle w:val="ManualNumPar2"/>
        <w:keepNext/>
        <w:ind w:left="2268" w:right="1134" w:firstLine="0"/>
        <w:rPr>
          <w:strike/>
          <w:noProof/>
          <w:sz w:val="20"/>
          <w:lang w:val="fr-FR"/>
        </w:rPr>
      </w:pPr>
      <w:r w:rsidRPr="00E773DC">
        <w:rPr>
          <w:i/>
          <w:strike/>
          <w:noProof/>
          <w:sz w:val="20"/>
          <w:lang w:val="fr-FR"/>
        </w:rPr>
        <w:t>e</w:t>
      </w:r>
      <w:r w:rsidRPr="00E773DC">
        <w:rPr>
          <w:strike/>
          <w:noProof/>
          <w:sz w:val="20"/>
          <w:lang w:val="fr-FR"/>
        </w:rPr>
        <w:tab/>
        <w:t>est l</w:t>
      </w:r>
      <w:r>
        <w:rPr>
          <w:strike/>
          <w:noProof/>
          <w:sz w:val="20"/>
          <w:lang w:val="fr-FR"/>
        </w:rPr>
        <w:t>’</w:t>
      </w:r>
      <w:r w:rsidRPr="00E773DC">
        <w:rPr>
          <w:strike/>
          <w:noProof/>
          <w:sz w:val="20"/>
          <w:lang w:val="fr-FR"/>
        </w:rPr>
        <w:t>émission spécifique au frein du composant, en mg/kWh ;</w:t>
      </w:r>
    </w:p>
    <w:p w14:paraId="58778DF0" w14:textId="77777777" w:rsidR="00B921D9" w:rsidRPr="00E773DC" w:rsidRDefault="00B921D9" w:rsidP="00B921D9">
      <w:pPr>
        <w:pStyle w:val="ManualNumPar2"/>
        <w:keepNext/>
        <w:ind w:left="2268" w:right="1134" w:firstLine="0"/>
        <w:rPr>
          <w:strike/>
          <w:noProof/>
          <w:sz w:val="20"/>
          <w:szCs w:val="20"/>
          <w:lang w:val="fr-FR"/>
        </w:rPr>
      </w:pPr>
      <w:r w:rsidRPr="00E773DC">
        <w:rPr>
          <w:strike/>
          <w:noProof/>
          <w:lang w:val="fr-FR"/>
        </w:rPr>
        <w:t>L</w:t>
      </w:r>
      <w:r w:rsidRPr="00E773DC">
        <w:rPr>
          <w:strike/>
          <w:noProof/>
          <w:lang w:val="fr-FR"/>
        </w:rPr>
        <w:tab/>
      </w:r>
      <w:r w:rsidRPr="00E773DC">
        <w:rPr>
          <w:strike/>
          <w:noProof/>
          <w:sz w:val="20"/>
          <w:szCs w:val="20"/>
          <w:lang w:val="fr-FR"/>
        </w:rPr>
        <w:t>est la limite applicable, en mg/kWh</w:t>
      </w:r>
      <w:r w:rsidR="00F72B31" w:rsidRPr="00F72B31">
        <w:rPr>
          <w:strike/>
          <w:noProof/>
          <w:sz w:val="20"/>
          <w:szCs w:val="20"/>
          <w:lang w:val="fr-FR"/>
        </w:rPr>
        <w:t>.</w:t>
      </w:r>
    </w:p>
    <w:p w14:paraId="7D8D19E8" w14:textId="77777777" w:rsidR="00B921D9" w:rsidRPr="00E773DC" w:rsidRDefault="00B921D9" w:rsidP="00B921D9">
      <w:pPr>
        <w:pStyle w:val="SingleTxtG"/>
        <w:ind w:left="2835" w:hanging="567"/>
        <w:rPr>
          <w:b/>
          <w:bCs/>
          <w:lang w:val="fr-FR" w:eastAsia="de-DE"/>
        </w:rPr>
      </w:pPr>
      <w:r w:rsidRPr="00C9172A">
        <w:rPr>
          <w:b/>
          <w:bCs/>
          <w:iCs/>
          <w:noProof/>
          <w:lang w:val="fr-FR"/>
        </w:rPr>
        <w:t>e</w:t>
      </w:r>
      <w:r w:rsidRPr="00E773DC">
        <w:rPr>
          <w:b/>
          <w:bCs/>
          <w:lang w:val="fr-FR" w:eastAsia="de-DE"/>
        </w:rPr>
        <w:tab/>
        <w:t>est l</w:t>
      </w:r>
      <w:r>
        <w:rPr>
          <w:b/>
          <w:bCs/>
          <w:lang w:val="fr-FR" w:eastAsia="de-DE"/>
        </w:rPr>
        <w:t>’</w:t>
      </w:r>
      <w:r w:rsidRPr="00E773DC">
        <w:rPr>
          <w:b/>
          <w:bCs/>
          <w:lang w:val="fr-FR" w:eastAsia="de-DE"/>
        </w:rPr>
        <w:t xml:space="preserve">émission spécifique au </w:t>
      </w:r>
      <w:r>
        <w:rPr>
          <w:b/>
          <w:bCs/>
          <w:lang w:val="fr-FR" w:eastAsia="de-DE"/>
        </w:rPr>
        <w:t>banc</w:t>
      </w:r>
      <w:r w:rsidRPr="00E773DC">
        <w:rPr>
          <w:b/>
          <w:bCs/>
          <w:lang w:val="fr-FR" w:eastAsia="de-DE"/>
        </w:rPr>
        <w:t xml:space="preserve"> du polluant gazeux, en mg/kWh ou</w:t>
      </w:r>
      <w:r>
        <w:rPr>
          <w:b/>
          <w:bCs/>
          <w:lang w:val="fr-FR" w:eastAsia="de-DE"/>
        </w:rPr>
        <w:t xml:space="preserve"> en</w:t>
      </w:r>
      <w:r w:rsidRPr="00E773DC">
        <w:rPr>
          <w:b/>
          <w:bCs/>
          <w:lang w:val="fr-FR" w:eastAsia="de-DE"/>
        </w:rPr>
        <w:t xml:space="preserve"> #/kWh ;</w:t>
      </w:r>
    </w:p>
    <w:p w14:paraId="2927E4CD" w14:textId="77777777" w:rsidR="00B921D9" w:rsidRPr="00E773DC" w:rsidRDefault="00B921D9" w:rsidP="00B921D9">
      <w:pPr>
        <w:pStyle w:val="SingleTxtG"/>
        <w:ind w:left="2835" w:hanging="567"/>
        <w:rPr>
          <w:lang w:val="fr-FR" w:eastAsia="de-DE"/>
        </w:rPr>
      </w:pPr>
      <w:r w:rsidRPr="00C9172A">
        <w:rPr>
          <w:b/>
          <w:bCs/>
          <w:lang w:val="fr-FR" w:eastAsia="de-DE"/>
        </w:rPr>
        <w:t>L</w:t>
      </w:r>
      <w:r w:rsidRPr="00E773DC">
        <w:rPr>
          <w:b/>
          <w:bCs/>
          <w:lang w:val="fr-FR" w:eastAsia="de-DE"/>
        </w:rPr>
        <w:tab/>
        <w:t xml:space="preserve">est la limite applicable, </w:t>
      </w:r>
      <w:r w:rsidRPr="009D6949">
        <w:rPr>
          <w:b/>
          <w:bCs/>
          <w:lang w:val="fr-FR" w:eastAsia="de-DE"/>
        </w:rPr>
        <w:t>en mg/kWh ou en #/kWh</w:t>
      </w:r>
      <w:r w:rsidR="00F72B31" w:rsidRPr="00F72B31">
        <w:rPr>
          <w:b/>
          <w:bCs/>
          <w:lang w:val="fr-FR" w:eastAsia="de-DE"/>
        </w:rPr>
        <w:t>.</w:t>
      </w:r>
      <w:r w:rsidRPr="00E773DC">
        <w:rPr>
          <w:lang w:val="fr-FR" w:eastAsia="de-DE"/>
        </w:rPr>
        <w:t> »</w:t>
      </w:r>
      <w:r w:rsidR="00F72B31" w:rsidRPr="00F72B31">
        <w:rPr>
          <w:lang w:val="fr-FR" w:eastAsia="de-DE"/>
        </w:rPr>
        <w:t>.</w:t>
      </w:r>
    </w:p>
    <w:p w14:paraId="7A814856" w14:textId="77777777" w:rsidR="00B921D9" w:rsidRPr="00E773DC" w:rsidRDefault="003C13B5" w:rsidP="00B921D9">
      <w:pPr>
        <w:pStyle w:val="SingleTxtG"/>
        <w:keepNext/>
        <w:rPr>
          <w:lang w:val="fr-FR" w:eastAsia="de-DE"/>
        </w:rPr>
      </w:pPr>
      <w:r>
        <w:rPr>
          <w:i/>
          <w:iCs/>
          <w:noProof/>
          <w:lang w:val="fr-FR" w:eastAsia="de-DE"/>
        </w:rPr>
        <w:lastRenderedPageBreak/>
        <mc:AlternateContent>
          <mc:Choice Requires="wpc">
            <w:drawing>
              <wp:anchor distT="0" distB="0" distL="114300" distR="114300" simplePos="0" relativeHeight="252209664" behindDoc="0" locked="0" layoutInCell="1" allowOverlap="1" wp14:anchorId="456D9C7B" wp14:editId="1918E6E3">
                <wp:simplePos x="0" y="0"/>
                <wp:positionH relativeFrom="column">
                  <wp:posOffset>-720090</wp:posOffset>
                </wp:positionH>
                <wp:positionV relativeFrom="paragraph">
                  <wp:posOffset>-899795</wp:posOffset>
                </wp:positionV>
                <wp:extent cx="192405" cy="251460"/>
                <wp:effectExtent l="0" t="0" r="0" b="0"/>
                <wp:wrapNone/>
                <wp:docPr id="198" name="Zone de dessin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6" name="Rectangle 5"/>
                        <wps:cNvSpPr>
                          <a:spLocks noChangeArrowheads="1"/>
                        </wps:cNvSpPr>
                        <wps:spPr bwMode="auto">
                          <a:xfrm>
                            <a:off x="121285" y="9906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2739" w14:textId="77777777" w:rsidR="003C13B5" w:rsidRDefault="003C13B5">
                              <w:r>
                                <w:rPr>
                                  <w:i/>
                                  <w:iCs/>
                                  <w:color w:val="000000"/>
                                  <w:sz w:val="12"/>
                                  <w:szCs w:val="12"/>
                                  <w:lang w:val="en-US"/>
                                </w:rPr>
                                <w:t>L</w:t>
                              </w:r>
                            </w:p>
                          </w:txbxContent>
                        </wps:txbx>
                        <wps:bodyPr rot="0" vert="horz" wrap="none" lIns="0" tIns="0" rIns="0" bIns="0" anchor="t" anchorCtr="0">
                          <a:spAutoFit/>
                        </wps:bodyPr>
                      </wps:wsp>
                      <wps:wsp>
                        <wps:cNvPr id="197" name="Rectangle 6"/>
                        <wps:cNvSpPr>
                          <a:spLocks noChangeArrowheads="1"/>
                        </wps:cNvSpPr>
                        <wps:spPr bwMode="auto">
                          <a:xfrm>
                            <a:off x="20320" y="15240"/>
                            <a:ext cx="92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2B5B" w14:textId="77777777" w:rsidR="003C13B5" w:rsidRDefault="003C13B5">
                              <w:r>
                                <w:rPr>
                                  <w:i/>
                                  <w:iCs/>
                                  <w:color w:val="000000"/>
                                  <w:lang w:val="en-US"/>
                                </w:rPr>
                                <w:t>m</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56D9C7B" id="Zone de dessin 198" o:spid="_x0000_s1026" editas="canvas" style="position:absolute;left:0;text-align:left;margin-left:-56.7pt;margin-top:-70.85pt;width:15.15pt;height:19.8pt;z-index:252209664" coordsize="19240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">
                <v:shape id="_x0000_s1027" type="#_x0000_t75" style="position:absolute;width:192405;height:251460;visibility:visible;mso-wrap-style:square">
                  <v:fill o:detectmouseclick="t"/>
                  <v:path o:connecttype="none"/>
                </v:shape>
                <v:rect id="Rectangle 5" o:spid="_x0000_s1028" style="position:absolute;left:121285;top:99060;width:4254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CF32739" w14:textId="77777777" w:rsidR="003C13B5" w:rsidRDefault="003C13B5">
                        <w:r>
                          <w:rPr>
                            <w:i/>
                            <w:iCs/>
                            <w:color w:val="000000"/>
                            <w:sz w:val="12"/>
                            <w:szCs w:val="12"/>
                            <w:lang w:val="en-US"/>
                          </w:rPr>
                          <w:t>L</w:t>
                        </w:r>
                      </w:p>
                    </w:txbxContent>
                  </v:textbox>
                </v:rect>
                <v:rect id="Rectangle 6" o:spid="_x0000_s1029" style="position:absolute;left:20320;top:15240;width:92075;height:15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38342B5B" w14:textId="77777777" w:rsidR="003C13B5" w:rsidRDefault="003C13B5">
                        <w:r>
                          <w:rPr>
                            <w:i/>
                            <w:iCs/>
                            <w:color w:val="000000"/>
                            <w:lang w:val="en-US"/>
                          </w:rPr>
                          <w:t>m</w:t>
                        </w:r>
                      </w:p>
                    </w:txbxContent>
                  </v:textbox>
                </v:rect>
              </v:group>
            </w:pict>
          </mc:Fallback>
        </mc:AlternateContent>
      </w:r>
      <w:r w:rsidR="00B921D9" w:rsidRPr="00E773DC">
        <w:rPr>
          <w:i/>
          <w:iCs/>
          <w:lang w:val="fr-FR" w:eastAsia="de-DE"/>
        </w:rPr>
        <w:t>Paragraphe A</w:t>
      </w:r>
      <w:r w:rsidR="00F72B31" w:rsidRPr="00F72B31">
        <w:rPr>
          <w:i/>
          <w:iCs/>
          <w:lang w:val="fr-FR" w:eastAsia="de-DE"/>
        </w:rPr>
        <w:t>.</w:t>
      </w:r>
      <w:r w:rsidR="00B921D9" w:rsidRPr="00E773DC">
        <w:rPr>
          <w:i/>
          <w:iCs/>
          <w:lang w:val="fr-FR" w:eastAsia="de-DE"/>
        </w:rPr>
        <w:t>1</w:t>
      </w:r>
      <w:r w:rsidR="00F72B31" w:rsidRPr="00F72B31">
        <w:rPr>
          <w:i/>
          <w:iCs/>
          <w:lang w:val="fr-FR" w:eastAsia="de-DE"/>
        </w:rPr>
        <w:t>.</w:t>
      </w:r>
      <w:r w:rsidR="00B921D9" w:rsidRPr="00E773DC">
        <w:rPr>
          <w:i/>
          <w:iCs/>
          <w:lang w:val="fr-FR" w:eastAsia="de-DE"/>
        </w:rPr>
        <w:t>4</w:t>
      </w:r>
      <w:r w:rsidR="00F72B31" w:rsidRPr="00F72B31">
        <w:rPr>
          <w:i/>
          <w:iCs/>
          <w:lang w:val="fr-FR" w:eastAsia="de-DE"/>
        </w:rPr>
        <w:t>.</w:t>
      </w:r>
      <w:r w:rsidR="00B921D9" w:rsidRPr="00E773DC">
        <w:rPr>
          <w:i/>
          <w:iCs/>
          <w:lang w:val="fr-FR" w:eastAsia="de-DE"/>
        </w:rPr>
        <w:t>3</w:t>
      </w:r>
      <w:r w:rsidR="00F72B31" w:rsidRPr="00F72B31">
        <w:rPr>
          <w:i/>
          <w:iCs/>
          <w:lang w:val="fr-FR" w:eastAsia="de-DE"/>
        </w:rPr>
        <w:t>.</w:t>
      </w:r>
      <w:r w:rsidR="00B921D9" w:rsidRPr="00E773DC">
        <w:rPr>
          <w:i/>
          <w:iCs/>
          <w:lang w:val="fr-FR" w:eastAsia="de-DE"/>
        </w:rPr>
        <w:t>2</w:t>
      </w:r>
      <w:r w:rsidR="00B921D9" w:rsidRPr="00E773DC">
        <w:rPr>
          <w:lang w:val="fr-FR" w:eastAsia="de-DE"/>
        </w:rPr>
        <w:t>, lire :</w:t>
      </w:r>
    </w:p>
    <w:p w14:paraId="4CC11077" w14:textId="77777777" w:rsidR="00B921D9" w:rsidRPr="00E773DC" w:rsidRDefault="00B921D9" w:rsidP="00B921D9">
      <w:pPr>
        <w:pStyle w:val="ManualNumPar2"/>
        <w:ind w:left="2268" w:right="1134" w:hanging="1134"/>
        <w:rPr>
          <w:noProof/>
          <w:kern w:val="32"/>
          <w:sz w:val="20"/>
          <w:szCs w:val="20"/>
          <w:lang w:val="fr-FR"/>
        </w:rPr>
      </w:pPr>
      <w:r w:rsidRPr="00E773DC">
        <w:rPr>
          <w:lang w:val="fr-FR"/>
        </w:rPr>
        <w:t>« </w:t>
      </w:r>
      <w:r w:rsidRPr="00E773DC">
        <w:rPr>
          <w:noProof/>
          <w:kern w:val="32"/>
          <w:sz w:val="20"/>
          <w:szCs w:val="20"/>
          <w:lang w:val="fr-FR"/>
        </w:rPr>
        <w:t>A</w:t>
      </w:r>
      <w:r w:rsidR="00F72B31" w:rsidRPr="00F72B31">
        <w:rPr>
          <w:noProof/>
          <w:kern w:val="32"/>
          <w:sz w:val="20"/>
          <w:szCs w:val="20"/>
          <w:lang w:val="fr-FR"/>
        </w:rPr>
        <w:t>.</w:t>
      </w:r>
      <w:r w:rsidRPr="00E773DC">
        <w:rPr>
          <w:noProof/>
          <w:kern w:val="32"/>
          <w:sz w:val="20"/>
          <w:szCs w:val="20"/>
          <w:lang w:val="fr-FR"/>
        </w:rPr>
        <w:t>1</w:t>
      </w:r>
      <w:r w:rsidR="00F72B31" w:rsidRPr="00F72B31">
        <w:rPr>
          <w:noProof/>
          <w:kern w:val="32"/>
          <w:sz w:val="20"/>
          <w:szCs w:val="20"/>
          <w:lang w:val="fr-FR"/>
        </w:rPr>
        <w:t>.</w:t>
      </w:r>
      <w:r w:rsidRPr="00E773DC">
        <w:rPr>
          <w:noProof/>
          <w:kern w:val="32"/>
          <w:sz w:val="20"/>
          <w:szCs w:val="20"/>
          <w:lang w:val="fr-FR"/>
        </w:rPr>
        <w:t>4</w:t>
      </w:r>
      <w:r w:rsidR="00F72B31" w:rsidRPr="00F72B31">
        <w:rPr>
          <w:noProof/>
          <w:kern w:val="32"/>
          <w:sz w:val="20"/>
          <w:szCs w:val="20"/>
          <w:lang w:val="fr-FR"/>
        </w:rPr>
        <w:t>.</w:t>
      </w:r>
      <w:r w:rsidRPr="00E773DC">
        <w:rPr>
          <w:noProof/>
          <w:kern w:val="32"/>
          <w:sz w:val="20"/>
          <w:szCs w:val="20"/>
          <w:lang w:val="fr-FR"/>
        </w:rPr>
        <w:t>3</w:t>
      </w:r>
      <w:r w:rsidR="00F72B31" w:rsidRPr="00F72B31">
        <w:rPr>
          <w:noProof/>
          <w:kern w:val="32"/>
          <w:sz w:val="20"/>
          <w:szCs w:val="20"/>
          <w:lang w:val="fr-FR"/>
        </w:rPr>
        <w:t>.</w:t>
      </w:r>
      <w:r w:rsidRPr="00E773DC">
        <w:rPr>
          <w:noProof/>
          <w:kern w:val="32"/>
          <w:sz w:val="20"/>
          <w:szCs w:val="20"/>
          <w:lang w:val="fr-FR"/>
        </w:rPr>
        <w:t>2</w:t>
      </w:r>
      <w:r w:rsidRPr="00E773DC">
        <w:rPr>
          <w:noProof/>
          <w:kern w:val="32"/>
          <w:sz w:val="20"/>
          <w:szCs w:val="20"/>
          <w:lang w:val="fr-FR"/>
        </w:rPr>
        <w:tab/>
        <w:t>Calcul des facteurs de conformité</w:t>
      </w:r>
    </w:p>
    <w:p w14:paraId="25A17D93" w14:textId="77777777" w:rsidR="00B921D9" w:rsidRPr="00E773DC" w:rsidRDefault="00B921D9" w:rsidP="00B921D9">
      <w:pPr>
        <w:pStyle w:val="Text1"/>
        <w:ind w:left="2268" w:right="1134"/>
        <w:rPr>
          <w:noProof/>
          <w:sz w:val="20"/>
          <w:lang w:val="fr-FR"/>
        </w:rPr>
      </w:pPr>
      <w:r w:rsidRPr="003C13B5">
        <w:rPr>
          <w:noProof/>
          <w:sz w:val="20"/>
          <w:lang w:val="fr-FR"/>
        </w:rPr>
        <w:t>Les facteurs de conformité doivent être calculés pour chaque fenêtre individuelle et chaque polluant individuel de la manière suivante :</w:t>
      </w:r>
    </w:p>
    <w:p w14:paraId="3F5B29CC" w14:textId="77777777" w:rsidR="00B921D9" w:rsidRPr="00485EFD" w:rsidRDefault="00485EFD" w:rsidP="00485EFD">
      <w:pPr>
        <w:pStyle w:val="ManualNumPar2"/>
        <w:keepNext/>
        <w:ind w:left="2268" w:right="1134" w:firstLine="0"/>
        <w:rPr>
          <w:iCs/>
          <w:noProof/>
          <w:sz w:val="20"/>
          <w:lang w:val="fr-FR"/>
        </w:rPr>
      </w:pPr>
      <m:oMathPara>
        <m:oMathParaPr>
          <m:jc m:val="left"/>
        </m:oMathParaPr>
        <m:oMath>
          <m:r>
            <m:rPr>
              <m:sty m:val="p"/>
            </m:rPr>
            <w:rPr>
              <w:rFonts w:ascii="Cambria Math" w:hAnsi="Cambria Math"/>
              <w:noProof/>
              <w:sz w:val="20"/>
              <w:lang w:val="fr-FR"/>
            </w:rPr>
            <m:t>CF=</m:t>
          </m:r>
          <m:f>
            <m:fPr>
              <m:ctrlPr>
                <w:rPr>
                  <w:rFonts w:ascii="Cambria Math" w:hAnsi="Cambria Math"/>
                  <w:iCs/>
                  <w:noProof/>
                  <w:sz w:val="20"/>
                  <w:lang w:val="fr-FR"/>
                </w:rPr>
              </m:ctrlPr>
            </m:fPr>
            <m:num>
              <m:sSub>
                <m:sSubPr>
                  <m:ctrlPr>
                    <w:rPr>
                      <w:rFonts w:ascii="Cambria Math" w:hAnsi="Cambria Math"/>
                      <w:iCs/>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I</m:t>
                  </m:r>
                </m:sub>
              </m:sSub>
            </m:num>
            <m:den>
              <m:sSub>
                <m:sSubPr>
                  <m:ctrlPr>
                    <w:rPr>
                      <w:rFonts w:ascii="Cambria Math" w:hAnsi="Cambria Math"/>
                      <w:iCs/>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C</m:t>
                  </m:r>
                </m:sub>
              </m:sSub>
            </m:den>
          </m:f>
        </m:oMath>
      </m:oMathPara>
    </w:p>
    <w:p w14:paraId="275F5632" w14:textId="77777777" w:rsidR="00B921D9" w:rsidRPr="009D6949" w:rsidRDefault="00B921D9" w:rsidP="00B921D9">
      <w:pPr>
        <w:pStyle w:val="Text1"/>
        <w:ind w:left="2268" w:right="1134"/>
        <w:rPr>
          <w:noProof/>
          <w:sz w:val="20"/>
          <w:lang w:val="fr-FR"/>
        </w:rPr>
      </w:pPr>
      <w:r w:rsidRPr="003A716A">
        <w:rPr>
          <w:strike/>
          <w:noProof/>
          <w:sz w:val="20"/>
          <w:lang w:val="fr-FR"/>
        </w:rPr>
        <w:t>avec</w:t>
      </w:r>
      <w:r w:rsidRPr="003C13B5">
        <w:rPr>
          <w:strike/>
          <w:noProof/>
          <w:sz w:val="20"/>
          <w:lang w:val="fr-FR"/>
        </w:rPr>
        <w:t xml:space="preserve"> </w:t>
      </w:r>
      <w:r w:rsidRPr="003A716A">
        <w:rPr>
          <w:b/>
          <w:bCs/>
          <w:noProof/>
          <w:sz w:val="20"/>
          <w:lang w:val="fr-FR"/>
        </w:rPr>
        <w:t>où</w:t>
      </w:r>
      <w:r>
        <w:rPr>
          <w:noProof/>
          <w:sz w:val="20"/>
          <w:lang w:val="fr-FR"/>
        </w:rPr>
        <w:t> :</w:t>
      </w:r>
    </w:p>
    <w:p w14:paraId="0F7A82E6" w14:textId="77777777" w:rsidR="00B921D9" w:rsidRPr="00E773DC" w:rsidRDefault="00485EFD" w:rsidP="00485EFD">
      <w:pPr>
        <w:pStyle w:val="ManualNumPar2"/>
        <w:keepNext/>
        <w:ind w:left="2268" w:right="1134" w:firstLine="0"/>
        <w:rPr>
          <w:noProof/>
          <w:sz w:val="20"/>
          <w:lang w:val="fr-FR"/>
        </w:rPr>
      </w:pPr>
      <m:oMath>
        <m:sSub>
          <m:sSubPr>
            <m:ctrlPr>
              <w:rPr>
                <w:rFonts w:ascii="Cambria Math" w:hAnsi="Cambria Math"/>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I</m:t>
            </m:r>
          </m:sub>
        </m:sSub>
        <m:r>
          <m:rPr>
            <m:sty m:val="p"/>
          </m:rPr>
          <w:rPr>
            <w:rFonts w:ascii="Cambria Math" w:hAnsi="Cambria Math"/>
            <w:noProof/>
            <w:sz w:val="20"/>
            <w:lang w:val="fr-FR"/>
          </w:rPr>
          <m:t>=</m:t>
        </m:r>
        <m:f>
          <m:fPr>
            <m:ctrlPr>
              <w:rPr>
                <w:rFonts w:ascii="Cambria Math" w:hAnsi="Cambria Math"/>
                <w:noProof/>
                <w:sz w:val="20"/>
                <w:lang w:val="fr-FR"/>
              </w:rPr>
            </m:ctrlPr>
          </m:fPr>
          <m:num>
            <m:r>
              <m:rPr>
                <m:sty m:val="p"/>
              </m:rPr>
              <w:rPr>
                <w:rFonts w:ascii="Cambria Math" w:hAnsi="Cambria Math"/>
                <w:noProof/>
                <w:sz w:val="20"/>
                <w:lang w:val="fr-FR"/>
              </w:rPr>
              <m:t>m</m:t>
            </m:r>
          </m:num>
          <m:den>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CO2</m:t>
                </m:r>
              </m:sub>
            </m:sSub>
            <m:d>
              <m:dPr>
                <m:ctrlPr>
                  <w:rPr>
                    <w:rFonts w:ascii="Cambria Math" w:hAnsi="Cambria Math"/>
                    <w:bCs/>
                    <w:lang w:val="fr-FR"/>
                  </w:rPr>
                </m:ctrlPr>
              </m:dPr>
              <m:e>
                <m:sSub>
                  <m:sSubPr>
                    <m:ctrlPr>
                      <w:rPr>
                        <w:rFonts w:ascii="Cambria Math" w:eastAsiaTheme="minorHAnsi" w:hAnsi="Cambria Math"/>
                        <w:bCs/>
                        <w:sz w:val="20"/>
                        <w:szCs w:val="20"/>
                        <w:lang w:val="fr-FR"/>
                      </w:rPr>
                    </m:ctrlPr>
                  </m:sSubPr>
                  <m:e>
                    <m:r>
                      <m:rPr>
                        <m:sty m:val="p"/>
                      </m:rPr>
                      <w:rPr>
                        <w:rFonts w:ascii="Cambria Math" w:hAnsi="Cambria Math"/>
                        <w:lang w:val="fr-FR"/>
                      </w:rPr>
                      <m:t>t</m:t>
                    </m:r>
                  </m:e>
                  <m:sub>
                    <m:r>
                      <m:rPr>
                        <m:sty m:val="p"/>
                      </m:rPr>
                      <w:rPr>
                        <w:rFonts w:ascii="Cambria Math" w:hAnsi="Cambria Math"/>
                        <w:lang w:val="fr-FR"/>
                      </w:rPr>
                      <m:t>2, i</m:t>
                    </m:r>
                  </m:sub>
                </m:sSub>
              </m:e>
            </m:d>
            <m:r>
              <m:rPr>
                <m:sty m:val="p"/>
              </m:rPr>
              <w:rPr>
                <w:rFonts w:ascii="Cambria Math" w:hAnsi="Cambria Math"/>
                <w:lang w:val="fr-FR"/>
              </w:rPr>
              <m:t xml:space="preserve"> - </m:t>
            </m:r>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CO2</m:t>
                </m:r>
              </m:sub>
            </m:sSub>
            <m:r>
              <m:rPr>
                <m:sty m:val="p"/>
              </m:rPr>
              <w:rPr>
                <w:rFonts w:ascii="Cambria Math" w:hAnsi="Cambria Math"/>
                <w:lang w:val="fr-FR"/>
              </w:rPr>
              <m:t>(</m:t>
            </m:r>
            <m:sSub>
              <m:sSubPr>
                <m:ctrlPr>
                  <w:rPr>
                    <w:rFonts w:ascii="Cambria Math" w:eastAsiaTheme="minorHAnsi" w:hAnsi="Cambria Math"/>
                    <w:bCs/>
                    <w:sz w:val="20"/>
                    <w:szCs w:val="20"/>
                    <w:lang w:val="fr-FR"/>
                  </w:rPr>
                </m:ctrlPr>
              </m:sSubPr>
              <m:e>
                <m:r>
                  <m:rPr>
                    <m:sty m:val="p"/>
                  </m:rPr>
                  <w:rPr>
                    <w:rFonts w:ascii="Cambria Math" w:hAnsi="Cambria Math"/>
                    <w:lang w:val="fr-FR"/>
                  </w:rPr>
                  <m:t>t</m:t>
                </m:r>
              </m:e>
              <m:sub>
                <m:r>
                  <m:rPr>
                    <m:sty m:val="p"/>
                  </m:rPr>
                  <w:rPr>
                    <w:rFonts w:ascii="Cambria Math" w:hAnsi="Cambria Math"/>
                    <w:lang w:val="fr-FR"/>
                  </w:rPr>
                  <m:t>1, i</m:t>
                </m:r>
              </m:sub>
            </m:sSub>
            <m:r>
              <m:rPr>
                <m:sty m:val="p"/>
              </m:rPr>
              <w:rPr>
                <w:rFonts w:ascii="Cambria Math" w:hAnsi="Cambria Math"/>
                <w:lang w:val="fr-FR"/>
              </w:rPr>
              <m:t>)</m:t>
            </m:r>
          </m:den>
        </m:f>
      </m:oMath>
      <w:r w:rsidRPr="00E773DC">
        <w:rPr>
          <w:noProof/>
          <w:sz w:val="20"/>
          <w:lang w:val="fr-FR"/>
        </w:rPr>
        <w:t xml:space="preserve"> </w:t>
      </w:r>
      <w:r w:rsidR="00B921D9" w:rsidRPr="00E773DC">
        <w:rPr>
          <w:noProof/>
          <w:sz w:val="20"/>
          <w:lang w:val="fr-FR"/>
        </w:rPr>
        <w:t>(</w:t>
      </w:r>
      <w:r w:rsidR="00B921D9" w:rsidRPr="00BD3628">
        <w:rPr>
          <w:noProof/>
          <w:sz w:val="20"/>
          <w:lang w:val="fr-FR"/>
        </w:rPr>
        <w:t xml:space="preserve">rapport </w:t>
      </w:r>
      <w:r w:rsidR="00B921D9" w:rsidRPr="00E773DC">
        <w:rPr>
          <w:noProof/>
          <w:sz w:val="20"/>
          <w:lang w:val="fr-FR"/>
        </w:rPr>
        <w:t>en service) et</w:t>
      </w:r>
    </w:p>
    <w:p w14:paraId="69FC7703" w14:textId="77777777" w:rsidR="00B921D9" w:rsidRPr="00E773DC" w:rsidRDefault="00485EFD" w:rsidP="00485EFD">
      <w:pPr>
        <w:pStyle w:val="ManualNumPar2"/>
        <w:keepNext/>
        <w:ind w:left="2268" w:right="1134" w:firstLine="0"/>
        <w:rPr>
          <w:noProof/>
          <w:sz w:val="20"/>
          <w:lang w:val="fr-FR"/>
        </w:rPr>
      </w:pPr>
      <m:oMath>
        <m:sSub>
          <m:sSubPr>
            <m:ctrlPr>
              <w:rPr>
                <w:rFonts w:ascii="Cambria Math" w:hAnsi="Cambria Math"/>
                <w:noProof/>
                <w:sz w:val="20"/>
                <w:lang w:val="fr-FR"/>
              </w:rPr>
            </m:ctrlPr>
          </m:sSubPr>
          <m:e>
            <m:r>
              <m:rPr>
                <m:sty m:val="p"/>
              </m:rPr>
              <w:rPr>
                <w:rFonts w:ascii="Cambria Math" w:hAnsi="Cambria Math"/>
                <w:noProof/>
                <w:sz w:val="20"/>
                <w:lang w:val="fr-FR"/>
              </w:rPr>
              <m:t>CF</m:t>
            </m:r>
          </m:e>
          <m:sub>
            <m:r>
              <m:rPr>
                <m:sty m:val="p"/>
              </m:rPr>
              <w:rPr>
                <w:rFonts w:ascii="Cambria Math" w:hAnsi="Cambria Math"/>
                <w:noProof/>
                <w:sz w:val="20"/>
                <w:lang w:val="fr-FR"/>
              </w:rPr>
              <m:t>C</m:t>
            </m:r>
          </m:sub>
        </m:sSub>
        <m:r>
          <m:rPr>
            <m:sty m:val="p"/>
          </m:rPr>
          <w:rPr>
            <w:rFonts w:ascii="Cambria Math" w:hAnsi="Cambria Math"/>
            <w:noProof/>
            <w:sz w:val="20"/>
            <w:lang w:val="fr-FR"/>
          </w:rPr>
          <m:t>=</m:t>
        </m:r>
        <m:f>
          <m:fPr>
            <m:ctrlPr>
              <w:rPr>
                <w:rFonts w:ascii="Cambria Math" w:hAnsi="Cambria Math"/>
                <w:noProof/>
                <w:sz w:val="20"/>
                <w:lang w:val="fr-FR"/>
              </w:rPr>
            </m:ctrlPr>
          </m:fPr>
          <m:num>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L</m:t>
                </m:r>
              </m:sub>
            </m:sSub>
          </m:num>
          <m:den>
            <m:sSub>
              <m:sSubPr>
                <m:ctrlPr>
                  <w:rPr>
                    <w:rFonts w:ascii="Cambria Math" w:hAnsi="Cambria Math"/>
                    <w:noProof/>
                    <w:sz w:val="20"/>
                    <w:lang w:val="fr-FR"/>
                  </w:rPr>
                </m:ctrlPr>
              </m:sSubPr>
              <m:e>
                <m:r>
                  <m:rPr>
                    <m:sty m:val="p"/>
                  </m:rPr>
                  <w:rPr>
                    <w:rFonts w:ascii="Cambria Math" w:hAnsi="Cambria Math"/>
                    <w:noProof/>
                    <w:sz w:val="20"/>
                    <w:lang w:val="fr-FR"/>
                  </w:rPr>
                  <m:t>m</m:t>
                </m:r>
              </m:e>
              <m:sub>
                <m:r>
                  <m:rPr>
                    <m:sty m:val="p"/>
                  </m:rPr>
                  <w:rPr>
                    <w:rFonts w:ascii="Cambria Math" w:hAnsi="Cambria Math"/>
                    <w:noProof/>
                    <w:sz w:val="20"/>
                    <w:lang w:val="fr-FR"/>
                  </w:rPr>
                  <m:t>CO2</m:t>
                </m:r>
                <m:r>
                  <m:rPr>
                    <m:sty m:val="p"/>
                  </m:rPr>
                  <w:rPr>
                    <w:rFonts w:ascii="Cambria Math" w:hAnsi="Cambria Math"/>
                    <w:noProof/>
                    <w:sz w:val="20"/>
                    <w:lang w:val="fr-FR"/>
                  </w:rPr>
                  <m:t>,ref</m:t>
                </m:r>
              </m:sub>
            </m:sSub>
          </m:den>
        </m:f>
      </m:oMath>
      <w:r w:rsidRPr="00E773DC">
        <w:rPr>
          <w:noProof/>
          <w:sz w:val="20"/>
          <w:lang w:val="fr-FR"/>
        </w:rPr>
        <w:t xml:space="preserve"> </w:t>
      </w:r>
      <w:r w:rsidR="00B921D9" w:rsidRPr="00E773DC">
        <w:rPr>
          <w:noProof/>
          <w:sz w:val="20"/>
          <w:lang w:val="fr-FR"/>
        </w:rPr>
        <w:t>(</w:t>
      </w:r>
      <w:r w:rsidR="00B921D9" w:rsidRPr="004419B5">
        <w:rPr>
          <w:noProof/>
          <w:sz w:val="20"/>
          <w:lang w:val="fr-FR"/>
        </w:rPr>
        <w:t xml:space="preserve">rapport </w:t>
      </w:r>
      <w:r w:rsidR="00B921D9" w:rsidRPr="003A716A">
        <w:rPr>
          <w:noProof/>
          <w:sz w:val="20"/>
          <w:lang w:val="fr-FR"/>
        </w:rPr>
        <w:t>lors de l</w:t>
      </w:r>
      <w:r w:rsidR="00B921D9">
        <w:rPr>
          <w:noProof/>
          <w:sz w:val="20"/>
          <w:lang w:val="fr-FR"/>
        </w:rPr>
        <w:t>’</w:t>
      </w:r>
      <w:r w:rsidR="00B921D9" w:rsidRPr="003A716A">
        <w:rPr>
          <w:noProof/>
          <w:sz w:val="20"/>
          <w:lang w:val="fr-FR"/>
        </w:rPr>
        <w:t>homologation</w:t>
      </w:r>
      <w:r w:rsidR="00B921D9" w:rsidRPr="00E773DC">
        <w:rPr>
          <w:noProof/>
          <w:sz w:val="20"/>
          <w:lang w:val="fr-FR"/>
        </w:rPr>
        <w:t>)</w:t>
      </w:r>
    </w:p>
    <w:p w14:paraId="156E968B" w14:textId="77777777" w:rsidR="00B921D9" w:rsidRPr="00E773DC" w:rsidRDefault="00B921D9" w:rsidP="00B921D9">
      <w:pPr>
        <w:pStyle w:val="Text1"/>
        <w:ind w:left="2268" w:right="1134"/>
        <w:rPr>
          <w:noProof/>
          <w:sz w:val="20"/>
          <w:lang w:val="fr-FR"/>
        </w:rPr>
      </w:pPr>
      <w:r>
        <w:rPr>
          <w:noProof/>
          <w:sz w:val="20"/>
          <w:lang w:val="fr-FR"/>
        </w:rPr>
        <w:t>o</w:t>
      </w:r>
      <w:r w:rsidRPr="00E773DC">
        <w:rPr>
          <w:noProof/>
          <w:sz w:val="20"/>
          <w:lang w:val="fr-FR"/>
        </w:rPr>
        <w:t>ù :</w:t>
      </w:r>
    </w:p>
    <w:p w14:paraId="4E920DEA" w14:textId="77777777" w:rsidR="00B921D9" w:rsidRPr="00E773DC" w:rsidRDefault="00B921D9" w:rsidP="00B921D9">
      <w:pPr>
        <w:pStyle w:val="Tiret1"/>
        <w:tabs>
          <w:tab w:val="num" w:pos="1417"/>
        </w:tabs>
        <w:ind w:left="4395" w:right="1134" w:hanging="2127"/>
        <w:rPr>
          <w:noProof/>
          <w:sz w:val="20"/>
          <w:lang w:val="fr-FR"/>
        </w:rPr>
      </w:pPr>
      <w:r w:rsidRPr="00485EFD">
        <w:rPr>
          <w:iCs/>
          <w:noProof/>
          <w:sz w:val="18"/>
          <w:szCs w:val="18"/>
          <w:lang w:val="fr-FR"/>
        </w:rPr>
        <w:t>m</w:t>
      </w:r>
      <w:r w:rsidRPr="00E773DC">
        <w:rPr>
          <w:i/>
          <w:noProof/>
          <w:sz w:val="20"/>
          <w:lang w:val="fr-FR"/>
        </w:rPr>
        <w:tab/>
      </w:r>
      <w:r w:rsidRPr="00E773DC">
        <w:rPr>
          <w:noProof/>
          <w:sz w:val="20"/>
          <w:lang w:val="fr-FR"/>
        </w:rPr>
        <w:t>est la masse d</w:t>
      </w:r>
      <w:r>
        <w:rPr>
          <w:noProof/>
          <w:sz w:val="20"/>
          <w:lang w:val="fr-FR"/>
        </w:rPr>
        <w:t>’</w:t>
      </w:r>
      <w:r w:rsidRPr="00E773DC">
        <w:rPr>
          <w:noProof/>
          <w:sz w:val="20"/>
          <w:lang w:val="fr-FR"/>
        </w:rPr>
        <w:t xml:space="preserve">émission du </w:t>
      </w:r>
      <w:r w:rsidRPr="00E773DC">
        <w:rPr>
          <w:strike/>
          <w:noProof/>
          <w:sz w:val="20"/>
          <w:lang w:val="fr-FR"/>
        </w:rPr>
        <w:t xml:space="preserve">composant, </w:t>
      </w:r>
      <w:r>
        <w:rPr>
          <w:strike/>
          <w:noProof/>
          <w:sz w:val="20"/>
          <w:lang w:val="fr-FR"/>
        </w:rPr>
        <w:t xml:space="preserve">en </w:t>
      </w:r>
      <w:r w:rsidRPr="00E773DC">
        <w:rPr>
          <w:strike/>
          <w:noProof/>
          <w:sz w:val="20"/>
          <w:lang w:val="fr-FR"/>
        </w:rPr>
        <w:t xml:space="preserve">mg/fenêtre </w:t>
      </w:r>
      <w:r w:rsidRPr="00E773DC">
        <w:rPr>
          <w:b/>
          <w:bCs/>
          <w:noProof/>
          <w:sz w:val="20"/>
          <w:lang w:val="fr-FR"/>
        </w:rPr>
        <w:t xml:space="preserve">polluant gazeux, </w:t>
      </w:r>
      <w:r>
        <w:rPr>
          <w:b/>
          <w:bCs/>
          <w:noProof/>
          <w:sz w:val="20"/>
          <w:lang w:val="fr-FR"/>
        </w:rPr>
        <w:t xml:space="preserve">en </w:t>
      </w:r>
      <w:r w:rsidRPr="00E773DC">
        <w:rPr>
          <w:b/>
          <w:bCs/>
          <w:noProof/>
          <w:sz w:val="20"/>
          <w:lang w:val="fr-FR"/>
        </w:rPr>
        <w:t xml:space="preserve">mg/fenêtre, ou le nombre de PM, </w:t>
      </w:r>
      <w:r>
        <w:rPr>
          <w:b/>
          <w:bCs/>
          <w:noProof/>
          <w:sz w:val="20"/>
          <w:lang w:val="fr-FR"/>
        </w:rPr>
        <w:t xml:space="preserve">en </w:t>
      </w:r>
      <w:r w:rsidRPr="00E773DC">
        <w:rPr>
          <w:b/>
          <w:bCs/>
          <w:noProof/>
          <w:sz w:val="20"/>
          <w:lang w:val="fr-FR"/>
        </w:rPr>
        <w:t>#/fenêtre ;</w:t>
      </w:r>
    </w:p>
    <w:p w14:paraId="542CA56B" w14:textId="77777777" w:rsidR="00B921D9" w:rsidRPr="00E773DC" w:rsidRDefault="00485EFD" w:rsidP="00B921D9">
      <w:pPr>
        <w:pStyle w:val="Tiret1"/>
        <w:tabs>
          <w:tab w:val="clear" w:pos="709"/>
          <w:tab w:val="num" w:pos="1417"/>
        </w:tabs>
        <w:ind w:left="4395" w:right="1134" w:hanging="2127"/>
        <w:rPr>
          <w:noProof/>
          <w:sz w:val="20"/>
          <w:lang w:val="fr-FR"/>
        </w:rPr>
      </w:pPr>
      <m:oMath>
        <m:sSub>
          <m:sSubPr>
            <m:ctrlPr>
              <w:rPr>
                <w:rFonts w:ascii="Cambria Math" w:hAnsi="Cambria Math"/>
                <w:noProof/>
                <w:sz w:val="16"/>
                <w:szCs w:val="16"/>
                <w:lang w:val="fr-FR" w:eastAsia="de-DE"/>
              </w:rPr>
            </m:ctrlPr>
          </m:sSubPr>
          <m:e>
            <m:r>
              <m:rPr>
                <m:sty m:val="p"/>
              </m:rPr>
              <w:rPr>
                <w:rFonts w:ascii="Cambria Math" w:hAnsi="Cambria Math"/>
                <w:noProof/>
                <w:sz w:val="16"/>
                <w:szCs w:val="16"/>
                <w:lang w:val="fr-FR"/>
              </w:rPr>
              <m:t>m</m:t>
            </m:r>
          </m:e>
          <m:sub>
            <m:r>
              <m:rPr>
                <m:sty m:val="p"/>
              </m:rPr>
              <w:rPr>
                <w:rFonts w:ascii="Cambria Math" w:hAnsi="Cambria Math"/>
                <w:noProof/>
                <w:sz w:val="16"/>
                <w:szCs w:val="16"/>
                <w:lang w:val="fr-FR"/>
              </w:rPr>
              <m:t>CO2</m:t>
            </m:r>
          </m:sub>
        </m:sSub>
        <m:d>
          <m:dPr>
            <m:ctrlPr>
              <w:rPr>
                <w:rFonts w:ascii="Cambria Math" w:hAnsi="Cambria Math"/>
                <w:bCs/>
                <w:sz w:val="16"/>
                <w:szCs w:val="16"/>
                <w:lang w:val="fr-FR" w:eastAsia="de-DE"/>
              </w:rPr>
            </m:ctrlPr>
          </m:dPr>
          <m:e>
            <m:sSub>
              <m:sSubPr>
                <m:ctrlPr>
                  <w:rPr>
                    <w:rFonts w:ascii="Cambria Math" w:eastAsiaTheme="minorHAnsi" w:hAnsi="Cambria Math"/>
                    <w:bCs/>
                    <w:sz w:val="16"/>
                    <w:szCs w:val="16"/>
                    <w:lang w:val="fr-FR" w:eastAsia="de-DE"/>
                  </w:rPr>
                </m:ctrlPr>
              </m:sSubPr>
              <m:e>
                <m:r>
                  <m:rPr>
                    <m:sty m:val="p"/>
                  </m:rPr>
                  <w:rPr>
                    <w:rFonts w:ascii="Cambria Math" w:hAnsi="Cambria Math"/>
                    <w:sz w:val="16"/>
                    <w:szCs w:val="16"/>
                    <w:lang w:val="fr-FR"/>
                  </w:rPr>
                  <m:t>t</m:t>
                </m:r>
              </m:e>
              <m:sub>
                <m:r>
                  <m:rPr>
                    <m:sty m:val="p"/>
                  </m:rPr>
                  <w:rPr>
                    <w:rFonts w:ascii="Cambria Math" w:hAnsi="Cambria Math"/>
                    <w:sz w:val="16"/>
                    <w:szCs w:val="16"/>
                    <w:lang w:val="fr-FR"/>
                  </w:rPr>
                  <m:t>2, i</m:t>
                </m:r>
              </m:sub>
            </m:sSub>
          </m:e>
        </m:d>
        <m:r>
          <m:rPr>
            <m:sty m:val="p"/>
          </m:rPr>
          <w:rPr>
            <w:rFonts w:ascii="Cambria Math" w:hAnsi="Cambria Math"/>
            <w:sz w:val="16"/>
            <w:szCs w:val="16"/>
            <w:lang w:val="fr-FR"/>
          </w:rPr>
          <m:t xml:space="preserve"> - </m:t>
        </m:r>
        <m:sSub>
          <m:sSubPr>
            <m:ctrlPr>
              <w:rPr>
                <w:rFonts w:ascii="Cambria Math" w:hAnsi="Cambria Math"/>
                <w:noProof/>
                <w:sz w:val="16"/>
                <w:szCs w:val="16"/>
                <w:lang w:val="fr-FR" w:eastAsia="de-DE"/>
              </w:rPr>
            </m:ctrlPr>
          </m:sSubPr>
          <m:e>
            <m:r>
              <m:rPr>
                <m:sty m:val="p"/>
              </m:rPr>
              <w:rPr>
                <w:rFonts w:ascii="Cambria Math" w:hAnsi="Cambria Math"/>
                <w:noProof/>
                <w:sz w:val="16"/>
                <w:szCs w:val="16"/>
                <w:lang w:val="fr-FR"/>
              </w:rPr>
              <m:t>m</m:t>
            </m:r>
          </m:e>
          <m:sub>
            <m:r>
              <m:rPr>
                <m:sty m:val="p"/>
              </m:rPr>
              <w:rPr>
                <w:rFonts w:ascii="Cambria Math" w:hAnsi="Cambria Math"/>
                <w:noProof/>
                <w:sz w:val="16"/>
                <w:szCs w:val="16"/>
                <w:lang w:val="fr-FR"/>
              </w:rPr>
              <m:t>CO2</m:t>
            </m:r>
          </m:sub>
        </m:sSub>
        <m:r>
          <m:rPr>
            <m:sty m:val="p"/>
          </m:rPr>
          <w:rPr>
            <w:rFonts w:ascii="Cambria Math" w:hAnsi="Cambria Math"/>
            <w:sz w:val="16"/>
            <w:szCs w:val="16"/>
            <w:lang w:val="fr-FR"/>
          </w:rPr>
          <m:t>(</m:t>
        </m:r>
        <m:sSub>
          <m:sSubPr>
            <m:ctrlPr>
              <w:rPr>
                <w:rFonts w:ascii="Cambria Math" w:eastAsiaTheme="minorHAnsi" w:hAnsi="Cambria Math"/>
                <w:bCs/>
                <w:sz w:val="16"/>
                <w:szCs w:val="16"/>
                <w:lang w:val="fr-FR" w:eastAsia="de-DE"/>
              </w:rPr>
            </m:ctrlPr>
          </m:sSubPr>
          <m:e>
            <m:r>
              <m:rPr>
                <m:sty m:val="p"/>
              </m:rPr>
              <w:rPr>
                <w:rFonts w:ascii="Cambria Math" w:hAnsi="Cambria Math"/>
                <w:sz w:val="16"/>
                <w:szCs w:val="16"/>
                <w:lang w:val="fr-FR"/>
              </w:rPr>
              <m:t>t</m:t>
            </m:r>
          </m:e>
          <m:sub>
            <m:r>
              <m:rPr>
                <m:sty m:val="p"/>
              </m:rPr>
              <w:rPr>
                <w:rFonts w:ascii="Cambria Math" w:hAnsi="Cambria Math"/>
                <w:sz w:val="16"/>
                <w:szCs w:val="16"/>
                <w:lang w:val="fr-FR"/>
              </w:rPr>
              <m:t>1, i</m:t>
            </m:r>
          </m:sub>
        </m:sSub>
        <m:r>
          <m:rPr>
            <m:sty m:val="p"/>
          </m:rPr>
          <w:rPr>
            <w:rFonts w:ascii="Cambria Math" w:hAnsi="Cambria Math"/>
            <w:sz w:val="16"/>
            <w:szCs w:val="16"/>
            <w:lang w:val="fr-FR"/>
          </w:rPr>
          <m:t>)</m:t>
        </m:r>
      </m:oMath>
      <w:r w:rsidR="00B921D9" w:rsidRPr="00E773DC">
        <w:rPr>
          <w:noProof/>
          <w:sz w:val="20"/>
          <w:lang w:val="fr-FR"/>
        </w:rPr>
        <w:tab/>
      </w:r>
      <w:r w:rsidR="00B921D9" w:rsidRPr="00FE1B90">
        <w:rPr>
          <w:sz w:val="20"/>
          <w:szCs w:val="16"/>
          <w:lang w:val="fr-FR"/>
        </w:rPr>
        <w:t>est la masse de CO</w:t>
      </w:r>
      <w:r w:rsidR="00B921D9" w:rsidRPr="00FE1B90">
        <w:rPr>
          <w:sz w:val="20"/>
          <w:szCs w:val="16"/>
          <w:vertAlign w:val="subscript"/>
          <w:lang w:val="fr-FR"/>
        </w:rPr>
        <w:t>2</w:t>
      </w:r>
      <w:r w:rsidR="00B921D9" w:rsidRPr="00FE1B90">
        <w:rPr>
          <w:sz w:val="20"/>
          <w:szCs w:val="16"/>
          <w:lang w:val="fr-FR"/>
        </w:rPr>
        <w:t xml:space="preserve"> durant la </w:t>
      </w:r>
      <w:proofErr w:type="spellStart"/>
      <w:r w:rsidR="00B921D9" w:rsidRPr="00FE1B90">
        <w:rPr>
          <w:sz w:val="20"/>
          <w:szCs w:val="16"/>
          <w:lang w:val="fr-FR"/>
        </w:rPr>
        <w:t>i</w:t>
      </w:r>
      <w:r w:rsidR="00B921D9" w:rsidRPr="00FE1B90">
        <w:rPr>
          <w:sz w:val="20"/>
          <w:szCs w:val="16"/>
          <w:vertAlign w:val="superscript"/>
          <w:lang w:val="fr-FR"/>
        </w:rPr>
        <w:t>e</w:t>
      </w:r>
      <w:proofErr w:type="spellEnd"/>
      <w:r w:rsidR="00B921D9" w:rsidRPr="00FE1B90">
        <w:rPr>
          <w:sz w:val="20"/>
          <w:szCs w:val="16"/>
          <w:lang w:val="fr-FR"/>
        </w:rPr>
        <w:t xml:space="preserve"> fenêtre de calcul de moyenne, en kg</w:t>
      </w:r>
      <w:r w:rsidR="00690297">
        <w:rPr>
          <w:sz w:val="20"/>
          <w:szCs w:val="16"/>
          <w:lang w:val="fr-FR"/>
        </w:rPr>
        <w:t> </w:t>
      </w:r>
      <w:r w:rsidR="00B921D9" w:rsidRPr="00E773DC">
        <w:rPr>
          <w:noProof/>
          <w:sz w:val="20"/>
          <w:lang w:val="fr-FR"/>
        </w:rPr>
        <w:t>;</w:t>
      </w:r>
    </w:p>
    <w:p w14:paraId="4FD2EACA" w14:textId="77777777" w:rsidR="00B921D9" w:rsidRPr="00E773DC" w:rsidRDefault="00485EFD" w:rsidP="00B921D9">
      <w:pPr>
        <w:pStyle w:val="Tiret1"/>
        <w:tabs>
          <w:tab w:val="clear" w:pos="709"/>
          <w:tab w:val="num" w:pos="1417"/>
        </w:tabs>
        <w:ind w:left="4395" w:right="1134" w:hanging="2127"/>
        <w:rPr>
          <w:noProof/>
          <w:sz w:val="20"/>
          <w:lang w:val="fr-FR"/>
        </w:rPr>
      </w:pPr>
      <m:oMath>
        <m:sSub>
          <m:sSubPr>
            <m:ctrlPr>
              <w:rPr>
                <w:rFonts w:ascii="Cambria Math" w:hAnsi="Cambria Math"/>
                <w:noProof/>
                <w:sz w:val="18"/>
                <w:szCs w:val="18"/>
                <w:lang w:val="fr-FR" w:eastAsia="de-DE"/>
              </w:rPr>
            </m:ctrlPr>
          </m:sSubPr>
          <m:e>
            <m:r>
              <m:rPr>
                <m:sty m:val="p"/>
              </m:rPr>
              <w:rPr>
                <w:rFonts w:ascii="Cambria Math" w:hAnsi="Cambria Math"/>
                <w:noProof/>
                <w:sz w:val="18"/>
                <w:szCs w:val="18"/>
                <w:lang w:val="fr-FR"/>
              </w:rPr>
              <m:t>m</m:t>
            </m:r>
          </m:e>
          <m:sub>
            <m:r>
              <m:rPr>
                <m:sty m:val="p"/>
              </m:rPr>
              <w:rPr>
                <w:rFonts w:ascii="Cambria Math" w:hAnsi="Cambria Math"/>
                <w:noProof/>
                <w:sz w:val="18"/>
                <w:szCs w:val="18"/>
                <w:lang w:val="fr-FR"/>
              </w:rPr>
              <m:t>CO2,ref</m:t>
            </m:r>
          </m:sub>
        </m:sSub>
      </m:oMath>
      <w:r w:rsidR="00B921D9" w:rsidRPr="00E773DC">
        <w:rPr>
          <w:noProof/>
          <w:sz w:val="20"/>
          <w:lang w:val="fr-FR"/>
        </w:rPr>
        <w:tab/>
      </w:r>
      <w:r w:rsidR="00B921D9" w:rsidRPr="00FE1B90">
        <w:rPr>
          <w:sz w:val="20"/>
          <w:szCs w:val="16"/>
          <w:lang w:val="fr-FR"/>
        </w:rPr>
        <w:t>est la masse de CO</w:t>
      </w:r>
      <w:r w:rsidR="00B921D9" w:rsidRPr="00FE1B90">
        <w:rPr>
          <w:sz w:val="20"/>
          <w:szCs w:val="16"/>
          <w:vertAlign w:val="subscript"/>
          <w:lang w:val="fr-FR"/>
        </w:rPr>
        <w:t>2</w:t>
      </w:r>
      <w:r w:rsidR="00B921D9" w:rsidRPr="00FE1B90">
        <w:rPr>
          <w:sz w:val="20"/>
          <w:szCs w:val="16"/>
          <w:lang w:val="fr-FR"/>
        </w:rPr>
        <w:t xml:space="preserve"> du moteur déterminée pour le WHTC, en kg</w:t>
      </w:r>
      <w:r w:rsidR="00B921D9" w:rsidRPr="00E773DC">
        <w:rPr>
          <w:noProof/>
          <w:sz w:val="20"/>
          <w:lang w:val="fr-FR"/>
        </w:rPr>
        <w:t> ;</w:t>
      </w:r>
    </w:p>
    <w:p w14:paraId="698616F4" w14:textId="77777777" w:rsidR="00B921D9" w:rsidRPr="00E773DC" w:rsidRDefault="00485EFD" w:rsidP="00B921D9">
      <w:pPr>
        <w:pStyle w:val="Tiret1"/>
        <w:tabs>
          <w:tab w:val="num" w:pos="1417"/>
        </w:tabs>
        <w:ind w:left="4395" w:right="1134" w:hanging="2127"/>
        <w:rPr>
          <w:noProof/>
          <w:sz w:val="20"/>
          <w:lang w:val="fr-FR"/>
        </w:rPr>
      </w:pPr>
      <m:oMath>
        <m:sSub>
          <m:sSubPr>
            <m:ctrlPr>
              <w:rPr>
                <w:rFonts w:ascii="Cambria Math" w:hAnsi="Cambria Math"/>
                <w:noProof/>
                <w:sz w:val="18"/>
                <w:szCs w:val="18"/>
                <w:lang w:val="fr-FR" w:eastAsia="de-DE"/>
              </w:rPr>
            </m:ctrlPr>
          </m:sSubPr>
          <m:e>
            <m:r>
              <m:rPr>
                <m:sty m:val="p"/>
              </m:rPr>
              <w:rPr>
                <w:rFonts w:ascii="Cambria Math" w:hAnsi="Cambria Math"/>
                <w:noProof/>
                <w:sz w:val="18"/>
                <w:szCs w:val="18"/>
                <w:lang w:val="fr-FR"/>
              </w:rPr>
              <m:t>m</m:t>
            </m:r>
          </m:e>
          <m:sub>
            <m:r>
              <m:rPr>
                <m:sty m:val="p"/>
              </m:rPr>
              <w:rPr>
                <w:rFonts w:ascii="Cambria Math" w:hAnsi="Cambria Math"/>
                <w:noProof/>
                <w:sz w:val="18"/>
                <w:szCs w:val="18"/>
                <w:lang w:val="fr-FR"/>
              </w:rPr>
              <m:t>L</m:t>
            </m:r>
          </m:sub>
        </m:sSub>
      </m:oMath>
      <w:r w:rsidR="00B921D9" w:rsidRPr="00E773DC">
        <w:rPr>
          <w:noProof/>
          <w:sz w:val="20"/>
          <w:lang w:val="fr-FR"/>
        </w:rPr>
        <w:tab/>
      </w:r>
      <w:r w:rsidR="00B921D9" w:rsidRPr="00FE1B90">
        <w:rPr>
          <w:strike/>
          <w:noProof/>
          <w:sz w:val="20"/>
          <w:lang w:val="fr-FR"/>
        </w:rPr>
        <w:t>est l</w:t>
      </w:r>
      <w:r w:rsidR="00B921D9">
        <w:rPr>
          <w:strike/>
          <w:noProof/>
          <w:sz w:val="20"/>
          <w:lang w:val="fr-FR"/>
        </w:rPr>
        <w:t>’</w:t>
      </w:r>
      <w:r w:rsidR="00B921D9" w:rsidRPr="00FE1B90">
        <w:rPr>
          <w:strike/>
          <w:noProof/>
          <w:sz w:val="20"/>
          <w:lang w:val="fr-FR"/>
        </w:rPr>
        <w:t>émission massique du constituant correspondant à la limite applicable sur le cycle WHTC, en</w:t>
      </w:r>
      <w:r w:rsidR="00B921D9">
        <w:rPr>
          <w:strike/>
          <w:noProof/>
          <w:sz w:val="20"/>
          <w:lang w:val="fr-FR"/>
        </w:rPr>
        <w:t xml:space="preserve"> mg</w:t>
      </w:r>
      <w:r w:rsidR="00F72B31" w:rsidRPr="00F72B31">
        <w:rPr>
          <w:strike/>
          <w:noProof/>
          <w:sz w:val="20"/>
          <w:lang w:val="fr-FR"/>
        </w:rPr>
        <w:t>.</w:t>
      </w:r>
      <w:r w:rsidR="00B921D9" w:rsidRPr="00E773DC">
        <w:rPr>
          <w:strike/>
          <w:noProof/>
          <w:sz w:val="20"/>
          <w:lang w:val="fr-FR"/>
        </w:rPr>
        <w:t xml:space="preserve"> </w:t>
      </w:r>
      <w:r w:rsidR="00B921D9" w:rsidRPr="00E773DC">
        <w:rPr>
          <w:b/>
          <w:bCs/>
          <w:noProof/>
          <w:sz w:val="20"/>
          <w:lang w:val="fr-FR"/>
        </w:rPr>
        <w:t>est l</w:t>
      </w:r>
      <w:r w:rsidR="00B921D9">
        <w:rPr>
          <w:b/>
          <w:bCs/>
          <w:noProof/>
          <w:sz w:val="20"/>
          <w:lang w:val="fr-FR"/>
        </w:rPr>
        <w:t>’</w:t>
      </w:r>
      <w:r w:rsidR="00B921D9" w:rsidRPr="00E773DC">
        <w:rPr>
          <w:b/>
          <w:bCs/>
          <w:noProof/>
          <w:sz w:val="20"/>
          <w:lang w:val="fr-FR"/>
        </w:rPr>
        <w:t>émission massique du polluant gazeux ou le nombre de PM correspondant à la limite applicable sur le WHTC, respectivement</w:t>
      </w:r>
      <w:r w:rsidR="00B921D9">
        <w:rPr>
          <w:b/>
          <w:bCs/>
          <w:noProof/>
          <w:sz w:val="20"/>
          <w:lang w:val="fr-FR"/>
        </w:rPr>
        <w:t xml:space="preserve"> en </w:t>
      </w:r>
      <w:r w:rsidR="00B921D9" w:rsidRPr="00E773DC">
        <w:rPr>
          <w:b/>
          <w:bCs/>
          <w:noProof/>
          <w:sz w:val="20"/>
          <w:lang w:val="fr-FR"/>
        </w:rPr>
        <w:t xml:space="preserve">mg ou </w:t>
      </w:r>
      <w:r w:rsidR="00B921D9">
        <w:rPr>
          <w:b/>
          <w:bCs/>
          <w:noProof/>
          <w:sz w:val="20"/>
          <w:lang w:val="fr-FR"/>
        </w:rPr>
        <w:t xml:space="preserve">en </w:t>
      </w:r>
      <w:r w:rsidR="00B921D9" w:rsidRPr="00E773DC">
        <w:rPr>
          <w:b/>
          <w:bCs/>
          <w:noProof/>
          <w:sz w:val="20"/>
          <w:lang w:val="fr-FR"/>
        </w:rPr>
        <w:t>#</w:t>
      </w:r>
      <w:r w:rsidR="00F72B31" w:rsidRPr="00F72B31">
        <w:rPr>
          <w:b/>
          <w:bCs/>
          <w:noProof/>
          <w:sz w:val="20"/>
          <w:lang w:val="fr-FR"/>
        </w:rPr>
        <w:t>.</w:t>
      </w:r>
    </w:p>
    <w:p w14:paraId="582B8B18" w14:textId="77777777" w:rsidR="00B921D9" w:rsidRPr="00E773DC" w:rsidRDefault="00B921D9" w:rsidP="00B921D9">
      <w:pPr>
        <w:pStyle w:val="SingleTxtG"/>
        <w:keepNext/>
        <w:ind w:left="2268" w:hanging="1134"/>
        <w:rPr>
          <w:lang w:val="fr-FR" w:eastAsia="de-DE"/>
        </w:rPr>
      </w:pPr>
      <w:r w:rsidRPr="00E773DC">
        <w:rPr>
          <w:i/>
          <w:iCs/>
          <w:lang w:val="fr-FR" w:eastAsia="de-DE"/>
        </w:rPr>
        <w:t>Ajouter les nouveaux paragraphes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4 et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1</w:t>
      </w:r>
      <w:r w:rsidRPr="003C13B5">
        <w:rPr>
          <w:lang w:val="fr-FR" w:eastAsia="de-DE"/>
        </w:rPr>
        <w:t xml:space="preserve">, </w:t>
      </w:r>
      <w:r>
        <w:rPr>
          <w:lang w:val="fr-FR" w:eastAsia="de-DE"/>
        </w:rPr>
        <w:t>libellés comme suit :</w:t>
      </w:r>
      <w:r w:rsidRPr="00E773DC">
        <w:rPr>
          <w:i/>
          <w:iCs/>
          <w:lang w:val="fr-FR" w:eastAsia="de-DE"/>
        </w:rPr>
        <w:t> :</w:t>
      </w:r>
    </w:p>
    <w:p w14:paraId="19840C9C" w14:textId="77777777" w:rsidR="00B921D9" w:rsidRPr="00E773DC" w:rsidRDefault="00B921D9" w:rsidP="00B921D9">
      <w:pPr>
        <w:pStyle w:val="Commentaire"/>
        <w:keepNext/>
        <w:spacing w:after="120"/>
        <w:ind w:left="2268" w:hanging="1134"/>
        <w:rPr>
          <w:b/>
          <w:bCs/>
          <w:lang w:val="fr-FR"/>
        </w:rPr>
      </w:pPr>
      <w:r w:rsidRPr="00E773DC">
        <w:rPr>
          <w:lang w:val="fr-FR" w:eastAsia="de-DE"/>
        </w:rPr>
        <w:t>« </w:t>
      </w:r>
      <w:r w:rsidRPr="00E773DC">
        <w:rPr>
          <w:b/>
          <w:bCs/>
          <w:lang w:val="fr-FR"/>
        </w:rPr>
        <w:t>A</w:t>
      </w:r>
      <w:r w:rsidR="00F72B31" w:rsidRPr="00F72B31">
        <w:rPr>
          <w:b/>
          <w:bCs/>
          <w:lang w:val="fr-FR"/>
        </w:rPr>
        <w:t>.</w:t>
      </w:r>
      <w:r w:rsidRPr="00E773DC">
        <w:rPr>
          <w:b/>
          <w:bCs/>
          <w:lang w:val="fr-FR"/>
        </w:rPr>
        <w:t>1</w:t>
      </w:r>
      <w:r w:rsidR="00F72B31" w:rsidRPr="00F72B31">
        <w:rPr>
          <w:b/>
          <w:bCs/>
          <w:lang w:val="fr-FR"/>
        </w:rPr>
        <w:t>.</w:t>
      </w:r>
      <w:r w:rsidRPr="00E773DC">
        <w:rPr>
          <w:b/>
          <w:bCs/>
          <w:lang w:val="fr-FR"/>
        </w:rPr>
        <w:t>4</w:t>
      </w:r>
      <w:r w:rsidR="00F72B31" w:rsidRPr="00F72B31">
        <w:rPr>
          <w:b/>
          <w:bCs/>
          <w:lang w:val="fr-FR"/>
        </w:rPr>
        <w:t>.</w:t>
      </w:r>
      <w:r w:rsidRPr="00E773DC">
        <w:rPr>
          <w:b/>
          <w:bCs/>
          <w:lang w:val="fr-FR"/>
        </w:rPr>
        <w:t>4</w:t>
      </w:r>
      <w:r w:rsidRPr="00E773DC">
        <w:rPr>
          <w:b/>
          <w:bCs/>
          <w:lang w:val="fr-FR"/>
        </w:rPr>
        <w:tab/>
        <w:t xml:space="preserve">Calcul du facteur de conformité final </w:t>
      </w:r>
      <w:r>
        <w:rPr>
          <w:b/>
          <w:bCs/>
          <w:lang w:val="fr-FR"/>
        </w:rPr>
        <w:t>de</w:t>
      </w:r>
      <w:r w:rsidRPr="00E773DC">
        <w:rPr>
          <w:b/>
          <w:bCs/>
          <w:lang w:val="fr-FR"/>
        </w:rPr>
        <w:t xml:space="preserve"> l</w:t>
      </w:r>
      <w:r>
        <w:rPr>
          <w:b/>
          <w:bCs/>
          <w:lang w:val="fr-FR"/>
        </w:rPr>
        <w:t>’</w:t>
      </w:r>
      <w:r w:rsidRPr="00E773DC">
        <w:rPr>
          <w:b/>
          <w:bCs/>
          <w:lang w:val="fr-FR"/>
        </w:rPr>
        <w:t>essai</w:t>
      </w:r>
    </w:p>
    <w:p w14:paraId="79E47DEE" w14:textId="77777777" w:rsidR="00B921D9" w:rsidRPr="00E773DC" w:rsidRDefault="00B921D9" w:rsidP="00B921D9">
      <w:pPr>
        <w:pStyle w:val="Commentaire"/>
        <w:spacing w:after="120"/>
        <w:ind w:left="2268" w:right="1134" w:hanging="1134"/>
        <w:jc w:val="both"/>
        <w:rPr>
          <w:b/>
          <w:bCs/>
          <w:lang w:val="fr-FR"/>
        </w:rPr>
      </w:pPr>
      <w:r w:rsidRPr="00E773DC">
        <w:rPr>
          <w:b/>
          <w:bCs/>
          <w:lang w:val="fr-FR"/>
        </w:rPr>
        <w:t>A</w:t>
      </w:r>
      <w:r w:rsidR="00F72B31" w:rsidRPr="00F72B31">
        <w:rPr>
          <w:b/>
          <w:bCs/>
          <w:lang w:val="fr-FR"/>
        </w:rPr>
        <w:t>.</w:t>
      </w:r>
      <w:r w:rsidRPr="00E773DC">
        <w:rPr>
          <w:b/>
          <w:bCs/>
          <w:lang w:val="fr-FR"/>
        </w:rPr>
        <w:t>1</w:t>
      </w:r>
      <w:r w:rsidR="00F72B31" w:rsidRPr="00F72B31">
        <w:rPr>
          <w:b/>
          <w:bCs/>
          <w:lang w:val="fr-FR"/>
        </w:rPr>
        <w:t>.</w:t>
      </w:r>
      <w:r w:rsidRPr="00E773DC">
        <w:rPr>
          <w:b/>
          <w:bCs/>
          <w:lang w:val="fr-FR"/>
        </w:rPr>
        <w:t>4</w:t>
      </w:r>
      <w:r w:rsidR="00F72B31" w:rsidRPr="00F72B31">
        <w:rPr>
          <w:b/>
          <w:bCs/>
          <w:lang w:val="fr-FR"/>
        </w:rPr>
        <w:t>.</w:t>
      </w:r>
      <w:r w:rsidRPr="00E773DC">
        <w:rPr>
          <w:b/>
          <w:bCs/>
          <w:lang w:val="fr-FR"/>
        </w:rPr>
        <w:t>4</w:t>
      </w:r>
      <w:r w:rsidR="00F72B31" w:rsidRPr="00F72B31">
        <w:rPr>
          <w:b/>
          <w:bCs/>
          <w:lang w:val="fr-FR"/>
        </w:rPr>
        <w:t>.</w:t>
      </w:r>
      <w:r w:rsidRPr="00E773DC">
        <w:rPr>
          <w:b/>
          <w:bCs/>
          <w:lang w:val="fr-FR"/>
        </w:rPr>
        <w:t>1</w:t>
      </w:r>
      <w:r w:rsidRPr="00E773DC">
        <w:rPr>
          <w:b/>
          <w:bCs/>
          <w:lang w:val="fr-FR"/>
        </w:rPr>
        <w:tab/>
        <w:t>Le facteur de conformité final de l</w:t>
      </w:r>
      <w:r>
        <w:rPr>
          <w:b/>
          <w:bCs/>
          <w:lang w:val="fr-FR"/>
        </w:rPr>
        <w:t>’</w:t>
      </w:r>
      <w:r w:rsidRPr="00E773DC">
        <w:rPr>
          <w:b/>
          <w:bCs/>
          <w:lang w:val="fr-FR"/>
        </w:rPr>
        <w:t>essai (</w:t>
      </w:r>
      <w:proofErr w:type="spellStart"/>
      <w:r w:rsidRPr="00E773DC">
        <w:rPr>
          <w:b/>
          <w:bCs/>
          <w:lang w:val="fr-FR"/>
        </w:rPr>
        <w:t>CF</w:t>
      </w:r>
      <w:r w:rsidRPr="001E7EF3">
        <w:rPr>
          <w:b/>
          <w:bCs/>
          <w:vertAlign w:val="subscript"/>
          <w:lang w:val="fr-FR"/>
        </w:rPr>
        <w:t>final</w:t>
      </w:r>
      <w:proofErr w:type="spellEnd"/>
      <w:r w:rsidRPr="00E773DC">
        <w:rPr>
          <w:b/>
          <w:bCs/>
          <w:lang w:val="fr-FR"/>
        </w:rPr>
        <w:t>) pour chaque polluant est calculé comme suit :</w:t>
      </w:r>
    </w:p>
    <w:p w14:paraId="4DC01BAE" w14:textId="77777777" w:rsidR="00B921D9" w:rsidRPr="00690297" w:rsidRDefault="00B921D9" w:rsidP="00B921D9">
      <w:pPr>
        <w:pStyle w:val="Commentaire"/>
        <w:spacing w:after="120"/>
        <w:ind w:left="3402" w:right="1134"/>
        <w:jc w:val="both"/>
        <w:rPr>
          <w:b/>
          <w:bCs/>
          <w:iCs/>
          <w:lang w:val="fr-FR"/>
        </w:rPr>
      </w:pPr>
      <m:oMathPara>
        <m:oMath>
          <m:sSub>
            <m:sSubPr>
              <m:ctrlPr>
                <w:rPr>
                  <w:rFonts w:ascii="Cambria Math" w:hAnsi="Cambria Math"/>
                  <w:b/>
                  <w:bCs/>
                  <w:iCs/>
                  <w:lang w:val="fr-FR"/>
                </w:rPr>
              </m:ctrlPr>
            </m:sSubPr>
            <m:e>
              <m:r>
                <m:rPr>
                  <m:sty m:val="b"/>
                </m:rPr>
                <w:rPr>
                  <w:rFonts w:ascii="Cambria Math" w:hAnsi="Cambria Math"/>
                  <w:lang w:val="fr-FR"/>
                </w:rPr>
                <m:t>CF</m:t>
              </m:r>
            </m:e>
            <m:sub>
              <m:r>
                <m:rPr>
                  <m:sty m:val="b"/>
                </m:rPr>
                <w:rPr>
                  <w:rFonts w:ascii="Cambria Math" w:hAnsi="Cambria Math"/>
                  <w:lang w:val="fr-FR"/>
                </w:rPr>
                <m:t>final</m:t>
              </m:r>
            </m:sub>
          </m:sSub>
          <m:r>
            <m:rPr>
              <m:sty m:val="b"/>
            </m:rPr>
            <w:rPr>
              <w:rFonts w:ascii="Cambria Math" w:hAnsi="Cambria Math"/>
              <w:lang w:val="fr-FR"/>
            </w:rPr>
            <m:t>=0</m:t>
          </m:r>
          <m:r>
            <m:rPr>
              <m:sty m:val="b"/>
            </m:rPr>
            <w:rPr>
              <w:rFonts w:ascii="Cambria Math" w:hAnsi="Cambria Math"/>
              <w:lang w:val="fr-FR"/>
            </w:rPr>
            <m:t>,</m:t>
          </m:r>
          <m:r>
            <m:rPr>
              <m:sty m:val="b"/>
            </m:rPr>
            <w:rPr>
              <w:rFonts w:ascii="Cambria Math" w:hAnsi="Cambria Math"/>
              <w:lang w:val="fr-FR"/>
            </w:rPr>
            <m:t>14×</m:t>
          </m:r>
          <m:sSub>
            <m:sSubPr>
              <m:ctrlPr>
                <w:rPr>
                  <w:rFonts w:ascii="Cambria Math" w:hAnsi="Cambria Math"/>
                  <w:b/>
                  <w:bCs/>
                  <w:iCs/>
                  <w:lang w:val="fr-FR"/>
                </w:rPr>
              </m:ctrlPr>
            </m:sSubPr>
            <m:e>
              <m:r>
                <m:rPr>
                  <m:sty m:val="b"/>
                </m:rPr>
                <w:rPr>
                  <w:rFonts w:ascii="Cambria Math" w:hAnsi="Cambria Math"/>
                  <w:lang w:val="fr-FR"/>
                </w:rPr>
                <m:t>CF</m:t>
              </m:r>
            </m:e>
            <m:sub>
              <m:r>
                <m:rPr>
                  <m:sty m:val="b"/>
                </m:rPr>
                <w:rPr>
                  <w:rFonts w:ascii="Cambria Math" w:hAnsi="Cambria Math"/>
                  <w:lang w:val="fr-FR"/>
                </w:rPr>
                <m:t>cold</m:t>
              </m:r>
            </m:sub>
          </m:sSub>
          <m:r>
            <m:rPr>
              <m:sty m:val="b"/>
            </m:rPr>
            <w:rPr>
              <w:rFonts w:ascii="Cambria Math" w:hAnsi="Cambria Math"/>
              <w:lang w:val="fr-FR"/>
            </w:rPr>
            <m:t>+0</m:t>
          </m:r>
          <m:r>
            <m:rPr>
              <m:sty m:val="b"/>
            </m:rPr>
            <w:rPr>
              <w:rFonts w:ascii="Cambria Math" w:hAnsi="Cambria Math"/>
              <w:lang w:val="fr-FR"/>
            </w:rPr>
            <m:t>,</m:t>
          </m:r>
          <m:r>
            <m:rPr>
              <m:sty m:val="b"/>
            </m:rPr>
            <w:rPr>
              <w:rFonts w:ascii="Cambria Math" w:hAnsi="Cambria Math"/>
              <w:lang w:val="fr-FR"/>
            </w:rPr>
            <m:t>86×</m:t>
          </m:r>
          <m:sSub>
            <m:sSubPr>
              <m:ctrlPr>
                <w:rPr>
                  <w:rFonts w:ascii="Cambria Math" w:hAnsi="Cambria Math"/>
                  <w:b/>
                  <w:bCs/>
                  <w:iCs/>
                  <w:lang w:val="fr-FR"/>
                </w:rPr>
              </m:ctrlPr>
            </m:sSubPr>
            <m:e>
              <m:r>
                <m:rPr>
                  <m:sty m:val="b"/>
                </m:rPr>
                <w:rPr>
                  <w:rFonts w:ascii="Cambria Math" w:hAnsi="Cambria Math"/>
                  <w:lang w:val="fr-FR"/>
                </w:rPr>
                <m:t>CF</m:t>
              </m:r>
            </m:e>
            <m:sub>
              <m:r>
                <m:rPr>
                  <m:sty m:val="b"/>
                </m:rPr>
                <w:rPr>
                  <w:rFonts w:ascii="Cambria Math" w:hAnsi="Cambria Math"/>
                  <w:lang w:val="fr-FR"/>
                </w:rPr>
                <m:t>warm</m:t>
              </m:r>
            </m:sub>
          </m:sSub>
        </m:oMath>
      </m:oMathPara>
    </w:p>
    <w:p w14:paraId="5DF2C4BD" w14:textId="77777777" w:rsidR="00B921D9" w:rsidRPr="00E773DC" w:rsidRDefault="00B921D9" w:rsidP="00B921D9">
      <w:pPr>
        <w:pStyle w:val="Commentaire"/>
        <w:spacing w:after="120"/>
        <w:ind w:left="2268" w:right="1134"/>
        <w:jc w:val="both"/>
        <w:rPr>
          <w:b/>
          <w:bCs/>
          <w:lang w:val="fr-FR"/>
        </w:rPr>
      </w:pPr>
      <w:r w:rsidRPr="00E773DC">
        <w:rPr>
          <w:b/>
          <w:bCs/>
          <w:lang w:val="fr-FR"/>
        </w:rPr>
        <w:t>où :</w:t>
      </w:r>
    </w:p>
    <w:p w14:paraId="45728165" w14:textId="77777777" w:rsidR="00B921D9" w:rsidRPr="00E773DC" w:rsidRDefault="00B921D9" w:rsidP="00B921D9">
      <w:pPr>
        <w:pStyle w:val="Commentaire"/>
        <w:spacing w:after="120"/>
        <w:ind w:left="3402" w:right="1134" w:hanging="1134"/>
        <w:jc w:val="both"/>
        <w:rPr>
          <w:b/>
          <w:bCs/>
          <w:lang w:val="fr-FR"/>
        </w:rPr>
      </w:pPr>
      <w:proofErr w:type="spellStart"/>
      <w:r w:rsidRPr="00690297">
        <w:rPr>
          <w:b/>
          <w:bCs/>
          <w:lang w:val="fr-FR"/>
        </w:rPr>
        <w:t>CF</w:t>
      </w:r>
      <w:r w:rsidRPr="00690297">
        <w:rPr>
          <w:b/>
          <w:bCs/>
          <w:vertAlign w:val="subscript"/>
          <w:lang w:val="fr-FR"/>
        </w:rPr>
        <w:t>cold</w:t>
      </w:r>
      <w:proofErr w:type="spellEnd"/>
      <w:r w:rsidRPr="00E773DC">
        <w:rPr>
          <w:b/>
          <w:bCs/>
          <w:lang w:val="fr-FR"/>
        </w:rPr>
        <w:tab/>
        <w:t xml:space="preserve">est le facteur de conformité de la période de fonctionnement à froid </w:t>
      </w:r>
      <w:r>
        <w:rPr>
          <w:b/>
          <w:bCs/>
          <w:lang w:val="fr-FR"/>
        </w:rPr>
        <w:t xml:space="preserve">lors </w:t>
      </w:r>
      <w:r w:rsidRPr="00E773DC">
        <w:rPr>
          <w:b/>
          <w:bCs/>
          <w:lang w:val="fr-FR"/>
        </w:rPr>
        <w:t>de l</w:t>
      </w:r>
      <w:r>
        <w:rPr>
          <w:b/>
          <w:bCs/>
          <w:lang w:val="fr-FR"/>
        </w:rPr>
        <w:t>’</w:t>
      </w:r>
      <w:r w:rsidRPr="00E773DC">
        <w:rPr>
          <w:b/>
          <w:bCs/>
          <w:lang w:val="fr-FR"/>
        </w:rPr>
        <w:t>essai, qui doit être égal au facteur de conformité le plus élevé des fenêtres à moyenne mobile commençant à une température du liquide de refroidissement inférieure à 343</w:t>
      </w:r>
      <w:r>
        <w:rPr>
          <w:b/>
          <w:bCs/>
          <w:lang w:val="fr-FR"/>
        </w:rPr>
        <w:t> </w:t>
      </w:r>
      <w:r w:rsidRPr="00E773DC">
        <w:rPr>
          <w:b/>
          <w:bCs/>
          <w:lang w:val="fr-FR"/>
        </w:rPr>
        <w:t>K (70 °C), déterminé pour ce polluant conformément aux procédures de calcul spécifiées aux paragraphes A</w:t>
      </w:r>
      <w:r w:rsidR="00F72B31" w:rsidRPr="00F72B31">
        <w:rPr>
          <w:b/>
          <w:bCs/>
          <w:lang w:val="fr-FR"/>
        </w:rPr>
        <w:t>.</w:t>
      </w:r>
      <w:r w:rsidRPr="00E773DC">
        <w:rPr>
          <w:b/>
          <w:bCs/>
          <w:lang w:val="fr-FR"/>
        </w:rPr>
        <w:t>1</w:t>
      </w:r>
      <w:r w:rsidR="00F72B31" w:rsidRPr="00F72B31">
        <w:rPr>
          <w:b/>
          <w:bCs/>
          <w:lang w:val="fr-FR"/>
        </w:rPr>
        <w:t>.</w:t>
      </w:r>
      <w:r w:rsidRPr="00E773DC">
        <w:rPr>
          <w:b/>
          <w:bCs/>
          <w:lang w:val="fr-FR"/>
        </w:rPr>
        <w:t>4</w:t>
      </w:r>
      <w:r w:rsidR="00F72B31" w:rsidRPr="00F72B31">
        <w:rPr>
          <w:b/>
          <w:bCs/>
          <w:lang w:val="fr-FR"/>
        </w:rPr>
        <w:t>.</w:t>
      </w:r>
      <w:r w:rsidRPr="00E773DC">
        <w:rPr>
          <w:b/>
          <w:bCs/>
          <w:lang w:val="fr-FR"/>
        </w:rPr>
        <w:t>1 et, selon le cas, soit A</w:t>
      </w:r>
      <w:r w:rsidR="00F72B31" w:rsidRPr="00F72B31">
        <w:rPr>
          <w:b/>
          <w:bCs/>
          <w:lang w:val="fr-FR"/>
        </w:rPr>
        <w:t>.</w:t>
      </w:r>
      <w:r w:rsidRPr="00E773DC">
        <w:rPr>
          <w:b/>
          <w:bCs/>
          <w:lang w:val="fr-FR"/>
        </w:rPr>
        <w:t>1</w:t>
      </w:r>
      <w:r w:rsidR="00F72B31" w:rsidRPr="00F72B31">
        <w:rPr>
          <w:b/>
          <w:bCs/>
          <w:lang w:val="fr-FR"/>
        </w:rPr>
        <w:t>.</w:t>
      </w:r>
      <w:r w:rsidRPr="00E773DC">
        <w:rPr>
          <w:b/>
          <w:bCs/>
          <w:lang w:val="fr-FR"/>
        </w:rPr>
        <w:t>4</w:t>
      </w:r>
      <w:r w:rsidR="00F72B31" w:rsidRPr="00F72B31">
        <w:rPr>
          <w:b/>
          <w:bCs/>
          <w:lang w:val="fr-FR"/>
        </w:rPr>
        <w:t>.</w:t>
      </w:r>
      <w:r w:rsidRPr="00E773DC">
        <w:rPr>
          <w:b/>
          <w:bCs/>
          <w:lang w:val="fr-FR"/>
        </w:rPr>
        <w:t>2 soit A</w:t>
      </w:r>
      <w:r w:rsidR="00F72B31" w:rsidRPr="00F72B31">
        <w:rPr>
          <w:b/>
          <w:bCs/>
          <w:lang w:val="fr-FR"/>
        </w:rPr>
        <w:t>.</w:t>
      </w:r>
      <w:r w:rsidRPr="00E773DC">
        <w:rPr>
          <w:b/>
          <w:bCs/>
          <w:lang w:val="fr-FR"/>
        </w:rPr>
        <w:t>1</w:t>
      </w:r>
      <w:r w:rsidR="00F72B31" w:rsidRPr="00F72B31">
        <w:rPr>
          <w:b/>
          <w:bCs/>
          <w:lang w:val="fr-FR"/>
        </w:rPr>
        <w:t>.</w:t>
      </w:r>
      <w:r w:rsidRPr="00E773DC">
        <w:rPr>
          <w:b/>
          <w:bCs/>
          <w:lang w:val="fr-FR"/>
        </w:rPr>
        <w:t>4</w:t>
      </w:r>
      <w:r w:rsidR="00F72B31" w:rsidRPr="00F72B31">
        <w:rPr>
          <w:b/>
          <w:bCs/>
          <w:lang w:val="fr-FR"/>
        </w:rPr>
        <w:t>.</w:t>
      </w:r>
      <w:r w:rsidRPr="00E773DC">
        <w:rPr>
          <w:b/>
          <w:bCs/>
          <w:lang w:val="fr-FR"/>
        </w:rPr>
        <w:t>3 ;</w:t>
      </w:r>
    </w:p>
    <w:p w14:paraId="54DAC766" w14:textId="77777777" w:rsidR="00B921D9" w:rsidRPr="00E1466E" w:rsidRDefault="00B921D9" w:rsidP="00B921D9">
      <w:pPr>
        <w:pStyle w:val="SingleTxtG"/>
        <w:ind w:left="3402" w:hanging="1134"/>
        <w:rPr>
          <w:spacing w:val="-3"/>
          <w:lang w:val="fr-FR" w:eastAsia="de-DE"/>
        </w:rPr>
      </w:pPr>
      <w:proofErr w:type="spellStart"/>
      <w:r w:rsidRPr="00E1466E">
        <w:rPr>
          <w:b/>
          <w:bCs/>
          <w:spacing w:val="-3"/>
          <w:lang w:val="fr-FR"/>
        </w:rPr>
        <w:t>CF</w:t>
      </w:r>
      <w:r w:rsidRPr="00E1466E">
        <w:rPr>
          <w:b/>
          <w:bCs/>
          <w:spacing w:val="-3"/>
          <w:vertAlign w:val="subscript"/>
          <w:lang w:val="fr-FR"/>
        </w:rPr>
        <w:t>warm</w:t>
      </w:r>
      <w:proofErr w:type="spellEnd"/>
      <w:r w:rsidRPr="00E1466E">
        <w:rPr>
          <w:b/>
          <w:bCs/>
          <w:spacing w:val="-3"/>
          <w:lang w:val="fr-FR"/>
        </w:rPr>
        <w:tab/>
        <w:t>est le facteur de conformité de la période de fonctionnement à chaud lors de l’essai, qui doit être égal au 90</w:t>
      </w:r>
      <w:r w:rsidRPr="00E1466E">
        <w:rPr>
          <w:b/>
          <w:bCs/>
          <w:spacing w:val="-3"/>
          <w:vertAlign w:val="superscript"/>
          <w:lang w:val="fr-FR"/>
        </w:rPr>
        <w:t>e</w:t>
      </w:r>
      <w:r w:rsidRPr="00E1466E">
        <w:rPr>
          <w:b/>
          <w:bCs/>
          <w:spacing w:val="-3"/>
          <w:lang w:val="fr-FR"/>
        </w:rPr>
        <w:t> percentile cumulé des facteurs de conformité déterminés pour ce polluant conformément aux procédures de calcul spécifiées aux paragraphes A</w:t>
      </w:r>
      <w:r w:rsidR="00F72B31" w:rsidRPr="00F72B31">
        <w:rPr>
          <w:b/>
          <w:bCs/>
          <w:spacing w:val="-3"/>
          <w:lang w:val="fr-FR"/>
        </w:rPr>
        <w:t>.</w:t>
      </w:r>
      <w:r w:rsidRPr="00E1466E">
        <w:rPr>
          <w:b/>
          <w:bCs/>
          <w:spacing w:val="-3"/>
          <w:lang w:val="fr-FR"/>
        </w:rPr>
        <w:t>1</w:t>
      </w:r>
      <w:r w:rsidR="00F72B31" w:rsidRPr="00F72B31">
        <w:rPr>
          <w:b/>
          <w:bCs/>
          <w:spacing w:val="-3"/>
          <w:lang w:val="fr-FR"/>
        </w:rPr>
        <w:t>.</w:t>
      </w:r>
      <w:r w:rsidRPr="00E1466E">
        <w:rPr>
          <w:b/>
          <w:bCs/>
          <w:spacing w:val="-3"/>
          <w:lang w:val="fr-FR"/>
        </w:rPr>
        <w:t>4</w:t>
      </w:r>
      <w:r w:rsidR="00F72B31" w:rsidRPr="00F72B31">
        <w:rPr>
          <w:b/>
          <w:bCs/>
          <w:spacing w:val="-3"/>
          <w:lang w:val="fr-FR"/>
        </w:rPr>
        <w:t>.</w:t>
      </w:r>
      <w:r w:rsidRPr="00E1466E">
        <w:rPr>
          <w:b/>
          <w:bCs/>
          <w:spacing w:val="-3"/>
          <w:lang w:val="fr-FR"/>
        </w:rPr>
        <w:t>1 et, selon le cas, soit A</w:t>
      </w:r>
      <w:r w:rsidR="00F72B31" w:rsidRPr="00F72B31">
        <w:rPr>
          <w:b/>
          <w:bCs/>
          <w:spacing w:val="-3"/>
          <w:lang w:val="fr-FR"/>
        </w:rPr>
        <w:t>.</w:t>
      </w:r>
      <w:r w:rsidRPr="00E1466E">
        <w:rPr>
          <w:b/>
          <w:bCs/>
          <w:spacing w:val="-3"/>
          <w:lang w:val="fr-FR"/>
        </w:rPr>
        <w:t>1</w:t>
      </w:r>
      <w:r w:rsidR="00F72B31" w:rsidRPr="00F72B31">
        <w:rPr>
          <w:b/>
          <w:bCs/>
          <w:spacing w:val="-3"/>
          <w:lang w:val="fr-FR"/>
        </w:rPr>
        <w:t>.</w:t>
      </w:r>
      <w:r w:rsidRPr="00E1466E">
        <w:rPr>
          <w:b/>
          <w:bCs/>
          <w:spacing w:val="-3"/>
          <w:lang w:val="fr-FR"/>
        </w:rPr>
        <w:t>4</w:t>
      </w:r>
      <w:r w:rsidR="00F72B31" w:rsidRPr="00F72B31">
        <w:rPr>
          <w:b/>
          <w:bCs/>
          <w:spacing w:val="-3"/>
          <w:lang w:val="fr-FR"/>
        </w:rPr>
        <w:t>.</w:t>
      </w:r>
      <w:r w:rsidRPr="00E1466E">
        <w:rPr>
          <w:b/>
          <w:bCs/>
          <w:spacing w:val="-3"/>
          <w:lang w:val="fr-FR"/>
        </w:rPr>
        <w:t>2 soit A</w:t>
      </w:r>
      <w:r w:rsidR="00F72B31" w:rsidRPr="00F72B31">
        <w:rPr>
          <w:b/>
          <w:bCs/>
          <w:spacing w:val="-3"/>
          <w:lang w:val="fr-FR"/>
        </w:rPr>
        <w:t>.</w:t>
      </w:r>
      <w:r w:rsidRPr="00E1466E">
        <w:rPr>
          <w:b/>
          <w:bCs/>
          <w:spacing w:val="-3"/>
          <w:lang w:val="fr-FR"/>
        </w:rPr>
        <w:t>1</w:t>
      </w:r>
      <w:r w:rsidR="00F72B31" w:rsidRPr="00F72B31">
        <w:rPr>
          <w:b/>
          <w:bCs/>
          <w:spacing w:val="-3"/>
          <w:lang w:val="fr-FR"/>
        </w:rPr>
        <w:t>.</w:t>
      </w:r>
      <w:r w:rsidRPr="00E1466E">
        <w:rPr>
          <w:b/>
          <w:bCs/>
          <w:spacing w:val="-3"/>
          <w:lang w:val="fr-FR"/>
        </w:rPr>
        <w:t>4</w:t>
      </w:r>
      <w:r w:rsidR="00F72B31" w:rsidRPr="00F72B31">
        <w:rPr>
          <w:b/>
          <w:bCs/>
          <w:spacing w:val="-3"/>
          <w:lang w:val="fr-FR"/>
        </w:rPr>
        <w:t>.</w:t>
      </w:r>
      <w:r w:rsidRPr="00E1466E">
        <w:rPr>
          <w:b/>
          <w:bCs/>
          <w:spacing w:val="-3"/>
          <w:lang w:val="fr-FR"/>
        </w:rPr>
        <w:t>3, lorsque l’évaluation des données est lancée après que la température du liquide de refroidissement a atteint 343 K (70 °C) pour la première fois</w:t>
      </w:r>
      <w:r w:rsidR="00F72B31" w:rsidRPr="00F72B31">
        <w:rPr>
          <w:b/>
          <w:bCs/>
          <w:spacing w:val="-3"/>
          <w:lang w:val="fr-FR"/>
        </w:rPr>
        <w:t>.</w:t>
      </w:r>
      <w:r w:rsidRPr="00E1466E">
        <w:rPr>
          <w:spacing w:val="-3"/>
          <w:lang w:val="fr-FR"/>
        </w:rPr>
        <w:t> »</w:t>
      </w:r>
      <w:r w:rsidR="00F72B31" w:rsidRPr="00F72B31">
        <w:rPr>
          <w:spacing w:val="-3"/>
          <w:lang w:val="fr-FR"/>
        </w:rPr>
        <w:t>.</w:t>
      </w:r>
    </w:p>
    <w:p w14:paraId="6820675F" w14:textId="77777777" w:rsidR="00B921D9" w:rsidRPr="00E773DC" w:rsidRDefault="00B921D9" w:rsidP="00B921D9">
      <w:pPr>
        <w:pStyle w:val="SingleTxtG"/>
        <w:ind w:left="2268" w:hanging="1134"/>
        <w:rPr>
          <w:i/>
          <w:iCs/>
          <w:lang w:val="fr-FR" w:eastAsia="de-DE"/>
        </w:rPr>
      </w:pPr>
      <w:r w:rsidRPr="008B2466">
        <w:rPr>
          <w:i/>
          <w:iCs/>
          <w:lang w:val="fr-FR" w:eastAsia="de-DE"/>
        </w:rPr>
        <w:lastRenderedPageBreak/>
        <w:t>Annexe 8, appendice 2</w:t>
      </w:r>
    </w:p>
    <w:p w14:paraId="3E2AA71D" w14:textId="77777777" w:rsidR="00B921D9" w:rsidRPr="00E773DC" w:rsidRDefault="00B921D9" w:rsidP="00B921D9">
      <w:pPr>
        <w:pStyle w:val="SingleTxtG"/>
        <w:ind w:left="2268" w:hanging="1134"/>
        <w:rPr>
          <w:lang w:val="fr-FR" w:eastAsia="de-DE"/>
        </w:rPr>
      </w:pPr>
      <w:r w:rsidRPr="00E773DC">
        <w:rPr>
          <w:i/>
          <w:iCs/>
          <w:lang w:val="fr-FR" w:eastAsia="de-DE"/>
        </w:rPr>
        <w:t>Paragraphe A</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1</w:t>
      </w:r>
      <w:r w:rsidRPr="00E773DC">
        <w:rPr>
          <w:lang w:val="fr-FR" w:eastAsia="de-DE"/>
        </w:rPr>
        <w:t>, lire :</w:t>
      </w:r>
    </w:p>
    <w:p w14:paraId="0559EA31" w14:textId="77777777" w:rsidR="00B921D9" w:rsidRPr="00E773DC" w:rsidRDefault="00B921D9" w:rsidP="00B921D9">
      <w:pPr>
        <w:pStyle w:val="SingleTxtG"/>
        <w:ind w:left="2268" w:hanging="1134"/>
        <w:rPr>
          <w:lang w:val="fr-FR" w:eastAsia="de-DE"/>
        </w:rPr>
      </w:pPr>
      <w:r w:rsidRPr="00E773DC">
        <w:rPr>
          <w:lang w:val="fr-FR" w:eastAsia="de-DE"/>
        </w:rPr>
        <w:t>« 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1</w:t>
      </w:r>
      <w:r w:rsidRPr="00E773DC">
        <w:rPr>
          <w:lang w:val="fr-FR" w:eastAsia="de-DE"/>
        </w:rPr>
        <w:tab/>
        <w:t>Généralités</w:t>
      </w:r>
    </w:p>
    <w:p w14:paraId="657A076E" w14:textId="77777777" w:rsidR="00B921D9" w:rsidRPr="00E773DC" w:rsidRDefault="00B921D9" w:rsidP="00B921D9">
      <w:pPr>
        <w:pStyle w:val="SingleTxtG"/>
        <w:ind w:left="2268"/>
        <w:rPr>
          <w:lang w:val="fr-FR" w:eastAsia="de-DE"/>
        </w:rPr>
      </w:pPr>
      <w:r w:rsidRPr="004F7E6A">
        <w:rPr>
          <w:strike/>
          <w:lang w:val="fr-FR" w:eastAsia="de-DE"/>
        </w:rPr>
        <w:t>Les émissions gazeuses doivent être mesurées conformément à la procédure énoncée à l</w:t>
      </w:r>
      <w:r>
        <w:rPr>
          <w:strike/>
          <w:lang w:val="fr-FR" w:eastAsia="de-DE"/>
        </w:rPr>
        <w:t>’</w:t>
      </w:r>
      <w:r w:rsidRPr="004F7E6A">
        <w:rPr>
          <w:strike/>
          <w:lang w:val="fr-FR" w:eastAsia="de-DE"/>
        </w:rPr>
        <w:t>appendice 1 de la présente annexe</w:t>
      </w:r>
      <w:r w:rsidR="00F72B31" w:rsidRPr="00F72B31">
        <w:rPr>
          <w:strike/>
          <w:lang w:val="fr-FR" w:eastAsia="de-DE"/>
        </w:rPr>
        <w:t>.</w:t>
      </w:r>
      <w:r w:rsidRPr="004F7E6A">
        <w:rPr>
          <w:strike/>
          <w:lang w:val="fr-FR" w:eastAsia="de-DE"/>
        </w:rPr>
        <w:t xml:space="preserve"> Le présent appendice décrit les caractéristiques de l</w:t>
      </w:r>
      <w:r>
        <w:rPr>
          <w:strike/>
          <w:lang w:val="fr-FR" w:eastAsia="de-DE"/>
        </w:rPr>
        <w:t>’</w:t>
      </w:r>
      <w:r w:rsidRPr="004F7E6A">
        <w:rPr>
          <w:strike/>
          <w:lang w:val="fr-FR" w:eastAsia="de-DE"/>
        </w:rPr>
        <w:t>équipement de mesure portable qui doit être utilisé pour effectuer ces essais</w:t>
      </w:r>
      <w:r w:rsidR="00F72B31" w:rsidRPr="00F72B31">
        <w:rPr>
          <w:strike/>
          <w:lang w:val="fr-FR" w:eastAsia="de-DE"/>
        </w:rPr>
        <w:t>.</w:t>
      </w:r>
      <w:r w:rsidRPr="00E773DC">
        <w:rPr>
          <w:strike/>
          <w:lang w:val="fr-FR" w:eastAsia="de-DE"/>
        </w:rPr>
        <w:t xml:space="preserve"> </w:t>
      </w:r>
      <w:r w:rsidRPr="00E773DC">
        <w:rPr>
          <w:b/>
          <w:bCs/>
          <w:lang w:val="fr-FR" w:eastAsia="de-DE"/>
        </w:rPr>
        <w:t>Les émissions gazeuses et le nombre de particules doivent être mesurés conformément à la procédure définie à l</w:t>
      </w:r>
      <w:r>
        <w:rPr>
          <w:b/>
          <w:bCs/>
          <w:lang w:val="fr-FR" w:eastAsia="de-DE"/>
        </w:rPr>
        <w:t>’</w:t>
      </w:r>
      <w:r w:rsidRPr="00E773DC">
        <w:rPr>
          <w:b/>
          <w:bCs/>
          <w:lang w:val="fr-FR" w:eastAsia="de-DE"/>
        </w:rPr>
        <w:t>appendice</w:t>
      </w:r>
      <w:r>
        <w:rPr>
          <w:b/>
          <w:bCs/>
          <w:lang w:val="fr-FR" w:eastAsia="de-DE"/>
        </w:rPr>
        <w:t> </w:t>
      </w:r>
      <w:r w:rsidRPr="00E773DC">
        <w:rPr>
          <w:b/>
          <w:bCs/>
          <w:lang w:val="fr-FR" w:eastAsia="de-DE"/>
        </w:rPr>
        <w:t>1</w:t>
      </w:r>
      <w:r w:rsidRPr="00FA4A44">
        <w:t xml:space="preserve"> </w:t>
      </w:r>
      <w:r w:rsidRPr="00531112">
        <w:rPr>
          <w:b/>
          <w:bCs/>
          <w:lang w:val="fr-FR" w:eastAsia="de-DE"/>
        </w:rPr>
        <w:t>de la présente annexe</w:t>
      </w:r>
      <w:r w:rsidR="00F72B31" w:rsidRPr="00F72B31">
        <w:rPr>
          <w:b/>
          <w:bCs/>
          <w:lang w:val="fr-FR" w:eastAsia="de-DE"/>
        </w:rPr>
        <w:t>.</w:t>
      </w:r>
      <w:r w:rsidRPr="00E773DC">
        <w:rPr>
          <w:b/>
          <w:bCs/>
          <w:lang w:val="fr-FR" w:eastAsia="de-DE"/>
        </w:rPr>
        <w:t xml:space="preserve"> </w:t>
      </w:r>
      <w:r>
        <w:rPr>
          <w:b/>
          <w:bCs/>
          <w:lang w:val="fr-FR" w:eastAsia="de-DE"/>
        </w:rPr>
        <w:t>Dans l</w:t>
      </w:r>
      <w:r w:rsidRPr="00E773DC">
        <w:rPr>
          <w:b/>
          <w:bCs/>
          <w:lang w:val="fr-FR" w:eastAsia="de-DE"/>
        </w:rPr>
        <w:t xml:space="preserve">e présent appendice </w:t>
      </w:r>
      <w:r>
        <w:rPr>
          <w:b/>
          <w:bCs/>
          <w:lang w:val="fr-FR" w:eastAsia="de-DE"/>
        </w:rPr>
        <w:t xml:space="preserve">sont </w:t>
      </w:r>
      <w:r w:rsidRPr="00E773DC">
        <w:rPr>
          <w:b/>
          <w:bCs/>
          <w:lang w:val="fr-FR" w:eastAsia="de-DE"/>
        </w:rPr>
        <w:t>décrit</w:t>
      </w:r>
      <w:r>
        <w:rPr>
          <w:b/>
          <w:bCs/>
          <w:lang w:val="fr-FR" w:eastAsia="de-DE"/>
        </w:rPr>
        <w:t>es</w:t>
      </w:r>
      <w:r w:rsidRPr="00E773DC">
        <w:rPr>
          <w:b/>
          <w:bCs/>
          <w:lang w:val="fr-FR" w:eastAsia="de-DE"/>
        </w:rPr>
        <w:t xml:space="preserve"> les caractéristiques de l</w:t>
      </w:r>
      <w:r>
        <w:rPr>
          <w:b/>
          <w:bCs/>
          <w:lang w:val="fr-FR" w:eastAsia="de-DE"/>
        </w:rPr>
        <w:t>’</w:t>
      </w:r>
      <w:r w:rsidRPr="00E773DC">
        <w:rPr>
          <w:b/>
          <w:bCs/>
          <w:lang w:val="fr-FR" w:eastAsia="de-DE"/>
        </w:rPr>
        <w:t>équipement de mesure portable qui doit être utilisé pour effectuer ces essais</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157BF88E" w14:textId="77777777" w:rsidR="00B921D9" w:rsidRPr="00E773DC" w:rsidRDefault="00B921D9" w:rsidP="00B921D9">
      <w:pPr>
        <w:pStyle w:val="SingleTxtG"/>
        <w:ind w:left="2268" w:hanging="1134"/>
        <w:rPr>
          <w:lang w:val="fr-FR" w:eastAsia="de-DE"/>
        </w:rPr>
      </w:pPr>
      <w:r w:rsidRPr="00E773DC">
        <w:rPr>
          <w:i/>
          <w:iCs/>
          <w:lang w:val="fr-FR" w:eastAsia="de-DE"/>
        </w:rPr>
        <w:t>Ajouter un nouveau paragraphe A</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5</w:t>
      </w:r>
      <w:r w:rsidRPr="00E773DC">
        <w:rPr>
          <w:lang w:val="fr-FR" w:eastAsia="de-DE"/>
        </w:rPr>
        <w:t>, libellé comme suit :</w:t>
      </w:r>
    </w:p>
    <w:p w14:paraId="4FFB2126" w14:textId="77777777" w:rsidR="00B921D9" w:rsidRPr="00E773DC" w:rsidRDefault="00B921D9" w:rsidP="00B921D9">
      <w:pPr>
        <w:pStyle w:val="SingleTxtG"/>
        <w:ind w:left="2268" w:hanging="1134"/>
        <w:rPr>
          <w:b/>
          <w:bCs/>
          <w:lang w:val="fr-FR" w:eastAsia="de-DE"/>
        </w:rPr>
      </w:pPr>
      <w:r w:rsidRPr="00E773DC">
        <w:rPr>
          <w:lang w:val="fr-FR" w:eastAsia="de-DE"/>
        </w:rPr>
        <w:t>« </w:t>
      </w:r>
      <w:r w:rsidRPr="00E773DC">
        <w:rPr>
          <w:b/>
          <w:bCs/>
          <w:lang w:val="fr-FR"/>
        </w:rPr>
        <w:t>A</w:t>
      </w:r>
      <w:r w:rsidR="00F72B31" w:rsidRPr="00F72B31">
        <w:rPr>
          <w:b/>
          <w:bCs/>
          <w:lang w:val="fr-FR"/>
        </w:rPr>
        <w:t>.</w:t>
      </w:r>
      <w:r w:rsidRPr="00E773DC">
        <w:rPr>
          <w:b/>
          <w:bCs/>
          <w:lang w:val="fr-FR"/>
        </w:rPr>
        <w:t>2</w:t>
      </w:r>
      <w:r w:rsidR="00F72B31" w:rsidRPr="00F72B31">
        <w:rPr>
          <w:b/>
          <w:bCs/>
          <w:lang w:val="fr-FR"/>
        </w:rPr>
        <w:t>.</w:t>
      </w:r>
      <w:r w:rsidRPr="00E773DC">
        <w:rPr>
          <w:b/>
          <w:bCs/>
          <w:lang w:val="fr-FR" w:eastAsia="de-DE"/>
        </w:rPr>
        <w:t>2</w:t>
      </w:r>
      <w:r w:rsidR="00F72B31" w:rsidRPr="00F72B31">
        <w:rPr>
          <w:b/>
          <w:bCs/>
          <w:lang w:val="fr-FR" w:eastAsia="de-DE"/>
        </w:rPr>
        <w:t>.</w:t>
      </w:r>
      <w:r w:rsidRPr="00E773DC">
        <w:rPr>
          <w:b/>
          <w:bCs/>
          <w:lang w:val="fr-FR" w:eastAsia="de-DE"/>
        </w:rPr>
        <w:t>5</w:t>
      </w:r>
      <w:r w:rsidRPr="00E773DC">
        <w:rPr>
          <w:b/>
          <w:bCs/>
          <w:lang w:val="fr-FR" w:eastAsia="de-DE"/>
        </w:rPr>
        <w:tab/>
        <w:t xml:space="preserve">Analyseurs de </w:t>
      </w:r>
      <w:r>
        <w:rPr>
          <w:b/>
          <w:bCs/>
          <w:lang w:val="fr-FR" w:eastAsia="de-DE"/>
        </w:rPr>
        <w:t>particules</w:t>
      </w:r>
    </w:p>
    <w:p w14:paraId="7033862B"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1</w:t>
      </w:r>
      <w:r w:rsidRPr="00E773DC">
        <w:rPr>
          <w:b/>
          <w:bCs/>
          <w:lang w:val="fr-FR" w:eastAsia="de-DE"/>
        </w:rPr>
        <w:tab/>
        <w:t>Généralités</w:t>
      </w:r>
    </w:p>
    <w:p w14:paraId="03AF17E3"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1</w:t>
      </w:r>
      <w:r w:rsidRPr="00E773DC">
        <w:rPr>
          <w:b/>
          <w:bCs/>
          <w:lang w:val="fr-FR" w:eastAsia="de-DE"/>
        </w:rPr>
        <w:tab/>
      </w:r>
      <w:r>
        <w:rPr>
          <w:b/>
          <w:bCs/>
          <w:lang w:val="fr-FR" w:eastAsia="de-DE"/>
        </w:rPr>
        <w:t>Le compteur de particules</w:t>
      </w:r>
      <w:r w:rsidRPr="00E773DC">
        <w:rPr>
          <w:b/>
          <w:bCs/>
          <w:lang w:val="fr-FR" w:eastAsia="de-DE"/>
        </w:rPr>
        <w:t xml:space="preserve"> doit être composé d</w:t>
      </w:r>
      <w:r>
        <w:rPr>
          <w:b/>
          <w:bCs/>
          <w:lang w:val="fr-FR" w:eastAsia="de-DE"/>
        </w:rPr>
        <w:t>’</w:t>
      </w:r>
      <w:r w:rsidRPr="00E773DC">
        <w:rPr>
          <w:b/>
          <w:bCs/>
          <w:lang w:val="fr-FR" w:eastAsia="de-DE"/>
        </w:rPr>
        <w:t xml:space="preserve">un </w:t>
      </w:r>
      <w:r>
        <w:rPr>
          <w:b/>
          <w:bCs/>
          <w:lang w:val="fr-FR" w:eastAsia="de-DE"/>
        </w:rPr>
        <w:t>dispositif</w:t>
      </w:r>
      <w:r w:rsidRPr="00E773DC">
        <w:rPr>
          <w:b/>
          <w:bCs/>
          <w:lang w:val="fr-FR" w:eastAsia="de-DE"/>
        </w:rPr>
        <w:t xml:space="preserve"> de </w:t>
      </w:r>
      <w:proofErr w:type="spellStart"/>
      <w:r w:rsidRPr="00E773DC">
        <w:rPr>
          <w:b/>
          <w:bCs/>
          <w:lang w:val="fr-FR" w:eastAsia="de-DE"/>
        </w:rPr>
        <w:t>préconditionnement</w:t>
      </w:r>
      <w:proofErr w:type="spellEnd"/>
      <w:r w:rsidRPr="00E773DC">
        <w:rPr>
          <w:b/>
          <w:bCs/>
          <w:lang w:val="fr-FR" w:eastAsia="de-DE"/>
        </w:rPr>
        <w:t xml:space="preserve"> et d</w:t>
      </w:r>
      <w:r>
        <w:rPr>
          <w:b/>
          <w:bCs/>
          <w:lang w:val="fr-FR" w:eastAsia="de-DE"/>
        </w:rPr>
        <w:t>’</w:t>
      </w:r>
      <w:r w:rsidRPr="00E773DC">
        <w:rPr>
          <w:b/>
          <w:bCs/>
          <w:lang w:val="fr-FR" w:eastAsia="de-DE"/>
        </w:rPr>
        <w:t>un détecteur de particules (voir fig</w:t>
      </w:r>
      <w:r w:rsidR="00F72B31" w:rsidRPr="00F72B31">
        <w:rPr>
          <w:b/>
          <w:bCs/>
          <w:lang w:val="fr-FR" w:eastAsia="de-DE"/>
        </w:rPr>
        <w:t>.</w:t>
      </w:r>
      <w:r>
        <w:rPr>
          <w:b/>
          <w:bCs/>
          <w:lang w:val="fr-FR" w:eastAsia="de-DE"/>
        </w:rPr>
        <w:t> </w:t>
      </w:r>
      <w:r w:rsidRPr="00E773DC">
        <w:rPr>
          <w:b/>
          <w:bCs/>
          <w:lang w:val="fr-FR" w:eastAsia="de-DE"/>
        </w:rPr>
        <w:t>1)</w:t>
      </w:r>
      <w:r w:rsidR="00F72B31" w:rsidRPr="00F72B31">
        <w:rPr>
          <w:b/>
          <w:bCs/>
          <w:lang w:val="fr-FR" w:eastAsia="de-DE"/>
        </w:rPr>
        <w:t>.</w:t>
      </w:r>
      <w:r w:rsidRPr="00E773DC">
        <w:rPr>
          <w:b/>
          <w:bCs/>
          <w:lang w:val="fr-FR" w:eastAsia="de-DE"/>
        </w:rPr>
        <w:t xml:space="preserve"> Le détecteur de particules peut également préconditionner l</w:t>
      </w:r>
      <w:r>
        <w:rPr>
          <w:b/>
          <w:bCs/>
          <w:lang w:val="fr-FR" w:eastAsia="de-DE"/>
        </w:rPr>
        <w:t>’</w:t>
      </w:r>
      <w:r w:rsidRPr="00E773DC">
        <w:rPr>
          <w:b/>
          <w:bCs/>
          <w:lang w:val="fr-FR" w:eastAsia="de-DE"/>
        </w:rPr>
        <w:t>aérosol</w:t>
      </w:r>
      <w:r w:rsidR="00F72B31" w:rsidRPr="00F72B31">
        <w:rPr>
          <w:b/>
          <w:bCs/>
          <w:lang w:val="fr-FR" w:eastAsia="de-DE"/>
        </w:rPr>
        <w:t>.</w:t>
      </w:r>
      <w:r w:rsidRPr="00E773DC">
        <w:rPr>
          <w:b/>
          <w:bCs/>
          <w:lang w:val="fr-FR" w:eastAsia="de-DE"/>
        </w:rPr>
        <w:t xml:space="preserve"> La sensibilité de l</w:t>
      </w:r>
      <w:r>
        <w:rPr>
          <w:b/>
          <w:bCs/>
          <w:lang w:val="fr-FR" w:eastAsia="de-DE"/>
        </w:rPr>
        <w:t>’</w:t>
      </w:r>
      <w:r w:rsidRPr="00E773DC">
        <w:rPr>
          <w:b/>
          <w:bCs/>
          <w:lang w:val="fr-FR" w:eastAsia="de-DE"/>
        </w:rPr>
        <w:t>analyseur aux chocs, vibrations, vieillissement, variations de température et de pression atmosphérique, interférences électromagnétiques et autres éléments susceptibles d</w:t>
      </w:r>
      <w:r>
        <w:rPr>
          <w:b/>
          <w:bCs/>
          <w:lang w:val="fr-FR" w:eastAsia="de-DE"/>
        </w:rPr>
        <w:t>’</w:t>
      </w:r>
      <w:r w:rsidRPr="00E773DC">
        <w:rPr>
          <w:b/>
          <w:bCs/>
          <w:lang w:val="fr-FR" w:eastAsia="de-DE"/>
        </w:rPr>
        <w:t>affecter le fonctionnement du véhicule ou de l</w:t>
      </w:r>
      <w:r>
        <w:rPr>
          <w:b/>
          <w:bCs/>
          <w:lang w:val="fr-FR" w:eastAsia="de-DE"/>
        </w:rPr>
        <w:t>’</w:t>
      </w:r>
      <w:r w:rsidRPr="00E773DC">
        <w:rPr>
          <w:b/>
          <w:bCs/>
          <w:lang w:val="fr-FR" w:eastAsia="de-DE"/>
        </w:rPr>
        <w:t>analyseur doit dans la mesure du possible être réduite au minimum et doit être clairement indiquée dans l</w:t>
      </w:r>
      <w:r>
        <w:rPr>
          <w:b/>
          <w:bCs/>
          <w:lang w:val="fr-FR" w:eastAsia="de-DE"/>
        </w:rPr>
        <w:t>e</w:t>
      </w:r>
      <w:r w:rsidRPr="00E773DC">
        <w:rPr>
          <w:b/>
          <w:bCs/>
          <w:lang w:val="fr-FR" w:eastAsia="de-DE"/>
        </w:rPr>
        <w:t xml:space="preserve"> do</w:t>
      </w:r>
      <w:r>
        <w:rPr>
          <w:b/>
          <w:bCs/>
          <w:lang w:val="fr-FR" w:eastAsia="de-DE"/>
        </w:rPr>
        <w:t>ssier</w:t>
      </w:r>
      <w:r w:rsidRPr="00E773DC">
        <w:rPr>
          <w:b/>
          <w:bCs/>
          <w:lang w:val="fr-FR" w:eastAsia="de-DE"/>
        </w:rPr>
        <w:t xml:space="preserve"> </w:t>
      </w:r>
      <w:r>
        <w:rPr>
          <w:b/>
          <w:bCs/>
          <w:lang w:val="fr-FR" w:eastAsia="de-DE"/>
        </w:rPr>
        <w:t>explicatif</w:t>
      </w:r>
      <w:r w:rsidRPr="00E773DC">
        <w:rPr>
          <w:b/>
          <w:bCs/>
          <w:lang w:val="fr-FR" w:eastAsia="de-DE"/>
        </w:rPr>
        <w:t xml:space="preserve"> </w:t>
      </w:r>
      <w:r>
        <w:rPr>
          <w:b/>
          <w:bCs/>
          <w:lang w:val="fr-FR" w:eastAsia="de-DE"/>
        </w:rPr>
        <w:t>fourni</w:t>
      </w:r>
      <w:r w:rsidRPr="00E773DC">
        <w:rPr>
          <w:b/>
          <w:bCs/>
          <w:lang w:val="fr-FR" w:eastAsia="de-DE"/>
        </w:rPr>
        <w:t xml:space="preserve"> par le fabricant de l</w:t>
      </w:r>
      <w:r>
        <w:rPr>
          <w:b/>
          <w:bCs/>
          <w:lang w:val="fr-FR" w:eastAsia="de-DE"/>
        </w:rPr>
        <w:t>’</w:t>
      </w:r>
      <w:r w:rsidRPr="00E773DC">
        <w:rPr>
          <w:b/>
          <w:bCs/>
          <w:lang w:val="fr-FR" w:eastAsia="de-DE"/>
        </w:rPr>
        <w:t>instrument</w:t>
      </w:r>
      <w:r w:rsidR="00F72B31" w:rsidRPr="00F72B31">
        <w:rPr>
          <w:b/>
          <w:bCs/>
          <w:lang w:val="fr-FR" w:eastAsia="de-DE"/>
        </w:rPr>
        <w:t>.</w:t>
      </w:r>
      <w:r w:rsidRPr="00E773DC">
        <w:rPr>
          <w:b/>
          <w:bCs/>
          <w:lang w:val="fr-FR" w:eastAsia="de-DE"/>
        </w:rPr>
        <w:t xml:space="preserve"> </w:t>
      </w:r>
      <w:r>
        <w:rPr>
          <w:b/>
          <w:bCs/>
          <w:lang w:val="fr-FR" w:eastAsia="de-DE"/>
        </w:rPr>
        <w:t>Le compteur de particules</w:t>
      </w:r>
      <w:r w:rsidRPr="00E773DC">
        <w:rPr>
          <w:b/>
          <w:bCs/>
          <w:lang w:val="fr-FR" w:eastAsia="de-DE"/>
        </w:rPr>
        <w:t xml:space="preserve"> doit satisfaire aux </w:t>
      </w:r>
      <w:r>
        <w:rPr>
          <w:b/>
          <w:bCs/>
          <w:lang w:val="fr-FR" w:eastAsia="de-DE"/>
        </w:rPr>
        <w:t>dispositions</w:t>
      </w:r>
      <w:r w:rsidRPr="00E773DC">
        <w:rPr>
          <w:b/>
          <w:bCs/>
          <w:lang w:val="fr-FR" w:eastAsia="de-DE"/>
        </w:rPr>
        <w:t xml:space="preserve"> du présent Règlement et aux spécifications du fabricant de l</w:t>
      </w:r>
      <w:r>
        <w:rPr>
          <w:b/>
          <w:bCs/>
          <w:lang w:val="fr-FR" w:eastAsia="de-DE"/>
        </w:rPr>
        <w:t>’</w:t>
      </w:r>
      <w:r w:rsidRPr="00E773DC">
        <w:rPr>
          <w:b/>
          <w:bCs/>
          <w:lang w:val="fr-FR" w:eastAsia="de-DE"/>
        </w:rPr>
        <w:t>instrument</w:t>
      </w:r>
      <w:r w:rsidR="00F72B31" w:rsidRPr="00F72B31">
        <w:rPr>
          <w:b/>
          <w:bCs/>
          <w:lang w:val="fr-FR" w:eastAsia="de-DE"/>
        </w:rPr>
        <w:t>.</w:t>
      </w:r>
    </w:p>
    <w:p w14:paraId="6F34011B" w14:textId="77777777" w:rsidR="00B921D9" w:rsidRPr="00E773DC" w:rsidRDefault="00B921D9" w:rsidP="009D57C2">
      <w:pPr>
        <w:pStyle w:val="SingleTxtG"/>
        <w:spacing w:after="0"/>
        <w:jc w:val="left"/>
        <w:rPr>
          <w:b/>
          <w:bCs/>
          <w:lang w:val="fr-FR" w:eastAsia="de-DE"/>
        </w:rPr>
      </w:pPr>
      <w:r w:rsidRPr="00E773DC">
        <w:rPr>
          <w:b/>
          <w:bCs/>
          <w:lang w:val="fr-FR" w:eastAsia="de-DE"/>
        </w:rPr>
        <w:t>Figure 1</w:t>
      </w:r>
      <w:r w:rsidR="009D57C2">
        <w:rPr>
          <w:b/>
          <w:bCs/>
          <w:lang w:val="fr-FR" w:eastAsia="de-DE"/>
        </w:rPr>
        <w:t xml:space="preserve"> </w:t>
      </w:r>
      <w:r w:rsidR="009D57C2">
        <w:rPr>
          <w:b/>
          <w:bCs/>
          <w:lang w:val="fr-FR" w:eastAsia="de-DE"/>
        </w:rPr>
        <w:br/>
      </w:r>
      <w:r w:rsidRPr="00E773DC">
        <w:rPr>
          <w:b/>
          <w:bCs/>
          <w:lang w:val="fr-FR" w:eastAsia="de-DE"/>
        </w:rPr>
        <w:t>Exemple de configuration d</w:t>
      </w:r>
      <w:r>
        <w:rPr>
          <w:b/>
          <w:bCs/>
          <w:lang w:val="fr-FR" w:eastAsia="de-DE"/>
        </w:rPr>
        <w:t>’</w:t>
      </w:r>
      <w:r w:rsidRPr="00E773DC">
        <w:rPr>
          <w:b/>
          <w:bCs/>
          <w:lang w:val="fr-FR" w:eastAsia="de-DE"/>
        </w:rPr>
        <w:t xml:space="preserve">un </w:t>
      </w:r>
      <w:r>
        <w:rPr>
          <w:b/>
          <w:bCs/>
          <w:lang w:val="fr-FR" w:eastAsia="de-DE"/>
        </w:rPr>
        <w:t>compteur de particules</w:t>
      </w:r>
    </w:p>
    <w:p w14:paraId="391B5801" w14:textId="77777777" w:rsidR="0052312C" w:rsidRDefault="008B2466" w:rsidP="0052312C">
      <w:pPr>
        <w:pStyle w:val="SingleTxtG"/>
        <w:rPr>
          <w:b/>
          <w:bCs/>
          <w:lang w:val="fr-FR" w:eastAsia="de-DE"/>
        </w:rPr>
      </w:pPr>
      <w:r w:rsidRPr="00CE6C33">
        <w:rPr>
          <w:b/>
          <w:bCs/>
          <w:i/>
          <w:iCs/>
          <w:noProof/>
          <w:lang w:val="fr-FR" w:eastAsia="de-DE"/>
        </w:rPr>
        <mc:AlternateContent>
          <mc:Choice Requires="wps">
            <w:drawing>
              <wp:anchor distT="45720" distB="45720" distL="114300" distR="114300" simplePos="0" relativeHeight="251653632" behindDoc="0" locked="0" layoutInCell="1" allowOverlap="1" wp14:anchorId="650B1D07" wp14:editId="7665735A">
                <wp:simplePos x="0" y="0"/>
                <wp:positionH relativeFrom="column">
                  <wp:posOffset>4264583</wp:posOffset>
                </wp:positionH>
                <wp:positionV relativeFrom="paragraph">
                  <wp:posOffset>2983286</wp:posOffset>
                </wp:positionV>
                <wp:extent cx="1586865" cy="301625"/>
                <wp:effectExtent l="0" t="0" r="0" b="317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301625"/>
                        </a:xfrm>
                        <a:prstGeom prst="rect">
                          <a:avLst/>
                        </a:prstGeom>
                        <a:noFill/>
                        <a:ln w="9525">
                          <a:noFill/>
                          <a:miter lim="800000"/>
                          <a:headEnd/>
                          <a:tailEnd/>
                        </a:ln>
                      </wps:spPr>
                      <wps:txbx>
                        <w:txbxContent>
                          <w:p w14:paraId="0C879833" w14:textId="77777777" w:rsidR="00CE6C33" w:rsidRPr="008B2466" w:rsidRDefault="00CE6C33" w:rsidP="00CE6C33">
                            <w:pPr>
                              <w:rPr>
                                <w:b/>
                                <w:bCs/>
                                <w:sz w:val="18"/>
                                <w:szCs w:val="18"/>
                              </w:rPr>
                            </w:pPr>
                            <w:r w:rsidRPr="008B2466">
                              <w:rPr>
                                <w:b/>
                                <w:bCs/>
                                <w:sz w:val="18"/>
                                <w:szCs w:val="18"/>
                                <w:lang w:val="fr-FR" w:eastAsia="de-DE"/>
                              </w:rPr>
                              <w:t>Temps de montée</w:t>
                            </w:r>
                            <w:r w:rsidR="004917E1" w:rsidRPr="008B2466">
                              <w:rPr>
                                <w:b/>
                                <w:bCs/>
                                <w:sz w:val="18"/>
                                <w:szCs w:val="18"/>
                                <w:lang w:val="fr-FR" w:eastAsia="de-DE"/>
                              </w:rPr>
                              <w:t xml:space="preserve"> </w:t>
                            </w:r>
                            <w:r w:rsidR="004917E1" w:rsidRPr="008B2466">
                              <w:rPr>
                                <w:b/>
                                <w:bCs/>
                                <w:sz w:val="18"/>
                                <w:szCs w:val="18"/>
                                <w:lang w:val="fr-FR" w:eastAsia="de-DE"/>
                              </w:rPr>
                              <w:t>(t</w:t>
                            </w:r>
                            <w:r w:rsidR="004917E1" w:rsidRPr="008B2466">
                              <w:rPr>
                                <w:b/>
                                <w:bCs/>
                                <w:sz w:val="18"/>
                                <w:szCs w:val="18"/>
                                <w:lang w:val="fr-FR" w:eastAsia="de-DE"/>
                              </w:rPr>
                              <w:t>1</w:t>
                            </w:r>
                            <w:r w:rsidR="004917E1" w:rsidRPr="008B2466">
                              <w:rPr>
                                <w:b/>
                                <w:bCs/>
                                <w:sz w:val="18"/>
                                <w:szCs w:val="18"/>
                                <w:vertAlign w:val="subscript"/>
                                <w:lang w:val="fr-FR" w:eastAsia="de-DE"/>
                              </w:rPr>
                              <w:t>0</w:t>
                            </w:r>
                            <w:r w:rsidR="004917E1" w:rsidRPr="008B2466">
                              <w:rPr>
                                <w:b/>
                                <w:bCs/>
                                <w:sz w:val="18"/>
                                <w:szCs w:val="18"/>
                                <w:lang w:val="fr-FR" w:eastAsia="de-DE"/>
                              </w:rPr>
                              <w:t>-t</w:t>
                            </w:r>
                            <w:r w:rsidR="004917E1" w:rsidRPr="008B2466">
                              <w:rPr>
                                <w:b/>
                                <w:bCs/>
                                <w:sz w:val="18"/>
                                <w:szCs w:val="18"/>
                                <w:vertAlign w:val="subscript"/>
                                <w:lang w:val="fr-FR" w:eastAsia="de-DE"/>
                              </w:rPr>
                              <w:t>9</w:t>
                            </w:r>
                            <w:r w:rsidR="004917E1" w:rsidRPr="008B2466">
                              <w:rPr>
                                <w:b/>
                                <w:bCs/>
                                <w:sz w:val="18"/>
                                <w:szCs w:val="18"/>
                                <w:vertAlign w:val="subscript"/>
                                <w:lang w:val="fr-FR" w:eastAsia="de-DE"/>
                              </w:rPr>
                              <w:t>0</w:t>
                            </w:r>
                            <w:r w:rsidR="004917E1" w:rsidRPr="008B2466">
                              <w:rPr>
                                <w:b/>
                                <w:bCs/>
                                <w:sz w:val="18"/>
                                <w:szCs w:val="18"/>
                                <w:lang w:val="fr-FR"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B1D07" id="_x0000_t202" coordsize="21600,21600" o:spt="202" path="m,l,21600r21600,l21600,xe">
                <v:stroke joinstyle="miter"/>
                <v:path gradientshapeok="t" o:connecttype="rect"/>
              </v:shapetype>
              <v:shape id="Zone de texte 2" o:spid="_x0000_s1030" type="#_x0000_t202" style="position:absolute;left:0;text-align:left;margin-left:335.8pt;margin-top:234.9pt;width:124.95pt;height:23.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" filled="f" stroked="f">
                <v:textbox>
                  <w:txbxContent>
                    <w:p w14:paraId="0C879833" w14:textId="77777777" w:rsidR="00CE6C33" w:rsidRPr="008B2466" w:rsidRDefault="00CE6C33" w:rsidP="00CE6C33">
                      <w:pPr>
                        <w:rPr>
                          <w:b/>
                          <w:bCs/>
                          <w:sz w:val="18"/>
                          <w:szCs w:val="18"/>
                        </w:rPr>
                      </w:pPr>
                      <w:r w:rsidRPr="008B2466">
                        <w:rPr>
                          <w:b/>
                          <w:bCs/>
                          <w:sz w:val="18"/>
                          <w:szCs w:val="18"/>
                          <w:lang w:val="fr-FR" w:eastAsia="de-DE"/>
                        </w:rPr>
                        <w:t>Temps de montée</w:t>
                      </w:r>
                      <w:r w:rsidR="004917E1" w:rsidRPr="008B2466">
                        <w:rPr>
                          <w:b/>
                          <w:bCs/>
                          <w:sz w:val="18"/>
                          <w:szCs w:val="18"/>
                          <w:lang w:val="fr-FR" w:eastAsia="de-DE"/>
                        </w:rPr>
                        <w:t xml:space="preserve"> </w:t>
                      </w:r>
                      <w:r w:rsidR="004917E1" w:rsidRPr="008B2466">
                        <w:rPr>
                          <w:b/>
                          <w:bCs/>
                          <w:sz w:val="18"/>
                          <w:szCs w:val="18"/>
                          <w:lang w:val="fr-FR" w:eastAsia="de-DE"/>
                        </w:rPr>
                        <w:t>(t</w:t>
                      </w:r>
                      <w:r w:rsidR="004917E1" w:rsidRPr="008B2466">
                        <w:rPr>
                          <w:b/>
                          <w:bCs/>
                          <w:sz w:val="18"/>
                          <w:szCs w:val="18"/>
                          <w:lang w:val="fr-FR" w:eastAsia="de-DE"/>
                        </w:rPr>
                        <w:t>1</w:t>
                      </w:r>
                      <w:r w:rsidR="004917E1" w:rsidRPr="008B2466">
                        <w:rPr>
                          <w:b/>
                          <w:bCs/>
                          <w:sz w:val="18"/>
                          <w:szCs w:val="18"/>
                          <w:vertAlign w:val="subscript"/>
                          <w:lang w:val="fr-FR" w:eastAsia="de-DE"/>
                        </w:rPr>
                        <w:t>0</w:t>
                      </w:r>
                      <w:r w:rsidR="004917E1" w:rsidRPr="008B2466">
                        <w:rPr>
                          <w:b/>
                          <w:bCs/>
                          <w:sz w:val="18"/>
                          <w:szCs w:val="18"/>
                          <w:lang w:val="fr-FR" w:eastAsia="de-DE"/>
                        </w:rPr>
                        <w:t>-t</w:t>
                      </w:r>
                      <w:r w:rsidR="004917E1" w:rsidRPr="008B2466">
                        <w:rPr>
                          <w:b/>
                          <w:bCs/>
                          <w:sz w:val="18"/>
                          <w:szCs w:val="18"/>
                          <w:vertAlign w:val="subscript"/>
                          <w:lang w:val="fr-FR" w:eastAsia="de-DE"/>
                        </w:rPr>
                        <w:t>9</w:t>
                      </w:r>
                      <w:r w:rsidR="004917E1" w:rsidRPr="008B2466">
                        <w:rPr>
                          <w:b/>
                          <w:bCs/>
                          <w:sz w:val="18"/>
                          <w:szCs w:val="18"/>
                          <w:vertAlign w:val="subscript"/>
                          <w:lang w:val="fr-FR" w:eastAsia="de-DE"/>
                        </w:rPr>
                        <w:t>0</w:t>
                      </w:r>
                      <w:r w:rsidR="004917E1" w:rsidRPr="008B2466">
                        <w:rPr>
                          <w:b/>
                          <w:bCs/>
                          <w:sz w:val="18"/>
                          <w:szCs w:val="18"/>
                          <w:lang w:val="fr-FR" w:eastAsia="de-DE"/>
                        </w:rPr>
                        <w:t>)</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2099072" behindDoc="0" locked="0" layoutInCell="1" allowOverlap="1" wp14:anchorId="2D072D6C" wp14:editId="0766471A">
                <wp:simplePos x="0" y="0"/>
                <wp:positionH relativeFrom="column">
                  <wp:posOffset>4417060</wp:posOffset>
                </wp:positionH>
                <wp:positionV relativeFrom="paragraph">
                  <wp:posOffset>2850515</wp:posOffset>
                </wp:positionV>
                <wp:extent cx="448310" cy="198120"/>
                <wp:effectExtent l="0" t="0" r="8890" b="11430"/>
                <wp:wrapNone/>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8120"/>
                        </a:xfrm>
                        <a:prstGeom prst="rect">
                          <a:avLst/>
                        </a:prstGeom>
                        <a:noFill/>
                        <a:ln w="9525">
                          <a:noFill/>
                          <a:miter lim="800000"/>
                          <a:headEnd/>
                          <a:tailEnd/>
                        </a:ln>
                      </wps:spPr>
                      <wps:txbx>
                        <w:txbxContent>
                          <w:p w14:paraId="504F7FE7" w14:textId="77777777" w:rsidR="004917E1" w:rsidRPr="004917E1" w:rsidRDefault="004917E1" w:rsidP="004917E1">
                            <w:pPr>
                              <w:jc w:val="center"/>
                              <w:rPr>
                                <w:b/>
                                <w:bCs/>
                                <w:sz w:val="16"/>
                                <w:szCs w:val="16"/>
                              </w:rPr>
                            </w:pPr>
                            <w:r w:rsidRPr="004917E1">
                              <w:rPr>
                                <w:b/>
                                <w:bCs/>
                                <w:sz w:val="16"/>
                                <w:szCs w:val="16"/>
                                <w:lang w:val="fr-FR" w:eastAsia="de-DE"/>
                              </w:rPr>
                              <w:t>˂3</w:t>
                            </w:r>
                            <w:r w:rsidRPr="004917E1">
                              <w:rPr>
                                <w:b/>
                                <w:bCs/>
                                <w:sz w:val="16"/>
                                <w:szCs w:val="16"/>
                                <w:lang w:val="fr-FR" w:eastAsia="de-DE"/>
                              </w:rPr>
                              <w:t>,</w:t>
                            </w:r>
                            <w:r>
                              <w:rPr>
                                <w:b/>
                                <w:bCs/>
                                <w:sz w:val="16"/>
                                <w:szCs w:val="16"/>
                                <w:lang w:val="fr-FR" w:eastAsia="de-DE"/>
                              </w:rPr>
                              <w:t>5</w:t>
                            </w:r>
                            <w:r w:rsidRPr="004917E1">
                              <w:rPr>
                                <w:b/>
                                <w:bCs/>
                                <w:sz w:val="16"/>
                                <w:szCs w:val="16"/>
                                <w:lang w:val="fr-FR" w:eastAsia="de-DE"/>
                              </w:rPr>
                              <w:t xml:space="preserve"> 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72D6C" id="_x0000_s1031" type="#_x0000_t202" style="position:absolute;left:0;text-align:left;margin-left:347.8pt;margin-top:224.45pt;width:35.3pt;height:15.6pt;z-index:25209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" filled="f" stroked="f">
                <v:textbox inset="0,0,0,0">
                  <w:txbxContent>
                    <w:p w14:paraId="504F7FE7" w14:textId="77777777" w:rsidR="004917E1" w:rsidRPr="004917E1" w:rsidRDefault="004917E1" w:rsidP="004917E1">
                      <w:pPr>
                        <w:jc w:val="center"/>
                        <w:rPr>
                          <w:b/>
                          <w:bCs/>
                          <w:sz w:val="16"/>
                          <w:szCs w:val="16"/>
                        </w:rPr>
                      </w:pPr>
                      <w:r w:rsidRPr="004917E1">
                        <w:rPr>
                          <w:b/>
                          <w:bCs/>
                          <w:sz w:val="16"/>
                          <w:szCs w:val="16"/>
                          <w:lang w:val="fr-FR" w:eastAsia="de-DE"/>
                        </w:rPr>
                        <w:t>˂3</w:t>
                      </w:r>
                      <w:r w:rsidRPr="004917E1">
                        <w:rPr>
                          <w:b/>
                          <w:bCs/>
                          <w:sz w:val="16"/>
                          <w:szCs w:val="16"/>
                          <w:lang w:val="fr-FR" w:eastAsia="de-DE"/>
                        </w:rPr>
                        <w:t>,</w:t>
                      </w:r>
                      <w:r>
                        <w:rPr>
                          <w:b/>
                          <w:bCs/>
                          <w:sz w:val="16"/>
                          <w:szCs w:val="16"/>
                          <w:lang w:val="fr-FR" w:eastAsia="de-DE"/>
                        </w:rPr>
                        <w:t>5</w:t>
                      </w:r>
                      <w:r w:rsidRPr="004917E1">
                        <w:rPr>
                          <w:b/>
                          <w:bCs/>
                          <w:sz w:val="16"/>
                          <w:szCs w:val="16"/>
                          <w:lang w:val="fr-FR" w:eastAsia="de-DE"/>
                        </w:rPr>
                        <w:t xml:space="preserve"> 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2016128" behindDoc="0" locked="0" layoutInCell="1" allowOverlap="1" wp14:anchorId="79C27321" wp14:editId="33C7AC27">
                <wp:simplePos x="0" y="0"/>
                <wp:positionH relativeFrom="column">
                  <wp:posOffset>2234509</wp:posOffset>
                </wp:positionH>
                <wp:positionV relativeFrom="paragraph">
                  <wp:posOffset>2856119</wp:posOffset>
                </wp:positionV>
                <wp:extent cx="448310" cy="198120"/>
                <wp:effectExtent l="0" t="0" r="8890" b="1143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8120"/>
                        </a:xfrm>
                        <a:prstGeom prst="rect">
                          <a:avLst/>
                        </a:prstGeom>
                        <a:noFill/>
                        <a:ln w="9525">
                          <a:noFill/>
                          <a:miter lim="800000"/>
                          <a:headEnd/>
                          <a:tailEnd/>
                        </a:ln>
                      </wps:spPr>
                      <wps:txbx>
                        <w:txbxContent>
                          <w:p w14:paraId="18C0E69E" w14:textId="77777777" w:rsidR="00CE6C33" w:rsidRPr="004917E1" w:rsidRDefault="004917E1" w:rsidP="004917E1">
                            <w:pPr>
                              <w:jc w:val="center"/>
                              <w:rPr>
                                <w:b/>
                                <w:bCs/>
                                <w:sz w:val="16"/>
                                <w:szCs w:val="16"/>
                              </w:rPr>
                            </w:pPr>
                            <w:r w:rsidRPr="004917E1">
                              <w:rPr>
                                <w:b/>
                                <w:bCs/>
                                <w:sz w:val="16"/>
                                <w:szCs w:val="16"/>
                                <w:lang w:val="fr-FR" w:eastAsia="de-DE"/>
                              </w:rPr>
                              <w:t>˂3 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7321" id="_x0000_s1032" type="#_x0000_t202" style="position:absolute;left:0;text-align:left;margin-left:175.95pt;margin-top:224.9pt;width:35.3pt;height:15.6pt;z-index:25201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" filled="f" stroked="f">
                <v:textbox inset="0,0,0,0">
                  <w:txbxContent>
                    <w:p w14:paraId="18C0E69E" w14:textId="77777777" w:rsidR="00CE6C33" w:rsidRPr="004917E1" w:rsidRDefault="004917E1" w:rsidP="004917E1">
                      <w:pPr>
                        <w:jc w:val="center"/>
                        <w:rPr>
                          <w:b/>
                          <w:bCs/>
                          <w:sz w:val="16"/>
                          <w:szCs w:val="16"/>
                        </w:rPr>
                      </w:pPr>
                      <w:r w:rsidRPr="004917E1">
                        <w:rPr>
                          <w:b/>
                          <w:bCs/>
                          <w:sz w:val="16"/>
                          <w:szCs w:val="16"/>
                          <w:lang w:val="fr-FR" w:eastAsia="de-DE"/>
                        </w:rPr>
                        <w:t>˂3 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2178944" behindDoc="0" locked="0" layoutInCell="1" allowOverlap="1" wp14:anchorId="0E24350E" wp14:editId="1E14083F">
                <wp:simplePos x="0" y="0"/>
                <wp:positionH relativeFrom="column">
                  <wp:posOffset>3400481</wp:posOffset>
                </wp:positionH>
                <wp:positionV relativeFrom="paragraph">
                  <wp:posOffset>2856509</wp:posOffset>
                </wp:positionV>
                <wp:extent cx="448310" cy="198120"/>
                <wp:effectExtent l="0" t="0" r="8890" b="1143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98120"/>
                        </a:xfrm>
                        <a:prstGeom prst="rect">
                          <a:avLst/>
                        </a:prstGeom>
                        <a:noFill/>
                        <a:ln w="9525">
                          <a:noFill/>
                          <a:miter lim="800000"/>
                          <a:headEnd/>
                          <a:tailEnd/>
                        </a:ln>
                      </wps:spPr>
                      <wps:txbx>
                        <w:txbxContent>
                          <w:p w14:paraId="056B4B3B" w14:textId="77777777" w:rsidR="004917E1" w:rsidRPr="004917E1" w:rsidRDefault="004917E1" w:rsidP="004917E1">
                            <w:pPr>
                              <w:jc w:val="center"/>
                              <w:rPr>
                                <w:b/>
                                <w:bCs/>
                                <w:sz w:val="16"/>
                                <w:szCs w:val="16"/>
                              </w:rPr>
                            </w:pPr>
                            <w:r w:rsidRPr="004917E1">
                              <w:rPr>
                                <w:b/>
                                <w:bCs/>
                                <w:sz w:val="16"/>
                                <w:szCs w:val="16"/>
                                <w:lang w:val="fr-FR" w:eastAsia="de-DE"/>
                              </w:rPr>
                              <w:t>˂</w:t>
                            </w:r>
                            <w:r w:rsidRPr="004917E1">
                              <w:rPr>
                                <w:b/>
                                <w:bCs/>
                                <w:sz w:val="16"/>
                                <w:szCs w:val="16"/>
                                <w:lang w:val="fr-FR" w:eastAsia="de-DE"/>
                              </w:rPr>
                              <w:t>5</w:t>
                            </w:r>
                            <w:r w:rsidRPr="004917E1">
                              <w:rPr>
                                <w:b/>
                                <w:bCs/>
                                <w:sz w:val="16"/>
                                <w:szCs w:val="16"/>
                                <w:lang w:val="fr-FR" w:eastAsia="de-DE"/>
                              </w:rPr>
                              <w:t xml:space="preserve"> 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350E" id="_x0000_s1033" type="#_x0000_t202" style="position:absolute;left:0;text-align:left;margin-left:267.75pt;margin-top:224.9pt;width:35.3pt;height:15.6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" filled="f" stroked="f">
                <v:textbox inset="0,0,0,0">
                  <w:txbxContent>
                    <w:p w14:paraId="056B4B3B" w14:textId="77777777" w:rsidR="004917E1" w:rsidRPr="004917E1" w:rsidRDefault="004917E1" w:rsidP="004917E1">
                      <w:pPr>
                        <w:jc w:val="center"/>
                        <w:rPr>
                          <w:b/>
                          <w:bCs/>
                          <w:sz w:val="16"/>
                          <w:szCs w:val="16"/>
                        </w:rPr>
                      </w:pPr>
                      <w:r w:rsidRPr="004917E1">
                        <w:rPr>
                          <w:b/>
                          <w:bCs/>
                          <w:sz w:val="16"/>
                          <w:szCs w:val="16"/>
                          <w:lang w:val="fr-FR" w:eastAsia="de-DE"/>
                        </w:rPr>
                        <w:t>˂</w:t>
                      </w:r>
                      <w:r w:rsidRPr="004917E1">
                        <w:rPr>
                          <w:b/>
                          <w:bCs/>
                          <w:sz w:val="16"/>
                          <w:szCs w:val="16"/>
                          <w:lang w:val="fr-FR" w:eastAsia="de-DE"/>
                        </w:rPr>
                        <w:t>5</w:t>
                      </w:r>
                      <w:r w:rsidRPr="004917E1">
                        <w:rPr>
                          <w:b/>
                          <w:bCs/>
                          <w:sz w:val="16"/>
                          <w:szCs w:val="16"/>
                          <w:lang w:val="fr-FR" w:eastAsia="de-DE"/>
                        </w:rPr>
                        <w:t xml:space="preserve"> 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460096" behindDoc="0" locked="0" layoutInCell="1" allowOverlap="1" wp14:anchorId="018D082C" wp14:editId="1A7F24B4">
                <wp:simplePos x="0" y="0"/>
                <wp:positionH relativeFrom="column">
                  <wp:posOffset>4278630</wp:posOffset>
                </wp:positionH>
                <wp:positionV relativeFrom="paragraph">
                  <wp:posOffset>1203960</wp:posOffset>
                </wp:positionV>
                <wp:extent cx="741680" cy="491490"/>
                <wp:effectExtent l="0" t="0" r="0" b="381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91490"/>
                        </a:xfrm>
                        <a:prstGeom prst="rect">
                          <a:avLst/>
                        </a:prstGeom>
                        <a:noFill/>
                        <a:ln w="9525">
                          <a:noFill/>
                          <a:miter lim="800000"/>
                          <a:headEnd/>
                          <a:tailEnd/>
                        </a:ln>
                      </wps:spPr>
                      <wps:txbx>
                        <w:txbxContent>
                          <w:p w14:paraId="729A61EB" w14:textId="77777777" w:rsidR="00CE6C33" w:rsidRPr="004917E1" w:rsidRDefault="00CE6C33" w:rsidP="004917E1">
                            <w:pPr>
                              <w:spacing w:line="240" w:lineRule="auto"/>
                              <w:jc w:val="center"/>
                              <w:rPr>
                                <w:sz w:val="16"/>
                                <w:szCs w:val="16"/>
                              </w:rPr>
                            </w:pPr>
                            <w:r w:rsidRPr="004917E1">
                              <w:rPr>
                                <w:b/>
                                <w:bCs/>
                                <w:sz w:val="16"/>
                                <w:szCs w:val="16"/>
                                <w:lang w:val="fr-FR" w:eastAsia="de-DE"/>
                              </w:rPr>
                              <w:t>Détecteur de particules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082C" id="_x0000_s1034" type="#_x0000_t202" style="position:absolute;left:0;text-align:left;margin-left:336.9pt;margin-top:94.8pt;width:58.4pt;height:38.7pt;z-index:25146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" filled="f" stroked="f">
                <v:textbox>
                  <w:txbxContent>
                    <w:p w14:paraId="729A61EB" w14:textId="77777777" w:rsidR="00CE6C33" w:rsidRPr="004917E1" w:rsidRDefault="00CE6C33" w:rsidP="004917E1">
                      <w:pPr>
                        <w:spacing w:line="240" w:lineRule="auto"/>
                        <w:jc w:val="center"/>
                        <w:rPr>
                          <w:sz w:val="16"/>
                          <w:szCs w:val="16"/>
                        </w:rPr>
                      </w:pPr>
                      <w:r w:rsidRPr="004917E1">
                        <w:rPr>
                          <w:b/>
                          <w:bCs/>
                          <w:sz w:val="16"/>
                          <w:szCs w:val="16"/>
                          <w:lang w:val="fr-FR" w:eastAsia="de-DE"/>
                        </w:rPr>
                        <w:t>Détecteur de particules</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408896" behindDoc="0" locked="0" layoutInCell="1" allowOverlap="1" wp14:anchorId="1AAFC105" wp14:editId="638CA190">
                <wp:simplePos x="0" y="0"/>
                <wp:positionH relativeFrom="column">
                  <wp:posOffset>3399790</wp:posOffset>
                </wp:positionH>
                <wp:positionV relativeFrom="paragraph">
                  <wp:posOffset>1312713</wp:posOffset>
                </wp:positionV>
                <wp:extent cx="431321" cy="267419"/>
                <wp:effectExtent l="0" t="0" r="6985"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21" cy="267419"/>
                        </a:xfrm>
                        <a:prstGeom prst="rect">
                          <a:avLst/>
                        </a:prstGeom>
                        <a:solidFill>
                          <a:schemeClr val="bg1"/>
                        </a:solidFill>
                        <a:ln w="9525">
                          <a:noFill/>
                          <a:miter lim="800000"/>
                          <a:headEnd/>
                          <a:tailEnd/>
                        </a:ln>
                      </wps:spPr>
                      <wps:txbx>
                        <w:txbxContent>
                          <w:p w14:paraId="2112D81A" w14:textId="77777777" w:rsidR="00CE6C33" w:rsidRPr="004917E1" w:rsidRDefault="00CE6C33" w:rsidP="004917E1">
                            <w:pPr>
                              <w:spacing w:line="240" w:lineRule="auto"/>
                              <w:jc w:val="center"/>
                              <w:rPr>
                                <w:sz w:val="16"/>
                                <w:szCs w:val="16"/>
                              </w:rPr>
                            </w:pPr>
                            <w:r w:rsidRPr="004917E1">
                              <w:rPr>
                                <w:b/>
                                <w:bCs/>
                                <w:sz w:val="16"/>
                                <w:szCs w:val="16"/>
                                <w:lang w:val="fr-FR" w:eastAsia="de-DE"/>
                              </w:rPr>
                              <w:t>Enceinte chauffée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FC105" id="_x0000_s1035" type="#_x0000_t202" style="position:absolute;left:0;text-align:left;margin-left:267.7pt;margin-top:103.35pt;width:33.95pt;height:21.05pt;z-index:25140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" fillcolor="white [3212]" stroked="f">
                <v:textbox inset="0,0,0,0">
                  <w:txbxContent>
                    <w:p w14:paraId="2112D81A" w14:textId="77777777" w:rsidR="00CE6C33" w:rsidRPr="004917E1" w:rsidRDefault="00CE6C33" w:rsidP="004917E1">
                      <w:pPr>
                        <w:spacing w:line="240" w:lineRule="auto"/>
                        <w:jc w:val="center"/>
                        <w:rPr>
                          <w:sz w:val="16"/>
                          <w:szCs w:val="16"/>
                        </w:rPr>
                      </w:pPr>
                      <w:r w:rsidRPr="004917E1">
                        <w:rPr>
                          <w:b/>
                          <w:bCs/>
                          <w:sz w:val="16"/>
                          <w:szCs w:val="16"/>
                          <w:lang w:val="fr-FR" w:eastAsia="de-DE"/>
                        </w:rPr>
                        <w:t>Enceinte chauffée</w:t>
                      </w:r>
                    </w:p>
                  </w:txbxContent>
                </v:textbox>
              </v:shape>
            </w:pict>
          </mc:Fallback>
        </mc:AlternateContent>
      </w:r>
      <w:r w:rsidRPr="00CE6C33">
        <w:rPr>
          <w:b/>
          <w:bCs/>
          <w:i/>
          <w:iCs/>
          <w:noProof/>
          <w:lang w:val="fr-FR" w:eastAsia="de-DE"/>
        </w:rPr>
        <mc:AlternateContent>
          <mc:Choice Requires="wps">
            <w:drawing>
              <wp:anchor distT="45720" distB="45720" distL="114300" distR="114300" simplePos="0" relativeHeight="251211264" behindDoc="0" locked="0" layoutInCell="1" allowOverlap="1" wp14:anchorId="251EF11C" wp14:editId="2F148E99">
                <wp:simplePos x="0" y="0"/>
                <wp:positionH relativeFrom="column">
                  <wp:posOffset>2032467</wp:posOffset>
                </wp:positionH>
                <wp:positionV relativeFrom="paragraph">
                  <wp:posOffset>1019810</wp:posOffset>
                </wp:positionV>
                <wp:extent cx="871268" cy="353683"/>
                <wp:effectExtent l="0" t="0" r="5080" b="889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353683"/>
                        </a:xfrm>
                        <a:prstGeom prst="rect">
                          <a:avLst/>
                        </a:prstGeom>
                        <a:noFill/>
                        <a:ln w="9525">
                          <a:noFill/>
                          <a:miter lim="800000"/>
                          <a:headEnd/>
                          <a:tailEnd/>
                        </a:ln>
                      </wps:spPr>
                      <wps:txbx>
                        <w:txbxContent>
                          <w:p w14:paraId="31933C01" w14:textId="77777777" w:rsidR="00CE6C33" w:rsidRPr="008B2466" w:rsidRDefault="00CE6C33" w:rsidP="008B2466">
                            <w:pPr>
                              <w:spacing w:line="240" w:lineRule="auto"/>
                            </w:pPr>
                            <w:r w:rsidRPr="008B2466">
                              <w:rPr>
                                <w:lang w:val="fr-FR" w:eastAsia="de-DE"/>
                              </w:rPr>
                              <w:t xml:space="preserve">Direction de </w:t>
                            </w:r>
                            <w:r w:rsidR="0052312C" w:rsidRPr="008B2466">
                              <w:rPr>
                                <w:lang w:val="fr-FR" w:eastAsia="de-DE"/>
                              </w:rPr>
                              <w:br/>
                            </w:r>
                            <w:r w:rsidRPr="008B2466">
                              <w:rPr>
                                <w:lang w:val="fr-FR" w:eastAsia="de-DE"/>
                              </w:rPr>
                              <w:t>l’écoulement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EF11C" id="_x0000_s1036" type="#_x0000_t202" style="position:absolute;left:0;text-align:left;margin-left:160.05pt;margin-top:80.3pt;width:68.6pt;height:27.85pt;z-index:25121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" filled="f" stroked="f">
                <v:textbox inset="0,0,0,0">
                  <w:txbxContent>
                    <w:p w14:paraId="31933C01" w14:textId="77777777" w:rsidR="00CE6C33" w:rsidRPr="008B2466" w:rsidRDefault="00CE6C33" w:rsidP="008B2466">
                      <w:pPr>
                        <w:spacing w:line="240" w:lineRule="auto"/>
                      </w:pPr>
                      <w:r w:rsidRPr="008B2466">
                        <w:rPr>
                          <w:lang w:val="fr-FR" w:eastAsia="de-DE"/>
                        </w:rPr>
                        <w:t xml:space="preserve">Direction de </w:t>
                      </w:r>
                      <w:r w:rsidR="0052312C" w:rsidRPr="008B2466">
                        <w:rPr>
                          <w:lang w:val="fr-FR" w:eastAsia="de-DE"/>
                        </w:rPr>
                        <w:br/>
                      </w:r>
                      <w:r w:rsidRPr="008B2466">
                        <w:rPr>
                          <w:lang w:val="fr-FR" w:eastAsia="de-DE"/>
                        </w:rPr>
                        <w:t>l’écoulement</w:t>
                      </w:r>
                    </w:p>
                  </w:txbxContent>
                </v:textbox>
              </v:shape>
            </w:pict>
          </mc:Fallback>
        </mc:AlternateContent>
      </w:r>
      <w:r w:rsidR="006D5B39" w:rsidRPr="00CE6C33">
        <w:rPr>
          <w:b/>
          <w:bCs/>
          <w:i/>
          <w:iCs/>
          <w:noProof/>
          <w:lang w:val="fr-FR" w:eastAsia="de-DE"/>
        </w:rPr>
        <mc:AlternateContent>
          <mc:Choice Requires="wps">
            <w:drawing>
              <wp:anchor distT="45720" distB="45720" distL="114300" distR="114300" simplePos="0" relativeHeight="251899392" behindDoc="0" locked="0" layoutInCell="1" allowOverlap="1" wp14:anchorId="42AF4BBD" wp14:editId="59F9686D">
                <wp:simplePos x="0" y="0"/>
                <wp:positionH relativeFrom="column">
                  <wp:posOffset>2152111</wp:posOffset>
                </wp:positionH>
                <wp:positionV relativeFrom="paragraph">
                  <wp:posOffset>2393051</wp:posOffset>
                </wp:positionV>
                <wp:extent cx="2234241" cy="267418"/>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1" cy="267418"/>
                        </a:xfrm>
                        <a:prstGeom prst="rect">
                          <a:avLst/>
                        </a:prstGeom>
                        <a:noFill/>
                        <a:ln w="9525">
                          <a:noFill/>
                          <a:miter lim="800000"/>
                          <a:headEnd/>
                          <a:tailEnd/>
                        </a:ln>
                      </wps:spPr>
                      <wps:txbx>
                        <w:txbxContent>
                          <w:p w14:paraId="10FEB6F4" w14:textId="77777777" w:rsidR="00CE6C33" w:rsidRDefault="00CE6C33" w:rsidP="00CE6C33">
                            <w:r w:rsidRPr="00CE6C33">
                              <w:rPr>
                                <w:b/>
                                <w:bCs/>
                                <w:lang w:val="fr-FR" w:eastAsia="de-DE"/>
                              </w:rPr>
                              <w:t>Recirculation des gaz d’échappement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F4BBD" id="_x0000_s1037" type="#_x0000_t202" style="position:absolute;left:0;text-align:left;margin-left:169.45pt;margin-top:188.45pt;width:175.9pt;height:21.05pt;z-index:25189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" filled="f" stroked="f">
                <v:textbox>
                  <w:txbxContent>
                    <w:p w14:paraId="10FEB6F4" w14:textId="77777777" w:rsidR="00CE6C33" w:rsidRDefault="00CE6C33" w:rsidP="00CE6C33">
                      <w:r w:rsidRPr="00CE6C33">
                        <w:rPr>
                          <w:b/>
                          <w:bCs/>
                          <w:lang w:val="fr-FR" w:eastAsia="de-DE"/>
                        </w:rPr>
                        <w:t>Recirculation des gaz d’échappement</w:t>
                      </w:r>
                    </w:p>
                  </w:txbxContent>
                </v:textbox>
              </v:shape>
            </w:pict>
          </mc:Fallback>
        </mc:AlternateContent>
      </w:r>
      <w:r w:rsidR="006D5B39" w:rsidRPr="00CE6C33">
        <w:rPr>
          <w:b/>
          <w:bCs/>
          <w:i/>
          <w:iCs/>
          <w:noProof/>
          <w:lang w:val="fr-FR" w:eastAsia="de-DE"/>
        </w:rPr>
        <mc:AlternateContent>
          <mc:Choice Requires="wps">
            <w:drawing>
              <wp:anchor distT="45720" distB="45720" distL="114300" distR="114300" simplePos="0" relativeHeight="251574784" behindDoc="0" locked="0" layoutInCell="1" allowOverlap="1" wp14:anchorId="50280479" wp14:editId="2A407EDC">
                <wp:simplePos x="0" y="0"/>
                <wp:positionH relativeFrom="column">
                  <wp:posOffset>2108200</wp:posOffset>
                </wp:positionH>
                <wp:positionV relativeFrom="paragraph">
                  <wp:posOffset>2021205</wp:posOffset>
                </wp:positionV>
                <wp:extent cx="1233170" cy="26733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7335"/>
                        </a:xfrm>
                        <a:prstGeom prst="rect">
                          <a:avLst/>
                        </a:prstGeom>
                        <a:noFill/>
                        <a:ln w="9525">
                          <a:noFill/>
                          <a:miter lim="800000"/>
                          <a:headEnd/>
                          <a:tailEnd/>
                        </a:ln>
                      </wps:spPr>
                      <wps:txbx>
                        <w:txbxContent>
                          <w:p w14:paraId="2AB8909B" w14:textId="77777777" w:rsidR="00CE6C33" w:rsidRDefault="00CE6C33" w:rsidP="00CE6C33">
                            <w:r w:rsidRPr="00CE6C33">
                              <w:rPr>
                                <w:b/>
                                <w:bCs/>
                                <w:lang w:val="fr-FR" w:eastAsia="de-DE"/>
                              </w:rPr>
                              <w:t>Analyseurs de gaz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80479" id="_x0000_s1038" type="#_x0000_t202" style="position:absolute;left:0;text-align:left;margin-left:166pt;margin-top:159.15pt;width:97.1pt;height:21.0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" filled="f" stroked="f">
                <v:textbox>
                  <w:txbxContent>
                    <w:p w14:paraId="2AB8909B" w14:textId="77777777" w:rsidR="00CE6C33" w:rsidRDefault="00CE6C33" w:rsidP="00CE6C33">
                      <w:r w:rsidRPr="00CE6C33">
                        <w:rPr>
                          <w:b/>
                          <w:bCs/>
                          <w:lang w:val="fr-FR" w:eastAsia="de-DE"/>
                        </w:rPr>
                        <w:t>Analyseurs de gaz</w:t>
                      </w:r>
                    </w:p>
                  </w:txbxContent>
                </v:textbox>
              </v:shape>
            </w:pict>
          </mc:Fallback>
        </mc:AlternateContent>
      </w:r>
      <w:r w:rsidR="006D5B39" w:rsidRPr="00CE6C33">
        <w:rPr>
          <w:b/>
          <w:bCs/>
          <w:i/>
          <w:iCs/>
          <w:noProof/>
          <w:lang w:val="fr-FR" w:eastAsia="de-DE"/>
        </w:rPr>
        <mc:AlternateContent>
          <mc:Choice Requires="wps">
            <w:drawing>
              <wp:anchor distT="45720" distB="45720" distL="114300" distR="114300" simplePos="0" relativeHeight="251829760" behindDoc="0" locked="0" layoutInCell="1" allowOverlap="1" wp14:anchorId="074F7CCA" wp14:editId="0F731413">
                <wp:simplePos x="0" y="0"/>
                <wp:positionH relativeFrom="column">
                  <wp:posOffset>3566879</wp:posOffset>
                </wp:positionH>
                <wp:positionV relativeFrom="paragraph">
                  <wp:posOffset>2082321</wp:posOffset>
                </wp:positionV>
                <wp:extent cx="1544128" cy="258793"/>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8" cy="258793"/>
                        </a:xfrm>
                        <a:prstGeom prst="rect">
                          <a:avLst/>
                        </a:prstGeom>
                        <a:noFill/>
                        <a:ln w="9525">
                          <a:noFill/>
                          <a:miter lim="800000"/>
                          <a:headEnd/>
                          <a:tailEnd/>
                        </a:ln>
                      </wps:spPr>
                      <wps:txbx>
                        <w:txbxContent>
                          <w:p w14:paraId="583238FA" w14:textId="77777777" w:rsidR="00CE6C33" w:rsidRDefault="00CE6C33" w:rsidP="00CE6C33">
                            <w:r w:rsidRPr="00CE6C33">
                              <w:rPr>
                                <w:b/>
                                <w:bCs/>
                                <w:lang w:val="fr-FR" w:eastAsia="de-DE"/>
                              </w:rPr>
                              <w:t>Analyseur de particules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F7CCA" id="_x0000_s1039" type="#_x0000_t202" style="position:absolute;left:0;text-align:left;margin-left:280.85pt;margin-top:163.95pt;width:121.6pt;height:20.4pt;z-index:25182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" filled="f" stroked="f">
                <v:textbox>
                  <w:txbxContent>
                    <w:p w14:paraId="583238FA" w14:textId="77777777" w:rsidR="00CE6C33" w:rsidRDefault="00CE6C33" w:rsidP="00CE6C33">
                      <w:r w:rsidRPr="00CE6C33">
                        <w:rPr>
                          <w:b/>
                          <w:bCs/>
                          <w:lang w:val="fr-FR" w:eastAsia="de-DE"/>
                        </w:rPr>
                        <w:t>Analyseur de particules</w:t>
                      </w:r>
                    </w:p>
                  </w:txbxContent>
                </v:textbox>
              </v:shape>
            </w:pict>
          </mc:Fallback>
        </mc:AlternateContent>
      </w:r>
      <w:r w:rsidR="006D5B39" w:rsidRPr="00CE6C33">
        <w:rPr>
          <w:b/>
          <w:bCs/>
          <w:i/>
          <w:iCs/>
          <w:noProof/>
          <w:lang w:val="fr-FR" w:eastAsia="de-DE"/>
        </w:rPr>
        <mc:AlternateContent>
          <mc:Choice Requires="wps">
            <w:drawing>
              <wp:anchor distT="45720" distB="45720" distL="114300" distR="114300" simplePos="0" relativeHeight="251509248" behindDoc="0" locked="0" layoutInCell="1" allowOverlap="1" wp14:anchorId="4CD5C357" wp14:editId="3FB3C16A">
                <wp:simplePos x="0" y="0"/>
                <wp:positionH relativeFrom="column">
                  <wp:posOffset>2911571</wp:posOffset>
                </wp:positionH>
                <wp:positionV relativeFrom="paragraph">
                  <wp:posOffset>1771914</wp:posOffset>
                </wp:positionV>
                <wp:extent cx="2009955" cy="276046"/>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5" cy="276046"/>
                        </a:xfrm>
                        <a:prstGeom prst="rect">
                          <a:avLst/>
                        </a:prstGeom>
                        <a:noFill/>
                        <a:ln w="9525">
                          <a:noFill/>
                          <a:miter lim="800000"/>
                          <a:headEnd/>
                          <a:tailEnd/>
                        </a:ln>
                      </wps:spPr>
                      <wps:txbx>
                        <w:txbxContent>
                          <w:p w14:paraId="74C41E41" w14:textId="77777777" w:rsidR="00CE6C33" w:rsidRDefault="00CE6C33" w:rsidP="00CE6C33">
                            <w:r w:rsidRPr="00CE6C33">
                              <w:rPr>
                                <w:b/>
                                <w:bCs/>
                                <w:lang w:val="fr-FR" w:eastAsia="de-DE"/>
                              </w:rPr>
                              <w:t xml:space="preserve">Dispositif de </w:t>
                            </w:r>
                            <w:proofErr w:type="spellStart"/>
                            <w:r w:rsidRPr="00CE6C33">
                              <w:rPr>
                                <w:b/>
                                <w:bCs/>
                                <w:lang w:val="fr-FR" w:eastAsia="de-DE"/>
                              </w:rPr>
                              <w:t>préconditionnement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C357" id="_x0000_s1040" type="#_x0000_t202" style="position:absolute;left:0;text-align:left;margin-left:229.25pt;margin-top:139.5pt;width:158.25pt;height:21.75pt;z-index:25150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" filled="f" stroked="f">
                <v:textbox>
                  <w:txbxContent>
                    <w:p w14:paraId="74C41E41" w14:textId="77777777" w:rsidR="00CE6C33" w:rsidRDefault="00CE6C33" w:rsidP="00CE6C33">
                      <w:r w:rsidRPr="00CE6C33">
                        <w:rPr>
                          <w:b/>
                          <w:bCs/>
                          <w:lang w:val="fr-FR" w:eastAsia="de-DE"/>
                        </w:rPr>
                        <w:t xml:space="preserve">Dispositif de </w:t>
                      </w:r>
                      <w:proofErr w:type="spellStart"/>
                      <w:r w:rsidRPr="00CE6C33">
                        <w:rPr>
                          <w:b/>
                          <w:bCs/>
                          <w:lang w:val="fr-FR" w:eastAsia="de-DE"/>
                        </w:rPr>
                        <w:t>préconditionnement</w:t>
                      </w:r>
                      <w:proofErr w:type="spellEnd"/>
                    </w:p>
                  </w:txbxContent>
                </v:textbox>
              </v:shape>
            </w:pict>
          </mc:Fallback>
        </mc:AlternateContent>
      </w:r>
      <w:r w:rsidR="006D5B39" w:rsidRPr="00CE6C33">
        <w:rPr>
          <w:b/>
          <w:bCs/>
          <w:i/>
          <w:iCs/>
          <w:noProof/>
          <w:lang w:val="fr-FR" w:eastAsia="de-DE"/>
        </w:rPr>
        <mc:AlternateContent>
          <mc:Choice Requires="wps">
            <w:drawing>
              <wp:anchor distT="45720" distB="45720" distL="114300" distR="114300" simplePos="0" relativeHeight="251357696" behindDoc="0" locked="0" layoutInCell="1" allowOverlap="1" wp14:anchorId="6E0FCD0E" wp14:editId="6F3A9236">
                <wp:simplePos x="0" y="0"/>
                <wp:positionH relativeFrom="column">
                  <wp:posOffset>2169148</wp:posOffset>
                </wp:positionH>
                <wp:positionV relativeFrom="paragraph">
                  <wp:posOffset>1573158</wp:posOffset>
                </wp:positionV>
                <wp:extent cx="715992" cy="388188"/>
                <wp:effectExtent l="0" t="0" r="8255"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88188"/>
                        </a:xfrm>
                        <a:prstGeom prst="rect">
                          <a:avLst/>
                        </a:prstGeom>
                        <a:solidFill>
                          <a:schemeClr val="bg1"/>
                        </a:solidFill>
                        <a:ln w="9525">
                          <a:noFill/>
                          <a:miter lim="800000"/>
                          <a:headEnd/>
                          <a:tailEnd/>
                        </a:ln>
                      </wps:spPr>
                      <wps:txbx>
                        <w:txbxContent>
                          <w:p w14:paraId="75AC7D22" w14:textId="77777777" w:rsidR="00CE6C33" w:rsidRDefault="00CE6C33" w:rsidP="00CE6C33">
                            <w:r w:rsidRPr="00CE6C33">
                              <w:rPr>
                                <w:b/>
                                <w:bCs/>
                                <w:lang w:val="fr-FR" w:eastAsia="de-DE"/>
                              </w:rPr>
                              <w:t>Conduite de prélèvement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CD0E" id="_x0000_s1041" type="#_x0000_t202" style="position:absolute;left:0;text-align:left;margin-left:170.8pt;margin-top:123.85pt;width:56.4pt;height:30.55pt;z-index:25135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" fillcolor="white [3212]" stroked="f">
                <v:textbox inset="0,0,0,0">
                  <w:txbxContent>
                    <w:p w14:paraId="75AC7D22" w14:textId="77777777" w:rsidR="00CE6C33" w:rsidRDefault="00CE6C33" w:rsidP="00CE6C33">
                      <w:r w:rsidRPr="00CE6C33">
                        <w:rPr>
                          <w:b/>
                          <w:bCs/>
                          <w:lang w:val="fr-FR" w:eastAsia="de-DE"/>
                        </w:rPr>
                        <w:t>Conduite de prélèvement</w:t>
                      </w:r>
                    </w:p>
                  </w:txbxContent>
                </v:textbox>
              </v:shape>
            </w:pict>
          </mc:Fallback>
        </mc:AlternateContent>
      </w:r>
      <w:r w:rsidR="0052312C" w:rsidRPr="00CE6C33">
        <w:rPr>
          <w:b/>
          <w:bCs/>
          <w:i/>
          <w:iCs/>
          <w:noProof/>
          <w:lang w:val="fr-FR" w:eastAsia="de-DE"/>
        </w:rPr>
        <mc:AlternateContent>
          <mc:Choice Requires="wps">
            <w:drawing>
              <wp:anchor distT="45720" distB="45720" distL="114300" distR="114300" simplePos="0" relativeHeight="251772416" behindDoc="0" locked="0" layoutInCell="1" allowOverlap="1" wp14:anchorId="350812D6" wp14:editId="11C760E7">
                <wp:simplePos x="0" y="0"/>
                <wp:positionH relativeFrom="column">
                  <wp:posOffset>2926344</wp:posOffset>
                </wp:positionH>
                <wp:positionV relativeFrom="paragraph">
                  <wp:posOffset>2978150</wp:posOffset>
                </wp:positionV>
                <wp:extent cx="1767840" cy="27559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75590"/>
                        </a:xfrm>
                        <a:prstGeom prst="rect">
                          <a:avLst/>
                        </a:prstGeom>
                        <a:noFill/>
                        <a:ln w="9525">
                          <a:noFill/>
                          <a:miter lim="800000"/>
                          <a:headEnd/>
                          <a:tailEnd/>
                        </a:ln>
                      </wps:spPr>
                      <wps:txbx>
                        <w:txbxContent>
                          <w:p w14:paraId="385874DB" w14:textId="77777777" w:rsidR="00CE6C33" w:rsidRPr="008B2466" w:rsidRDefault="00CE6C33" w:rsidP="00CE6C33">
                            <w:pPr>
                              <w:rPr>
                                <w:b/>
                                <w:bCs/>
                                <w:sz w:val="18"/>
                                <w:szCs w:val="18"/>
                              </w:rPr>
                            </w:pPr>
                            <w:r w:rsidRPr="008B2466">
                              <w:rPr>
                                <w:b/>
                                <w:bCs/>
                                <w:sz w:val="18"/>
                                <w:szCs w:val="18"/>
                                <w:lang w:val="fr-FR" w:eastAsia="de-DE"/>
                              </w:rPr>
                              <w:t>Temps de latence</w:t>
                            </w:r>
                            <w:r w:rsidR="004917E1" w:rsidRPr="008B2466">
                              <w:rPr>
                                <w:b/>
                                <w:bCs/>
                                <w:sz w:val="18"/>
                                <w:szCs w:val="18"/>
                                <w:lang w:val="fr-FR" w:eastAsia="de-DE"/>
                              </w:rPr>
                              <w:t xml:space="preserve"> (t</w:t>
                            </w:r>
                            <w:r w:rsidR="004917E1" w:rsidRPr="008B2466">
                              <w:rPr>
                                <w:b/>
                                <w:bCs/>
                                <w:sz w:val="18"/>
                                <w:szCs w:val="18"/>
                                <w:vertAlign w:val="subscript"/>
                                <w:lang w:val="fr-FR" w:eastAsia="de-DE"/>
                              </w:rPr>
                              <w:t>0</w:t>
                            </w:r>
                            <w:r w:rsidR="004917E1" w:rsidRPr="008B2466">
                              <w:rPr>
                                <w:b/>
                                <w:bCs/>
                                <w:sz w:val="18"/>
                                <w:szCs w:val="18"/>
                                <w:lang w:val="fr-FR" w:eastAsia="de-DE"/>
                              </w:rPr>
                              <w:t>-t</w:t>
                            </w:r>
                            <w:r w:rsidR="004917E1" w:rsidRPr="008B2466">
                              <w:rPr>
                                <w:b/>
                                <w:bCs/>
                                <w:sz w:val="18"/>
                                <w:szCs w:val="18"/>
                                <w:vertAlign w:val="subscript"/>
                                <w:lang w:val="fr-FR" w:eastAsia="de-DE"/>
                              </w:rPr>
                              <w:t>10</w:t>
                            </w:r>
                            <w:r w:rsidR="004917E1" w:rsidRPr="008B2466">
                              <w:rPr>
                                <w:b/>
                                <w:bCs/>
                                <w:sz w:val="18"/>
                                <w:szCs w:val="18"/>
                                <w:lang w:val="fr-FR"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812D6" id="_x0000_s1042" type="#_x0000_t202" style="position:absolute;left:0;text-align:left;margin-left:230.4pt;margin-top:234.5pt;width:139.2pt;height:21.7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" filled="f" stroked="f">
                <v:textbox>
                  <w:txbxContent>
                    <w:p w14:paraId="385874DB" w14:textId="77777777" w:rsidR="00CE6C33" w:rsidRPr="008B2466" w:rsidRDefault="00CE6C33" w:rsidP="00CE6C33">
                      <w:pPr>
                        <w:rPr>
                          <w:b/>
                          <w:bCs/>
                          <w:sz w:val="18"/>
                          <w:szCs w:val="18"/>
                        </w:rPr>
                      </w:pPr>
                      <w:r w:rsidRPr="008B2466">
                        <w:rPr>
                          <w:b/>
                          <w:bCs/>
                          <w:sz w:val="18"/>
                          <w:szCs w:val="18"/>
                          <w:lang w:val="fr-FR" w:eastAsia="de-DE"/>
                        </w:rPr>
                        <w:t>Temps de latence</w:t>
                      </w:r>
                      <w:r w:rsidR="004917E1" w:rsidRPr="008B2466">
                        <w:rPr>
                          <w:b/>
                          <w:bCs/>
                          <w:sz w:val="18"/>
                          <w:szCs w:val="18"/>
                          <w:lang w:val="fr-FR" w:eastAsia="de-DE"/>
                        </w:rPr>
                        <w:t xml:space="preserve"> (t</w:t>
                      </w:r>
                      <w:r w:rsidR="004917E1" w:rsidRPr="008B2466">
                        <w:rPr>
                          <w:b/>
                          <w:bCs/>
                          <w:sz w:val="18"/>
                          <w:szCs w:val="18"/>
                          <w:vertAlign w:val="subscript"/>
                          <w:lang w:val="fr-FR" w:eastAsia="de-DE"/>
                        </w:rPr>
                        <w:t>0</w:t>
                      </w:r>
                      <w:r w:rsidR="004917E1" w:rsidRPr="008B2466">
                        <w:rPr>
                          <w:b/>
                          <w:bCs/>
                          <w:sz w:val="18"/>
                          <w:szCs w:val="18"/>
                          <w:lang w:val="fr-FR" w:eastAsia="de-DE"/>
                        </w:rPr>
                        <w:t>-t</w:t>
                      </w:r>
                      <w:r w:rsidR="004917E1" w:rsidRPr="008B2466">
                        <w:rPr>
                          <w:b/>
                          <w:bCs/>
                          <w:sz w:val="18"/>
                          <w:szCs w:val="18"/>
                          <w:vertAlign w:val="subscript"/>
                          <w:lang w:val="fr-FR" w:eastAsia="de-DE"/>
                        </w:rPr>
                        <w:t>10</w:t>
                      </w:r>
                      <w:r w:rsidR="004917E1" w:rsidRPr="008B2466">
                        <w:rPr>
                          <w:b/>
                          <w:bCs/>
                          <w:sz w:val="18"/>
                          <w:szCs w:val="18"/>
                          <w:lang w:val="fr-FR" w:eastAsia="de-DE"/>
                        </w:rPr>
                        <w:t>)</w:t>
                      </w:r>
                    </w:p>
                  </w:txbxContent>
                </v:textbox>
              </v:shape>
            </w:pict>
          </mc:Fallback>
        </mc:AlternateContent>
      </w:r>
      <w:r w:rsidR="0052312C" w:rsidRPr="00CE6C33">
        <w:rPr>
          <w:b/>
          <w:bCs/>
          <w:i/>
          <w:iCs/>
          <w:noProof/>
          <w:lang w:val="fr-FR" w:eastAsia="de-DE"/>
        </w:rPr>
        <mc:AlternateContent>
          <mc:Choice Requires="wps">
            <w:drawing>
              <wp:anchor distT="45720" distB="45720" distL="114300" distR="114300" simplePos="0" relativeHeight="252207616" behindDoc="0" locked="0" layoutInCell="1" allowOverlap="1" wp14:anchorId="28DD4A7F" wp14:editId="4C7FB60A">
                <wp:simplePos x="0" y="0"/>
                <wp:positionH relativeFrom="column">
                  <wp:posOffset>1235339</wp:posOffset>
                </wp:positionH>
                <wp:positionV relativeFrom="paragraph">
                  <wp:posOffset>2272030</wp:posOffset>
                </wp:positionV>
                <wp:extent cx="448310" cy="198120"/>
                <wp:effectExtent l="10795" t="8255" r="635" b="635"/>
                <wp:wrapNone/>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8310" cy="198120"/>
                        </a:xfrm>
                        <a:prstGeom prst="rect">
                          <a:avLst/>
                        </a:prstGeom>
                        <a:noFill/>
                        <a:ln w="9525">
                          <a:noFill/>
                          <a:miter lim="800000"/>
                          <a:headEnd/>
                          <a:tailEnd/>
                        </a:ln>
                      </wps:spPr>
                      <wps:txbx>
                        <w:txbxContent>
                          <w:p w14:paraId="13F8C057" w14:textId="77777777" w:rsidR="0052312C" w:rsidRPr="004917E1" w:rsidRDefault="0052312C" w:rsidP="0052312C">
                            <w:pPr>
                              <w:jc w:val="center"/>
                              <w:rPr>
                                <w:b/>
                                <w:bCs/>
                                <w:sz w:val="16"/>
                                <w:szCs w:val="16"/>
                              </w:rPr>
                            </w:pPr>
                            <w:r>
                              <w:rPr>
                                <w:b/>
                                <w:bCs/>
                                <w:sz w:val="16"/>
                                <w:szCs w:val="16"/>
                                <w:lang w:val="fr-FR" w:eastAsia="de-DE"/>
                              </w:rPr>
                              <w:t>˃</w:t>
                            </w:r>
                            <w:r w:rsidRPr="004917E1">
                              <w:rPr>
                                <w:b/>
                                <w:bCs/>
                                <w:sz w:val="16"/>
                                <w:szCs w:val="16"/>
                                <w:lang w:val="fr-FR" w:eastAsia="de-DE"/>
                              </w:rPr>
                              <w:t xml:space="preserve">3 </w:t>
                            </w:r>
                            <w:r>
                              <w:rPr>
                                <w:b/>
                                <w:bCs/>
                                <w:sz w:val="16"/>
                                <w:szCs w:val="16"/>
                                <w:lang w:val="fr-FR" w:eastAsia="de-DE"/>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D4A7F" id="_x0000_s1043" type="#_x0000_t202" style="position:absolute;left:0;text-align:left;margin-left:97.25pt;margin-top:178.9pt;width:35.3pt;height:15.6pt;rotation:-90;z-index:25220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" filled="f" stroked="f">
                <v:textbox inset="0,0,0,0">
                  <w:txbxContent>
                    <w:p w14:paraId="13F8C057" w14:textId="77777777" w:rsidR="0052312C" w:rsidRPr="004917E1" w:rsidRDefault="0052312C" w:rsidP="0052312C">
                      <w:pPr>
                        <w:jc w:val="center"/>
                        <w:rPr>
                          <w:b/>
                          <w:bCs/>
                          <w:sz w:val="16"/>
                          <w:szCs w:val="16"/>
                        </w:rPr>
                      </w:pPr>
                      <w:r>
                        <w:rPr>
                          <w:b/>
                          <w:bCs/>
                          <w:sz w:val="16"/>
                          <w:szCs w:val="16"/>
                          <w:lang w:val="fr-FR" w:eastAsia="de-DE"/>
                        </w:rPr>
                        <w:t>˃</w:t>
                      </w:r>
                      <w:r w:rsidRPr="004917E1">
                        <w:rPr>
                          <w:b/>
                          <w:bCs/>
                          <w:sz w:val="16"/>
                          <w:szCs w:val="16"/>
                          <w:lang w:val="fr-FR" w:eastAsia="de-DE"/>
                        </w:rPr>
                        <w:t xml:space="preserve">3 </w:t>
                      </w:r>
                      <w:r>
                        <w:rPr>
                          <w:b/>
                          <w:bCs/>
                          <w:sz w:val="16"/>
                          <w:szCs w:val="16"/>
                          <w:lang w:val="fr-FR" w:eastAsia="de-DE"/>
                        </w:rPr>
                        <w:t>d</w:t>
                      </w:r>
                    </w:p>
                  </w:txbxContent>
                </v:textbox>
              </v:shape>
            </w:pict>
          </mc:Fallback>
        </mc:AlternateContent>
      </w:r>
      <w:r w:rsidR="0052312C" w:rsidRPr="00CE6C33">
        <w:rPr>
          <w:b/>
          <w:bCs/>
          <w:i/>
          <w:iCs/>
          <w:noProof/>
          <w:lang w:val="fr-FR" w:eastAsia="de-DE"/>
        </w:rPr>
        <mc:AlternateContent>
          <mc:Choice Requires="wps">
            <w:drawing>
              <wp:anchor distT="45720" distB="45720" distL="114300" distR="114300" simplePos="0" relativeHeight="251256320" behindDoc="0" locked="0" layoutInCell="1" allowOverlap="1" wp14:anchorId="5A77778C" wp14:editId="34320E80">
                <wp:simplePos x="0" y="0"/>
                <wp:positionH relativeFrom="column">
                  <wp:posOffset>1315396</wp:posOffset>
                </wp:positionH>
                <wp:positionV relativeFrom="paragraph">
                  <wp:posOffset>115570</wp:posOffset>
                </wp:positionV>
                <wp:extent cx="1440611" cy="336430"/>
                <wp:effectExtent l="0" t="0" r="7620" b="698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611" cy="336430"/>
                        </a:xfrm>
                        <a:prstGeom prst="rect">
                          <a:avLst/>
                        </a:prstGeom>
                        <a:noFill/>
                        <a:ln w="9525">
                          <a:noFill/>
                          <a:miter lim="800000"/>
                          <a:headEnd/>
                          <a:tailEnd/>
                        </a:ln>
                      </wps:spPr>
                      <wps:txbx>
                        <w:txbxContent>
                          <w:p w14:paraId="3F830645" w14:textId="77777777" w:rsidR="00CE6C33" w:rsidRDefault="00CE6C33" w:rsidP="0052312C">
                            <w:pPr>
                              <w:jc w:val="center"/>
                            </w:pPr>
                            <w:r w:rsidRPr="00CE6C33">
                              <w:rPr>
                                <w:b/>
                                <w:bCs/>
                                <w:lang w:val="fr-FR" w:eastAsia="de-DE"/>
                              </w:rPr>
                              <w:t xml:space="preserve">Raccordement au tuyau </w:t>
                            </w:r>
                            <w:r w:rsidR="0052312C">
                              <w:rPr>
                                <w:b/>
                                <w:bCs/>
                                <w:lang w:val="fr-FR" w:eastAsia="de-DE"/>
                              </w:rPr>
                              <w:br/>
                            </w:r>
                            <w:r w:rsidRPr="00CE6C33">
                              <w:rPr>
                                <w:b/>
                                <w:bCs/>
                                <w:lang w:val="fr-FR" w:eastAsia="de-DE"/>
                              </w:rPr>
                              <w:t>arrière d’échappement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7778C" id="_x0000_s1044" type="#_x0000_t202" style="position:absolute;left:0;text-align:left;margin-left:103.55pt;margin-top:9.1pt;width:113.45pt;height:26.5pt;z-index:25125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" filled="f" stroked="f">
                <v:textbox inset="0,0,0,0">
                  <w:txbxContent>
                    <w:p w14:paraId="3F830645" w14:textId="77777777" w:rsidR="00CE6C33" w:rsidRDefault="00CE6C33" w:rsidP="0052312C">
                      <w:pPr>
                        <w:jc w:val="center"/>
                      </w:pPr>
                      <w:r w:rsidRPr="00CE6C33">
                        <w:rPr>
                          <w:b/>
                          <w:bCs/>
                          <w:lang w:val="fr-FR" w:eastAsia="de-DE"/>
                        </w:rPr>
                        <w:t xml:space="preserve">Raccordement au tuyau </w:t>
                      </w:r>
                      <w:r w:rsidR="0052312C">
                        <w:rPr>
                          <w:b/>
                          <w:bCs/>
                          <w:lang w:val="fr-FR" w:eastAsia="de-DE"/>
                        </w:rPr>
                        <w:br/>
                      </w:r>
                      <w:r w:rsidRPr="00CE6C33">
                        <w:rPr>
                          <w:b/>
                          <w:bCs/>
                          <w:lang w:val="fr-FR" w:eastAsia="de-DE"/>
                        </w:rPr>
                        <w:t>arrière d’échappement</w:t>
                      </w:r>
                    </w:p>
                  </w:txbxContent>
                </v:textbox>
              </v:shape>
            </w:pict>
          </mc:Fallback>
        </mc:AlternateContent>
      </w:r>
      <w:r w:rsidR="0052312C" w:rsidRPr="00CE6C33">
        <w:rPr>
          <w:b/>
          <w:bCs/>
          <w:i/>
          <w:iCs/>
          <w:noProof/>
          <w:lang w:val="fr-FR" w:eastAsia="de-DE"/>
        </w:rPr>
        <mc:AlternateContent>
          <mc:Choice Requires="wps">
            <w:drawing>
              <wp:anchor distT="45720" distB="45720" distL="114300" distR="114300" simplePos="0" relativeHeight="251159040" behindDoc="0" locked="0" layoutInCell="1" allowOverlap="1" wp14:anchorId="7F6319C4" wp14:editId="17E0692B">
                <wp:simplePos x="0" y="0"/>
                <wp:positionH relativeFrom="column">
                  <wp:posOffset>2238770</wp:posOffset>
                </wp:positionH>
                <wp:positionV relativeFrom="paragraph">
                  <wp:posOffset>684591</wp:posOffset>
                </wp:positionV>
                <wp:extent cx="845389" cy="207034"/>
                <wp:effectExtent l="0" t="0" r="12065" b="25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9" cy="207034"/>
                        </a:xfrm>
                        <a:prstGeom prst="rect">
                          <a:avLst/>
                        </a:prstGeom>
                        <a:noFill/>
                        <a:ln w="9525">
                          <a:noFill/>
                          <a:miter lim="800000"/>
                          <a:headEnd/>
                          <a:tailEnd/>
                        </a:ln>
                      </wps:spPr>
                      <wps:txbx>
                        <w:txbxContent>
                          <w:p w14:paraId="41FB463A" w14:textId="77777777" w:rsidR="00CE6C33" w:rsidRDefault="00CE6C33">
                            <w:r w:rsidRPr="00CE6C33">
                              <w:rPr>
                                <w:b/>
                                <w:bCs/>
                                <w:lang w:val="fr-FR" w:eastAsia="de-DE"/>
                              </w:rPr>
                              <w:t>Débitmètre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319C4" id="_x0000_s1045" type="#_x0000_t202" style="position:absolute;left:0;text-align:left;margin-left:176.3pt;margin-top:53.9pt;width:66.55pt;height:16.3pt;z-index:25115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" filled="f" stroked="f">
                <v:textbox inset="0,0,0,0">
                  <w:txbxContent>
                    <w:p w14:paraId="41FB463A" w14:textId="77777777" w:rsidR="00CE6C33" w:rsidRDefault="00CE6C33">
                      <w:r w:rsidRPr="00CE6C33">
                        <w:rPr>
                          <w:b/>
                          <w:bCs/>
                          <w:lang w:val="fr-FR" w:eastAsia="de-DE"/>
                        </w:rPr>
                        <w:t>Débitmètre</w:t>
                      </w:r>
                    </w:p>
                  </w:txbxContent>
                </v:textbox>
              </v:shape>
            </w:pict>
          </mc:Fallback>
        </mc:AlternateContent>
      </w:r>
      <w:r w:rsidR="0052312C" w:rsidRPr="00CE6C33">
        <w:rPr>
          <w:b/>
          <w:bCs/>
          <w:i/>
          <w:iCs/>
          <w:noProof/>
          <w:lang w:val="fr-FR" w:eastAsia="de-DE"/>
        </w:rPr>
        <mc:AlternateContent>
          <mc:Choice Requires="wps">
            <w:drawing>
              <wp:anchor distT="45720" distB="45720" distL="114300" distR="114300" simplePos="0" relativeHeight="251302400" behindDoc="0" locked="0" layoutInCell="1" allowOverlap="1" wp14:anchorId="172F5EEE" wp14:editId="0F598ECE">
                <wp:simplePos x="0" y="0"/>
                <wp:positionH relativeFrom="column">
                  <wp:posOffset>1082136</wp:posOffset>
                </wp:positionH>
                <wp:positionV relativeFrom="paragraph">
                  <wp:posOffset>1693916</wp:posOffset>
                </wp:positionV>
                <wp:extent cx="724619" cy="36231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62310"/>
                        </a:xfrm>
                        <a:prstGeom prst="rect">
                          <a:avLst/>
                        </a:prstGeom>
                        <a:noFill/>
                        <a:ln w="9525">
                          <a:noFill/>
                          <a:miter lim="800000"/>
                          <a:headEnd/>
                          <a:tailEnd/>
                        </a:ln>
                      </wps:spPr>
                      <wps:txbx>
                        <w:txbxContent>
                          <w:p w14:paraId="7931A31F" w14:textId="77777777" w:rsidR="00CE6C33" w:rsidRDefault="00CE6C33" w:rsidP="00CE6C33">
                            <w:r w:rsidRPr="00CE6C33">
                              <w:rPr>
                                <w:b/>
                                <w:bCs/>
                                <w:lang w:val="fr-FR" w:eastAsia="de-DE"/>
                              </w:rPr>
                              <w:t xml:space="preserve">Sonde de </w:t>
                            </w:r>
                            <w:r w:rsidR="0052312C">
                              <w:rPr>
                                <w:b/>
                                <w:bCs/>
                                <w:lang w:val="fr-FR" w:eastAsia="de-DE"/>
                              </w:rPr>
                              <w:br/>
                            </w:r>
                            <w:r w:rsidRPr="00CE6C33">
                              <w:rPr>
                                <w:b/>
                                <w:bCs/>
                                <w:lang w:val="fr-FR" w:eastAsia="de-DE"/>
                              </w:rPr>
                              <w:t>prélèvement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5EEE" id="_x0000_s1046" type="#_x0000_t202" style="position:absolute;left:0;text-align:left;margin-left:85.2pt;margin-top:133.4pt;width:57.05pt;height:28.55pt;z-index:25130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" filled="f" stroked="f">
                <v:textbox inset="0,0,0,0">
                  <w:txbxContent>
                    <w:p w14:paraId="7931A31F" w14:textId="77777777" w:rsidR="00CE6C33" w:rsidRDefault="00CE6C33" w:rsidP="00CE6C33">
                      <w:r w:rsidRPr="00CE6C33">
                        <w:rPr>
                          <w:b/>
                          <w:bCs/>
                          <w:lang w:val="fr-FR" w:eastAsia="de-DE"/>
                        </w:rPr>
                        <w:t xml:space="preserve">Sonde de </w:t>
                      </w:r>
                      <w:r w:rsidR="0052312C">
                        <w:rPr>
                          <w:b/>
                          <w:bCs/>
                          <w:lang w:val="fr-FR" w:eastAsia="de-DE"/>
                        </w:rPr>
                        <w:br/>
                      </w:r>
                      <w:r w:rsidRPr="00CE6C33">
                        <w:rPr>
                          <w:b/>
                          <w:bCs/>
                          <w:lang w:val="fr-FR" w:eastAsia="de-DE"/>
                        </w:rPr>
                        <w:t>prélèvement</w:t>
                      </w:r>
                    </w:p>
                  </w:txbxContent>
                </v:textbox>
              </v:shape>
            </w:pict>
          </mc:Fallback>
        </mc:AlternateContent>
      </w:r>
      <w:r w:rsidR="004917E1" w:rsidRPr="00CE6C33">
        <w:rPr>
          <w:b/>
          <w:bCs/>
          <w:i/>
          <w:iCs/>
          <w:noProof/>
          <w:lang w:val="fr-FR" w:eastAsia="de-DE"/>
        </w:rPr>
        <mc:AlternateContent>
          <mc:Choice Requires="wps">
            <w:drawing>
              <wp:anchor distT="45720" distB="45720" distL="114300" distR="114300" simplePos="0" relativeHeight="251933184" behindDoc="0" locked="0" layoutInCell="1" allowOverlap="1" wp14:anchorId="79C82D1B" wp14:editId="0F774E76">
                <wp:simplePos x="0" y="0"/>
                <wp:positionH relativeFrom="column">
                  <wp:posOffset>1617669</wp:posOffset>
                </wp:positionH>
                <wp:positionV relativeFrom="paragraph">
                  <wp:posOffset>2643649</wp:posOffset>
                </wp:positionV>
                <wp:extent cx="862642" cy="258792"/>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2" cy="258792"/>
                        </a:xfrm>
                        <a:prstGeom prst="rect">
                          <a:avLst/>
                        </a:prstGeom>
                        <a:noFill/>
                        <a:ln w="9525">
                          <a:noFill/>
                          <a:miter lim="800000"/>
                          <a:headEnd/>
                          <a:tailEnd/>
                        </a:ln>
                      </wps:spPr>
                      <wps:txbx>
                        <w:txbxContent>
                          <w:p w14:paraId="7DF92192" w14:textId="77777777" w:rsidR="00CE6C33" w:rsidRDefault="00CE6C33" w:rsidP="00CE6C33">
                            <w:r w:rsidRPr="00CE6C33">
                              <w:rPr>
                                <w:b/>
                                <w:bCs/>
                                <w:lang w:val="fr-FR" w:eastAsia="de-DE"/>
                              </w:rPr>
                              <w:t>Air ambiant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D1B" id="_x0000_s1047" type="#_x0000_t202" style="position:absolute;left:0;text-align:left;margin-left:127.4pt;margin-top:208.15pt;width:67.9pt;height:20.4pt;z-index:25193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" filled="f" stroked="f">
                <v:textbox>
                  <w:txbxContent>
                    <w:p w14:paraId="7DF92192" w14:textId="77777777" w:rsidR="00CE6C33" w:rsidRDefault="00CE6C33" w:rsidP="00CE6C33">
                      <w:r w:rsidRPr="00CE6C33">
                        <w:rPr>
                          <w:b/>
                          <w:bCs/>
                          <w:lang w:val="fr-FR" w:eastAsia="de-DE"/>
                        </w:rPr>
                        <w:t>Air ambiant</w:t>
                      </w:r>
                    </w:p>
                  </w:txbxContent>
                </v:textbox>
              </v:shape>
            </w:pict>
          </mc:Fallback>
        </mc:AlternateContent>
      </w:r>
      <w:r w:rsidR="004917E1" w:rsidRPr="00CE6C33">
        <w:rPr>
          <w:b/>
          <w:bCs/>
          <w:i/>
          <w:iCs/>
          <w:noProof/>
          <w:lang w:val="fr-FR" w:eastAsia="de-DE"/>
        </w:rPr>
        <mc:AlternateContent>
          <mc:Choice Requires="wps">
            <w:drawing>
              <wp:anchor distT="45720" distB="45720" distL="114300" distR="114300" simplePos="0" relativeHeight="251693568" behindDoc="0" locked="0" layoutInCell="1" allowOverlap="1" wp14:anchorId="6F09BCD6" wp14:editId="639E51E1">
                <wp:simplePos x="0" y="0"/>
                <wp:positionH relativeFrom="column">
                  <wp:posOffset>1936846</wp:posOffset>
                </wp:positionH>
                <wp:positionV relativeFrom="paragraph">
                  <wp:posOffset>2980079</wp:posOffset>
                </wp:positionV>
                <wp:extent cx="1155868" cy="250166"/>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868" cy="250166"/>
                        </a:xfrm>
                        <a:prstGeom prst="rect">
                          <a:avLst/>
                        </a:prstGeom>
                        <a:noFill/>
                        <a:ln w="9525">
                          <a:noFill/>
                          <a:miter lim="800000"/>
                          <a:headEnd/>
                          <a:tailEnd/>
                        </a:ln>
                      </wps:spPr>
                      <wps:txbx>
                        <w:txbxContent>
                          <w:p w14:paraId="51239D0B" w14:textId="77777777" w:rsidR="00CE6C33" w:rsidRPr="008B2466" w:rsidRDefault="00CE6C33" w:rsidP="00CE6C33">
                            <w:pPr>
                              <w:rPr>
                                <w:b/>
                                <w:bCs/>
                                <w:sz w:val="18"/>
                                <w:szCs w:val="18"/>
                              </w:rPr>
                            </w:pPr>
                            <w:r w:rsidRPr="008B2466">
                              <w:rPr>
                                <w:b/>
                                <w:bCs/>
                                <w:sz w:val="18"/>
                                <w:szCs w:val="18"/>
                                <w:lang w:val="fr-FR" w:eastAsia="de-DE"/>
                              </w:rPr>
                              <w:t>Temps de séjour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9BCD6" id="_x0000_s1048" type="#_x0000_t202" style="position:absolute;left:0;text-align:left;margin-left:152.5pt;margin-top:234.65pt;width:91pt;height:19.7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" filled="f" stroked="f">
                <v:textbox>
                  <w:txbxContent>
                    <w:p w14:paraId="51239D0B" w14:textId="77777777" w:rsidR="00CE6C33" w:rsidRPr="008B2466" w:rsidRDefault="00CE6C33" w:rsidP="00CE6C33">
                      <w:pPr>
                        <w:rPr>
                          <w:b/>
                          <w:bCs/>
                          <w:sz w:val="18"/>
                          <w:szCs w:val="18"/>
                        </w:rPr>
                      </w:pPr>
                      <w:r w:rsidRPr="008B2466">
                        <w:rPr>
                          <w:b/>
                          <w:bCs/>
                          <w:sz w:val="18"/>
                          <w:szCs w:val="18"/>
                          <w:lang w:val="fr-FR" w:eastAsia="de-DE"/>
                        </w:rPr>
                        <w:t>Temps de séjour</w:t>
                      </w:r>
                    </w:p>
                  </w:txbxContent>
                </v:textbox>
              </v:shape>
            </w:pict>
          </mc:Fallback>
        </mc:AlternateContent>
      </w:r>
      <w:r w:rsidR="00CE6C33">
        <w:rPr>
          <w:b/>
          <w:bCs/>
          <w:i/>
          <w:iCs/>
          <w:noProof/>
          <w:lang w:val="fr-FR" w:eastAsia="de-DE"/>
        </w:rPr>
        <w:drawing>
          <wp:inline distT="0" distB="0" distL="0" distR="0" wp14:anchorId="4BB8138F" wp14:editId="6FD32139">
            <wp:extent cx="5195095" cy="3443794"/>
            <wp:effectExtent l="0" t="0" r="5715"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1268" cy="3461144"/>
                    </a:xfrm>
                    <a:prstGeom prst="rect">
                      <a:avLst/>
                    </a:prstGeom>
                    <a:noFill/>
                    <a:ln>
                      <a:noFill/>
                    </a:ln>
                  </pic:spPr>
                </pic:pic>
              </a:graphicData>
            </a:graphic>
          </wp:inline>
        </w:drawing>
      </w:r>
    </w:p>
    <w:p w14:paraId="690BE71E" w14:textId="77777777" w:rsidR="00B921D9" w:rsidRDefault="00B921D9" w:rsidP="008B2466">
      <w:pPr>
        <w:pStyle w:val="SingleTxtG"/>
        <w:ind w:firstLine="170"/>
        <w:rPr>
          <w:b/>
          <w:bCs/>
          <w:lang w:val="fr-FR" w:eastAsia="de-DE"/>
        </w:rPr>
      </w:pPr>
      <w:r w:rsidRPr="00E773DC">
        <w:rPr>
          <w:b/>
          <w:bCs/>
          <w:i/>
          <w:iCs/>
          <w:lang w:val="fr-FR" w:eastAsia="de-DE"/>
        </w:rPr>
        <w:t xml:space="preserve">Note : </w:t>
      </w:r>
      <w:r>
        <w:rPr>
          <w:b/>
          <w:bCs/>
          <w:lang w:val="fr-FR" w:eastAsia="de-DE"/>
        </w:rPr>
        <w:t>L</w:t>
      </w:r>
      <w:r w:rsidRPr="000D3689">
        <w:rPr>
          <w:b/>
          <w:bCs/>
          <w:lang w:val="fr-FR" w:eastAsia="de-DE"/>
        </w:rPr>
        <w:t>es</w:t>
      </w:r>
      <w:r w:rsidRPr="00E773DC">
        <w:rPr>
          <w:b/>
          <w:bCs/>
          <w:i/>
          <w:iCs/>
          <w:lang w:val="fr-FR" w:eastAsia="de-DE"/>
        </w:rPr>
        <w:t xml:space="preserve"> </w:t>
      </w:r>
      <w:r w:rsidRPr="00E773DC">
        <w:rPr>
          <w:b/>
          <w:bCs/>
          <w:lang w:val="fr-FR" w:eastAsia="de-DE"/>
        </w:rPr>
        <w:t xml:space="preserve">lignes pointillées représentent les </w:t>
      </w:r>
      <w:r>
        <w:rPr>
          <w:b/>
          <w:bCs/>
          <w:lang w:val="fr-FR" w:eastAsia="de-DE"/>
        </w:rPr>
        <w:t>éléments</w:t>
      </w:r>
      <w:r w:rsidRPr="00E773DC">
        <w:rPr>
          <w:b/>
          <w:bCs/>
          <w:lang w:val="fr-FR" w:eastAsia="de-DE"/>
        </w:rPr>
        <w:t xml:space="preserve"> </w:t>
      </w:r>
      <w:r>
        <w:rPr>
          <w:b/>
          <w:bCs/>
          <w:lang w:val="fr-FR" w:eastAsia="de-DE"/>
        </w:rPr>
        <w:t>facultatifs</w:t>
      </w:r>
      <w:r w:rsidRPr="00E773DC">
        <w:rPr>
          <w:b/>
          <w:bCs/>
          <w:lang w:val="fr-FR" w:eastAsia="de-DE"/>
        </w:rPr>
        <w:t> ; EFM</w:t>
      </w:r>
      <w:r>
        <w:rPr>
          <w:b/>
          <w:bCs/>
          <w:lang w:val="fr-FR" w:eastAsia="de-DE"/>
        </w:rPr>
        <w:t xml:space="preserve"> : </w:t>
      </w:r>
      <w:r w:rsidRPr="00E773DC">
        <w:rPr>
          <w:b/>
          <w:bCs/>
          <w:lang w:val="fr-FR" w:eastAsia="de-DE"/>
        </w:rPr>
        <w:t xml:space="preserve">Débitmètre massique </w:t>
      </w:r>
      <w:r>
        <w:rPr>
          <w:b/>
          <w:bCs/>
          <w:lang w:val="fr-FR" w:eastAsia="de-DE"/>
        </w:rPr>
        <w:t xml:space="preserve">des gaz </w:t>
      </w:r>
      <w:r w:rsidRPr="00E773DC">
        <w:rPr>
          <w:b/>
          <w:bCs/>
          <w:lang w:val="fr-FR" w:eastAsia="de-DE"/>
        </w:rPr>
        <w:t>d</w:t>
      </w:r>
      <w:r>
        <w:rPr>
          <w:b/>
          <w:bCs/>
          <w:lang w:val="fr-FR" w:eastAsia="de-DE"/>
        </w:rPr>
        <w:t>’</w:t>
      </w:r>
      <w:r w:rsidRPr="00E773DC">
        <w:rPr>
          <w:b/>
          <w:bCs/>
          <w:lang w:val="fr-FR" w:eastAsia="de-DE"/>
        </w:rPr>
        <w:t xml:space="preserve">échappement ; d </w:t>
      </w:r>
      <w:r>
        <w:rPr>
          <w:b/>
          <w:bCs/>
          <w:lang w:val="fr-FR" w:eastAsia="de-DE"/>
        </w:rPr>
        <w:t>=</w:t>
      </w:r>
      <w:r w:rsidRPr="00E773DC">
        <w:rPr>
          <w:b/>
          <w:bCs/>
          <w:lang w:val="fr-FR" w:eastAsia="de-DE"/>
        </w:rPr>
        <w:t xml:space="preserve"> </w:t>
      </w:r>
      <w:r>
        <w:rPr>
          <w:b/>
          <w:bCs/>
          <w:lang w:val="fr-FR" w:eastAsia="de-DE"/>
        </w:rPr>
        <w:t>d</w:t>
      </w:r>
      <w:r w:rsidRPr="00E773DC">
        <w:rPr>
          <w:b/>
          <w:bCs/>
          <w:lang w:val="fr-FR" w:eastAsia="de-DE"/>
        </w:rPr>
        <w:t xml:space="preserve">iamètre intérieur ; PND </w:t>
      </w:r>
      <w:r>
        <w:rPr>
          <w:b/>
          <w:bCs/>
          <w:lang w:val="fr-FR" w:eastAsia="de-DE"/>
        </w:rPr>
        <w:t>=</w:t>
      </w:r>
      <w:r w:rsidRPr="00E773DC">
        <w:rPr>
          <w:b/>
          <w:bCs/>
          <w:lang w:val="fr-FR" w:eastAsia="de-DE"/>
        </w:rPr>
        <w:t xml:space="preserve"> Dilueur de </w:t>
      </w:r>
      <w:r>
        <w:rPr>
          <w:b/>
          <w:bCs/>
          <w:lang w:val="fr-FR" w:eastAsia="de-DE"/>
        </w:rPr>
        <w:t>particules</w:t>
      </w:r>
      <w:r w:rsidR="00F72B31" w:rsidRPr="00F72B31">
        <w:rPr>
          <w:b/>
          <w:bCs/>
          <w:lang w:val="fr-FR" w:eastAsia="de-DE"/>
        </w:rPr>
        <w:t>.</w:t>
      </w:r>
    </w:p>
    <w:p w14:paraId="08AE520D"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2</w:t>
      </w:r>
      <w:r w:rsidRPr="00E773DC">
        <w:rPr>
          <w:lang w:val="fr-FR" w:eastAsia="de-DE"/>
        </w:rPr>
        <w:tab/>
      </w:r>
      <w:r>
        <w:rPr>
          <w:lang w:val="fr-FR" w:eastAsia="de-DE"/>
        </w:rPr>
        <w:t>Le compteur de particules</w:t>
      </w:r>
      <w:r w:rsidRPr="00E773DC">
        <w:rPr>
          <w:lang w:val="fr-FR" w:eastAsia="de-DE"/>
        </w:rPr>
        <w:t xml:space="preserve"> est relié au point de prélèvement par une sonde de prélèvement qui extrait un échantillon </w:t>
      </w:r>
      <w:r>
        <w:rPr>
          <w:lang w:val="fr-FR" w:eastAsia="de-DE"/>
        </w:rPr>
        <w:t xml:space="preserve">de gaz </w:t>
      </w:r>
      <w:r w:rsidRPr="00E773DC">
        <w:rPr>
          <w:lang w:val="fr-FR" w:eastAsia="de-DE"/>
        </w:rPr>
        <w:t>d</w:t>
      </w:r>
      <w:r>
        <w:rPr>
          <w:lang w:val="fr-FR" w:eastAsia="de-DE"/>
        </w:rPr>
        <w:t>ans</w:t>
      </w:r>
      <w:r w:rsidRPr="00E773DC">
        <w:rPr>
          <w:lang w:val="fr-FR" w:eastAsia="de-DE"/>
        </w:rPr>
        <w:t xml:space="preserve"> </w:t>
      </w:r>
      <w:r>
        <w:rPr>
          <w:lang w:val="fr-FR" w:eastAsia="de-DE"/>
        </w:rPr>
        <w:t>l’axe diamétral</w:t>
      </w:r>
      <w:r w:rsidRPr="00E773DC">
        <w:rPr>
          <w:lang w:val="fr-FR" w:eastAsia="de-DE"/>
        </w:rPr>
        <w:t xml:space="preserve"> du tube d</w:t>
      </w:r>
      <w:r>
        <w:rPr>
          <w:lang w:val="fr-FR" w:eastAsia="de-DE"/>
        </w:rPr>
        <w:t>’</w:t>
      </w:r>
      <w:r w:rsidRPr="00E773DC">
        <w:rPr>
          <w:lang w:val="fr-FR" w:eastAsia="de-DE"/>
        </w:rPr>
        <w:t>échappement</w:t>
      </w:r>
      <w:r w:rsidR="00F72B31" w:rsidRPr="00F72B31">
        <w:rPr>
          <w:lang w:val="fr-FR" w:eastAsia="de-DE"/>
        </w:rPr>
        <w:t>.</w:t>
      </w:r>
      <w:r w:rsidRPr="00E773DC">
        <w:rPr>
          <w:lang w:val="fr-FR" w:eastAsia="de-DE"/>
        </w:rPr>
        <w:t xml:space="preserve"> Si les particules ne sont pas diluées au niveau du tuyau d</w:t>
      </w:r>
      <w:r>
        <w:rPr>
          <w:lang w:val="fr-FR" w:eastAsia="de-DE"/>
        </w:rPr>
        <w:t>’</w:t>
      </w:r>
      <w:r w:rsidRPr="00E773DC">
        <w:rPr>
          <w:lang w:val="fr-FR" w:eastAsia="de-DE"/>
        </w:rPr>
        <w:t xml:space="preserve">échappement, la </w:t>
      </w:r>
      <w:r>
        <w:rPr>
          <w:lang w:val="fr-FR" w:eastAsia="de-DE"/>
        </w:rPr>
        <w:t>conduite</w:t>
      </w:r>
      <w:r w:rsidRPr="00E773DC">
        <w:rPr>
          <w:lang w:val="fr-FR" w:eastAsia="de-DE"/>
        </w:rPr>
        <w:t xml:space="preserve"> de prélèvement doit être chauffée à une température minimale de 373</w:t>
      </w:r>
      <w:r>
        <w:rPr>
          <w:lang w:val="fr-FR" w:eastAsia="de-DE"/>
        </w:rPr>
        <w:t> </w:t>
      </w:r>
      <w:r w:rsidRPr="00E773DC">
        <w:rPr>
          <w:lang w:val="fr-FR" w:eastAsia="de-DE"/>
        </w:rPr>
        <w:t>K (100</w:t>
      </w:r>
      <w:r>
        <w:rPr>
          <w:lang w:val="fr-FR" w:eastAsia="de-DE"/>
        </w:rPr>
        <w:t> </w:t>
      </w:r>
      <w:r w:rsidRPr="00E773DC">
        <w:rPr>
          <w:lang w:val="fr-FR" w:eastAsia="de-DE"/>
        </w:rPr>
        <w:t>°C) jusqu</w:t>
      </w:r>
      <w:r>
        <w:rPr>
          <w:lang w:val="fr-FR" w:eastAsia="de-DE"/>
        </w:rPr>
        <w:t>’</w:t>
      </w:r>
      <w:r w:rsidRPr="00E773DC">
        <w:rPr>
          <w:lang w:val="fr-FR" w:eastAsia="de-DE"/>
        </w:rPr>
        <w:t xml:space="preserve">au point de première dilution </w:t>
      </w:r>
      <w:r>
        <w:rPr>
          <w:lang w:val="fr-FR" w:eastAsia="de-DE"/>
        </w:rPr>
        <w:t>du compteur de particules</w:t>
      </w:r>
      <w:r w:rsidRPr="00E773DC">
        <w:rPr>
          <w:lang w:val="fr-FR" w:eastAsia="de-DE"/>
        </w:rPr>
        <w:t xml:space="preserve"> ou du détecteur de particules de l</w:t>
      </w:r>
      <w:r>
        <w:rPr>
          <w:lang w:val="fr-FR" w:eastAsia="de-DE"/>
        </w:rPr>
        <w:t>’</w:t>
      </w:r>
      <w:r w:rsidRPr="00E773DC">
        <w:rPr>
          <w:lang w:val="fr-FR" w:eastAsia="de-DE"/>
        </w:rPr>
        <w:t>analyseur</w:t>
      </w:r>
      <w:r w:rsidR="00F72B31" w:rsidRPr="00F72B31">
        <w:rPr>
          <w:lang w:val="fr-FR" w:eastAsia="de-DE"/>
        </w:rPr>
        <w:t>.</w:t>
      </w:r>
      <w:r w:rsidRPr="00E773DC">
        <w:rPr>
          <w:lang w:val="fr-FR" w:eastAsia="de-DE"/>
        </w:rPr>
        <w:t xml:space="preserve"> Le temps de séjour de l</w:t>
      </w:r>
      <w:r>
        <w:rPr>
          <w:lang w:val="fr-FR" w:eastAsia="de-DE"/>
        </w:rPr>
        <w:t>’</w:t>
      </w:r>
      <w:r w:rsidRPr="00E773DC">
        <w:rPr>
          <w:lang w:val="fr-FR" w:eastAsia="de-DE"/>
        </w:rPr>
        <w:t xml:space="preserve">échantillon dans la </w:t>
      </w:r>
      <w:r>
        <w:rPr>
          <w:lang w:val="fr-FR" w:eastAsia="de-DE"/>
        </w:rPr>
        <w:t>conduite</w:t>
      </w:r>
      <w:r w:rsidRPr="00B6189F">
        <w:rPr>
          <w:lang w:val="fr-FR" w:eastAsia="de-DE"/>
        </w:rPr>
        <w:t xml:space="preserve"> </w:t>
      </w:r>
      <w:r w:rsidRPr="00E773DC">
        <w:rPr>
          <w:lang w:val="fr-FR" w:eastAsia="de-DE"/>
        </w:rPr>
        <w:t>de prélèvement des particules doit être inférieur à 3 secondes jusqu</w:t>
      </w:r>
      <w:r>
        <w:rPr>
          <w:lang w:val="fr-FR" w:eastAsia="de-DE"/>
        </w:rPr>
        <w:t>’</w:t>
      </w:r>
      <w:r w:rsidRPr="00E773DC">
        <w:rPr>
          <w:lang w:val="fr-FR" w:eastAsia="de-DE"/>
        </w:rPr>
        <w:t>au point de première dilution ou jusqu</w:t>
      </w:r>
      <w:r>
        <w:rPr>
          <w:lang w:val="fr-FR" w:eastAsia="de-DE"/>
        </w:rPr>
        <w:t>’</w:t>
      </w:r>
      <w:r w:rsidRPr="00E773DC">
        <w:rPr>
          <w:lang w:val="fr-FR" w:eastAsia="de-DE"/>
        </w:rPr>
        <w:t>au détecteur de particules</w:t>
      </w:r>
      <w:r w:rsidR="00F72B31" w:rsidRPr="00F72B31">
        <w:rPr>
          <w:lang w:val="fr-FR" w:eastAsia="de-DE"/>
        </w:rPr>
        <w:t>.</w:t>
      </w:r>
    </w:p>
    <w:p w14:paraId="228E82A2"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3</w:t>
      </w:r>
      <w:r w:rsidRPr="00E773DC">
        <w:rPr>
          <w:lang w:val="fr-FR" w:eastAsia="de-DE"/>
        </w:rPr>
        <w:tab/>
        <w:t>Toutes les parties en contact avec les gaz d</w:t>
      </w:r>
      <w:r>
        <w:rPr>
          <w:lang w:val="fr-FR" w:eastAsia="de-DE"/>
        </w:rPr>
        <w:t>’</w:t>
      </w:r>
      <w:r w:rsidRPr="00E773DC">
        <w:rPr>
          <w:lang w:val="fr-FR" w:eastAsia="de-DE"/>
        </w:rPr>
        <w:t xml:space="preserve">échappement </w:t>
      </w:r>
      <w:r>
        <w:rPr>
          <w:lang w:val="fr-FR" w:eastAsia="de-DE"/>
        </w:rPr>
        <w:t>prélevés</w:t>
      </w:r>
      <w:r w:rsidRPr="00E773DC">
        <w:rPr>
          <w:lang w:val="fr-FR" w:eastAsia="de-DE"/>
        </w:rPr>
        <w:t xml:space="preserve"> doivent toujours être maintenues à une température qui évite la condensation de tout composé dans le dispositif</w:t>
      </w:r>
      <w:r w:rsidR="00F72B31" w:rsidRPr="00F72B31">
        <w:rPr>
          <w:lang w:val="fr-FR" w:eastAsia="de-DE"/>
        </w:rPr>
        <w:t>.</w:t>
      </w:r>
      <w:r w:rsidRPr="00E773DC">
        <w:rPr>
          <w:lang w:val="fr-FR" w:eastAsia="de-DE"/>
        </w:rPr>
        <w:t xml:space="preserve"> Cela peut être obtenu, par exemple, en chauffant à une température plus élevée et en diluant l</w:t>
      </w:r>
      <w:r>
        <w:rPr>
          <w:lang w:val="fr-FR" w:eastAsia="de-DE"/>
        </w:rPr>
        <w:t>’</w:t>
      </w:r>
      <w:r w:rsidRPr="00E773DC">
        <w:rPr>
          <w:lang w:val="fr-FR" w:eastAsia="de-DE"/>
        </w:rPr>
        <w:t xml:space="preserve">échantillon ou en oxydant les </w:t>
      </w:r>
      <w:r>
        <w:rPr>
          <w:lang w:val="fr-FR" w:eastAsia="de-DE"/>
        </w:rPr>
        <w:t>substances</w:t>
      </w:r>
      <w:r w:rsidRPr="00E773DC">
        <w:rPr>
          <w:lang w:val="fr-FR" w:eastAsia="de-DE"/>
        </w:rPr>
        <w:t xml:space="preserve"> (semi</w:t>
      </w:r>
      <w:r>
        <w:rPr>
          <w:lang w:val="fr-FR" w:eastAsia="de-DE"/>
        </w:rPr>
        <w:t>-</w:t>
      </w:r>
      <w:r w:rsidRPr="00E773DC">
        <w:rPr>
          <w:lang w:val="fr-FR" w:eastAsia="de-DE"/>
        </w:rPr>
        <w:t>)volatiles</w:t>
      </w:r>
      <w:r w:rsidR="00F72B31" w:rsidRPr="00F72B31">
        <w:rPr>
          <w:lang w:val="fr-FR" w:eastAsia="de-DE"/>
        </w:rPr>
        <w:t>.</w:t>
      </w:r>
    </w:p>
    <w:p w14:paraId="50364662"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4</w:t>
      </w:r>
      <w:r w:rsidRPr="00E773DC">
        <w:rPr>
          <w:lang w:val="fr-FR" w:eastAsia="de-DE"/>
        </w:rPr>
        <w:tab/>
      </w:r>
      <w:r>
        <w:rPr>
          <w:lang w:val="fr-FR" w:eastAsia="de-DE"/>
        </w:rPr>
        <w:t>Le compteur de particules</w:t>
      </w:r>
      <w:r w:rsidRPr="00E773DC">
        <w:rPr>
          <w:lang w:val="fr-FR" w:eastAsia="de-DE"/>
        </w:rPr>
        <w:t xml:space="preserve"> doit comprendre une section chauffée à </w:t>
      </w:r>
      <w:r>
        <w:rPr>
          <w:lang w:val="fr-FR" w:eastAsia="de-DE"/>
        </w:rPr>
        <w:t>une</w:t>
      </w:r>
      <w:r w:rsidRPr="00E773DC">
        <w:rPr>
          <w:lang w:val="fr-FR" w:eastAsia="de-DE"/>
        </w:rPr>
        <w:t xml:space="preserve"> température de paroi </w:t>
      </w:r>
      <w:r>
        <w:rPr>
          <w:lang w:val="fr-FR" w:eastAsia="de-DE"/>
        </w:rPr>
        <w:t>égale ou supérieure à</w:t>
      </w:r>
      <w:r w:rsidRPr="00E773DC">
        <w:rPr>
          <w:lang w:val="fr-FR" w:eastAsia="de-DE"/>
        </w:rPr>
        <w:t xml:space="preserve"> 573</w:t>
      </w:r>
      <w:r>
        <w:rPr>
          <w:lang w:val="fr-FR" w:eastAsia="de-DE"/>
        </w:rPr>
        <w:t> </w:t>
      </w:r>
      <w:r w:rsidRPr="00E773DC">
        <w:rPr>
          <w:lang w:val="fr-FR" w:eastAsia="de-DE"/>
        </w:rPr>
        <w:t>K (300</w:t>
      </w:r>
      <w:r>
        <w:rPr>
          <w:lang w:val="fr-FR" w:eastAsia="de-DE"/>
        </w:rPr>
        <w:t> </w:t>
      </w:r>
      <w:r w:rsidRPr="00E773DC">
        <w:rPr>
          <w:lang w:val="fr-FR" w:eastAsia="de-DE"/>
        </w:rPr>
        <w:t>°C)</w:t>
      </w:r>
      <w:r w:rsidR="00F72B31" w:rsidRPr="00F72B31">
        <w:rPr>
          <w:lang w:val="fr-FR" w:eastAsia="de-DE"/>
        </w:rPr>
        <w:t>.</w:t>
      </w:r>
      <w:r w:rsidRPr="00E773DC">
        <w:rPr>
          <w:lang w:val="fr-FR" w:eastAsia="de-DE"/>
        </w:rPr>
        <w:t xml:space="preserve"> </w:t>
      </w:r>
      <w:r>
        <w:rPr>
          <w:lang w:val="fr-FR" w:eastAsia="de-DE"/>
        </w:rPr>
        <w:t>Le dispositif</w:t>
      </w:r>
      <w:r w:rsidRPr="00E773DC">
        <w:rPr>
          <w:lang w:val="fr-FR" w:eastAsia="de-DE"/>
        </w:rPr>
        <w:t xml:space="preserve"> de </w:t>
      </w:r>
      <w:proofErr w:type="spellStart"/>
      <w:r w:rsidRPr="00E773DC">
        <w:rPr>
          <w:lang w:val="fr-FR" w:eastAsia="de-DE"/>
        </w:rPr>
        <w:t>préconditionnement</w:t>
      </w:r>
      <w:proofErr w:type="spellEnd"/>
      <w:r w:rsidRPr="00E773DC">
        <w:rPr>
          <w:lang w:val="fr-FR" w:eastAsia="de-DE"/>
        </w:rPr>
        <w:t xml:space="preserve"> doit réguler les éta</w:t>
      </w:r>
      <w:r>
        <w:rPr>
          <w:lang w:val="fr-FR" w:eastAsia="de-DE"/>
        </w:rPr>
        <w:t>p</w:t>
      </w:r>
      <w:r w:rsidRPr="00E773DC">
        <w:rPr>
          <w:lang w:val="fr-FR" w:eastAsia="de-DE"/>
        </w:rPr>
        <w:t>es chauffé</w:t>
      </w:r>
      <w:r>
        <w:rPr>
          <w:lang w:val="fr-FR" w:eastAsia="de-DE"/>
        </w:rPr>
        <w:t>e</w:t>
      </w:r>
      <w:r w:rsidRPr="00E773DC">
        <w:rPr>
          <w:lang w:val="fr-FR" w:eastAsia="de-DE"/>
        </w:rPr>
        <w:t>s à des températures de fonctionnement nominales constantes, avec une tolérance de ±10</w:t>
      </w:r>
      <w:r>
        <w:rPr>
          <w:lang w:val="fr-FR" w:eastAsia="de-DE"/>
        </w:rPr>
        <w:t> </w:t>
      </w:r>
      <w:r w:rsidRPr="00E773DC">
        <w:rPr>
          <w:lang w:val="fr-FR" w:eastAsia="de-DE"/>
        </w:rPr>
        <w:t>K, et indiquer si les parties chauffées sont ou non à leur température de fonctionnement correcte</w:t>
      </w:r>
      <w:r w:rsidR="00F72B31" w:rsidRPr="00F72B31">
        <w:rPr>
          <w:lang w:val="fr-FR" w:eastAsia="de-DE"/>
        </w:rPr>
        <w:t>.</w:t>
      </w:r>
      <w:r w:rsidRPr="00E773DC">
        <w:rPr>
          <w:lang w:val="fr-FR" w:eastAsia="de-DE"/>
        </w:rPr>
        <w:t xml:space="preserve"> Des températures plus basses sont acceptables pour autant que l</w:t>
      </w:r>
      <w:r>
        <w:rPr>
          <w:lang w:val="fr-FR" w:eastAsia="de-DE"/>
        </w:rPr>
        <w:t>’</w:t>
      </w:r>
      <w:r w:rsidRPr="00E773DC">
        <w:rPr>
          <w:lang w:val="fr-FR" w:eastAsia="de-DE"/>
        </w:rPr>
        <w:t>efficacité d</w:t>
      </w:r>
      <w:r>
        <w:rPr>
          <w:lang w:val="fr-FR" w:eastAsia="de-DE"/>
        </w:rPr>
        <w:t>’</w:t>
      </w:r>
      <w:r w:rsidRPr="00E773DC">
        <w:rPr>
          <w:lang w:val="fr-FR" w:eastAsia="de-DE"/>
        </w:rPr>
        <w:t>élimination des particules volatiles soit conforme aux spécifications énoncées au paragraphe 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4</w:t>
      </w:r>
      <w:r w:rsidR="00F72B31" w:rsidRPr="00F72B31">
        <w:rPr>
          <w:lang w:val="fr-FR" w:eastAsia="de-DE"/>
        </w:rPr>
        <w:t>.</w:t>
      </w:r>
    </w:p>
    <w:p w14:paraId="4D370D05"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5</w:t>
      </w:r>
      <w:r w:rsidRPr="00E773DC">
        <w:rPr>
          <w:lang w:val="fr-FR" w:eastAsia="de-DE"/>
        </w:rPr>
        <w:tab/>
        <w:t>Les capteurs de pression, de température et autres doivent surveiller le fonctionnement de l</w:t>
      </w:r>
      <w:r>
        <w:rPr>
          <w:lang w:val="fr-FR" w:eastAsia="de-DE"/>
        </w:rPr>
        <w:t>’</w:t>
      </w:r>
      <w:r w:rsidRPr="00E773DC">
        <w:rPr>
          <w:lang w:val="fr-FR" w:eastAsia="de-DE"/>
        </w:rPr>
        <w:t>instrument pendant son utilisation et doivent déclencher un avertissement ou un message en cas de dysfonctionnement</w:t>
      </w:r>
      <w:r w:rsidR="00F72B31" w:rsidRPr="00F72B31">
        <w:rPr>
          <w:lang w:val="fr-FR" w:eastAsia="de-DE"/>
        </w:rPr>
        <w:t>.</w:t>
      </w:r>
    </w:p>
    <w:p w14:paraId="53FB567A"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6</w:t>
      </w:r>
      <w:r w:rsidRPr="00E773DC">
        <w:rPr>
          <w:lang w:val="fr-FR" w:eastAsia="de-DE"/>
        </w:rPr>
        <w:tab/>
        <w:t xml:space="preserve">Le temps de </w:t>
      </w:r>
      <w:r>
        <w:rPr>
          <w:lang w:val="fr-FR" w:eastAsia="de-DE"/>
        </w:rPr>
        <w:t>latence</w:t>
      </w:r>
      <w:r w:rsidRPr="00E773DC">
        <w:rPr>
          <w:lang w:val="fr-FR" w:eastAsia="de-DE"/>
        </w:rPr>
        <w:t xml:space="preserve"> à l</w:t>
      </w:r>
      <w:r>
        <w:rPr>
          <w:lang w:val="fr-FR" w:eastAsia="de-DE"/>
        </w:rPr>
        <w:t>’</w:t>
      </w:r>
      <w:r w:rsidRPr="00E773DC">
        <w:rPr>
          <w:lang w:val="fr-FR" w:eastAsia="de-DE"/>
        </w:rPr>
        <w:t xml:space="preserve">intérieur </w:t>
      </w:r>
      <w:r>
        <w:rPr>
          <w:lang w:val="fr-FR" w:eastAsia="de-DE"/>
        </w:rPr>
        <w:t>du compteur de particules</w:t>
      </w:r>
      <w:r w:rsidRPr="00E773DC">
        <w:rPr>
          <w:lang w:val="fr-FR" w:eastAsia="de-DE"/>
        </w:rPr>
        <w:t xml:space="preserve"> doit être </w:t>
      </w:r>
      <w:r>
        <w:rPr>
          <w:lang w:val="fr-FR" w:eastAsia="de-DE"/>
        </w:rPr>
        <w:t>inférieur à</w:t>
      </w:r>
      <w:r w:rsidRPr="00E773DC">
        <w:rPr>
          <w:lang w:val="fr-FR" w:eastAsia="de-DE"/>
        </w:rPr>
        <w:t xml:space="preserve"> 5</w:t>
      </w:r>
      <w:r>
        <w:rPr>
          <w:lang w:val="fr-FR" w:eastAsia="de-DE"/>
        </w:rPr>
        <w:t> </w:t>
      </w:r>
      <w:r w:rsidRPr="00E773DC">
        <w:rPr>
          <w:lang w:val="fr-FR" w:eastAsia="de-DE"/>
        </w:rPr>
        <w:t>s</w:t>
      </w:r>
      <w:r w:rsidR="00F72B31" w:rsidRPr="00F72B31">
        <w:rPr>
          <w:lang w:val="fr-FR" w:eastAsia="de-DE"/>
        </w:rPr>
        <w:t>.</w:t>
      </w:r>
      <w:r w:rsidRPr="00E773DC">
        <w:rPr>
          <w:lang w:val="fr-FR" w:eastAsia="de-DE"/>
        </w:rPr>
        <w:t xml:space="preserve"> Le temps de </w:t>
      </w:r>
      <w:r w:rsidRPr="00884668">
        <w:rPr>
          <w:lang w:val="fr-FR" w:eastAsia="de-DE"/>
        </w:rPr>
        <w:t xml:space="preserve">latence </w:t>
      </w:r>
      <w:r w:rsidRPr="00E773DC">
        <w:rPr>
          <w:lang w:val="fr-FR" w:eastAsia="de-DE"/>
        </w:rPr>
        <w:t xml:space="preserve">est la différence de </w:t>
      </w:r>
      <w:r>
        <w:rPr>
          <w:lang w:val="fr-FR" w:eastAsia="de-DE"/>
        </w:rPr>
        <w:t>durée</w:t>
      </w:r>
      <w:r w:rsidRPr="00E773DC">
        <w:rPr>
          <w:lang w:val="fr-FR" w:eastAsia="de-DE"/>
        </w:rPr>
        <w:t xml:space="preserve"> entre un changement de concentration au point de référence et une ré</w:t>
      </w:r>
      <w:r>
        <w:rPr>
          <w:lang w:val="fr-FR" w:eastAsia="de-DE"/>
        </w:rPr>
        <w:t>action</w:t>
      </w:r>
      <w:r w:rsidRPr="00E773DC">
        <w:rPr>
          <w:lang w:val="fr-FR" w:eastAsia="de-DE"/>
        </w:rPr>
        <w:t xml:space="preserve"> du système </w:t>
      </w:r>
      <w:r>
        <w:rPr>
          <w:lang w:val="fr-FR" w:eastAsia="de-DE"/>
        </w:rPr>
        <w:t>d’une ampleur correspondant à</w:t>
      </w:r>
      <w:r w:rsidRPr="00E773DC">
        <w:rPr>
          <w:lang w:val="fr-FR" w:eastAsia="de-DE"/>
        </w:rPr>
        <w:t xml:space="preserve"> 10 % de la </w:t>
      </w:r>
      <w:r>
        <w:rPr>
          <w:lang w:val="fr-FR" w:eastAsia="de-DE"/>
        </w:rPr>
        <w:t>valeur</w:t>
      </w:r>
      <w:r w:rsidRPr="00E773DC">
        <w:rPr>
          <w:lang w:val="fr-FR" w:eastAsia="de-DE"/>
        </w:rPr>
        <w:t xml:space="preserve"> finale</w:t>
      </w:r>
      <w:r>
        <w:rPr>
          <w:lang w:val="fr-FR" w:eastAsia="de-DE"/>
        </w:rPr>
        <w:t xml:space="preserve"> affichée</w:t>
      </w:r>
      <w:r w:rsidR="00F72B31" w:rsidRPr="00F72B31">
        <w:rPr>
          <w:lang w:val="fr-FR" w:eastAsia="de-DE"/>
        </w:rPr>
        <w:t>.</w:t>
      </w:r>
    </w:p>
    <w:p w14:paraId="6C31621B"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7</w:t>
      </w:r>
      <w:r w:rsidRPr="00E773DC">
        <w:rPr>
          <w:lang w:val="fr-FR" w:eastAsia="de-DE"/>
        </w:rPr>
        <w:tab/>
      </w:r>
      <w:r>
        <w:rPr>
          <w:lang w:val="fr-FR" w:eastAsia="de-DE"/>
        </w:rPr>
        <w:t>Le</w:t>
      </w:r>
      <w:r w:rsidRPr="00E773DC">
        <w:rPr>
          <w:lang w:val="fr-FR" w:eastAsia="de-DE"/>
        </w:rPr>
        <w:t xml:space="preserve"> temps de montée </w:t>
      </w:r>
      <w:r>
        <w:rPr>
          <w:lang w:val="fr-FR" w:eastAsia="de-DE"/>
        </w:rPr>
        <w:t>du compteur de particules</w:t>
      </w:r>
      <w:r w:rsidRPr="00E773DC">
        <w:rPr>
          <w:lang w:val="fr-FR" w:eastAsia="de-DE"/>
        </w:rPr>
        <w:t xml:space="preserve"> (et/ou </w:t>
      </w:r>
      <w:r>
        <w:rPr>
          <w:lang w:val="fr-FR" w:eastAsia="de-DE"/>
        </w:rPr>
        <w:t>du</w:t>
      </w:r>
      <w:r w:rsidRPr="00E773DC">
        <w:rPr>
          <w:lang w:val="fr-FR" w:eastAsia="de-DE"/>
        </w:rPr>
        <w:t xml:space="preserve"> détecteur de particules) doit </w:t>
      </w:r>
      <w:r>
        <w:rPr>
          <w:lang w:val="fr-FR" w:eastAsia="de-DE"/>
        </w:rPr>
        <w:t>être</w:t>
      </w:r>
      <w:r w:rsidRPr="00E773DC">
        <w:rPr>
          <w:lang w:val="fr-FR" w:eastAsia="de-DE"/>
        </w:rPr>
        <w:t xml:space="preserve"> </w:t>
      </w:r>
      <w:r w:rsidRPr="00884668">
        <w:rPr>
          <w:lang w:val="fr-FR" w:eastAsia="de-DE"/>
        </w:rPr>
        <w:t>inférieur à</w:t>
      </w:r>
      <w:r w:rsidRPr="00E773DC">
        <w:rPr>
          <w:lang w:val="fr-FR" w:eastAsia="de-DE"/>
        </w:rPr>
        <w:t xml:space="preserve"> 3,5</w:t>
      </w:r>
      <w:r>
        <w:rPr>
          <w:lang w:val="fr-FR" w:eastAsia="de-DE"/>
        </w:rPr>
        <w:t> </w:t>
      </w:r>
      <w:r w:rsidRPr="00E773DC">
        <w:rPr>
          <w:lang w:val="fr-FR" w:eastAsia="de-DE"/>
        </w:rPr>
        <w:t>s</w:t>
      </w:r>
      <w:r w:rsidR="00F72B31" w:rsidRPr="00F72B31">
        <w:rPr>
          <w:lang w:val="fr-FR" w:eastAsia="de-DE"/>
        </w:rPr>
        <w:t>.</w:t>
      </w:r>
    </w:p>
    <w:p w14:paraId="3D8D9334"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8</w:t>
      </w:r>
      <w:r w:rsidRPr="00E773DC">
        <w:rPr>
          <w:lang w:val="fr-FR" w:eastAsia="de-DE"/>
        </w:rPr>
        <w:tab/>
        <w:t>Les mesures de concentration de particules doivent être rapportées normalisées à 273</w:t>
      </w:r>
      <w:r>
        <w:rPr>
          <w:lang w:val="fr-FR" w:eastAsia="de-DE"/>
        </w:rPr>
        <w:t> </w:t>
      </w:r>
      <w:r w:rsidRPr="00E773DC">
        <w:rPr>
          <w:lang w:val="fr-FR" w:eastAsia="de-DE"/>
        </w:rPr>
        <w:t>K (0</w:t>
      </w:r>
      <w:r>
        <w:rPr>
          <w:lang w:val="fr-FR" w:eastAsia="de-DE"/>
        </w:rPr>
        <w:t> </w:t>
      </w:r>
      <w:r w:rsidRPr="00E773DC">
        <w:rPr>
          <w:lang w:val="fr-FR" w:eastAsia="de-DE"/>
        </w:rPr>
        <w:t>°C) et 101,3</w:t>
      </w:r>
      <w:r>
        <w:rPr>
          <w:lang w:val="fr-FR" w:eastAsia="de-DE"/>
        </w:rPr>
        <w:t> </w:t>
      </w:r>
      <w:r w:rsidRPr="00E773DC">
        <w:rPr>
          <w:lang w:val="fr-FR" w:eastAsia="de-DE"/>
        </w:rPr>
        <w:t>kPa</w:t>
      </w:r>
      <w:r w:rsidR="00F72B31" w:rsidRPr="00F72B31">
        <w:rPr>
          <w:lang w:val="fr-FR" w:eastAsia="de-DE"/>
        </w:rPr>
        <w:t>.</w:t>
      </w:r>
      <w:r w:rsidRPr="00E773DC">
        <w:rPr>
          <w:lang w:val="fr-FR" w:eastAsia="de-DE"/>
        </w:rPr>
        <w:t xml:space="preserve"> Si cela est jugé nécessaire selon les règles de l</w:t>
      </w:r>
      <w:r>
        <w:rPr>
          <w:lang w:val="fr-FR" w:eastAsia="de-DE"/>
        </w:rPr>
        <w:t>’</w:t>
      </w:r>
      <w:r w:rsidRPr="00E773DC">
        <w:rPr>
          <w:lang w:val="fr-FR" w:eastAsia="de-DE"/>
        </w:rPr>
        <w:t>art, la pression et la température à l</w:t>
      </w:r>
      <w:r>
        <w:rPr>
          <w:lang w:val="fr-FR" w:eastAsia="de-DE"/>
        </w:rPr>
        <w:t>’</w:t>
      </w:r>
      <w:r w:rsidRPr="00E773DC">
        <w:rPr>
          <w:lang w:val="fr-FR" w:eastAsia="de-DE"/>
        </w:rPr>
        <w:t>entrée du détecteur doivent être mesurées et indiquées aux fins de la normalisation de la concentration de particules</w:t>
      </w:r>
      <w:r w:rsidR="00F72B31" w:rsidRPr="00F72B31">
        <w:rPr>
          <w:lang w:val="fr-FR" w:eastAsia="de-DE"/>
        </w:rPr>
        <w:t>.</w:t>
      </w:r>
    </w:p>
    <w:p w14:paraId="7B551338" w14:textId="77777777" w:rsidR="00B921D9" w:rsidRPr="00E773DC" w:rsidRDefault="00B921D9" w:rsidP="00B921D9">
      <w:pPr>
        <w:pStyle w:val="SingleTxtG"/>
        <w:ind w:left="2268" w:hanging="1134"/>
        <w:rPr>
          <w:lang w:val="fr-FR" w:eastAsia="de-DE"/>
        </w:rPr>
      </w:pPr>
      <w:r w:rsidRPr="00E773DC">
        <w:rPr>
          <w:lang w:val="fr-FR" w:eastAsia="de-DE"/>
        </w:rPr>
        <w:t>A</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5</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9</w:t>
      </w:r>
      <w:r w:rsidRPr="00E773DC">
        <w:rPr>
          <w:lang w:val="fr-FR" w:eastAsia="de-DE"/>
        </w:rPr>
        <w:tab/>
        <w:t xml:space="preserve">Les analyseurs de particules qui satisfont aux </w:t>
      </w:r>
      <w:r w:rsidRPr="00C571EE">
        <w:rPr>
          <w:lang w:val="fr-FR" w:eastAsia="de-DE"/>
        </w:rPr>
        <w:t xml:space="preserve">dispositions </w:t>
      </w:r>
      <w:r>
        <w:rPr>
          <w:lang w:val="fr-FR" w:eastAsia="de-DE"/>
        </w:rPr>
        <w:t>en matière</w:t>
      </w:r>
      <w:r w:rsidRPr="00E773DC">
        <w:rPr>
          <w:lang w:val="fr-FR" w:eastAsia="de-DE"/>
        </w:rPr>
        <w:t xml:space="preserve"> d</w:t>
      </w:r>
      <w:r>
        <w:rPr>
          <w:lang w:val="fr-FR" w:eastAsia="de-DE"/>
        </w:rPr>
        <w:t>’</w:t>
      </w:r>
      <w:r w:rsidRPr="00E773DC">
        <w:rPr>
          <w:lang w:val="fr-FR" w:eastAsia="de-DE"/>
        </w:rPr>
        <w:t>étalonnage d</w:t>
      </w:r>
      <w:r>
        <w:rPr>
          <w:lang w:val="fr-FR" w:eastAsia="de-DE"/>
        </w:rPr>
        <w:t>es</w:t>
      </w:r>
      <w:r w:rsidRPr="00E773DC">
        <w:rPr>
          <w:lang w:val="fr-FR" w:eastAsia="de-DE"/>
        </w:rPr>
        <w:t xml:space="preserve"> </w:t>
      </w:r>
      <w:r>
        <w:rPr>
          <w:lang w:val="fr-FR" w:eastAsia="de-DE"/>
        </w:rPr>
        <w:t>R</w:t>
      </w:r>
      <w:r w:rsidRPr="00E773DC">
        <w:rPr>
          <w:lang w:val="fr-FR" w:eastAsia="de-DE"/>
        </w:rPr>
        <w:t>èglement</w:t>
      </w:r>
      <w:r>
        <w:rPr>
          <w:lang w:val="fr-FR" w:eastAsia="de-DE"/>
        </w:rPr>
        <w:t>s ONU</w:t>
      </w:r>
      <w:r w:rsidRPr="00E773DC">
        <w:rPr>
          <w:lang w:val="fr-FR" w:eastAsia="de-DE"/>
        </w:rPr>
        <w:t xml:space="preserve"> n</w:t>
      </w:r>
      <w:r w:rsidRPr="00A25F07">
        <w:rPr>
          <w:vertAlign w:val="superscript"/>
          <w:lang w:val="fr-FR" w:eastAsia="de-DE"/>
        </w:rPr>
        <w:t>os</w:t>
      </w:r>
      <w:r>
        <w:rPr>
          <w:lang w:val="fr-FR" w:eastAsia="de-DE"/>
        </w:rPr>
        <w:t> </w:t>
      </w:r>
      <w:r w:rsidRPr="00E773DC">
        <w:rPr>
          <w:lang w:val="fr-FR" w:eastAsia="de-DE"/>
        </w:rPr>
        <w:t xml:space="preserve">83 ou </w:t>
      </w:r>
      <w:r w:rsidRPr="00E773DC">
        <w:rPr>
          <w:b/>
          <w:bCs/>
          <w:lang w:val="fr-FR" w:eastAsia="de-DE"/>
        </w:rPr>
        <w:t xml:space="preserve">[154] sont réputés conformes aux </w:t>
      </w:r>
      <w:r>
        <w:rPr>
          <w:b/>
          <w:bCs/>
          <w:lang w:val="fr-FR" w:eastAsia="de-DE"/>
        </w:rPr>
        <w:t>disposi</w:t>
      </w:r>
      <w:r w:rsidRPr="00A25F07">
        <w:rPr>
          <w:b/>
          <w:bCs/>
          <w:lang w:val="fr-FR" w:eastAsia="de-DE"/>
        </w:rPr>
        <w:t>tion</w:t>
      </w:r>
      <w:r>
        <w:rPr>
          <w:b/>
          <w:bCs/>
          <w:lang w:val="fr-FR" w:eastAsia="de-DE"/>
        </w:rPr>
        <w:t>s</w:t>
      </w:r>
      <w:r w:rsidRPr="00A25F07">
        <w:rPr>
          <w:b/>
          <w:bCs/>
          <w:lang w:val="fr-FR" w:eastAsia="de-DE"/>
        </w:rPr>
        <w:t xml:space="preserve"> en matière </w:t>
      </w:r>
      <w:r w:rsidRPr="00E773DC">
        <w:rPr>
          <w:b/>
          <w:bCs/>
          <w:lang w:val="fr-FR" w:eastAsia="de-DE"/>
        </w:rPr>
        <w:t>d</w:t>
      </w:r>
      <w:r>
        <w:rPr>
          <w:b/>
          <w:bCs/>
          <w:lang w:val="fr-FR" w:eastAsia="de-DE"/>
        </w:rPr>
        <w:t>’</w:t>
      </w:r>
      <w:r w:rsidRPr="00E773DC">
        <w:rPr>
          <w:b/>
          <w:bCs/>
          <w:lang w:val="fr-FR" w:eastAsia="de-DE"/>
        </w:rPr>
        <w:t>étalonnage de la présente annexe</w:t>
      </w:r>
      <w:r w:rsidR="00F72B31" w:rsidRPr="00F72B31">
        <w:rPr>
          <w:lang w:val="fr-FR" w:eastAsia="de-DE"/>
        </w:rPr>
        <w:t>.</w:t>
      </w:r>
    </w:p>
    <w:p w14:paraId="09CF49AD"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2</w:t>
      </w:r>
      <w:r w:rsidRPr="00E773DC">
        <w:rPr>
          <w:b/>
          <w:bCs/>
          <w:lang w:val="fr-FR" w:eastAsia="de-DE"/>
        </w:rPr>
        <w:tab/>
      </w:r>
      <w:r>
        <w:rPr>
          <w:b/>
          <w:bCs/>
          <w:lang w:val="fr-FR" w:eastAsia="de-DE"/>
        </w:rPr>
        <w:t>P</w:t>
      </w:r>
      <w:r w:rsidRPr="00A25F07">
        <w:rPr>
          <w:b/>
          <w:bCs/>
          <w:lang w:val="fr-FR" w:eastAsia="de-DE"/>
        </w:rPr>
        <w:t>rescription</w:t>
      </w:r>
      <w:r>
        <w:rPr>
          <w:b/>
          <w:bCs/>
          <w:lang w:val="fr-FR" w:eastAsia="de-DE"/>
        </w:rPr>
        <w:t>s</w:t>
      </w:r>
      <w:r w:rsidRPr="00A25F07">
        <w:rPr>
          <w:b/>
          <w:bCs/>
          <w:lang w:val="fr-FR" w:eastAsia="de-DE"/>
        </w:rPr>
        <w:t xml:space="preserve"> </w:t>
      </w:r>
      <w:r w:rsidRPr="00E773DC">
        <w:rPr>
          <w:b/>
          <w:bCs/>
          <w:lang w:val="fr-FR" w:eastAsia="de-DE"/>
        </w:rPr>
        <w:t>d</w:t>
      </w:r>
      <w:r>
        <w:rPr>
          <w:b/>
          <w:bCs/>
          <w:lang w:val="fr-FR" w:eastAsia="de-DE"/>
        </w:rPr>
        <w:t>’</w:t>
      </w:r>
      <w:r w:rsidRPr="00E773DC">
        <w:rPr>
          <w:b/>
          <w:bCs/>
          <w:lang w:val="fr-FR" w:eastAsia="de-DE"/>
        </w:rPr>
        <w:t>efficacité</w:t>
      </w:r>
    </w:p>
    <w:p w14:paraId="704A2EE9"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1</w:t>
      </w:r>
      <w:r w:rsidRPr="00E773DC">
        <w:rPr>
          <w:b/>
          <w:bCs/>
          <w:lang w:val="fr-FR" w:eastAsia="de-DE"/>
        </w:rPr>
        <w:tab/>
        <w:t>Le système complet d</w:t>
      </w:r>
      <w:r>
        <w:rPr>
          <w:b/>
          <w:bCs/>
          <w:lang w:val="fr-FR" w:eastAsia="de-DE"/>
        </w:rPr>
        <w:t>’</w:t>
      </w:r>
      <w:r w:rsidRPr="00E773DC">
        <w:rPr>
          <w:b/>
          <w:bCs/>
          <w:lang w:val="fr-FR" w:eastAsia="de-DE"/>
        </w:rPr>
        <w:t>analyse</w:t>
      </w:r>
      <w:r>
        <w:rPr>
          <w:b/>
          <w:bCs/>
          <w:lang w:val="fr-FR" w:eastAsia="de-DE"/>
        </w:rPr>
        <w:t>urs</w:t>
      </w:r>
      <w:r w:rsidRPr="00E773DC">
        <w:rPr>
          <w:b/>
          <w:bCs/>
          <w:lang w:val="fr-FR" w:eastAsia="de-DE"/>
        </w:rPr>
        <w:t xml:space="preserve"> de particules et la </w:t>
      </w:r>
      <w:r>
        <w:rPr>
          <w:b/>
          <w:bCs/>
          <w:lang w:val="fr-FR" w:eastAsia="de-DE"/>
        </w:rPr>
        <w:t>conduite</w:t>
      </w:r>
      <w:r w:rsidRPr="00E773DC">
        <w:rPr>
          <w:b/>
          <w:bCs/>
          <w:lang w:val="fr-FR" w:eastAsia="de-DE"/>
        </w:rPr>
        <w:t xml:space="preserve"> de prélèvement doivent satisfaire aux </w:t>
      </w:r>
      <w:r>
        <w:rPr>
          <w:b/>
          <w:bCs/>
          <w:lang w:val="fr-FR" w:eastAsia="de-DE"/>
        </w:rPr>
        <w:t>prescriptions</w:t>
      </w:r>
      <w:r w:rsidRPr="00E773DC">
        <w:rPr>
          <w:b/>
          <w:bCs/>
          <w:lang w:val="fr-FR" w:eastAsia="de-DE"/>
        </w:rPr>
        <w:t xml:space="preserve"> d</w:t>
      </w:r>
      <w:r>
        <w:rPr>
          <w:b/>
          <w:bCs/>
          <w:lang w:val="fr-FR" w:eastAsia="de-DE"/>
        </w:rPr>
        <w:t>’</w:t>
      </w:r>
      <w:r w:rsidRPr="00E773DC">
        <w:rPr>
          <w:b/>
          <w:bCs/>
          <w:lang w:val="fr-FR" w:eastAsia="de-DE"/>
        </w:rPr>
        <w:t xml:space="preserve">efficacité </w:t>
      </w:r>
      <w:r>
        <w:rPr>
          <w:b/>
          <w:bCs/>
          <w:lang w:val="fr-FR" w:eastAsia="de-DE"/>
        </w:rPr>
        <w:t>énoncées dans le</w:t>
      </w:r>
      <w:r w:rsidRPr="00E773DC">
        <w:rPr>
          <w:b/>
          <w:bCs/>
          <w:lang w:val="fr-FR" w:eastAsia="de-DE"/>
        </w:rPr>
        <w:t xml:space="preserve"> tableau 1</w:t>
      </w:r>
      <w:r>
        <w:rPr>
          <w:b/>
          <w:bCs/>
          <w:lang w:val="fr-FR" w:eastAsia="de-DE"/>
        </w:rPr>
        <w:t xml:space="preserve"> ci-dessous</w:t>
      </w:r>
      <w:r w:rsidRPr="00E773DC">
        <w:rPr>
          <w:b/>
          <w:bCs/>
          <w:lang w:val="fr-FR" w:eastAsia="de-DE"/>
        </w:rPr>
        <w:t> :</w:t>
      </w:r>
    </w:p>
    <w:p w14:paraId="68F6A245" w14:textId="77777777" w:rsidR="00B921D9" w:rsidRPr="00E773DC" w:rsidRDefault="00B921D9" w:rsidP="00B921D9">
      <w:pPr>
        <w:pStyle w:val="SingleTxtG"/>
        <w:spacing w:after="0"/>
        <w:ind w:left="2268" w:hanging="1134"/>
        <w:rPr>
          <w:b/>
          <w:bCs/>
          <w:lang w:val="fr-FR" w:eastAsia="de-DE"/>
        </w:rPr>
      </w:pPr>
      <w:r w:rsidRPr="00E773DC">
        <w:rPr>
          <w:b/>
          <w:bCs/>
          <w:lang w:val="fr-FR" w:eastAsia="de-DE"/>
        </w:rPr>
        <w:t>Tableau 1</w:t>
      </w:r>
    </w:p>
    <w:p w14:paraId="58BC1432" w14:textId="77777777" w:rsidR="00B921D9" w:rsidRPr="00E773DC" w:rsidRDefault="00B921D9" w:rsidP="00B921D9">
      <w:pPr>
        <w:pStyle w:val="SingleTxtG"/>
        <w:jc w:val="left"/>
        <w:rPr>
          <w:b/>
          <w:bCs/>
          <w:lang w:val="fr-FR" w:eastAsia="de-DE"/>
        </w:rPr>
      </w:pPr>
      <w:r w:rsidRPr="001313E0">
        <w:rPr>
          <w:b/>
          <w:bCs/>
          <w:lang w:val="fr-FR" w:eastAsia="de-DE"/>
        </w:rPr>
        <w:t xml:space="preserve">Prescriptions </w:t>
      </w:r>
      <w:r w:rsidRPr="00E773DC">
        <w:rPr>
          <w:b/>
          <w:bCs/>
          <w:lang w:val="fr-FR" w:eastAsia="de-DE"/>
        </w:rPr>
        <w:t>d</w:t>
      </w:r>
      <w:r>
        <w:rPr>
          <w:b/>
          <w:bCs/>
          <w:lang w:val="fr-FR" w:eastAsia="de-DE"/>
        </w:rPr>
        <w:t>’</w:t>
      </w:r>
      <w:r w:rsidRPr="00E773DC">
        <w:rPr>
          <w:b/>
          <w:bCs/>
          <w:lang w:val="fr-FR" w:eastAsia="de-DE"/>
        </w:rPr>
        <w:t xml:space="preserve">efficacité </w:t>
      </w:r>
      <w:r>
        <w:rPr>
          <w:b/>
          <w:bCs/>
          <w:lang w:val="fr-FR" w:eastAsia="de-DE"/>
        </w:rPr>
        <w:t>applicables au</w:t>
      </w:r>
      <w:r w:rsidRPr="00E773DC">
        <w:rPr>
          <w:b/>
          <w:bCs/>
          <w:lang w:val="fr-FR" w:eastAsia="de-DE"/>
        </w:rPr>
        <w:t xml:space="preserve"> </w:t>
      </w:r>
      <w:r>
        <w:rPr>
          <w:b/>
          <w:bCs/>
          <w:lang w:val="fr-FR" w:eastAsia="de-DE"/>
        </w:rPr>
        <w:t xml:space="preserve">compteur </w:t>
      </w:r>
      <w:r w:rsidRPr="00E773DC">
        <w:rPr>
          <w:b/>
          <w:bCs/>
          <w:lang w:val="fr-FR" w:eastAsia="de-DE"/>
        </w:rPr>
        <w:t>d</w:t>
      </w:r>
      <w:r>
        <w:rPr>
          <w:b/>
          <w:bCs/>
          <w:lang w:val="fr-FR" w:eastAsia="de-DE"/>
        </w:rPr>
        <w:t>e</w:t>
      </w:r>
      <w:r w:rsidRPr="00E773DC">
        <w:rPr>
          <w:b/>
          <w:bCs/>
          <w:lang w:val="fr-FR" w:eastAsia="de-DE"/>
        </w:rPr>
        <w:t xml:space="preserve"> particules </w:t>
      </w:r>
      <w:r w:rsidR="008B2466">
        <w:rPr>
          <w:b/>
          <w:bCs/>
          <w:lang w:val="fr-FR" w:eastAsia="de-DE"/>
        </w:rPr>
        <w:br/>
      </w:r>
      <w:r w:rsidRPr="00E773DC">
        <w:rPr>
          <w:b/>
          <w:bCs/>
          <w:lang w:val="fr-FR" w:eastAsia="de-DE"/>
        </w:rPr>
        <w:t xml:space="preserve">(et </w:t>
      </w:r>
      <w:r>
        <w:rPr>
          <w:b/>
          <w:bCs/>
          <w:lang w:val="fr-FR" w:eastAsia="de-DE"/>
        </w:rPr>
        <w:t>à</w:t>
      </w:r>
      <w:r w:rsidRPr="00E773DC">
        <w:rPr>
          <w:b/>
          <w:bCs/>
          <w:lang w:val="fr-FR" w:eastAsia="de-DE"/>
        </w:rPr>
        <w:t xml:space="preserve"> la </w:t>
      </w:r>
      <w:r>
        <w:rPr>
          <w:b/>
          <w:bCs/>
          <w:lang w:val="fr-FR" w:eastAsia="de-DE"/>
        </w:rPr>
        <w:t>conduite de</w:t>
      </w:r>
      <w:r w:rsidR="008B2466">
        <w:rPr>
          <w:b/>
          <w:bCs/>
          <w:lang w:val="fr-FR" w:eastAsia="de-DE"/>
        </w:rPr>
        <w:t xml:space="preserve"> </w:t>
      </w:r>
      <w:r>
        <w:rPr>
          <w:b/>
          <w:bCs/>
          <w:lang w:val="fr-FR" w:eastAsia="de-DE"/>
        </w:rPr>
        <w:t>prélèvement</w:t>
      </w:r>
      <w:r w:rsidRPr="00E773DC">
        <w:rPr>
          <w:b/>
          <w:bCs/>
          <w:lang w:val="fr-FR" w:eastAsia="de-DE"/>
        </w:rPr>
        <w:t>)</w:t>
      </w:r>
    </w:p>
    <w:tbl>
      <w:tblPr>
        <w:tblStyle w:val="Grilledutableau"/>
        <w:tblW w:w="0" w:type="auto"/>
        <w:tblInd w:w="1134" w:type="dxa"/>
        <w:tblLook w:val="04A0" w:firstRow="1" w:lastRow="0" w:firstColumn="1" w:lastColumn="0" w:noHBand="0" w:noVBand="1"/>
      </w:tblPr>
      <w:tblGrid>
        <w:gridCol w:w="1257"/>
        <w:gridCol w:w="1422"/>
        <w:gridCol w:w="826"/>
        <w:gridCol w:w="826"/>
        <w:gridCol w:w="811"/>
        <w:gridCol w:w="817"/>
        <w:gridCol w:w="850"/>
        <w:gridCol w:w="829"/>
      </w:tblGrid>
      <w:tr w:rsidR="00B921D9" w:rsidRPr="00E773DC" w14:paraId="31D4FD71" w14:textId="77777777" w:rsidTr="00666BBC">
        <w:tc>
          <w:tcPr>
            <w:tcW w:w="1257" w:type="dxa"/>
            <w:noWrap/>
            <w:vAlign w:val="bottom"/>
          </w:tcPr>
          <w:p w14:paraId="425FA7EB" w14:textId="77777777" w:rsidR="00B921D9" w:rsidRPr="00E773DC" w:rsidRDefault="00B921D9" w:rsidP="009D57C2">
            <w:pPr>
              <w:pStyle w:val="SingleTxtG"/>
              <w:spacing w:before="60" w:after="60"/>
              <w:ind w:left="57" w:right="57"/>
              <w:jc w:val="left"/>
              <w:rPr>
                <w:b/>
                <w:bCs/>
                <w:lang w:val="fr-FR" w:eastAsia="de-DE"/>
              </w:rPr>
            </w:pPr>
            <w:proofErr w:type="spellStart"/>
            <w:r w:rsidRPr="00E773DC">
              <w:rPr>
                <w:b/>
                <w:bCs/>
                <w:lang w:val="fr-FR" w:eastAsia="de-DE"/>
              </w:rPr>
              <w:t>dp</w:t>
            </w:r>
            <w:proofErr w:type="spellEnd"/>
            <w:r w:rsidRPr="00E773DC">
              <w:rPr>
                <w:b/>
                <w:bCs/>
                <w:lang w:val="fr-FR" w:eastAsia="de-DE"/>
              </w:rPr>
              <w:t xml:space="preserve"> [nm]</w:t>
            </w:r>
          </w:p>
        </w:tc>
        <w:tc>
          <w:tcPr>
            <w:tcW w:w="1422" w:type="dxa"/>
            <w:noWrap/>
            <w:vAlign w:val="bottom"/>
          </w:tcPr>
          <w:p w14:paraId="6AB9AF78" w14:textId="77777777" w:rsidR="00B921D9" w:rsidRPr="00E773DC" w:rsidRDefault="00B921D9" w:rsidP="009D57C2">
            <w:pPr>
              <w:pStyle w:val="SingleTxtG"/>
              <w:spacing w:before="60" w:after="60"/>
              <w:ind w:left="57" w:right="57"/>
              <w:jc w:val="right"/>
              <w:rPr>
                <w:b/>
                <w:bCs/>
                <w:lang w:val="fr-FR" w:eastAsia="de-DE"/>
              </w:rPr>
            </w:pPr>
            <w:r>
              <w:rPr>
                <w:b/>
                <w:bCs/>
                <w:lang w:val="fr-FR" w:eastAsia="de-DE"/>
              </w:rPr>
              <w:t xml:space="preserve">Inférieur à </w:t>
            </w:r>
            <w:r w:rsidRPr="00E773DC">
              <w:rPr>
                <w:b/>
                <w:bCs/>
                <w:lang w:val="fr-FR" w:eastAsia="de-DE"/>
              </w:rPr>
              <w:t>23</w:t>
            </w:r>
          </w:p>
        </w:tc>
        <w:tc>
          <w:tcPr>
            <w:tcW w:w="826" w:type="dxa"/>
            <w:noWrap/>
            <w:vAlign w:val="bottom"/>
          </w:tcPr>
          <w:p w14:paraId="708D8B46"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23</w:t>
            </w:r>
          </w:p>
        </w:tc>
        <w:tc>
          <w:tcPr>
            <w:tcW w:w="826" w:type="dxa"/>
            <w:noWrap/>
            <w:vAlign w:val="bottom"/>
          </w:tcPr>
          <w:p w14:paraId="0124DFDD"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30</w:t>
            </w:r>
          </w:p>
        </w:tc>
        <w:tc>
          <w:tcPr>
            <w:tcW w:w="811" w:type="dxa"/>
            <w:noWrap/>
            <w:vAlign w:val="bottom"/>
          </w:tcPr>
          <w:p w14:paraId="7EACD642"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50</w:t>
            </w:r>
          </w:p>
        </w:tc>
        <w:tc>
          <w:tcPr>
            <w:tcW w:w="817" w:type="dxa"/>
            <w:noWrap/>
            <w:vAlign w:val="bottom"/>
          </w:tcPr>
          <w:p w14:paraId="47A48BED"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70</w:t>
            </w:r>
          </w:p>
        </w:tc>
        <w:tc>
          <w:tcPr>
            <w:tcW w:w="850" w:type="dxa"/>
            <w:noWrap/>
            <w:vAlign w:val="bottom"/>
          </w:tcPr>
          <w:p w14:paraId="0E98E256"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100</w:t>
            </w:r>
          </w:p>
        </w:tc>
        <w:tc>
          <w:tcPr>
            <w:tcW w:w="829" w:type="dxa"/>
            <w:noWrap/>
            <w:vAlign w:val="bottom"/>
          </w:tcPr>
          <w:p w14:paraId="1A2FAB8D"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200</w:t>
            </w:r>
          </w:p>
        </w:tc>
      </w:tr>
      <w:tr w:rsidR="00B921D9" w:rsidRPr="00E773DC" w14:paraId="5ABF9719" w14:textId="77777777" w:rsidTr="00666BBC">
        <w:tc>
          <w:tcPr>
            <w:tcW w:w="1257" w:type="dxa"/>
            <w:noWrap/>
            <w:vAlign w:val="bottom"/>
          </w:tcPr>
          <w:p w14:paraId="530B9AE3" w14:textId="77777777" w:rsidR="00B921D9" w:rsidRPr="00E773DC" w:rsidRDefault="00B921D9" w:rsidP="009D57C2">
            <w:pPr>
              <w:pStyle w:val="SingleTxtG"/>
              <w:spacing w:before="60" w:after="60"/>
              <w:ind w:left="57" w:right="57"/>
              <w:jc w:val="left"/>
              <w:rPr>
                <w:b/>
                <w:bCs/>
                <w:lang w:val="fr-FR" w:eastAsia="de-DE"/>
              </w:rPr>
            </w:pPr>
            <w:r w:rsidRPr="00E773DC">
              <w:rPr>
                <w:b/>
                <w:bCs/>
                <w:lang w:val="fr-FR" w:eastAsia="de-DE"/>
              </w:rPr>
              <w:t>E(</w:t>
            </w:r>
            <w:proofErr w:type="spellStart"/>
            <w:r w:rsidRPr="00E773DC">
              <w:rPr>
                <w:b/>
                <w:bCs/>
                <w:lang w:val="fr-FR" w:eastAsia="de-DE"/>
              </w:rPr>
              <w:t>dp</w:t>
            </w:r>
            <w:proofErr w:type="spellEnd"/>
            <w:r w:rsidRPr="00E773DC">
              <w:rPr>
                <w:b/>
                <w:bCs/>
                <w:lang w:val="fr-FR" w:eastAsia="de-DE"/>
              </w:rPr>
              <w:t>)</w:t>
            </w:r>
          </w:p>
        </w:tc>
        <w:tc>
          <w:tcPr>
            <w:tcW w:w="1422" w:type="dxa"/>
            <w:noWrap/>
            <w:vAlign w:val="bottom"/>
          </w:tcPr>
          <w:p w14:paraId="7F41D133" w14:textId="77777777" w:rsidR="00B921D9" w:rsidRPr="00E773DC" w:rsidRDefault="00B921D9" w:rsidP="009D57C2">
            <w:pPr>
              <w:pStyle w:val="SingleTxtG"/>
              <w:spacing w:before="60" w:after="60"/>
              <w:ind w:left="57" w:right="57"/>
              <w:jc w:val="right"/>
              <w:rPr>
                <w:b/>
                <w:bCs/>
                <w:lang w:val="fr-FR" w:eastAsia="de-DE"/>
              </w:rPr>
            </w:pPr>
            <w:bookmarkStart w:id="34" w:name="_Hlk52800742"/>
            <w:r>
              <w:rPr>
                <w:b/>
                <w:bCs/>
                <w:lang w:val="fr-FR" w:eastAsia="de-DE"/>
              </w:rPr>
              <w:t>–</w:t>
            </w:r>
            <w:r w:rsidRPr="00E773DC">
              <w:rPr>
                <w:b/>
                <w:bCs/>
                <w:lang w:val="fr-FR" w:eastAsia="de-DE"/>
              </w:rPr>
              <w:t xml:space="preserve"> </w:t>
            </w:r>
            <w:r w:rsidRPr="001313E0">
              <w:rPr>
                <w:b/>
                <w:bCs/>
                <w:lang w:val="fr-FR" w:eastAsia="de-DE"/>
              </w:rPr>
              <w:t>*</w:t>
            </w:r>
            <w:bookmarkEnd w:id="34"/>
          </w:p>
        </w:tc>
        <w:tc>
          <w:tcPr>
            <w:tcW w:w="826" w:type="dxa"/>
            <w:noWrap/>
            <w:vAlign w:val="bottom"/>
          </w:tcPr>
          <w:p w14:paraId="1B039075"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0</w:t>
            </w:r>
            <w:r>
              <w:rPr>
                <w:b/>
                <w:bCs/>
                <w:lang w:val="fr-FR" w:eastAsia="de-DE"/>
              </w:rPr>
              <w:t>,</w:t>
            </w:r>
            <w:r w:rsidRPr="00E773DC">
              <w:rPr>
                <w:b/>
                <w:bCs/>
                <w:lang w:val="fr-FR" w:eastAsia="de-DE"/>
              </w:rPr>
              <w:t>2-0</w:t>
            </w:r>
            <w:r>
              <w:rPr>
                <w:b/>
                <w:bCs/>
                <w:lang w:val="fr-FR" w:eastAsia="de-DE"/>
              </w:rPr>
              <w:t>,</w:t>
            </w:r>
            <w:r w:rsidRPr="00E773DC">
              <w:rPr>
                <w:b/>
                <w:bCs/>
                <w:lang w:val="fr-FR" w:eastAsia="de-DE"/>
              </w:rPr>
              <w:t>6</w:t>
            </w:r>
          </w:p>
        </w:tc>
        <w:tc>
          <w:tcPr>
            <w:tcW w:w="826" w:type="dxa"/>
            <w:noWrap/>
            <w:vAlign w:val="bottom"/>
          </w:tcPr>
          <w:p w14:paraId="72C9A6F3"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0</w:t>
            </w:r>
            <w:r>
              <w:rPr>
                <w:b/>
                <w:bCs/>
                <w:lang w:val="fr-FR" w:eastAsia="de-DE"/>
              </w:rPr>
              <w:t>,</w:t>
            </w:r>
            <w:r w:rsidRPr="00E773DC">
              <w:rPr>
                <w:b/>
                <w:bCs/>
                <w:lang w:val="fr-FR" w:eastAsia="de-DE"/>
              </w:rPr>
              <w:t>3-1</w:t>
            </w:r>
            <w:r>
              <w:rPr>
                <w:b/>
                <w:bCs/>
                <w:lang w:val="fr-FR" w:eastAsia="de-DE"/>
              </w:rPr>
              <w:t>,</w:t>
            </w:r>
            <w:r w:rsidRPr="00E773DC">
              <w:rPr>
                <w:b/>
                <w:bCs/>
                <w:lang w:val="fr-FR" w:eastAsia="de-DE"/>
              </w:rPr>
              <w:t>2</w:t>
            </w:r>
          </w:p>
        </w:tc>
        <w:tc>
          <w:tcPr>
            <w:tcW w:w="811" w:type="dxa"/>
            <w:noWrap/>
            <w:vAlign w:val="bottom"/>
          </w:tcPr>
          <w:p w14:paraId="3D16BF4C"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0</w:t>
            </w:r>
            <w:r>
              <w:rPr>
                <w:b/>
                <w:bCs/>
                <w:lang w:val="fr-FR" w:eastAsia="de-DE"/>
              </w:rPr>
              <w:t>,</w:t>
            </w:r>
            <w:r w:rsidRPr="00E773DC">
              <w:rPr>
                <w:b/>
                <w:bCs/>
                <w:lang w:val="fr-FR" w:eastAsia="de-DE"/>
              </w:rPr>
              <w:t>6-1</w:t>
            </w:r>
            <w:r>
              <w:rPr>
                <w:b/>
                <w:bCs/>
                <w:lang w:val="fr-FR" w:eastAsia="de-DE"/>
              </w:rPr>
              <w:t>,</w:t>
            </w:r>
            <w:r w:rsidRPr="00E773DC">
              <w:rPr>
                <w:b/>
                <w:bCs/>
                <w:lang w:val="fr-FR" w:eastAsia="de-DE"/>
              </w:rPr>
              <w:t>3</w:t>
            </w:r>
          </w:p>
        </w:tc>
        <w:tc>
          <w:tcPr>
            <w:tcW w:w="817" w:type="dxa"/>
            <w:noWrap/>
            <w:vAlign w:val="bottom"/>
          </w:tcPr>
          <w:p w14:paraId="2CB5ACBD"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0</w:t>
            </w:r>
            <w:r>
              <w:rPr>
                <w:b/>
                <w:bCs/>
                <w:lang w:val="fr-FR" w:eastAsia="de-DE"/>
              </w:rPr>
              <w:t>,</w:t>
            </w:r>
            <w:r w:rsidRPr="00E773DC">
              <w:rPr>
                <w:b/>
                <w:bCs/>
                <w:lang w:val="fr-FR" w:eastAsia="de-DE"/>
              </w:rPr>
              <w:t>7-1</w:t>
            </w:r>
            <w:r>
              <w:rPr>
                <w:b/>
                <w:bCs/>
                <w:lang w:val="fr-FR" w:eastAsia="de-DE"/>
              </w:rPr>
              <w:t>,</w:t>
            </w:r>
            <w:r w:rsidRPr="00E773DC">
              <w:rPr>
                <w:b/>
                <w:bCs/>
                <w:lang w:val="fr-FR" w:eastAsia="de-DE"/>
              </w:rPr>
              <w:t>3</w:t>
            </w:r>
          </w:p>
        </w:tc>
        <w:tc>
          <w:tcPr>
            <w:tcW w:w="850" w:type="dxa"/>
            <w:noWrap/>
            <w:vAlign w:val="bottom"/>
          </w:tcPr>
          <w:p w14:paraId="50B0983D"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0</w:t>
            </w:r>
            <w:r>
              <w:rPr>
                <w:b/>
                <w:bCs/>
                <w:lang w:val="fr-FR" w:eastAsia="de-DE"/>
              </w:rPr>
              <w:t>,</w:t>
            </w:r>
            <w:r w:rsidRPr="00E773DC">
              <w:rPr>
                <w:b/>
                <w:bCs/>
                <w:lang w:val="fr-FR" w:eastAsia="de-DE"/>
              </w:rPr>
              <w:t>7-1</w:t>
            </w:r>
            <w:r>
              <w:rPr>
                <w:b/>
                <w:bCs/>
                <w:lang w:val="fr-FR" w:eastAsia="de-DE"/>
              </w:rPr>
              <w:t>,</w:t>
            </w:r>
            <w:r w:rsidRPr="00E773DC">
              <w:rPr>
                <w:b/>
                <w:bCs/>
                <w:lang w:val="fr-FR" w:eastAsia="de-DE"/>
              </w:rPr>
              <w:t>3</w:t>
            </w:r>
          </w:p>
        </w:tc>
        <w:tc>
          <w:tcPr>
            <w:tcW w:w="829" w:type="dxa"/>
            <w:noWrap/>
            <w:vAlign w:val="bottom"/>
          </w:tcPr>
          <w:p w14:paraId="21CD443D" w14:textId="77777777" w:rsidR="00B921D9" w:rsidRPr="00E773DC" w:rsidRDefault="00B921D9" w:rsidP="009D57C2">
            <w:pPr>
              <w:pStyle w:val="SingleTxtG"/>
              <w:spacing w:before="60" w:after="60"/>
              <w:ind w:left="57" w:right="57"/>
              <w:jc w:val="right"/>
              <w:rPr>
                <w:b/>
                <w:bCs/>
                <w:lang w:val="fr-FR" w:eastAsia="de-DE"/>
              </w:rPr>
            </w:pPr>
            <w:r w:rsidRPr="00E773DC">
              <w:rPr>
                <w:b/>
                <w:bCs/>
                <w:lang w:val="fr-FR" w:eastAsia="de-DE"/>
              </w:rPr>
              <w:t>0</w:t>
            </w:r>
            <w:r>
              <w:rPr>
                <w:b/>
                <w:bCs/>
                <w:lang w:val="fr-FR" w:eastAsia="de-DE"/>
              </w:rPr>
              <w:t>,</w:t>
            </w:r>
            <w:r w:rsidRPr="00E773DC">
              <w:rPr>
                <w:b/>
                <w:bCs/>
                <w:lang w:val="fr-FR" w:eastAsia="de-DE"/>
              </w:rPr>
              <w:t>5-2</w:t>
            </w:r>
            <w:r>
              <w:rPr>
                <w:b/>
                <w:bCs/>
                <w:lang w:val="fr-FR" w:eastAsia="de-DE"/>
              </w:rPr>
              <w:t>,</w:t>
            </w:r>
            <w:r w:rsidRPr="00E773DC">
              <w:rPr>
                <w:b/>
                <w:bCs/>
                <w:lang w:val="fr-FR" w:eastAsia="de-DE"/>
              </w:rPr>
              <w:t>0</w:t>
            </w:r>
          </w:p>
        </w:tc>
      </w:tr>
    </w:tbl>
    <w:p w14:paraId="03148A1B" w14:textId="77777777" w:rsidR="00B921D9" w:rsidRPr="008B2466" w:rsidRDefault="00B921D9" w:rsidP="00666BBC">
      <w:pPr>
        <w:pStyle w:val="SingleTxtG"/>
        <w:spacing w:before="120" w:after="240"/>
        <w:ind w:firstLine="170"/>
        <w:rPr>
          <w:b/>
          <w:bCs/>
          <w:sz w:val="18"/>
          <w:szCs w:val="18"/>
          <w:lang w:val="fr-FR" w:eastAsia="de-DE"/>
        </w:rPr>
      </w:pPr>
      <w:r w:rsidRPr="008B2466">
        <w:rPr>
          <w:b/>
          <w:bCs/>
          <w:sz w:val="18"/>
          <w:szCs w:val="18"/>
          <w:lang w:val="fr-FR" w:eastAsia="de-DE"/>
        </w:rPr>
        <w:t>*</w:t>
      </w:r>
      <w:r w:rsidR="00666BBC" w:rsidRPr="008B2466">
        <w:rPr>
          <w:b/>
          <w:bCs/>
          <w:sz w:val="18"/>
          <w:szCs w:val="18"/>
          <w:lang w:val="fr-FR" w:eastAsia="de-DE"/>
        </w:rPr>
        <w:t xml:space="preserve"> </w:t>
      </w:r>
      <w:r w:rsidRPr="008B2466">
        <w:rPr>
          <w:b/>
          <w:bCs/>
          <w:sz w:val="18"/>
          <w:szCs w:val="18"/>
          <w:lang w:val="fr-FR" w:eastAsia="de-DE"/>
        </w:rPr>
        <w:t xml:space="preserve"> Sera défini à un stade ultérieur</w:t>
      </w:r>
      <w:r w:rsidR="00F72B31" w:rsidRPr="00F72B31">
        <w:rPr>
          <w:b/>
          <w:bCs/>
          <w:sz w:val="18"/>
          <w:szCs w:val="18"/>
          <w:lang w:val="fr-FR" w:eastAsia="de-DE"/>
        </w:rPr>
        <w:t>.</w:t>
      </w:r>
    </w:p>
    <w:p w14:paraId="4602D020" w14:textId="77777777" w:rsidR="00B921D9" w:rsidRPr="00E773DC" w:rsidRDefault="00B921D9" w:rsidP="003C13B5">
      <w:pPr>
        <w:pStyle w:val="SingleTxtG"/>
        <w:keepNext/>
        <w:keepLines/>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Pr="00E773DC">
        <w:rPr>
          <w:b/>
          <w:bCs/>
          <w:lang w:val="fr-FR" w:eastAsia="de-DE"/>
        </w:rPr>
        <w:tab/>
        <w:t>L</w:t>
      </w:r>
      <w:r>
        <w:rPr>
          <w:b/>
          <w:bCs/>
          <w:lang w:val="fr-FR" w:eastAsia="de-DE"/>
        </w:rPr>
        <w:t>’</w:t>
      </w:r>
      <w:r w:rsidRPr="00E773DC">
        <w:rPr>
          <w:b/>
          <w:bCs/>
          <w:lang w:val="fr-FR" w:eastAsia="de-DE"/>
        </w:rPr>
        <w:t>efficacité E(</w:t>
      </w:r>
      <w:proofErr w:type="spellStart"/>
      <w:r w:rsidRPr="00E773DC">
        <w:rPr>
          <w:b/>
          <w:bCs/>
          <w:lang w:val="fr-FR" w:eastAsia="de-DE"/>
        </w:rPr>
        <w:t>dp</w:t>
      </w:r>
      <w:proofErr w:type="spellEnd"/>
      <w:r w:rsidRPr="00E773DC">
        <w:rPr>
          <w:b/>
          <w:bCs/>
          <w:lang w:val="fr-FR" w:eastAsia="de-DE"/>
        </w:rPr>
        <w:t xml:space="preserve">) est le rapport entre les </w:t>
      </w:r>
      <w:r>
        <w:rPr>
          <w:b/>
          <w:bCs/>
          <w:lang w:val="fr-FR" w:eastAsia="de-DE"/>
        </w:rPr>
        <w:t>valeurs affichées</w:t>
      </w:r>
      <w:r w:rsidRPr="00E773DC">
        <w:rPr>
          <w:b/>
          <w:bCs/>
          <w:lang w:val="fr-FR" w:eastAsia="de-DE"/>
        </w:rPr>
        <w:t xml:space="preserve"> </w:t>
      </w:r>
      <w:r>
        <w:rPr>
          <w:b/>
          <w:bCs/>
          <w:lang w:val="fr-FR" w:eastAsia="de-DE"/>
        </w:rPr>
        <w:t>par le</w:t>
      </w:r>
      <w:r w:rsidRPr="00E773DC">
        <w:rPr>
          <w:b/>
          <w:bCs/>
          <w:lang w:val="fr-FR" w:eastAsia="de-DE"/>
        </w:rPr>
        <w:t xml:space="preserve"> système d</w:t>
      </w:r>
      <w:r>
        <w:rPr>
          <w:b/>
          <w:bCs/>
          <w:lang w:val="fr-FR" w:eastAsia="de-DE"/>
        </w:rPr>
        <w:t>’</w:t>
      </w:r>
      <w:r w:rsidRPr="00E773DC">
        <w:rPr>
          <w:b/>
          <w:bCs/>
          <w:lang w:val="fr-FR" w:eastAsia="de-DE"/>
        </w:rPr>
        <w:t>analyse de</w:t>
      </w:r>
      <w:r>
        <w:rPr>
          <w:b/>
          <w:bCs/>
          <w:lang w:val="fr-FR" w:eastAsia="de-DE"/>
        </w:rPr>
        <w:t>s</w:t>
      </w:r>
      <w:r w:rsidRPr="00E773DC">
        <w:rPr>
          <w:b/>
          <w:bCs/>
          <w:lang w:val="fr-FR" w:eastAsia="de-DE"/>
        </w:rPr>
        <w:t xml:space="preserve"> particules et celles </w:t>
      </w:r>
      <w:r w:rsidRPr="001313E0">
        <w:rPr>
          <w:b/>
          <w:bCs/>
          <w:lang w:val="fr-FR" w:eastAsia="de-DE"/>
        </w:rPr>
        <w:t xml:space="preserve">affichées par </w:t>
      </w:r>
      <w:r w:rsidRPr="00E773DC">
        <w:rPr>
          <w:b/>
          <w:bCs/>
          <w:lang w:val="fr-FR" w:eastAsia="de-DE"/>
        </w:rPr>
        <w:t xml:space="preserve">un compteur de particules </w:t>
      </w:r>
      <w:r>
        <w:rPr>
          <w:b/>
          <w:bCs/>
          <w:lang w:val="fr-FR" w:eastAsia="de-DE"/>
        </w:rPr>
        <w:t>à</w:t>
      </w:r>
      <w:r w:rsidRPr="00E773DC">
        <w:rPr>
          <w:b/>
          <w:bCs/>
          <w:lang w:val="fr-FR" w:eastAsia="de-DE"/>
        </w:rPr>
        <w:t xml:space="preserve"> condensation (CPC) de référence (d50 </w:t>
      </w:r>
      <w:r w:rsidRPr="001313E0">
        <w:rPr>
          <w:b/>
          <w:bCs/>
          <w:lang w:val="fr-FR" w:eastAsia="de-DE"/>
        </w:rPr>
        <w:t>≤</w:t>
      </w:r>
      <w:r w:rsidRPr="00E773DC">
        <w:rPr>
          <w:b/>
          <w:bCs/>
          <w:lang w:val="fr-FR" w:eastAsia="de-DE"/>
        </w:rPr>
        <w:t xml:space="preserve"> 10 nm, vérifié pour la linéarité et calibré avec un électromètre) ou d</w:t>
      </w:r>
      <w:r>
        <w:rPr>
          <w:b/>
          <w:bCs/>
          <w:lang w:val="fr-FR" w:eastAsia="de-DE"/>
        </w:rPr>
        <w:t>’</w:t>
      </w:r>
      <w:r w:rsidRPr="00E773DC">
        <w:rPr>
          <w:b/>
          <w:bCs/>
          <w:lang w:val="fr-FR" w:eastAsia="de-DE"/>
        </w:rPr>
        <w:t xml:space="preserve">un électromètre mesurant la concentration en nombre dans un aérosol </w:t>
      </w:r>
      <w:proofErr w:type="spellStart"/>
      <w:r w:rsidRPr="00E773DC">
        <w:rPr>
          <w:b/>
          <w:bCs/>
          <w:lang w:val="fr-FR" w:eastAsia="de-DE"/>
        </w:rPr>
        <w:t>monodispersé</w:t>
      </w:r>
      <w:proofErr w:type="spellEnd"/>
      <w:r w:rsidRPr="00E773DC">
        <w:rPr>
          <w:b/>
          <w:bCs/>
          <w:lang w:val="fr-FR" w:eastAsia="de-DE"/>
        </w:rPr>
        <w:t xml:space="preserve"> parallèle de diamètre de mobilité </w:t>
      </w:r>
      <w:proofErr w:type="spellStart"/>
      <w:r w:rsidRPr="00E773DC">
        <w:rPr>
          <w:b/>
          <w:bCs/>
          <w:lang w:val="fr-FR" w:eastAsia="de-DE"/>
        </w:rPr>
        <w:t>dp</w:t>
      </w:r>
      <w:proofErr w:type="spellEnd"/>
      <w:r w:rsidRPr="00E773DC">
        <w:rPr>
          <w:b/>
          <w:bCs/>
          <w:lang w:val="fr-FR" w:eastAsia="de-DE"/>
        </w:rPr>
        <w:t xml:space="preserve"> et normalisé aux mêmes conditions de température et de pression</w:t>
      </w:r>
      <w:r w:rsidR="00F72B31" w:rsidRPr="00F72B31">
        <w:rPr>
          <w:b/>
          <w:bCs/>
          <w:lang w:val="fr-FR" w:eastAsia="de-DE"/>
        </w:rPr>
        <w:t>.</w:t>
      </w:r>
      <w:r w:rsidRPr="00E773DC">
        <w:rPr>
          <w:b/>
          <w:bCs/>
          <w:lang w:val="fr-FR" w:eastAsia="de-DE"/>
        </w:rPr>
        <w:t xml:space="preserve"> Le matériau doit être thermiquement stable et ressembler à de la suie (par exemple, graphite à décharge d</w:t>
      </w:r>
      <w:r>
        <w:rPr>
          <w:b/>
          <w:bCs/>
          <w:lang w:val="fr-FR" w:eastAsia="de-DE"/>
        </w:rPr>
        <w:t>’</w:t>
      </w:r>
      <w:r w:rsidRPr="00E773DC">
        <w:rPr>
          <w:b/>
          <w:bCs/>
          <w:lang w:val="fr-FR" w:eastAsia="de-DE"/>
        </w:rPr>
        <w:t>étincelles ou suie de flamme de diffusion avec prétraitement thermique)</w:t>
      </w:r>
      <w:r w:rsidR="00F72B31" w:rsidRPr="00F72B31">
        <w:rPr>
          <w:b/>
          <w:bCs/>
          <w:lang w:val="fr-FR" w:eastAsia="de-DE"/>
        </w:rPr>
        <w:t>.</w:t>
      </w:r>
      <w:r w:rsidRPr="00E773DC">
        <w:rPr>
          <w:b/>
          <w:bCs/>
          <w:lang w:val="fr-FR" w:eastAsia="de-DE"/>
        </w:rPr>
        <w:t xml:space="preserve"> Si la courbe d</w:t>
      </w:r>
      <w:r>
        <w:rPr>
          <w:b/>
          <w:bCs/>
          <w:lang w:val="fr-FR" w:eastAsia="de-DE"/>
        </w:rPr>
        <w:t>’</w:t>
      </w:r>
      <w:r w:rsidRPr="00E773DC">
        <w:rPr>
          <w:b/>
          <w:bCs/>
          <w:lang w:val="fr-FR" w:eastAsia="de-DE"/>
        </w:rPr>
        <w:t xml:space="preserve">efficacité est mesurée avec un aérosol différent (par exemple </w:t>
      </w:r>
      <w:proofErr w:type="spellStart"/>
      <w:r w:rsidRPr="00E773DC">
        <w:rPr>
          <w:b/>
          <w:bCs/>
          <w:lang w:val="fr-FR" w:eastAsia="de-DE"/>
        </w:rPr>
        <w:t>NaCl</w:t>
      </w:r>
      <w:proofErr w:type="spellEnd"/>
      <w:r w:rsidRPr="00E773DC">
        <w:rPr>
          <w:b/>
          <w:bCs/>
          <w:lang w:val="fr-FR" w:eastAsia="de-DE"/>
        </w:rPr>
        <w:t>), la corrélation avec la courbe de type suie doit être fournie sous la forme d</w:t>
      </w:r>
      <w:r>
        <w:rPr>
          <w:b/>
          <w:bCs/>
          <w:lang w:val="fr-FR" w:eastAsia="de-DE"/>
        </w:rPr>
        <w:t>’</w:t>
      </w:r>
      <w:r w:rsidRPr="00E773DC">
        <w:rPr>
          <w:b/>
          <w:bCs/>
          <w:lang w:val="fr-FR" w:eastAsia="de-DE"/>
        </w:rPr>
        <w:t>un graphique compar</w:t>
      </w:r>
      <w:r>
        <w:rPr>
          <w:b/>
          <w:bCs/>
          <w:lang w:val="fr-FR" w:eastAsia="de-DE"/>
        </w:rPr>
        <w:t>ant</w:t>
      </w:r>
      <w:r w:rsidRPr="00E773DC">
        <w:rPr>
          <w:b/>
          <w:bCs/>
          <w:lang w:val="fr-FR" w:eastAsia="de-DE"/>
        </w:rPr>
        <w:t xml:space="preserve"> les efficacités obtenues en utilisant les deux aérosols d</w:t>
      </w:r>
      <w:r>
        <w:rPr>
          <w:b/>
          <w:bCs/>
          <w:lang w:val="fr-FR" w:eastAsia="de-DE"/>
        </w:rPr>
        <w:t>’</w:t>
      </w:r>
      <w:r w:rsidRPr="00E773DC">
        <w:rPr>
          <w:b/>
          <w:bCs/>
          <w:lang w:val="fr-FR" w:eastAsia="de-DE"/>
        </w:rPr>
        <w:t>essai</w:t>
      </w:r>
      <w:r w:rsidR="00F72B31" w:rsidRPr="00F72B31">
        <w:rPr>
          <w:b/>
          <w:bCs/>
          <w:lang w:val="fr-FR" w:eastAsia="de-DE"/>
        </w:rPr>
        <w:t>.</w:t>
      </w:r>
      <w:r w:rsidRPr="00E773DC">
        <w:rPr>
          <w:b/>
          <w:bCs/>
          <w:lang w:val="fr-FR" w:eastAsia="de-DE"/>
        </w:rPr>
        <w:t xml:space="preserve"> Les différences d</w:t>
      </w:r>
      <w:r>
        <w:rPr>
          <w:b/>
          <w:bCs/>
          <w:lang w:val="fr-FR" w:eastAsia="de-DE"/>
        </w:rPr>
        <w:t>’</w:t>
      </w:r>
      <w:r w:rsidRPr="00E773DC">
        <w:rPr>
          <w:b/>
          <w:bCs/>
          <w:lang w:val="fr-FR" w:eastAsia="de-DE"/>
        </w:rPr>
        <w:t>efficacité de comptage sont prises en compte en ajustant les efficacités mesurées sur la base de ce tableau comparatif pour obtenir les efficacités des aérosols de type suie</w:t>
      </w:r>
      <w:r w:rsidR="00F72B31" w:rsidRPr="00F72B31">
        <w:rPr>
          <w:b/>
          <w:bCs/>
          <w:lang w:val="fr-FR" w:eastAsia="de-DE"/>
        </w:rPr>
        <w:t>.</w:t>
      </w:r>
      <w:r w:rsidRPr="00E773DC">
        <w:rPr>
          <w:b/>
          <w:bCs/>
          <w:lang w:val="fr-FR" w:eastAsia="de-DE"/>
        </w:rPr>
        <w:t xml:space="preserve"> Toute correction pour les particules chargées multiples doit être appliquée et </w:t>
      </w:r>
      <w:r>
        <w:rPr>
          <w:b/>
          <w:bCs/>
          <w:lang w:val="fr-FR" w:eastAsia="de-DE"/>
        </w:rPr>
        <w:t>mentionnée</w:t>
      </w:r>
      <w:r w:rsidRPr="00E773DC">
        <w:rPr>
          <w:b/>
          <w:bCs/>
          <w:lang w:val="fr-FR" w:eastAsia="de-DE"/>
        </w:rPr>
        <w:t>, mais ne doit pas dépasser 10</w:t>
      </w:r>
      <w:r>
        <w:rPr>
          <w:b/>
          <w:bCs/>
          <w:lang w:val="fr-FR" w:eastAsia="de-DE"/>
        </w:rPr>
        <w:t> </w:t>
      </w:r>
      <w:r w:rsidRPr="00E773DC">
        <w:rPr>
          <w:b/>
          <w:bCs/>
          <w:lang w:val="fr-FR" w:eastAsia="de-DE"/>
        </w:rPr>
        <w:t>%</w:t>
      </w:r>
      <w:r w:rsidR="00F72B31" w:rsidRPr="00F72B31">
        <w:rPr>
          <w:b/>
          <w:bCs/>
          <w:lang w:val="fr-FR" w:eastAsia="de-DE"/>
        </w:rPr>
        <w:t>.</w:t>
      </w:r>
      <w:r w:rsidRPr="00E773DC">
        <w:rPr>
          <w:b/>
          <w:bCs/>
          <w:lang w:val="fr-FR" w:eastAsia="de-DE"/>
        </w:rPr>
        <w:t xml:space="preserve"> Les efficacités finales (par exemple, ajustées pour les différents matériaux et les particules chargées multiples) doivent couvrir l</w:t>
      </w:r>
      <w:r>
        <w:rPr>
          <w:b/>
          <w:bCs/>
          <w:lang w:val="fr-FR" w:eastAsia="de-DE"/>
        </w:rPr>
        <w:t>’</w:t>
      </w:r>
      <w:r w:rsidRPr="00E773DC">
        <w:rPr>
          <w:b/>
          <w:bCs/>
          <w:lang w:val="fr-FR" w:eastAsia="de-DE"/>
        </w:rPr>
        <w:t xml:space="preserve">analyseur de nombre de particules et la </w:t>
      </w:r>
      <w:r>
        <w:rPr>
          <w:b/>
          <w:bCs/>
          <w:lang w:val="fr-FR" w:eastAsia="de-DE"/>
        </w:rPr>
        <w:t>conduite de prélèvement</w:t>
      </w:r>
      <w:r w:rsidR="00F72B31" w:rsidRPr="00F72B31">
        <w:rPr>
          <w:b/>
          <w:bCs/>
          <w:lang w:val="fr-FR" w:eastAsia="de-DE"/>
        </w:rPr>
        <w:t>.</w:t>
      </w:r>
      <w:r w:rsidRPr="00E773DC">
        <w:rPr>
          <w:b/>
          <w:bCs/>
          <w:lang w:val="fr-FR" w:eastAsia="de-DE"/>
        </w:rPr>
        <w:t xml:space="preserve"> </w:t>
      </w:r>
      <w:r>
        <w:rPr>
          <w:b/>
          <w:bCs/>
          <w:lang w:val="fr-FR" w:eastAsia="de-DE"/>
        </w:rPr>
        <w:t>Le compteur de particules</w:t>
      </w:r>
      <w:r w:rsidRPr="00E773DC">
        <w:rPr>
          <w:b/>
          <w:bCs/>
          <w:lang w:val="fr-FR" w:eastAsia="de-DE"/>
        </w:rPr>
        <w:t xml:space="preserve"> peut également être étalonné en plusieurs parties (c</w:t>
      </w:r>
      <w:r>
        <w:rPr>
          <w:b/>
          <w:bCs/>
          <w:lang w:val="fr-FR" w:eastAsia="de-DE"/>
        </w:rPr>
        <w:t>’</w:t>
      </w:r>
      <w:r w:rsidRPr="00E773DC">
        <w:rPr>
          <w:b/>
          <w:bCs/>
          <w:lang w:val="fr-FR" w:eastAsia="de-DE"/>
        </w:rPr>
        <w:t xml:space="preserve">est-à-dire </w:t>
      </w:r>
      <w:r>
        <w:rPr>
          <w:b/>
          <w:bCs/>
          <w:lang w:val="fr-FR" w:eastAsia="de-DE"/>
        </w:rPr>
        <w:t>le dispositif</w:t>
      </w:r>
      <w:r w:rsidRPr="00E773DC">
        <w:rPr>
          <w:b/>
          <w:bCs/>
          <w:lang w:val="fr-FR" w:eastAsia="de-DE"/>
        </w:rPr>
        <w:t xml:space="preserve"> de </w:t>
      </w:r>
      <w:proofErr w:type="spellStart"/>
      <w:r w:rsidRPr="00E773DC">
        <w:rPr>
          <w:b/>
          <w:bCs/>
          <w:lang w:val="fr-FR" w:eastAsia="de-DE"/>
        </w:rPr>
        <w:t>préconditionnement</w:t>
      </w:r>
      <w:proofErr w:type="spellEnd"/>
      <w:r w:rsidRPr="00E773DC">
        <w:rPr>
          <w:b/>
          <w:bCs/>
          <w:lang w:val="fr-FR" w:eastAsia="de-DE"/>
        </w:rPr>
        <w:t xml:space="preserve"> séparément du détecteur de particules)</w:t>
      </w:r>
      <w:r>
        <w:rPr>
          <w:b/>
          <w:bCs/>
          <w:lang w:val="fr-FR" w:eastAsia="de-DE"/>
        </w:rPr>
        <w:t>,</w:t>
      </w:r>
      <w:r w:rsidRPr="00E773DC">
        <w:rPr>
          <w:b/>
          <w:bCs/>
          <w:lang w:val="fr-FR" w:eastAsia="de-DE"/>
        </w:rPr>
        <w:t xml:space="preserve"> à condition que l</w:t>
      </w:r>
      <w:r>
        <w:rPr>
          <w:b/>
          <w:bCs/>
          <w:lang w:val="fr-FR" w:eastAsia="de-DE"/>
        </w:rPr>
        <w:t>e</w:t>
      </w:r>
      <w:r w:rsidRPr="00FA4A44">
        <w:t xml:space="preserve"> </w:t>
      </w:r>
      <w:r w:rsidRPr="00D1397D">
        <w:rPr>
          <w:b/>
          <w:bCs/>
          <w:lang w:val="fr-FR" w:eastAsia="de-DE"/>
        </w:rPr>
        <w:t>compteur de particules</w:t>
      </w:r>
      <w:r w:rsidRPr="00E773DC">
        <w:rPr>
          <w:b/>
          <w:bCs/>
          <w:lang w:val="fr-FR" w:eastAsia="de-DE"/>
        </w:rPr>
        <w:t xml:space="preserve"> et la </w:t>
      </w:r>
      <w:r>
        <w:rPr>
          <w:b/>
          <w:bCs/>
          <w:lang w:val="fr-FR" w:eastAsia="de-DE"/>
        </w:rPr>
        <w:t>conduite</w:t>
      </w:r>
      <w:r w:rsidRPr="00E773DC">
        <w:rPr>
          <w:b/>
          <w:bCs/>
          <w:lang w:val="fr-FR" w:eastAsia="de-DE"/>
        </w:rPr>
        <w:t xml:space="preserve"> de prélèvement </w:t>
      </w:r>
      <w:r>
        <w:rPr>
          <w:b/>
          <w:bCs/>
          <w:lang w:val="fr-FR" w:eastAsia="de-DE"/>
        </w:rPr>
        <w:t>satisfassent</w:t>
      </w:r>
      <w:r w:rsidRPr="00E773DC">
        <w:rPr>
          <w:b/>
          <w:bCs/>
          <w:lang w:val="fr-FR" w:eastAsia="de-DE"/>
        </w:rPr>
        <w:t xml:space="preserve"> ensemble aux </w:t>
      </w:r>
      <w:r>
        <w:rPr>
          <w:b/>
          <w:bCs/>
          <w:lang w:val="fr-FR" w:eastAsia="de-DE"/>
        </w:rPr>
        <w:t>prescriptions</w:t>
      </w:r>
      <w:r w:rsidRPr="00E773DC">
        <w:rPr>
          <w:b/>
          <w:bCs/>
          <w:lang w:val="fr-FR" w:eastAsia="de-DE"/>
        </w:rPr>
        <w:t xml:space="preserve"> du tableau 1</w:t>
      </w:r>
      <w:r w:rsidR="00F72B31" w:rsidRPr="00F72B31">
        <w:rPr>
          <w:b/>
          <w:bCs/>
          <w:lang w:val="fr-FR" w:eastAsia="de-DE"/>
        </w:rPr>
        <w:t>.</w:t>
      </w:r>
      <w:r w:rsidRPr="00E773DC">
        <w:rPr>
          <w:b/>
          <w:bCs/>
          <w:lang w:val="fr-FR" w:eastAsia="de-DE"/>
        </w:rPr>
        <w:t xml:space="preserve"> Le signal mesuré par le détecteur doit être </w:t>
      </w:r>
      <w:r>
        <w:rPr>
          <w:b/>
          <w:bCs/>
          <w:lang w:val="fr-FR" w:eastAsia="de-DE"/>
        </w:rPr>
        <w:t>supérieur à</w:t>
      </w:r>
      <w:r w:rsidRPr="00E773DC">
        <w:rPr>
          <w:b/>
          <w:bCs/>
          <w:lang w:val="fr-FR" w:eastAsia="de-DE"/>
        </w:rPr>
        <w:t xml:space="preserve"> 2</w:t>
      </w:r>
      <w:r>
        <w:rPr>
          <w:b/>
          <w:bCs/>
          <w:lang w:val="fr-FR" w:eastAsia="de-DE"/>
        </w:rPr>
        <w:t> </w:t>
      </w:r>
      <w:r w:rsidRPr="00E773DC">
        <w:rPr>
          <w:b/>
          <w:bCs/>
          <w:lang w:val="fr-FR" w:eastAsia="de-DE"/>
        </w:rPr>
        <w:t>fois la limite de détection (définie ici comme le niveau zéro plus 3 écarts</w:t>
      </w:r>
      <w:r>
        <w:rPr>
          <w:b/>
          <w:bCs/>
          <w:lang w:val="fr-FR" w:eastAsia="de-DE"/>
        </w:rPr>
        <w:t>-</w:t>
      </w:r>
      <w:r w:rsidRPr="00E773DC">
        <w:rPr>
          <w:b/>
          <w:bCs/>
          <w:lang w:val="fr-FR" w:eastAsia="de-DE"/>
        </w:rPr>
        <w:t>types)</w:t>
      </w:r>
      <w:r w:rsidR="00F72B31" w:rsidRPr="00F72B31">
        <w:rPr>
          <w:b/>
          <w:bCs/>
          <w:lang w:val="fr-FR" w:eastAsia="de-DE"/>
        </w:rPr>
        <w:t>.</w:t>
      </w:r>
    </w:p>
    <w:p w14:paraId="74F73CCE"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3</w:t>
      </w:r>
      <w:r w:rsidRPr="00E773DC">
        <w:rPr>
          <w:b/>
          <w:bCs/>
          <w:lang w:val="fr-FR" w:eastAsia="de-DE"/>
        </w:rPr>
        <w:tab/>
      </w:r>
      <w:r w:rsidRPr="00B72394">
        <w:rPr>
          <w:b/>
          <w:bCs/>
          <w:lang w:val="fr-FR" w:eastAsia="de-DE"/>
        </w:rPr>
        <w:t xml:space="preserve">Prescriptions </w:t>
      </w:r>
      <w:r w:rsidRPr="00E773DC">
        <w:rPr>
          <w:b/>
          <w:bCs/>
          <w:lang w:val="fr-FR" w:eastAsia="de-DE"/>
        </w:rPr>
        <w:t>de linéarité</w:t>
      </w:r>
    </w:p>
    <w:p w14:paraId="4BE4B23B"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1</w:t>
      </w:r>
      <w:r w:rsidRPr="00E773DC">
        <w:rPr>
          <w:b/>
          <w:bCs/>
          <w:lang w:val="fr-FR" w:eastAsia="de-DE"/>
        </w:rPr>
        <w:tab/>
        <w:t xml:space="preserve">Les </w:t>
      </w:r>
      <w:r>
        <w:rPr>
          <w:b/>
          <w:bCs/>
          <w:lang w:val="fr-FR" w:eastAsia="de-DE"/>
        </w:rPr>
        <w:t>p</w:t>
      </w:r>
      <w:r w:rsidRPr="00B72394">
        <w:rPr>
          <w:b/>
          <w:bCs/>
          <w:lang w:val="fr-FR" w:eastAsia="de-DE"/>
        </w:rPr>
        <w:t xml:space="preserve">rescriptions </w:t>
      </w:r>
      <w:r w:rsidRPr="00E773DC">
        <w:rPr>
          <w:b/>
          <w:bCs/>
          <w:lang w:val="fr-FR" w:eastAsia="de-DE"/>
        </w:rPr>
        <w:t>de linéarité doivent être vérifiées chaque fois qu</w:t>
      </w:r>
      <w:r>
        <w:rPr>
          <w:b/>
          <w:bCs/>
          <w:lang w:val="fr-FR" w:eastAsia="de-DE"/>
        </w:rPr>
        <w:t>’</w:t>
      </w:r>
      <w:r w:rsidRPr="00E773DC">
        <w:rPr>
          <w:b/>
          <w:bCs/>
          <w:lang w:val="fr-FR" w:eastAsia="de-DE"/>
        </w:rPr>
        <w:t xml:space="preserve">un dommage est observé, comme </w:t>
      </w:r>
      <w:r>
        <w:rPr>
          <w:b/>
          <w:bCs/>
          <w:lang w:val="fr-FR" w:eastAsia="de-DE"/>
        </w:rPr>
        <w:t>prescrit par</w:t>
      </w:r>
      <w:r w:rsidRPr="00E773DC">
        <w:rPr>
          <w:b/>
          <w:bCs/>
          <w:lang w:val="fr-FR" w:eastAsia="de-DE"/>
        </w:rPr>
        <w:t xml:space="preserve"> les procédures d</w:t>
      </w:r>
      <w:r>
        <w:rPr>
          <w:b/>
          <w:bCs/>
          <w:lang w:val="fr-FR" w:eastAsia="de-DE"/>
        </w:rPr>
        <w:t>’</w:t>
      </w:r>
      <w:r w:rsidRPr="00E773DC">
        <w:rPr>
          <w:b/>
          <w:bCs/>
          <w:lang w:val="fr-FR" w:eastAsia="de-DE"/>
        </w:rPr>
        <w:t xml:space="preserve">audit interne ou </w:t>
      </w:r>
      <w:r>
        <w:rPr>
          <w:b/>
          <w:bCs/>
          <w:lang w:val="fr-FR" w:eastAsia="de-DE"/>
        </w:rPr>
        <w:t xml:space="preserve">par </w:t>
      </w:r>
      <w:r w:rsidRPr="00E773DC">
        <w:rPr>
          <w:b/>
          <w:bCs/>
          <w:lang w:val="fr-FR" w:eastAsia="de-DE"/>
        </w:rPr>
        <w:t>le fabricant de l</w:t>
      </w:r>
      <w:r>
        <w:rPr>
          <w:b/>
          <w:bCs/>
          <w:lang w:val="fr-FR" w:eastAsia="de-DE"/>
        </w:rPr>
        <w:t>’</w:t>
      </w:r>
      <w:r w:rsidRPr="00E773DC">
        <w:rPr>
          <w:b/>
          <w:bCs/>
          <w:lang w:val="fr-FR" w:eastAsia="de-DE"/>
        </w:rPr>
        <w:t xml:space="preserve">instrument, </w:t>
      </w:r>
      <w:r>
        <w:rPr>
          <w:b/>
          <w:bCs/>
          <w:lang w:val="fr-FR" w:eastAsia="de-DE"/>
        </w:rPr>
        <w:t xml:space="preserve">et </w:t>
      </w:r>
      <w:r w:rsidRPr="00E773DC">
        <w:rPr>
          <w:b/>
          <w:bCs/>
          <w:lang w:val="fr-FR" w:eastAsia="de-DE"/>
        </w:rPr>
        <w:t xml:space="preserve">au moins une fois au cours de la période de 12 mois précédant </w:t>
      </w:r>
      <w:r>
        <w:rPr>
          <w:b/>
          <w:bCs/>
          <w:lang w:val="fr-FR" w:eastAsia="de-DE"/>
        </w:rPr>
        <w:t>l’</w:t>
      </w:r>
      <w:r w:rsidRPr="00E773DC">
        <w:rPr>
          <w:b/>
          <w:bCs/>
          <w:lang w:val="fr-FR" w:eastAsia="de-DE"/>
        </w:rPr>
        <w:t>essai</w:t>
      </w:r>
      <w:r w:rsidR="00F72B31" w:rsidRPr="00F72B31">
        <w:rPr>
          <w:b/>
          <w:bCs/>
          <w:lang w:val="fr-FR" w:eastAsia="de-DE"/>
        </w:rPr>
        <w:t>.</w:t>
      </w:r>
    </w:p>
    <w:p w14:paraId="1F9663F7"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2</w:t>
      </w:r>
      <w:r w:rsidRPr="00E773DC">
        <w:rPr>
          <w:b/>
          <w:bCs/>
          <w:lang w:val="fr-FR" w:eastAsia="de-DE"/>
        </w:rPr>
        <w:tab/>
      </w:r>
      <w:r>
        <w:rPr>
          <w:b/>
          <w:bCs/>
          <w:lang w:val="fr-FR" w:eastAsia="de-DE"/>
        </w:rPr>
        <w:t>Le compteur de particules</w:t>
      </w:r>
      <w:r w:rsidRPr="00E773DC">
        <w:rPr>
          <w:b/>
          <w:bCs/>
          <w:lang w:val="fr-FR" w:eastAsia="de-DE"/>
        </w:rPr>
        <w:t xml:space="preserve"> et la </w:t>
      </w:r>
      <w:r>
        <w:rPr>
          <w:b/>
          <w:bCs/>
          <w:lang w:val="fr-FR" w:eastAsia="de-DE"/>
        </w:rPr>
        <w:t>conduite</w:t>
      </w:r>
      <w:r w:rsidRPr="00E773DC">
        <w:rPr>
          <w:b/>
          <w:bCs/>
          <w:lang w:val="fr-FR" w:eastAsia="de-DE"/>
        </w:rPr>
        <w:t xml:space="preserve"> de prélèvement doivent satisfaire aux </w:t>
      </w:r>
      <w:r w:rsidRPr="00B72394">
        <w:rPr>
          <w:b/>
          <w:bCs/>
          <w:lang w:val="fr-FR" w:eastAsia="de-DE"/>
        </w:rPr>
        <w:t xml:space="preserve">prescriptions </w:t>
      </w:r>
      <w:r w:rsidRPr="00E773DC">
        <w:rPr>
          <w:b/>
          <w:bCs/>
          <w:lang w:val="fr-FR" w:eastAsia="de-DE"/>
        </w:rPr>
        <w:t>de linéarité énoncées dans le tableau</w:t>
      </w:r>
      <w:r w:rsidR="00E1466E">
        <w:rPr>
          <w:b/>
          <w:bCs/>
          <w:lang w:val="fr-FR" w:eastAsia="de-DE"/>
        </w:rPr>
        <w:t> </w:t>
      </w:r>
      <w:r w:rsidRPr="00E773DC">
        <w:rPr>
          <w:b/>
          <w:bCs/>
          <w:lang w:val="fr-FR" w:eastAsia="de-DE"/>
        </w:rPr>
        <w:t>2</w:t>
      </w:r>
      <w:r>
        <w:rPr>
          <w:b/>
          <w:bCs/>
          <w:lang w:val="fr-FR" w:eastAsia="de-DE"/>
        </w:rPr>
        <w:t xml:space="preserve"> ci</w:t>
      </w:r>
      <w:r w:rsidR="00E1466E">
        <w:rPr>
          <w:b/>
          <w:bCs/>
          <w:lang w:val="fr-FR" w:eastAsia="de-DE"/>
        </w:rPr>
        <w:noBreakHyphen/>
      </w:r>
      <w:r>
        <w:rPr>
          <w:b/>
          <w:bCs/>
          <w:lang w:val="fr-FR" w:eastAsia="de-DE"/>
        </w:rPr>
        <w:t>dessous</w:t>
      </w:r>
      <w:r w:rsidR="00F72B31" w:rsidRPr="00F72B31">
        <w:rPr>
          <w:b/>
          <w:bCs/>
          <w:lang w:val="fr-FR" w:eastAsia="de-DE"/>
        </w:rPr>
        <w:t>.</w:t>
      </w:r>
    </w:p>
    <w:p w14:paraId="6785CF19" w14:textId="77777777" w:rsidR="00B921D9" w:rsidRPr="00E773DC" w:rsidRDefault="00B921D9" w:rsidP="00666BBC">
      <w:pPr>
        <w:pStyle w:val="SingleTxtG"/>
        <w:keepNext/>
        <w:jc w:val="left"/>
        <w:rPr>
          <w:b/>
          <w:bCs/>
          <w:lang w:val="fr-FR" w:eastAsia="de-DE"/>
        </w:rPr>
      </w:pPr>
      <w:r w:rsidRPr="00E773DC">
        <w:rPr>
          <w:b/>
          <w:bCs/>
          <w:lang w:val="fr-FR" w:eastAsia="de-DE"/>
        </w:rPr>
        <w:t>Tableau 2</w:t>
      </w:r>
      <w:r w:rsidR="008F66F8">
        <w:rPr>
          <w:b/>
          <w:bCs/>
          <w:lang w:val="fr-FR" w:eastAsia="de-DE"/>
        </w:rPr>
        <w:t xml:space="preserve"> </w:t>
      </w:r>
      <w:r w:rsidR="00666BBC">
        <w:rPr>
          <w:b/>
          <w:bCs/>
          <w:lang w:val="fr-FR" w:eastAsia="de-DE"/>
        </w:rPr>
        <w:br/>
      </w:r>
      <w:r w:rsidRPr="00B72394">
        <w:rPr>
          <w:b/>
          <w:bCs/>
          <w:lang w:val="fr-FR" w:eastAsia="de-DE"/>
        </w:rPr>
        <w:t xml:space="preserve">Prescriptions </w:t>
      </w:r>
      <w:r w:rsidRPr="00E773DC">
        <w:rPr>
          <w:b/>
          <w:bCs/>
          <w:lang w:val="fr-FR" w:eastAsia="de-DE"/>
        </w:rPr>
        <w:t xml:space="preserve">de linéarité </w:t>
      </w:r>
      <w:r>
        <w:rPr>
          <w:b/>
          <w:bCs/>
          <w:lang w:val="fr-FR" w:eastAsia="de-DE"/>
        </w:rPr>
        <w:t>du compteur de particules</w:t>
      </w:r>
      <w:r w:rsidRPr="00E773DC">
        <w:rPr>
          <w:b/>
          <w:bCs/>
          <w:lang w:val="fr-FR" w:eastAsia="de-DE"/>
        </w:rPr>
        <w:t xml:space="preserve"> (et de la </w:t>
      </w:r>
      <w:r>
        <w:rPr>
          <w:b/>
          <w:bCs/>
          <w:lang w:val="fr-FR" w:eastAsia="de-DE"/>
        </w:rPr>
        <w:t>conduite de prélèvement</w:t>
      </w:r>
      <w:r w:rsidRPr="00E773DC">
        <w:rPr>
          <w:b/>
          <w:bCs/>
          <w:lang w:val="fr-FR" w:eastAsia="de-DE"/>
        </w:rPr>
        <w:t>)</w:t>
      </w:r>
    </w:p>
    <w:tbl>
      <w:tblPr>
        <w:tblStyle w:val="Grilledutableau"/>
        <w:tblW w:w="8505" w:type="dxa"/>
        <w:tblInd w:w="1134" w:type="dxa"/>
        <w:tblLook w:val="04A0" w:firstRow="1" w:lastRow="0" w:firstColumn="1" w:lastColumn="0" w:noHBand="0" w:noVBand="1"/>
      </w:tblPr>
      <w:tblGrid>
        <w:gridCol w:w="1928"/>
        <w:gridCol w:w="1876"/>
        <w:gridCol w:w="1387"/>
        <w:gridCol w:w="1735"/>
        <w:gridCol w:w="1579"/>
      </w:tblGrid>
      <w:tr w:rsidR="00B921D9" w:rsidRPr="00E773DC" w14:paraId="21D1091F" w14:textId="77777777" w:rsidTr="00666BBC">
        <w:tc>
          <w:tcPr>
            <w:tcW w:w="1916" w:type="dxa"/>
            <w:vAlign w:val="bottom"/>
          </w:tcPr>
          <w:p w14:paraId="1366E028"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Paramètre/instrument de mesure</w:t>
            </w:r>
          </w:p>
        </w:tc>
        <w:tc>
          <w:tcPr>
            <w:tcW w:w="1865" w:type="dxa"/>
            <w:vAlign w:val="bottom"/>
          </w:tcPr>
          <w:p w14:paraId="6CB20B7C" w14:textId="77777777" w:rsidR="00B921D9" w:rsidRPr="00E1466E" w:rsidRDefault="00B921D9" w:rsidP="00666BBC">
            <w:pPr>
              <w:pStyle w:val="SingleTxtG"/>
              <w:keepNext/>
              <w:spacing w:before="60" w:after="60" w:line="220" w:lineRule="atLeast"/>
              <w:ind w:left="57" w:right="57"/>
              <w:jc w:val="left"/>
              <w:rPr>
                <w:b/>
                <w:bCs/>
                <w:lang w:val="fr-FR" w:eastAsia="de-DE"/>
              </w:rPr>
            </w:pPr>
            <m:oMathPara>
              <m:oMathParaPr>
                <m:jc m:val="left"/>
              </m:oMathParaPr>
              <m:oMath>
                <m:sSub>
                  <m:sSubPr>
                    <m:ctrlPr>
                      <w:rPr>
                        <w:rFonts w:ascii="Cambria Math" w:hAnsi="Cambria Math"/>
                        <w:b/>
                        <w:bCs/>
                        <w:i/>
                        <w:sz w:val="16"/>
                        <w:szCs w:val="16"/>
                        <w:lang w:val="fr-FR" w:eastAsia="de-DE"/>
                      </w:rPr>
                    </m:ctrlPr>
                  </m:sSubPr>
                  <m:e>
                    <m:r>
                      <m:rPr>
                        <m:sty m:val="b"/>
                      </m:rPr>
                      <w:rPr>
                        <w:rFonts w:ascii="Cambria Math" w:hAnsi="Cambria Math"/>
                        <w:sz w:val="16"/>
                        <w:szCs w:val="16"/>
                        <w:lang w:val="fr-FR" w:eastAsia="de-DE"/>
                      </w:rPr>
                      <m:t>∣</m:t>
                    </m:r>
                    <m:r>
                      <m:rPr>
                        <m:sty m:val="bi"/>
                      </m:rPr>
                      <w:rPr>
                        <w:rFonts w:ascii="Cambria Math" w:hAnsi="Cambria Math"/>
                        <w:sz w:val="16"/>
                        <w:szCs w:val="16"/>
                        <w:lang w:val="fr-FR" w:eastAsia="de-DE"/>
                      </w:rPr>
                      <m:t>χ</m:t>
                    </m:r>
                  </m:e>
                  <m:sub>
                    <m:r>
                      <m:rPr>
                        <m:sty m:val="bi"/>
                      </m:rPr>
                      <w:rPr>
                        <w:rFonts w:ascii="Cambria Math" w:hAnsi="Cambria Math"/>
                        <w:sz w:val="16"/>
                        <w:szCs w:val="16"/>
                        <w:lang w:val="fr-FR" w:eastAsia="de-DE"/>
                      </w:rPr>
                      <m:t>min</m:t>
                    </m:r>
                  </m:sub>
                </m:sSub>
                <m:r>
                  <m:rPr>
                    <m:sty m:val="bi"/>
                  </m:rPr>
                  <w:rPr>
                    <w:rFonts w:ascii="Cambria Math" w:hAnsi="Cambria Math"/>
                    <w:sz w:val="16"/>
                    <w:szCs w:val="16"/>
                    <w:lang w:val="fr-FR" w:eastAsia="de-DE"/>
                  </w:rPr>
                  <m:t>×</m:t>
                </m:r>
                <m:d>
                  <m:dPr>
                    <m:ctrlPr>
                      <w:rPr>
                        <w:rFonts w:ascii="Cambria Math" w:hAnsi="Cambria Math"/>
                        <w:b/>
                        <w:bCs/>
                        <w:i/>
                        <w:sz w:val="16"/>
                        <w:szCs w:val="16"/>
                        <w:lang w:val="fr-FR" w:eastAsia="de-DE"/>
                      </w:rPr>
                    </m:ctrlPr>
                  </m:dPr>
                  <m:e>
                    <m:sSub>
                      <m:sSubPr>
                        <m:ctrlPr>
                          <w:rPr>
                            <w:rFonts w:ascii="Cambria Math" w:hAnsi="Cambria Math"/>
                            <w:b/>
                            <w:bCs/>
                            <w:i/>
                            <w:sz w:val="16"/>
                            <w:szCs w:val="16"/>
                            <w:lang w:val="fr-FR" w:eastAsia="de-DE"/>
                          </w:rPr>
                        </m:ctrlPr>
                      </m:sSubPr>
                      <m:e>
                        <m:r>
                          <m:rPr>
                            <m:sty m:val="b"/>
                          </m:rPr>
                          <w:rPr>
                            <w:rFonts w:ascii="Cambria Math" w:hAnsi="Cambria Math"/>
                            <w:sz w:val="16"/>
                            <w:szCs w:val="16"/>
                            <w:lang w:val="fr-FR" w:eastAsia="de-DE"/>
                          </w:rPr>
                          <m:t>a</m:t>
                        </m:r>
                      </m:e>
                      <m:sub>
                        <m:r>
                          <m:rPr>
                            <m:sty m:val="bi"/>
                          </m:rPr>
                          <w:rPr>
                            <w:rFonts w:ascii="Cambria Math" w:hAnsi="Cambria Math"/>
                            <w:sz w:val="16"/>
                            <w:szCs w:val="16"/>
                            <w:lang w:val="fr-FR" w:eastAsia="de-DE"/>
                          </w:rPr>
                          <m:t>1</m:t>
                        </m:r>
                      </m:sub>
                    </m:sSub>
                    <m:r>
                      <m:rPr>
                        <m:sty m:val="b"/>
                      </m:rPr>
                      <w:rPr>
                        <w:rFonts w:ascii="Cambria Math" w:hAnsi="Cambria Math"/>
                        <w:sz w:val="16"/>
                        <w:szCs w:val="16"/>
                        <w:lang w:val="fr-FR" w:eastAsia="de-DE"/>
                      </w:rPr>
                      <m:t>-1</m:t>
                    </m:r>
                  </m:e>
                </m:d>
                <m:r>
                  <m:rPr>
                    <m:sty m:val="bi"/>
                  </m:rPr>
                  <w:rPr>
                    <w:rFonts w:ascii="Cambria Math" w:hAnsi="Cambria Math"/>
                    <w:sz w:val="16"/>
                    <w:szCs w:val="16"/>
                    <w:lang w:val="fr-FR" w:eastAsia="de-DE"/>
                  </w:rPr>
                  <m:t>+</m:t>
                </m:r>
                <m:sSub>
                  <m:sSubPr>
                    <m:ctrlPr>
                      <w:rPr>
                        <w:rFonts w:ascii="Cambria Math" w:hAnsi="Cambria Math"/>
                        <w:b/>
                        <w:bCs/>
                        <w:i/>
                        <w:sz w:val="16"/>
                        <w:szCs w:val="16"/>
                        <w:lang w:val="fr-FR" w:eastAsia="de-DE"/>
                      </w:rPr>
                    </m:ctrlPr>
                  </m:sSubPr>
                  <m:e>
                    <m:r>
                      <m:rPr>
                        <m:sty m:val="b"/>
                      </m:rPr>
                      <w:rPr>
                        <w:rFonts w:ascii="Cambria Math" w:hAnsi="Cambria Math"/>
                        <w:sz w:val="16"/>
                        <w:szCs w:val="16"/>
                        <w:lang w:val="fr-FR" w:eastAsia="de-DE"/>
                      </w:rPr>
                      <m:t>a</m:t>
                    </m:r>
                  </m:e>
                  <m:sub>
                    <m:r>
                      <m:rPr>
                        <m:sty m:val="bi"/>
                      </m:rPr>
                      <w:rPr>
                        <w:rFonts w:ascii="Cambria Math" w:hAnsi="Cambria Math"/>
                        <w:sz w:val="16"/>
                        <w:szCs w:val="16"/>
                        <w:lang w:val="fr-FR" w:eastAsia="de-DE"/>
                      </w:rPr>
                      <m:t>0</m:t>
                    </m:r>
                  </m:sub>
                </m:sSub>
                <m:r>
                  <m:rPr>
                    <m:sty m:val="b"/>
                  </m:rPr>
                  <w:rPr>
                    <w:rFonts w:ascii="Cambria Math" w:hAnsi="Cambria Math"/>
                    <w:sz w:val="16"/>
                    <w:szCs w:val="16"/>
                    <w:lang w:val="fr-FR" w:eastAsia="de-DE"/>
                  </w:rPr>
                  <m:t>∣</m:t>
                </m:r>
              </m:oMath>
            </m:oMathPara>
          </w:p>
        </w:tc>
        <w:tc>
          <w:tcPr>
            <w:tcW w:w="1379" w:type="dxa"/>
            <w:vAlign w:val="bottom"/>
          </w:tcPr>
          <w:p w14:paraId="056F93A7" w14:textId="77777777" w:rsidR="00B921D9" w:rsidRPr="00E773DC" w:rsidRDefault="00B921D9" w:rsidP="00666BBC">
            <w:pPr>
              <w:pStyle w:val="SingleTxtG"/>
              <w:keepNext/>
              <w:spacing w:before="60" w:after="60" w:line="220" w:lineRule="atLeast"/>
              <w:ind w:left="57" w:right="57"/>
              <w:jc w:val="left"/>
              <w:rPr>
                <w:b/>
                <w:bCs/>
                <w:lang w:val="fr-FR" w:eastAsia="de-DE"/>
              </w:rPr>
            </w:pPr>
            <w:r w:rsidRPr="00E773DC">
              <w:rPr>
                <w:b/>
                <w:bCs/>
                <w:sz w:val="18"/>
                <w:szCs w:val="18"/>
                <w:lang w:val="fr-FR" w:eastAsia="de-DE"/>
              </w:rPr>
              <w:t>Pente a</w:t>
            </w:r>
            <w:r w:rsidRPr="00B72394">
              <w:rPr>
                <w:b/>
                <w:bCs/>
                <w:sz w:val="18"/>
                <w:szCs w:val="18"/>
                <w:vertAlign w:val="subscript"/>
                <w:lang w:val="fr-FR" w:eastAsia="de-DE"/>
              </w:rPr>
              <w:t>1</w:t>
            </w:r>
          </w:p>
        </w:tc>
        <w:tc>
          <w:tcPr>
            <w:tcW w:w="1724" w:type="dxa"/>
            <w:vAlign w:val="bottom"/>
          </w:tcPr>
          <w:p w14:paraId="24802E09"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 xml:space="preserve">Erreur </w:t>
            </w:r>
            <w:r w:rsidRPr="00B72394">
              <w:rPr>
                <w:b/>
                <w:bCs/>
                <w:sz w:val="18"/>
                <w:szCs w:val="18"/>
                <w:lang w:val="fr-FR" w:eastAsia="de-DE"/>
              </w:rPr>
              <w:t>type d</w:t>
            </w:r>
            <w:r>
              <w:rPr>
                <w:b/>
                <w:bCs/>
                <w:sz w:val="18"/>
                <w:szCs w:val="18"/>
                <w:lang w:val="fr-FR" w:eastAsia="de-DE"/>
              </w:rPr>
              <w:t>’</w:t>
            </w:r>
            <w:r w:rsidRPr="00B72394">
              <w:rPr>
                <w:b/>
                <w:bCs/>
                <w:sz w:val="18"/>
                <w:szCs w:val="18"/>
                <w:lang w:val="fr-FR" w:eastAsia="de-DE"/>
              </w:rPr>
              <w:t>estimation</w:t>
            </w:r>
          </w:p>
        </w:tc>
        <w:tc>
          <w:tcPr>
            <w:tcW w:w="1569" w:type="dxa"/>
            <w:vAlign w:val="bottom"/>
          </w:tcPr>
          <w:p w14:paraId="6472C3DE"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Coefficient de détermination r</w:t>
            </w:r>
            <w:r w:rsidRPr="00B72394">
              <w:rPr>
                <w:b/>
                <w:bCs/>
                <w:sz w:val="18"/>
                <w:szCs w:val="18"/>
                <w:vertAlign w:val="superscript"/>
                <w:lang w:val="fr-FR" w:eastAsia="de-DE"/>
              </w:rPr>
              <w:t>2</w:t>
            </w:r>
          </w:p>
        </w:tc>
      </w:tr>
      <w:tr w:rsidR="00B921D9" w:rsidRPr="00E773DC" w14:paraId="612A8A1F" w14:textId="77777777" w:rsidTr="00666BBC">
        <w:tc>
          <w:tcPr>
            <w:tcW w:w="1916" w:type="dxa"/>
          </w:tcPr>
          <w:p w14:paraId="6B57AC32"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Analyseur de</w:t>
            </w:r>
            <w:r>
              <w:rPr>
                <w:b/>
                <w:bCs/>
                <w:sz w:val="18"/>
                <w:szCs w:val="18"/>
                <w:lang w:val="fr-FR" w:eastAsia="de-DE"/>
              </w:rPr>
              <w:t> </w:t>
            </w:r>
            <w:r w:rsidRPr="00E773DC">
              <w:rPr>
                <w:b/>
                <w:bCs/>
                <w:sz w:val="18"/>
                <w:szCs w:val="18"/>
                <w:lang w:val="fr-FR" w:eastAsia="de-DE"/>
              </w:rPr>
              <w:t>particules</w:t>
            </w:r>
          </w:p>
        </w:tc>
        <w:tc>
          <w:tcPr>
            <w:tcW w:w="1865" w:type="dxa"/>
          </w:tcPr>
          <w:p w14:paraId="1D75F460" w14:textId="77777777" w:rsidR="00B921D9" w:rsidRPr="00F11910" w:rsidRDefault="00B921D9" w:rsidP="00666BBC">
            <w:pPr>
              <w:pStyle w:val="SingleTxtG"/>
              <w:keepNext/>
              <w:spacing w:before="60" w:after="60" w:line="220" w:lineRule="atLeast"/>
              <w:ind w:left="57" w:right="57"/>
              <w:jc w:val="left"/>
              <w:rPr>
                <w:b/>
                <w:bCs/>
                <w:sz w:val="18"/>
                <w:szCs w:val="18"/>
                <w:lang w:val="fr-FR" w:eastAsia="de-DE"/>
              </w:rPr>
            </w:pPr>
            <w:r w:rsidRPr="00F11910">
              <w:rPr>
                <w:b/>
                <w:bCs/>
                <w:sz w:val="18"/>
                <w:szCs w:val="18"/>
                <w:lang w:val="fr-FR" w:eastAsia="de-DE"/>
              </w:rPr>
              <w:t>≤5 % maximum</w:t>
            </w:r>
          </w:p>
        </w:tc>
        <w:tc>
          <w:tcPr>
            <w:tcW w:w="1379" w:type="dxa"/>
          </w:tcPr>
          <w:p w14:paraId="512CC43E"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0</w:t>
            </w:r>
            <w:r>
              <w:rPr>
                <w:b/>
                <w:bCs/>
                <w:sz w:val="18"/>
                <w:szCs w:val="18"/>
                <w:lang w:val="fr-FR" w:eastAsia="de-DE"/>
              </w:rPr>
              <w:t>,</w:t>
            </w:r>
            <w:r w:rsidRPr="00E773DC">
              <w:rPr>
                <w:b/>
                <w:bCs/>
                <w:sz w:val="18"/>
                <w:szCs w:val="18"/>
                <w:lang w:val="fr-FR" w:eastAsia="de-DE"/>
              </w:rPr>
              <w:t>85-1</w:t>
            </w:r>
            <w:r>
              <w:rPr>
                <w:b/>
                <w:bCs/>
                <w:sz w:val="18"/>
                <w:szCs w:val="18"/>
                <w:lang w:val="fr-FR" w:eastAsia="de-DE"/>
              </w:rPr>
              <w:t>,</w:t>
            </w:r>
            <w:r w:rsidRPr="00E773DC">
              <w:rPr>
                <w:b/>
                <w:bCs/>
                <w:sz w:val="18"/>
                <w:szCs w:val="18"/>
                <w:lang w:val="fr-FR" w:eastAsia="de-DE"/>
              </w:rPr>
              <w:t>15</w:t>
            </w:r>
          </w:p>
        </w:tc>
        <w:tc>
          <w:tcPr>
            <w:tcW w:w="1724" w:type="dxa"/>
          </w:tcPr>
          <w:p w14:paraId="3D714F4C"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≤10</w:t>
            </w:r>
            <w:r>
              <w:rPr>
                <w:b/>
                <w:bCs/>
                <w:sz w:val="18"/>
                <w:szCs w:val="18"/>
                <w:lang w:val="fr-FR" w:eastAsia="de-DE"/>
              </w:rPr>
              <w:t> %</w:t>
            </w:r>
            <w:r w:rsidRPr="00E773DC">
              <w:rPr>
                <w:b/>
                <w:bCs/>
                <w:sz w:val="18"/>
                <w:szCs w:val="18"/>
                <w:lang w:val="fr-FR" w:eastAsia="de-DE"/>
              </w:rPr>
              <w:t xml:space="preserve"> max</w:t>
            </w:r>
            <w:r>
              <w:rPr>
                <w:b/>
                <w:bCs/>
                <w:sz w:val="18"/>
                <w:szCs w:val="18"/>
                <w:lang w:val="fr-FR" w:eastAsia="de-DE"/>
              </w:rPr>
              <w:t>imum</w:t>
            </w:r>
          </w:p>
        </w:tc>
        <w:tc>
          <w:tcPr>
            <w:tcW w:w="1569" w:type="dxa"/>
          </w:tcPr>
          <w:p w14:paraId="3EFBE91B" w14:textId="77777777" w:rsidR="00B921D9" w:rsidRPr="00E773DC" w:rsidRDefault="00B921D9" w:rsidP="00666BBC">
            <w:pPr>
              <w:pStyle w:val="SingleTxtG"/>
              <w:keepNext/>
              <w:spacing w:before="60" w:after="60" w:line="220" w:lineRule="atLeast"/>
              <w:ind w:left="57" w:right="57"/>
              <w:jc w:val="left"/>
              <w:rPr>
                <w:b/>
                <w:bCs/>
                <w:sz w:val="18"/>
                <w:szCs w:val="18"/>
                <w:lang w:val="fr-FR" w:eastAsia="de-DE"/>
              </w:rPr>
            </w:pPr>
            <w:r w:rsidRPr="00E773DC">
              <w:rPr>
                <w:b/>
                <w:bCs/>
                <w:sz w:val="18"/>
                <w:szCs w:val="18"/>
                <w:lang w:val="fr-FR" w:eastAsia="de-DE"/>
              </w:rPr>
              <w:t>≥0</w:t>
            </w:r>
            <w:r>
              <w:rPr>
                <w:b/>
                <w:bCs/>
                <w:sz w:val="18"/>
                <w:szCs w:val="18"/>
                <w:lang w:val="fr-FR" w:eastAsia="de-DE"/>
              </w:rPr>
              <w:t>,</w:t>
            </w:r>
            <w:r w:rsidRPr="00E773DC">
              <w:rPr>
                <w:b/>
                <w:bCs/>
                <w:sz w:val="18"/>
                <w:szCs w:val="18"/>
                <w:lang w:val="fr-FR" w:eastAsia="de-DE"/>
              </w:rPr>
              <w:t>950</w:t>
            </w:r>
          </w:p>
        </w:tc>
      </w:tr>
    </w:tbl>
    <w:p w14:paraId="3801B4E2" w14:textId="77777777" w:rsidR="00B921D9" w:rsidRPr="00E773DC" w:rsidRDefault="00B921D9" w:rsidP="00666BBC">
      <w:pPr>
        <w:pStyle w:val="SingleTxtG"/>
        <w:spacing w:before="240"/>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3</w:t>
      </w:r>
      <w:r w:rsidRPr="00E773DC">
        <w:rPr>
          <w:b/>
          <w:bCs/>
          <w:lang w:val="fr-FR" w:eastAsia="de-DE"/>
        </w:rPr>
        <w:tab/>
      </w:r>
      <w:r>
        <w:rPr>
          <w:b/>
          <w:bCs/>
          <w:lang w:val="fr-FR" w:eastAsia="de-DE"/>
        </w:rPr>
        <w:t>Le compteur de particules</w:t>
      </w:r>
      <w:r w:rsidRPr="00E773DC">
        <w:rPr>
          <w:b/>
          <w:bCs/>
          <w:lang w:val="fr-FR" w:eastAsia="de-DE"/>
        </w:rPr>
        <w:t xml:space="preserve"> et la </w:t>
      </w:r>
      <w:r>
        <w:rPr>
          <w:b/>
          <w:bCs/>
          <w:lang w:val="fr-FR" w:eastAsia="de-DE"/>
        </w:rPr>
        <w:t>conduite</w:t>
      </w:r>
      <w:r w:rsidRPr="00E773DC">
        <w:rPr>
          <w:b/>
          <w:bCs/>
          <w:lang w:val="fr-FR" w:eastAsia="de-DE"/>
        </w:rPr>
        <w:t xml:space="preserve"> de prélèvement doivent satisfaire aux </w:t>
      </w:r>
      <w:r>
        <w:rPr>
          <w:b/>
          <w:bCs/>
          <w:lang w:val="fr-FR" w:eastAsia="de-DE"/>
        </w:rPr>
        <w:t>prescriptions</w:t>
      </w:r>
      <w:r w:rsidRPr="00E773DC">
        <w:rPr>
          <w:b/>
          <w:bCs/>
          <w:lang w:val="fr-FR" w:eastAsia="de-DE"/>
        </w:rPr>
        <w:t xml:space="preserve"> de linéarité du tableau 2</w:t>
      </w:r>
      <w:r>
        <w:rPr>
          <w:b/>
          <w:bCs/>
          <w:lang w:val="fr-FR" w:eastAsia="de-DE"/>
        </w:rPr>
        <w:t>, ce qui est vérifié</w:t>
      </w:r>
      <w:r w:rsidRPr="00E773DC">
        <w:rPr>
          <w:b/>
          <w:bCs/>
          <w:lang w:val="fr-FR" w:eastAsia="de-DE"/>
        </w:rPr>
        <w:t xml:space="preserve"> en utilisant des particules </w:t>
      </w:r>
      <w:proofErr w:type="spellStart"/>
      <w:r w:rsidRPr="00E773DC">
        <w:rPr>
          <w:b/>
          <w:bCs/>
          <w:lang w:val="fr-FR" w:eastAsia="de-DE"/>
        </w:rPr>
        <w:t>monodispersées</w:t>
      </w:r>
      <w:proofErr w:type="spellEnd"/>
      <w:r w:rsidRPr="00E773DC">
        <w:rPr>
          <w:b/>
          <w:bCs/>
          <w:lang w:val="fr-FR" w:eastAsia="de-DE"/>
        </w:rPr>
        <w:t xml:space="preserve"> ou polydispersées de type suie</w:t>
      </w:r>
      <w:r w:rsidR="00F72B31" w:rsidRPr="00F72B31">
        <w:rPr>
          <w:b/>
          <w:bCs/>
          <w:lang w:val="fr-FR" w:eastAsia="de-DE"/>
        </w:rPr>
        <w:t>.</w:t>
      </w:r>
      <w:r w:rsidRPr="00E773DC">
        <w:rPr>
          <w:b/>
          <w:bCs/>
          <w:lang w:val="fr-FR" w:eastAsia="de-DE"/>
        </w:rPr>
        <w:t xml:space="preserve"> La taille des particules (diamètre de mobilité ou diamètre médian de comptage) doit être supérieure à 45</w:t>
      </w:r>
      <w:r>
        <w:rPr>
          <w:b/>
          <w:bCs/>
          <w:lang w:val="fr-FR" w:eastAsia="de-DE"/>
        </w:rPr>
        <w:t> </w:t>
      </w:r>
      <w:r w:rsidRPr="00E773DC">
        <w:rPr>
          <w:b/>
          <w:bCs/>
          <w:lang w:val="fr-FR" w:eastAsia="de-DE"/>
        </w:rPr>
        <w:t>nm</w:t>
      </w:r>
      <w:r w:rsidR="00F72B31" w:rsidRPr="00F72B31">
        <w:rPr>
          <w:b/>
          <w:bCs/>
          <w:lang w:val="fr-FR" w:eastAsia="de-DE"/>
        </w:rPr>
        <w:t>.</w:t>
      </w:r>
      <w:r w:rsidRPr="00E773DC">
        <w:rPr>
          <w:b/>
          <w:bCs/>
          <w:lang w:val="fr-FR" w:eastAsia="de-DE"/>
        </w:rPr>
        <w:t xml:space="preserve"> L</w:t>
      </w:r>
      <w:r>
        <w:rPr>
          <w:b/>
          <w:bCs/>
          <w:lang w:val="fr-FR" w:eastAsia="de-DE"/>
        </w:rPr>
        <w:t>’</w:t>
      </w:r>
      <w:r w:rsidRPr="00E773DC">
        <w:rPr>
          <w:b/>
          <w:bCs/>
          <w:lang w:val="fr-FR" w:eastAsia="de-DE"/>
        </w:rPr>
        <w:t xml:space="preserve">instrument de référence doit être un électromètre ou un compteur de particules à condensation (CPC) avec d50 </w:t>
      </w:r>
      <w:r>
        <w:rPr>
          <w:b/>
          <w:bCs/>
          <w:lang w:val="fr-FR" w:eastAsia="de-DE"/>
        </w:rPr>
        <w:t>inférieur ou égal à</w:t>
      </w:r>
      <w:r w:rsidRPr="00E773DC">
        <w:rPr>
          <w:b/>
          <w:bCs/>
          <w:lang w:val="fr-FR" w:eastAsia="de-DE"/>
        </w:rPr>
        <w:t xml:space="preserve"> 10</w:t>
      </w:r>
      <w:r w:rsidR="00E1466E">
        <w:rPr>
          <w:b/>
          <w:bCs/>
          <w:lang w:val="fr-FR" w:eastAsia="de-DE"/>
        </w:rPr>
        <w:t> </w:t>
      </w:r>
      <w:r w:rsidRPr="00E773DC">
        <w:rPr>
          <w:b/>
          <w:bCs/>
          <w:lang w:val="fr-FR" w:eastAsia="de-DE"/>
        </w:rPr>
        <w:t xml:space="preserve">nm, la linéarité </w:t>
      </w:r>
      <w:r>
        <w:rPr>
          <w:b/>
          <w:bCs/>
          <w:lang w:val="fr-FR" w:eastAsia="de-DE"/>
        </w:rPr>
        <w:t>étant</w:t>
      </w:r>
      <w:r w:rsidRPr="00E773DC">
        <w:rPr>
          <w:b/>
          <w:bCs/>
          <w:lang w:val="fr-FR" w:eastAsia="de-DE"/>
        </w:rPr>
        <w:t xml:space="preserve"> vérifiée</w:t>
      </w:r>
      <w:r w:rsidR="00F72B31" w:rsidRPr="00F72B31">
        <w:rPr>
          <w:b/>
          <w:bCs/>
          <w:lang w:val="fr-FR" w:eastAsia="de-DE"/>
        </w:rPr>
        <w:t>.</w:t>
      </w:r>
      <w:r w:rsidRPr="00E773DC">
        <w:rPr>
          <w:b/>
          <w:bCs/>
          <w:lang w:val="fr-FR" w:eastAsia="de-DE"/>
        </w:rPr>
        <w:t xml:space="preserve"> L</w:t>
      </w:r>
      <w:r>
        <w:rPr>
          <w:b/>
          <w:bCs/>
          <w:lang w:val="fr-FR" w:eastAsia="de-DE"/>
        </w:rPr>
        <w:t>’</w:t>
      </w:r>
      <w:r w:rsidRPr="00E773DC">
        <w:rPr>
          <w:b/>
          <w:bCs/>
          <w:lang w:val="fr-FR" w:eastAsia="de-DE"/>
        </w:rPr>
        <w:t xml:space="preserve">instrument de référence peut également être un système de comptage de particules conforme aux </w:t>
      </w:r>
      <w:r>
        <w:rPr>
          <w:b/>
          <w:bCs/>
          <w:lang w:val="fr-FR" w:eastAsia="de-DE"/>
        </w:rPr>
        <w:t>dispositions</w:t>
      </w:r>
      <w:r w:rsidRPr="00E773DC">
        <w:rPr>
          <w:b/>
          <w:bCs/>
          <w:lang w:val="fr-FR" w:eastAsia="de-DE"/>
        </w:rPr>
        <w:t xml:space="preserve"> du paragraphe 10 de l</w:t>
      </w:r>
      <w:r>
        <w:rPr>
          <w:b/>
          <w:bCs/>
          <w:lang w:val="fr-FR" w:eastAsia="de-DE"/>
        </w:rPr>
        <w:t>’</w:t>
      </w:r>
      <w:r w:rsidRPr="00E773DC">
        <w:rPr>
          <w:b/>
          <w:bCs/>
          <w:lang w:val="fr-FR" w:eastAsia="de-DE"/>
        </w:rPr>
        <w:t>annexe 4</w:t>
      </w:r>
      <w:r w:rsidR="00F72B31" w:rsidRPr="00F72B31">
        <w:rPr>
          <w:b/>
          <w:bCs/>
          <w:lang w:val="fr-FR" w:eastAsia="de-DE"/>
        </w:rPr>
        <w:t>.</w:t>
      </w:r>
    </w:p>
    <w:p w14:paraId="348511FA"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4</w:t>
      </w:r>
      <w:r w:rsidRPr="00E773DC">
        <w:rPr>
          <w:b/>
          <w:bCs/>
          <w:lang w:val="fr-FR" w:eastAsia="de-DE"/>
        </w:rPr>
        <w:tab/>
        <w:t xml:space="preserve">En outre, les différences entre </w:t>
      </w:r>
      <w:r>
        <w:rPr>
          <w:b/>
          <w:bCs/>
          <w:lang w:val="fr-FR" w:eastAsia="de-DE"/>
        </w:rPr>
        <w:t>le compteur de particules</w:t>
      </w:r>
      <w:r w:rsidRPr="00E773DC">
        <w:rPr>
          <w:b/>
          <w:bCs/>
          <w:lang w:val="fr-FR" w:eastAsia="de-DE"/>
        </w:rPr>
        <w:t xml:space="preserve"> et l</w:t>
      </w:r>
      <w:r>
        <w:rPr>
          <w:b/>
          <w:bCs/>
          <w:lang w:val="fr-FR" w:eastAsia="de-DE"/>
        </w:rPr>
        <w:t>’</w:t>
      </w:r>
      <w:r w:rsidRPr="00E773DC">
        <w:rPr>
          <w:b/>
          <w:bCs/>
          <w:lang w:val="fr-FR" w:eastAsia="de-DE"/>
        </w:rPr>
        <w:t>instrument de référence à chacun des points contrôlés (à l</w:t>
      </w:r>
      <w:r>
        <w:rPr>
          <w:b/>
          <w:bCs/>
          <w:lang w:val="fr-FR" w:eastAsia="de-DE"/>
        </w:rPr>
        <w:t>’</w:t>
      </w:r>
      <w:r w:rsidRPr="00E773DC">
        <w:rPr>
          <w:b/>
          <w:bCs/>
          <w:lang w:val="fr-FR" w:eastAsia="de-DE"/>
        </w:rPr>
        <w:t>exception du point zéro) doivent être inférieures de 15</w:t>
      </w:r>
      <w:r>
        <w:rPr>
          <w:b/>
          <w:bCs/>
          <w:lang w:val="fr-FR" w:eastAsia="de-DE"/>
        </w:rPr>
        <w:t> </w:t>
      </w:r>
      <w:r w:rsidRPr="00E773DC">
        <w:rPr>
          <w:b/>
          <w:bCs/>
          <w:lang w:val="fr-FR" w:eastAsia="de-DE"/>
        </w:rPr>
        <w:t>% à leur valeur moyenne</w:t>
      </w:r>
      <w:r w:rsidR="00F72B31" w:rsidRPr="00F72B31">
        <w:rPr>
          <w:b/>
          <w:bCs/>
          <w:lang w:val="fr-FR" w:eastAsia="de-DE"/>
        </w:rPr>
        <w:t>.</w:t>
      </w:r>
      <w:r w:rsidRPr="00E773DC">
        <w:rPr>
          <w:b/>
          <w:bCs/>
          <w:lang w:val="fr-FR" w:eastAsia="de-DE"/>
        </w:rPr>
        <w:t xml:space="preserve"> Au moins 5</w:t>
      </w:r>
      <w:r>
        <w:rPr>
          <w:b/>
          <w:bCs/>
          <w:lang w:val="fr-FR" w:eastAsia="de-DE"/>
        </w:rPr>
        <w:t> p</w:t>
      </w:r>
      <w:r w:rsidRPr="00E773DC">
        <w:rPr>
          <w:b/>
          <w:bCs/>
          <w:lang w:val="fr-FR" w:eastAsia="de-DE"/>
        </w:rPr>
        <w:t>oints répartis de manière égale (plus le point zéro) doivent être vérifiés</w:t>
      </w:r>
      <w:r w:rsidR="00F72B31" w:rsidRPr="00F72B31">
        <w:rPr>
          <w:b/>
          <w:bCs/>
          <w:lang w:val="fr-FR" w:eastAsia="de-DE"/>
        </w:rPr>
        <w:t>.</w:t>
      </w:r>
      <w:r w:rsidRPr="00E773DC">
        <w:rPr>
          <w:b/>
          <w:bCs/>
          <w:lang w:val="fr-FR" w:eastAsia="de-DE"/>
        </w:rPr>
        <w:t xml:space="preserve"> La concentration maximale contrôlée est la concentration maximale autorisée </w:t>
      </w:r>
      <w:r>
        <w:rPr>
          <w:b/>
          <w:bCs/>
          <w:lang w:val="fr-FR" w:eastAsia="de-DE"/>
        </w:rPr>
        <w:t>du compteur de particules</w:t>
      </w:r>
      <w:r w:rsidR="00F72B31" w:rsidRPr="00F72B31">
        <w:rPr>
          <w:b/>
          <w:bCs/>
          <w:lang w:val="fr-FR" w:eastAsia="de-DE"/>
        </w:rPr>
        <w:t>.</w:t>
      </w:r>
      <w:r w:rsidRPr="00E773DC">
        <w:rPr>
          <w:b/>
          <w:bCs/>
          <w:lang w:val="fr-FR" w:eastAsia="de-DE"/>
        </w:rPr>
        <w:t xml:space="preserve"> Si </w:t>
      </w:r>
      <w:r>
        <w:rPr>
          <w:b/>
          <w:bCs/>
          <w:lang w:val="fr-FR" w:eastAsia="de-DE"/>
        </w:rPr>
        <w:t>le compteur de particules</w:t>
      </w:r>
      <w:r w:rsidRPr="00E773DC">
        <w:rPr>
          <w:b/>
          <w:bCs/>
          <w:lang w:val="fr-FR" w:eastAsia="de-DE"/>
        </w:rPr>
        <w:t xml:space="preserve"> est étalonné en plusieurs parties, la linéarité peut être vérifiée uniquement pour le détecteur, mais les efficacités des autres parties et de la </w:t>
      </w:r>
      <w:r>
        <w:rPr>
          <w:b/>
          <w:bCs/>
          <w:lang w:val="fr-FR" w:eastAsia="de-DE"/>
        </w:rPr>
        <w:t>conduite</w:t>
      </w:r>
      <w:r w:rsidRPr="00E773DC">
        <w:rPr>
          <w:b/>
          <w:bCs/>
          <w:lang w:val="fr-FR" w:eastAsia="de-DE"/>
        </w:rPr>
        <w:t xml:space="preserve"> de prélèvement doivent être prises en compte dans le calcul de la pente</w:t>
      </w:r>
      <w:r w:rsidR="00F72B31" w:rsidRPr="00F72B31">
        <w:rPr>
          <w:b/>
          <w:bCs/>
          <w:lang w:val="fr-FR" w:eastAsia="de-DE"/>
        </w:rPr>
        <w:t>.</w:t>
      </w:r>
    </w:p>
    <w:p w14:paraId="700F6F6C" w14:textId="77777777" w:rsidR="00B921D9" w:rsidRPr="00CE6882" w:rsidRDefault="00B921D9" w:rsidP="00B921D9">
      <w:pPr>
        <w:pStyle w:val="SingleTxtG"/>
        <w:ind w:left="2268" w:hanging="1134"/>
        <w:rPr>
          <w:b/>
          <w:bCs/>
          <w:lang w:val="fr-FR" w:eastAsia="de-DE"/>
        </w:rPr>
      </w:pPr>
      <w:r w:rsidRPr="00CE6882">
        <w:rPr>
          <w:b/>
          <w:bCs/>
          <w:lang w:val="fr-FR" w:eastAsia="de-DE"/>
        </w:rPr>
        <w:t>A</w:t>
      </w:r>
      <w:r w:rsidR="00F72B31" w:rsidRPr="00F72B31">
        <w:rPr>
          <w:b/>
          <w:bCs/>
          <w:lang w:val="fr-FR" w:eastAsia="de-DE"/>
        </w:rPr>
        <w:t>.</w:t>
      </w:r>
      <w:r w:rsidRPr="00CE6882">
        <w:rPr>
          <w:b/>
          <w:bCs/>
          <w:lang w:val="fr-FR" w:eastAsia="de-DE"/>
        </w:rPr>
        <w:t>2</w:t>
      </w:r>
      <w:r w:rsidR="00F72B31" w:rsidRPr="00F72B31">
        <w:rPr>
          <w:b/>
          <w:bCs/>
          <w:lang w:val="fr-FR" w:eastAsia="de-DE"/>
        </w:rPr>
        <w:t>.</w:t>
      </w:r>
      <w:r w:rsidRPr="00CE6882">
        <w:rPr>
          <w:b/>
          <w:bCs/>
          <w:lang w:val="fr-FR" w:eastAsia="de-DE"/>
        </w:rPr>
        <w:t>2</w:t>
      </w:r>
      <w:r w:rsidR="00F72B31" w:rsidRPr="00F72B31">
        <w:rPr>
          <w:b/>
          <w:bCs/>
          <w:lang w:val="fr-FR" w:eastAsia="de-DE"/>
        </w:rPr>
        <w:t>.</w:t>
      </w:r>
      <w:r w:rsidRPr="00CE6882">
        <w:rPr>
          <w:b/>
          <w:bCs/>
          <w:lang w:val="fr-FR" w:eastAsia="de-DE"/>
        </w:rPr>
        <w:t>5</w:t>
      </w:r>
      <w:r w:rsidR="00F72B31" w:rsidRPr="00F72B31">
        <w:rPr>
          <w:b/>
          <w:bCs/>
          <w:lang w:val="fr-FR" w:eastAsia="de-DE"/>
        </w:rPr>
        <w:t>.</w:t>
      </w:r>
      <w:r w:rsidRPr="00CE6882">
        <w:rPr>
          <w:b/>
          <w:bCs/>
          <w:lang w:val="fr-FR" w:eastAsia="de-DE"/>
        </w:rPr>
        <w:t>4</w:t>
      </w:r>
      <w:r w:rsidRPr="00CE6882">
        <w:rPr>
          <w:b/>
          <w:bCs/>
          <w:lang w:val="fr-FR" w:eastAsia="de-DE"/>
        </w:rPr>
        <w:tab/>
        <w:t>Efficacité de l</w:t>
      </w:r>
      <w:r>
        <w:rPr>
          <w:b/>
          <w:bCs/>
          <w:lang w:val="fr-FR" w:eastAsia="de-DE"/>
        </w:rPr>
        <w:t>’</w:t>
      </w:r>
      <w:r w:rsidRPr="00CE6882">
        <w:rPr>
          <w:b/>
          <w:bCs/>
          <w:lang w:val="fr-FR" w:eastAsia="de-DE"/>
        </w:rPr>
        <w:t>élimination des substances volatiles</w:t>
      </w:r>
    </w:p>
    <w:p w14:paraId="1B3266A4"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Pr="00E773DC">
        <w:rPr>
          <w:b/>
          <w:bCs/>
          <w:lang w:val="fr-FR" w:eastAsia="de-DE"/>
        </w:rPr>
        <w:tab/>
        <w:t>Le système d</w:t>
      </w:r>
      <w:r>
        <w:rPr>
          <w:b/>
          <w:bCs/>
          <w:lang w:val="fr-FR" w:eastAsia="de-DE"/>
        </w:rPr>
        <w:t>’</w:t>
      </w:r>
      <w:r w:rsidRPr="00E773DC">
        <w:rPr>
          <w:b/>
          <w:bCs/>
          <w:lang w:val="fr-FR" w:eastAsia="de-DE"/>
        </w:rPr>
        <w:t xml:space="preserve">analyse du nombre de </w:t>
      </w:r>
      <w:r w:rsidRPr="00A25F07">
        <w:rPr>
          <w:b/>
          <w:bCs/>
          <w:lang w:val="fr-FR" w:eastAsia="de-DE"/>
        </w:rPr>
        <w:t>particules</w:t>
      </w:r>
      <w:r w:rsidRPr="00E773DC">
        <w:rPr>
          <w:b/>
          <w:bCs/>
          <w:lang w:val="fr-FR" w:eastAsia="de-DE"/>
        </w:rPr>
        <w:t xml:space="preserve"> doit permettre d</w:t>
      </w:r>
      <w:r>
        <w:rPr>
          <w:b/>
          <w:bCs/>
          <w:lang w:val="fr-FR" w:eastAsia="de-DE"/>
        </w:rPr>
        <w:t>’</w:t>
      </w:r>
      <w:r w:rsidRPr="00E773DC">
        <w:rPr>
          <w:b/>
          <w:bCs/>
          <w:lang w:val="fr-FR" w:eastAsia="de-DE"/>
        </w:rPr>
        <w:t xml:space="preserve">obtenir une élimination </w:t>
      </w:r>
      <w:bookmarkStart w:id="35" w:name="_Hlk56008863"/>
      <w:r>
        <w:rPr>
          <w:b/>
          <w:bCs/>
          <w:lang w:val="fr-FR" w:eastAsia="de-DE"/>
        </w:rPr>
        <w:t>supérieure à</w:t>
      </w:r>
      <w:bookmarkEnd w:id="35"/>
      <w:r w:rsidRPr="00E773DC">
        <w:rPr>
          <w:b/>
          <w:bCs/>
          <w:lang w:val="fr-FR" w:eastAsia="de-DE"/>
        </w:rPr>
        <w:t xml:space="preserve"> 99</w:t>
      </w:r>
      <w:r>
        <w:rPr>
          <w:b/>
          <w:bCs/>
          <w:lang w:val="fr-FR" w:eastAsia="de-DE"/>
        </w:rPr>
        <w:t> </w:t>
      </w:r>
      <w:r w:rsidRPr="00E773DC">
        <w:rPr>
          <w:b/>
          <w:bCs/>
          <w:lang w:val="fr-FR" w:eastAsia="de-DE"/>
        </w:rPr>
        <w:t>% des particules de tétracontane (CH</w:t>
      </w:r>
      <w:r w:rsidRPr="00A25F07">
        <w:rPr>
          <w:b/>
          <w:bCs/>
          <w:vertAlign w:val="subscript"/>
          <w:lang w:val="fr-FR" w:eastAsia="de-DE"/>
        </w:rPr>
        <w:t>3</w:t>
      </w:r>
      <w:r w:rsidRPr="00E773DC">
        <w:rPr>
          <w:b/>
          <w:bCs/>
          <w:lang w:val="fr-FR" w:eastAsia="de-DE"/>
        </w:rPr>
        <w:t>(CH</w:t>
      </w:r>
      <w:r w:rsidRPr="00A25F07">
        <w:rPr>
          <w:b/>
          <w:bCs/>
          <w:vertAlign w:val="subscript"/>
          <w:lang w:val="fr-FR" w:eastAsia="de-DE"/>
        </w:rPr>
        <w:t>2</w:t>
      </w:r>
      <w:r w:rsidRPr="00E773DC">
        <w:rPr>
          <w:b/>
          <w:bCs/>
          <w:lang w:val="fr-FR" w:eastAsia="de-DE"/>
        </w:rPr>
        <w:t>)</w:t>
      </w:r>
      <w:r w:rsidRPr="00A25F07">
        <w:rPr>
          <w:b/>
          <w:bCs/>
          <w:vertAlign w:val="subscript"/>
          <w:lang w:val="fr-FR" w:eastAsia="de-DE"/>
        </w:rPr>
        <w:t>38</w:t>
      </w:r>
      <w:r w:rsidRPr="00A25F07">
        <w:rPr>
          <w:b/>
          <w:bCs/>
          <w:lang w:val="fr-FR" w:eastAsia="de-DE"/>
        </w:rPr>
        <w:t>CH</w:t>
      </w:r>
      <w:r w:rsidRPr="00E773DC">
        <w:rPr>
          <w:b/>
          <w:bCs/>
          <w:vertAlign w:val="subscript"/>
          <w:lang w:val="fr-FR" w:eastAsia="de-DE"/>
        </w:rPr>
        <w:t>3</w:t>
      </w:r>
      <w:r w:rsidRPr="00E773DC">
        <w:rPr>
          <w:b/>
          <w:bCs/>
          <w:lang w:val="fr-FR" w:eastAsia="de-DE"/>
        </w:rPr>
        <w:t xml:space="preserve">) </w:t>
      </w:r>
      <w:r>
        <w:rPr>
          <w:b/>
          <w:bCs/>
          <w:lang w:val="fr-FR" w:eastAsia="de-DE"/>
        </w:rPr>
        <w:t xml:space="preserve">d’une taille </w:t>
      </w:r>
      <w:r w:rsidRPr="00A25F07">
        <w:rPr>
          <w:b/>
          <w:bCs/>
          <w:lang w:val="fr-FR" w:eastAsia="de-DE"/>
        </w:rPr>
        <w:t>égale ou supérieure à</w:t>
      </w:r>
      <w:r w:rsidRPr="00E773DC">
        <w:rPr>
          <w:b/>
          <w:bCs/>
          <w:lang w:val="fr-FR" w:eastAsia="de-DE"/>
        </w:rPr>
        <w:t xml:space="preserve"> 30</w:t>
      </w:r>
      <w:r>
        <w:rPr>
          <w:b/>
          <w:bCs/>
          <w:lang w:val="fr-FR" w:eastAsia="de-DE"/>
        </w:rPr>
        <w:t> </w:t>
      </w:r>
      <w:r w:rsidRPr="00E773DC">
        <w:rPr>
          <w:b/>
          <w:bCs/>
          <w:lang w:val="fr-FR" w:eastAsia="de-DE"/>
        </w:rPr>
        <w:t>nm avec une concentration d</w:t>
      </w:r>
      <w:r>
        <w:rPr>
          <w:b/>
          <w:bCs/>
          <w:lang w:val="fr-FR" w:eastAsia="de-DE"/>
        </w:rPr>
        <w:t>’</w:t>
      </w:r>
      <w:r w:rsidRPr="00E773DC">
        <w:rPr>
          <w:b/>
          <w:bCs/>
          <w:lang w:val="fr-FR" w:eastAsia="de-DE"/>
        </w:rPr>
        <w:t xml:space="preserve">entrée </w:t>
      </w:r>
      <w:r w:rsidRPr="00A25F07">
        <w:rPr>
          <w:b/>
          <w:bCs/>
          <w:lang w:val="fr-FR" w:eastAsia="de-DE"/>
        </w:rPr>
        <w:t>égale ou supérieure à</w:t>
      </w:r>
      <w:r w:rsidRPr="00E773DC">
        <w:rPr>
          <w:b/>
          <w:bCs/>
          <w:lang w:val="fr-FR" w:eastAsia="de-DE"/>
        </w:rPr>
        <w:t xml:space="preserve"> 10</w:t>
      </w:r>
      <w:r>
        <w:rPr>
          <w:b/>
          <w:bCs/>
          <w:lang w:val="fr-FR" w:eastAsia="de-DE"/>
        </w:rPr>
        <w:t> </w:t>
      </w:r>
      <w:r w:rsidRPr="00E773DC">
        <w:rPr>
          <w:b/>
          <w:bCs/>
          <w:lang w:val="fr-FR" w:eastAsia="de-DE"/>
        </w:rPr>
        <w:t>000 particules par centimètre cube à la dilution minimale</w:t>
      </w:r>
      <w:r w:rsidR="00F72B31" w:rsidRPr="00F72B31">
        <w:rPr>
          <w:b/>
          <w:bCs/>
          <w:lang w:val="fr-FR" w:eastAsia="de-DE"/>
        </w:rPr>
        <w:t>.</w:t>
      </w:r>
    </w:p>
    <w:p w14:paraId="77986456"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2</w:t>
      </w:r>
      <w:r w:rsidRPr="00E773DC">
        <w:rPr>
          <w:b/>
          <w:bCs/>
          <w:lang w:val="fr-FR" w:eastAsia="de-DE"/>
        </w:rPr>
        <w:tab/>
        <w:t>En outre, le système d</w:t>
      </w:r>
      <w:r>
        <w:rPr>
          <w:b/>
          <w:bCs/>
          <w:lang w:val="fr-FR" w:eastAsia="de-DE"/>
        </w:rPr>
        <w:t>’</w:t>
      </w:r>
      <w:r w:rsidRPr="00E773DC">
        <w:rPr>
          <w:b/>
          <w:bCs/>
          <w:lang w:val="fr-FR" w:eastAsia="de-DE"/>
        </w:rPr>
        <w:t>analyse du nombre de particules doit également atteindre une efficacité d</w:t>
      </w:r>
      <w:r>
        <w:rPr>
          <w:b/>
          <w:bCs/>
          <w:lang w:val="fr-FR" w:eastAsia="de-DE"/>
        </w:rPr>
        <w:t>’</w:t>
      </w:r>
      <w:r w:rsidRPr="00E773DC">
        <w:rPr>
          <w:b/>
          <w:bCs/>
          <w:lang w:val="fr-FR" w:eastAsia="de-DE"/>
        </w:rPr>
        <w:t xml:space="preserve">élimination </w:t>
      </w:r>
      <w:r w:rsidRPr="00A25F07">
        <w:rPr>
          <w:b/>
          <w:bCs/>
          <w:lang w:val="fr-FR" w:eastAsia="de-DE"/>
        </w:rPr>
        <w:t>supérieure à</w:t>
      </w:r>
      <w:r w:rsidRPr="00E773DC">
        <w:rPr>
          <w:b/>
          <w:bCs/>
          <w:lang w:val="fr-FR" w:eastAsia="de-DE"/>
        </w:rPr>
        <w:t xml:space="preserve"> 99</w:t>
      </w:r>
      <w:r>
        <w:rPr>
          <w:b/>
          <w:bCs/>
          <w:lang w:val="fr-FR" w:eastAsia="de-DE"/>
        </w:rPr>
        <w:t> </w:t>
      </w:r>
      <w:r w:rsidRPr="00E773DC">
        <w:rPr>
          <w:b/>
          <w:bCs/>
          <w:lang w:val="fr-FR" w:eastAsia="de-DE"/>
        </w:rPr>
        <w:t>% de</w:t>
      </w:r>
      <w:r>
        <w:rPr>
          <w:b/>
          <w:bCs/>
          <w:lang w:val="fr-FR" w:eastAsia="de-DE"/>
        </w:rPr>
        <w:t xml:space="preserve">s </w:t>
      </w:r>
      <w:r w:rsidRPr="00E773DC">
        <w:rPr>
          <w:b/>
          <w:bCs/>
          <w:lang w:val="fr-FR" w:eastAsia="de-DE"/>
        </w:rPr>
        <w:t>alcane</w:t>
      </w:r>
      <w:r>
        <w:rPr>
          <w:b/>
          <w:bCs/>
          <w:lang w:val="fr-FR" w:eastAsia="de-DE"/>
        </w:rPr>
        <w:t>s</w:t>
      </w:r>
      <w:r w:rsidRPr="00E773DC">
        <w:rPr>
          <w:b/>
          <w:bCs/>
          <w:lang w:val="fr-FR" w:eastAsia="de-DE"/>
        </w:rPr>
        <w:t xml:space="preserve"> polydispersé</w:t>
      </w:r>
      <w:r>
        <w:rPr>
          <w:b/>
          <w:bCs/>
          <w:lang w:val="fr-FR" w:eastAsia="de-DE"/>
        </w:rPr>
        <w:t>s</w:t>
      </w:r>
      <w:r w:rsidRPr="00E773DC">
        <w:rPr>
          <w:b/>
          <w:bCs/>
          <w:lang w:val="fr-FR" w:eastAsia="de-DE"/>
        </w:rPr>
        <w:t xml:space="preserve"> (décane ou </w:t>
      </w:r>
      <w:r w:rsidRPr="009059DF">
        <w:rPr>
          <w:b/>
          <w:bCs/>
          <w:lang w:val="fr-FR" w:eastAsia="de-DE"/>
        </w:rPr>
        <w:t>supérieur</w:t>
      </w:r>
      <w:r w:rsidRPr="00E773DC">
        <w:rPr>
          <w:b/>
          <w:bCs/>
          <w:lang w:val="fr-FR" w:eastAsia="de-DE"/>
        </w:rPr>
        <w:t>) ou d</w:t>
      </w:r>
      <w:r>
        <w:rPr>
          <w:b/>
          <w:bCs/>
          <w:lang w:val="fr-FR" w:eastAsia="de-DE"/>
        </w:rPr>
        <w:t xml:space="preserve">e </w:t>
      </w:r>
      <w:bookmarkStart w:id="36" w:name="_Hlk56615379"/>
      <w:r>
        <w:rPr>
          <w:b/>
          <w:bCs/>
          <w:lang w:val="fr-FR" w:eastAsia="de-DE"/>
        </w:rPr>
        <w:t>l’« </w:t>
      </w:r>
      <w:proofErr w:type="spellStart"/>
      <w:r>
        <w:rPr>
          <w:b/>
          <w:bCs/>
          <w:lang w:val="fr-FR" w:eastAsia="de-DE"/>
        </w:rPr>
        <w:t>e</w:t>
      </w:r>
      <w:r w:rsidRPr="00E773DC">
        <w:rPr>
          <w:b/>
          <w:bCs/>
          <w:lang w:val="fr-FR" w:eastAsia="de-DE"/>
        </w:rPr>
        <w:t>mer</w:t>
      </w:r>
      <w:r>
        <w:rPr>
          <w:b/>
          <w:bCs/>
          <w:lang w:val="fr-FR" w:eastAsia="de-DE"/>
        </w:rPr>
        <w:t>y</w:t>
      </w:r>
      <w:proofErr w:type="spellEnd"/>
      <w:r>
        <w:rPr>
          <w:b/>
          <w:bCs/>
          <w:lang w:val="fr-FR" w:eastAsia="de-DE"/>
        </w:rPr>
        <w:t xml:space="preserve"> </w:t>
      </w:r>
      <w:proofErr w:type="spellStart"/>
      <w:r>
        <w:rPr>
          <w:b/>
          <w:bCs/>
          <w:lang w:val="fr-FR" w:eastAsia="de-DE"/>
        </w:rPr>
        <w:t>oil</w:t>
      </w:r>
      <w:proofErr w:type="spellEnd"/>
      <w:r>
        <w:rPr>
          <w:b/>
          <w:bCs/>
          <w:lang w:val="fr-FR" w:eastAsia="de-DE"/>
        </w:rPr>
        <w:t xml:space="preserve"> » </w:t>
      </w:r>
      <w:bookmarkEnd w:id="36"/>
      <w:r>
        <w:rPr>
          <w:b/>
          <w:bCs/>
          <w:lang w:val="fr-FR" w:eastAsia="de-DE"/>
        </w:rPr>
        <w:t>d’</w:t>
      </w:r>
      <w:r w:rsidRPr="00E773DC">
        <w:rPr>
          <w:b/>
          <w:bCs/>
          <w:lang w:val="fr-FR" w:eastAsia="de-DE"/>
        </w:rPr>
        <w:t xml:space="preserve">un diamètre médian de comptage </w:t>
      </w:r>
      <w:r w:rsidRPr="00A25F07">
        <w:rPr>
          <w:b/>
          <w:bCs/>
          <w:lang w:val="fr-FR" w:eastAsia="de-DE"/>
        </w:rPr>
        <w:t>supérieur à</w:t>
      </w:r>
      <w:r w:rsidRPr="00E773DC">
        <w:rPr>
          <w:b/>
          <w:bCs/>
          <w:lang w:val="fr-FR" w:eastAsia="de-DE"/>
        </w:rPr>
        <w:t xml:space="preserve"> 50</w:t>
      </w:r>
      <w:r>
        <w:rPr>
          <w:b/>
          <w:bCs/>
          <w:lang w:val="fr-FR" w:eastAsia="de-DE"/>
        </w:rPr>
        <w:t> </w:t>
      </w:r>
      <w:r w:rsidRPr="00E773DC">
        <w:rPr>
          <w:b/>
          <w:bCs/>
          <w:lang w:val="fr-FR" w:eastAsia="de-DE"/>
        </w:rPr>
        <w:t>nm et une concentration d</w:t>
      </w:r>
      <w:r>
        <w:rPr>
          <w:b/>
          <w:bCs/>
          <w:lang w:val="fr-FR" w:eastAsia="de-DE"/>
        </w:rPr>
        <w:t>’</w:t>
      </w:r>
      <w:r w:rsidRPr="00E773DC">
        <w:rPr>
          <w:b/>
          <w:bCs/>
          <w:lang w:val="fr-FR" w:eastAsia="de-DE"/>
        </w:rPr>
        <w:t xml:space="preserve">entrée </w:t>
      </w:r>
      <w:r w:rsidRPr="00A25F07">
        <w:rPr>
          <w:b/>
          <w:bCs/>
          <w:lang w:val="fr-FR" w:eastAsia="de-DE"/>
        </w:rPr>
        <w:t xml:space="preserve">égale ou supérieure à </w:t>
      </w:r>
      <w:r w:rsidRPr="00E773DC">
        <w:rPr>
          <w:b/>
          <w:bCs/>
          <w:lang w:val="fr-FR" w:eastAsia="de-DE"/>
        </w:rPr>
        <w:t>5</w:t>
      </w:r>
      <w:r>
        <w:rPr>
          <w:b/>
          <w:bCs/>
          <w:sz w:val="22"/>
          <w:szCs w:val="22"/>
          <w:lang w:val="fr-FR" w:eastAsia="de-DE"/>
        </w:rPr>
        <w:t> </w:t>
      </w:r>
      <w:r w:rsidRPr="00E773DC">
        <w:rPr>
          <w:b/>
          <w:bCs/>
          <w:lang w:val="fr-FR" w:eastAsia="de-DE"/>
        </w:rPr>
        <w:t>×</w:t>
      </w:r>
      <w:r>
        <w:rPr>
          <w:b/>
          <w:bCs/>
          <w:lang w:val="fr-FR" w:eastAsia="de-DE"/>
        </w:rPr>
        <w:t> </w:t>
      </w:r>
      <w:r w:rsidRPr="00E773DC">
        <w:rPr>
          <w:b/>
          <w:bCs/>
          <w:lang w:val="fr-FR" w:eastAsia="de-DE"/>
        </w:rPr>
        <w:t>10</w:t>
      </w:r>
      <w:r w:rsidRPr="00B53E44">
        <w:rPr>
          <w:b/>
          <w:bCs/>
          <w:vertAlign w:val="superscript"/>
          <w:lang w:val="fr-FR" w:eastAsia="de-DE"/>
        </w:rPr>
        <w:t>6</w:t>
      </w:r>
      <w:r w:rsidRPr="00E773DC">
        <w:rPr>
          <w:b/>
          <w:bCs/>
          <w:lang w:val="fr-FR" w:eastAsia="de-DE"/>
        </w:rPr>
        <w:t xml:space="preserve"> particules par centimètre cube à la dilution minimale (</w:t>
      </w:r>
      <w:r>
        <w:rPr>
          <w:b/>
          <w:bCs/>
          <w:lang w:val="fr-FR" w:eastAsia="de-DE"/>
        </w:rPr>
        <w:t xml:space="preserve">équivalent </w:t>
      </w:r>
      <w:r w:rsidRPr="00E773DC">
        <w:rPr>
          <w:b/>
          <w:bCs/>
          <w:lang w:val="fr-FR" w:eastAsia="de-DE"/>
        </w:rPr>
        <w:t>mass</w:t>
      </w:r>
      <w:r>
        <w:rPr>
          <w:b/>
          <w:bCs/>
          <w:lang w:val="fr-FR" w:eastAsia="de-DE"/>
        </w:rPr>
        <w:t>iqu</w:t>
      </w:r>
      <w:r w:rsidRPr="00E773DC">
        <w:rPr>
          <w:b/>
          <w:bCs/>
          <w:lang w:val="fr-FR" w:eastAsia="de-DE"/>
        </w:rPr>
        <w:t xml:space="preserve">e </w:t>
      </w:r>
      <w:r w:rsidRPr="00A25F07">
        <w:rPr>
          <w:b/>
          <w:bCs/>
          <w:lang w:val="fr-FR" w:eastAsia="de-DE"/>
        </w:rPr>
        <w:t>supérieur à</w:t>
      </w:r>
      <w:r w:rsidRPr="00E773DC">
        <w:rPr>
          <w:b/>
          <w:bCs/>
          <w:lang w:val="fr-FR" w:eastAsia="de-DE"/>
        </w:rPr>
        <w:t xml:space="preserve"> 1</w:t>
      </w:r>
      <w:r>
        <w:rPr>
          <w:b/>
          <w:bCs/>
          <w:lang w:val="fr-FR" w:eastAsia="de-DE"/>
        </w:rPr>
        <w:t> </w:t>
      </w:r>
      <w:r w:rsidRPr="00E773DC">
        <w:rPr>
          <w:b/>
          <w:bCs/>
          <w:lang w:val="fr-FR" w:eastAsia="de-DE"/>
        </w:rPr>
        <w:t>mg/m</w:t>
      </w:r>
      <w:r w:rsidRPr="00A25F07">
        <w:rPr>
          <w:b/>
          <w:bCs/>
          <w:vertAlign w:val="superscript"/>
          <w:lang w:val="fr-FR" w:eastAsia="de-DE"/>
        </w:rPr>
        <w:t>3</w:t>
      </w:r>
      <w:r w:rsidRPr="00E773DC">
        <w:rPr>
          <w:b/>
          <w:bCs/>
          <w:lang w:val="fr-FR" w:eastAsia="de-DE"/>
        </w:rPr>
        <w:t>)</w:t>
      </w:r>
      <w:r w:rsidR="00F72B31" w:rsidRPr="00F72B31">
        <w:rPr>
          <w:b/>
          <w:bCs/>
          <w:lang w:val="fr-FR" w:eastAsia="de-DE"/>
        </w:rPr>
        <w:t>.</w:t>
      </w:r>
    </w:p>
    <w:p w14:paraId="2C4E3160" w14:textId="77777777" w:rsidR="00B921D9" w:rsidRPr="00E773DC" w:rsidRDefault="00B921D9" w:rsidP="00666BBC">
      <w:pPr>
        <w:pStyle w:val="SingleTxtG"/>
        <w:ind w:left="2268" w:hanging="1134"/>
        <w:rPr>
          <w:lang w:val="fr-FR" w:eastAsia="de-DE"/>
        </w:rPr>
      </w:pPr>
      <w:r w:rsidRPr="00E773DC">
        <w:rPr>
          <w:b/>
          <w:bCs/>
          <w:lang w:val="fr-FR" w:eastAsia="de-DE"/>
        </w:rPr>
        <w:t>A</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3</w:t>
      </w:r>
      <w:r w:rsidRPr="00E773DC">
        <w:rPr>
          <w:b/>
          <w:bCs/>
          <w:lang w:val="fr-FR" w:eastAsia="de-DE"/>
        </w:rPr>
        <w:tab/>
        <w:t>L</w:t>
      </w:r>
      <w:r>
        <w:rPr>
          <w:b/>
          <w:bCs/>
          <w:lang w:val="fr-FR" w:eastAsia="de-DE"/>
        </w:rPr>
        <w:t>’</w:t>
      </w:r>
      <w:r w:rsidRPr="00E773DC">
        <w:rPr>
          <w:b/>
          <w:bCs/>
          <w:lang w:val="fr-FR" w:eastAsia="de-DE"/>
        </w:rPr>
        <w:t>efficacité de l</w:t>
      </w:r>
      <w:r>
        <w:rPr>
          <w:b/>
          <w:bCs/>
          <w:lang w:val="fr-FR" w:eastAsia="de-DE"/>
        </w:rPr>
        <w:t>’</w:t>
      </w:r>
      <w:r w:rsidRPr="00E773DC">
        <w:rPr>
          <w:b/>
          <w:bCs/>
          <w:lang w:val="fr-FR" w:eastAsia="de-DE"/>
        </w:rPr>
        <w:t xml:space="preserve">élimination des substances volatiles </w:t>
      </w:r>
      <w:r>
        <w:rPr>
          <w:b/>
          <w:bCs/>
          <w:lang w:val="fr-FR" w:eastAsia="de-DE"/>
        </w:rPr>
        <w:t>(</w:t>
      </w:r>
      <w:r w:rsidRPr="00E773DC">
        <w:rPr>
          <w:b/>
          <w:bCs/>
          <w:lang w:val="fr-FR" w:eastAsia="de-DE"/>
        </w:rPr>
        <w:t>tétracontan</w:t>
      </w:r>
      <w:r>
        <w:rPr>
          <w:b/>
          <w:bCs/>
          <w:lang w:val="fr-FR" w:eastAsia="de-DE"/>
        </w:rPr>
        <w:t xml:space="preserve">e, </w:t>
      </w:r>
      <w:r w:rsidRPr="00E773DC">
        <w:rPr>
          <w:b/>
          <w:bCs/>
          <w:lang w:val="fr-FR" w:eastAsia="de-DE"/>
        </w:rPr>
        <w:t>alcane</w:t>
      </w:r>
      <w:r>
        <w:rPr>
          <w:b/>
          <w:bCs/>
          <w:lang w:val="fr-FR" w:eastAsia="de-DE"/>
        </w:rPr>
        <w:t>s</w:t>
      </w:r>
      <w:r w:rsidRPr="00E773DC">
        <w:rPr>
          <w:b/>
          <w:bCs/>
          <w:lang w:val="fr-FR" w:eastAsia="de-DE"/>
        </w:rPr>
        <w:t xml:space="preserve"> polydispersé</w:t>
      </w:r>
      <w:r>
        <w:rPr>
          <w:b/>
          <w:bCs/>
          <w:lang w:val="fr-FR" w:eastAsia="de-DE"/>
        </w:rPr>
        <w:t>s</w:t>
      </w:r>
      <w:r w:rsidRPr="00E773DC">
        <w:rPr>
          <w:b/>
          <w:bCs/>
          <w:lang w:val="fr-FR" w:eastAsia="de-DE"/>
        </w:rPr>
        <w:t xml:space="preserve"> ou </w:t>
      </w:r>
      <w:r>
        <w:rPr>
          <w:b/>
          <w:bCs/>
          <w:lang w:val="fr-FR" w:eastAsia="de-DE"/>
        </w:rPr>
        <w:t>« </w:t>
      </w:r>
      <w:proofErr w:type="spellStart"/>
      <w:r>
        <w:rPr>
          <w:b/>
          <w:bCs/>
          <w:lang w:val="fr-FR" w:eastAsia="de-DE"/>
        </w:rPr>
        <w:t>e</w:t>
      </w:r>
      <w:r w:rsidRPr="00E773DC">
        <w:rPr>
          <w:b/>
          <w:bCs/>
          <w:lang w:val="fr-FR" w:eastAsia="de-DE"/>
        </w:rPr>
        <w:t>mer</w:t>
      </w:r>
      <w:r>
        <w:rPr>
          <w:b/>
          <w:bCs/>
          <w:lang w:val="fr-FR" w:eastAsia="de-DE"/>
        </w:rPr>
        <w:t>y</w:t>
      </w:r>
      <w:proofErr w:type="spellEnd"/>
      <w:r>
        <w:rPr>
          <w:b/>
          <w:bCs/>
          <w:lang w:val="fr-FR" w:eastAsia="de-DE"/>
        </w:rPr>
        <w:t xml:space="preserve"> </w:t>
      </w:r>
      <w:proofErr w:type="spellStart"/>
      <w:r>
        <w:rPr>
          <w:b/>
          <w:bCs/>
          <w:lang w:val="fr-FR" w:eastAsia="de-DE"/>
        </w:rPr>
        <w:t>oil</w:t>
      </w:r>
      <w:proofErr w:type="spellEnd"/>
      <w:r>
        <w:rPr>
          <w:b/>
          <w:bCs/>
          <w:lang w:val="fr-FR" w:eastAsia="de-DE"/>
        </w:rPr>
        <w:t xml:space="preserve"> ») </w:t>
      </w:r>
      <w:r w:rsidRPr="00E773DC">
        <w:rPr>
          <w:b/>
          <w:bCs/>
          <w:lang w:val="fr-FR" w:eastAsia="de-DE"/>
        </w:rPr>
        <w:t xml:space="preserve">ne doit être </w:t>
      </w:r>
      <w:r>
        <w:rPr>
          <w:b/>
          <w:bCs/>
          <w:lang w:val="fr-FR" w:eastAsia="de-DE"/>
        </w:rPr>
        <w:t>démontrée</w:t>
      </w:r>
      <w:r w:rsidRPr="00E773DC">
        <w:rPr>
          <w:b/>
          <w:bCs/>
          <w:lang w:val="fr-FR" w:eastAsia="de-DE"/>
        </w:rPr>
        <w:t xml:space="preserve"> qu</w:t>
      </w:r>
      <w:r>
        <w:rPr>
          <w:b/>
          <w:bCs/>
          <w:lang w:val="fr-FR" w:eastAsia="de-DE"/>
        </w:rPr>
        <w:t>’</w:t>
      </w:r>
      <w:r w:rsidRPr="00E773DC">
        <w:rPr>
          <w:b/>
          <w:bCs/>
          <w:lang w:val="fr-FR" w:eastAsia="de-DE"/>
        </w:rPr>
        <w:t xml:space="preserve">une seule fois pour la famille </w:t>
      </w:r>
      <w:r>
        <w:rPr>
          <w:b/>
          <w:bCs/>
          <w:lang w:val="fr-FR" w:eastAsia="de-DE"/>
        </w:rPr>
        <w:t xml:space="preserve">de </w:t>
      </w:r>
      <w:r w:rsidRPr="00E773DC">
        <w:rPr>
          <w:b/>
          <w:bCs/>
          <w:lang w:val="fr-FR" w:eastAsia="de-DE"/>
        </w:rPr>
        <w:t>PEMS</w:t>
      </w:r>
      <w:r w:rsidR="00F72B31" w:rsidRPr="00F72B31">
        <w:rPr>
          <w:b/>
          <w:bCs/>
          <w:lang w:val="fr-FR" w:eastAsia="de-DE"/>
        </w:rPr>
        <w:t>.</w:t>
      </w:r>
      <w:r w:rsidRPr="00E773DC">
        <w:rPr>
          <w:b/>
          <w:bCs/>
          <w:lang w:val="fr-FR" w:eastAsia="de-DE"/>
        </w:rPr>
        <w:t xml:space="preserve"> Une famille de PEMS est considérée comme un groupe d</w:t>
      </w:r>
      <w:r>
        <w:rPr>
          <w:b/>
          <w:bCs/>
          <w:lang w:val="fr-FR" w:eastAsia="de-DE"/>
        </w:rPr>
        <w:t>’</w:t>
      </w:r>
      <w:r w:rsidRPr="00E773DC">
        <w:rPr>
          <w:b/>
          <w:bCs/>
          <w:lang w:val="fr-FR" w:eastAsia="de-DE"/>
        </w:rPr>
        <w:t xml:space="preserve">instruments </w:t>
      </w:r>
      <w:r>
        <w:rPr>
          <w:b/>
          <w:bCs/>
          <w:lang w:val="fr-FR" w:eastAsia="de-DE"/>
        </w:rPr>
        <w:t>comportant</w:t>
      </w:r>
      <w:r w:rsidRPr="00E773DC">
        <w:rPr>
          <w:b/>
          <w:bCs/>
          <w:lang w:val="fr-FR" w:eastAsia="de-DE"/>
        </w:rPr>
        <w:t xml:space="preserve"> </w:t>
      </w:r>
      <w:r>
        <w:rPr>
          <w:b/>
          <w:bCs/>
          <w:lang w:val="fr-FR" w:eastAsia="de-DE"/>
        </w:rPr>
        <w:t>l</w:t>
      </w:r>
      <w:r w:rsidRPr="00E773DC">
        <w:rPr>
          <w:b/>
          <w:bCs/>
          <w:lang w:val="fr-FR" w:eastAsia="de-DE"/>
        </w:rPr>
        <w:t xml:space="preserve">es mêmes analyseurs, </w:t>
      </w:r>
      <w:r>
        <w:rPr>
          <w:b/>
          <w:bCs/>
          <w:lang w:val="fr-FR" w:eastAsia="de-DE"/>
        </w:rPr>
        <w:t>l</w:t>
      </w:r>
      <w:r w:rsidRPr="00E773DC">
        <w:rPr>
          <w:b/>
          <w:bCs/>
          <w:lang w:val="fr-FR" w:eastAsia="de-DE"/>
        </w:rPr>
        <w:t xml:space="preserve">es mêmes </w:t>
      </w:r>
      <w:r>
        <w:rPr>
          <w:b/>
          <w:bCs/>
          <w:lang w:val="fr-FR" w:eastAsia="de-DE"/>
        </w:rPr>
        <w:t xml:space="preserve">dispositifs de </w:t>
      </w:r>
      <w:r w:rsidRPr="00E773DC">
        <w:rPr>
          <w:b/>
          <w:bCs/>
          <w:lang w:val="fr-FR" w:eastAsia="de-DE"/>
        </w:rPr>
        <w:t xml:space="preserve">conditionnement </w:t>
      </w:r>
      <w:r>
        <w:rPr>
          <w:b/>
          <w:bCs/>
          <w:lang w:val="fr-FR" w:eastAsia="de-DE"/>
        </w:rPr>
        <w:t xml:space="preserve">des </w:t>
      </w:r>
      <w:r w:rsidRPr="00E773DC">
        <w:rPr>
          <w:b/>
          <w:bCs/>
          <w:lang w:val="fr-FR" w:eastAsia="de-DE"/>
        </w:rPr>
        <w:t xml:space="preserve">échantillons et </w:t>
      </w:r>
      <w:r w:rsidRPr="00B53E44">
        <w:rPr>
          <w:b/>
          <w:bCs/>
          <w:lang w:val="fr-FR" w:eastAsia="de-DE"/>
        </w:rPr>
        <w:t xml:space="preserve">de conditionnement </w:t>
      </w:r>
      <w:r w:rsidRPr="00E773DC">
        <w:rPr>
          <w:b/>
          <w:bCs/>
          <w:lang w:val="fr-FR" w:eastAsia="de-DE"/>
        </w:rPr>
        <w:t>thermique</w:t>
      </w:r>
      <w:r w:rsidRPr="00B53E44">
        <w:rPr>
          <w:b/>
          <w:bCs/>
          <w:lang w:val="fr-FR" w:eastAsia="de-DE"/>
        </w:rPr>
        <w:t xml:space="preserve"> </w:t>
      </w:r>
      <w:r w:rsidRPr="00E773DC">
        <w:rPr>
          <w:b/>
          <w:bCs/>
          <w:lang w:val="fr-FR" w:eastAsia="de-DE"/>
        </w:rPr>
        <w:t xml:space="preserve">et </w:t>
      </w:r>
      <w:r>
        <w:rPr>
          <w:b/>
          <w:bCs/>
          <w:lang w:val="fr-FR" w:eastAsia="de-DE"/>
        </w:rPr>
        <w:t>l</w:t>
      </w:r>
      <w:r w:rsidRPr="00E773DC">
        <w:rPr>
          <w:b/>
          <w:bCs/>
          <w:lang w:val="fr-FR" w:eastAsia="de-DE"/>
        </w:rPr>
        <w:t>es mêmes algorithmes de compensation logicielle</w:t>
      </w:r>
      <w:r w:rsidR="00F72B31" w:rsidRPr="00F72B31">
        <w:rPr>
          <w:b/>
          <w:bCs/>
          <w:lang w:val="fr-FR" w:eastAsia="de-DE"/>
        </w:rPr>
        <w:t>.</w:t>
      </w:r>
      <w:r w:rsidRPr="00E773DC">
        <w:rPr>
          <w:b/>
          <w:bCs/>
          <w:lang w:val="fr-FR" w:eastAsia="de-DE"/>
        </w:rPr>
        <w:t xml:space="preserve"> Le fabricant de l</w:t>
      </w:r>
      <w:r>
        <w:rPr>
          <w:b/>
          <w:bCs/>
          <w:lang w:val="fr-FR" w:eastAsia="de-DE"/>
        </w:rPr>
        <w:t>’</w:t>
      </w:r>
      <w:r w:rsidRPr="00E773DC">
        <w:rPr>
          <w:b/>
          <w:bCs/>
          <w:lang w:val="fr-FR" w:eastAsia="de-DE"/>
        </w:rPr>
        <w:t xml:space="preserve">instrument doit prévoir </w:t>
      </w:r>
      <w:r>
        <w:rPr>
          <w:b/>
          <w:bCs/>
          <w:lang w:val="fr-FR" w:eastAsia="de-DE"/>
        </w:rPr>
        <w:t xml:space="preserve">un </w:t>
      </w:r>
      <w:r w:rsidRPr="00E773DC">
        <w:rPr>
          <w:b/>
          <w:bCs/>
          <w:lang w:val="fr-FR" w:eastAsia="de-DE"/>
        </w:rPr>
        <w:t xml:space="preserve">intervalle </w:t>
      </w:r>
      <w:r>
        <w:rPr>
          <w:b/>
          <w:bCs/>
          <w:lang w:val="fr-FR" w:eastAsia="de-DE"/>
        </w:rPr>
        <w:t xml:space="preserve">d’entretien </w:t>
      </w:r>
      <w:r w:rsidRPr="00E773DC">
        <w:rPr>
          <w:b/>
          <w:bCs/>
          <w:lang w:val="fr-FR" w:eastAsia="de-DE"/>
        </w:rPr>
        <w:t>ou de remplacement garanti</w:t>
      </w:r>
      <w:r>
        <w:rPr>
          <w:b/>
          <w:bCs/>
          <w:lang w:val="fr-FR" w:eastAsia="de-DE"/>
        </w:rPr>
        <w:t>ssan</w:t>
      </w:r>
      <w:r w:rsidRPr="00E773DC">
        <w:rPr>
          <w:b/>
          <w:bCs/>
          <w:lang w:val="fr-FR" w:eastAsia="de-DE"/>
        </w:rPr>
        <w:t>t que l</w:t>
      </w:r>
      <w:r>
        <w:rPr>
          <w:b/>
          <w:bCs/>
          <w:lang w:val="fr-FR" w:eastAsia="de-DE"/>
        </w:rPr>
        <w:t>’</w:t>
      </w:r>
      <w:r w:rsidRPr="00E773DC">
        <w:rPr>
          <w:b/>
          <w:bCs/>
          <w:lang w:val="fr-FR" w:eastAsia="de-DE"/>
        </w:rPr>
        <w:t>efficacité d</w:t>
      </w:r>
      <w:r>
        <w:rPr>
          <w:b/>
          <w:bCs/>
          <w:lang w:val="fr-FR" w:eastAsia="de-DE"/>
        </w:rPr>
        <w:t>’</w:t>
      </w:r>
      <w:r w:rsidRPr="00E773DC">
        <w:rPr>
          <w:b/>
          <w:bCs/>
          <w:lang w:val="fr-FR" w:eastAsia="de-DE"/>
        </w:rPr>
        <w:t xml:space="preserve">élimination ne tombe pas en dessous des </w:t>
      </w:r>
      <w:r>
        <w:rPr>
          <w:b/>
          <w:bCs/>
          <w:lang w:val="fr-FR" w:eastAsia="de-DE"/>
        </w:rPr>
        <w:t>prescriptions</w:t>
      </w:r>
      <w:r w:rsidRPr="00E773DC">
        <w:rPr>
          <w:b/>
          <w:bCs/>
          <w:lang w:val="fr-FR" w:eastAsia="de-DE"/>
        </w:rPr>
        <w:t xml:space="preserve"> techniques</w:t>
      </w:r>
      <w:r w:rsidR="00F72B31" w:rsidRPr="00F72B31">
        <w:rPr>
          <w:b/>
          <w:bCs/>
          <w:lang w:val="fr-FR" w:eastAsia="de-DE"/>
        </w:rPr>
        <w:t>.</w:t>
      </w:r>
      <w:r w:rsidRPr="00E773DC">
        <w:rPr>
          <w:b/>
          <w:bCs/>
          <w:lang w:val="fr-FR" w:eastAsia="de-DE"/>
        </w:rPr>
        <w:t xml:space="preserve"> Si ces informations ne sont pas fournies par le fabricant de l</w:t>
      </w:r>
      <w:r>
        <w:rPr>
          <w:b/>
          <w:bCs/>
          <w:lang w:val="fr-FR" w:eastAsia="de-DE"/>
        </w:rPr>
        <w:t>’</w:t>
      </w:r>
      <w:r w:rsidRPr="00E773DC">
        <w:rPr>
          <w:b/>
          <w:bCs/>
          <w:lang w:val="fr-FR" w:eastAsia="de-DE"/>
        </w:rPr>
        <w:t>instrument, l</w:t>
      </w:r>
      <w:r>
        <w:rPr>
          <w:b/>
          <w:bCs/>
          <w:lang w:val="fr-FR" w:eastAsia="de-DE"/>
        </w:rPr>
        <w:t>’</w:t>
      </w:r>
      <w:r w:rsidRPr="00E773DC">
        <w:rPr>
          <w:b/>
          <w:bCs/>
          <w:lang w:val="fr-FR" w:eastAsia="de-DE"/>
        </w:rPr>
        <w:t>efficacité d</w:t>
      </w:r>
      <w:r>
        <w:rPr>
          <w:b/>
          <w:bCs/>
          <w:lang w:val="fr-FR" w:eastAsia="de-DE"/>
        </w:rPr>
        <w:t>’</w:t>
      </w:r>
      <w:r w:rsidRPr="00E773DC">
        <w:rPr>
          <w:b/>
          <w:bCs/>
          <w:lang w:val="fr-FR" w:eastAsia="de-DE"/>
        </w:rPr>
        <w:t xml:space="preserve">élimination des substances volatiles </w:t>
      </w:r>
      <w:r>
        <w:rPr>
          <w:b/>
          <w:bCs/>
          <w:lang w:val="fr-FR" w:eastAsia="de-DE"/>
        </w:rPr>
        <w:t>doit être</w:t>
      </w:r>
      <w:r w:rsidRPr="00E773DC">
        <w:rPr>
          <w:b/>
          <w:bCs/>
          <w:lang w:val="fr-FR" w:eastAsia="de-DE"/>
        </w:rPr>
        <w:t xml:space="preserve"> vérifiée chaque année pour chaque instrument</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4EC90CB6" w14:textId="77777777" w:rsidR="00B921D9" w:rsidRPr="00E773DC" w:rsidRDefault="00B921D9" w:rsidP="00666BBC">
      <w:pPr>
        <w:pStyle w:val="SingleTxtG"/>
        <w:keepNext/>
        <w:ind w:left="2268" w:hanging="1134"/>
        <w:rPr>
          <w:i/>
          <w:iCs/>
          <w:lang w:val="fr-FR" w:eastAsia="de-DE"/>
        </w:rPr>
      </w:pPr>
      <w:r w:rsidRPr="00E773DC">
        <w:rPr>
          <w:i/>
          <w:iCs/>
          <w:lang w:val="fr-FR" w:eastAsia="de-DE"/>
        </w:rPr>
        <w:t>Annexe 8, appendice 3</w:t>
      </w:r>
    </w:p>
    <w:p w14:paraId="11F97DFB" w14:textId="77777777" w:rsidR="00B921D9" w:rsidRPr="00E773DC" w:rsidRDefault="00B921D9" w:rsidP="00666BBC">
      <w:pPr>
        <w:pStyle w:val="SingleTxtG"/>
        <w:keepNext/>
        <w:ind w:left="2268" w:hanging="1134"/>
        <w:rPr>
          <w:lang w:val="fr-FR" w:eastAsia="de-DE"/>
        </w:rPr>
      </w:pPr>
      <w:r w:rsidRPr="00E773DC">
        <w:rPr>
          <w:i/>
          <w:iCs/>
          <w:lang w:val="fr-FR" w:eastAsia="de-DE"/>
        </w:rPr>
        <w:t>Ajouter un nouveau paragraphe A</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Pr="008F66F8">
        <w:rPr>
          <w:lang w:val="fr-FR" w:eastAsia="de-DE"/>
        </w:rPr>
        <w:t>,</w:t>
      </w:r>
      <w:r>
        <w:rPr>
          <w:lang w:val="fr-FR" w:eastAsia="de-DE"/>
        </w:rPr>
        <w:t xml:space="preserve"> libellé </w:t>
      </w:r>
      <w:r w:rsidRPr="00E773DC">
        <w:rPr>
          <w:lang w:val="fr-FR" w:eastAsia="de-DE"/>
        </w:rPr>
        <w:t>comme suit</w:t>
      </w:r>
      <w:r>
        <w:rPr>
          <w:lang w:val="fr-FR" w:eastAsia="de-DE"/>
        </w:rPr>
        <w:t> :</w:t>
      </w:r>
    </w:p>
    <w:p w14:paraId="2B62D42F" w14:textId="77777777" w:rsidR="00B921D9" w:rsidRPr="00E773DC" w:rsidRDefault="00B921D9" w:rsidP="00666BBC">
      <w:pPr>
        <w:pStyle w:val="SingleTxtG"/>
        <w:keepNext/>
        <w:ind w:left="2268" w:hanging="1134"/>
        <w:rPr>
          <w:b/>
          <w:bCs/>
          <w:lang w:val="fr-FR" w:eastAsia="de-DE"/>
        </w:rPr>
      </w:pPr>
      <w:r w:rsidRPr="00E773DC">
        <w:rPr>
          <w:lang w:val="fr-FR" w:eastAsia="de-DE"/>
        </w:rPr>
        <w:t>« </w:t>
      </w:r>
      <w:r w:rsidRPr="00E773DC">
        <w:rPr>
          <w:b/>
          <w:bCs/>
          <w:lang w:val="fr-FR" w:eastAsia="de-DE"/>
        </w:rPr>
        <w:t>A</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Pr="00E773DC">
        <w:rPr>
          <w:b/>
          <w:bCs/>
          <w:lang w:val="fr-FR" w:eastAsia="de-DE"/>
        </w:rPr>
        <w:tab/>
        <w:t xml:space="preserve">Étalonnage et vérification </w:t>
      </w:r>
      <w:r>
        <w:rPr>
          <w:b/>
          <w:bCs/>
          <w:lang w:val="fr-FR" w:eastAsia="de-DE"/>
        </w:rPr>
        <w:t>du compteur de particules</w:t>
      </w:r>
    </w:p>
    <w:p w14:paraId="0972EC4A"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Pr="00E773DC">
        <w:rPr>
          <w:b/>
          <w:bCs/>
          <w:lang w:val="fr-FR" w:eastAsia="de-DE"/>
        </w:rPr>
        <w:tab/>
        <w:t>L</w:t>
      </w:r>
      <w:r>
        <w:rPr>
          <w:b/>
          <w:bCs/>
          <w:lang w:val="fr-FR" w:eastAsia="de-DE"/>
        </w:rPr>
        <w:t>’</w:t>
      </w:r>
      <w:r w:rsidRPr="00E773DC">
        <w:rPr>
          <w:b/>
          <w:bCs/>
          <w:lang w:val="fr-FR" w:eastAsia="de-DE"/>
        </w:rPr>
        <w:t>essai d</w:t>
      </w:r>
      <w:r>
        <w:rPr>
          <w:b/>
          <w:bCs/>
          <w:lang w:val="fr-FR" w:eastAsia="de-DE"/>
        </w:rPr>
        <w:t>’</w:t>
      </w:r>
      <w:r w:rsidRPr="00E773DC">
        <w:rPr>
          <w:b/>
          <w:bCs/>
          <w:lang w:val="fr-FR" w:eastAsia="de-DE"/>
        </w:rPr>
        <w:t xml:space="preserve">étanchéité du PEMS doit être effectué soit conformément aux </w:t>
      </w:r>
      <w:r>
        <w:rPr>
          <w:b/>
          <w:bCs/>
          <w:lang w:val="fr-FR" w:eastAsia="de-DE"/>
        </w:rPr>
        <w:t>prescriptions</w:t>
      </w:r>
      <w:r w:rsidRPr="00E773DC">
        <w:rPr>
          <w:b/>
          <w:bCs/>
          <w:lang w:val="fr-FR" w:eastAsia="de-DE"/>
        </w:rPr>
        <w:t xml:space="preserve"> énoncées au paragraphe</w:t>
      </w:r>
      <w:r w:rsidR="00E1466E">
        <w:rPr>
          <w:b/>
          <w:bCs/>
          <w:lang w:val="fr-FR" w:eastAsia="de-DE"/>
        </w:rPr>
        <w:t> </w:t>
      </w:r>
      <w:r w:rsidRPr="00E773DC">
        <w:rPr>
          <w:b/>
          <w:bCs/>
          <w:lang w:val="fr-FR" w:eastAsia="de-DE"/>
        </w:rPr>
        <w:t>9</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4 de l</w:t>
      </w:r>
      <w:r>
        <w:rPr>
          <w:b/>
          <w:bCs/>
          <w:lang w:val="fr-FR" w:eastAsia="de-DE"/>
        </w:rPr>
        <w:t>’</w:t>
      </w:r>
      <w:r w:rsidRPr="00E773DC">
        <w:rPr>
          <w:b/>
          <w:bCs/>
          <w:lang w:val="fr-FR" w:eastAsia="de-DE"/>
        </w:rPr>
        <w:t>annexe</w:t>
      </w:r>
      <w:r w:rsidR="00E1466E">
        <w:rPr>
          <w:b/>
          <w:bCs/>
          <w:lang w:val="fr-FR" w:eastAsia="de-DE"/>
        </w:rPr>
        <w:t> </w:t>
      </w:r>
      <w:r w:rsidRPr="00E773DC">
        <w:rPr>
          <w:b/>
          <w:bCs/>
          <w:lang w:val="fr-FR" w:eastAsia="de-DE"/>
        </w:rPr>
        <w:t>4, soit conformément aux instructions du fabricant de l</w:t>
      </w:r>
      <w:r>
        <w:rPr>
          <w:b/>
          <w:bCs/>
          <w:lang w:val="fr-FR" w:eastAsia="de-DE"/>
        </w:rPr>
        <w:t>’</w:t>
      </w:r>
      <w:r w:rsidRPr="00E773DC">
        <w:rPr>
          <w:b/>
          <w:bCs/>
          <w:lang w:val="fr-FR" w:eastAsia="de-DE"/>
        </w:rPr>
        <w:t>instrument</w:t>
      </w:r>
      <w:r w:rsidR="00F72B31" w:rsidRPr="00F72B31">
        <w:rPr>
          <w:b/>
          <w:bCs/>
          <w:lang w:val="fr-FR" w:eastAsia="de-DE"/>
        </w:rPr>
        <w:t>.</w:t>
      </w:r>
    </w:p>
    <w:p w14:paraId="18DF84DD" w14:textId="77777777" w:rsidR="00B921D9" w:rsidRPr="00E773DC" w:rsidRDefault="00B921D9" w:rsidP="00B921D9">
      <w:pPr>
        <w:pStyle w:val="SingleTxtG"/>
        <w:ind w:left="2268" w:hanging="1134"/>
        <w:rPr>
          <w:b/>
          <w:bCs/>
          <w:lang w:val="fr-FR" w:eastAsia="de-DE"/>
        </w:rPr>
      </w:pPr>
      <w:r w:rsidRPr="00E773DC">
        <w:rPr>
          <w:b/>
          <w:bCs/>
          <w:lang w:val="fr-FR" w:eastAsia="de-DE"/>
        </w:rPr>
        <w:t>A</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2</w:t>
      </w:r>
      <w:r w:rsidRPr="00E773DC">
        <w:rPr>
          <w:b/>
          <w:bCs/>
          <w:lang w:val="fr-FR" w:eastAsia="de-DE"/>
        </w:rPr>
        <w:tab/>
        <w:t xml:space="preserve">La vérification du temps de réponse </w:t>
      </w:r>
      <w:r>
        <w:rPr>
          <w:b/>
          <w:bCs/>
          <w:lang w:val="fr-FR" w:eastAsia="de-DE"/>
        </w:rPr>
        <w:t>du compteur de particules</w:t>
      </w:r>
      <w:r w:rsidRPr="00E773DC">
        <w:rPr>
          <w:b/>
          <w:bCs/>
          <w:lang w:val="fr-FR" w:eastAsia="de-DE"/>
        </w:rPr>
        <w:t xml:space="preserve"> est</w:t>
      </w:r>
      <w:r w:rsidRPr="00E773DC">
        <w:rPr>
          <w:b/>
          <w:bCs/>
          <w:lang w:val="fr-FR" w:eastAsia="de-DE"/>
        </w:rPr>
        <w:tab/>
        <w:t xml:space="preserve">effectuée conformément aux </w:t>
      </w:r>
      <w:r w:rsidRPr="009718DD">
        <w:rPr>
          <w:b/>
          <w:bCs/>
          <w:lang w:val="fr-FR" w:eastAsia="de-DE"/>
        </w:rPr>
        <w:t xml:space="preserve">prescriptions </w:t>
      </w:r>
      <w:r w:rsidRPr="00E773DC">
        <w:rPr>
          <w:b/>
          <w:bCs/>
          <w:lang w:val="fr-FR" w:eastAsia="de-DE"/>
        </w:rPr>
        <w:t>énoncées au paragraphe 9</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5 de l</w:t>
      </w:r>
      <w:r>
        <w:rPr>
          <w:b/>
          <w:bCs/>
          <w:lang w:val="fr-FR" w:eastAsia="de-DE"/>
        </w:rPr>
        <w:t>’</w:t>
      </w:r>
      <w:r w:rsidRPr="00E773DC">
        <w:rPr>
          <w:b/>
          <w:bCs/>
          <w:lang w:val="fr-FR" w:eastAsia="de-DE"/>
        </w:rPr>
        <w:t>annexe 4</w:t>
      </w:r>
      <w:r w:rsidR="00E1466E">
        <w:rPr>
          <w:b/>
          <w:bCs/>
          <w:lang w:val="fr-FR" w:eastAsia="de-DE"/>
        </w:rPr>
        <w:t>,</w:t>
      </w:r>
      <w:r w:rsidRPr="00E773DC">
        <w:rPr>
          <w:b/>
          <w:bCs/>
          <w:lang w:val="fr-FR" w:eastAsia="de-DE"/>
        </w:rPr>
        <w:t xml:space="preserve"> en utilisant des particules si les gaz ne peuvent pas être utilisés</w:t>
      </w:r>
      <w:r w:rsidR="00F72B31" w:rsidRPr="00F72B31">
        <w:rPr>
          <w:b/>
          <w:bCs/>
          <w:lang w:val="fr-FR" w:eastAsia="de-DE"/>
        </w:rPr>
        <w:t>.</w:t>
      </w:r>
    </w:p>
    <w:p w14:paraId="51F8CBAE" w14:textId="77777777" w:rsidR="00B921D9" w:rsidRPr="00E773DC" w:rsidRDefault="00B921D9" w:rsidP="00B921D9">
      <w:pPr>
        <w:pStyle w:val="SingleTxtG"/>
        <w:ind w:left="2268" w:hanging="1134"/>
        <w:rPr>
          <w:lang w:val="fr-FR" w:eastAsia="de-DE"/>
        </w:rPr>
      </w:pPr>
      <w:r w:rsidRPr="00E773DC">
        <w:rPr>
          <w:b/>
          <w:bCs/>
          <w:lang w:val="fr-FR" w:eastAsia="de-DE"/>
        </w:rPr>
        <w:t>A</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3</w:t>
      </w:r>
      <w:r w:rsidRPr="00E773DC">
        <w:rPr>
          <w:b/>
          <w:bCs/>
          <w:lang w:val="fr-FR" w:eastAsia="de-DE"/>
        </w:rPr>
        <w:tab/>
        <w:t xml:space="preserve">Le temps de transformation du </w:t>
      </w:r>
      <w:r>
        <w:rPr>
          <w:b/>
          <w:bCs/>
          <w:lang w:val="fr-FR" w:eastAsia="de-DE"/>
        </w:rPr>
        <w:t xml:space="preserve">compteur </w:t>
      </w:r>
      <w:r w:rsidRPr="00E773DC">
        <w:rPr>
          <w:b/>
          <w:bCs/>
          <w:lang w:val="fr-FR" w:eastAsia="de-DE"/>
        </w:rPr>
        <w:t xml:space="preserve">de particules et de sa </w:t>
      </w:r>
      <w:r>
        <w:rPr>
          <w:b/>
          <w:bCs/>
          <w:lang w:val="fr-FR" w:eastAsia="de-DE"/>
        </w:rPr>
        <w:t>conduite</w:t>
      </w:r>
      <w:r w:rsidRPr="00E773DC">
        <w:rPr>
          <w:b/>
          <w:bCs/>
          <w:lang w:val="fr-FR" w:eastAsia="de-DE"/>
        </w:rPr>
        <w:t xml:space="preserve"> de prélèvement est déterminé conformément au paragraphe A</w:t>
      </w:r>
      <w:r w:rsidR="00F72B31" w:rsidRPr="00F72B31">
        <w:rPr>
          <w:b/>
          <w:bCs/>
          <w:lang w:val="fr-FR" w:eastAsia="de-DE"/>
        </w:rPr>
        <w:t>.</w:t>
      </w:r>
      <w:r w:rsidRPr="00E773DC">
        <w:rPr>
          <w:b/>
          <w:bCs/>
          <w:lang w:val="fr-FR" w:eastAsia="de-DE"/>
        </w:rPr>
        <w:t>8</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3</w:t>
      </w:r>
      <w:r w:rsidR="00F72B31" w:rsidRPr="00F72B31">
        <w:rPr>
          <w:b/>
          <w:bCs/>
          <w:lang w:val="fr-FR" w:eastAsia="de-DE"/>
        </w:rPr>
        <w:t>.</w:t>
      </w:r>
      <w:r w:rsidRPr="00E773DC">
        <w:rPr>
          <w:b/>
          <w:bCs/>
          <w:lang w:val="fr-FR" w:eastAsia="de-DE"/>
        </w:rPr>
        <w:t>7 de l</w:t>
      </w:r>
      <w:r>
        <w:rPr>
          <w:b/>
          <w:bCs/>
          <w:lang w:val="fr-FR" w:eastAsia="de-DE"/>
        </w:rPr>
        <w:t>’</w:t>
      </w:r>
      <w:r w:rsidRPr="00E773DC">
        <w:rPr>
          <w:b/>
          <w:bCs/>
          <w:lang w:val="fr-FR" w:eastAsia="de-DE"/>
        </w:rPr>
        <w:t>appendice 8 de l</w:t>
      </w:r>
      <w:r>
        <w:rPr>
          <w:b/>
          <w:bCs/>
          <w:lang w:val="fr-FR" w:eastAsia="de-DE"/>
        </w:rPr>
        <w:t>’</w:t>
      </w:r>
      <w:r w:rsidRPr="00E773DC">
        <w:rPr>
          <w:b/>
          <w:bCs/>
          <w:lang w:val="fr-FR" w:eastAsia="de-DE"/>
        </w:rPr>
        <w:t>annexe 4</w:t>
      </w:r>
      <w:r w:rsidR="00F72B31" w:rsidRPr="00F72B31">
        <w:rPr>
          <w:b/>
          <w:bCs/>
          <w:lang w:val="fr-FR" w:eastAsia="de-DE"/>
        </w:rPr>
        <w:t>.</w:t>
      </w:r>
      <w:r w:rsidRPr="00E773DC">
        <w:rPr>
          <w:b/>
          <w:bCs/>
          <w:lang w:val="fr-FR" w:eastAsia="de-DE"/>
        </w:rPr>
        <w:t xml:space="preserve"> Par </w:t>
      </w:r>
      <w:r w:rsidR="00E1466E" w:rsidRPr="00E1466E">
        <w:rPr>
          <w:b/>
          <w:bCs/>
          <w:lang w:eastAsia="de-DE"/>
        </w:rPr>
        <w:t>“</w:t>
      </w:r>
      <w:r w:rsidRPr="00E773DC">
        <w:rPr>
          <w:b/>
          <w:bCs/>
          <w:lang w:val="fr-FR" w:eastAsia="de-DE"/>
        </w:rPr>
        <w:t>temps de transformation</w:t>
      </w:r>
      <w:r w:rsidR="00E1466E" w:rsidRPr="00E1466E">
        <w:rPr>
          <w:b/>
          <w:bCs/>
          <w:lang w:eastAsia="de-DE"/>
        </w:rPr>
        <w:t>”</w:t>
      </w:r>
      <w:r w:rsidRPr="00E773DC">
        <w:rPr>
          <w:b/>
          <w:bCs/>
          <w:lang w:val="fr-FR" w:eastAsia="de-DE"/>
        </w:rPr>
        <w:t xml:space="preserve">, on entend la différence de temps entre un changement de concentration au point de référence et une </w:t>
      </w:r>
      <w:r>
        <w:rPr>
          <w:b/>
          <w:bCs/>
          <w:lang w:val="fr-FR" w:eastAsia="de-DE"/>
        </w:rPr>
        <w:t>réaction</w:t>
      </w:r>
      <w:r w:rsidRPr="00E773DC">
        <w:rPr>
          <w:b/>
          <w:bCs/>
          <w:lang w:val="fr-FR" w:eastAsia="de-DE"/>
        </w:rPr>
        <w:t xml:space="preserve"> du système de 50</w:t>
      </w:r>
      <w:r>
        <w:rPr>
          <w:b/>
          <w:bCs/>
          <w:lang w:val="fr-FR" w:eastAsia="de-DE"/>
        </w:rPr>
        <w:t> </w:t>
      </w:r>
      <w:r w:rsidRPr="00E773DC">
        <w:rPr>
          <w:b/>
          <w:bCs/>
          <w:lang w:val="fr-FR" w:eastAsia="de-DE"/>
        </w:rPr>
        <w:t xml:space="preserve">% de </w:t>
      </w:r>
      <w:r>
        <w:rPr>
          <w:b/>
          <w:bCs/>
          <w:lang w:val="fr-FR" w:eastAsia="de-DE"/>
        </w:rPr>
        <w:t xml:space="preserve">l’affichage </w:t>
      </w:r>
      <w:r w:rsidRPr="00E773DC">
        <w:rPr>
          <w:b/>
          <w:bCs/>
          <w:lang w:val="fr-FR" w:eastAsia="de-DE"/>
        </w:rPr>
        <w:t>final</w:t>
      </w:r>
      <w:r w:rsidR="00F72B31" w:rsidRPr="00F72B31">
        <w:rPr>
          <w:b/>
          <w:bCs/>
          <w:lang w:val="fr-FR" w:eastAsia="de-DE"/>
        </w:rPr>
        <w:t>.</w:t>
      </w:r>
      <w:r w:rsidRPr="00E773DC">
        <w:rPr>
          <w:lang w:val="fr-FR" w:eastAsia="de-DE"/>
        </w:rPr>
        <w:t> »</w:t>
      </w:r>
      <w:r w:rsidR="00F72B31" w:rsidRPr="00F72B31">
        <w:rPr>
          <w:lang w:val="fr-FR" w:eastAsia="de-DE"/>
        </w:rPr>
        <w:t>.</w:t>
      </w:r>
    </w:p>
    <w:p w14:paraId="50AAB14B" w14:textId="77777777" w:rsidR="00B921D9" w:rsidRPr="00E773DC" w:rsidRDefault="00B921D9" w:rsidP="00B921D9">
      <w:pPr>
        <w:pStyle w:val="SingleTxtG"/>
        <w:ind w:left="2268" w:hanging="1134"/>
        <w:rPr>
          <w:i/>
          <w:iCs/>
          <w:lang w:val="fr-FR" w:eastAsia="de-DE"/>
        </w:rPr>
      </w:pPr>
      <w:r w:rsidRPr="00E773DC">
        <w:rPr>
          <w:i/>
          <w:iCs/>
          <w:lang w:val="fr-FR" w:eastAsia="de-DE"/>
        </w:rPr>
        <w:t>Annexe 9A</w:t>
      </w:r>
    </w:p>
    <w:p w14:paraId="3F607758" w14:textId="77777777" w:rsidR="00B921D9" w:rsidRPr="00E773DC" w:rsidRDefault="00B921D9" w:rsidP="00B921D9">
      <w:pPr>
        <w:pStyle w:val="SingleTxtG"/>
        <w:ind w:left="2268" w:hanging="1134"/>
        <w:rPr>
          <w:i/>
          <w:iCs/>
          <w:lang w:val="fr-FR" w:eastAsia="de-DE"/>
        </w:rPr>
      </w:pPr>
      <w:r w:rsidRPr="00E773DC">
        <w:rPr>
          <w:i/>
          <w:iCs/>
          <w:lang w:val="fr-FR" w:eastAsia="de-DE"/>
        </w:rPr>
        <w:t>Paragraphe 2</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1</w:t>
      </w:r>
      <w:r w:rsidRPr="00E1466E">
        <w:rPr>
          <w:lang w:val="fr-FR" w:eastAsia="de-DE"/>
        </w:rPr>
        <w:t>,</w:t>
      </w:r>
      <w:r w:rsidRPr="00E773DC">
        <w:rPr>
          <w:i/>
          <w:iCs/>
          <w:lang w:val="fr-FR" w:eastAsia="de-DE"/>
        </w:rPr>
        <w:t xml:space="preserve"> </w:t>
      </w:r>
      <w:r w:rsidRPr="00E773DC">
        <w:rPr>
          <w:lang w:val="fr-FR" w:eastAsia="de-DE"/>
        </w:rPr>
        <w:t>lire :</w:t>
      </w:r>
    </w:p>
    <w:p w14:paraId="72CF306D" w14:textId="77777777" w:rsidR="00B921D9" w:rsidRDefault="00B921D9" w:rsidP="00B921D9">
      <w:pPr>
        <w:pStyle w:val="SingleTxtG"/>
        <w:ind w:left="2268" w:hanging="1134"/>
        <w:rPr>
          <w:lang w:val="fr-FR" w:eastAsia="de-DE"/>
        </w:rPr>
      </w:pPr>
      <w:r w:rsidRPr="00E773DC">
        <w:rPr>
          <w:lang w:val="fr-FR" w:eastAsia="de-DE"/>
        </w:rPr>
        <w:t>« 2</w:t>
      </w:r>
      <w:r w:rsidR="00F72B31" w:rsidRPr="00F72B31">
        <w:rPr>
          <w:lang w:val="fr-FR" w:eastAsia="de-DE"/>
        </w:rPr>
        <w:t>.</w:t>
      </w:r>
      <w:r w:rsidRPr="00E773DC">
        <w:rPr>
          <w:lang w:val="fr-FR" w:eastAsia="de-DE"/>
        </w:rPr>
        <w:t>4</w:t>
      </w:r>
      <w:r w:rsidR="00F72B31" w:rsidRPr="00F72B31">
        <w:rPr>
          <w:lang w:val="fr-FR" w:eastAsia="de-DE"/>
        </w:rPr>
        <w:t>.</w:t>
      </w:r>
      <w:r w:rsidRPr="00E773DC">
        <w:rPr>
          <w:lang w:val="fr-FR" w:eastAsia="de-DE"/>
        </w:rPr>
        <w:t>1</w:t>
      </w:r>
      <w:r w:rsidRPr="00E773DC">
        <w:rPr>
          <w:lang w:val="fr-FR" w:eastAsia="de-DE"/>
        </w:rPr>
        <w:tab/>
      </w:r>
      <w:r w:rsidRPr="00E12B2B">
        <w:rPr>
          <w:lang w:val="fr-FR" w:eastAsia="de-DE"/>
        </w:rPr>
        <w:t>À la demande du constructeur, pour les véhicules des catégories M</w:t>
      </w:r>
      <w:r w:rsidRPr="00E12B2B">
        <w:rPr>
          <w:vertAlign w:val="subscript"/>
          <w:lang w:val="fr-FR" w:eastAsia="de-DE"/>
        </w:rPr>
        <w:t>2</w:t>
      </w:r>
      <w:r w:rsidRPr="00E12B2B">
        <w:rPr>
          <w:lang w:val="fr-FR" w:eastAsia="de-DE"/>
        </w:rPr>
        <w:t xml:space="preserve"> et N</w:t>
      </w:r>
      <w:r w:rsidRPr="00E12B2B">
        <w:rPr>
          <w:vertAlign w:val="subscript"/>
          <w:lang w:val="fr-FR" w:eastAsia="de-DE"/>
        </w:rPr>
        <w:t>1</w:t>
      </w:r>
      <w:r w:rsidRPr="00E12B2B">
        <w:rPr>
          <w:lang w:val="fr-FR" w:eastAsia="de-DE"/>
        </w:rPr>
        <w:t>, pour les véhicules des catégories M</w:t>
      </w:r>
      <w:r w:rsidRPr="00E12B2B">
        <w:rPr>
          <w:vertAlign w:val="subscript"/>
          <w:lang w:val="fr-FR" w:eastAsia="de-DE"/>
        </w:rPr>
        <w:t>1</w:t>
      </w:r>
      <w:r w:rsidRPr="00E12B2B">
        <w:rPr>
          <w:lang w:val="fr-FR" w:eastAsia="de-DE"/>
        </w:rPr>
        <w:t xml:space="preserve"> et N</w:t>
      </w:r>
      <w:r w:rsidRPr="00E12B2B">
        <w:rPr>
          <w:vertAlign w:val="subscript"/>
          <w:lang w:val="fr-FR" w:eastAsia="de-DE"/>
        </w:rPr>
        <w:t>2</w:t>
      </w:r>
      <w:r w:rsidRPr="00E12B2B">
        <w:rPr>
          <w:lang w:val="fr-FR" w:eastAsia="de-DE"/>
        </w:rPr>
        <w:t xml:space="preserve"> ayant un poids maximal admissible ne dépassant pas 7,5 t, et pour les véhicules de la catégorie M</w:t>
      </w:r>
      <w:r w:rsidRPr="00E12B2B">
        <w:rPr>
          <w:vertAlign w:val="subscript"/>
          <w:lang w:val="fr-FR" w:eastAsia="de-DE"/>
        </w:rPr>
        <w:t>3</w:t>
      </w:r>
      <w:r w:rsidRPr="00E12B2B">
        <w:rPr>
          <w:lang w:val="fr-FR" w:eastAsia="de-DE"/>
        </w:rPr>
        <w:t>, classe I, classe II et classes A et B1</w:t>
      </w:r>
      <w:r>
        <w:rPr>
          <w:rStyle w:val="Appelnotedebasdep"/>
          <w:lang w:val="fr-FR" w:eastAsia="de-DE"/>
        </w:rPr>
        <w:footnoteReference w:customMarkFollows="1" w:id="4"/>
        <w:t>†</w:t>
      </w:r>
      <w:r w:rsidRPr="00E12B2B">
        <w:rPr>
          <w:lang w:val="fr-FR" w:eastAsia="de-DE"/>
        </w:rPr>
        <w:t xml:space="preserve"> ayant un poids maximal admissible ne dépassant pas 7,5 t, le respect des prescriptions de l</w:t>
      </w:r>
      <w:r>
        <w:rPr>
          <w:lang w:val="fr-FR" w:eastAsia="de-DE"/>
        </w:rPr>
        <w:t>’</w:t>
      </w:r>
      <w:r w:rsidRPr="00E12B2B">
        <w:rPr>
          <w:lang w:val="fr-FR" w:eastAsia="de-DE"/>
        </w:rPr>
        <w:t>annexe 11 de la série 07 d</w:t>
      </w:r>
      <w:r>
        <w:rPr>
          <w:lang w:val="fr-FR" w:eastAsia="de-DE"/>
        </w:rPr>
        <w:t>’</w:t>
      </w:r>
      <w:r w:rsidRPr="00E12B2B">
        <w:rPr>
          <w:lang w:val="fr-FR" w:eastAsia="de-DE"/>
        </w:rPr>
        <w:t xml:space="preserve">amendements au </w:t>
      </w:r>
      <w:bookmarkStart w:id="37" w:name="_Hlk56011618"/>
      <w:r w:rsidRPr="00E12B2B">
        <w:rPr>
          <w:lang w:val="fr-FR" w:eastAsia="de-DE"/>
        </w:rPr>
        <w:t xml:space="preserve">Règlement </w:t>
      </w:r>
      <w:r>
        <w:rPr>
          <w:lang w:val="fr-FR" w:eastAsia="de-DE"/>
        </w:rPr>
        <w:t xml:space="preserve">ONU </w:t>
      </w:r>
      <w:r w:rsidRPr="00E12B2B">
        <w:rPr>
          <w:lang w:val="fr-FR" w:eastAsia="de-DE"/>
        </w:rPr>
        <w:t>n</w:t>
      </w:r>
      <w:r w:rsidRPr="00E12B2B">
        <w:rPr>
          <w:vertAlign w:val="superscript"/>
          <w:lang w:val="fr-FR" w:eastAsia="de-DE"/>
        </w:rPr>
        <w:t>o</w:t>
      </w:r>
      <w:r>
        <w:rPr>
          <w:lang w:val="fr-FR" w:eastAsia="de-DE"/>
        </w:rPr>
        <w:t> </w:t>
      </w:r>
      <w:bookmarkEnd w:id="37"/>
      <w:r w:rsidRPr="00E12B2B">
        <w:rPr>
          <w:lang w:val="fr-FR" w:eastAsia="de-DE"/>
        </w:rPr>
        <w:t xml:space="preserve">83 </w:t>
      </w:r>
      <w:r w:rsidRPr="00531FA3">
        <w:rPr>
          <w:b/>
          <w:bCs/>
          <w:lang w:val="fr-FR" w:eastAsia="de-DE"/>
        </w:rPr>
        <w:t>ou de l</w:t>
      </w:r>
      <w:r>
        <w:rPr>
          <w:b/>
          <w:bCs/>
          <w:lang w:val="fr-FR" w:eastAsia="de-DE"/>
        </w:rPr>
        <w:t>’</w:t>
      </w:r>
      <w:r w:rsidRPr="00531FA3">
        <w:rPr>
          <w:b/>
          <w:bCs/>
          <w:lang w:val="fr-FR" w:eastAsia="de-DE"/>
        </w:rPr>
        <w:t>annexe C5 du Règlement ONU n</w:t>
      </w:r>
      <w:r w:rsidRPr="00531FA3">
        <w:rPr>
          <w:b/>
          <w:bCs/>
          <w:vertAlign w:val="superscript"/>
          <w:lang w:val="fr-FR" w:eastAsia="de-DE"/>
        </w:rPr>
        <w:t>o</w:t>
      </w:r>
      <w:r w:rsidRPr="00531FA3">
        <w:rPr>
          <w:b/>
          <w:bCs/>
          <w:lang w:val="fr-FR" w:eastAsia="de-DE"/>
        </w:rPr>
        <w:t> [154]</w:t>
      </w:r>
      <w:r w:rsidRPr="00E12B2B">
        <w:rPr>
          <w:lang w:val="fr-FR" w:eastAsia="de-DE"/>
        </w:rPr>
        <w:t xml:space="preserve"> est considéré comme équivalent au respect des dispositions de la présente annexe, selon les équivalences suivantes</w:t>
      </w:r>
      <w:r>
        <w:rPr>
          <w:lang w:val="fr-FR" w:eastAsia="de-DE"/>
        </w:rPr>
        <w:t> :</w:t>
      </w:r>
    </w:p>
    <w:p w14:paraId="1181AE0D" w14:textId="77777777" w:rsidR="00B921D9" w:rsidRDefault="00B921D9" w:rsidP="00B921D9">
      <w:pPr>
        <w:pStyle w:val="SingleTxtG"/>
        <w:ind w:left="2268"/>
        <w:rPr>
          <w:lang w:val="fr-FR" w:eastAsia="de-DE"/>
        </w:rPr>
      </w:pPr>
      <w:r w:rsidRPr="00E1466E">
        <w:rPr>
          <w:lang w:val="fr-FR" w:eastAsia="de-DE"/>
        </w:rPr>
        <w:t>…  »</w:t>
      </w:r>
      <w:r w:rsidR="00F72B31" w:rsidRPr="00F72B31">
        <w:rPr>
          <w:lang w:val="fr-FR" w:eastAsia="de-DE"/>
        </w:rPr>
        <w:t>.</w:t>
      </w:r>
    </w:p>
    <w:p w14:paraId="36FEE44B" w14:textId="77777777" w:rsidR="00B921D9" w:rsidRPr="00E773DC" w:rsidRDefault="00B921D9" w:rsidP="00B921D9">
      <w:pPr>
        <w:pStyle w:val="SingleTxtG"/>
        <w:ind w:left="2268" w:hanging="1134"/>
        <w:rPr>
          <w:lang w:val="fr-FR" w:eastAsia="de-DE"/>
        </w:rPr>
      </w:pPr>
      <w:r w:rsidRPr="00E773DC">
        <w:rPr>
          <w:i/>
          <w:iCs/>
          <w:lang w:val="fr-FR" w:eastAsia="de-DE"/>
        </w:rPr>
        <w:t>Ajouter un nouveau paragraphe 2</w:t>
      </w:r>
      <w:r w:rsidR="00F72B31" w:rsidRPr="00F72B31">
        <w:rPr>
          <w:i/>
          <w:iCs/>
          <w:lang w:val="fr-FR" w:eastAsia="de-DE"/>
        </w:rPr>
        <w:t>.</w:t>
      </w:r>
      <w:r w:rsidRPr="00E773DC">
        <w:rPr>
          <w:i/>
          <w:iCs/>
          <w:lang w:val="fr-FR" w:eastAsia="de-DE"/>
        </w:rPr>
        <w:t>4</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4</w:t>
      </w:r>
      <w:r w:rsidRPr="008F66F8">
        <w:rPr>
          <w:lang w:val="fr-FR" w:eastAsia="de-DE"/>
        </w:rPr>
        <w:t>,</w:t>
      </w:r>
      <w:r w:rsidRPr="00E773DC">
        <w:rPr>
          <w:i/>
          <w:iCs/>
          <w:lang w:val="fr-FR" w:eastAsia="de-DE"/>
        </w:rPr>
        <w:t xml:space="preserve"> </w:t>
      </w:r>
      <w:r w:rsidRPr="00E773DC">
        <w:rPr>
          <w:lang w:val="fr-FR" w:eastAsia="de-DE"/>
        </w:rPr>
        <w:t>libellé comme suit :</w:t>
      </w:r>
    </w:p>
    <w:p w14:paraId="6B88D43B" w14:textId="77777777" w:rsidR="00B921D9" w:rsidRPr="00E773DC" w:rsidRDefault="00B921D9" w:rsidP="00B921D9">
      <w:pPr>
        <w:pStyle w:val="SingleTxtG"/>
        <w:ind w:left="2268" w:hanging="1134"/>
        <w:rPr>
          <w:lang w:val="fr-FR" w:eastAsia="de-DE"/>
        </w:rPr>
      </w:pPr>
      <w:r w:rsidRPr="00E773DC">
        <w:rPr>
          <w:b/>
          <w:bCs/>
          <w:lang w:val="fr-FR" w:eastAsia="de-DE"/>
        </w:rPr>
        <w:t>« 2</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4</w:t>
      </w:r>
      <w:r w:rsidRPr="00E773DC">
        <w:rPr>
          <w:b/>
          <w:bCs/>
          <w:lang w:val="fr-FR" w:eastAsia="de-DE"/>
        </w:rPr>
        <w:tab/>
        <w:t>L</w:t>
      </w:r>
      <w:r>
        <w:rPr>
          <w:b/>
          <w:bCs/>
          <w:lang w:val="fr-FR" w:eastAsia="de-DE"/>
        </w:rPr>
        <w:t>a norme OBD définie par les</w:t>
      </w:r>
      <w:r w:rsidRPr="00E773DC">
        <w:rPr>
          <w:b/>
          <w:bCs/>
          <w:lang w:val="fr-FR" w:eastAsia="de-DE"/>
        </w:rPr>
        <w:t xml:space="preserve"> </w:t>
      </w:r>
      <w:r>
        <w:rPr>
          <w:b/>
          <w:bCs/>
          <w:lang w:val="fr-FR" w:eastAsia="de-DE"/>
        </w:rPr>
        <w:t>« </w:t>
      </w:r>
      <w:r w:rsidRPr="004F4325">
        <w:rPr>
          <w:b/>
          <w:bCs/>
          <w:lang w:val="fr-FR" w:eastAsia="de-DE"/>
        </w:rPr>
        <w:t>valeurs limites OBD finales</w:t>
      </w:r>
      <w:r>
        <w:rPr>
          <w:b/>
          <w:bCs/>
          <w:lang w:val="fr-FR" w:eastAsia="de-DE"/>
        </w:rPr>
        <w:t> »</w:t>
      </w:r>
      <w:r w:rsidRPr="00E773DC">
        <w:rPr>
          <w:b/>
          <w:bCs/>
          <w:lang w:val="fr-FR" w:eastAsia="de-DE"/>
        </w:rPr>
        <w:t xml:space="preserve"> du tableau</w:t>
      </w:r>
      <w:r>
        <w:rPr>
          <w:b/>
          <w:bCs/>
          <w:lang w:val="fr-FR" w:eastAsia="de-DE"/>
        </w:rPr>
        <w:t> </w:t>
      </w:r>
      <w:r w:rsidRPr="00E773DC">
        <w:rPr>
          <w:b/>
          <w:bCs/>
          <w:lang w:val="fr-FR" w:eastAsia="de-DE"/>
        </w:rPr>
        <w:t xml:space="preserve">4A du </w:t>
      </w:r>
      <w:r>
        <w:rPr>
          <w:b/>
          <w:bCs/>
          <w:lang w:val="fr-FR" w:eastAsia="de-DE"/>
        </w:rPr>
        <w:t>R</w:t>
      </w:r>
      <w:r w:rsidRPr="00E773DC">
        <w:rPr>
          <w:b/>
          <w:bCs/>
          <w:lang w:val="fr-FR" w:eastAsia="de-DE"/>
        </w:rPr>
        <w:t xml:space="preserve">èglement </w:t>
      </w:r>
      <w:r>
        <w:rPr>
          <w:b/>
          <w:bCs/>
          <w:lang w:val="fr-FR" w:eastAsia="de-DE"/>
        </w:rPr>
        <w:t xml:space="preserve">ONU </w:t>
      </w:r>
      <w:r w:rsidRPr="00E773DC">
        <w:rPr>
          <w:b/>
          <w:bCs/>
          <w:lang w:val="fr-FR" w:eastAsia="de-DE"/>
        </w:rPr>
        <w:t>n</w:t>
      </w:r>
      <w:r w:rsidRPr="00E520F3">
        <w:rPr>
          <w:b/>
          <w:bCs/>
          <w:vertAlign w:val="superscript"/>
          <w:lang w:val="fr-FR" w:eastAsia="de-DE"/>
        </w:rPr>
        <w:t>o</w:t>
      </w:r>
      <w:r>
        <w:rPr>
          <w:b/>
          <w:bCs/>
          <w:lang w:val="fr-FR" w:eastAsia="de-DE"/>
        </w:rPr>
        <w:t> </w:t>
      </w:r>
      <w:r w:rsidRPr="00E773DC">
        <w:rPr>
          <w:b/>
          <w:bCs/>
          <w:lang w:val="fr-FR" w:eastAsia="de-DE"/>
        </w:rPr>
        <w:t xml:space="preserve">[154] est considérée comme équivalente </w:t>
      </w:r>
      <w:r>
        <w:rPr>
          <w:b/>
          <w:bCs/>
          <w:lang w:val="fr-FR" w:eastAsia="de-DE"/>
        </w:rPr>
        <w:t>à la lettre </w:t>
      </w:r>
      <w:r w:rsidRPr="00E773DC">
        <w:rPr>
          <w:b/>
          <w:bCs/>
          <w:lang w:val="fr-FR" w:eastAsia="de-DE"/>
        </w:rPr>
        <w:t>E du tableau</w:t>
      </w:r>
      <w:r w:rsidR="00E1466E">
        <w:rPr>
          <w:b/>
          <w:bCs/>
          <w:lang w:val="fr-FR" w:eastAsia="de-DE"/>
        </w:rPr>
        <w:t> </w:t>
      </w:r>
      <w:r w:rsidRPr="00E773DC">
        <w:rPr>
          <w:b/>
          <w:bCs/>
          <w:lang w:val="fr-FR" w:eastAsia="de-DE"/>
        </w:rPr>
        <w:t>1 de l</w:t>
      </w:r>
      <w:r>
        <w:rPr>
          <w:b/>
          <w:bCs/>
          <w:lang w:val="fr-FR" w:eastAsia="de-DE"/>
        </w:rPr>
        <w:t>’</w:t>
      </w:r>
      <w:r w:rsidRPr="00E773DC">
        <w:rPr>
          <w:b/>
          <w:bCs/>
          <w:lang w:val="fr-FR" w:eastAsia="de-DE"/>
        </w:rPr>
        <w:t>annexe</w:t>
      </w:r>
      <w:r w:rsidR="00E1466E">
        <w:rPr>
          <w:b/>
          <w:bCs/>
          <w:lang w:val="fr-FR" w:eastAsia="de-DE"/>
        </w:rPr>
        <w:t> </w:t>
      </w:r>
      <w:r w:rsidRPr="00E773DC">
        <w:rPr>
          <w:b/>
          <w:bCs/>
          <w:lang w:val="fr-FR" w:eastAsia="de-DE"/>
        </w:rPr>
        <w:t>3 du présent Règlement</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7B42C41B" w14:textId="77777777" w:rsidR="00B921D9" w:rsidRPr="00E773DC" w:rsidRDefault="00B921D9" w:rsidP="00B921D9">
      <w:pPr>
        <w:pStyle w:val="SingleTxtG"/>
        <w:keepNext/>
        <w:rPr>
          <w:i/>
          <w:iCs/>
          <w:lang w:val="fr-FR" w:eastAsia="de-DE"/>
        </w:rPr>
      </w:pPr>
      <w:r w:rsidRPr="008F66F8">
        <w:rPr>
          <w:i/>
          <w:iCs/>
          <w:spacing w:val="-3"/>
          <w:lang w:val="fr-FR" w:eastAsia="de-DE"/>
        </w:rPr>
        <w:t>Ajouter un nouveau paragraphe 2</w:t>
      </w:r>
      <w:r w:rsidR="00F72B31" w:rsidRPr="00F72B31">
        <w:rPr>
          <w:i/>
          <w:iCs/>
          <w:spacing w:val="-3"/>
          <w:lang w:val="fr-FR" w:eastAsia="de-DE"/>
        </w:rPr>
        <w:t>.</w:t>
      </w:r>
      <w:r w:rsidRPr="008F66F8">
        <w:rPr>
          <w:i/>
          <w:iCs/>
          <w:spacing w:val="-3"/>
          <w:lang w:val="fr-FR" w:eastAsia="de-DE"/>
        </w:rPr>
        <w:t>4</w:t>
      </w:r>
      <w:r w:rsidR="00F72B31" w:rsidRPr="00F72B31">
        <w:rPr>
          <w:i/>
          <w:iCs/>
          <w:spacing w:val="-3"/>
          <w:lang w:val="fr-FR" w:eastAsia="de-DE"/>
        </w:rPr>
        <w:t>.</w:t>
      </w:r>
      <w:r w:rsidRPr="008F66F8">
        <w:rPr>
          <w:i/>
          <w:iCs/>
          <w:spacing w:val="-3"/>
          <w:lang w:val="fr-FR" w:eastAsia="de-DE"/>
        </w:rPr>
        <w:t>1</w:t>
      </w:r>
      <w:r w:rsidR="00F72B31" w:rsidRPr="00F72B31">
        <w:rPr>
          <w:i/>
          <w:iCs/>
          <w:spacing w:val="-3"/>
          <w:lang w:val="fr-FR" w:eastAsia="de-DE"/>
        </w:rPr>
        <w:t>.</w:t>
      </w:r>
      <w:r w:rsidRPr="008F66F8">
        <w:rPr>
          <w:i/>
          <w:iCs/>
          <w:spacing w:val="-3"/>
          <w:lang w:val="fr-FR" w:eastAsia="de-DE"/>
        </w:rPr>
        <w:t>5 et renuméroter et modifier les paragraphes</w:t>
      </w:r>
      <w:r w:rsidR="00E1466E" w:rsidRPr="008F66F8">
        <w:rPr>
          <w:i/>
          <w:iCs/>
          <w:spacing w:val="-3"/>
          <w:lang w:val="fr-FR" w:eastAsia="de-DE"/>
        </w:rPr>
        <w:t> </w:t>
      </w:r>
      <w:r w:rsidRPr="008F66F8">
        <w:rPr>
          <w:i/>
          <w:iCs/>
          <w:spacing w:val="-3"/>
          <w:lang w:val="fr-FR" w:eastAsia="de-DE"/>
        </w:rPr>
        <w:t>2</w:t>
      </w:r>
      <w:r w:rsidR="00F72B31" w:rsidRPr="00F72B31">
        <w:rPr>
          <w:i/>
          <w:iCs/>
          <w:spacing w:val="-3"/>
          <w:lang w:val="fr-FR" w:eastAsia="de-DE"/>
        </w:rPr>
        <w:t>.</w:t>
      </w:r>
      <w:r w:rsidRPr="008F66F8">
        <w:rPr>
          <w:i/>
          <w:iCs/>
          <w:spacing w:val="-3"/>
          <w:lang w:val="fr-FR" w:eastAsia="de-DE"/>
        </w:rPr>
        <w:t>4</w:t>
      </w:r>
      <w:r w:rsidR="00F72B31" w:rsidRPr="00F72B31">
        <w:rPr>
          <w:i/>
          <w:iCs/>
          <w:spacing w:val="-3"/>
          <w:lang w:val="fr-FR" w:eastAsia="de-DE"/>
        </w:rPr>
        <w:t>.</w:t>
      </w:r>
      <w:r w:rsidRPr="008F66F8">
        <w:rPr>
          <w:i/>
          <w:iCs/>
          <w:spacing w:val="-3"/>
          <w:lang w:val="fr-FR" w:eastAsia="de-DE"/>
        </w:rPr>
        <w:t>1</w:t>
      </w:r>
      <w:r w:rsidR="00F72B31" w:rsidRPr="00F72B31">
        <w:rPr>
          <w:i/>
          <w:iCs/>
          <w:spacing w:val="-3"/>
          <w:lang w:val="fr-FR" w:eastAsia="de-DE"/>
        </w:rPr>
        <w:t>.</w:t>
      </w:r>
      <w:r w:rsidRPr="008F66F8">
        <w:rPr>
          <w:i/>
          <w:iCs/>
          <w:spacing w:val="-3"/>
          <w:lang w:val="fr-FR" w:eastAsia="de-DE"/>
        </w:rPr>
        <w:t>3</w:t>
      </w:r>
      <w:r w:rsidR="00F72B31" w:rsidRPr="00F72B31">
        <w:rPr>
          <w:i/>
          <w:iCs/>
          <w:spacing w:val="-3"/>
          <w:lang w:val="fr-FR" w:eastAsia="de-DE"/>
        </w:rPr>
        <w:t>.</w:t>
      </w:r>
      <w:r w:rsidRPr="008F66F8">
        <w:rPr>
          <w:i/>
          <w:iCs/>
          <w:spacing w:val="-3"/>
          <w:lang w:val="fr-FR" w:eastAsia="de-DE"/>
        </w:rPr>
        <w:t>1 à</w:t>
      </w:r>
      <w:r w:rsidR="008F66F8">
        <w:rPr>
          <w:i/>
          <w:iCs/>
          <w:spacing w:val="-3"/>
          <w:lang w:val="fr-FR" w:eastAsia="de-DE"/>
        </w:rPr>
        <w:t> </w:t>
      </w:r>
      <w:r w:rsidRPr="008F66F8">
        <w:rPr>
          <w:i/>
          <w:iCs/>
          <w:spacing w:val="-3"/>
          <w:lang w:val="fr-FR" w:eastAsia="de-DE"/>
        </w:rPr>
        <w:t>2</w:t>
      </w:r>
      <w:r w:rsidR="00F72B31" w:rsidRPr="00F72B31">
        <w:rPr>
          <w:i/>
          <w:iCs/>
          <w:spacing w:val="-3"/>
          <w:lang w:val="fr-FR" w:eastAsia="de-DE"/>
        </w:rPr>
        <w:t>.</w:t>
      </w:r>
      <w:r w:rsidRPr="008F66F8">
        <w:rPr>
          <w:i/>
          <w:iCs/>
          <w:spacing w:val="-3"/>
          <w:lang w:val="fr-FR" w:eastAsia="de-DE"/>
        </w:rPr>
        <w:t>4</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2</w:t>
      </w:r>
      <w:r w:rsidRPr="00C83B0E">
        <w:rPr>
          <w:lang w:val="fr-FR" w:eastAsia="de-DE"/>
        </w:rPr>
        <w:t xml:space="preserve">, comme </w:t>
      </w:r>
      <w:r w:rsidRPr="00E773DC">
        <w:rPr>
          <w:lang w:val="fr-FR" w:eastAsia="de-DE"/>
        </w:rPr>
        <w:t>suit</w:t>
      </w:r>
      <w:r>
        <w:rPr>
          <w:lang w:val="fr-FR" w:eastAsia="de-DE"/>
        </w:rPr>
        <w:t> :</w:t>
      </w:r>
    </w:p>
    <w:p w14:paraId="4B6A3692" w14:textId="77777777" w:rsidR="00B921D9" w:rsidRPr="00E773DC" w:rsidRDefault="00B921D9" w:rsidP="00B921D9">
      <w:pPr>
        <w:pStyle w:val="SingleTxtG"/>
        <w:ind w:left="2268" w:hanging="1134"/>
        <w:rPr>
          <w:lang w:val="fr-FR" w:eastAsia="de-DE"/>
        </w:rPr>
      </w:pPr>
      <w:r>
        <w:rPr>
          <w:lang w:val="fr-FR" w:eastAsia="de-DE"/>
        </w:rPr>
        <w:t>« </w:t>
      </w:r>
      <w:r w:rsidRPr="00E773DC">
        <w:rPr>
          <w:lang w:val="fr-FR" w:eastAsia="de-DE"/>
        </w:rPr>
        <w:t>2</w:t>
      </w:r>
      <w:r w:rsidR="00F72B31" w:rsidRPr="00F72B31">
        <w:rPr>
          <w:lang w:val="fr-FR" w:eastAsia="de-DE"/>
        </w:rPr>
        <w:t>.</w:t>
      </w:r>
      <w:r w:rsidRPr="00E773DC">
        <w:rPr>
          <w:lang w:val="fr-FR" w:eastAsia="de-DE"/>
        </w:rPr>
        <w:t>4</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5</w:t>
      </w:r>
      <w:r>
        <w:rPr>
          <w:lang w:val="fr-FR" w:eastAsia="de-DE"/>
        </w:rPr>
        <w:tab/>
        <w:t>Prescriptions</w:t>
      </w:r>
      <w:r w:rsidRPr="00E773DC">
        <w:rPr>
          <w:lang w:val="fr-FR" w:eastAsia="de-DE"/>
        </w:rPr>
        <w:t xml:space="preserve"> particulières </w:t>
      </w:r>
      <w:r>
        <w:rPr>
          <w:lang w:val="fr-FR" w:eastAsia="de-DE"/>
        </w:rPr>
        <w:t xml:space="preserve">relatives aux </w:t>
      </w:r>
      <w:r w:rsidRPr="00E773DC">
        <w:rPr>
          <w:lang w:val="fr-FR" w:eastAsia="de-DE"/>
        </w:rPr>
        <w:t xml:space="preserve">autres </w:t>
      </w:r>
      <w:r>
        <w:rPr>
          <w:lang w:val="fr-FR" w:eastAsia="de-DE"/>
        </w:rPr>
        <w:t>possibilités d’</w:t>
      </w:r>
      <w:r w:rsidRPr="004F4325">
        <w:rPr>
          <w:lang w:val="fr-FR" w:eastAsia="de-DE"/>
        </w:rPr>
        <w:t>homologation</w:t>
      </w:r>
    </w:p>
    <w:p w14:paraId="44BC5522" w14:textId="77777777" w:rsidR="00B921D9" w:rsidRPr="00E773DC" w:rsidRDefault="00B921D9" w:rsidP="00B921D9">
      <w:pPr>
        <w:pStyle w:val="SingleTxtG"/>
        <w:ind w:left="2268" w:hanging="1134"/>
        <w:rPr>
          <w:lang w:val="fr-FR" w:eastAsia="de-DE"/>
        </w:rPr>
      </w:pPr>
      <w:r w:rsidRPr="00E773DC">
        <w:rPr>
          <w:strike/>
          <w:lang w:val="fr-FR" w:eastAsia="de-DE"/>
        </w:rPr>
        <w:t>2</w:t>
      </w:r>
      <w:r w:rsidR="00F72B31" w:rsidRPr="00F72B31">
        <w:rPr>
          <w:strike/>
          <w:lang w:val="fr-FR" w:eastAsia="de-DE"/>
        </w:rPr>
        <w:t>.</w:t>
      </w:r>
      <w:r w:rsidRPr="00E773DC">
        <w:rPr>
          <w:strike/>
          <w:lang w:val="fr-FR" w:eastAsia="de-DE"/>
        </w:rPr>
        <w:t>4</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strike/>
          <w:lang w:val="fr-FR" w:eastAsia="de-DE"/>
        </w:rPr>
        <w:t>3</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b/>
          <w:bCs/>
          <w:lang w:val="fr-FR" w:eastAsia="de-DE"/>
        </w:rPr>
        <w:t>2</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1</w:t>
      </w:r>
      <w:r w:rsidRPr="00E773DC">
        <w:rPr>
          <w:b/>
          <w:bCs/>
          <w:lang w:val="fr-FR" w:eastAsia="de-DE"/>
        </w:rPr>
        <w:tab/>
      </w:r>
      <w:r w:rsidRPr="004F4325">
        <w:rPr>
          <w:lang w:val="fr-FR" w:eastAsia="de-DE"/>
        </w:rPr>
        <w:t xml:space="preserve">Si </w:t>
      </w:r>
      <w:r>
        <w:rPr>
          <w:lang w:val="fr-FR" w:eastAsia="de-DE"/>
        </w:rPr>
        <w:t>une</w:t>
      </w:r>
      <w:r w:rsidRPr="004F4325">
        <w:rPr>
          <w:lang w:val="fr-FR" w:eastAsia="de-DE"/>
        </w:rPr>
        <w:t xml:space="preserve"> autre possibilité d</w:t>
      </w:r>
      <w:r>
        <w:rPr>
          <w:lang w:val="fr-FR" w:eastAsia="de-DE"/>
        </w:rPr>
        <w:t>’</w:t>
      </w:r>
      <w:r w:rsidRPr="004F4325">
        <w:rPr>
          <w:lang w:val="fr-FR" w:eastAsia="de-DE"/>
        </w:rPr>
        <w:t>homologation est utilisée, les renseignements relatifs aux systèmes OBD visés à la section 3</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12</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 xml:space="preserve">7 de la </w:t>
      </w:r>
      <w:r>
        <w:rPr>
          <w:lang w:val="fr-FR" w:eastAsia="de-DE"/>
        </w:rPr>
        <w:t xml:space="preserve">deuxième </w:t>
      </w:r>
      <w:r w:rsidRPr="004F4325">
        <w:rPr>
          <w:lang w:val="fr-FR" w:eastAsia="de-DE"/>
        </w:rPr>
        <w:t>partie de l</w:t>
      </w:r>
      <w:r>
        <w:rPr>
          <w:lang w:val="fr-FR" w:eastAsia="de-DE"/>
        </w:rPr>
        <w:t>’</w:t>
      </w:r>
      <w:r w:rsidRPr="004F4325">
        <w:rPr>
          <w:lang w:val="fr-FR" w:eastAsia="de-DE"/>
        </w:rPr>
        <w:t>annexe 1 du présent Règlement sont remplacés par les renseignements visés à la section 3</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12</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7 de l</w:t>
      </w:r>
      <w:r>
        <w:rPr>
          <w:lang w:val="fr-FR" w:eastAsia="de-DE"/>
        </w:rPr>
        <w:t>’</w:t>
      </w:r>
      <w:r w:rsidRPr="004F4325">
        <w:rPr>
          <w:lang w:val="fr-FR" w:eastAsia="de-DE"/>
        </w:rPr>
        <w:t>annexe 1 de la série 07 d</w:t>
      </w:r>
      <w:r>
        <w:rPr>
          <w:lang w:val="fr-FR" w:eastAsia="de-DE"/>
        </w:rPr>
        <w:t>’</w:t>
      </w:r>
      <w:r w:rsidRPr="004F4325">
        <w:rPr>
          <w:lang w:val="fr-FR" w:eastAsia="de-DE"/>
        </w:rPr>
        <w:t xml:space="preserve">amendements au Règlement </w:t>
      </w:r>
      <w:r>
        <w:rPr>
          <w:lang w:val="fr-FR" w:eastAsia="de-DE"/>
        </w:rPr>
        <w:t xml:space="preserve">ONU </w:t>
      </w:r>
      <w:r w:rsidRPr="004F4325">
        <w:rPr>
          <w:lang w:val="fr-FR" w:eastAsia="de-DE"/>
        </w:rPr>
        <w:t>n</w:t>
      </w:r>
      <w:r w:rsidRPr="004F4325">
        <w:rPr>
          <w:vertAlign w:val="superscript"/>
          <w:lang w:val="fr-FR" w:eastAsia="de-DE"/>
        </w:rPr>
        <w:t>o</w:t>
      </w:r>
      <w:r>
        <w:rPr>
          <w:lang w:val="fr-FR" w:eastAsia="de-DE"/>
        </w:rPr>
        <w:t> </w:t>
      </w:r>
      <w:r w:rsidRPr="004F4325">
        <w:rPr>
          <w:lang w:val="fr-FR" w:eastAsia="de-DE"/>
        </w:rPr>
        <w:t xml:space="preserve">83 </w:t>
      </w:r>
      <w:r w:rsidRPr="00E773DC">
        <w:rPr>
          <w:b/>
          <w:bCs/>
          <w:lang w:val="fr-FR" w:eastAsia="de-DE"/>
        </w:rPr>
        <w:t xml:space="preserve">ou par les </w:t>
      </w:r>
      <w:r w:rsidRPr="004F4325">
        <w:rPr>
          <w:b/>
          <w:bCs/>
          <w:lang w:val="fr-FR" w:eastAsia="de-DE"/>
        </w:rPr>
        <w:t xml:space="preserve">renseignements visés </w:t>
      </w:r>
      <w:r>
        <w:rPr>
          <w:b/>
          <w:bCs/>
          <w:lang w:val="fr-FR" w:eastAsia="de-DE"/>
        </w:rPr>
        <w:t>a</w:t>
      </w:r>
      <w:r w:rsidRPr="00E773DC">
        <w:rPr>
          <w:b/>
          <w:bCs/>
          <w:lang w:val="fr-FR" w:eastAsia="de-DE"/>
        </w:rPr>
        <w:t>u paragraphe 3</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12</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7 de l</w:t>
      </w:r>
      <w:r>
        <w:rPr>
          <w:b/>
          <w:bCs/>
          <w:lang w:val="fr-FR" w:eastAsia="de-DE"/>
        </w:rPr>
        <w:t>’</w:t>
      </w:r>
      <w:r w:rsidRPr="00E773DC">
        <w:rPr>
          <w:b/>
          <w:bCs/>
          <w:lang w:val="fr-FR" w:eastAsia="de-DE"/>
        </w:rPr>
        <w:t xml:space="preserve">annexe A1 du Règlement </w:t>
      </w:r>
      <w:r>
        <w:rPr>
          <w:b/>
          <w:bCs/>
          <w:lang w:val="fr-FR" w:eastAsia="de-DE"/>
        </w:rPr>
        <w:t xml:space="preserve">ONU </w:t>
      </w:r>
      <w:r w:rsidRPr="00E773DC">
        <w:rPr>
          <w:b/>
          <w:bCs/>
          <w:lang w:val="fr-FR" w:eastAsia="de-DE"/>
        </w:rPr>
        <w:t>n</w:t>
      </w:r>
      <w:r w:rsidRPr="004F4325">
        <w:rPr>
          <w:b/>
          <w:bCs/>
          <w:vertAlign w:val="superscript"/>
          <w:lang w:val="fr-FR" w:eastAsia="de-DE"/>
        </w:rPr>
        <w:t>o</w:t>
      </w:r>
      <w:r>
        <w:rPr>
          <w:b/>
          <w:bCs/>
          <w:lang w:val="fr-FR" w:eastAsia="de-DE"/>
        </w:rPr>
        <w:t> </w:t>
      </w:r>
      <w:r w:rsidRPr="00E773DC">
        <w:rPr>
          <w:b/>
          <w:bCs/>
          <w:lang w:val="fr-FR" w:eastAsia="de-DE"/>
        </w:rPr>
        <w:t>[154]</w:t>
      </w:r>
      <w:r w:rsidR="00F72B31" w:rsidRPr="00F72B31">
        <w:rPr>
          <w:lang w:val="fr-FR" w:eastAsia="de-DE"/>
        </w:rPr>
        <w:t>.</w:t>
      </w:r>
    </w:p>
    <w:p w14:paraId="081AC7E1" w14:textId="77777777" w:rsidR="00B921D9" w:rsidRPr="00E773DC" w:rsidRDefault="00B921D9" w:rsidP="00B921D9">
      <w:pPr>
        <w:pStyle w:val="SingleTxtG"/>
        <w:ind w:left="2268" w:hanging="1134"/>
        <w:rPr>
          <w:lang w:val="fr-FR" w:eastAsia="de-DE"/>
        </w:rPr>
      </w:pPr>
      <w:r w:rsidRPr="00E773DC">
        <w:rPr>
          <w:strike/>
          <w:lang w:val="fr-FR" w:eastAsia="de-DE"/>
        </w:rPr>
        <w:t>2</w:t>
      </w:r>
      <w:r w:rsidR="00F72B31" w:rsidRPr="00F72B31">
        <w:rPr>
          <w:strike/>
          <w:lang w:val="fr-FR" w:eastAsia="de-DE"/>
        </w:rPr>
        <w:t>.</w:t>
      </w:r>
      <w:r w:rsidRPr="00E773DC">
        <w:rPr>
          <w:strike/>
          <w:lang w:val="fr-FR" w:eastAsia="de-DE"/>
        </w:rPr>
        <w:t>4</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strike/>
          <w:lang w:val="fr-FR" w:eastAsia="de-DE"/>
        </w:rPr>
        <w:t>3</w:t>
      </w:r>
      <w:r w:rsidR="00F72B31" w:rsidRPr="00F72B31">
        <w:rPr>
          <w:strike/>
          <w:lang w:val="fr-FR" w:eastAsia="de-DE"/>
        </w:rPr>
        <w:t>.</w:t>
      </w:r>
      <w:r w:rsidRPr="00E773DC">
        <w:rPr>
          <w:strike/>
          <w:lang w:val="fr-FR" w:eastAsia="de-DE"/>
        </w:rPr>
        <w:t>2</w:t>
      </w:r>
      <w:r w:rsidR="00F72B31" w:rsidRPr="00F72B31">
        <w:rPr>
          <w:strike/>
          <w:lang w:val="fr-FR" w:eastAsia="de-DE"/>
        </w:rPr>
        <w:t>.</w:t>
      </w:r>
      <w:r w:rsidRPr="00BA374F">
        <w:rPr>
          <w:b/>
          <w:bCs/>
          <w:lang w:val="fr-FR" w:eastAsia="de-DE"/>
        </w:rPr>
        <w:t>2</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2</w:t>
      </w:r>
      <w:r w:rsidRPr="00E773DC">
        <w:rPr>
          <w:b/>
          <w:bCs/>
          <w:lang w:val="fr-FR" w:eastAsia="de-DE"/>
        </w:rPr>
        <w:tab/>
      </w:r>
      <w:r w:rsidRPr="004F4325">
        <w:rPr>
          <w:lang w:val="fr-FR" w:eastAsia="de-DE"/>
        </w:rPr>
        <w:t>Les équivalences énoncées au paragraphe 2</w:t>
      </w:r>
      <w:r w:rsidR="00F72B31" w:rsidRPr="00F72B31">
        <w:rPr>
          <w:lang w:val="fr-FR" w:eastAsia="de-DE"/>
        </w:rPr>
        <w:t>.</w:t>
      </w:r>
      <w:r w:rsidRPr="004F4325">
        <w:rPr>
          <w:lang w:val="fr-FR" w:eastAsia="de-DE"/>
        </w:rPr>
        <w:t>4</w:t>
      </w:r>
      <w:r w:rsidR="00F72B31" w:rsidRPr="00F72B31">
        <w:rPr>
          <w:lang w:val="fr-FR" w:eastAsia="de-DE"/>
        </w:rPr>
        <w:t>.</w:t>
      </w:r>
      <w:r w:rsidRPr="004F4325">
        <w:rPr>
          <w:lang w:val="fr-FR" w:eastAsia="de-DE"/>
        </w:rPr>
        <w:t>1 s</w:t>
      </w:r>
      <w:r>
        <w:rPr>
          <w:lang w:val="fr-FR" w:eastAsia="de-DE"/>
        </w:rPr>
        <w:t>’</w:t>
      </w:r>
      <w:r w:rsidRPr="004F4325">
        <w:rPr>
          <w:lang w:val="fr-FR" w:eastAsia="de-DE"/>
        </w:rPr>
        <w:t>appliquent comme suit</w:t>
      </w:r>
      <w:r w:rsidRPr="00E773DC">
        <w:rPr>
          <w:lang w:val="fr-FR" w:eastAsia="de-DE"/>
        </w:rPr>
        <w:t> :</w:t>
      </w:r>
    </w:p>
    <w:p w14:paraId="0672C401" w14:textId="77777777" w:rsidR="00B921D9" w:rsidRPr="00E773DC" w:rsidRDefault="00B921D9" w:rsidP="00B921D9">
      <w:pPr>
        <w:pStyle w:val="SingleTxtG"/>
        <w:ind w:left="2268" w:hanging="1134"/>
        <w:rPr>
          <w:lang w:val="fr-FR" w:eastAsia="de-DE"/>
        </w:rPr>
      </w:pPr>
      <w:r w:rsidRPr="00E773DC">
        <w:rPr>
          <w:strike/>
          <w:lang w:val="fr-FR" w:eastAsia="de-DE"/>
        </w:rPr>
        <w:t>2</w:t>
      </w:r>
      <w:r w:rsidR="00F72B31" w:rsidRPr="00F72B31">
        <w:rPr>
          <w:strike/>
          <w:lang w:val="fr-FR" w:eastAsia="de-DE"/>
        </w:rPr>
        <w:t>.</w:t>
      </w:r>
      <w:r w:rsidRPr="00E773DC">
        <w:rPr>
          <w:strike/>
          <w:lang w:val="fr-FR" w:eastAsia="de-DE"/>
        </w:rPr>
        <w:t>4</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strike/>
          <w:lang w:val="fr-FR" w:eastAsia="de-DE"/>
        </w:rPr>
        <w:t>3</w:t>
      </w:r>
      <w:r w:rsidR="00F72B31" w:rsidRPr="00F72B31">
        <w:rPr>
          <w:strike/>
          <w:lang w:val="fr-FR" w:eastAsia="de-DE"/>
        </w:rPr>
        <w:t>.</w:t>
      </w:r>
      <w:r w:rsidRPr="00E773DC">
        <w:rPr>
          <w:strike/>
          <w:lang w:val="fr-FR" w:eastAsia="de-DE"/>
        </w:rPr>
        <w:t>2</w:t>
      </w:r>
      <w:r w:rsidR="00F72B31" w:rsidRPr="00F72B31">
        <w:rPr>
          <w:strike/>
          <w:lang w:val="fr-FR" w:eastAsia="de-DE"/>
        </w:rPr>
        <w:t>.</w:t>
      </w:r>
      <w:r w:rsidRPr="00E773DC">
        <w:rPr>
          <w:strike/>
          <w:lang w:val="fr-FR" w:eastAsia="de-DE"/>
        </w:rPr>
        <w:t>1</w:t>
      </w:r>
      <w:r w:rsidR="00F72B31" w:rsidRPr="00F72B31">
        <w:rPr>
          <w:strike/>
          <w:lang w:val="fr-FR" w:eastAsia="de-DE"/>
        </w:rPr>
        <w:t>.</w:t>
      </w:r>
      <w:r w:rsidRPr="00BA374F">
        <w:rPr>
          <w:b/>
          <w:bCs/>
          <w:lang w:val="fr-FR" w:eastAsia="de-DE"/>
        </w:rPr>
        <w:t>2</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1</w:t>
      </w:r>
      <w:r w:rsidRPr="00E773DC">
        <w:rPr>
          <w:b/>
          <w:bCs/>
          <w:lang w:val="fr-FR" w:eastAsia="de-DE"/>
        </w:rPr>
        <w:tab/>
      </w:r>
      <w:r w:rsidRPr="004F4325">
        <w:rPr>
          <w:lang w:val="fr-FR" w:eastAsia="de-DE"/>
        </w:rPr>
        <w:t>Les valeurs limites OBD et les dates mentionnées dans le tableau</w:t>
      </w:r>
      <w:r>
        <w:rPr>
          <w:lang w:val="fr-FR" w:eastAsia="de-DE"/>
        </w:rPr>
        <w:t> </w:t>
      </w:r>
      <w:r w:rsidRPr="004F4325">
        <w:rPr>
          <w:lang w:val="fr-FR" w:eastAsia="de-DE"/>
        </w:rPr>
        <w:t>1 de l</w:t>
      </w:r>
      <w:r>
        <w:rPr>
          <w:lang w:val="fr-FR" w:eastAsia="de-DE"/>
        </w:rPr>
        <w:t>’</w:t>
      </w:r>
      <w:r w:rsidRPr="004F4325">
        <w:rPr>
          <w:lang w:val="fr-FR" w:eastAsia="de-DE"/>
        </w:rPr>
        <w:t>annexe 3 du présent Règlement et correspondant à la lettre pour laquelle l</w:t>
      </w:r>
      <w:r>
        <w:rPr>
          <w:lang w:val="fr-FR" w:eastAsia="de-DE"/>
        </w:rPr>
        <w:t>’</w:t>
      </w:r>
      <w:r w:rsidRPr="004F4325">
        <w:rPr>
          <w:lang w:val="fr-FR" w:eastAsia="de-DE"/>
        </w:rPr>
        <w:t>homologation de type est demandée s</w:t>
      </w:r>
      <w:r>
        <w:rPr>
          <w:lang w:val="fr-FR" w:eastAsia="de-DE"/>
        </w:rPr>
        <w:t>’</w:t>
      </w:r>
      <w:r w:rsidRPr="004F4325">
        <w:rPr>
          <w:lang w:val="fr-FR" w:eastAsia="de-DE"/>
        </w:rPr>
        <w:t>appliquent</w:t>
      </w:r>
      <w:r w:rsidRPr="00E773DC">
        <w:rPr>
          <w:lang w:val="fr-FR" w:eastAsia="de-DE"/>
        </w:rPr>
        <w:t> ;</w:t>
      </w:r>
    </w:p>
    <w:p w14:paraId="7BD615DA" w14:textId="77777777" w:rsidR="00B921D9" w:rsidRPr="00E773DC" w:rsidRDefault="00B921D9" w:rsidP="00B921D9">
      <w:pPr>
        <w:pStyle w:val="SingleTxtG"/>
        <w:ind w:left="2268" w:hanging="1134"/>
        <w:rPr>
          <w:lang w:val="fr-FR" w:eastAsia="de-DE"/>
        </w:rPr>
      </w:pPr>
      <w:r w:rsidRPr="00E773DC">
        <w:rPr>
          <w:strike/>
          <w:lang w:val="fr-FR" w:eastAsia="de-DE"/>
        </w:rPr>
        <w:t>2</w:t>
      </w:r>
      <w:r w:rsidR="00F72B31" w:rsidRPr="00F72B31">
        <w:rPr>
          <w:strike/>
          <w:lang w:val="fr-FR" w:eastAsia="de-DE"/>
        </w:rPr>
        <w:t>.</w:t>
      </w:r>
      <w:r w:rsidRPr="00E773DC">
        <w:rPr>
          <w:strike/>
          <w:lang w:val="fr-FR" w:eastAsia="de-DE"/>
        </w:rPr>
        <w:t>4</w:t>
      </w:r>
      <w:r w:rsidR="00F72B31" w:rsidRPr="00F72B31">
        <w:rPr>
          <w:strike/>
          <w:lang w:val="fr-FR" w:eastAsia="de-DE"/>
        </w:rPr>
        <w:t>.</w:t>
      </w:r>
      <w:r w:rsidRPr="00E773DC">
        <w:rPr>
          <w:strike/>
          <w:lang w:val="fr-FR" w:eastAsia="de-DE"/>
        </w:rPr>
        <w:t>1</w:t>
      </w:r>
      <w:r w:rsidR="00F72B31" w:rsidRPr="00F72B31">
        <w:rPr>
          <w:strike/>
          <w:lang w:val="fr-FR" w:eastAsia="de-DE"/>
        </w:rPr>
        <w:t>.</w:t>
      </w:r>
      <w:r w:rsidRPr="00E773DC">
        <w:rPr>
          <w:strike/>
          <w:lang w:val="fr-FR" w:eastAsia="de-DE"/>
        </w:rPr>
        <w:t>3</w:t>
      </w:r>
      <w:r w:rsidR="00F72B31" w:rsidRPr="00F72B31">
        <w:rPr>
          <w:strike/>
          <w:lang w:val="fr-FR" w:eastAsia="de-DE"/>
        </w:rPr>
        <w:t>.</w:t>
      </w:r>
      <w:r w:rsidRPr="00E773DC">
        <w:rPr>
          <w:strike/>
          <w:lang w:val="fr-FR" w:eastAsia="de-DE"/>
        </w:rPr>
        <w:t>2</w:t>
      </w:r>
      <w:r w:rsidR="00F72B31" w:rsidRPr="00F72B31">
        <w:rPr>
          <w:strike/>
          <w:lang w:val="fr-FR" w:eastAsia="de-DE"/>
        </w:rPr>
        <w:t>.</w:t>
      </w:r>
      <w:r w:rsidRPr="00BA374F">
        <w:rPr>
          <w:b/>
          <w:bCs/>
          <w:lang w:val="fr-FR" w:eastAsia="de-DE"/>
        </w:rPr>
        <w:t>2</w:t>
      </w:r>
      <w:r w:rsidR="00F72B31" w:rsidRPr="00F72B31">
        <w:rPr>
          <w:b/>
          <w:bCs/>
          <w:lang w:val="fr-FR" w:eastAsia="de-DE"/>
        </w:rPr>
        <w:t>.</w:t>
      </w:r>
      <w:r w:rsidRPr="00E773DC">
        <w:rPr>
          <w:b/>
          <w:bCs/>
          <w:lang w:val="fr-FR" w:eastAsia="de-DE"/>
        </w:rPr>
        <w:t>4</w:t>
      </w:r>
      <w:r w:rsidR="00F72B31" w:rsidRPr="00F72B31">
        <w:rPr>
          <w:b/>
          <w:bCs/>
          <w:lang w:val="fr-FR" w:eastAsia="de-DE"/>
        </w:rPr>
        <w:t>.</w:t>
      </w:r>
      <w:r w:rsidRPr="00E773DC">
        <w:rPr>
          <w:b/>
          <w:bCs/>
          <w:lang w:val="fr-FR" w:eastAsia="de-DE"/>
        </w:rPr>
        <w:t>1</w:t>
      </w:r>
      <w:r w:rsidR="00F72B31" w:rsidRPr="00F72B31">
        <w:rPr>
          <w:b/>
          <w:bCs/>
          <w:lang w:val="fr-FR" w:eastAsia="de-DE"/>
        </w:rPr>
        <w:t>.</w:t>
      </w:r>
      <w:r w:rsidRPr="00E773DC">
        <w:rPr>
          <w:b/>
          <w:bCs/>
          <w:lang w:val="fr-FR" w:eastAsia="de-DE"/>
        </w:rPr>
        <w:t>5</w:t>
      </w:r>
      <w:r w:rsidR="00F72B31" w:rsidRPr="00F72B31">
        <w:rPr>
          <w:b/>
          <w:bCs/>
          <w:lang w:val="fr-FR" w:eastAsia="de-DE"/>
        </w:rPr>
        <w:t>.</w:t>
      </w:r>
      <w:r w:rsidRPr="00E773DC">
        <w:rPr>
          <w:b/>
          <w:bCs/>
          <w:lang w:val="fr-FR" w:eastAsia="de-DE"/>
        </w:rPr>
        <w:t>2</w:t>
      </w:r>
      <w:r w:rsidR="00F72B31" w:rsidRPr="00F72B31">
        <w:rPr>
          <w:b/>
          <w:bCs/>
          <w:lang w:val="fr-FR" w:eastAsia="de-DE"/>
        </w:rPr>
        <w:t>.</w:t>
      </w:r>
      <w:r w:rsidRPr="00E773DC">
        <w:rPr>
          <w:b/>
          <w:bCs/>
          <w:lang w:val="fr-FR" w:eastAsia="de-DE"/>
        </w:rPr>
        <w:t>2</w:t>
      </w:r>
      <w:r w:rsidRPr="00E773DC">
        <w:rPr>
          <w:b/>
          <w:bCs/>
          <w:lang w:val="fr-FR" w:eastAsia="de-DE"/>
        </w:rPr>
        <w:tab/>
      </w:r>
      <w:r w:rsidRPr="004F4325">
        <w:rPr>
          <w:lang w:val="fr-FR" w:eastAsia="de-DE"/>
        </w:rPr>
        <w:t>Les prescriptions concernant les mesures de réduction des émissions d</w:t>
      </w:r>
      <w:r>
        <w:rPr>
          <w:lang w:val="fr-FR" w:eastAsia="de-DE"/>
        </w:rPr>
        <w:t>’</w:t>
      </w:r>
      <w:r w:rsidRPr="004F4325">
        <w:rPr>
          <w:lang w:val="fr-FR" w:eastAsia="de-DE"/>
        </w:rPr>
        <w:t>oxydes d</w:t>
      </w:r>
      <w:r>
        <w:rPr>
          <w:lang w:val="fr-FR" w:eastAsia="de-DE"/>
        </w:rPr>
        <w:t>’</w:t>
      </w:r>
      <w:r w:rsidRPr="004F4325">
        <w:rPr>
          <w:lang w:val="fr-FR" w:eastAsia="de-DE"/>
        </w:rPr>
        <w:t>azote énoncées aux paragraphes 2</w:t>
      </w:r>
      <w:r w:rsidR="00F72B31" w:rsidRPr="00F72B31">
        <w:rPr>
          <w:lang w:val="fr-FR" w:eastAsia="de-DE"/>
        </w:rPr>
        <w:t>.</w:t>
      </w:r>
      <w:r w:rsidRPr="004F4325">
        <w:rPr>
          <w:lang w:val="fr-FR" w:eastAsia="de-DE"/>
        </w:rPr>
        <w:t>1</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1 à 2</w:t>
      </w:r>
      <w:r w:rsidR="00F72B31" w:rsidRPr="00F72B31">
        <w:rPr>
          <w:lang w:val="fr-FR" w:eastAsia="de-DE"/>
        </w:rPr>
        <w:t>.</w:t>
      </w:r>
      <w:r w:rsidRPr="004F4325">
        <w:rPr>
          <w:lang w:val="fr-FR" w:eastAsia="de-DE"/>
        </w:rPr>
        <w:t>1</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2</w:t>
      </w:r>
      <w:r w:rsidR="00F72B31" w:rsidRPr="00F72B31">
        <w:rPr>
          <w:lang w:val="fr-FR" w:eastAsia="de-DE"/>
        </w:rPr>
        <w:t>.</w:t>
      </w:r>
      <w:r w:rsidRPr="004F4325">
        <w:rPr>
          <w:lang w:val="fr-FR" w:eastAsia="de-DE"/>
        </w:rPr>
        <w:t>4 de l</w:t>
      </w:r>
      <w:r>
        <w:rPr>
          <w:lang w:val="fr-FR" w:eastAsia="de-DE"/>
        </w:rPr>
        <w:t>’</w:t>
      </w:r>
      <w:r w:rsidRPr="004F4325">
        <w:rPr>
          <w:lang w:val="fr-FR" w:eastAsia="de-DE"/>
        </w:rPr>
        <w:t>annexe</w:t>
      </w:r>
      <w:r>
        <w:rPr>
          <w:lang w:val="fr-FR" w:eastAsia="de-DE"/>
        </w:rPr>
        <w:t> </w:t>
      </w:r>
      <w:r w:rsidRPr="004F4325">
        <w:rPr>
          <w:lang w:val="fr-FR" w:eastAsia="de-DE"/>
        </w:rPr>
        <w:t>11 s</w:t>
      </w:r>
      <w:r>
        <w:rPr>
          <w:lang w:val="fr-FR" w:eastAsia="de-DE"/>
        </w:rPr>
        <w:t>’</w:t>
      </w:r>
      <w:r w:rsidRPr="004F4325">
        <w:rPr>
          <w:lang w:val="fr-FR" w:eastAsia="de-DE"/>
        </w:rPr>
        <w:t>appliquent</w:t>
      </w:r>
      <w:r w:rsidR="00F72B31" w:rsidRPr="00F72B31">
        <w:rPr>
          <w:lang w:val="fr-FR" w:eastAsia="de-DE"/>
        </w:rPr>
        <w:t>.</w:t>
      </w:r>
      <w:r>
        <w:rPr>
          <w:lang w:val="fr-FR" w:eastAsia="de-DE"/>
        </w:rPr>
        <w:t> »</w:t>
      </w:r>
      <w:r w:rsidR="00F72B31" w:rsidRPr="00F72B31">
        <w:rPr>
          <w:lang w:val="fr-FR" w:eastAsia="de-DE"/>
        </w:rPr>
        <w:t>.</w:t>
      </w:r>
    </w:p>
    <w:p w14:paraId="5F1154F0" w14:textId="77777777" w:rsidR="00B921D9" w:rsidRPr="00E773DC" w:rsidRDefault="00B921D9" w:rsidP="00B921D9">
      <w:pPr>
        <w:pStyle w:val="SingleTxtG"/>
        <w:keepNext/>
        <w:ind w:left="2268" w:hanging="1134"/>
        <w:rPr>
          <w:lang w:val="fr-FR" w:eastAsia="de-DE"/>
        </w:rPr>
      </w:pPr>
      <w:r w:rsidRPr="00E773DC">
        <w:rPr>
          <w:i/>
          <w:iCs/>
          <w:lang w:val="fr-FR" w:eastAsia="de-DE"/>
        </w:rPr>
        <w:t>Annexe 10</w:t>
      </w:r>
    </w:p>
    <w:p w14:paraId="36F4680F" w14:textId="77777777" w:rsidR="00B921D9" w:rsidRPr="00E773DC" w:rsidRDefault="00B921D9" w:rsidP="00B921D9">
      <w:pPr>
        <w:pStyle w:val="SingleTxtG"/>
        <w:ind w:left="2268" w:hanging="1134"/>
        <w:rPr>
          <w:lang w:val="fr-FR" w:eastAsia="de-DE"/>
        </w:rPr>
      </w:pPr>
      <w:r w:rsidRPr="00E773DC">
        <w:rPr>
          <w:i/>
          <w:iCs/>
          <w:lang w:val="fr-FR" w:eastAsia="de-DE"/>
        </w:rPr>
        <w:t>Paragraphe 11</w:t>
      </w:r>
      <w:r>
        <w:rPr>
          <w:i/>
          <w:iCs/>
          <w:lang w:val="fr-FR" w:eastAsia="de-DE"/>
        </w:rPr>
        <w:t>,</w:t>
      </w:r>
      <w:r w:rsidRPr="00E773DC">
        <w:rPr>
          <w:i/>
          <w:iCs/>
          <w:lang w:val="fr-FR" w:eastAsia="de-DE"/>
        </w:rPr>
        <w:t xml:space="preserve"> ajouter un nouvel alinéa à la fin</w:t>
      </w:r>
      <w:r w:rsidRPr="008F66F8">
        <w:rPr>
          <w:lang w:val="fr-FR" w:eastAsia="de-DE"/>
        </w:rPr>
        <w:t>,</w:t>
      </w:r>
      <w:r w:rsidRPr="00E773DC">
        <w:rPr>
          <w:i/>
          <w:iCs/>
          <w:lang w:val="fr-FR" w:eastAsia="de-DE"/>
        </w:rPr>
        <w:t xml:space="preserve"> </w:t>
      </w:r>
      <w:r w:rsidRPr="00E773DC">
        <w:rPr>
          <w:lang w:val="fr-FR" w:eastAsia="de-DE"/>
        </w:rPr>
        <w:t>libellé comme suit :</w:t>
      </w:r>
    </w:p>
    <w:p w14:paraId="5948DE5D" w14:textId="77777777" w:rsidR="00B921D9" w:rsidRPr="00E773DC" w:rsidRDefault="00B921D9" w:rsidP="00E1466E">
      <w:pPr>
        <w:pStyle w:val="SingleTxtG"/>
        <w:rPr>
          <w:lang w:val="fr-FR" w:eastAsia="de-DE"/>
        </w:rPr>
      </w:pPr>
      <w:r w:rsidRPr="00E773DC">
        <w:rPr>
          <w:lang w:val="fr-FR" w:eastAsia="de-DE"/>
        </w:rPr>
        <w:t>« </w:t>
      </w:r>
      <w:r w:rsidRPr="00E773DC">
        <w:rPr>
          <w:b/>
          <w:bCs/>
          <w:lang w:val="fr-FR" w:eastAsia="de-DE"/>
        </w:rPr>
        <w:t>La méthode d</w:t>
      </w:r>
      <w:r>
        <w:rPr>
          <w:b/>
          <w:bCs/>
          <w:lang w:val="fr-FR" w:eastAsia="de-DE"/>
        </w:rPr>
        <w:t>’</w:t>
      </w:r>
      <w:r w:rsidRPr="00E773DC">
        <w:rPr>
          <w:b/>
          <w:bCs/>
          <w:lang w:val="fr-FR" w:eastAsia="de-DE"/>
        </w:rPr>
        <w:t xml:space="preserve">évaluation des </w:t>
      </w:r>
      <w:r>
        <w:rPr>
          <w:b/>
          <w:bCs/>
          <w:lang w:val="fr-FR" w:eastAsia="de-DE"/>
        </w:rPr>
        <w:t>stratégies auxiliaires de limitation des émissions</w:t>
      </w:r>
      <w:r w:rsidRPr="00E773DC">
        <w:rPr>
          <w:b/>
          <w:bCs/>
          <w:lang w:val="fr-FR" w:eastAsia="de-DE"/>
        </w:rPr>
        <w:t xml:space="preserve"> est décrite dans l</w:t>
      </w:r>
      <w:r>
        <w:rPr>
          <w:b/>
          <w:bCs/>
          <w:lang w:val="fr-FR" w:eastAsia="de-DE"/>
        </w:rPr>
        <w:t>’</w:t>
      </w:r>
      <w:r w:rsidRPr="00E773DC">
        <w:rPr>
          <w:b/>
          <w:bCs/>
          <w:lang w:val="fr-FR" w:eastAsia="de-DE"/>
        </w:rPr>
        <w:t>appendice 2 de la présente annexe</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5B878A99" w14:textId="77777777" w:rsidR="00B921D9" w:rsidRPr="00E773DC" w:rsidRDefault="00B921D9" w:rsidP="00B921D9">
      <w:pPr>
        <w:pStyle w:val="SingleTxtG"/>
        <w:ind w:left="2268" w:hanging="1134"/>
        <w:rPr>
          <w:lang w:val="fr-FR" w:eastAsia="de-DE"/>
        </w:rPr>
      </w:pPr>
      <w:r w:rsidRPr="00E773DC">
        <w:rPr>
          <w:i/>
          <w:iCs/>
          <w:lang w:val="fr-FR" w:eastAsia="de-DE"/>
        </w:rPr>
        <w:t>Annexe 10, appendice 1</w:t>
      </w:r>
    </w:p>
    <w:p w14:paraId="79DCF03C" w14:textId="77777777" w:rsidR="00B921D9" w:rsidRPr="00E773DC" w:rsidRDefault="00B921D9" w:rsidP="00B921D9">
      <w:pPr>
        <w:pStyle w:val="SingleTxtG"/>
        <w:ind w:left="2268" w:hanging="1134"/>
        <w:rPr>
          <w:lang w:val="fr-FR" w:eastAsia="de-DE"/>
        </w:rPr>
      </w:pPr>
      <w:r w:rsidRPr="00E773DC">
        <w:rPr>
          <w:i/>
          <w:iCs/>
          <w:lang w:val="fr-FR" w:eastAsia="de-DE"/>
        </w:rPr>
        <w:t>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3</w:t>
      </w:r>
      <w:r w:rsidR="00F72B31" w:rsidRPr="00F72B31">
        <w:rPr>
          <w:i/>
          <w:iCs/>
          <w:lang w:val="fr-FR" w:eastAsia="de-DE"/>
        </w:rPr>
        <w:t>.</w:t>
      </w:r>
      <w:r w:rsidRPr="00E773DC">
        <w:rPr>
          <w:i/>
          <w:iCs/>
          <w:lang w:val="fr-FR" w:eastAsia="de-DE"/>
        </w:rPr>
        <w:t>1</w:t>
      </w:r>
      <w:r w:rsidRPr="00E773DC">
        <w:rPr>
          <w:lang w:val="fr-FR" w:eastAsia="de-DE"/>
        </w:rPr>
        <w:t>, lire :</w:t>
      </w:r>
    </w:p>
    <w:p w14:paraId="2BF93A24" w14:textId="77777777" w:rsidR="00B921D9" w:rsidRPr="00E773DC" w:rsidRDefault="00B921D9" w:rsidP="00B921D9">
      <w:pPr>
        <w:pStyle w:val="SingleTxtG"/>
        <w:ind w:left="2268" w:hanging="1134"/>
        <w:rPr>
          <w:lang w:val="fr-FR" w:eastAsia="de-DE"/>
        </w:rPr>
      </w:pPr>
      <w:r w:rsidRPr="00E773DC">
        <w:rPr>
          <w:lang w:val="fr-FR" w:eastAsia="de-DE"/>
        </w:rPr>
        <w:t>« A</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3</w:t>
      </w:r>
      <w:r w:rsidR="00F72B31" w:rsidRPr="00F72B31">
        <w:rPr>
          <w:lang w:val="fr-FR" w:eastAsia="de-DE"/>
        </w:rPr>
        <w:t>.</w:t>
      </w:r>
      <w:r w:rsidRPr="00E773DC">
        <w:rPr>
          <w:lang w:val="fr-FR" w:eastAsia="de-DE"/>
        </w:rPr>
        <w:t>1</w:t>
      </w:r>
      <w:r w:rsidRPr="00E773DC">
        <w:rPr>
          <w:lang w:val="fr-FR" w:eastAsia="de-DE"/>
        </w:rPr>
        <w:tab/>
        <w:t>Charge du véhicule</w:t>
      </w:r>
    </w:p>
    <w:p w14:paraId="133832CD" w14:textId="77777777" w:rsidR="00B921D9" w:rsidRPr="00E773DC" w:rsidRDefault="00B921D9" w:rsidP="00B921D9">
      <w:pPr>
        <w:pStyle w:val="SingleTxtG"/>
        <w:ind w:left="2268" w:hanging="1134"/>
        <w:rPr>
          <w:lang w:val="fr-FR" w:eastAsia="de-DE"/>
        </w:rPr>
      </w:pPr>
      <w:r w:rsidRPr="00E773DC">
        <w:rPr>
          <w:lang w:val="fr-FR" w:eastAsia="de-DE"/>
        </w:rPr>
        <w:tab/>
      </w:r>
      <w:r w:rsidRPr="00DE3CB9">
        <w:rPr>
          <w:lang w:val="fr-FR" w:eastAsia="de-DE"/>
        </w:rPr>
        <w:t>Aux fins de l</w:t>
      </w:r>
      <w:r>
        <w:rPr>
          <w:lang w:val="fr-FR" w:eastAsia="de-DE"/>
        </w:rPr>
        <w:t>’</w:t>
      </w:r>
      <w:r w:rsidRPr="00DE3CB9">
        <w:rPr>
          <w:lang w:val="fr-FR" w:eastAsia="de-DE"/>
        </w:rPr>
        <w:t>essai de mesure des émissions, la charge peut être reproduite et un chargement artificiel peut être utilisé</w:t>
      </w:r>
      <w:r w:rsidR="00F72B31" w:rsidRPr="00F72B31">
        <w:rPr>
          <w:lang w:val="fr-FR" w:eastAsia="de-DE"/>
        </w:rPr>
        <w:t>.</w:t>
      </w:r>
    </w:p>
    <w:p w14:paraId="6E018D08" w14:textId="77777777" w:rsidR="00B921D9" w:rsidRPr="00E773DC" w:rsidRDefault="00B921D9" w:rsidP="00B921D9">
      <w:pPr>
        <w:pStyle w:val="SingleTxtG"/>
        <w:ind w:left="2268" w:hanging="1134"/>
        <w:rPr>
          <w:lang w:val="fr-FR" w:eastAsia="de-DE"/>
        </w:rPr>
      </w:pPr>
      <w:r w:rsidRPr="00E773DC">
        <w:rPr>
          <w:lang w:val="fr-FR" w:eastAsia="de-DE"/>
        </w:rPr>
        <w:tab/>
      </w:r>
      <w:r w:rsidRPr="00DE3CB9">
        <w:rPr>
          <w:strike/>
          <w:lang w:val="fr-FR" w:eastAsia="de-DE"/>
        </w:rPr>
        <w:t>La charge du véhicule doit correspondre à 50-60 % de la charge maximale</w:t>
      </w:r>
      <w:r w:rsidR="00F72B31" w:rsidRPr="00F72B31">
        <w:rPr>
          <w:strike/>
          <w:lang w:val="fr-FR" w:eastAsia="de-DE"/>
        </w:rPr>
        <w:t>.</w:t>
      </w:r>
      <w:r w:rsidRPr="00E773DC">
        <w:rPr>
          <w:strike/>
          <w:lang w:val="fr-FR" w:eastAsia="de-DE"/>
        </w:rPr>
        <w:t xml:space="preserve"> </w:t>
      </w:r>
      <w:r w:rsidRPr="00DE3CB9">
        <w:rPr>
          <w:strike/>
          <w:lang w:val="fr-FR" w:eastAsia="de-DE"/>
        </w:rPr>
        <w:t>Les prescriptions supplémentaires énoncées dans l</w:t>
      </w:r>
      <w:r>
        <w:rPr>
          <w:strike/>
          <w:lang w:val="fr-FR" w:eastAsia="de-DE"/>
        </w:rPr>
        <w:t>’</w:t>
      </w:r>
      <w:r w:rsidRPr="00DE3CB9">
        <w:rPr>
          <w:strike/>
          <w:lang w:val="fr-FR" w:eastAsia="de-DE"/>
        </w:rPr>
        <w:t>annexe 8 sont applicables</w:t>
      </w:r>
      <w:r w:rsidR="00F72B31" w:rsidRPr="00F72B31">
        <w:rPr>
          <w:strike/>
          <w:lang w:val="fr-FR" w:eastAsia="de-DE"/>
        </w:rPr>
        <w:t>.</w:t>
      </w:r>
      <w:r w:rsidRPr="00E773DC">
        <w:rPr>
          <w:strike/>
          <w:lang w:val="fr-FR" w:eastAsia="de-DE"/>
        </w:rPr>
        <w:t xml:space="preserve"> </w:t>
      </w:r>
      <w:r w:rsidRPr="00E773DC">
        <w:rPr>
          <w:b/>
          <w:bCs/>
          <w:lang w:val="fr-FR" w:eastAsia="de-DE"/>
        </w:rPr>
        <w:t xml:space="preserve">La charge du véhicule doit </w:t>
      </w:r>
      <w:r>
        <w:rPr>
          <w:b/>
          <w:bCs/>
          <w:lang w:val="fr-FR" w:eastAsia="de-DE"/>
        </w:rPr>
        <w:t xml:space="preserve">être comprise entre </w:t>
      </w:r>
      <w:r w:rsidRPr="00E773DC">
        <w:rPr>
          <w:b/>
          <w:bCs/>
          <w:lang w:val="fr-FR" w:eastAsia="de-DE"/>
        </w:rPr>
        <w:t xml:space="preserve">50 </w:t>
      </w:r>
      <w:r>
        <w:rPr>
          <w:b/>
          <w:bCs/>
          <w:lang w:val="fr-FR" w:eastAsia="de-DE"/>
        </w:rPr>
        <w:t>et</w:t>
      </w:r>
      <w:r w:rsidRPr="00E773DC">
        <w:rPr>
          <w:b/>
          <w:bCs/>
          <w:lang w:val="fr-FR" w:eastAsia="de-DE"/>
        </w:rPr>
        <w:t xml:space="preserve"> 60</w:t>
      </w:r>
      <w:r>
        <w:rPr>
          <w:b/>
          <w:bCs/>
          <w:lang w:val="fr-FR" w:eastAsia="de-DE"/>
        </w:rPr>
        <w:t> </w:t>
      </w:r>
      <w:r w:rsidRPr="00E773DC">
        <w:rPr>
          <w:b/>
          <w:bCs/>
          <w:lang w:val="fr-FR" w:eastAsia="de-DE"/>
        </w:rPr>
        <w:t>% de la charge maximale du véhicule</w:t>
      </w:r>
      <w:r w:rsidR="00F72B31" w:rsidRPr="00F72B31">
        <w:rPr>
          <w:b/>
          <w:bCs/>
          <w:lang w:val="fr-FR" w:eastAsia="de-DE"/>
        </w:rPr>
        <w:t>.</w:t>
      </w:r>
      <w:r w:rsidRPr="00E773DC">
        <w:rPr>
          <w:b/>
          <w:bCs/>
          <w:lang w:val="fr-FR" w:eastAsia="de-DE"/>
        </w:rPr>
        <w:t xml:space="preserve"> Un écart par rapport à cette fourchette peut être convenu avec l</w:t>
      </w:r>
      <w:r>
        <w:rPr>
          <w:b/>
          <w:bCs/>
          <w:lang w:val="fr-FR" w:eastAsia="de-DE"/>
        </w:rPr>
        <w:t>’</w:t>
      </w:r>
      <w:r w:rsidRPr="00E773DC">
        <w:rPr>
          <w:b/>
          <w:bCs/>
          <w:lang w:val="fr-FR" w:eastAsia="de-DE"/>
        </w:rPr>
        <w:t>autorité d</w:t>
      </w:r>
      <w:r>
        <w:rPr>
          <w:b/>
          <w:bCs/>
          <w:lang w:val="fr-FR" w:eastAsia="de-DE"/>
        </w:rPr>
        <w:t>’</w:t>
      </w:r>
      <w:r w:rsidRPr="00E773DC">
        <w:rPr>
          <w:b/>
          <w:bCs/>
          <w:lang w:val="fr-FR" w:eastAsia="de-DE"/>
        </w:rPr>
        <w:t>homologation</w:t>
      </w:r>
      <w:r w:rsidR="00F72B31" w:rsidRPr="00F72B31">
        <w:rPr>
          <w:b/>
          <w:bCs/>
          <w:lang w:val="fr-FR" w:eastAsia="de-DE"/>
        </w:rPr>
        <w:t>.</w:t>
      </w:r>
      <w:r w:rsidRPr="00E773DC">
        <w:rPr>
          <w:b/>
          <w:bCs/>
          <w:lang w:val="fr-FR" w:eastAsia="de-DE"/>
        </w:rPr>
        <w:t xml:space="preserve"> La raison de cet écart doit être indiquée dans le </w:t>
      </w:r>
      <w:r>
        <w:rPr>
          <w:b/>
          <w:bCs/>
          <w:lang w:val="fr-FR" w:eastAsia="de-DE"/>
        </w:rPr>
        <w:t>procès-verbal</w:t>
      </w:r>
      <w:r w:rsidRPr="00E773DC">
        <w:rPr>
          <w:b/>
          <w:bCs/>
          <w:lang w:val="fr-FR" w:eastAsia="de-DE"/>
        </w:rPr>
        <w:t xml:space="preserve"> d</w:t>
      </w:r>
      <w:r>
        <w:rPr>
          <w:b/>
          <w:bCs/>
          <w:lang w:val="fr-FR" w:eastAsia="de-DE"/>
        </w:rPr>
        <w:t>’</w:t>
      </w:r>
      <w:r w:rsidRPr="00E773DC">
        <w:rPr>
          <w:b/>
          <w:bCs/>
          <w:lang w:val="fr-FR" w:eastAsia="de-DE"/>
        </w:rPr>
        <w:t>essai</w:t>
      </w:r>
      <w:r w:rsidR="00F72B31" w:rsidRPr="00F72B31">
        <w:rPr>
          <w:b/>
          <w:bCs/>
          <w:lang w:val="fr-FR" w:eastAsia="de-DE"/>
        </w:rPr>
        <w:t>.</w:t>
      </w:r>
      <w:r w:rsidRPr="00E773DC">
        <w:rPr>
          <w:b/>
          <w:bCs/>
          <w:lang w:val="fr-FR" w:eastAsia="de-DE"/>
        </w:rPr>
        <w:t xml:space="preserve"> </w:t>
      </w:r>
      <w:r w:rsidRPr="00DE3CB9">
        <w:rPr>
          <w:b/>
          <w:bCs/>
          <w:lang w:val="fr-FR" w:eastAsia="de-DE"/>
        </w:rPr>
        <w:t>Les prescriptions supplémentaires énoncées dans l</w:t>
      </w:r>
      <w:r>
        <w:rPr>
          <w:b/>
          <w:bCs/>
          <w:lang w:val="fr-FR" w:eastAsia="de-DE"/>
        </w:rPr>
        <w:t>’</w:t>
      </w:r>
      <w:r w:rsidRPr="00DE3CB9">
        <w:rPr>
          <w:b/>
          <w:bCs/>
          <w:lang w:val="fr-FR" w:eastAsia="de-DE"/>
        </w:rPr>
        <w:t>annexe 8 sont applicables</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4C8C4C57" w14:textId="77777777" w:rsidR="00B921D9" w:rsidRPr="00E773DC" w:rsidRDefault="00B921D9" w:rsidP="008F66F8">
      <w:pPr>
        <w:pStyle w:val="SingleTxtG"/>
        <w:keepNext/>
        <w:rPr>
          <w:lang w:val="fr-FR" w:eastAsia="de-DE"/>
        </w:rPr>
      </w:pPr>
      <w:r w:rsidRPr="00E773DC">
        <w:rPr>
          <w:i/>
          <w:iCs/>
          <w:lang w:val="fr-FR" w:eastAsia="de-DE"/>
        </w:rPr>
        <w:t>Annexe 10</w:t>
      </w:r>
    </w:p>
    <w:p w14:paraId="3D5976C1" w14:textId="77777777" w:rsidR="00B921D9" w:rsidRPr="00E773DC" w:rsidRDefault="00B921D9" w:rsidP="00B921D9">
      <w:pPr>
        <w:pStyle w:val="SingleTxtG"/>
        <w:rPr>
          <w:lang w:val="fr-FR" w:eastAsia="de-DE"/>
        </w:rPr>
      </w:pPr>
      <w:r w:rsidRPr="00E773DC">
        <w:rPr>
          <w:i/>
          <w:iCs/>
          <w:lang w:val="fr-FR" w:eastAsia="de-DE"/>
        </w:rPr>
        <w:t>Ajouter un nouvel appendice 2</w:t>
      </w:r>
      <w:r w:rsidRPr="00E773DC">
        <w:rPr>
          <w:lang w:val="fr-FR" w:eastAsia="de-DE"/>
        </w:rPr>
        <w:t>, libellé comme suit :</w:t>
      </w:r>
    </w:p>
    <w:p w14:paraId="2C2D9917" w14:textId="77777777" w:rsidR="00B921D9" w:rsidRPr="00E773DC" w:rsidRDefault="00B921D9" w:rsidP="00B921D9">
      <w:pPr>
        <w:pStyle w:val="SingleTxtG"/>
        <w:spacing w:before="240" w:after="360"/>
        <w:ind w:left="2268" w:hanging="2268"/>
        <w:rPr>
          <w:b/>
          <w:bCs/>
          <w:sz w:val="28"/>
          <w:szCs w:val="28"/>
          <w:lang w:val="fr-FR" w:eastAsia="de-DE"/>
        </w:rPr>
      </w:pPr>
      <w:r w:rsidRPr="00E773DC">
        <w:rPr>
          <w:lang w:val="fr-FR" w:eastAsia="de-DE"/>
        </w:rPr>
        <w:t>« </w:t>
      </w:r>
      <w:r w:rsidRPr="00E773DC">
        <w:rPr>
          <w:b/>
          <w:bCs/>
          <w:sz w:val="28"/>
          <w:szCs w:val="28"/>
          <w:lang w:val="fr-FR" w:eastAsia="de-DE"/>
        </w:rPr>
        <w:t>A</w:t>
      </w:r>
      <w:r w:rsidRPr="00DE3CB9">
        <w:rPr>
          <w:b/>
          <w:bCs/>
          <w:sz w:val="28"/>
          <w:szCs w:val="28"/>
          <w:lang w:val="fr-FR" w:eastAsia="de-DE"/>
        </w:rPr>
        <w:t>ppendice</w:t>
      </w:r>
      <w:r w:rsidRPr="00E773DC">
        <w:rPr>
          <w:b/>
          <w:bCs/>
          <w:sz w:val="28"/>
          <w:szCs w:val="28"/>
          <w:lang w:val="fr-FR" w:eastAsia="de-DE"/>
        </w:rPr>
        <w:t xml:space="preserve"> 2</w:t>
      </w:r>
    </w:p>
    <w:p w14:paraId="6C56CC10" w14:textId="77777777" w:rsidR="00B921D9" w:rsidRPr="00E773DC" w:rsidRDefault="00B921D9" w:rsidP="00B921D9">
      <w:pPr>
        <w:pStyle w:val="SingleTxtG"/>
        <w:spacing w:after="240"/>
        <w:jc w:val="left"/>
        <w:rPr>
          <w:b/>
          <w:bCs/>
          <w:sz w:val="28"/>
          <w:szCs w:val="28"/>
          <w:lang w:val="fr-FR" w:eastAsia="de-DE"/>
        </w:rPr>
      </w:pPr>
      <w:r w:rsidRPr="00E773DC">
        <w:rPr>
          <w:b/>
          <w:bCs/>
          <w:sz w:val="28"/>
          <w:szCs w:val="28"/>
          <w:lang w:val="fr-FR" w:eastAsia="de-DE"/>
        </w:rPr>
        <w:t>Métho</w:t>
      </w:r>
      <w:r>
        <w:rPr>
          <w:b/>
          <w:bCs/>
          <w:sz w:val="28"/>
          <w:szCs w:val="28"/>
          <w:lang w:val="fr-FR" w:eastAsia="de-DE"/>
        </w:rPr>
        <w:t>d</w:t>
      </w:r>
      <w:r w:rsidRPr="00E773DC">
        <w:rPr>
          <w:b/>
          <w:bCs/>
          <w:sz w:val="28"/>
          <w:szCs w:val="28"/>
          <w:lang w:val="fr-FR" w:eastAsia="de-DE"/>
        </w:rPr>
        <w:t>e</w:t>
      </w:r>
      <w:r>
        <w:rPr>
          <w:b/>
          <w:bCs/>
          <w:sz w:val="28"/>
          <w:szCs w:val="28"/>
          <w:lang w:val="fr-FR" w:eastAsia="de-DE"/>
        </w:rPr>
        <w:t xml:space="preserve"> d’</w:t>
      </w:r>
      <w:r w:rsidRPr="00E773DC">
        <w:rPr>
          <w:b/>
          <w:bCs/>
          <w:sz w:val="28"/>
          <w:szCs w:val="28"/>
          <w:lang w:val="fr-FR" w:eastAsia="de-DE"/>
        </w:rPr>
        <w:t xml:space="preserve">évaluation de </w:t>
      </w:r>
      <w:r>
        <w:rPr>
          <w:b/>
          <w:bCs/>
          <w:sz w:val="28"/>
          <w:szCs w:val="28"/>
          <w:lang w:val="fr-FR" w:eastAsia="de-DE"/>
        </w:rPr>
        <w:t>la stratégie auxiliaire de limitation des émissions</w:t>
      </w:r>
    </w:p>
    <w:p w14:paraId="58DF714E" w14:textId="77777777" w:rsidR="00B921D9" w:rsidRPr="00E773DC" w:rsidRDefault="00B921D9" w:rsidP="00B921D9">
      <w:pPr>
        <w:pStyle w:val="SingleTxtG"/>
        <w:ind w:left="2268"/>
        <w:rPr>
          <w:b/>
          <w:bCs/>
          <w:lang w:val="fr-FR" w:eastAsia="de-DE"/>
        </w:rPr>
      </w:pPr>
      <w:r w:rsidRPr="00E773DC">
        <w:rPr>
          <w:b/>
          <w:bCs/>
          <w:lang w:val="fr-FR" w:eastAsia="de-DE"/>
        </w:rPr>
        <w:t>Aux fins de l</w:t>
      </w:r>
      <w:r>
        <w:rPr>
          <w:b/>
          <w:bCs/>
          <w:lang w:val="fr-FR" w:eastAsia="de-DE"/>
        </w:rPr>
        <w:t>’</w:t>
      </w:r>
      <w:r w:rsidRPr="00E773DC">
        <w:rPr>
          <w:b/>
          <w:bCs/>
          <w:lang w:val="fr-FR" w:eastAsia="de-DE"/>
        </w:rPr>
        <w:t>évaluation de l</w:t>
      </w:r>
      <w:r>
        <w:rPr>
          <w:b/>
          <w:bCs/>
          <w:lang w:val="fr-FR" w:eastAsia="de-DE"/>
        </w:rPr>
        <w:t>a stratégie auxiliaire de limitation des émissions (</w:t>
      </w:r>
      <w:r w:rsidRPr="00E773DC">
        <w:rPr>
          <w:b/>
          <w:bCs/>
          <w:lang w:val="fr-FR" w:eastAsia="de-DE"/>
        </w:rPr>
        <w:t>AES</w:t>
      </w:r>
      <w:r>
        <w:rPr>
          <w:b/>
          <w:bCs/>
          <w:lang w:val="fr-FR" w:eastAsia="de-DE"/>
        </w:rPr>
        <w:t>)</w:t>
      </w:r>
      <w:r w:rsidRPr="00E773DC">
        <w:rPr>
          <w:b/>
          <w:bCs/>
          <w:lang w:val="fr-FR" w:eastAsia="de-DE"/>
        </w:rPr>
        <w:t>, l</w:t>
      </w:r>
      <w:r>
        <w:rPr>
          <w:b/>
          <w:bCs/>
          <w:lang w:val="fr-FR" w:eastAsia="de-DE"/>
        </w:rPr>
        <w:t>’</w:t>
      </w:r>
      <w:r w:rsidRPr="00E773DC">
        <w:rPr>
          <w:b/>
          <w:bCs/>
          <w:lang w:val="fr-FR" w:eastAsia="de-DE"/>
        </w:rPr>
        <w:t>autorité d</w:t>
      </w:r>
      <w:r>
        <w:rPr>
          <w:b/>
          <w:bCs/>
          <w:lang w:val="fr-FR" w:eastAsia="de-DE"/>
        </w:rPr>
        <w:t>’</w:t>
      </w:r>
      <w:r w:rsidRPr="00E773DC">
        <w:rPr>
          <w:b/>
          <w:bCs/>
          <w:lang w:val="fr-FR" w:eastAsia="de-DE"/>
        </w:rPr>
        <w:t xml:space="preserve">homologation </w:t>
      </w:r>
      <w:r>
        <w:rPr>
          <w:b/>
          <w:bCs/>
          <w:lang w:val="fr-FR" w:eastAsia="de-DE"/>
        </w:rPr>
        <w:t xml:space="preserve">doit </w:t>
      </w:r>
      <w:r w:rsidRPr="00E773DC">
        <w:rPr>
          <w:b/>
          <w:bCs/>
          <w:lang w:val="fr-FR" w:eastAsia="de-DE"/>
        </w:rPr>
        <w:t>vérif</w:t>
      </w:r>
      <w:r>
        <w:rPr>
          <w:b/>
          <w:bCs/>
          <w:lang w:val="fr-FR" w:eastAsia="de-DE"/>
        </w:rPr>
        <w:t>ier</w:t>
      </w:r>
      <w:r w:rsidRPr="00E773DC">
        <w:rPr>
          <w:b/>
          <w:bCs/>
          <w:lang w:val="fr-FR" w:eastAsia="de-DE"/>
        </w:rPr>
        <w:t xml:space="preserve"> au moins </w:t>
      </w:r>
      <w:r>
        <w:rPr>
          <w:b/>
          <w:bCs/>
          <w:lang w:val="fr-FR" w:eastAsia="de-DE"/>
        </w:rPr>
        <w:t>que</w:t>
      </w:r>
      <w:r w:rsidRPr="00E773DC">
        <w:rPr>
          <w:b/>
          <w:bCs/>
          <w:lang w:val="fr-FR" w:eastAsia="de-DE"/>
        </w:rPr>
        <w:t xml:space="preserve"> les </w:t>
      </w:r>
      <w:r>
        <w:rPr>
          <w:b/>
          <w:bCs/>
          <w:lang w:val="fr-FR" w:eastAsia="de-DE"/>
        </w:rPr>
        <w:t>dispositions</w:t>
      </w:r>
      <w:r w:rsidRPr="00E773DC">
        <w:rPr>
          <w:b/>
          <w:bCs/>
          <w:lang w:val="fr-FR" w:eastAsia="de-DE"/>
        </w:rPr>
        <w:t xml:space="preserve"> énoncées dans le présent appendice sont remplies</w:t>
      </w:r>
      <w:r w:rsidR="00F72B31" w:rsidRPr="00F72B31">
        <w:rPr>
          <w:b/>
          <w:bCs/>
          <w:lang w:val="fr-FR" w:eastAsia="de-DE"/>
        </w:rPr>
        <w:t>.</w:t>
      </w:r>
    </w:p>
    <w:p w14:paraId="0F0AA1F8" w14:textId="77777777" w:rsidR="00B921D9" w:rsidRPr="00E773DC" w:rsidRDefault="00B921D9" w:rsidP="00B921D9">
      <w:pPr>
        <w:pStyle w:val="SingleTxtG"/>
        <w:ind w:left="2268" w:hanging="1134"/>
        <w:rPr>
          <w:b/>
          <w:bCs/>
          <w:lang w:val="fr-FR" w:eastAsia="de-DE"/>
        </w:rPr>
      </w:pPr>
      <w:r w:rsidRPr="00E773DC">
        <w:rPr>
          <w:b/>
          <w:bCs/>
          <w:lang w:val="fr-FR" w:eastAsia="de-DE"/>
        </w:rPr>
        <w:t>1</w:t>
      </w:r>
      <w:r w:rsidR="00F72B31" w:rsidRPr="00F72B31">
        <w:rPr>
          <w:b/>
          <w:bCs/>
          <w:lang w:val="fr-FR" w:eastAsia="de-DE"/>
        </w:rPr>
        <w:t>.</w:t>
      </w:r>
      <w:r w:rsidRPr="00E773DC">
        <w:rPr>
          <w:b/>
          <w:bCs/>
          <w:lang w:val="fr-FR" w:eastAsia="de-DE"/>
        </w:rPr>
        <w:tab/>
        <w:t>L</w:t>
      </w:r>
      <w:r>
        <w:rPr>
          <w:b/>
          <w:bCs/>
          <w:lang w:val="fr-FR" w:eastAsia="de-DE"/>
        </w:rPr>
        <w:t>’</w:t>
      </w:r>
      <w:r w:rsidRPr="00E773DC">
        <w:rPr>
          <w:b/>
          <w:bCs/>
          <w:lang w:val="fr-FR" w:eastAsia="de-DE"/>
        </w:rPr>
        <w:t>augmentation des émissions induite par l</w:t>
      </w:r>
      <w:r>
        <w:rPr>
          <w:b/>
          <w:bCs/>
          <w:lang w:val="fr-FR" w:eastAsia="de-DE"/>
        </w:rPr>
        <w:t>’</w:t>
      </w:r>
      <w:r w:rsidRPr="00E773DC">
        <w:rPr>
          <w:b/>
          <w:bCs/>
          <w:lang w:val="fr-FR" w:eastAsia="de-DE"/>
        </w:rPr>
        <w:t>AES doit être maintenue au niveau le plus bas possible :</w:t>
      </w:r>
    </w:p>
    <w:p w14:paraId="25F45866" w14:textId="77777777" w:rsidR="00B921D9" w:rsidRPr="00E773DC" w:rsidRDefault="00B921D9" w:rsidP="00B921D9">
      <w:pPr>
        <w:pStyle w:val="SingleTxtG"/>
        <w:ind w:left="2835" w:hanging="567"/>
        <w:rPr>
          <w:b/>
          <w:bCs/>
          <w:lang w:val="fr-FR" w:eastAsia="de-DE"/>
        </w:rPr>
      </w:pPr>
      <w:r w:rsidRPr="00E773DC">
        <w:rPr>
          <w:b/>
          <w:bCs/>
          <w:lang w:val="fr-FR" w:eastAsia="de-DE"/>
        </w:rPr>
        <w:t>a)</w:t>
      </w:r>
      <w:r w:rsidRPr="00E773DC">
        <w:rPr>
          <w:b/>
          <w:bCs/>
          <w:lang w:val="fr-FR" w:eastAsia="de-DE"/>
        </w:rPr>
        <w:tab/>
        <w:t>L</w:t>
      </w:r>
      <w:r>
        <w:rPr>
          <w:b/>
          <w:bCs/>
          <w:lang w:val="fr-FR" w:eastAsia="de-DE"/>
        </w:rPr>
        <w:t>’</w:t>
      </w:r>
      <w:r w:rsidRPr="00E773DC">
        <w:rPr>
          <w:b/>
          <w:bCs/>
          <w:lang w:val="fr-FR" w:eastAsia="de-DE"/>
        </w:rPr>
        <w:t>augmentation des émissions totales lors de l</w:t>
      </w:r>
      <w:r>
        <w:rPr>
          <w:b/>
          <w:bCs/>
          <w:lang w:val="fr-FR" w:eastAsia="de-DE"/>
        </w:rPr>
        <w:t>’</w:t>
      </w:r>
      <w:r w:rsidRPr="00E773DC">
        <w:rPr>
          <w:b/>
          <w:bCs/>
          <w:lang w:val="fr-FR" w:eastAsia="de-DE"/>
        </w:rPr>
        <w:t>utilisation d</w:t>
      </w:r>
      <w:r>
        <w:rPr>
          <w:b/>
          <w:bCs/>
          <w:lang w:val="fr-FR" w:eastAsia="de-DE"/>
        </w:rPr>
        <w:t>’</w:t>
      </w:r>
      <w:r w:rsidRPr="00E773DC">
        <w:rPr>
          <w:b/>
          <w:bCs/>
          <w:lang w:val="fr-FR" w:eastAsia="de-DE"/>
        </w:rPr>
        <w:t>une AES doit être maintenue au niveau le plus bas possible tout au long de l</w:t>
      </w:r>
      <w:r>
        <w:rPr>
          <w:b/>
          <w:bCs/>
          <w:lang w:val="fr-FR" w:eastAsia="de-DE"/>
        </w:rPr>
        <w:t>’</w:t>
      </w:r>
      <w:r w:rsidRPr="00E773DC">
        <w:rPr>
          <w:b/>
          <w:bCs/>
          <w:lang w:val="fr-FR" w:eastAsia="de-DE"/>
        </w:rPr>
        <w:t>utilisation et de la vie normales des véhicules ;</w:t>
      </w:r>
    </w:p>
    <w:p w14:paraId="29F00877" w14:textId="77777777" w:rsidR="00B921D9" w:rsidRPr="00E773DC" w:rsidRDefault="00B921D9" w:rsidP="00B921D9">
      <w:pPr>
        <w:pStyle w:val="SingleTxtG"/>
        <w:ind w:left="2835" w:hanging="567"/>
        <w:rPr>
          <w:b/>
          <w:bCs/>
          <w:lang w:val="fr-FR" w:eastAsia="de-DE"/>
        </w:rPr>
      </w:pPr>
      <w:r w:rsidRPr="00E773DC">
        <w:rPr>
          <w:b/>
          <w:bCs/>
          <w:lang w:val="fr-FR" w:eastAsia="de-DE"/>
        </w:rPr>
        <w:t>b)</w:t>
      </w:r>
      <w:r w:rsidRPr="00E773DC">
        <w:rPr>
          <w:b/>
          <w:bCs/>
          <w:lang w:val="fr-FR" w:eastAsia="de-DE"/>
        </w:rPr>
        <w:tab/>
        <w:t>Lorsqu</w:t>
      </w:r>
      <w:r>
        <w:rPr>
          <w:b/>
          <w:bCs/>
          <w:lang w:val="fr-FR" w:eastAsia="de-DE"/>
        </w:rPr>
        <w:t>’</w:t>
      </w:r>
      <w:r w:rsidRPr="00E773DC">
        <w:rPr>
          <w:b/>
          <w:bCs/>
          <w:lang w:val="fr-FR" w:eastAsia="de-DE"/>
        </w:rPr>
        <w:t>une technologie ou une conception permettant d</w:t>
      </w:r>
      <w:r>
        <w:rPr>
          <w:b/>
          <w:bCs/>
          <w:lang w:val="fr-FR" w:eastAsia="de-DE"/>
        </w:rPr>
        <w:t>’</w:t>
      </w:r>
      <w:r w:rsidRPr="00E773DC">
        <w:rPr>
          <w:b/>
          <w:bCs/>
          <w:lang w:val="fr-FR" w:eastAsia="de-DE"/>
        </w:rPr>
        <w:t>améliorer l</w:t>
      </w:r>
      <w:r>
        <w:rPr>
          <w:b/>
          <w:bCs/>
          <w:lang w:val="fr-FR" w:eastAsia="de-DE"/>
        </w:rPr>
        <w:t>a limitation</w:t>
      </w:r>
      <w:r w:rsidRPr="00E773DC">
        <w:rPr>
          <w:b/>
          <w:bCs/>
          <w:lang w:val="fr-FR" w:eastAsia="de-DE"/>
        </w:rPr>
        <w:t xml:space="preserve"> des émissions est disponible sur le marché au moment de l</w:t>
      </w:r>
      <w:r>
        <w:rPr>
          <w:b/>
          <w:bCs/>
          <w:lang w:val="fr-FR" w:eastAsia="de-DE"/>
        </w:rPr>
        <w:t>’</w:t>
      </w:r>
      <w:r w:rsidRPr="00E773DC">
        <w:rPr>
          <w:b/>
          <w:bCs/>
          <w:lang w:val="fr-FR" w:eastAsia="de-DE"/>
        </w:rPr>
        <w:t>évaluation préliminaire de l</w:t>
      </w:r>
      <w:r>
        <w:rPr>
          <w:b/>
          <w:bCs/>
          <w:lang w:val="fr-FR" w:eastAsia="de-DE"/>
        </w:rPr>
        <w:t>’</w:t>
      </w:r>
      <w:r w:rsidRPr="00E773DC">
        <w:rPr>
          <w:b/>
          <w:bCs/>
          <w:lang w:val="fr-FR" w:eastAsia="de-DE"/>
        </w:rPr>
        <w:t xml:space="preserve">AES, elle doit être utilisée sans </w:t>
      </w:r>
      <w:r>
        <w:rPr>
          <w:b/>
          <w:bCs/>
          <w:lang w:val="fr-FR" w:eastAsia="de-DE"/>
        </w:rPr>
        <w:t>fluctu</w:t>
      </w:r>
      <w:r w:rsidRPr="00E773DC">
        <w:rPr>
          <w:b/>
          <w:bCs/>
          <w:lang w:val="fr-FR" w:eastAsia="de-DE"/>
        </w:rPr>
        <w:t>ation injustifiée</w:t>
      </w:r>
      <w:r w:rsidR="00F72B31" w:rsidRPr="00F72B31">
        <w:rPr>
          <w:b/>
          <w:bCs/>
          <w:lang w:val="fr-FR" w:eastAsia="de-DE"/>
        </w:rPr>
        <w:t>.</w:t>
      </w:r>
    </w:p>
    <w:p w14:paraId="788174AD" w14:textId="77777777" w:rsidR="00B921D9" w:rsidRPr="00E773DC" w:rsidRDefault="00B921D9" w:rsidP="00B921D9">
      <w:pPr>
        <w:pStyle w:val="SingleTxtG"/>
        <w:ind w:left="2268" w:hanging="1134"/>
        <w:rPr>
          <w:b/>
          <w:bCs/>
          <w:lang w:val="fr-FR" w:eastAsia="de-DE"/>
        </w:rPr>
      </w:pPr>
      <w:r w:rsidRPr="00E773DC">
        <w:rPr>
          <w:b/>
          <w:bCs/>
          <w:lang w:val="fr-FR" w:eastAsia="de-DE"/>
        </w:rPr>
        <w:t>2</w:t>
      </w:r>
      <w:r w:rsidR="00F72B31" w:rsidRPr="00F72B31">
        <w:rPr>
          <w:b/>
          <w:bCs/>
          <w:lang w:val="fr-FR" w:eastAsia="de-DE"/>
        </w:rPr>
        <w:t>.</w:t>
      </w:r>
      <w:r w:rsidRPr="00E773DC">
        <w:rPr>
          <w:b/>
          <w:bCs/>
          <w:lang w:val="fr-FR" w:eastAsia="de-DE"/>
        </w:rPr>
        <w:tab/>
        <w:t>Lorsqu</w:t>
      </w:r>
      <w:r>
        <w:rPr>
          <w:b/>
          <w:bCs/>
          <w:lang w:val="fr-FR" w:eastAsia="de-DE"/>
        </w:rPr>
        <w:t>’</w:t>
      </w:r>
      <w:r w:rsidRPr="00E773DC">
        <w:rPr>
          <w:b/>
          <w:bCs/>
          <w:lang w:val="fr-FR" w:eastAsia="de-DE"/>
        </w:rPr>
        <w:t>il est utilisé pour justifier une AES, le risque d</w:t>
      </w:r>
      <w:r>
        <w:rPr>
          <w:b/>
          <w:bCs/>
          <w:lang w:val="fr-FR" w:eastAsia="de-DE"/>
        </w:rPr>
        <w:t>’</w:t>
      </w:r>
      <w:r w:rsidRPr="00E773DC">
        <w:rPr>
          <w:b/>
          <w:bCs/>
          <w:lang w:val="fr-FR" w:eastAsia="de-DE"/>
        </w:rPr>
        <w:t xml:space="preserve">endommagement soudain et irréparable du moteur doit être démontré et </w:t>
      </w:r>
      <w:r>
        <w:rPr>
          <w:b/>
          <w:bCs/>
          <w:lang w:val="fr-FR" w:eastAsia="de-DE"/>
        </w:rPr>
        <w:t xml:space="preserve">étayé </w:t>
      </w:r>
      <w:r w:rsidRPr="002C1F8B">
        <w:rPr>
          <w:b/>
          <w:bCs/>
          <w:lang w:val="fr-FR" w:eastAsia="de-DE"/>
        </w:rPr>
        <w:t xml:space="preserve">par des documents </w:t>
      </w:r>
      <w:r w:rsidRPr="00E773DC">
        <w:rPr>
          <w:b/>
          <w:bCs/>
          <w:lang w:val="fr-FR" w:eastAsia="de-DE"/>
        </w:rPr>
        <w:t xml:space="preserve">de manière appropriée, y compris les </w:t>
      </w:r>
      <w:r>
        <w:rPr>
          <w:b/>
          <w:bCs/>
          <w:lang w:val="fr-FR" w:eastAsia="de-DE"/>
        </w:rPr>
        <w:t>renseignements</w:t>
      </w:r>
      <w:r w:rsidRPr="00E773DC">
        <w:rPr>
          <w:b/>
          <w:bCs/>
          <w:lang w:val="fr-FR" w:eastAsia="de-DE"/>
        </w:rPr>
        <w:t xml:space="preserve"> suivants :</w:t>
      </w:r>
    </w:p>
    <w:p w14:paraId="1965FA93" w14:textId="77777777" w:rsidR="00B921D9" w:rsidRPr="00E773DC" w:rsidRDefault="00B921D9" w:rsidP="00B921D9">
      <w:pPr>
        <w:pStyle w:val="SingleTxtG"/>
        <w:ind w:left="2835" w:hanging="567"/>
        <w:rPr>
          <w:b/>
          <w:bCs/>
          <w:lang w:val="fr-FR" w:eastAsia="de-DE"/>
        </w:rPr>
      </w:pPr>
      <w:r w:rsidRPr="00E773DC">
        <w:rPr>
          <w:b/>
          <w:bCs/>
          <w:lang w:val="fr-FR" w:eastAsia="de-DE"/>
        </w:rPr>
        <w:t>a)</w:t>
      </w:r>
      <w:r w:rsidRPr="00E773DC">
        <w:rPr>
          <w:b/>
          <w:bCs/>
          <w:lang w:val="fr-FR" w:eastAsia="de-DE"/>
        </w:rPr>
        <w:tab/>
        <w:t>La preuve de dommages catastrophiques (c</w:t>
      </w:r>
      <w:r>
        <w:rPr>
          <w:b/>
          <w:bCs/>
          <w:lang w:val="fr-FR" w:eastAsia="de-DE"/>
        </w:rPr>
        <w:t>’</w:t>
      </w:r>
      <w:r w:rsidRPr="00E773DC">
        <w:rPr>
          <w:b/>
          <w:bCs/>
          <w:lang w:val="fr-FR" w:eastAsia="de-DE"/>
        </w:rPr>
        <w:t>est-à-dire soudains et irréparables) au moteur doit être fournie par le constructeur, ainsi qu</w:t>
      </w:r>
      <w:r>
        <w:rPr>
          <w:b/>
          <w:bCs/>
          <w:lang w:val="fr-FR" w:eastAsia="de-DE"/>
        </w:rPr>
        <w:t>’</w:t>
      </w:r>
      <w:r w:rsidRPr="00E773DC">
        <w:rPr>
          <w:b/>
          <w:bCs/>
          <w:lang w:val="fr-FR" w:eastAsia="de-DE"/>
        </w:rPr>
        <w:t>une évaluation des risques compren</w:t>
      </w:r>
      <w:r>
        <w:rPr>
          <w:b/>
          <w:bCs/>
          <w:lang w:val="fr-FR" w:eastAsia="de-DE"/>
        </w:rPr>
        <w:t>ant</w:t>
      </w:r>
      <w:r w:rsidRPr="00E773DC">
        <w:rPr>
          <w:b/>
          <w:bCs/>
          <w:lang w:val="fr-FR" w:eastAsia="de-DE"/>
        </w:rPr>
        <w:t xml:space="preserve"> une évaluation de la probabilité que </w:t>
      </w:r>
      <w:r>
        <w:rPr>
          <w:b/>
          <w:bCs/>
          <w:lang w:val="fr-FR" w:eastAsia="de-DE"/>
        </w:rPr>
        <w:t>c</w:t>
      </w:r>
      <w:r w:rsidRPr="00E773DC">
        <w:rPr>
          <w:b/>
          <w:bCs/>
          <w:lang w:val="fr-FR" w:eastAsia="de-DE"/>
        </w:rPr>
        <w:t xml:space="preserve">e risque se </w:t>
      </w:r>
      <w:r w:rsidRPr="00051958">
        <w:rPr>
          <w:b/>
          <w:bCs/>
          <w:lang w:val="fr-FR" w:eastAsia="de-DE"/>
        </w:rPr>
        <w:t xml:space="preserve">concrétise </w:t>
      </w:r>
      <w:r w:rsidRPr="00E773DC">
        <w:rPr>
          <w:b/>
          <w:bCs/>
          <w:lang w:val="fr-FR" w:eastAsia="de-DE"/>
        </w:rPr>
        <w:t>et de la gravité des conséquences possibles, y compris les résultats d</w:t>
      </w:r>
      <w:r>
        <w:rPr>
          <w:b/>
          <w:bCs/>
          <w:lang w:val="fr-FR" w:eastAsia="de-DE"/>
        </w:rPr>
        <w:t>’</w:t>
      </w:r>
      <w:r w:rsidRPr="00E773DC">
        <w:rPr>
          <w:b/>
          <w:bCs/>
          <w:lang w:val="fr-FR" w:eastAsia="de-DE"/>
        </w:rPr>
        <w:t>essais effectués à cet effet ;</w:t>
      </w:r>
    </w:p>
    <w:p w14:paraId="784A9844" w14:textId="77777777" w:rsidR="00B921D9" w:rsidRPr="00E773DC" w:rsidRDefault="00B921D9" w:rsidP="00B921D9">
      <w:pPr>
        <w:pStyle w:val="SingleTxtG"/>
        <w:ind w:left="2835" w:hanging="567"/>
        <w:rPr>
          <w:b/>
          <w:bCs/>
          <w:lang w:val="fr-FR" w:eastAsia="de-DE"/>
        </w:rPr>
      </w:pPr>
      <w:r w:rsidRPr="00E773DC">
        <w:rPr>
          <w:b/>
          <w:bCs/>
          <w:lang w:val="fr-FR" w:eastAsia="de-DE"/>
        </w:rPr>
        <w:t>b)</w:t>
      </w:r>
      <w:r w:rsidRPr="00E773DC">
        <w:rPr>
          <w:b/>
          <w:bCs/>
          <w:lang w:val="fr-FR" w:eastAsia="de-DE"/>
        </w:rPr>
        <w:tab/>
        <w:t>Lorsqu</w:t>
      </w:r>
      <w:r>
        <w:rPr>
          <w:b/>
          <w:bCs/>
          <w:lang w:val="fr-FR" w:eastAsia="de-DE"/>
        </w:rPr>
        <w:t>’</w:t>
      </w:r>
      <w:r w:rsidRPr="00E773DC">
        <w:rPr>
          <w:b/>
          <w:bCs/>
          <w:lang w:val="fr-FR" w:eastAsia="de-DE"/>
        </w:rPr>
        <w:t>une technologie ou une conception élimin</w:t>
      </w:r>
      <w:r>
        <w:rPr>
          <w:b/>
          <w:bCs/>
          <w:lang w:val="fr-FR" w:eastAsia="de-DE"/>
        </w:rPr>
        <w:t>ant</w:t>
      </w:r>
      <w:r w:rsidRPr="00E773DC">
        <w:rPr>
          <w:b/>
          <w:bCs/>
          <w:lang w:val="fr-FR" w:eastAsia="de-DE"/>
        </w:rPr>
        <w:t xml:space="preserve"> ou rédui</w:t>
      </w:r>
      <w:r>
        <w:rPr>
          <w:b/>
          <w:bCs/>
          <w:lang w:val="fr-FR" w:eastAsia="de-DE"/>
        </w:rPr>
        <w:t>san</w:t>
      </w:r>
      <w:r w:rsidRPr="00E773DC">
        <w:rPr>
          <w:b/>
          <w:bCs/>
          <w:lang w:val="fr-FR" w:eastAsia="de-DE"/>
        </w:rPr>
        <w:t>t ce risque est disponible sur le marché au moment de l</w:t>
      </w:r>
      <w:r>
        <w:rPr>
          <w:b/>
          <w:bCs/>
          <w:lang w:val="fr-FR" w:eastAsia="de-DE"/>
        </w:rPr>
        <w:t>’</w:t>
      </w:r>
      <w:r w:rsidRPr="00E773DC">
        <w:rPr>
          <w:b/>
          <w:bCs/>
          <w:lang w:val="fr-FR" w:eastAsia="de-DE"/>
        </w:rPr>
        <w:t>application de l</w:t>
      </w:r>
      <w:r>
        <w:rPr>
          <w:b/>
          <w:bCs/>
          <w:lang w:val="fr-FR" w:eastAsia="de-DE"/>
        </w:rPr>
        <w:t>’</w:t>
      </w:r>
      <w:r w:rsidRPr="00E773DC">
        <w:rPr>
          <w:b/>
          <w:bCs/>
          <w:lang w:val="fr-FR" w:eastAsia="de-DE"/>
        </w:rPr>
        <w:t>AES, elle doit être utilisée dans la plus large mesure techniquement possible (c</w:t>
      </w:r>
      <w:r>
        <w:rPr>
          <w:b/>
          <w:bCs/>
          <w:lang w:val="fr-FR" w:eastAsia="de-DE"/>
        </w:rPr>
        <w:t>’</w:t>
      </w:r>
      <w:r w:rsidRPr="00E773DC">
        <w:rPr>
          <w:b/>
          <w:bCs/>
          <w:lang w:val="fr-FR" w:eastAsia="de-DE"/>
        </w:rPr>
        <w:t xml:space="preserve">est-à-dire sans </w:t>
      </w:r>
      <w:r>
        <w:rPr>
          <w:b/>
          <w:bCs/>
          <w:lang w:val="fr-FR" w:eastAsia="de-DE"/>
        </w:rPr>
        <w:t>fluctu</w:t>
      </w:r>
      <w:r w:rsidRPr="00E773DC">
        <w:rPr>
          <w:b/>
          <w:bCs/>
          <w:lang w:val="fr-FR" w:eastAsia="de-DE"/>
        </w:rPr>
        <w:t>ation injustifiée) ;</w:t>
      </w:r>
    </w:p>
    <w:p w14:paraId="60C051C0" w14:textId="77777777" w:rsidR="00B921D9" w:rsidRPr="00E773DC" w:rsidRDefault="00B921D9" w:rsidP="00B921D9">
      <w:pPr>
        <w:pStyle w:val="SingleTxtG"/>
        <w:ind w:left="2835" w:hanging="567"/>
        <w:rPr>
          <w:b/>
          <w:bCs/>
          <w:lang w:val="fr-FR" w:eastAsia="de-DE"/>
        </w:rPr>
      </w:pPr>
      <w:r w:rsidRPr="00E773DC">
        <w:rPr>
          <w:b/>
          <w:bCs/>
          <w:lang w:val="fr-FR" w:eastAsia="de-DE"/>
        </w:rPr>
        <w:t>c)</w:t>
      </w:r>
      <w:r w:rsidRPr="00E773DC">
        <w:rPr>
          <w:b/>
          <w:bCs/>
          <w:lang w:val="fr-FR" w:eastAsia="de-DE"/>
        </w:rPr>
        <w:tab/>
        <w:t xml:space="preserve">La durabilité et la protection à long terme du moteur ou des </w:t>
      </w:r>
      <w:r>
        <w:rPr>
          <w:b/>
          <w:bCs/>
          <w:lang w:val="fr-FR" w:eastAsia="de-DE"/>
        </w:rPr>
        <w:t>éléments</w:t>
      </w:r>
      <w:r w:rsidRPr="00E773DC">
        <w:rPr>
          <w:b/>
          <w:bCs/>
          <w:lang w:val="fr-FR" w:eastAsia="de-DE"/>
        </w:rPr>
        <w:t xml:space="preserve"> du système de </w:t>
      </w:r>
      <w:r>
        <w:rPr>
          <w:b/>
          <w:bCs/>
          <w:lang w:val="fr-FR" w:eastAsia="de-DE"/>
        </w:rPr>
        <w:t>limitation</w:t>
      </w:r>
      <w:r w:rsidRPr="00E773DC">
        <w:rPr>
          <w:b/>
          <w:bCs/>
          <w:lang w:val="fr-FR" w:eastAsia="de-DE"/>
        </w:rPr>
        <w:t xml:space="preserve"> des émissions contre l</w:t>
      </w:r>
      <w:r>
        <w:rPr>
          <w:b/>
          <w:bCs/>
          <w:lang w:val="fr-FR" w:eastAsia="de-DE"/>
        </w:rPr>
        <w:t>’</w:t>
      </w:r>
      <w:r w:rsidRPr="00E773DC">
        <w:rPr>
          <w:b/>
          <w:bCs/>
          <w:lang w:val="fr-FR" w:eastAsia="de-DE"/>
        </w:rPr>
        <w:t>usure et les dysfonctionnements ne sont pas considérées comme une raison acceptable pour accepter une AES</w:t>
      </w:r>
      <w:r w:rsidR="00F72B31" w:rsidRPr="00F72B31">
        <w:rPr>
          <w:b/>
          <w:bCs/>
          <w:lang w:val="fr-FR" w:eastAsia="de-DE"/>
        </w:rPr>
        <w:t>.</w:t>
      </w:r>
    </w:p>
    <w:p w14:paraId="4D0D2610" w14:textId="77777777" w:rsidR="00B921D9" w:rsidRPr="00E773DC" w:rsidRDefault="00B921D9" w:rsidP="00B921D9">
      <w:pPr>
        <w:pStyle w:val="SingleTxtG"/>
        <w:ind w:left="2268" w:hanging="1134"/>
        <w:rPr>
          <w:b/>
          <w:bCs/>
          <w:lang w:val="fr-FR" w:eastAsia="de-DE"/>
        </w:rPr>
      </w:pPr>
      <w:r w:rsidRPr="00E773DC">
        <w:rPr>
          <w:b/>
          <w:bCs/>
          <w:lang w:val="fr-FR" w:eastAsia="de-DE"/>
        </w:rPr>
        <w:t>3</w:t>
      </w:r>
      <w:r w:rsidR="00F72B31" w:rsidRPr="00F72B31">
        <w:rPr>
          <w:b/>
          <w:bCs/>
          <w:lang w:val="fr-FR" w:eastAsia="de-DE"/>
        </w:rPr>
        <w:t>.</w:t>
      </w:r>
      <w:r w:rsidRPr="00E773DC">
        <w:rPr>
          <w:b/>
          <w:bCs/>
          <w:lang w:val="fr-FR" w:eastAsia="de-DE"/>
        </w:rPr>
        <w:tab/>
        <w:t xml:space="preserve">Une description technique adéquate doit </w:t>
      </w:r>
      <w:r>
        <w:rPr>
          <w:b/>
          <w:bCs/>
          <w:lang w:val="fr-FR" w:eastAsia="de-DE"/>
        </w:rPr>
        <w:t>établir</w:t>
      </w:r>
      <w:r w:rsidRPr="00E773DC">
        <w:rPr>
          <w:b/>
          <w:bCs/>
          <w:lang w:val="fr-FR" w:eastAsia="de-DE"/>
        </w:rPr>
        <w:t xml:space="preserve"> les raisons pour lesquelles il est nécessaire d</w:t>
      </w:r>
      <w:r>
        <w:rPr>
          <w:b/>
          <w:bCs/>
          <w:lang w:val="fr-FR" w:eastAsia="de-DE"/>
        </w:rPr>
        <w:t>’</w:t>
      </w:r>
      <w:r w:rsidRPr="00E773DC">
        <w:rPr>
          <w:b/>
          <w:bCs/>
          <w:lang w:val="fr-FR" w:eastAsia="de-DE"/>
        </w:rPr>
        <w:t xml:space="preserve">utiliser une AES pour </w:t>
      </w:r>
      <w:r>
        <w:rPr>
          <w:b/>
          <w:bCs/>
          <w:lang w:val="fr-FR" w:eastAsia="de-DE"/>
        </w:rPr>
        <w:t xml:space="preserve">permettre au </w:t>
      </w:r>
      <w:r w:rsidRPr="00E773DC">
        <w:rPr>
          <w:b/>
          <w:bCs/>
          <w:lang w:val="fr-FR" w:eastAsia="de-DE"/>
        </w:rPr>
        <w:t>véhicul</w:t>
      </w:r>
      <w:r>
        <w:rPr>
          <w:b/>
          <w:bCs/>
          <w:lang w:val="fr-FR" w:eastAsia="de-DE"/>
        </w:rPr>
        <w:t>e</w:t>
      </w:r>
      <w:r w:rsidRPr="00E773DC">
        <w:rPr>
          <w:b/>
          <w:bCs/>
          <w:lang w:val="fr-FR" w:eastAsia="de-DE"/>
        </w:rPr>
        <w:t xml:space="preserve"> </w:t>
      </w:r>
      <w:r>
        <w:rPr>
          <w:b/>
          <w:bCs/>
          <w:lang w:val="fr-FR" w:eastAsia="de-DE"/>
        </w:rPr>
        <w:t xml:space="preserve">de fonctionner </w:t>
      </w:r>
      <w:r w:rsidRPr="00E773DC">
        <w:rPr>
          <w:b/>
          <w:bCs/>
          <w:lang w:val="fr-FR" w:eastAsia="de-DE"/>
        </w:rPr>
        <w:t>en toute sécurité :</w:t>
      </w:r>
    </w:p>
    <w:p w14:paraId="0C7A228F" w14:textId="77777777" w:rsidR="00B921D9" w:rsidRPr="00E773DC" w:rsidRDefault="00B921D9" w:rsidP="00B921D9">
      <w:pPr>
        <w:pStyle w:val="SingleTxtG"/>
        <w:ind w:left="2835" w:hanging="567"/>
        <w:rPr>
          <w:b/>
          <w:bCs/>
          <w:lang w:val="fr-FR" w:eastAsia="de-DE"/>
        </w:rPr>
      </w:pPr>
      <w:r w:rsidRPr="00E773DC">
        <w:rPr>
          <w:b/>
          <w:bCs/>
          <w:lang w:val="fr-FR" w:eastAsia="de-DE"/>
        </w:rPr>
        <w:t>a)</w:t>
      </w:r>
      <w:r w:rsidRPr="00E773DC">
        <w:rPr>
          <w:b/>
          <w:bCs/>
          <w:lang w:val="fr-FR" w:eastAsia="de-DE"/>
        </w:rPr>
        <w:tab/>
        <w:t>Le constructeur doit fourni</w:t>
      </w:r>
      <w:r>
        <w:rPr>
          <w:b/>
          <w:bCs/>
          <w:lang w:val="fr-FR" w:eastAsia="de-DE"/>
        </w:rPr>
        <w:t>r l</w:t>
      </w:r>
      <w:r w:rsidRPr="00E773DC">
        <w:rPr>
          <w:b/>
          <w:bCs/>
          <w:lang w:val="fr-FR" w:eastAsia="de-DE"/>
        </w:rPr>
        <w:t>a preuve d</w:t>
      </w:r>
      <w:r>
        <w:rPr>
          <w:b/>
          <w:bCs/>
          <w:lang w:val="fr-FR" w:eastAsia="de-DE"/>
        </w:rPr>
        <w:t>’</w:t>
      </w:r>
      <w:r w:rsidRPr="00E773DC">
        <w:rPr>
          <w:b/>
          <w:bCs/>
          <w:lang w:val="fr-FR" w:eastAsia="de-DE"/>
        </w:rPr>
        <w:t xml:space="preserve">un </w:t>
      </w:r>
      <w:r>
        <w:rPr>
          <w:b/>
          <w:bCs/>
          <w:lang w:val="fr-FR" w:eastAsia="de-DE"/>
        </w:rPr>
        <w:t xml:space="preserve">accroissement du </w:t>
      </w:r>
      <w:r w:rsidRPr="00E773DC">
        <w:rPr>
          <w:b/>
          <w:bCs/>
          <w:lang w:val="fr-FR" w:eastAsia="de-DE"/>
        </w:rPr>
        <w:t>risque pour la sécurité d</w:t>
      </w:r>
      <w:r>
        <w:rPr>
          <w:b/>
          <w:bCs/>
          <w:lang w:val="fr-FR" w:eastAsia="de-DE"/>
        </w:rPr>
        <w:t>’</w:t>
      </w:r>
      <w:r w:rsidRPr="00E773DC">
        <w:rPr>
          <w:b/>
          <w:bCs/>
          <w:lang w:val="fr-FR" w:eastAsia="de-DE"/>
        </w:rPr>
        <w:t>utilisation du véhicule en même temps qu</w:t>
      </w:r>
      <w:r>
        <w:rPr>
          <w:b/>
          <w:bCs/>
          <w:lang w:val="fr-FR" w:eastAsia="de-DE"/>
        </w:rPr>
        <w:t>’</w:t>
      </w:r>
      <w:r w:rsidRPr="00E773DC">
        <w:rPr>
          <w:b/>
          <w:bCs/>
          <w:lang w:val="fr-FR" w:eastAsia="de-DE"/>
        </w:rPr>
        <w:t>une évaluation des risques compren</w:t>
      </w:r>
      <w:r>
        <w:rPr>
          <w:b/>
          <w:bCs/>
          <w:lang w:val="fr-FR" w:eastAsia="de-DE"/>
        </w:rPr>
        <w:t>ant</w:t>
      </w:r>
      <w:r w:rsidRPr="00E773DC">
        <w:rPr>
          <w:b/>
          <w:bCs/>
          <w:lang w:val="fr-FR" w:eastAsia="de-DE"/>
        </w:rPr>
        <w:t xml:space="preserve"> une évaluation de la probabilité que </w:t>
      </w:r>
      <w:r>
        <w:rPr>
          <w:b/>
          <w:bCs/>
          <w:lang w:val="fr-FR" w:eastAsia="de-DE"/>
        </w:rPr>
        <w:t>ce</w:t>
      </w:r>
      <w:r w:rsidRPr="00E773DC">
        <w:rPr>
          <w:b/>
          <w:bCs/>
          <w:lang w:val="fr-FR" w:eastAsia="de-DE"/>
        </w:rPr>
        <w:t xml:space="preserve"> risque se </w:t>
      </w:r>
      <w:r w:rsidRPr="00051958">
        <w:rPr>
          <w:b/>
          <w:bCs/>
          <w:lang w:val="fr-FR" w:eastAsia="de-DE"/>
        </w:rPr>
        <w:t xml:space="preserve">concrétise </w:t>
      </w:r>
      <w:r w:rsidRPr="00E773DC">
        <w:rPr>
          <w:b/>
          <w:bCs/>
          <w:lang w:val="fr-FR" w:eastAsia="de-DE"/>
        </w:rPr>
        <w:t>et de la gravité des conséquences possibles, y compris les résultats d</w:t>
      </w:r>
      <w:r>
        <w:rPr>
          <w:b/>
          <w:bCs/>
          <w:lang w:val="fr-FR" w:eastAsia="de-DE"/>
        </w:rPr>
        <w:t>’essais</w:t>
      </w:r>
      <w:r w:rsidRPr="00E773DC">
        <w:rPr>
          <w:b/>
          <w:bCs/>
          <w:lang w:val="fr-FR" w:eastAsia="de-DE"/>
        </w:rPr>
        <w:t xml:space="preserve"> effectués à cet effet ;</w:t>
      </w:r>
    </w:p>
    <w:p w14:paraId="448C8D42" w14:textId="77777777" w:rsidR="00B921D9" w:rsidRPr="00E773DC" w:rsidRDefault="00B921D9" w:rsidP="00B921D9">
      <w:pPr>
        <w:pStyle w:val="SingleTxtG"/>
        <w:ind w:left="2835" w:hanging="567"/>
        <w:rPr>
          <w:b/>
          <w:bCs/>
          <w:lang w:val="fr-FR" w:eastAsia="de-DE"/>
        </w:rPr>
      </w:pPr>
      <w:r w:rsidRPr="00E773DC">
        <w:rPr>
          <w:b/>
          <w:bCs/>
          <w:lang w:val="fr-FR" w:eastAsia="de-DE"/>
        </w:rPr>
        <w:t>b)</w:t>
      </w:r>
      <w:r w:rsidRPr="00E773DC">
        <w:rPr>
          <w:b/>
          <w:bCs/>
          <w:lang w:val="fr-FR" w:eastAsia="de-DE"/>
        </w:rPr>
        <w:tab/>
        <w:t>Lorsqu</w:t>
      </w:r>
      <w:r>
        <w:rPr>
          <w:b/>
          <w:bCs/>
          <w:lang w:val="fr-FR" w:eastAsia="de-DE"/>
        </w:rPr>
        <w:t>’</w:t>
      </w:r>
      <w:r w:rsidRPr="00E773DC">
        <w:rPr>
          <w:b/>
          <w:bCs/>
          <w:lang w:val="fr-FR" w:eastAsia="de-DE"/>
        </w:rPr>
        <w:t>une technologie ou une conception différente</w:t>
      </w:r>
      <w:r w:rsidRPr="002C1F8B">
        <w:rPr>
          <w:b/>
          <w:bCs/>
          <w:lang w:val="fr-FR" w:eastAsia="de-DE"/>
        </w:rPr>
        <w:t xml:space="preserve"> </w:t>
      </w:r>
      <w:r w:rsidRPr="00E773DC">
        <w:rPr>
          <w:b/>
          <w:bCs/>
          <w:lang w:val="fr-FR" w:eastAsia="de-DE"/>
        </w:rPr>
        <w:t>permett</w:t>
      </w:r>
      <w:r>
        <w:rPr>
          <w:b/>
          <w:bCs/>
          <w:lang w:val="fr-FR" w:eastAsia="de-DE"/>
        </w:rPr>
        <w:t>an</w:t>
      </w:r>
      <w:r w:rsidRPr="00E773DC">
        <w:rPr>
          <w:b/>
          <w:bCs/>
          <w:lang w:val="fr-FR" w:eastAsia="de-DE"/>
        </w:rPr>
        <w:t>t de réduire le risque pour la sécurité est disponible sur le marché au moment de l</w:t>
      </w:r>
      <w:r>
        <w:rPr>
          <w:b/>
          <w:bCs/>
          <w:lang w:val="fr-FR" w:eastAsia="de-DE"/>
        </w:rPr>
        <w:t>’</w:t>
      </w:r>
      <w:r w:rsidRPr="00E773DC">
        <w:rPr>
          <w:b/>
          <w:bCs/>
          <w:lang w:val="fr-FR" w:eastAsia="de-DE"/>
        </w:rPr>
        <w:t>application de l</w:t>
      </w:r>
      <w:r>
        <w:rPr>
          <w:b/>
          <w:bCs/>
          <w:lang w:val="fr-FR" w:eastAsia="de-DE"/>
        </w:rPr>
        <w:t>’</w:t>
      </w:r>
      <w:r w:rsidRPr="00E773DC">
        <w:rPr>
          <w:b/>
          <w:bCs/>
          <w:lang w:val="fr-FR" w:eastAsia="de-DE"/>
        </w:rPr>
        <w:t>AES, elle doit être utilisée dans toute la mesure possible sur le plan technique (c</w:t>
      </w:r>
      <w:r>
        <w:rPr>
          <w:b/>
          <w:bCs/>
          <w:lang w:val="fr-FR" w:eastAsia="de-DE"/>
        </w:rPr>
        <w:t>’</w:t>
      </w:r>
      <w:r w:rsidRPr="00E773DC">
        <w:rPr>
          <w:b/>
          <w:bCs/>
          <w:lang w:val="fr-FR" w:eastAsia="de-DE"/>
        </w:rPr>
        <w:t xml:space="preserve">est-à-dire sans </w:t>
      </w:r>
      <w:r>
        <w:rPr>
          <w:b/>
          <w:bCs/>
          <w:lang w:val="fr-FR" w:eastAsia="de-DE"/>
        </w:rPr>
        <w:t>fluctua</w:t>
      </w:r>
      <w:r w:rsidRPr="00E773DC">
        <w:rPr>
          <w:b/>
          <w:bCs/>
          <w:lang w:val="fr-FR" w:eastAsia="de-DE"/>
        </w:rPr>
        <w:t>tion injustifiée)</w:t>
      </w:r>
      <w:r w:rsidR="00F72B31" w:rsidRPr="00F72B31">
        <w:rPr>
          <w:b/>
          <w:bCs/>
          <w:lang w:val="fr-FR" w:eastAsia="de-DE"/>
        </w:rPr>
        <w:t>.</w:t>
      </w:r>
    </w:p>
    <w:p w14:paraId="5F13F77D" w14:textId="77777777" w:rsidR="00B921D9" w:rsidRPr="00E773DC" w:rsidRDefault="00B921D9" w:rsidP="00B921D9">
      <w:pPr>
        <w:pStyle w:val="SingleTxtG"/>
        <w:ind w:left="2268" w:hanging="1134"/>
        <w:rPr>
          <w:b/>
          <w:bCs/>
          <w:lang w:val="fr-FR" w:eastAsia="de-DE"/>
        </w:rPr>
      </w:pPr>
      <w:r w:rsidRPr="00E773DC">
        <w:rPr>
          <w:b/>
          <w:bCs/>
          <w:lang w:val="fr-FR" w:eastAsia="de-DE"/>
        </w:rPr>
        <w:t>4</w:t>
      </w:r>
      <w:r w:rsidR="00F72B31" w:rsidRPr="00F72B31">
        <w:rPr>
          <w:b/>
          <w:bCs/>
          <w:lang w:val="fr-FR" w:eastAsia="de-DE"/>
        </w:rPr>
        <w:t>.</w:t>
      </w:r>
      <w:r w:rsidRPr="00E773DC">
        <w:rPr>
          <w:b/>
          <w:bCs/>
          <w:lang w:val="fr-FR" w:eastAsia="de-DE"/>
        </w:rPr>
        <w:tab/>
        <w:t xml:space="preserve">Une description technique adéquate doit </w:t>
      </w:r>
      <w:r>
        <w:rPr>
          <w:b/>
          <w:bCs/>
          <w:lang w:val="fr-FR" w:eastAsia="de-DE"/>
        </w:rPr>
        <w:t>établir</w:t>
      </w:r>
      <w:r w:rsidRPr="00E773DC">
        <w:rPr>
          <w:b/>
          <w:bCs/>
          <w:lang w:val="fr-FR" w:eastAsia="de-DE"/>
        </w:rPr>
        <w:t xml:space="preserve"> les raisons pour lesquelles il est nécessaire d</w:t>
      </w:r>
      <w:r>
        <w:rPr>
          <w:b/>
          <w:bCs/>
          <w:lang w:val="fr-FR" w:eastAsia="de-DE"/>
        </w:rPr>
        <w:t>’</w:t>
      </w:r>
      <w:r w:rsidRPr="00E773DC">
        <w:rPr>
          <w:b/>
          <w:bCs/>
          <w:lang w:val="fr-FR" w:eastAsia="de-DE"/>
        </w:rPr>
        <w:t xml:space="preserve">utiliser une AES </w:t>
      </w:r>
      <w:r>
        <w:rPr>
          <w:b/>
          <w:bCs/>
          <w:lang w:val="fr-FR" w:eastAsia="de-DE"/>
        </w:rPr>
        <w:t>lors du</w:t>
      </w:r>
      <w:r w:rsidRPr="00E773DC">
        <w:rPr>
          <w:b/>
          <w:bCs/>
          <w:lang w:val="fr-FR" w:eastAsia="de-DE"/>
        </w:rPr>
        <w:t xml:space="preserve"> démarrage ou</w:t>
      </w:r>
      <w:r>
        <w:rPr>
          <w:b/>
          <w:bCs/>
          <w:lang w:val="fr-FR" w:eastAsia="de-DE"/>
        </w:rPr>
        <w:t xml:space="preserve"> de</w:t>
      </w:r>
      <w:r w:rsidRPr="00E773DC">
        <w:rPr>
          <w:b/>
          <w:bCs/>
          <w:lang w:val="fr-FR" w:eastAsia="de-DE"/>
        </w:rPr>
        <w:t xml:space="preserve"> </w:t>
      </w:r>
      <w:r>
        <w:rPr>
          <w:b/>
          <w:bCs/>
          <w:lang w:val="fr-FR" w:eastAsia="de-DE"/>
        </w:rPr>
        <w:t xml:space="preserve">la </w:t>
      </w:r>
      <w:r w:rsidRPr="00A74F58">
        <w:rPr>
          <w:b/>
          <w:bCs/>
          <w:lang w:val="fr-FR" w:eastAsia="de-DE"/>
        </w:rPr>
        <w:t>mise en température</w:t>
      </w:r>
      <w:r w:rsidRPr="00E773DC">
        <w:rPr>
          <w:b/>
          <w:bCs/>
          <w:lang w:val="fr-FR" w:eastAsia="de-DE"/>
        </w:rPr>
        <w:t xml:space="preserve"> du moteur :</w:t>
      </w:r>
    </w:p>
    <w:p w14:paraId="1C0A6070" w14:textId="77777777" w:rsidR="00B921D9" w:rsidRPr="00E773DC" w:rsidRDefault="00B921D9" w:rsidP="00B921D9">
      <w:pPr>
        <w:pStyle w:val="SingleTxtG"/>
        <w:ind w:left="2835" w:hanging="567"/>
        <w:rPr>
          <w:b/>
          <w:bCs/>
          <w:lang w:val="fr-FR" w:eastAsia="de-DE"/>
        </w:rPr>
      </w:pPr>
      <w:r w:rsidRPr="00E773DC">
        <w:rPr>
          <w:b/>
          <w:bCs/>
          <w:lang w:val="fr-FR" w:eastAsia="de-DE"/>
        </w:rPr>
        <w:t>a)</w:t>
      </w:r>
      <w:r w:rsidRPr="00E773DC">
        <w:rPr>
          <w:b/>
          <w:bCs/>
          <w:lang w:val="fr-FR" w:eastAsia="de-DE"/>
        </w:rPr>
        <w:tab/>
        <w:t>Le constructeur</w:t>
      </w:r>
      <w:r w:rsidRPr="00051958">
        <w:rPr>
          <w:b/>
          <w:bCs/>
          <w:lang w:val="fr-FR" w:eastAsia="de-DE"/>
        </w:rPr>
        <w:t xml:space="preserve"> </w:t>
      </w:r>
      <w:r>
        <w:rPr>
          <w:b/>
          <w:bCs/>
          <w:lang w:val="fr-FR" w:eastAsia="de-DE"/>
        </w:rPr>
        <w:t>doit</w:t>
      </w:r>
      <w:r w:rsidRPr="00E773DC">
        <w:rPr>
          <w:b/>
          <w:bCs/>
          <w:lang w:val="fr-FR" w:eastAsia="de-DE"/>
        </w:rPr>
        <w:t xml:space="preserve"> fourni</w:t>
      </w:r>
      <w:r>
        <w:rPr>
          <w:b/>
          <w:bCs/>
          <w:lang w:val="fr-FR" w:eastAsia="de-DE"/>
        </w:rPr>
        <w:t>r la</w:t>
      </w:r>
      <w:r w:rsidRPr="00E773DC">
        <w:rPr>
          <w:b/>
          <w:bCs/>
          <w:lang w:val="fr-FR" w:eastAsia="de-DE"/>
        </w:rPr>
        <w:t xml:space="preserve"> preuve de la nécessité d</w:t>
      </w:r>
      <w:r>
        <w:rPr>
          <w:b/>
          <w:bCs/>
          <w:lang w:val="fr-FR" w:eastAsia="de-DE"/>
        </w:rPr>
        <w:t>’</w:t>
      </w:r>
      <w:r w:rsidRPr="00E773DC">
        <w:rPr>
          <w:b/>
          <w:bCs/>
          <w:lang w:val="fr-FR" w:eastAsia="de-DE"/>
        </w:rPr>
        <w:t>utiliser une AES pendant le démarrage du moteur en même temps qu</w:t>
      </w:r>
      <w:r>
        <w:rPr>
          <w:b/>
          <w:bCs/>
          <w:lang w:val="fr-FR" w:eastAsia="de-DE"/>
        </w:rPr>
        <w:t>’</w:t>
      </w:r>
      <w:r w:rsidRPr="00E773DC">
        <w:rPr>
          <w:b/>
          <w:bCs/>
          <w:lang w:val="fr-FR" w:eastAsia="de-DE"/>
        </w:rPr>
        <w:t>une évaluation des risques compren</w:t>
      </w:r>
      <w:r>
        <w:rPr>
          <w:b/>
          <w:bCs/>
          <w:lang w:val="fr-FR" w:eastAsia="de-DE"/>
        </w:rPr>
        <w:t>ant</w:t>
      </w:r>
      <w:r w:rsidRPr="00E773DC">
        <w:rPr>
          <w:b/>
          <w:bCs/>
          <w:lang w:val="fr-FR" w:eastAsia="de-DE"/>
        </w:rPr>
        <w:t xml:space="preserve"> une évaluation de la probabilité que </w:t>
      </w:r>
      <w:r>
        <w:rPr>
          <w:b/>
          <w:bCs/>
          <w:lang w:val="fr-FR" w:eastAsia="de-DE"/>
        </w:rPr>
        <w:t>c</w:t>
      </w:r>
      <w:r w:rsidRPr="00E773DC">
        <w:rPr>
          <w:b/>
          <w:bCs/>
          <w:lang w:val="fr-FR" w:eastAsia="de-DE"/>
        </w:rPr>
        <w:t>e risque se concrétise et de la gravité des conséquences possibles, y compris les résultats d</w:t>
      </w:r>
      <w:r>
        <w:rPr>
          <w:b/>
          <w:bCs/>
          <w:lang w:val="fr-FR" w:eastAsia="de-DE"/>
        </w:rPr>
        <w:t>’</w:t>
      </w:r>
      <w:r w:rsidRPr="00E773DC">
        <w:rPr>
          <w:b/>
          <w:bCs/>
          <w:lang w:val="fr-FR" w:eastAsia="de-DE"/>
        </w:rPr>
        <w:t>essais effectués à cet effet ;</w:t>
      </w:r>
    </w:p>
    <w:p w14:paraId="55225CFD" w14:textId="77777777" w:rsidR="00B921D9" w:rsidRPr="00E773DC" w:rsidRDefault="00B921D9" w:rsidP="00B921D9">
      <w:pPr>
        <w:pStyle w:val="SingleTxtG"/>
        <w:ind w:left="2835" w:hanging="567"/>
        <w:rPr>
          <w:lang w:val="fr-FR" w:eastAsia="de-DE"/>
        </w:rPr>
      </w:pPr>
      <w:r w:rsidRPr="00E773DC">
        <w:rPr>
          <w:b/>
          <w:bCs/>
          <w:lang w:val="fr-FR" w:eastAsia="de-DE"/>
        </w:rPr>
        <w:t>b)</w:t>
      </w:r>
      <w:r w:rsidRPr="00E773DC">
        <w:rPr>
          <w:b/>
          <w:bCs/>
          <w:lang w:val="fr-FR" w:eastAsia="de-DE"/>
        </w:rPr>
        <w:tab/>
        <w:t>Lorsqu</w:t>
      </w:r>
      <w:r>
        <w:rPr>
          <w:b/>
          <w:bCs/>
          <w:lang w:val="fr-FR" w:eastAsia="de-DE"/>
        </w:rPr>
        <w:t>’</w:t>
      </w:r>
      <w:r w:rsidRPr="00E773DC">
        <w:rPr>
          <w:b/>
          <w:bCs/>
          <w:lang w:val="fr-FR" w:eastAsia="de-DE"/>
        </w:rPr>
        <w:t>une technologie ou une conception différente</w:t>
      </w:r>
      <w:r w:rsidRPr="00051958">
        <w:rPr>
          <w:b/>
          <w:bCs/>
          <w:lang w:val="fr-FR" w:eastAsia="de-DE"/>
        </w:rPr>
        <w:t xml:space="preserve"> </w:t>
      </w:r>
      <w:r w:rsidRPr="00E773DC">
        <w:rPr>
          <w:b/>
          <w:bCs/>
          <w:lang w:val="fr-FR" w:eastAsia="de-DE"/>
        </w:rPr>
        <w:t>permett</w:t>
      </w:r>
      <w:r>
        <w:rPr>
          <w:b/>
          <w:bCs/>
          <w:lang w:val="fr-FR" w:eastAsia="de-DE"/>
        </w:rPr>
        <w:t>an</w:t>
      </w:r>
      <w:r w:rsidRPr="00E773DC">
        <w:rPr>
          <w:b/>
          <w:bCs/>
          <w:lang w:val="fr-FR" w:eastAsia="de-DE"/>
        </w:rPr>
        <w:t xml:space="preserve">t </w:t>
      </w:r>
      <w:r>
        <w:rPr>
          <w:b/>
          <w:bCs/>
          <w:lang w:val="fr-FR" w:eastAsia="de-DE"/>
        </w:rPr>
        <w:t>de mieux limiter l</w:t>
      </w:r>
      <w:r w:rsidRPr="00E773DC">
        <w:rPr>
          <w:b/>
          <w:bCs/>
          <w:lang w:val="fr-FR" w:eastAsia="de-DE"/>
        </w:rPr>
        <w:t>es émissions au démarrage du moteur est disponible sur le marché au moment de l</w:t>
      </w:r>
      <w:r>
        <w:rPr>
          <w:b/>
          <w:bCs/>
          <w:lang w:val="fr-FR" w:eastAsia="de-DE"/>
        </w:rPr>
        <w:t>’</w:t>
      </w:r>
      <w:r w:rsidRPr="00E773DC">
        <w:rPr>
          <w:b/>
          <w:bCs/>
          <w:lang w:val="fr-FR" w:eastAsia="de-DE"/>
        </w:rPr>
        <w:t>application de l</w:t>
      </w:r>
      <w:r>
        <w:rPr>
          <w:b/>
          <w:bCs/>
          <w:lang w:val="fr-FR" w:eastAsia="de-DE"/>
        </w:rPr>
        <w:t>’</w:t>
      </w:r>
      <w:r w:rsidRPr="00E773DC">
        <w:rPr>
          <w:b/>
          <w:bCs/>
          <w:lang w:val="fr-FR" w:eastAsia="de-DE"/>
        </w:rPr>
        <w:t>AES, elle doit être utilisée dans toute la mesure possible sur le plan technique</w:t>
      </w:r>
      <w:r w:rsidR="00F72B31" w:rsidRPr="00F72B31">
        <w:rPr>
          <w:b/>
          <w:bCs/>
          <w:lang w:val="fr-FR" w:eastAsia="de-DE"/>
        </w:rPr>
        <w:t>.</w:t>
      </w:r>
      <w:r w:rsidRPr="00E773DC">
        <w:rPr>
          <w:b/>
          <w:bCs/>
          <w:lang w:val="fr-FR" w:eastAsia="de-DE"/>
        </w:rPr>
        <w:t> </w:t>
      </w:r>
      <w:r w:rsidRPr="00E773DC">
        <w:rPr>
          <w:lang w:val="fr-FR" w:eastAsia="de-DE"/>
        </w:rPr>
        <w:t>»</w:t>
      </w:r>
      <w:r w:rsidR="00F72B31" w:rsidRPr="00F72B31">
        <w:rPr>
          <w:lang w:val="fr-FR" w:eastAsia="de-DE"/>
        </w:rPr>
        <w:t>.</w:t>
      </w:r>
    </w:p>
    <w:p w14:paraId="22562782" w14:textId="77777777" w:rsidR="00B921D9" w:rsidRPr="00E773DC" w:rsidRDefault="00B921D9" w:rsidP="00B921D9">
      <w:pPr>
        <w:pStyle w:val="SingleTxtG"/>
        <w:ind w:left="2268" w:hanging="1134"/>
        <w:rPr>
          <w:lang w:val="fr-FR" w:eastAsia="de-DE"/>
        </w:rPr>
      </w:pPr>
      <w:r w:rsidRPr="00E773DC">
        <w:rPr>
          <w:i/>
          <w:iCs/>
          <w:lang w:val="fr-FR" w:eastAsia="de-DE"/>
        </w:rPr>
        <w:t>Annexe 12, appendice 1</w:t>
      </w:r>
    </w:p>
    <w:p w14:paraId="5E3678A5" w14:textId="77777777" w:rsidR="00B921D9" w:rsidRPr="00E773DC" w:rsidRDefault="00B921D9" w:rsidP="00B921D9">
      <w:pPr>
        <w:pStyle w:val="SingleTxtG"/>
        <w:ind w:left="2268" w:hanging="1134"/>
        <w:rPr>
          <w:lang w:val="fr-FR" w:eastAsia="de-DE"/>
        </w:rPr>
      </w:pPr>
      <w:r w:rsidRPr="00E773DC">
        <w:rPr>
          <w:i/>
          <w:iCs/>
          <w:lang w:val="fr-FR" w:eastAsia="de-DE"/>
        </w:rPr>
        <w:t>Paragraphe A</w:t>
      </w:r>
      <w:r w:rsidR="00F72B31" w:rsidRPr="00F72B31">
        <w:rPr>
          <w:i/>
          <w:iCs/>
          <w:lang w:val="fr-FR" w:eastAsia="de-DE"/>
        </w:rPr>
        <w:t>.</w:t>
      </w:r>
      <w:r w:rsidRPr="00E773DC">
        <w:rPr>
          <w:i/>
          <w:iCs/>
          <w:lang w:val="fr-FR" w:eastAsia="de-DE"/>
        </w:rPr>
        <w:t>1</w:t>
      </w:r>
      <w:r w:rsidR="00F72B31" w:rsidRPr="00F72B31">
        <w:rPr>
          <w:i/>
          <w:iCs/>
          <w:lang w:val="fr-FR" w:eastAsia="de-DE"/>
        </w:rPr>
        <w:t>.</w:t>
      </w:r>
      <w:r w:rsidRPr="00E773DC">
        <w:rPr>
          <w:i/>
          <w:iCs/>
          <w:lang w:val="fr-FR" w:eastAsia="de-DE"/>
        </w:rPr>
        <w:t>2</w:t>
      </w:r>
      <w:r w:rsidR="00F72B31" w:rsidRPr="00F72B31">
        <w:rPr>
          <w:i/>
          <w:iCs/>
          <w:lang w:val="fr-FR" w:eastAsia="de-DE"/>
        </w:rPr>
        <w:t>.</w:t>
      </w:r>
      <w:r w:rsidRPr="00E773DC">
        <w:rPr>
          <w:i/>
          <w:iCs/>
          <w:lang w:val="fr-FR" w:eastAsia="de-DE"/>
        </w:rPr>
        <w:t>1</w:t>
      </w:r>
      <w:r w:rsidRPr="00E773DC">
        <w:rPr>
          <w:lang w:val="fr-FR" w:eastAsia="de-DE"/>
        </w:rPr>
        <w:t>, lire :</w:t>
      </w:r>
    </w:p>
    <w:p w14:paraId="6ABF4AA6" w14:textId="77777777" w:rsidR="00B921D9" w:rsidRPr="00E773DC" w:rsidRDefault="00B921D9" w:rsidP="00B921D9">
      <w:pPr>
        <w:pStyle w:val="SingleTxtG"/>
        <w:ind w:left="2268" w:hanging="1134"/>
        <w:rPr>
          <w:b/>
          <w:bCs/>
          <w:lang w:val="fr-FR" w:eastAsia="de-DE"/>
        </w:rPr>
      </w:pPr>
      <w:r w:rsidRPr="00E773DC">
        <w:rPr>
          <w:lang w:val="fr-FR" w:eastAsia="de-DE"/>
        </w:rPr>
        <w:t>« A</w:t>
      </w:r>
      <w:r w:rsidR="00F72B31" w:rsidRPr="00F72B31">
        <w:rPr>
          <w:lang w:val="fr-FR" w:eastAsia="de-DE"/>
        </w:rPr>
        <w:t>.</w:t>
      </w:r>
      <w:r w:rsidRPr="00E773DC">
        <w:rPr>
          <w:lang w:val="fr-FR" w:eastAsia="de-DE"/>
        </w:rPr>
        <w:t>1</w:t>
      </w:r>
      <w:r w:rsidR="00F72B31" w:rsidRPr="00F72B31">
        <w:rPr>
          <w:lang w:val="fr-FR" w:eastAsia="de-DE"/>
        </w:rPr>
        <w:t>.</w:t>
      </w:r>
      <w:r w:rsidRPr="00E773DC">
        <w:rPr>
          <w:lang w:val="fr-FR" w:eastAsia="de-DE"/>
        </w:rPr>
        <w:t>2</w:t>
      </w:r>
      <w:r w:rsidR="00F72B31" w:rsidRPr="00F72B31">
        <w:rPr>
          <w:lang w:val="fr-FR" w:eastAsia="de-DE"/>
        </w:rPr>
        <w:t>.</w:t>
      </w:r>
      <w:r w:rsidRPr="00E773DC">
        <w:rPr>
          <w:lang w:val="fr-FR" w:eastAsia="de-DE"/>
        </w:rPr>
        <w:t>1</w:t>
      </w:r>
      <w:r w:rsidRPr="00E773DC">
        <w:rPr>
          <w:lang w:val="fr-FR" w:eastAsia="de-DE"/>
        </w:rPr>
        <w:tab/>
      </w:r>
      <w:r w:rsidRPr="004D1C23">
        <w:rPr>
          <w:strike/>
          <w:lang w:val="fr-FR" w:eastAsia="de-DE"/>
        </w:rPr>
        <w:t>Pour obtenir l</w:t>
      </w:r>
      <w:r>
        <w:rPr>
          <w:strike/>
          <w:lang w:val="fr-FR" w:eastAsia="de-DE"/>
        </w:rPr>
        <w:t>’</w:t>
      </w:r>
      <w:r w:rsidRPr="004D1C23">
        <w:rPr>
          <w:strike/>
          <w:lang w:val="fr-FR" w:eastAsia="de-DE"/>
        </w:rPr>
        <w:t>extension de l</w:t>
      </w:r>
      <w:r>
        <w:rPr>
          <w:strike/>
          <w:lang w:val="fr-FR" w:eastAsia="de-DE"/>
        </w:rPr>
        <w:t>’</w:t>
      </w:r>
      <w:r w:rsidRPr="004D1C23">
        <w:rPr>
          <w:strike/>
          <w:lang w:val="fr-FR" w:eastAsia="de-DE"/>
        </w:rPr>
        <w:t>homologation de type d</w:t>
      </w:r>
      <w:r>
        <w:rPr>
          <w:strike/>
          <w:lang w:val="fr-FR" w:eastAsia="de-DE"/>
        </w:rPr>
        <w:t>’</w:t>
      </w:r>
      <w:r w:rsidRPr="004D1C23">
        <w:rPr>
          <w:strike/>
          <w:lang w:val="fr-FR" w:eastAsia="de-DE"/>
        </w:rPr>
        <w:t xml:space="preserve">un véhicule dont le moteur a été homologué au titre du présent Règlement à un véhicule dont la masse de référence excède 2 380 kg sans excéder 2 610 kg, le constructeur doit satisfaire aux prescriptions du Règlement </w:t>
      </w:r>
      <w:r w:rsidR="00F72B31" w:rsidRPr="00F72B31">
        <w:rPr>
          <w:rFonts w:eastAsia="MS Mincho"/>
          <w:strike/>
          <w:lang w:val="fr-FR" w:eastAsia="de-DE"/>
        </w:rPr>
        <w:t>n</w:t>
      </w:r>
      <w:r w:rsidR="00F72B31" w:rsidRPr="00F72B31">
        <w:rPr>
          <w:rFonts w:eastAsia="MS Mincho"/>
          <w:strike/>
          <w:vertAlign w:val="superscript"/>
          <w:lang w:val="fr-FR" w:eastAsia="de-DE"/>
        </w:rPr>
        <w:t>o</w:t>
      </w:r>
      <w:r w:rsidR="00F72B31">
        <w:rPr>
          <w:rFonts w:eastAsia="MS Mincho"/>
          <w:strike/>
          <w:vertAlign w:val="superscript"/>
          <w:lang w:val="fr-FR" w:eastAsia="de-DE"/>
        </w:rPr>
        <w:t> </w:t>
      </w:r>
      <w:r w:rsidRPr="004D1C23">
        <w:rPr>
          <w:strike/>
          <w:lang w:val="fr-FR" w:eastAsia="de-DE"/>
        </w:rPr>
        <w:t>101, sous réserve des exceptions spécifiées ci-dessous</w:t>
      </w:r>
      <w:r w:rsidR="00F72B31" w:rsidRPr="00F72B31">
        <w:rPr>
          <w:strike/>
          <w:lang w:val="fr-FR" w:eastAsia="de-DE"/>
        </w:rPr>
        <w:t>.</w:t>
      </w:r>
    </w:p>
    <w:p w14:paraId="479FB40C" w14:textId="77777777" w:rsidR="00B921D9" w:rsidRPr="00E773DC" w:rsidRDefault="00B921D9" w:rsidP="00B921D9">
      <w:pPr>
        <w:pStyle w:val="SingleTxtG"/>
        <w:ind w:left="2268"/>
        <w:rPr>
          <w:b/>
          <w:bCs/>
          <w:lang w:val="fr-FR" w:eastAsia="de-DE"/>
        </w:rPr>
      </w:pPr>
      <w:r w:rsidRPr="00E773DC">
        <w:rPr>
          <w:b/>
          <w:bCs/>
          <w:lang w:val="fr-FR" w:eastAsia="de-DE"/>
        </w:rPr>
        <w:t>Pour obtenir l</w:t>
      </w:r>
      <w:r>
        <w:rPr>
          <w:b/>
          <w:bCs/>
          <w:lang w:val="fr-FR" w:eastAsia="de-DE"/>
        </w:rPr>
        <w:t>’</w:t>
      </w:r>
      <w:r w:rsidRPr="00E773DC">
        <w:rPr>
          <w:b/>
          <w:bCs/>
          <w:lang w:val="fr-FR" w:eastAsia="de-DE"/>
        </w:rPr>
        <w:t>extension de l</w:t>
      </w:r>
      <w:r>
        <w:rPr>
          <w:b/>
          <w:bCs/>
          <w:lang w:val="fr-FR" w:eastAsia="de-DE"/>
        </w:rPr>
        <w:t>’</w:t>
      </w:r>
      <w:r w:rsidRPr="00E773DC">
        <w:rPr>
          <w:b/>
          <w:bCs/>
          <w:lang w:val="fr-FR" w:eastAsia="de-DE"/>
        </w:rPr>
        <w:t xml:space="preserve">homologation </w:t>
      </w:r>
      <w:r>
        <w:rPr>
          <w:b/>
          <w:bCs/>
          <w:lang w:val="fr-FR" w:eastAsia="de-DE"/>
        </w:rPr>
        <w:t xml:space="preserve">de type </w:t>
      </w:r>
      <w:r w:rsidRPr="00E773DC">
        <w:rPr>
          <w:b/>
          <w:bCs/>
          <w:lang w:val="fr-FR" w:eastAsia="de-DE"/>
        </w:rPr>
        <w:t>d</w:t>
      </w:r>
      <w:r>
        <w:rPr>
          <w:b/>
          <w:bCs/>
          <w:lang w:val="fr-FR" w:eastAsia="de-DE"/>
        </w:rPr>
        <w:t>’</w:t>
      </w:r>
      <w:r w:rsidRPr="00E773DC">
        <w:rPr>
          <w:b/>
          <w:bCs/>
          <w:lang w:val="fr-FR" w:eastAsia="de-DE"/>
        </w:rPr>
        <w:t>un véhicule</w:t>
      </w:r>
      <w:r w:rsidRPr="00B910F3">
        <w:rPr>
          <w:b/>
          <w:bCs/>
          <w:lang w:val="fr-FR" w:eastAsia="de-DE"/>
        </w:rPr>
        <w:t xml:space="preserve"> </w:t>
      </w:r>
      <w:r>
        <w:rPr>
          <w:b/>
          <w:bCs/>
          <w:lang w:val="fr-FR" w:eastAsia="de-DE"/>
        </w:rPr>
        <w:t>dont la</w:t>
      </w:r>
      <w:r w:rsidRPr="00E773DC">
        <w:rPr>
          <w:b/>
          <w:bCs/>
          <w:lang w:val="fr-FR" w:eastAsia="de-DE"/>
        </w:rPr>
        <w:t xml:space="preserve"> masse de référence </w:t>
      </w:r>
      <w:r>
        <w:rPr>
          <w:b/>
          <w:bCs/>
          <w:lang w:val="fr-FR" w:eastAsia="de-DE"/>
        </w:rPr>
        <w:t xml:space="preserve">est </w:t>
      </w:r>
      <w:r w:rsidRPr="00E773DC">
        <w:rPr>
          <w:b/>
          <w:bCs/>
          <w:lang w:val="fr-FR" w:eastAsia="de-DE"/>
        </w:rPr>
        <w:t>supérieure à 2</w:t>
      </w:r>
      <w:r>
        <w:rPr>
          <w:b/>
          <w:bCs/>
          <w:lang w:val="fr-FR" w:eastAsia="de-DE"/>
        </w:rPr>
        <w:t> </w:t>
      </w:r>
      <w:r w:rsidRPr="00E773DC">
        <w:rPr>
          <w:b/>
          <w:bCs/>
          <w:lang w:val="fr-FR" w:eastAsia="de-DE"/>
        </w:rPr>
        <w:t>380</w:t>
      </w:r>
      <w:r>
        <w:rPr>
          <w:b/>
          <w:bCs/>
          <w:lang w:val="fr-FR" w:eastAsia="de-DE"/>
        </w:rPr>
        <w:t> </w:t>
      </w:r>
      <w:r w:rsidRPr="00E773DC">
        <w:rPr>
          <w:b/>
          <w:bCs/>
          <w:lang w:val="fr-FR" w:eastAsia="de-DE"/>
        </w:rPr>
        <w:t>kg mais inférieure ou égale à 2</w:t>
      </w:r>
      <w:r>
        <w:rPr>
          <w:b/>
          <w:bCs/>
          <w:lang w:val="fr-FR" w:eastAsia="de-DE"/>
        </w:rPr>
        <w:t> </w:t>
      </w:r>
      <w:r w:rsidRPr="00E773DC">
        <w:rPr>
          <w:b/>
          <w:bCs/>
          <w:lang w:val="fr-FR" w:eastAsia="de-DE"/>
        </w:rPr>
        <w:t>610</w:t>
      </w:r>
      <w:r>
        <w:rPr>
          <w:b/>
          <w:bCs/>
          <w:lang w:val="fr-FR" w:eastAsia="de-DE"/>
        </w:rPr>
        <w:t> </w:t>
      </w:r>
      <w:r w:rsidRPr="00E773DC">
        <w:rPr>
          <w:b/>
          <w:bCs/>
          <w:lang w:val="fr-FR" w:eastAsia="de-DE"/>
        </w:rPr>
        <w:t xml:space="preserve">kg en ce qui concerne son moteur homologué en vertu du présent Règlement, le constructeur doit satisfaire aux </w:t>
      </w:r>
      <w:r>
        <w:rPr>
          <w:b/>
          <w:bCs/>
          <w:lang w:val="fr-FR" w:eastAsia="de-DE"/>
        </w:rPr>
        <w:t>prescriptions</w:t>
      </w:r>
      <w:r w:rsidRPr="00E773DC">
        <w:rPr>
          <w:b/>
          <w:bCs/>
          <w:lang w:val="fr-FR" w:eastAsia="de-DE"/>
        </w:rPr>
        <w:t xml:space="preserve"> relatives à la mesure des émissions de </w:t>
      </w:r>
      <w:r w:rsidRPr="00AD71C6">
        <w:rPr>
          <w:b/>
          <w:bCs/>
          <w:lang w:val="fr-FR" w:eastAsia="de-DE"/>
        </w:rPr>
        <w:t>CO</w:t>
      </w:r>
      <w:r w:rsidRPr="00E773DC">
        <w:rPr>
          <w:b/>
          <w:bCs/>
          <w:vertAlign w:val="subscript"/>
          <w:lang w:val="fr-FR" w:eastAsia="de-DE"/>
        </w:rPr>
        <w:t xml:space="preserve">2 </w:t>
      </w:r>
      <w:r w:rsidRPr="00E773DC">
        <w:rPr>
          <w:b/>
          <w:bCs/>
          <w:lang w:val="fr-FR" w:eastAsia="de-DE"/>
        </w:rPr>
        <w:t>et de la consommation de carburant établies par les procédures d</w:t>
      </w:r>
      <w:r>
        <w:rPr>
          <w:b/>
          <w:bCs/>
          <w:lang w:val="fr-FR" w:eastAsia="de-DE"/>
        </w:rPr>
        <w:t>’</w:t>
      </w:r>
      <w:r w:rsidRPr="00E773DC">
        <w:rPr>
          <w:b/>
          <w:bCs/>
          <w:lang w:val="fr-FR" w:eastAsia="de-DE"/>
        </w:rPr>
        <w:t>essai d</w:t>
      </w:r>
      <w:r>
        <w:rPr>
          <w:b/>
          <w:bCs/>
          <w:lang w:val="fr-FR" w:eastAsia="de-DE"/>
        </w:rPr>
        <w:t>’</w:t>
      </w:r>
      <w:r w:rsidRPr="00E773DC">
        <w:rPr>
          <w:b/>
          <w:bCs/>
          <w:lang w:val="fr-FR" w:eastAsia="de-DE"/>
        </w:rPr>
        <w:t>émissions de type 1 définies à l</w:t>
      </w:r>
      <w:r>
        <w:rPr>
          <w:b/>
          <w:bCs/>
          <w:lang w:val="fr-FR" w:eastAsia="de-DE"/>
        </w:rPr>
        <w:t>’</w:t>
      </w:r>
      <w:r w:rsidRPr="00E773DC">
        <w:rPr>
          <w:b/>
          <w:bCs/>
          <w:lang w:val="fr-FR" w:eastAsia="de-DE"/>
        </w:rPr>
        <w:t xml:space="preserve">annexe B6 du </w:t>
      </w:r>
      <w:r>
        <w:rPr>
          <w:b/>
          <w:bCs/>
          <w:lang w:val="fr-FR" w:eastAsia="de-DE"/>
        </w:rPr>
        <w:t>R</w:t>
      </w:r>
      <w:r w:rsidRPr="00E773DC">
        <w:rPr>
          <w:b/>
          <w:bCs/>
          <w:lang w:val="fr-FR" w:eastAsia="de-DE"/>
        </w:rPr>
        <w:t xml:space="preserve">èglement </w:t>
      </w:r>
      <w:bookmarkStart w:id="38" w:name="_Hlk56023825"/>
      <w:r>
        <w:rPr>
          <w:b/>
          <w:bCs/>
          <w:lang w:val="fr-FR" w:eastAsia="de-DE"/>
        </w:rPr>
        <w:t xml:space="preserve">ONU </w:t>
      </w:r>
      <w:r w:rsidRPr="00E773DC">
        <w:rPr>
          <w:b/>
          <w:bCs/>
          <w:lang w:val="fr-FR" w:eastAsia="de-DE"/>
        </w:rPr>
        <w:t>n</w:t>
      </w:r>
      <w:r w:rsidRPr="00AD71C6">
        <w:rPr>
          <w:b/>
          <w:bCs/>
          <w:vertAlign w:val="superscript"/>
          <w:lang w:val="fr-FR" w:eastAsia="de-DE"/>
        </w:rPr>
        <w:t>o</w:t>
      </w:r>
      <w:r>
        <w:rPr>
          <w:b/>
          <w:bCs/>
          <w:lang w:val="fr-FR" w:eastAsia="de-DE"/>
        </w:rPr>
        <w:t> </w:t>
      </w:r>
      <w:r w:rsidRPr="00E773DC">
        <w:rPr>
          <w:b/>
          <w:bCs/>
          <w:lang w:val="fr-FR" w:eastAsia="de-DE"/>
        </w:rPr>
        <w:t xml:space="preserve">[154], </w:t>
      </w:r>
      <w:bookmarkEnd w:id="38"/>
      <w:r>
        <w:rPr>
          <w:b/>
          <w:bCs/>
          <w:lang w:val="fr-FR" w:eastAsia="de-DE"/>
        </w:rPr>
        <w:t>en fournissant</w:t>
      </w:r>
      <w:r w:rsidRPr="00E773DC">
        <w:rPr>
          <w:b/>
          <w:bCs/>
          <w:lang w:val="fr-FR" w:eastAsia="de-DE"/>
        </w:rPr>
        <w:t xml:space="preserve"> uniquement le tracé de la vitesse et les corrections du </w:t>
      </w:r>
      <w:r w:rsidRPr="00AD71C6">
        <w:rPr>
          <w:b/>
          <w:bCs/>
          <w:lang w:val="fr-FR" w:eastAsia="de-DE"/>
        </w:rPr>
        <w:t>bilan de charge du SRSEE</w:t>
      </w:r>
      <w:r w:rsidR="00F72B31" w:rsidRPr="00F72B31">
        <w:rPr>
          <w:b/>
          <w:bCs/>
          <w:lang w:val="fr-FR" w:eastAsia="de-DE"/>
        </w:rPr>
        <w:t>.</w:t>
      </w:r>
      <w:r w:rsidRPr="00E773DC">
        <w:rPr>
          <w:b/>
          <w:bCs/>
          <w:lang w:val="fr-FR" w:eastAsia="de-DE"/>
        </w:rPr>
        <w:t xml:space="preserve"> Les émissions de </w:t>
      </w:r>
      <w:r w:rsidRPr="00AD71C6">
        <w:rPr>
          <w:b/>
          <w:bCs/>
          <w:lang w:val="fr-FR" w:eastAsia="de-DE"/>
        </w:rPr>
        <w:t>CO</w:t>
      </w:r>
      <w:r w:rsidRPr="00E773DC">
        <w:rPr>
          <w:b/>
          <w:bCs/>
          <w:vertAlign w:val="subscript"/>
          <w:lang w:val="fr-FR" w:eastAsia="de-DE"/>
        </w:rPr>
        <w:t>2</w:t>
      </w:r>
      <w:r w:rsidRPr="00AD71C6">
        <w:rPr>
          <w:b/>
          <w:bCs/>
          <w:lang w:val="fr-FR" w:eastAsia="de-DE"/>
        </w:rPr>
        <w:t xml:space="preserve"> sont d</w:t>
      </w:r>
      <w:r w:rsidRPr="00E773DC">
        <w:rPr>
          <w:b/>
          <w:bCs/>
          <w:lang w:val="fr-FR" w:eastAsia="de-DE"/>
        </w:rPr>
        <w:t xml:space="preserve">éterminées conformément au tableau A6/2 de </w:t>
      </w:r>
      <w:r>
        <w:rPr>
          <w:b/>
          <w:bCs/>
          <w:lang w:val="fr-FR" w:eastAsia="de-DE"/>
        </w:rPr>
        <w:t>ladite</w:t>
      </w:r>
      <w:r w:rsidRPr="00E773DC">
        <w:rPr>
          <w:b/>
          <w:bCs/>
          <w:lang w:val="fr-FR" w:eastAsia="de-DE"/>
        </w:rPr>
        <w:t xml:space="preserve"> annexe, sans tenir compte des résultats des essais d</w:t>
      </w:r>
      <w:r>
        <w:rPr>
          <w:b/>
          <w:bCs/>
          <w:lang w:val="fr-FR" w:eastAsia="de-DE"/>
        </w:rPr>
        <w:t>’</w:t>
      </w:r>
      <w:r w:rsidRPr="00E773DC">
        <w:rPr>
          <w:b/>
          <w:bCs/>
          <w:lang w:val="fr-FR" w:eastAsia="de-DE"/>
        </w:rPr>
        <w:t>émission</w:t>
      </w:r>
      <w:r>
        <w:rPr>
          <w:b/>
          <w:bCs/>
          <w:lang w:val="fr-FR" w:eastAsia="de-DE"/>
        </w:rPr>
        <w:t>s</w:t>
      </w:r>
      <w:r w:rsidRPr="00E773DC">
        <w:rPr>
          <w:b/>
          <w:bCs/>
          <w:lang w:val="fr-FR" w:eastAsia="de-DE"/>
        </w:rPr>
        <w:t xml:space="preserve"> par critères, lorsque le véhicule n</w:t>
      </w:r>
      <w:r>
        <w:rPr>
          <w:b/>
          <w:bCs/>
          <w:lang w:val="fr-FR" w:eastAsia="de-DE"/>
        </w:rPr>
        <w:t>’</w:t>
      </w:r>
      <w:r w:rsidRPr="00E773DC">
        <w:rPr>
          <w:b/>
          <w:bCs/>
          <w:lang w:val="fr-FR" w:eastAsia="de-DE"/>
        </w:rPr>
        <w:t>applique pas d</w:t>
      </w:r>
      <w:r>
        <w:rPr>
          <w:b/>
          <w:bCs/>
          <w:lang w:val="fr-FR" w:eastAsia="de-DE"/>
        </w:rPr>
        <w:t>’</w:t>
      </w:r>
      <w:r w:rsidRPr="00E773DC">
        <w:rPr>
          <w:b/>
          <w:bCs/>
          <w:lang w:val="fr-FR" w:eastAsia="de-DE"/>
        </w:rPr>
        <w:t>AES pendant l</w:t>
      </w:r>
      <w:r>
        <w:rPr>
          <w:b/>
          <w:bCs/>
          <w:lang w:val="fr-FR" w:eastAsia="de-DE"/>
        </w:rPr>
        <w:t>’</w:t>
      </w:r>
      <w:r w:rsidRPr="00E773DC">
        <w:rPr>
          <w:b/>
          <w:bCs/>
          <w:lang w:val="fr-FR" w:eastAsia="de-DE"/>
        </w:rPr>
        <w:t xml:space="preserve">essai et est considéré comme </w:t>
      </w:r>
      <w:r>
        <w:rPr>
          <w:b/>
          <w:bCs/>
          <w:lang w:val="fr-FR" w:eastAsia="de-DE"/>
        </w:rPr>
        <w:t>véhicule hybride</w:t>
      </w:r>
      <w:r w:rsidR="00F72B31" w:rsidRPr="00F72B31">
        <w:rPr>
          <w:b/>
          <w:bCs/>
          <w:lang w:val="fr-FR" w:eastAsia="de-DE"/>
        </w:rPr>
        <w:t>.</w:t>
      </w:r>
      <w:r w:rsidRPr="00E773DC">
        <w:rPr>
          <w:b/>
          <w:bCs/>
          <w:lang w:val="fr-FR" w:eastAsia="de-DE"/>
        </w:rPr>
        <w:t xml:space="preserve"> Les </w:t>
      </w:r>
      <w:r>
        <w:rPr>
          <w:b/>
          <w:bCs/>
          <w:lang w:val="fr-FR" w:eastAsia="de-DE"/>
        </w:rPr>
        <w:t>procès-verbaux</w:t>
      </w:r>
      <w:r w:rsidRPr="00E773DC">
        <w:rPr>
          <w:b/>
          <w:bCs/>
          <w:lang w:val="fr-FR" w:eastAsia="de-DE"/>
        </w:rPr>
        <w:t xml:space="preserve"> d</w:t>
      </w:r>
      <w:r>
        <w:rPr>
          <w:b/>
          <w:bCs/>
          <w:lang w:val="fr-FR" w:eastAsia="de-DE"/>
        </w:rPr>
        <w:t>’</w:t>
      </w:r>
      <w:r w:rsidRPr="00E773DC">
        <w:rPr>
          <w:b/>
          <w:bCs/>
          <w:lang w:val="fr-FR" w:eastAsia="de-DE"/>
        </w:rPr>
        <w:t xml:space="preserve">essai spécifiés </w:t>
      </w:r>
      <w:r>
        <w:rPr>
          <w:b/>
          <w:bCs/>
          <w:lang w:val="fr-FR" w:eastAsia="de-DE"/>
        </w:rPr>
        <w:t>dans la première partie de</w:t>
      </w:r>
      <w:r w:rsidRPr="00E773DC">
        <w:rPr>
          <w:b/>
          <w:bCs/>
          <w:lang w:val="fr-FR" w:eastAsia="de-DE"/>
        </w:rPr>
        <w:t xml:space="preserve"> l</w:t>
      </w:r>
      <w:r>
        <w:rPr>
          <w:b/>
          <w:bCs/>
          <w:lang w:val="fr-FR" w:eastAsia="de-DE"/>
        </w:rPr>
        <w:t>’</w:t>
      </w:r>
      <w:r w:rsidRPr="00E773DC">
        <w:rPr>
          <w:b/>
          <w:bCs/>
          <w:lang w:val="fr-FR" w:eastAsia="de-DE"/>
        </w:rPr>
        <w:t>appendice 1, jusqu</w:t>
      </w:r>
      <w:r>
        <w:rPr>
          <w:b/>
          <w:bCs/>
          <w:lang w:val="fr-FR" w:eastAsia="de-DE"/>
        </w:rPr>
        <w:t>’</w:t>
      </w:r>
      <w:r w:rsidRPr="00E773DC">
        <w:rPr>
          <w:b/>
          <w:bCs/>
          <w:lang w:val="fr-FR" w:eastAsia="de-DE"/>
        </w:rPr>
        <w:t>au paragraphe 2</w:t>
      </w:r>
      <w:r w:rsidR="00F72B31" w:rsidRPr="00F72B31">
        <w:rPr>
          <w:b/>
          <w:bCs/>
          <w:lang w:val="fr-FR" w:eastAsia="de-DE"/>
        </w:rPr>
        <w:t>.</w:t>
      </w:r>
      <w:r w:rsidRPr="00E773DC">
        <w:rPr>
          <w:b/>
          <w:bCs/>
          <w:lang w:val="fr-FR" w:eastAsia="de-DE"/>
        </w:rPr>
        <w:t>1 inclus, et à l</w:t>
      </w:r>
      <w:r>
        <w:rPr>
          <w:b/>
          <w:bCs/>
          <w:lang w:val="fr-FR" w:eastAsia="de-DE"/>
        </w:rPr>
        <w:t>’</w:t>
      </w:r>
      <w:r w:rsidRPr="00E773DC">
        <w:rPr>
          <w:b/>
          <w:bCs/>
          <w:lang w:val="fr-FR" w:eastAsia="de-DE"/>
        </w:rPr>
        <w:t>appendice 2 de l</w:t>
      </w:r>
      <w:r>
        <w:rPr>
          <w:b/>
          <w:bCs/>
          <w:lang w:val="fr-FR" w:eastAsia="de-DE"/>
        </w:rPr>
        <w:t>’</w:t>
      </w:r>
      <w:r w:rsidRPr="00E773DC">
        <w:rPr>
          <w:b/>
          <w:bCs/>
          <w:lang w:val="fr-FR" w:eastAsia="de-DE"/>
        </w:rPr>
        <w:t xml:space="preserve">annexe A1 du </w:t>
      </w:r>
      <w:r>
        <w:rPr>
          <w:b/>
          <w:bCs/>
          <w:lang w:val="fr-FR" w:eastAsia="de-DE"/>
        </w:rPr>
        <w:t>R</w:t>
      </w:r>
      <w:r w:rsidRPr="00E773DC">
        <w:rPr>
          <w:b/>
          <w:bCs/>
          <w:lang w:val="fr-FR" w:eastAsia="de-DE"/>
        </w:rPr>
        <w:t xml:space="preserve">èglement </w:t>
      </w:r>
      <w:r>
        <w:rPr>
          <w:b/>
          <w:bCs/>
          <w:lang w:val="fr-FR" w:eastAsia="de-DE"/>
        </w:rPr>
        <w:t xml:space="preserve">ONU </w:t>
      </w:r>
      <w:r w:rsidRPr="00E773DC">
        <w:rPr>
          <w:b/>
          <w:bCs/>
          <w:lang w:val="fr-FR" w:eastAsia="de-DE"/>
        </w:rPr>
        <w:t>n</w:t>
      </w:r>
      <w:r w:rsidRPr="00AD71C6">
        <w:rPr>
          <w:b/>
          <w:bCs/>
          <w:vertAlign w:val="superscript"/>
          <w:lang w:val="fr-FR" w:eastAsia="de-DE"/>
        </w:rPr>
        <w:t>o</w:t>
      </w:r>
      <w:r>
        <w:rPr>
          <w:b/>
          <w:bCs/>
          <w:lang w:val="fr-FR" w:eastAsia="de-DE"/>
        </w:rPr>
        <w:t> </w:t>
      </w:r>
      <w:r w:rsidRPr="00E773DC">
        <w:rPr>
          <w:b/>
          <w:bCs/>
          <w:lang w:val="fr-FR" w:eastAsia="de-DE"/>
        </w:rPr>
        <w:t>[154] sont soumis aux autorités d</w:t>
      </w:r>
      <w:r>
        <w:rPr>
          <w:b/>
          <w:bCs/>
          <w:lang w:val="fr-FR" w:eastAsia="de-DE"/>
        </w:rPr>
        <w:t>’</w:t>
      </w:r>
      <w:r w:rsidRPr="00E773DC">
        <w:rPr>
          <w:b/>
          <w:bCs/>
          <w:lang w:val="fr-FR" w:eastAsia="de-DE"/>
        </w:rPr>
        <w:t xml:space="preserve">homologation de type, y compris les résultats des </w:t>
      </w:r>
      <w:r>
        <w:rPr>
          <w:b/>
          <w:bCs/>
          <w:lang w:val="fr-FR" w:eastAsia="de-DE"/>
        </w:rPr>
        <w:t>essais d’</w:t>
      </w:r>
      <w:r w:rsidRPr="00E773DC">
        <w:rPr>
          <w:b/>
          <w:bCs/>
          <w:lang w:val="fr-FR" w:eastAsia="de-DE"/>
        </w:rPr>
        <w:t>émissions de polluants</w:t>
      </w:r>
      <w:r w:rsidR="00F72B31" w:rsidRPr="00F72B31">
        <w:rPr>
          <w:b/>
          <w:bCs/>
          <w:lang w:val="fr-FR" w:eastAsia="de-DE"/>
        </w:rPr>
        <w:t>.</w:t>
      </w:r>
    </w:p>
    <w:p w14:paraId="54CAFFDB" w14:textId="77777777" w:rsidR="00B921D9" w:rsidRPr="00E773DC" w:rsidRDefault="00B921D9" w:rsidP="00B921D9">
      <w:pPr>
        <w:pStyle w:val="SingleTxtG"/>
        <w:ind w:left="2268"/>
        <w:rPr>
          <w:b/>
          <w:bCs/>
          <w:lang w:val="fr-FR" w:eastAsia="de-DE"/>
        </w:rPr>
      </w:pPr>
      <w:r w:rsidRPr="00E773DC">
        <w:rPr>
          <w:b/>
          <w:bCs/>
          <w:lang w:val="fr-FR" w:eastAsia="de-DE"/>
        </w:rPr>
        <w:t>Le constructeur fournit à l</w:t>
      </w:r>
      <w:r>
        <w:rPr>
          <w:b/>
          <w:bCs/>
          <w:lang w:val="fr-FR" w:eastAsia="de-DE"/>
        </w:rPr>
        <w:t>’</w:t>
      </w:r>
      <w:r w:rsidRPr="00E773DC">
        <w:rPr>
          <w:b/>
          <w:bCs/>
          <w:lang w:val="fr-FR" w:eastAsia="de-DE"/>
        </w:rPr>
        <w:t>autorité d</w:t>
      </w:r>
      <w:r>
        <w:rPr>
          <w:b/>
          <w:bCs/>
          <w:lang w:val="fr-FR" w:eastAsia="de-DE"/>
        </w:rPr>
        <w:t>’</w:t>
      </w:r>
      <w:r w:rsidRPr="00E773DC">
        <w:rPr>
          <w:b/>
          <w:bCs/>
          <w:lang w:val="fr-FR" w:eastAsia="de-DE"/>
        </w:rPr>
        <w:t xml:space="preserve">homologation </w:t>
      </w:r>
      <w:r>
        <w:rPr>
          <w:b/>
          <w:bCs/>
          <w:lang w:val="fr-FR" w:eastAsia="de-DE"/>
        </w:rPr>
        <w:t xml:space="preserve">de type </w:t>
      </w:r>
      <w:r w:rsidRPr="00E773DC">
        <w:rPr>
          <w:b/>
          <w:bCs/>
          <w:lang w:val="fr-FR" w:eastAsia="de-DE"/>
        </w:rPr>
        <w:t xml:space="preserve">une déclaration signée attestant que toutes les variantes et versions pour lesquelles </w:t>
      </w:r>
      <w:r>
        <w:rPr>
          <w:b/>
          <w:bCs/>
          <w:lang w:val="fr-FR" w:eastAsia="de-DE"/>
        </w:rPr>
        <w:t>l’</w:t>
      </w:r>
      <w:r w:rsidRPr="00E773DC">
        <w:rPr>
          <w:b/>
          <w:bCs/>
          <w:lang w:val="fr-FR" w:eastAsia="de-DE"/>
        </w:rPr>
        <w:t xml:space="preserve">extension est demandée sont conformes aux </w:t>
      </w:r>
      <w:r>
        <w:rPr>
          <w:b/>
          <w:bCs/>
          <w:lang w:val="fr-FR" w:eastAsia="de-DE"/>
        </w:rPr>
        <w:t>prescriptions en matière</w:t>
      </w:r>
      <w:r w:rsidRPr="00E773DC">
        <w:rPr>
          <w:b/>
          <w:bCs/>
          <w:lang w:val="fr-FR" w:eastAsia="de-DE"/>
        </w:rPr>
        <w:t xml:space="preserve"> d</w:t>
      </w:r>
      <w:r>
        <w:rPr>
          <w:b/>
          <w:bCs/>
          <w:lang w:val="fr-FR" w:eastAsia="de-DE"/>
        </w:rPr>
        <w:t>’</w:t>
      </w:r>
      <w:r w:rsidRPr="00E773DC">
        <w:rPr>
          <w:b/>
          <w:bCs/>
          <w:lang w:val="fr-FR" w:eastAsia="de-DE"/>
        </w:rPr>
        <w:t>émission</w:t>
      </w:r>
      <w:r>
        <w:rPr>
          <w:b/>
          <w:bCs/>
          <w:lang w:val="fr-FR" w:eastAsia="de-DE"/>
        </w:rPr>
        <w:t>s</w:t>
      </w:r>
      <w:r w:rsidRPr="00E773DC">
        <w:rPr>
          <w:b/>
          <w:bCs/>
          <w:lang w:val="fr-FR" w:eastAsia="de-DE"/>
        </w:rPr>
        <w:t xml:space="preserve"> du présent Règlement et que l</w:t>
      </w:r>
      <w:r>
        <w:rPr>
          <w:b/>
          <w:bCs/>
          <w:lang w:val="fr-FR" w:eastAsia="de-DE"/>
        </w:rPr>
        <w:t>’</w:t>
      </w:r>
      <w:r w:rsidRPr="00E773DC">
        <w:rPr>
          <w:b/>
          <w:bCs/>
          <w:lang w:val="fr-FR" w:eastAsia="de-DE"/>
        </w:rPr>
        <w:t>essai du type 1 a été effectué conformément au paragraphe précédent</w:t>
      </w:r>
      <w:r w:rsidR="00F72B31" w:rsidRPr="00F72B31">
        <w:rPr>
          <w:b/>
          <w:bCs/>
          <w:lang w:val="fr-FR" w:eastAsia="de-DE"/>
        </w:rPr>
        <w:t>.</w:t>
      </w:r>
    </w:p>
    <w:p w14:paraId="0AC66A0D" w14:textId="77777777" w:rsidR="00B921D9" w:rsidRPr="00E773DC" w:rsidRDefault="00B921D9" w:rsidP="00B921D9">
      <w:pPr>
        <w:pStyle w:val="SingleTxtG"/>
        <w:ind w:left="2268"/>
        <w:rPr>
          <w:b/>
          <w:bCs/>
          <w:lang w:val="fr-FR" w:eastAsia="de-DE"/>
        </w:rPr>
      </w:pPr>
      <w:r w:rsidRPr="00E773DC">
        <w:rPr>
          <w:b/>
          <w:bCs/>
          <w:lang w:val="fr-FR" w:eastAsia="de-DE"/>
        </w:rPr>
        <w:t>Pour les moteurs à allumage par compression fonctionnant à l</w:t>
      </w:r>
      <w:r>
        <w:rPr>
          <w:b/>
          <w:bCs/>
          <w:lang w:val="fr-FR" w:eastAsia="de-DE"/>
        </w:rPr>
        <w:t>’</w:t>
      </w:r>
      <w:r w:rsidRPr="00E773DC">
        <w:rPr>
          <w:b/>
          <w:bCs/>
          <w:lang w:val="fr-FR" w:eastAsia="de-DE"/>
        </w:rPr>
        <w:t>éthanol (ED95), un rapport fix</w:t>
      </w:r>
      <w:r>
        <w:rPr>
          <w:b/>
          <w:bCs/>
          <w:lang w:val="fr-FR" w:eastAsia="de-DE"/>
        </w:rPr>
        <w:t>e entre</w:t>
      </w:r>
      <w:r w:rsidRPr="00E773DC">
        <w:rPr>
          <w:b/>
          <w:bCs/>
          <w:lang w:val="fr-FR" w:eastAsia="de-DE"/>
        </w:rPr>
        <w:t xml:space="preserve"> carbone</w:t>
      </w:r>
      <w:r>
        <w:rPr>
          <w:b/>
          <w:bCs/>
          <w:lang w:val="fr-FR" w:eastAsia="de-DE"/>
        </w:rPr>
        <w:t xml:space="preserve">, </w:t>
      </w:r>
      <w:r w:rsidRPr="00E773DC">
        <w:rPr>
          <w:b/>
          <w:bCs/>
          <w:lang w:val="fr-FR" w:eastAsia="de-DE"/>
        </w:rPr>
        <w:t>hydrogène</w:t>
      </w:r>
      <w:r>
        <w:rPr>
          <w:b/>
          <w:bCs/>
          <w:lang w:val="fr-FR" w:eastAsia="de-DE"/>
        </w:rPr>
        <w:t xml:space="preserve"> et </w:t>
      </w:r>
      <w:r w:rsidRPr="00E773DC">
        <w:rPr>
          <w:b/>
          <w:bCs/>
          <w:lang w:val="fr-FR" w:eastAsia="de-DE"/>
        </w:rPr>
        <w:t xml:space="preserve">oxygène </w:t>
      </w:r>
      <w:r>
        <w:rPr>
          <w:b/>
          <w:bCs/>
          <w:lang w:val="fr-FR" w:eastAsia="de-DE"/>
        </w:rPr>
        <w:t>(</w:t>
      </w:r>
      <w:r w:rsidRPr="00F02E33">
        <w:rPr>
          <w:b/>
          <w:bCs/>
          <w:lang w:val="fr-FR" w:eastAsia="de-DE"/>
        </w:rPr>
        <w:t>C</w:t>
      </w:r>
      <w:r w:rsidRPr="00E773DC">
        <w:rPr>
          <w:b/>
          <w:bCs/>
          <w:vertAlign w:val="subscript"/>
          <w:lang w:val="fr-FR" w:eastAsia="de-DE"/>
        </w:rPr>
        <w:t>1</w:t>
      </w:r>
      <w:r>
        <w:rPr>
          <w:b/>
          <w:bCs/>
          <w:lang w:val="fr-FR" w:eastAsia="de-DE"/>
        </w:rPr>
        <w:t>-</w:t>
      </w:r>
      <w:r w:rsidRPr="00F02E33">
        <w:rPr>
          <w:b/>
          <w:bCs/>
          <w:lang w:val="fr-FR" w:eastAsia="de-DE"/>
        </w:rPr>
        <w:t>H</w:t>
      </w:r>
      <w:r w:rsidRPr="00E773DC">
        <w:rPr>
          <w:b/>
          <w:bCs/>
          <w:vertAlign w:val="subscript"/>
          <w:lang w:val="fr-FR" w:eastAsia="de-DE"/>
        </w:rPr>
        <w:t>2</w:t>
      </w:r>
      <w:r>
        <w:rPr>
          <w:b/>
          <w:bCs/>
          <w:vertAlign w:val="subscript"/>
          <w:lang w:val="fr-FR" w:eastAsia="de-DE"/>
        </w:rPr>
        <w:t>,</w:t>
      </w:r>
      <w:r w:rsidRPr="00E773DC">
        <w:rPr>
          <w:b/>
          <w:bCs/>
          <w:vertAlign w:val="subscript"/>
          <w:lang w:val="fr-FR" w:eastAsia="de-DE"/>
        </w:rPr>
        <w:t>92</w:t>
      </w:r>
      <w:r>
        <w:rPr>
          <w:b/>
          <w:bCs/>
          <w:lang w:val="fr-FR" w:eastAsia="de-DE"/>
        </w:rPr>
        <w:t>-</w:t>
      </w:r>
      <w:r w:rsidRPr="00F02E33">
        <w:rPr>
          <w:b/>
          <w:bCs/>
          <w:lang w:val="fr-FR" w:eastAsia="de-DE"/>
        </w:rPr>
        <w:t>O</w:t>
      </w:r>
      <w:r w:rsidRPr="00E773DC">
        <w:rPr>
          <w:b/>
          <w:bCs/>
          <w:vertAlign w:val="subscript"/>
          <w:lang w:val="fr-FR" w:eastAsia="de-DE"/>
        </w:rPr>
        <w:t>0</w:t>
      </w:r>
      <w:r>
        <w:rPr>
          <w:b/>
          <w:bCs/>
          <w:vertAlign w:val="subscript"/>
          <w:lang w:val="fr-FR" w:eastAsia="de-DE"/>
        </w:rPr>
        <w:t>,</w:t>
      </w:r>
      <w:r w:rsidRPr="00E773DC">
        <w:rPr>
          <w:b/>
          <w:bCs/>
          <w:vertAlign w:val="subscript"/>
          <w:lang w:val="fr-FR" w:eastAsia="de-DE"/>
        </w:rPr>
        <w:t>46</w:t>
      </w:r>
      <w:r>
        <w:rPr>
          <w:b/>
          <w:bCs/>
          <w:lang w:val="fr-FR" w:eastAsia="de-DE"/>
        </w:rPr>
        <w:t xml:space="preserve">) </w:t>
      </w:r>
      <w:r w:rsidRPr="00E773DC">
        <w:rPr>
          <w:b/>
          <w:bCs/>
          <w:lang w:val="fr-FR" w:eastAsia="de-DE"/>
        </w:rPr>
        <w:t>est utilisé aux fins du calcul des valeurs de consommation de carburant</w:t>
      </w:r>
      <w:r w:rsidR="00F72B31" w:rsidRPr="00F72B31">
        <w:rPr>
          <w:b/>
          <w:bCs/>
          <w:lang w:val="fr-FR" w:eastAsia="de-DE"/>
        </w:rPr>
        <w:t>.</w:t>
      </w:r>
    </w:p>
    <w:p w14:paraId="78DF2101" w14:textId="77777777" w:rsidR="00B921D9" w:rsidRPr="00E773DC" w:rsidRDefault="00F72B31" w:rsidP="00F21368">
      <w:pPr>
        <w:pStyle w:val="HChG"/>
        <w:rPr>
          <w:lang w:val="fr-FR"/>
        </w:rPr>
      </w:pPr>
      <w:r>
        <w:rPr>
          <w:lang w:val="fr-FR"/>
        </w:rPr>
        <w:br w:type="page"/>
      </w:r>
      <w:r w:rsidR="00F21368">
        <w:rPr>
          <w:lang w:val="fr-FR"/>
        </w:rPr>
        <w:tab/>
      </w:r>
      <w:r w:rsidR="00B921D9" w:rsidRPr="00E773DC">
        <w:rPr>
          <w:lang w:val="fr-FR"/>
        </w:rPr>
        <w:t>II</w:t>
      </w:r>
      <w:r w:rsidRPr="00F72B31">
        <w:rPr>
          <w:lang w:val="fr-FR"/>
        </w:rPr>
        <w:t>.</w:t>
      </w:r>
      <w:r w:rsidR="00B921D9" w:rsidRPr="00E773DC">
        <w:rPr>
          <w:lang w:val="fr-FR"/>
        </w:rPr>
        <w:tab/>
        <w:t>Justification</w:t>
      </w:r>
    </w:p>
    <w:p w14:paraId="23020A9E" w14:textId="77777777" w:rsidR="00B921D9" w:rsidRPr="00E773DC" w:rsidRDefault="00B921D9" w:rsidP="00F21368">
      <w:pPr>
        <w:pStyle w:val="SingleTxtG"/>
        <w:rPr>
          <w:lang w:val="fr-FR"/>
        </w:rPr>
      </w:pPr>
      <w:r w:rsidRPr="00E773DC">
        <w:rPr>
          <w:lang w:val="fr-FR"/>
        </w:rPr>
        <w:t>1</w:t>
      </w:r>
      <w:r w:rsidR="00F72B31" w:rsidRPr="00F72B31">
        <w:rPr>
          <w:lang w:val="fr-FR"/>
        </w:rPr>
        <w:t>.</w:t>
      </w:r>
      <w:r w:rsidRPr="00E773DC">
        <w:rPr>
          <w:lang w:val="fr-FR"/>
        </w:rPr>
        <w:tab/>
      </w:r>
      <w:r>
        <w:rPr>
          <w:lang w:val="fr-FR"/>
        </w:rPr>
        <w:t>A</w:t>
      </w:r>
      <w:r w:rsidRPr="00E773DC">
        <w:rPr>
          <w:lang w:val="fr-FR"/>
        </w:rPr>
        <w:t>ctuellement</w:t>
      </w:r>
      <w:r>
        <w:rPr>
          <w:lang w:val="fr-FR"/>
        </w:rPr>
        <w:t>, l</w:t>
      </w:r>
      <w:r w:rsidRPr="00E773DC">
        <w:rPr>
          <w:lang w:val="fr-FR"/>
        </w:rPr>
        <w:t>es</w:t>
      </w:r>
      <w:r>
        <w:rPr>
          <w:lang w:val="fr-FR"/>
        </w:rPr>
        <w:t xml:space="preserve"> </w:t>
      </w:r>
      <w:r w:rsidRPr="00E773DC">
        <w:rPr>
          <w:lang w:val="fr-FR"/>
        </w:rPr>
        <w:t>performances des poids lourds en matière d</w:t>
      </w:r>
      <w:r>
        <w:rPr>
          <w:lang w:val="fr-FR"/>
        </w:rPr>
        <w:t>’</w:t>
      </w:r>
      <w:r w:rsidRPr="00E773DC">
        <w:rPr>
          <w:lang w:val="fr-FR"/>
        </w:rPr>
        <w:t xml:space="preserve">émissions </w:t>
      </w:r>
      <w:r>
        <w:rPr>
          <w:lang w:val="fr-FR"/>
        </w:rPr>
        <w:t>pendant</w:t>
      </w:r>
      <w:r w:rsidRPr="00E773DC">
        <w:rPr>
          <w:lang w:val="fr-FR"/>
        </w:rPr>
        <w:t xml:space="preserve"> la période suivant un démarrage à froid du moteur ne sont évaluées </w:t>
      </w:r>
      <w:r>
        <w:rPr>
          <w:lang w:val="fr-FR"/>
        </w:rPr>
        <w:t xml:space="preserve">ni </w:t>
      </w:r>
      <w:r w:rsidRPr="00E773DC">
        <w:rPr>
          <w:lang w:val="fr-FR"/>
        </w:rPr>
        <w:t>dans le cadre de l</w:t>
      </w:r>
      <w:r>
        <w:rPr>
          <w:lang w:val="fr-FR"/>
        </w:rPr>
        <w:t>’</w:t>
      </w:r>
      <w:r w:rsidRPr="00E773DC">
        <w:rPr>
          <w:lang w:val="fr-FR"/>
        </w:rPr>
        <w:t>essai de démonstration de l</w:t>
      </w:r>
      <w:r>
        <w:rPr>
          <w:lang w:val="fr-FR"/>
        </w:rPr>
        <w:t>’</w:t>
      </w:r>
      <w:r w:rsidRPr="00E773DC">
        <w:rPr>
          <w:lang w:val="fr-FR"/>
        </w:rPr>
        <w:t>homologation</w:t>
      </w:r>
      <w:r>
        <w:rPr>
          <w:lang w:val="fr-FR"/>
        </w:rPr>
        <w:t xml:space="preserve"> de type</w:t>
      </w:r>
      <w:r w:rsidRPr="00E773DC">
        <w:rPr>
          <w:lang w:val="fr-FR"/>
        </w:rPr>
        <w:t xml:space="preserve"> </w:t>
      </w:r>
      <w:r>
        <w:rPr>
          <w:lang w:val="fr-FR"/>
        </w:rPr>
        <w:t xml:space="preserve">ni dans celui </w:t>
      </w:r>
      <w:r w:rsidRPr="00E773DC">
        <w:rPr>
          <w:lang w:val="fr-FR"/>
        </w:rPr>
        <w:t>de l</w:t>
      </w:r>
      <w:r>
        <w:rPr>
          <w:lang w:val="fr-FR"/>
        </w:rPr>
        <w:t>’</w:t>
      </w:r>
      <w:r w:rsidRPr="00E773DC">
        <w:rPr>
          <w:lang w:val="fr-FR"/>
        </w:rPr>
        <w:t>essai de conformité en service</w:t>
      </w:r>
      <w:r w:rsidR="00F72B31" w:rsidRPr="00F72B31">
        <w:rPr>
          <w:lang w:val="fr-FR"/>
        </w:rPr>
        <w:t>.</w:t>
      </w:r>
      <w:r w:rsidRPr="00E773DC">
        <w:rPr>
          <w:lang w:val="fr-FR"/>
        </w:rPr>
        <w:t xml:space="preserve"> Afin de mieux représenter les émissions réelles, la procédure de mesure devrait être révisée pour inclure la mesure des émissions de polluants pendant la période de démarrage à froid du moteur</w:t>
      </w:r>
      <w:r w:rsidR="00F72B31" w:rsidRPr="00F72B31">
        <w:rPr>
          <w:lang w:val="fr-FR"/>
        </w:rPr>
        <w:t>.</w:t>
      </w:r>
    </w:p>
    <w:p w14:paraId="205E0E91" w14:textId="77777777" w:rsidR="00B921D9" w:rsidRDefault="00B921D9" w:rsidP="00F21368">
      <w:pPr>
        <w:pStyle w:val="SingleTxtG"/>
        <w:rPr>
          <w:lang w:val="fr-FR"/>
        </w:rPr>
      </w:pPr>
      <w:r>
        <w:rPr>
          <w:lang w:val="fr-FR"/>
        </w:rPr>
        <w:t>2</w:t>
      </w:r>
      <w:r w:rsidR="00F72B31" w:rsidRPr="00F72B31">
        <w:rPr>
          <w:lang w:val="fr-FR"/>
        </w:rPr>
        <w:t>.</w:t>
      </w:r>
      <w:r>
        <w:rPr>
          <w:lang w:val="fr-FR"/>
        </w:rPr>
        <w:tab/>
      </w:r>
      <w:r w:rsidRPr="00E773DC">
        <w:rPr>
          <w:lang w:val="fr-FR"/>
        </w:rPr>
        <w:t>L</w:t>
      </w:r>
      <w:r>
        <w:rPr>
          <w:lang w:val="fr-FR"/>
        </w:rPr>
        <w:t>a</w:t>
      </w:r>
      <w:r w:rsidRPr="00E773DC">
        <w:rPr>
          <w:lang w:val="fr-FR"/>
        </w:rPr>
        <w:t xml:space="preserve"> mesure du nombre de particules à l</w:t>
      </w:r>
      <w:r>
        <w:rPr>
          <w:lang w:val="fr-FR"/>
        </w:rPr>
        <w:t>’</w:t>
      </w:r>
      <w:r w:rsidRPr="00E773DC">
        <w:rPr>
          <w:lang w:val="fr-FR"/>
        </w:rPr>
        <w:t>aide d</w:t>
      </w:r>
      <w:r>
        <w:rPr>
          <w:lang w:val="fr-FR"/>
        </w:rPr>
        <w:t>’un</w:t>
      </w:r>
      <w:r w:rsidRPr="00E773DC">
        <w:rPr>
          <w:lang w:val="fr-FR"/>
        </w:rPr>
        <w:t xml:space="preserve"> PEMS </w:t>
      </w:r>
      <w:r>
        <w:rPr>
          <w:lang w:val="fr-FR"/>
        </w:rPr>
        <w:t>a</w:t>
      </w:r>
      <w:r w:rsidRPr="00E773DC">
        <w:rPr>
          <w:lang w:val="fr-FR"/>
        </w:rPr>
        <w:t xml:space="preserve"> été mise en œuvre avec succès dans le cadre des règles </w:t>
      </w:r>
      <w:r>
        <w:rPr>
          <w:lang w:val="fr-FR"/>
        </w:rPr>
        <w:t>relatives aux</w:t>
      </w:r>
      <w:r w:rsidRPr="00E773DC">
        <w:rPr>
          <w:lang w:val="fr-FR"/>
        </w:rPr>
        <w:t xml:space="preserve"> émissions </w:t>
      </w:r>
      <w:r>
        <w:rPr>
          <w:lang w:val="fr-FR"/>
        </w:rPr>
        <w:t xml:space="preserve">aux fins </w:t>
      </w:r>
      <w:r w:rsidRPr="00E773DC">
        <w:rPr>
          <w:lang w:val="fr-FR"/>
        </w:rPr>
        <w:t>d</w:t>
      </w:r>
      <w:r>
        <w:rPr>
          <w:lang w:val="fr-FR"/>
        </w:rPr>
        <w:t>e l’</w:t>
      </w:r>
      <w:r w:rsidRPr="00E773DC">
        <w:rPr>
          <w:lang w:val="fr-FR"/>
        </w:rPr>
        <w:t xml:space="preserve">homologation </w:t>
      </w:r>
      <w:r>
        <w:rPr>
          <w:lang w:val="fr-FR"/>
        </w:rPr>
        <w:t>de type</w:t>
      </w:r>
      <w:r w:rsidRPr="00E773DC">
        <w:rPr>
          <w:lang w:val="fr-FR"/>
        </w:rPr>
        <w:t xml:space="preserve"> </w:t>
      </w:r>
      <w:r>
        <w:rPr>
          <w:lang w:val="fr-FR"/>
        </w:rPr>
        <w:t>d</w:t>
      </w:r>
      <w:r w:rsidRPr="00E773DC">
        <w:rPr>
          <w:lang w:val="fr-FR"/>
        </w:rPr>
        <w:t xml:space="preserve">es véhicules légers de tourisme et </w:t>
      </w:r>
      <w:r w:rsidRPr="00F02E33">
        <w:rPr>
          <w:lang w:val="fr-FR"/>
        </w:rPr>
        <w:t xml:space="preserve">des véhicules </w:t>
      </w:r>
      <w:r w:rsidRPr="008F2430">
        <w:rPr>
          <w:lang w:val="fr-FR"/>
        </w:rPr>
        <w:t>utilitaires légers</w:t>
      </w:r>
      <w:r w:rsidR="00F72B31" w:rsidRPr="00F72B31">
        <w:rPr>
          <w:lang w:val="fr-FR"/>
        </w:rPr>
        <w:t>.</w:t>
      </w:r>
      <w:r w:rsidRPr="00E773DC">
        <w:rPr>
          <w:lang w:val="fr-FR"/>
        </w:rPr>
        <w:t xml:space="preserve"> Il est jugé approprié d</w:t>
      </w:r>
      <w:r>
        <w:rPr>
          <w:lang w:val="fr-FR"/>
        </w:rPr>
        <w:t>’</w:t>
      </w:r>
      <w:r w:rsidRPr="00E773DC">
        <w:rPr>
          <w:lang w:val="fr-FR"/>
        </w:rPr>
        <w:t xml:space="preserve">introduire une </w:t>
      </w:r>
      <w:r>
        <w:rPr>
          <w:lang w:val="fr-FR"/>
        </w:rPr>
        <w:t>prescription</w:t>
      </w:r>
      <w:r w:rsidRPr="00E773DC">
        <w:rPr>
          <w:lang w:val="fr-FR"/>
        </w:rPr>
        <w:t xml:space="preserve"> similaire dans les règles </w:t>
      </w:r>
      <w:r>
        <w:rPr>
          <w:lang w:val="fr-FR"/>
        </w:rPr>
        <w:t>relatives aux</w:t>
      </w:r>
      <w:r w:rsidRPr="00E773DC">
        <w:rPr>
          <w:lang w:val="fr-FR"/>
        </w:rPr>
        <w:t xml:space="preserve"> émissions pour </w:t>
      </w:r>
      <w:r>
        <w:rPr>
          <w:lang w:val="fr-FR"/>
        </w:rPr>
        <w:t>l’</w:t>
      </w:r>
      <w:r w:rsidRPr="00E773DC">
        <w:rPr>
          <w:lang w:val="fr-FR"/>
        </w:rPr>
        <w:t xml:space="preserve">homologation </w:t>
      </w:r>
      <w:r>
        <w:rPr>
          <w:lang w:val="fr-FR"/>
        </w:rPr>
        <w:t>de type d</w:t>
      </w:r>
      <w:r w:rsidRPr="00E773DC">
        <w:rPr>
          <w:lang w:val="fr-FR"/>
        </w:rPr>
        <w:t>es véhicules lourds</w:t>
      </w:r>
      <w:r w:rsidR="00F72B31" w:rsidRPr="00F72B31">
        <w:rPr>
          <w:lang w:val="fr-FR"/>
        </w:rPr>
        <w:t>.</w:t>
      </w:r>
    </w:p>
    <w:p w14:paraId="536188DF" w14:textId="77777777" w:rsidR="00B921D9" w:rsidRDefault="00B921D9" w:rsidP="00F21368">
      <w:pPr>
        <w:pStyle w:val="SingleTxtG"/>
        <w:rPr>
          <w:lang w:val="fr-FR"/>
        </w:rPr>
      </w:pPr>
      <w:r>
        <w:rPr>
          <w:lang w:val="fr-FR"/>
        </w:rPr>
        <w:t>3</w:t>
      </w:r>
      <w:r w:rsidR="00F72B31" w:rsidRPr="00F72B31">
        <w:rPr>
          <w:lang w:val="fr-FR"/>
        </w:rPr>
        <w:t>.</w:t>
      </w:r>
      <w:r>
        <w:rPr>
          <w:lang w:val="fr-FR"/>
        </w:rPr>
        <w:tab/>
      </w:r>
      <w:r w:rsidRPr="00E773DC">
        <w:rPr>
          <w:lang w:val="fr-FR"/>
        </w:rPr>
        <w:t xml:space="preserve">Les règles </w:t>
      </w:r>
      <w:r w:rsidRPr="00FE3C27">
        <w:rPr>
          <w:lang w:val="fr-FR"/>
        </w:rPr>
        <w:t xml:space="preserve">relatives à </w:t>
      </w:r>
      <w:r>
        <w:rPr>
          <w:lang w:val="fr-FR"/>
        </w:rPr>
        <w:t xml:space="preserve">la </w:t>
      </w:r>
      <w:r w:rsidRPr="00E773DC">
        <w:rPr>
          <w:lang w:val="fr-FR"/>
        </w:rPr>
        <w:t xml:space="preserve">déclaration et </w:t>
      </w:r>
      <w:r>
        <w:rPr>
          <w:lang w:val="fr-FR"/>
        </w:rPr>
        <w:t>l’</w:t>
      </w:r>
      <w:r w:rsidRPr="00E773DC">
        <w:rPr>
          <w:lang w:val="fr-FR"/>
        </w:rPr>
        <w:t>évaluation des stratégies auxiliaires d</w:t>
      </w:r>
      <w:r>
        <w:rPr>
          <w:lang w:val="fr-FR"/>
        </w:rPr>
        <w:t xml:space="preserve">e limitation des </w:t>
      </w:r>
      <w:r w:rsidRPr="00E773DC">
        <w:rPr>
          <w:lang w:val="fr-FR"/>
        </w:rPr>
        <w:t>émission</w:t>
      </w:r>
      <w:r>
        <w:rPr>
          <w:lang w:val="fr-FR"/>
        </w:rPr>
        <w:t>s</w:t>
      </w:r>
      <w:r w:rsidRPr="00E773DC">
        <w:rPr>
          <w:lang w:val="fr-FR"/>
        </w:rPr>
        <w:t xml:space="preserve"> (AES) ont été modifiées pour les véhicules légers de tourisme et les véhicules utilitaires </w:t>
      </w:r>
      <w:r w:rsidRPr="008F2430">
        <w:rPr>
          <w:lang w:val="fr-FR"/>
        </w:rPr>
        <w:t xml:space="preserve">légers </w:t>
      </w:r>
      <w:r w:rsidRPr="00E773DC">
        <w:rPr>
          <w:lang w:val="fr-FR"/>
        </w:rPr>
        <w:t>et devraient être alignées sur celles des véhicules lourds dans un souci de cohérence</w:t>
      </w:r>
      <w:r w:rsidR="00F72B31" w:rsidRPr="00F72B31">
        <w:rPr>
          <w:lang w:val="fr-FR"/>
        </w:rPr>
        <w:t>.</w:t>
      </w:r>
    </w:p>
    <w:p w14:paraId="5FCCB5B1" w14:textId="77777777" w:rsidR="00B921D9" w:rsidRDefault="00B921D9" w:rsidP="00F21368">
      <w:pPr>
        <w:pStyle w:val="SingleTxtG"/>
        <w:rPr>
          <w:lang w:val="fr-FR"/>
        </w:rPr>
      </w:pPr>
      <w:r>
        <w:rPr>
          <w:lang w:val="fr-FR"/>
        </w:rPr>
        <w:t>4</w:t>
      </w:r>
      <w:r w:rsidR="00F72B31" w:rsidRPr="00F72B31">
        <w:rPr>
          <w:lang w:val="fr-FR"/>
        </w:rPr>
        <w:t>.</w:t>
      </w:r>
      <w:r>
        <w:rPr>
          <w:lang w:val="fr-FR"/>
        </w:rPr>
        <w:tab/>
      </w:r>
      <w:r w:rsidRPr="00F02E33">
        <w:rPr>
          <w:lang w:val="fr-FR"/>
        </w:rPr>
        <w:t>Les règles relatives à l</w:t>
      </w:r>
      <w:r>
        <w:rPr>
          <w:lang w:val="fr-FR"/>
        </w:rPr>
        <w:t>’</w:t>
      </w:r>
      <w:r w:rsidRPr="00F02E33">
        <w:rPr>
          <w:lang w:val="fr-FR"/>
        </w:rPr>
        <w:t xml:space="preserve">accès aux informations </w:t>
      </w:r>
      <w:r>
        <w:rPr>
          <w:lang w:val="fr-FR"/>
        </w:rPr>
        <w:t>d</w:t>
      </w:r>
      <w:r w:rsidRPr="00F02E33">
        <w:rPr>
          <w:lang w:val="fr-FR"/>
        </w:rPr>
        <w:t xml:space="preserve">es systèmes </w:t>
      </w:r>
      <w:r>
        <w:rPr>
          <w:lang w:val="fr-FR"/>
        </w:rPr>
        <w:t>d’autodiagnostic</w:t>
      </w:r>
      <w:r w:rsidRPr="00F02E33">
        <w:rPr>
          <w:lang w:val="fr-FR"/>
        </w:rPr>
        <w:t xml:space="preserve"> des véhicules ne </w:t>
      </w:r>
      <w:r>
        <w:rPr>
          <w:lang w:val="fr-FR"/>
        </w:rPr>
        <w:t>doivent</w:t>
      </w:r>
      <w:r w:rsidRPr="00F02E33">
        <w:rPr>
          <w:lang w:val="fr-FR"/>
        </w:rPr>
        <w:t xml:space="preserve"> pas</w:t>
      </w:r>
      <w:r>
        <w:rPr>
          <w:lang w:val="fr-FR"/>
        </w:rPr>
        <w:t xml:space="preserve"> être</w:t>
      </w:r>
      <w:r w:rsidRPr="00F02E33">
        <w:rPr>
          <w:lang w:val="fr-FR"/>
        </w:rPr>
        <w:t xml:space="preserve"> limitées à la législation sur les émissions</w:t>
      </w:r>
      <w:r>
        <w:rPr>
          <w:lang w:val="fr-FR"/>
        </w:rPr>
        <w:t>,</w:t>
      </w:r>
      <w:r w:rsidRPr="00F02E33">
        <w:rPr>
          <w:lang w:val="fr-FR"/>
        </w:rPr>
        <w:t xml:space="preserve"> et il est jugé approprié d</w:t>
      </w:r>
      <w:r>
        <w:rPr>
          <w:lang w:val="fr-FR"/>
        </w:rPr>
        <w:t>’</w:t>
      </w:r>
      <w:r w:rsidRPr="00F02E33">
        <w:rPr>
          <w:lang w:val="fr-FR"/>
        </w:rPr>
        <w:t>omettre les dispositions relatives à l</w:t>
      </w:r>
      <w:r>
        <w:rPr>
          <w:lang w:val="fr-FR"/>
        </w:rPr>
        <w:t>’</w:t>
      </w:r>
      <w:r w:rsidRPr="00F02E33">
        <w:rPr>
          <w:lang w:val="fr-FR"/>
        </w:rPr>
        <w:t>accès à ces informations dans le présent Règlement</w:t>
      </w:r>
      <w:r w:rsidR="00F72B31" w:rsidRPr="00F72B31">
        <w:rPr>
          <w:lang w:val="fr-FR"/>
        </w:rPr>
        <w:t>.</w:t>
      </w:r>
      <w:r w:rsidRPr="00F02E33">
        <w:rPr>
          <w:lang w:val="fr-FR"/>
        </w:rPr>
        <w:t xml:space="preserve"> Il est suggéré d</w:t>
      </w:r>
      <w:r>
        <w:rPr>
          <w:lang w:val="fr-FR"/>
        </w:rPr>
        <w:t>’</w:t>
      </w:r>
      <w:r w:rsidRPr="00F02E33">
        <w:rPr>
          <w:lang w:val="fr-FR"/>
        </w:rPr>
        <w:t>intégrer</w:t>
      </w:r>
      <w:r w:rsidRPr="00191AD1">
        <w:rPr>
          <w:lang w:val="fr-FR"/>
        </w:rPr>
        <w:t xml:space="preserve"> </w:t>
      </w:r>
      <w:r w:rsidRPr="00F02E33">
        <w:rPr>
          <w:lang w:val="fr-FR"/>
        </w:rPr>
        <w:t xml:space="preserve">dans le </w:t>
      </w:r>
      <w:r>
        <w:rPr>
          <w:lang w:val="fr-FR"/>
        </w:rPr>
        <w:t>R</w:t>
      </w:r>
      <w:r w:rsidRPr="00F02E33">
        <w:rPr>
          <w:lang w:val="fr-FR"/>
        </w:rPr>
        <w:t xml:space="preserve">èglement </w:t>
      </w:r>
      <w:r>
        <w:rPr>
          <w:lang w:val="fr-FR"/>
        </w:rPr>
        <w:t>ONU n</w:t>
      </w:r>
      <w:r w:rsidRPr="00191AD1">
        <w:rPr>
          <w:vertAlign w:val="superscript"/>
          <w:lang w:val="fr-FR"/>
        </w:rPr>
        <w:t>o</w:t>
      </w:r>
      <w:r>
        <w:rPr>
          <w:lang w:val="fr-FR"/>
        </w:rPr>
        <w:t> </w:t>
      </w:r>
      <w:r w:rsidRPr="00F02E33">
        <w:rPr>
          <w:lang w:val="fr-FR"/>
        </w:rPr>
        <w:t>0 les règles relatives à l</w:t>
      </w:r>
      <w:r>
        <w:rPr>
          <w:lang w:val="fr-FR"/>
        </w:rPr>
        <w:t>’</w:t>
      </w:r>
      <w:r w:rsidRPr="00F02E33">
        <w:rPr>
          <w:lang w:val="fr-FR"/>
        </w:rPr>
        <w:t xml:space="preserve">accès aux informations </w:t>
      </w:r>
      <w:r>
        <w:rPr>
          <w:lang w:val="fr-FR"/>
        </w:rPr>
        <w:t>d</w:t>
      </w:r>
      <w:r w:rsidRPr="00F02E33">
        <w:rPr>
          <w:lang w:val="fr-FR"/>
        </w:rPr>
        <w:t xml:space="preserve">es systèmes </w:t>
      </w:r>
      <w:r w:rsidRPr="00191AD1">
        <w:rPr>
          <w:lang w:val="fr-FR"/>
        </w:rPr>
        <w:t>d</w:t>
      </w:r>
      <w:r>
        <w:rPr>
          <w:lang w:val="fr-FR"/>
        </w:rPr>
        <w:t>’</w:t>
      </w:r>
      <w:r w:rsidRPr="00191AD1">
        <w:rPr>
          <w:lang w:val="fr-FR"/>
        </w:rPr>
        <w:t xml:space="preserve">autodiagnostic </w:t>
      </w:r>
      <w:r w:rsidRPr="00F02E33">
        <w:rPr>
          <w:lang w:val="fr-FR"/>
        </w:rPr>
        <w:t>des véhicules et aux informations sur la réparation et l</w:t>
      </w:r>
      <w:r>
        <w:rPr>
          <w:lang w:val="fr-FR"/>
        </w:rPr>
        <w:t>’</w:t>
      </w:r>
      <w:r w:rsidRPr="00F02E33">
        <w:rPr>
          <w:lang w:val="fr-FR"/>
        </w:rPr>
        <w:t>entretien</w:t>
      </w:r>
      <w:bookmarkStart w:id="39" w:name="_GoBack"/>
      <w:bookmarkEnd w:id="39"/>
      <w:r w:rsidRPr="00F02E33">
        <w:rPr>
          <w:lang w:val="fr-FR"/>
        </w:rPr>
        <w:t xml:space="preserve"> des véhicules, afin de les rendre applicables </w:t>
      </w:r>
      <w:r>
        <w:rPr>
          <w:lang w:val="fr-FR"/>
        </w:rPr>
        <w:t xml:space="preserve">à </w:t>
      </w:r>
      <w:r w:rsidRPr="00F02E33">
        <w:rPr>
          <w:lang w:val="fr-FR"/>
        </w:rPr>
        <w:t>l</w:t>
      </w:r>
      <w:r>
        <w:rPr>
          <w:lang w:val="fr-FR"/>
        </w:rPr>
        <w:t>’</w:t>
      </w:r>
      <w:r w:rsidRPr="00F02E33">
        <w:rPr>
          <w:lang w:val="fr-FR"/>
        </w:rPr>
        <w:t>ensemble du véhicule</w:t>
      </w:r>
      <w:r w:rsidR="00F72B31" w:rsidRPr="00F72B31">
        <w:rPr>
          <w:lang w:val="fr-FR"/>
        </w:rPr>
        <w:t>.</w:t>
      </w:r>
    </w:p>
    <w:p w14:paraId="4B63299B" w14:textId="77777777" w:rsidR="00B921D9" w:rsidRPr="00B921D9" w:rsidRDefault="00B921D9" w:rsidP="00B921D9">
      <w:pPr>
        <w:pStyle w:val="SingleTxtG"/>
        <w:spacing w:before="240" w:after="0"/>
        <w:jc w:val="center"/>
        <w:rPr>
          <w:u w:val="single"/>
        </w:rPr>
      </w:pPr>
      <w:r>
        <w:rPr>
          <w:u w:val="single"/>
        </w:rPr>
        <w:tab/>
      </w:r>
      <w:r>
        <w:rPr>
          <w:u w:val="single"/>
        </w:rPr>
        <w:tab/>
      </w:r>
      <w:r>
        <w:rPr>
          <w:u w:val="single"/>
        </w:rPr>
        <w:tab/>
      </w:r>
    </w:p>
    <w:sectPr w:rsidR="00B921D9" w:rsidRPr="00B921D9" w:rsidSect="00B921D9">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441F" w14:textId="77777777" w:rsidR="00CB0680" w:rsidRDefault="00CB0680" w:rsidP="00F95C08">
      <w:pPr>
        <w:spacing w:line="240" w:lineRule="auto"/>
      </w:pPr>
    </w:p>
  </w:endnote>
  <w:endnote w:type="continuationSeparator" w:id="0">
    <w:p w14:paraId="6BC87A11" w14:textId="77777777" w:rsidR="00CB0680" w:rsidRPr="00AC3823" w:rsidRDefault="00CB0680" w:rsidP="00AC3823">
      <w:pPr>
        <w:pStyle w:val="Pieddepage"/>
      </w:pPr>
    </w:p>
  </w:endnote>
  <w:endnote w:type="continuationNotice" w:id="1">
    <w:p w14:paraId="66CEE74D" w14:textId="77777777" w:rsidR="00CB0680" w:rsidRDefault="00CB0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1419" w14:textId="77777777" w:rsidR="00CB0680" w:rsidRPr="0066449B" w:rsidRDefault="00CB0680" w:rsidP="0066449B">
    <w:pPr>
      <w:pStyle w:val="Pieddepage"/>
      <w:tabs>
        <w:tab w:val="right" w:pos="9638"/>
      </w:tabs>
    </w:pPr>
    <w:r w:rsidRPr="0066449B">
      <w:rPr>
        <w:b/>
        <w:sz w:val="18"/>
      </w:rPr>
      <w:fldChar w:fldCharType="begin"/>
    </w:r>
    <w:r w:rsidRPr="0066449B">
      <w:rPr>
        <w:b/>
        <w:sz w:val="18"/>
      </w:rPr>
      <w:instrText xml:space="preserve"> PAGE  \* MERGEFORMAT </w:instrText>
    </w:r>
    <w:r w:rsidRPr="0066449B">
      <w:rPr>
        <w:b/>
        <w:sz w:val="18"/>
      </w:rPr>
      <w:fldChar w:fldCharType="separate"/>
    </w:r>
    <w:r w:rsidRPr="0066449B">
      <w:rPr>
        <w:b/>
        <w:noProof/>
        <w:sz w:val="18"/>
      </w:rPr>
      <w:t>2</w:t>
    </w:r>
    <w:r w:rsidRPr="0066449B">
      <w:rPr>
        <w:b/>
        <w:sz w:val="18"/>
      </w:rPr>
      <w:fldChar w:fldCharType="end"/>
    </w:r>
    <w:r>
      <w:rPr>
        <w:b/>
        <w:sz w:val="18"/>
      </w:rPr>
      <w:tab/>
    </w:r>
    <w:r>
      <w:t>GE</w:t>
    </w:r>
    <w:r w:rsidR="00F72B31" w:rsidRPr="00F72B31">
      <w:t>.</w:t>
    </w:r>
    <w:r>
      <w:t>20-14567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07C0" w14:textId="77777777" w:rsidR="00CB0680" w:rsidRPr="0066449B" w:rsidRDefault="00CB0680" w:rsidP="0066449B">
    <w:pPr>
      <w:pStyle w:val="Pieddepage"/>
      <w:tabs>
        <w:tab w:val="right" w:pos="9638"/>
      </w:tabs>
      <w:rPr>
        <w:b/>
        <w:sz w:val="18"/>
      </w:rPr>
    </w:pPr>
    <w:r>
      <w:t>GE</w:t>
    </w:r>
    <w:r w:rsidR="00F72B31" w:rsidRPr="00F72B31">
      <w:t>.</w:t>
    </w:r>
    <w:r>
      <w:t>20-14567</w:t>
    </w:r>
    <w:r>
      <w:tab/>
    </w:r>
    <w:r w:rsidRPr="0066449B">
      <w:rPr>
        <w:b/>
        <w:sz w:val="18"/>
      </w:rPr>
      <w:fldChar w:fldCharType="begin"/>
    </w:r>
    <w:r w:rsidRPr="0066449B">
      <w:rPr>
        <w:b/>
        <w:sz w:val="18"/>
      </w:rPr>
      <w:instrText xml:space="preserve"> PAGE  \* MERGEFORMAT </w:instrText>
    </w:r>
    <w:r w:rsidRPr="0066449B">
      <w:rPr>
        <w:b/>
        <w:sz w:val="18"/>
      </w:rPr>
      <w:fldChar w:fldCharType="separate"/>
    </w:r>
    <w:r w:rsidRPr="0066449B">
      <w:rPr>
        <w:b/>
        <w:noProof/>
        <w:sz w:val="18"/>
      </w:rPr>
      <w:t>3</w:t>
    </w:r>
    <w:r w:rsidRPr="006644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4AC5" w14:textId="77777777" w:rsidR="00CB0680" w:rsidRPr="0066449B" w:rsidRDefault="00CB0680" w:rsidP="0066449B">
    <w:pPr>
      <w:pStyle w:val="Pieddepage"/>
      <w:spacing w:before="120"/>
      <w:rPr>
        <w:sz w:val="20"/>
      </w:rPr>
    </w:pPr>
    <w:r>
      <w:rPr>
        <w:sz w:val="20"/>
      </w:rPr>
      <w:t>GE</w:t>
    </w:r>
    <w:r w:rsidR="00F72B31" w:rsidRPr="00F72B31">
      <w:rPr>
        <w:sz w:val="20"/>
      </w:rPr>
      <w:t>.</w:t>
    </w:r>
    <w:r>
      <w:rPr>
        <w:noProof/>
        <w:lang w:eastAsia="fr-CH"/>
      </w:rPr>
      <w:drawing>
        <wp:anchor distT="0" distB="0" distL="114300" distR="114300" simplePos="0" relativeHeight="251660288" behindDoc="0" locked="0" layoutInCell="1" allowOverlap="0" wp14:anchorId="0A047762" wp14:editId="6864969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20-14567  (F)    191120    191120</w:t>
    </w:r>
    <w:r>
      <w:rPr>
        <w:sz w:val="20"/>
      </w:rPr>
      <w:br/>
    </w:r>
    <w:r w:rsidRPr="0066449B">
      <w:rPr>
        <w:rFonts w:ascii="C39T30Lfz" w:hAnsi="C39T30Lfz"/>
        <w:sz w:val="56"/>
      </w:rPr>
      <w:t>*2014567*</w:t>
    </w:r>
    <w:r>
      <w:rPr>
        <w:noProof/>
        <w:sz w:val="20"/>
      </w:rPr>
      <w:drawing>
        <wp:anchor distT="0" distB="0" distL="114300" distR="114300" simplePos="0" relativeHeight="251666432" behindDoc="0" locked="0" layoutInCell="1" allowOverlap="1" wp14:anchorId="75F1C3DE" wp14:editId="56F4118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1604" w14:textId="77777777" w:rsidR="00CB0680" w:rsidRPr="00EF7D06" w:rsidRDefault="00CB0680" w:rsidP="00EF7D06">
    <w:pPr>
      <w:pStyle w:val="Pieddepage"/>
    </w:pPr>
    <w:r>
      <w:rPr>
        <w:noProof/>
      </w:rPr>
      <mc:AlternateContent>
        <mc:Choice Requires="wps">
          <w:drawing>
            <wp:anchor distT="0" distB="0" distL="114300" distR="114300" simplePos="0" relativeHeight="251685888" behindDoc="0" locked="0" layoutInCell="1" allowOverlap="1" wp14:anchorId="697D7BF9" wp14:editId="0E09F805">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CAABAA" w14:textId="77777777" w:rsidR="00CB0680" w:rsidRPr="0066449B" w:rsidRDefault="00CB0680" w:rsidP="00EF7D06">
                          <w:pPr>
                            <w:pStyle w:val="Pieddepage"/>
                            <w:tabs>
                              <w:tab w:val="right" w:pos="9638"/>
                            </w:tabs>
                          </w:pPr>
                          <w:r w:rsidRPr="0066449B">
                            <w:rPr>
                              <w:b/>
                              <w:sz w:val="18"/>
                            </w:rPr>
                            <w:fldChar w:fldCharType="begin"/>
                          </w:r>
                          <w:r w:rsidRPr="0066449B">
                            <w:rPr>
                              <w:b/>
                              <w:sz w:val="18"/>
                            </w:rPr>
                            <w:instrText xml:space="preserve"> PAGE  \* MERGEFORMAT </w:instrText>
                          </w:r>
                          <w:r w:rsidRPr="0066449B">
                            <w:rPr>
                              <w:b/>
                              <w:sz w:val="18"/>
                            </w:rPr>
                            <w:fldChar w:fldCharType="separate"/>
                          </w:r>
                          <w:r>
                            <w:rPr>
                              <w:b/>
                              <w:sz w:val="18"/>
                            </w:rPr>
                            <w:t>14</w:t>
                          </w:r>
                          <w:r w:rsidRPr="0066449B">
                            <w:rPr>
                              <w:b/>
                              <w:sz w:val="18"/>
                            </w:rPr>
                            <w:fldChar w:fldCharType="end"/>
                          </w:r>
                          <w:r>
                            <w:rPr>
                              <w:b/>
                              <w:sz w:val="18"/>
                            </w:rPr>
                            <w:tab/>
                          </w:r>
                          <w:r>
                            <w:t>GE</w:t>
                          </w:r>
                          <w:r w:rsidR="00F72B31" w:rsidRPr="00F72B31">
                            <w:t>.</w:t>
                          </w:r>
                          <w:r>
                            <w:t>20-14567</w:t>
                          </w:r>
                        </w:p>
                        <w:p w14:paraId="0B287C7E" w14:textId="77777777" w:rsidR="00CB0680" w:rsidRDefault="00CB06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D7BF9" id="_x0000_t202" coordsize="21600,21600" o:spt="202" path="m,l,21600r21600,l21600,xe">
              <v:stroke joinstyle="miter"/>
              <v:path gradientshapeok="t" o:connecttype="rect"/>
            </v:shapetype>
            <v:shape id="Zone de texte 7" o:spid="_x0000_s1051" type="#_x0000_t202" style="position:absolute;margin-left:-34pt;margin-top:0;width:17pt;height:481.9pt;z-index:2516858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5CAABAA" w14:textId="77777777" w:rsidR="00CB0680" w:rsidRPr="0066449B" w:rsidRDefault="00CB0680" w:rsidP="00EF7D06">
                    <w:pPr>
                      <w:pStyle w:val="Pieddepage"/>
                      <w:tabs>
                        <w:tab w:val="right" w:pos="9638"/>
                      </w:tabs>
                    </w:pPr>
                    <w:r w:rsidRPr="0066449B">
                      <w:rPr>
                        <w:b/>
                        <w:sz w:val="18"/>
                      </w:rPr>
                      <w:fldChar w:fldCharType="begin"/>
                    </w:r>
                    <w:r w:rsidRPr="0066449B">
                      <w:rPr>
                        <w:b/>
                        <w:sz w:val="18"/>
                      </w:rPr>
                      <w:instrText xml:space="preserve"> PAGE  \* MERGEFORMAT </w:instrText>
                    </w:r>
                    <w:r w:rsidRPr="0066449B">
                      <w:rPr>
                        <w:b/>
                        <w:sz w:val="18"/>
                      </w:rPr>
                      <w:fldChar w:fldCharType="separate"/>
                    </w:r>
                    <w:r>
                      <w:rPr>
                        <w:b/>
                        <w:sz w:val="18"/>
                      </w:rPr>
                      <w:t>14</w:t>
                    </w:r>
                    <w:r w:rsidRPr="0066449B">
                      <w:rPr>
                        <w:b/>
                        <w:sz w:val="18"/>
                      </w:rPr>
                      <w:fldChar w:fldCharType="end"/>
                    </w:r>
                    <w:r>
                      <w:rPr>
                        <w:b/>
                        <w:sz w:val="18"/>
                      </w:rPr>
                      <w:tab/>
                    </w:r>
                    <w:r>
                      <w:t>GE</w:t>
                    </w:r>
                    <w:r w:rsidR="00F72B31" w:rsidRPr="00F72B31">
                      <w:t>.</w:t>
                    </w:r>
                    <w:r>
                      <w:t>20-14567</w:t>
                    </w:r>
                  </w:p>
                  <w:p w14:paraId="0B287C7E" w14:textId="77777777" w:rsidR="00CB0680" w:rsidRDefault="00CB068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66B6" w14:textId="77777777" w:rsidR="00CB0680" w:rsidRPr="00EF7D06" w:rsidRDefault="00CB0680" w:rsidP="00EF7D06">
    <w:pPr>
      <w:pStyle w:val="Pieddepage"/>
    </w:pPr>
    <w:r>
      <w:rPr>
        <w:noProof/>
      </w:rPr>
      <mc:AlternateContent>
        <mc:Choice Requires="wps">
          <w:drawing>
            <wp:anchor distT="0" distB="0" distL="114300" distR="114300" simplePos="0" relativeHeight="251675648" behindDoc="0" locked="0" layoutInCell="1" allowOverlap="1" wp14:anchorId="2F7C9542" wp14:editId="5976DCB7">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9E60DB5" w14:textId="77777777" w:rsidR="00CB0680" w:rsidRPr="0066449B" w:rsidRDefault="00CB0680" w:rsidP="00EF7D06">
                          <w:pPr>
                            <w:pStyle w:val="Pieddepage"/>
                            <w:tabs>
                              <w:tab w:val="right" w:pos="9638"/>
                            </w:tabs>
                            <w:rPr>
                              <w:b/>
                              <w:sz w:val="18"/>
                            </w:rPr>
                          </w:pPr>
                          <w:r>
                            <w:t>GE</w:t>
                          </w:r>
                          <w:r w:rsidR="00F72B31" w:rsidRPr="00F72B31">
                            <w:t>.</w:t>
                          </w:r>
                          <w:r>
                            <w:t>20-14567</w:t>
                          </w:r>
                          <w:r>
                            <w:tab/>
                          </w:r>
                          <w:r w:rsidRPr="0066449B">
                            <w:rPr>
                              <w:b/>
                              <w:sz w:val="18"/>
                            </w:rPr>
                            <w:fldChar w:fldCharType="begin"/>
                          </w:r>
                          <w:r w:rsidRPr="0066449B">
                            <w:rPr>
                              <w:b/>
                              <w:sz w:val="18"/>
                            </w:rPr>
                            <w:instrText xml:space="preserve"> PAGE  \* MERGEFORMAT </w:instrText>
                          </w:r>
                          <w:r w:rsidRPr="0066449B">
                            <w:rPr>
                              <w:b/>
                              <w:sz w:val="18"/>
                            </w:rPr>
                            <w:fldChar w:fldCharType="separate"/>
                          </w:r>
                          <w:r>
                            <w:rPr>
                              <w:b/>
                              <w:sz w:val="18"/>
                            </w:rPr>
                            <w:t>13</w:t>
                          </w:r>
                          <w:r w:rsidRPr="0066449B">
                            <w:rPr>
                              <w:b/>
                              <w:sz w:val="18"/>
                            </w:rPr>
                            <w:fldChar w:fldCharType="end"/>
                          </w:r>
                        </w:p>
                        <w:p w14:paraId="69A8B43D" w14:textId="77777777" w:rsidR="00CB0680" w:rsidRDefault="00CB06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7C9542" id="_x0000_t202" coordsize="21600,21600" o:spt="202" path="m,l,21600r21600,l21600,xe">
              <v:stroke joinstyle="miter"/>
              <v:path gradientshapeok="t" o:connecttype="rect"/>
            </v:shapetype>
            <v:shape id="Zone de texte 5" o:spid="_x0000_s1052" type="#_x0000_t202" style="position:absolute;margin-left:-34pt;margin-top:0;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59E60DB5" w14:textId="77777777" w:rsidR="00CB0680" w:rsidRPr="0066449B" w:rsidRDefault="00CB0680" w:rsidP="00EF7D06">
                    <w:pPr>
                      <w:pStyle w:val="Pieddepage"/>
                      <w:tabs>
                        <w:tab w:val="right" w:pos="9638"/>
                      </w:tabs>
                      <w:rPr>
                        <w:b/>
                        <w:sz w:val="18"/>
                      </w:rPr>
                    </w:pPr>
                    <w:r>
                      <w:t>GE</w:t>
                    </w:r>
                    <w:r w:rsidR="00F72B31" w:rsidRPr="00F72B31">
                      <w:t>.</w:t>
                    </w:r>
                    <w:r>
                      <w:t>20-14567</w:t>
                    </w:r>
                    <w:r>
                      <w:tab/>
                    </w:r>
                    <w:r w:rsidRPr="0066449B">
                      <w:rPr>
                        <w:b/>
                        <w:sz w:val="18"/>
                      </w:rPr>
                      <w:fldChar w:fldCharType="begin"/>
                    </w:r>
                    <w:r w:rsidRPr="0066449B">
                      <w:rPr>
                        <w:b/>
                        <w:sz w:val="18"/>
                      </w:rPr>
                      <w:instrText xml:space="preserve"> PAGE  \* MERGEFORMAT </w:instrText>
                    </w:r>
                    <w:r w:rsidRPr="0066449B">
                      <w:rPr>
                        <w:b/>
                        <w:sz w:val="18"/>
                      </w:rPr>
                      <w:fldChar w:fldCharType="separate"/>
                    </w:r>
                    <w:r>
                      <w:rPr>
                        <w:b/>
                        <w:sz w:val="18"/>
                      </w:rPr>
                      <w:t>13</w:t>
                    </w:r>
                    <w:r w:rsidRPr="0066449B">
                      <w:rPr>
                        <w:b/>
                        <w:sz w:val="18"/>
                      </w:rPr>
                      <w:fldChar w:fldCharType="end"/>
                    </w:r>
                  </w:p>
                  <w:p w14:paraId="69A8B43D" w14:textId="77777777" w:rsidR="00CB0680" w:rsidRDefault="00CB068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FA3C" w14:textId="77777777" w:rsidR="00CB0680" w:rsidRPr="00B921D9" w:rsidRDefault="00CB0680" w:rsidP="00B921D9">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B921D9">
      <w:t>GE</w:t>
    </w:r>
    <w:r w:rsidR="00F72B31" w:rsidRPr="00F72B31">
      <w:t>.</w:t>
    </w:r>
    <w:r w:rsidRPr="00B921D9">
      <w:t>20-14567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6ADE" w14:textId="77777777" w:rsidR="00CB0680" w:rsidRPr="00B921D9" w:rsidRDefault="00CB0680" w:rsidP="00B921D9">
    <w:pPr>
      <w:pStyle w:val="Pieddepage"/>
      <w:tabs>
        <w:tab w:val="right" w:pos="9638"/>
      </w:tabs>
      <w:rPr>
        <w:b/>
        <w:sz w:val="18"/>
      </w:rPr>
    </w:pPr>
    <w:r>
      <w:t>GE</w:t>
    </w:r>
    <w:r w:rsidR="00F72B31" w:rsidRPr="00F72B31">
      <w:t>.</w:t>
    </w:r>
    <w:r w:rsidRPr="00B921D9">
      <w:t>20</w:t>
    </w:r>
    <w:r>
      <w:t>-</w:t>
    </w:r>
    <w:r w:rsidRPr="00B921D9">
      <w:t>14567</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67AC" w14:textId="77777777" w:rsidR="00CB0680" w:rsidRPr="00AC3823" w:rsidRDefault="00CB0680" w:rsidP="00AC3823">
      <w:pPr>
        <w:pStyle w:val="Pieddepage"/>
        <w:tabs>
          <w:tab w:val="right" w:pos="2155"/>
        </w:tabs>
        <w:spacing w:after="80" w:line="240" w:lineRule="atLeast"/>
        <w:ind w:left="680"/>
        <w:rPr>
          <w:u w:val="single"/>
        </w:rPr>
      </w:pPr>
      <w:r>
        <w:rPr>
          <w:u w:val="single"/>
        </w:rPr>
        <w:tab/>
      </w:r>
    </w:p>
  </w:footnote>
  <w:footnote w:type="continuationSeparator" w:id="0">
    <w:p w14:paraId="7027BD42" w14:textId="77777777" w:rsidR="00CB0680" w:rsidRPr="00AC3823" w:rsidRDefault="00CB0680" w:rsidP="00AC3823">
      <w:pPr>
        <w:pStyle w:val="Pieddepage"/>
        <w:tabs>
          <w:tab w:val="right" w:pos="2155"/>
        </w:tabs>
        <w:spacing w:after="80" w:line="240" w:lineRule="atLeast"/>
        <w:ind w:left="680"/>
        <w:rPr>
          <w:u w:val="single"/>
        </w:rPr>
      </w:pPr>
      <w:r>
        <w:rPr>
          <w:u w:val="single"/>
        </w:rPr>
        <w:tab/>
      </w:r>
    </w:p>
  </w:footnote>
  <w:footnote w:type="continuationNotice" w:id="1">
    <w:p w14:paraId="3DCB73FC" w14:textId="77777777" w:rsidR="00CB0680" w:rsidRPr="00AC3823" w:rsidRDefault="00CB0680">
      <w:pPr>
        <w:spacing w:line="240" w:lineRule="auto"/>
        <w:rPr>
          <w:sz w:val="2"/>
          <w:szCs w:val="2"/>
        </w:rPr>
      </w:pPr>
    </w:p>
  </w:footnote>
  <w:footnote w:id="2">
    <w:p w14:paraId="4050E43F" w14:textId="77777777" w:rsidR="00CB0680" w:rsidRPr="00BB6A39" w:rsidRDefault="00CB0680" w:rsidP="00B921D9">
      <w:pPr>
        <w:pStyle w:val="Notedebasdepage"/>
        <w:rPr>
          <w:lang w:val="fr-FR"/>
        </w:rPr>
      </w:pPr>
      <w:r w:rsidRPr="00B921D9">
        <w:rPr>
          <w:lang w:val="fr-FR"/>
        </w:rPr>
        <w:tab/>
      </w:r>
      <w:r w:rsidRPr="00B921D9">
        <w:rPr>
          <w:rStyle w:val="Appelnotedebasdep"/>
          <w:sz w:val="20"/>
          <w:vertAlign w:val="baseline"/>
          <w:lang w:val="fr-FR"/>
        </w:rPr>
        <w:t>*</w:t>
      </w:r>
      <w:r w:rsidRPr="00B921D9">
        <w:rPr>
          <w:sz w:val="20"/>
          <w:lang w:val="fr-FR"/>
        </w:rPr>
        <w:tab/>
      </w:r>
      <w:r w:rsidRPr="00BB6A39">
        <w:rPr>
          <w:lang w:val="fr-FR"/>
        </w:rPr>
        <w:t>Conformément au programme de travail du Comité des transports intérieurs pour 2021 tel qu</w:t>
      </w:r>
      <w:r>
        <w:rPr>
          <w:lang w:val="fr-FR"/>
        </w:rPr>
        <w:t>’</w:t>
      </w:r>
      <w:r w:rsidRPr="00BB6A39">
        <w:rPr>
          <w:lang w:val="fr-FR"/>
        </w:rPr>
        <w:t>il figure dans le projet de budget-programme pour 2021 (A/75/6 (chap</w:t>
      </w:r>
      <w:r w:rsidR="00F72B31" w:rsidRPr="00F72B31">
        <w:rPr>
          <w:lang w:val="fr-FR"/>
        </w:rPr>
        <w:t>.</w:t>
      </w:r>
      <w:r w:rsidRPr="00BB6A39">
        <w:rPr>
          <w:lang w:val="fr-FR"/>
        </w:rPr>
        <w:t> 20), par</w:t>
      </w:r>
      <w:r w:rsidR="00F72B31" w:rsidRPr="00F72B31">
        <w:rPr>
          <w:lang w:val="fr-FR"/>
        </w:rPr>
        <w:t>.</w:t>
      </w:r>
      <w:r w:rsidRPr="00BB6A39">
        <w:rPr>
          <w:lang w:val="fr-FR"/>
        </w:rPr>
        <w:t> 20</w:t>
      </w:r>
      <w:r w:rsidR="00F72B31" w:rsidRPr="00F72B31">
        <w:rPr>
          <w:lang w:val="fr-FR"/>
        </w:rPr>
        <w:t>.</w:t>
      </w:r>
      <w:r w:rsidRPr="00BB6A39">
        <w:rPr>
          <w:lang w:val="fr-FR"/>
        </w:rPr>
        <w:t>51), le Forum mondial a pour mission d</w:t>
      </w:r>
      <w:r>
        <w:rPr>
          <w:lang w:val="fr-FR"/>
        </w:rPr>
        <w:t>’</w:t>
      </w:r>
      <w:r w:rsidRPr="00BB6A39">
        <w:rPr>
          <w:lang w:val="fr-FR"/>
        </w:rPr>
        <w:t>élaborer, d</w:t>
      </w:r>
      <w:r>
        <w:rPr>
          <w:lang w:val="fr-FR"/>
        </w:rPr>
        <w:t>’</w:t>
      </w:r>
      <w:r w:rsidRPr="00BB6A39">
        <w:rPr>
          <w:lang w:val="fr-FR"/>
        </w:rPr>
        <w:t>harmoniser et de mettre à jour les Règlements ONU en vue d</w:t>
      </w:r>
      <w:r>
        <w:rPr>
          <w:lang w:val="fr-FR"/>
        </w:rPr>
        <w:t>’</w:t>
      </w:r>
      <w:r w:rsidRPr="00BB6A39">
        <w:rPr>
          <w:lang w:val="fr-FR"/>
        </w:rPr>
        <w:t>améliorer les caractéristiques fonctionnelles des véhicules</w:t>
      </w:r>
      <w:r w:rsidR="00F72B31" w:rsidRPr="00F72B31">
        <w:rPr>
          <w:lang w:val="fr-FR"/>
        </w:rPr>
        <w:t>.</w:t>
      </w:r>
      <w:r w:rsidRPr="00BB6A39">
        <w:rPr>
          <w:lang w:val="fr-FR"/>
        </w:rPr>
        <w:t xml:space="preserve"> Le présent document est soumis en vertu de ce mandat</w:t>
      </w:r>
      <w:r w:rsidR="00F72B31" w:rsidRPr="00F72B31">
        <w:rPr>
          <w:lang w:val="fr-FR"/>
        </w:rPr>
        <w:t>.</w:t>
      </w:r>
    </w:p>
  </w:footnote>
  <w:footnote w:id="3">
    <w:p w14:paraId="7A512B03" w14:textId="77777777" w:rsidR="00CB0680" w:rsidRPr="00BB6A39" w:rsidRDefault="00CB0680" w:rsidP="00B921D9">
      <w:pPr>
        <w:pStyle w:val="Notedebasdepage"/>
        <w:rPr>
          <w:b/>
          <w:bCs/>
          <w:lang w:val="fr-FR"/>
        </w:rPr>
      </w:pPr>
      <w:r w:rsidRPr="0007092C">
        <w:rPr>
          <w:sz w:val="20"/>
          <w:lang w:val="fr-FR"/>
        </w:rPr>
        <w:tab/>
      </w:r>
      <w:r w:rsidRPr="0007092C">
        <w:rPr>
          <w:rStyle w:val="Appelnotedebasdep"/>
          <w:sz w:val="20"/>
          <w:vertAlign w:val="baseline"/>
          <w:lang w:val="fr-FR"/>
        </w:rPr>
        <w:t>*</w:t>
      </w:r>
      <w:r w:rsidRPr="0007092C">
        <w:rPr>
          <w:sz w:val="20"/>
          <w:lang w:val="fr-FR"/>
        </w:rPr>
        <w:tab/>
      </w:r>
      <w:r w:rsidRPr="00BB6A39">
        <w:rPr>
          <w:b/>
          <w:bCs/>
          <w:lang w:val="fr-FR"/>
        </w:rPr>
        <w:t>À remplacer par la date réelle d</w:t>
      </w:r>
      <w:r>
        <w:rPr>
          <w:b/>
          <w:bCs/>
          <w:lang w:val="fr-FR"/>
        </w:rPr>
        <w:t>’</w:t>
      </w:r>
      <w:r w:rsidRPr="00BB6A39">
        <w:rPr>
          <w:b/>
          <w:bCs/>
          <w:lang w:val="fr-FR"/>
        </w:rPr>
        <w:t>entrée en vigueur lorsque celle-ci sera connue</w:t>
      </w:r>
      <w:r w:rsidR="00F72B31" w:rsidRPr="00F72B31">
        <w:rPr>
          <w:b/>
          <w:bCs/>
          <w:lang w:val="fr-FR"/>
        </w:rPr>
        <w:t>.</w:t>
      </w:r>
    </w:p>
  </w:footnote>
  <w:footnote w:id="4">
    <w:p w14:paraId="16EC0209" w14:textId="77777777" w:rsidR="00CB0680" w:rsidRPr="00BB6A39" w:rsidRDefault="00CB0680" w:rsidP="00B921D9">
      <w:pPr>
        <w:pStyle w:val="Notedebasdepage"/>
        <w:rPr>
          <w:lang w:val="fr-FR"/>
        </w:rPr>
      </w:pPr>
      <w:r w:rsidRPr="00FA4A44">
        <w:tab/>
      </w:r>
      <w:r w:rsidRPr="00FA4A44">
        <w:rPr>
          <w:rStyle w:val="Appelnotedebasdep"/>
        </w:rPr>
        <w:t>†</w:t>
      </w:r>
      <w:r w:rsidRPr="00FA4A44">
        <w:tab/>
      </w:r>
      <w:r w:rsidRPr="00BB6A39">
        <w:rPr>
          <w:b/>
          <w:bCs/>
          <w:lang w:val="fr-FR"/>
        </w:rPr>
        <w:t>Telles que définies dans la Résolution d</w:t>
      </w:r>
      <w:r>
        <w:rPr>
          <w:b/>
          <w:bCs/>
          <w:lang w:val="fr-FR"/>
        </w:rPr>
        <w:t>’</w:t>
      </w:r>
      <w:r w:rsidRPr="00BB6A39">
        <w:rPr>
          <w:b/>
          <w:bCs/>
          <w:lang w:val="fr-FR"/>
        </w:rPr>
        <w:t>ensemble sur la construction des véhicules (R</w:t>
      </w:r>
      <w:r w:rsidR="00F72B31" w:rsidRPr="00F72B31">
        <w:rPr>
          <w:b/>
          <w:bCs/>
          <w:lang w:val="fr-FR"/>
        </w:rPr>
        <w:t>.</w:t>
      </w:r>
      <w:r w:rsidRPr="00BB6A39">
        <w:rPr>
          <w:b/>
          <w:bCs/>
          <w:lang w:val="fr-FR"/>
        </w:rPr>
        <w:t>E</w:t>
      </w:r>
      <w:r w:rsidR="00F72B31" w:rsidRPr="00F72B31">
        <w:rPr>
          <w:b/>
          <w:bCs/>
          <w:lang w:val="fr-FR"/>
        </w:rPr>
        <w:t>.</w:t>
      </w:r>
      <w:r w:rsidRPr="00BB6A39">
        <w:rPr>
          <w:b/>
          <w:bCs/>
          <w:lang w:val="fr-FR"/>
        </w:rPr>
        <w:t>3</w:t>
      </w:r>
      <w:r w:rsidR="00F72B31" w:rsidRPr="00F72B31">
        <w:rPr>
          <w:b/>
          <w:bCs/>
          <w:lang w:val="fr-FR"/>
        </w:rPr>
        <w:t>.</w:t>
      </w:r>
      <w:r w:rsidRPr="00BB6A39">
        <w:rPr>
          <w:b/>
          <w:bCs/>
          <w:lang w:val="fr-FR"/>
        </w:rPr>
        <w:t>), (ECE/TRANS/WP</w:t>
      </w:r>
      <w:r w:rsidR="00F72B31" w:rsidRPr="00F72B31">
        <w:rPr>
          <w:b/>
          <w:bCs/>
          <w:lang w:val="fr-FR"/>
        </w:rPr>
        <w:t>.</w:t>
      </w:r>
      <w:r w:rsidRPr="00BB6A39">
        <w:rPr>
          <w:b/>
          <w:bCs/>
          <w:lang w:val="fr-FR"/>
        </w:rPr>
        <w:t>29/78/Rev</w:t>
      </w:r>
      <w:r w:rsidR="00F72B31" w:rsidRPr="00F72B31">
        <w:rPr>
          <w:b/>
          <w:bCs/>
          <w:lang w:val="fr-FR"/>
        </w:rPr>
        <w:t>.</w:t>
      </w:r>
      <w:r w:rsidRPr="00BB6A39">
        <w:rPr>
          <w:b/>
          <w:bCs/>
          <w:lang w:val="fr-FR"/>
        </w:rPr>
        <w:t>3, par</w:t>
      </w:r>
      <w:r w:rsidR="00F72B31" w:rsidRPr="00F72B31">
        <w:rPr>
          <w:b/>
          <w:bCs/>
          <w:lang w:val="fr-FR"/>
        </w:rPr>
        <w:t>.</w:t>
      </w:r>
      <w:r w:rsidRPr="00BB6A39">
        <w:rPr>
          <w:b/>
          <w:bCs/>
          <w:lang w:val="fr-FR"/>
        </w:rPr>
        <w:t xml:space="preserve"> 2), </w:t>
      </w:r>
      <w:hyperlink r:id="rId1" w:history="1">
        <w:r w:rsidRPr="00BB6A39">
          <w:rPr>
            <w:b/>
            <w:bCs/>
            <w:lang w:val="fr-FR"/>
          </w:rPr>
          <w:t>www</w:t>
        </w:r>
        <w:r w:rsidR="00F72B31" w:rsidRPr="00F72B31">
          <w:rPr>
            <w:b/>
            <w:bCs/>
            <w:lang w:val="fr-FR"/>
          </w:rPr>
          <w:t>.</w:t>
        </w:r>
        <w:r w:rsidRPr="00BB6A39">
          <w:rPr>
            <w:b/>
            <w:bCs/>
            <w:lang w:val="fr-FR"/>
          </w:rPr>
          <w:t>unece</w:t>
        </w:r>
        <w:r w:rsidR="00F72B31" w:rsidRPr="00F72B31">
          <w:rPr>
            <w:b/>
            <w:bCs/>
            <w:lang w:val="fr-FR"/>
          </w:rPr>
          <w:t>.</w:t>
        </w:r>
        <w:r w:rsidRPr="00BB6A39">
          <w:rPr>
            <w:b/>
            <w:bCs/>
            <w:lang w:val="fr-FR"/>
          </w:rPr>
          <w:t>org/trans/main/wp29/wp29wgs/wp29gen/</w:t>
        </w:r>
        <w:r>
          <w:rPr>
            <w:b/>
            <w:bCs/>
            <w:lang w:val="fr-FR"/>
          </w:rPr>
          <w:t xml:space="preserve"> </w:t>
        </w:r>
        <w:r w:rsidRPr="00BB6A39">
          <w:rPr>
            <w:b/>
            <w:bCs/>
            <w:lang w:val="fr-FR"/>
          </w:rPr>
          <w:t>wp29resolutions</w:t>
        </w:r>
        <w:r w:rsidR="00F72B31" w:rsidRPr="00F72B31">
          <w:rPr>
            <w:b/>
            <w:bCs/>
            <w:lang w:val="fr-FR"/>
          </w:rPr>
          <w:t>.</w:t>
        </w:r>
        <w:r w:rsidRPr="00BB6A39">
          <w:rPr>
            <w:b/>
            <w:bCs/>
            <w:lang w:val="fr-FR"/>
          </w:rPr>
          <w:t>html</w:t>
        </w:r>
      </w:hyperlink>
      <w:r w:rsidR="00F72B31" w:rsidRPr="00F72B31">
        <w:rPr>
          <w:b/>
          <w:b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000" w14:textId="426C5B54" w:rsidR="00CB0680" w:rsidRPr="0066449B" w:rsidRDefault="00CB0680">
    <w:pPr>
      <w:pStyle w:val="En-tte"/>
    </w:pPr>
    <w:fldSimple w:instr=" TITLE  \* MERGEFORMAT ">
      <w:r w:rsidR="002447D9">
        <w:t>ECE/TRANS/WP.29/GRPE/2021/6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1ABB" w14:textId="472061E0" w:rsidR="00CB0680" w:rsidRPr="0066449B" w:rsidRDefault="00CB0680" w:rsidP="0066449B">
    <w:pPr>
      <w:pStyle w:val="En-tte"/>
      <w:jc w:val="right"/>
    </w:pPr>
    <w:fldSimple w:instr=" TITLE  \* MERGEFORMAT ">
      <w:r w:rsidR="002447D9">
        <w:t>ECE/TRANS/WP.29/GRPE/2021/6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25AC" w14:textId="77777777" w:rsidR="00CB0680" w:rsidRPr="00EF7D06" w:rsidRDefault="00CB0680" w:rsidP="00EF7D06">
    <w:r>
      <w:rPr>
        <w:noProof/>
      </w:rPr>
      <mc:AlternateContent>
        <mc:Choice Requires="wps">
          <w:drawing>
            <wp:anchor distT="0" distB="0" distL="114300" distR="114300" simplePos="0" relativeHeight="251680768" behindDoc="0" locked="0" layoutInCell="1" allowOverlap="1" wp14:anchorId="6C509DC9" wp14:editId="6BC227FF">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89817D1" w14:textId="2C558875" w:rsidR="00CB0680" w:rsidRPr="0066449B" w:rsidRDefault="00CB0680" w:rsidP="00EF7D06">
                          <w:pPr>
                            <w:pStyle w:val="En-tte"/>
                          </w:pPr>
                          <w:fldSimple w:instr=" TITLE  \* MERGEFORMAT ">
                            <w:r w:rsidR="002447D9">
                              <w:t>ECE/TRANS/WP.29/GRPE/2021/6</w:t>
                            </w:r>
                          </w:fldSimple>
                        </w:p>
                        <w:p w14:paraId="4DD65D07" w14:textId="77777777" w:rsidR="00CB0680" w:rsidRDefault="00CB06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C509DC9" id="_x0000_t202" coordsize="21600,21600" o:spt="202" path="m,l,21600r21600,l21600,xe">
              <v:stroke joinstyle="miter"/>
              <v:path gradientshapeok="t" o:connecttype="rect"/>
            </v:shapetype>
            <v:shape id="Zone de texte 6" o:spid="_x0000_s1049" type="#_x0000_t202" style="position:absolute;margin-left:782.35pt;margin-top:0;width:17pt;height:481.9pt;z-index:2516807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089817D1" w14:textId="2C558875" w:rsidR="00CB0680" w:rsidRPr="0066449B" w:rsidRDefault="00CB0680" w:rsidP="00EF7D06">
                    <w:pPr>
                      <w:pStyle w:val="En-tte"/>
                    </w:pPr>
                    <w:fldSimple w:instr=" TITLE  \* MERGEFORMAT ">
                      <w:r w:rsidR="002447D9">
                        <w:t>ECE/TRANS/WP.29/GRPE/2021/6</w:t>
                      </w:r>
                    </w:fldSimple>
                  </w:p>
                  <w:p w14:paraId="4DD65D07" w14:textId="77777777" w:rsidR="00CB0680" w:rsidRDefault="00CB068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52E4" w14:textId="77777777" w:rsidR="00CB0680" w:rsidRPr="00EF7D06" w:rsidRDefault="00CB0680" w:rsidP="00EF7D06">
    <w:r>
      <w:rPr>
        <w:noProof/>
      </w:rPr>
      <mc:AlternateContent>
        <mc:Choice Requires="wps">
          <w:drawing>
            <wp:anchor distT="0" distB="0" distL="114300" distR="114300" simplePos="0" relativeHeight="251670528" behindDoc="0" locked="0" layoutInCell="1" allowOverlap="1" wp14:anchorId="128544C5" wp14:editId="1DABF90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60EE557" w14:textId="1078DCE1" w:rsidR="00CB0680" w:rsidRPr="0066449B" w:rsidRDefault="00CB0680" w:rsidP="00EF7D06">
                          <w:pPr>
                            <w:pStyle w:val="En-tte"/>
                            <w:jc w:val="right"/>
                          </w:pPr>
                          <w:fldSimple w:instr=" TITLE  \* MERGEFORMAT ">
                            <w:r w:rsidR="002447D9">
                              <w:t>ECE/TRANS/WP.29/GRPE/2021/6</w:t>
                            </w:r>
                          </w:fldSimple>
                        </w:p>
                        <w:p w14:paraId="14810F6D" w14:textId="77777777" w:rsidR="00CB0680" w:rsidRDefault="00CB068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28544C5" id="_x0000_t202" coordsize="21600,21600" o:spt="202" path="m,l,21600r21600,l21600,xe">
              <v:stroke joinstyle="miter"/>
              <v:path gradientshapeok="t" o:connecttype="rect"/>
            </v:shapetype>
            <v:shape id="Zone de texte 4" o:spid="_x0000_s1050"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560EE557" w14:textId="1078DCE1" w:rsidR="00CB0680" w:rsidRPr="0066449B" w:rsidRDefault="00CB0680" w:rsidP="00EF7D06">
                    <w:pPr>
                      <w:pStyle w:val="En-tte"/>
                      <w:jc w:val="right"/>
                    </w:pPr>
                    <w:fldSimple w:instr=" TITLE  \* MERGEFORMAT ">
                      <w:r w:rsidR="002447D9">
                        <w:t>ECE/TRANS/WP.29/GRPE/2021/6</w:t>
                      </w:r>
                    </w:fldSimple>
                  </w:p>
                  <w:p w14:paraId="14810F6D" w14:textId="77777777" w:rsidR="00CB0680" w:rsidRDefault="00CB068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877F" w14:textId="7CE8C2A4" w:rsidR="00CB0680" w:rsidRPr="00B921D9" w:rsidRDefault="00CB0680" w:rsidP="00B921D9">
    <w:pPr>
      <w:pStyle w:val="En-tte"/>
    </w:pPr>
    <w:fldSimple w:instr=" TITLE  \* MERGEFORMAT ">
      <w:r w:rsidR="002447D9">
        <w:t>ECE/TRANS/WP.29/GRPE/2021/6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5022" w14:textId="344CDB71" w:rsidR="00CB0680" w:rsidRPr="00B921D9" w:rsidRDefault="00CB0680" w:rsidP="00B921D9">
    <w:pPr>
      <w:pStyle w:val="En-tte"/>
      <w:jc w:val="right"/>
    </w:pPr>
    <w:fldSimple w:instr=" TITLE  \* MERGEFORMAT ">
      <w:r w:rsidR="002447D9">
        <w:t>ECE/TRANS/WP.29/GRPE/2021/6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CA1EAF"/>
    <w:multiLevelType w:val="hybridMultilevel"/>
    <w:tmpl w:val="A308D53C"/>
    <w:lvl w:ilvl="0" w:tplc="040C0017">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2"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5" w15:restartNumberingAfterBreak="0">
    <w:nsid w:val="7D1E4A14"/>
    <w:multiLevelType w:val="hybridMultilevel"/>
    <w:tmpl w:val="E6ACE382"/>
    <w:lvl w:ilvl="0" w:tplc="F70C2C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6"/>
  </w:num>
  <w:num w:numId="2">
    <w:abstractNumId w:val="25"/>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5"/>
  </w:num>
  <w:num w:numId="16">
    <w:abstractNumId w:val="15"/>
  </w:num>
  <w:num w:numId="17">
    <w:abstractNumId w:val="33"/>
  </w:num>
  <w:num w:numId="18">
    <w:abstractNumId w:val="17"/>
  </w:num>
  <w:num w:numId="19">
    <w:abstractNumId w:val="12"/>
  </w:num>
  <w:num w:numId="20">
    <w:abstractNumId w:val="35"/>
  </w:num>
  <w:num w:numId="21">
    <w:abstractNumId w:val="40"/>
  </w:num>
  <w:num w:numId="22">
    <w:abstractNumId w:val="20"/>
  </w:num>
  <w:num w:numId="23">
    <w:abstractNumId w:val="42"/>
  </w:num>
  <w:num w:numId="24">
    <w:abstractNumId w:val="37"/>
  </w:num>
  <w:num w:numId="25">
    <w:abstractNumId w:val="27"/>
  </w:num>
  <w:num w:numId="26">
    <w:abstractNumId w:val="26"/>
  </w:num>
  <w:num w:numId="27">
    <w:abstractNumId w:val="21"/>
  </w:num>
  <w:num w:numId="28">
    <w:abstractNumId w:val="39"/>
  </w:num>
  <w:num w:numId="29">
    <w:abstractNumId w:val="43"/>
  </w:num>
  <w:num w:numId="30">
    <w:abstractNumId w:val="10"/>
  </w:num>
  <w:num w:numId="31">
    <w:abstractNumId w:val="41"/>
  </w:num>
  <w:num w:numId="32">
    <w:abstractNumId w:val="18"/>
  </w:num>
  <w:num w:numId="33">
    <w:abstractNumId w:val="11"/>
  </w:num>
  <w:num w:numId="34">
    <w:abstractNumId w:val="28"/>
  </w:num>
  <w:num w:numId="35">
    <w:abstractNumId w:val="16"/>
  </w:num>
  <w:num w:numId="36">
    <w:abstractNumId w:val="30"/>
  </w:num>
  <w:num w:numId="37">
    <w:abstractNumId w:val="32"/>
  </w:num>
  <w:num w:numId="38">
    <w:abstractNumId w:val="23"/>
  </w:num>
  <w:num w:numId="39">
    <w:abstractNumId w:val="13"/>
  </w:num>
  <w:num w:numId="40">
    <w:abstractNumId w:val="22"/>
  </w:num>
  <w:num w:numId="41">
    <w:abstractNumId w:val="34"/>
  </w:num>
  <w:num w:numId="42">
    <w:abstractNumId w:val="29"/>
  </w:num>
  <w:num w:numId="43">
    <w:abstractNumId w:val="31"/>
  </w:num>
  <w:num w:numId="44">
    <w:abstractNumId w:val="24"/>
  </w:num>
  <w:num w:numId="45">
    <w:abstractNumId w:val="38"/>
  </w:num>
  <w:num w:numId="46">
    <w:abstractNumId w:val="44"/>
  </w:num>
  <w:num w:numId="47">
    <w:abstractNumId w:val="14"/>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5255"/>
    <w:rsid w:val="00017F94"/>
    <w:rsid w:val="00023842"/>
    <w:rsid w:val="000334F9"/>
    <w:rsid w:val="00045FEB"/>
    <w:rsid w:val="0007092C"/>
    <w:rsid w:val="0007796D"/>
    <w:rsid w:val="000900BC"/>
    <w:rsid w:val="000B7790"/>
    <w:rsid w:val="001051E9"/>
    <w:rsid w:val="00106897"/>
    <w:rsid w:val="00111F2F"/>
    <w:rsid w:val="0014365E"/>
    <w:rsid w:val="00143C66"/>
    <w:rsid w:val="00176178"/>
    <w:rsid w:val="00182ED0"/>
    <w:rsid w:val="001F525A"/>
    <w:rsid w:val="00213792"/>
    <w:rsid w:val="00223272"/>
    <w:rsid w:val="002447D9"/>
    <w:rsid w:val="0024779E"/>
    <w:rsid w:val="00257168"/>
    <w:rsid w:val="002744B8"/>
    <w:rsid w:val="002832AC"/>
    <w:rsid w:val="002D7C93"/>
    <w:rsid w:val="00305801"/>
    <w:rsid w:val="003916DE"/>
    <w:rsid w:val="003C13B5"/>
    <w:rsid w:val="0041668D"/>
    <w:rsid w:val="00421996"/>
    <w:rsid w:val="00441C3B"/>
    <w:rsid w:val="00446FE5"/>
    <w:rsid w:val="00452396"/>
    <w:rsid w:val="004837D8"/>
    <w:rsid w:val="00485EFD"/>
    <w:rsid w:val="004917E1"/>
    <w:rsid w:val="004A42AB"/>
    <w:rsid w:val="004E2EED"/>
    <w:rsid w:val="004E468C"/>
    <w:rsid w:val="004E7972"/>
    <w:rsid w:val="0052312C"/>
    <w:rsid w:val="005505B7"/>
    <w:rsid w:val="00573BE5"/>
    <w:rsid w:val="00586ED3"/>
    <w:rsid w:val="00596AA9"/>
    <w:rsid w:val="005D2F7E"/>
    <w:rsid w:val="0066449B"/>
    <w:rsid w:val="00666BBC"/>
    <w:rsid w:val="00690297"/>
    <w:rsid w:val="006D5B39"/>
    <w:rsid w:val="006E1F63"/>
    <w:rsid w:val="0071601D"/>
    <w:rsid w:val="00742418"/>
    <w:rsid w:val="007A62E6"/>
    <w:rsid w:val="007F20FA"/>
    <w:rsid w:val="0080684C"/>
    <w:rsid w:val="0086418F"/>
    <w:rsid w:val="00871C75"/>
    <w:rsid w:val="008776DC"/>
    <w:rsid w:val="008B2466"/>
    <w:rsid w:val="008D6B59"/>
    <w:rsid w:val="008E358D"/>
    <w:rsid w:val="008F66F8"/>
    <w:rsid w:val="009232B0"/>
    <w:rsid w:val="009446C0"/>
    <w:rsid w:val="009705C8"/>
    <w:rsid w:val="009845FF"/>
    <w:rsid w:val="009C1CF4"/>
    <w:rsid w:val="009D57C2"/>
    <w:rsid w:val="009F6B74"/>
    <w:rsid w:val="00A3029F"/>
    <w:rsid w:val="00A30353"/>
    <w:rsid w:val="00A74DE5"/>
    <w:rsid w:val="00AA5255"/>
    <w:rsid w:val="00AC3823"/>
    <w:rsid w:val="00AE323C"/>
    <w:rsid w:val="00AF0CB5"/>
    <w:rsid w:val="00B00181"/>
    <w:rsid w:val="00B00B0D"/>
    <w:rsid w:val="00B12766"/>
    <w:rsid w:val="00B45F2E"/>
    <w:rsid w:val="00B765F7"/>
    <w:rsid w:val="00B921D9"/>
    <w:rsid w:val="00BA0CA9"/>
    <w:rsid w:val="00BA0FA5"/>
    <w:rsid w:val="00C02897"/>
    <w:rsid w:val="00C7616C"/>
    <w:rsid w:val="00C9172A"/>
    <w:rsid w:val="00C97039"/>
    <w:rsid w:val="00CB0680"/>
    <w:rsid w:val="00CE1A05"/>
    <w:rsid w:val="00CE6C33"/>
    <w:rsid w:val="00D3439C"/>
    <w:rsid w:val="00DB1831"/>
    <w:rsid w:val="00DD3BFD"/>
    <w:rsid w:val="00DF6678"/>
    <w:rsid w:val="00DF79D5"/>
    <w:rsid w:val="00E0299A"/>
    <w:rsid w:val="00E1466E"/>
    <w:rsid w:val="00E85C74"/>
    <w:rsid w:val="00EA6547"/>
    <w:rsid w:val="00EF2E22"/>
    <w:rsid w:val="00EF7D06"/>
    <w:rsid w:val="00F21368"/>
    <w:rsid w:val="00F26D37"/>
    <w:rsid w:val="00F35BAF"/>
    <w:rsid w:val="00F660DF"/>
    <w:rsid w:val="00F72B3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2FA6F3"/>
  <w15:docId w15:val="{B4E1CAF8-9EBF-4ADA-BB1D-4B832B7B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41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2418"/>
    <w:pPr>
      <w:keepNext/>
      <w:keepLines/>
      <w:spacing w:after="0" w:line="240" w:lineRule="auto"/>
      <w:ind w:right="0"/>
      <w:jc w:val="left"/>
      <w:outlineLvl w:val="0"/>
    </w:pPr>
  </w:style>
  <w:style w:type="paragraph" w:styleId="Titre2">
    <w:name w:val="heading 2"/>
    <w:basedOn w:val="Normal"/>
    <w:next w:val="Normal"/>
    <w:link w:val="Titre2Car"/>
    <w:qFormat/>
    <w:rsid w:val="00742418"/>
    <w:pPr>
      <w:outlineLvl w:val="1"/>
    </w:pPr>
  </w:style>
  <w:style w:type="paragraph" w:styleId="Titre3">
    <w:name w:val="heading 3"/>
    <w:basedOn w:val="Normal"/>
    <w:next w:val="Normal"/>
    <w:link w:val="Titre3Car"/>
    <w:qFormat/>
    <w:rsid w:val="00742418"/>
    <w:pPr>
      <w:outlineLvl w:val="2"/>
    </w:pPr>
  </w:style>
  <w:style w:type="paragraph" w:styleId="Titre4">
    <w:name w:val="heading 4"/>
    <w:basedOn w:val="Normal"/>
    <w:next w:val="Normal"/>
    <w:link w:val="Titre4Car"/>
    <w:qFormat/>
    <w:rsid w:val="00742418"/>
    <w:pPr>
      <w:outlineLvl w:val="3"/>
    </w:pPr>
  </w:style>
  <w:style w:type="paragraph" w:styleId="Titre5">
    <w:name w:val="heading 5"/>
    <w:basedOn w:val="Normal"/>
    <w:next w:val="Normal"/>
    <w:link w:val="Titre5Car"/>
    <w:qFormat/>
    <w:rsid w:val="00742418"/>
    <w:pPr>
      <w:outlineLvl w:val="4"/>
    </w:pPr>
  </w:style>
  <w:style w:type="paragraph" w:styleId="Titre6">
    <w:name w:val="heading 6"/>
    <w:basedOn w:val="Normal"/>
    <w:next w:val="Normal"/>
    <w:link w:val="Titre6Car"/>
    <w:qFormat/>
    <w:rsid w:val="00742418"/>
    <w:pPr>
      <w:outlineLvl w:val="5"/>
    </w:pPr>
  </w:style>
  <w:style w:type="paragraph" w:styleId="Titre7">
    <w:name w:val="heading 7"/>
    <w:basedOn w:val="Normal"/>
    <w:next w:val="Normal"/>
    <w:link w:val="Titre7Car"/>
    <w:qFormat/>
    <w:rsid w:val="00742418"/>
    <w:pPr>
      <w:outlineLvl w:val="6"/>
    </w:pPr>
  </w:style>
  <w:style w:type="paragraph" w:styleId="Titre8">
    <w:name w:val="heading 8"/>
    <w:basedOn w:val="Normal"/>
    <w:next w:val="Normal"/>
    <w:link w:val="Titre8Car"/>
    <w:qFormat/>
    <w:rsid w:val="00742418"/>
    <w:pPr>
      <w:outlineLvl w:val="7"/>
    </w:pPr>
  </w:style>
  <w:style w:type="paragraph" w:styleId="Titre9">
    <w:name w:val="heading 9"/>
    <w:basedOn w:val="Normal"/>
    <w:next w:val="Normal"/>
    <w:link w:val="Titre9Car"/>
    <w:qFormat/>
    <w:rsid w:val="00742418"/>
    <w:pPr>
      <w:outlineLvl w:val="8"/>
    </w:pPr>
  </w:style>
  <w:style w:type="character" w:default="1" w:styleId="Policepardfaut">
    <w:name w:val="Default Paragraph Font"/>
    <w:uiPriority w:val="1"/>
    <w:semiHidden/>
    <w:unhideWhenUsed/>
    <w:rsid w:val="0074241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42418"/>
  </w:style>
  <w:style w:type="paragraph" w:styleId="En-tte">
    <w:name w:val="header"/>
    <w:aliases w:val="6_G"/>
    <w:basedOn w:val="Normal"/>
    <w:next w:val="Normal"/>
    <w:link w:val="En-tteCar"/>
    <w:qFormat/>
    <w:rsid w:val="0074241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241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2418"/>
    <w:pPr>
      <w:spacing w:line="240" w:lineRule="auto"/>
    </w:pPr>
    <w:rPr>
      <w:sz w:val="16"/>
    </w:rPr>
  </w:style>
  <w:style w:type="character" w:customStyle="1" w:styleId="PieddepageCar">
    <w:name w:val="Pied de page Car"/>
    <w:aliases w:val="3_G Car"/>
    <w:basedOn w:val="Policepardfaut"/>
    <w:link w:val="Pieddepage"/>
    <w:rsid w:val="0074241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241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241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241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241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241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241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2418"/>
    <w:pPr>
      <w:spacing w:after="120"/>
      <w:ind w:left="1134" w:right="1134"/>
      <w:jc w:val="both"/>
    </w:pPr>
  </w:style>
  <w:style w:type="paragraph" w:customStyle="1" w:styleId="SLG">
    <w:name w:val="__S_L_G"/>
    <w:basedOn w:val="Normal"/>
    <w:next w:val="Normal"/>
    <w:rsid w:val="00742418"/>
    <w:pPr>
      <w:keepNext/>
      <w:keepLines/>
      <w:spacing w:before="240" w:after="240" w:line="580" w:lineRule="exact"/>
      <w:ind w:left="1134" w:right="1134"/>
    </w:pPr>
    <w:rPr>
      <w:b/>
      <w:sz w:val="56"/>
    </w:rPr>
  </w:style>
  <w:style w:type="paragraph" w:customStyle="1" w:styleId="SMG">
    <w:name w:val="__S_M_G"/>
    <w:basedOn w:val="Normal"/>
    <w:next w:val="Normal"/>
    <w:rsid w:val="00742418"/>
    <w:pPr>
      <w:keepNext/>
      <w:keepLines/>
      <w:spacing w:before="240" w:after="240" w:line="420" w:lineRule="exact"/>
      <w:ind w:left="1134" w:right="1134"/>
    </w:pPr>
    <w:rPr>
      <w:b/>
      <w:sz w:val="40"/>
    </w:rPr>
  </w:style>
  <w:style w:type="paragraph" w:customStyle="1" w:styleId="SSG">
    <w:name w:val="__S_S_G"/>
    <w:basedOn w:val="Normal"/>
    <w:next w:val="Normal"/>
    <w:rsid w:val="00742418"/>
    <w:pPr>
      <w:keepNext/>
      <w:keepLines/>
      <w:spacing w:before="240" w:after="240" w:line="300" w:lineRule="exact"/>
      <w:ind w:left="1134" w:right="1134"/>
    </w:pPr>
    <w:rPr>
      <w:b/>
      <w:sz w:val="28"/>
    </w:rPr>
  </w:style>
  <w:style w:type="paragraph" w:customStyle="1" w:styleId="XLargeG">
    <w:name w:val="__XLarge_G"/>
    <w:basedOn w:val="Normal"/>
    <w:next w:val="Normal"/>
    <w:rsid w:val="00742418"/>
    <w:pPr>
      <w:keepNext/>
      <w:keepLines/>
      <w:spacing w:before="240" w:after="240" w:line="420" w:lineRule="exact"/>
      <w:ind w:left="1134" w:right="1134"/>
    </w:pPr>
    <w:rPr>
      <w:b/>
      <w:sz w:val="40"/>
    </w:rPr>
  </w:style>
  <w:style w:type="paragraph" w:customStyle="1" w:styleId="Bullet1G">
    <w:name w:val="_Bullet 1_G"/>
    <w:basedOn w:val="Normal"/>
    <w:qFormat/>
    <w:rsid w:val="00742418"/>
    <w:pPr>
      <w:numPr>
        <w:numId w:val="1"/>
      </w:numPr>
      <w:spacing w:after="120"/>
      <w:ind w:right="1134"/>
      <w:jc w:val="both"/>
    </w:pPr>
  </w:style>
  <w:style w:type="paragraph" w:customStyle="1" w:styleId="Bullet2G">
    <w:name w:val="_Bullet 2_G"/>
    <w:basedOn w:val="Normal"/>
    <w:qFormat/>
    <w:rsid w:val="00742418"/>
    <w:pPr>
      <w:numPr>
        <w:numId w:val="2"/>
      </w:numPr>
      <w:spacing w:after="120"/>
      <w:ind w:right="1134"/>
      <w:jc w:val="both"/>
    </w:pPr>
  </w:style>
  <w:style w:type="paragraph" w:customStyle="1" w:styleId="ParNoG">
    <w:name w:val="_ParNo_G"/>
    <w:basedOn w:val="Normal"/>
    <w:qFormat/>
    <w:rsid w:val="00742418"/>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742418"/>
    <w:rPr>
      <w:rFonts w:ascii="Times New Roman" w:hAnsi="Times New Roman"/>
      <w:sz w:val="18"/>
      <w:vertAlign w:val="superscript"/>
      <w:lang w:val="fr-CH"/>
    </w:rPr>
  </w:style>
  <w:style w:type="character" w:styleId="Appeldenotedefin">
    <w:name w:val="endnote reference"/>
    <w:aliases w:val="1_G"/>
    <w:basedOn w:val="Appelnotedebasdep"/>
    <w:qFormat/>
    <w:rsid w:val="00742418"/>
    <w:rPr>
      <w:rFonts w:ascii="Times New Roman" w:hAnsi="Times New Roman"/>
      <w:sz w:val="18"/>
      <w:vertAlign w:val="superscript"/>
      <w:lang w:val="fr-CH"/>
    </w:rPr>
  </w:style>
  <w:style w:type="table" w:styleId="Grilledutableau">
    <w:name w:val="Table Grid"/>
    <w:basedOn w:val="TableauNormal"/>
    <w:rsid w:val="0074241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2418"/>
    <w:rPr>
      <w:color w:val="0000FF"/>
      <w:u w:val="none"/>
    </w:rPr>
  </w:style>
  <w:style w:type="character" w:styleId="Lienhypertextesuivivisit">
    <w:name w:val="FollowedHyperlink"/>
    <w:basedOn w:val="Policepardfaut"/>
    <w:unhideWhenUsed/>
    <w:rsid w:val="00742418"/>
    <w:rPr>
      <w:color w:val="0000FF"/>
      <w:u w:val="none"/>
    </w:rPr>
  </w:style>
  <w:style w:type="paragraph" w:styleId="Notedebasdepage">
    <w:name w:val="footnote text"/>
    <w:aliases w:val="5_G,PP,Footnote Text Char"/>
    <w:basedOn w:val="Normal"/>
    <w:link w:val="NotedebasdepageCar"/>
    <w:qFormat/>
    <w:rsid w:val="00742418"/>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
    <w:basedOn w:val="Policepardfaut"/>
    <w:link w:val="Notedebasdepage"/>
    <w:rsid w:val="0074241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2418"/>
  </w:style>
  <w:style w:type="character" w:customStyle="1" w:styleId="NotedefinCar">
    <w:name w:val="Note de fin Car"/>
    <w:aliases w:val="2_G Car"/>
    <w:basedOn w:val="Policepardfaut"/>
    <w:link w:val="Notedefin"/>
    <w:rsid w:val="0074241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2418"/>
    <w:rPr>
      <w:rFonts w:ascii="Times New Roman" w:hAnsi="Times New Roman"/>
      <w:b/>
      <w:sz w:val="18"/>
      <w:lang w:val="fr-CH"/>
    </w:rPr>
  </w:style>
  <w:style w:type="character" w:customStyle="1" w:styleId="Titre1Car">
    <w:name w:val="Titre 1 Car"/>
    <w:aliases w:val="Table_G Car"/>
    <w:basedOn w:val="Policepardfaut"/>
    <w:link w:val="Titre1"/>
    <w:rsid w:val="0074241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2418"/>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2418"/>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742418"/>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742418"/>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742418"/>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742418"/>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742418"/>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742418"/>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unhideWhenUsed/>
    <w:rsid w:val="0074241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42418"/>
    <w:rPr>
      <w:rFonts w:ascii="Tahoma" w:eastAsiaTheme="minorHAnsi" w:hAnsi="Tahoma" w:cs="Tahoma"/>
      <w:sz w:val="16"/>
      <w:szCs w:val="16"/>
      <w:lang w:eastAsia="en-US"/>
    </w:rPr>
  </w:style>
  <w:style w:type="character" w:customStyle="1" w:styleId="SingleTxtGChar">
    <w:name w:val="_ Single Txt_G Char"/>
    <w:link w:val="SingleTxtG"/>
    <w:rsid w:val="00213792"/>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213792"/>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213792"/>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213792"/>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213792"/>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213792"/>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213792"/>
    <w:rPr>
      <w:rFonts w:ascii="Times New Roman" w:hAnsi="Times New Roman" w:cs="Times New Roman"/>
      <w:sz w:val="20"/>
      <w:szCs w:val="20"/>
      <w:lang w:val="en-GB" w:eastAsia="en-US"/>
    </w:rPr>
  </w:style>
  <w:style w:type="paragraph" w:styleId="Normalcentr">
    <w:name w:val="Block Text"/>
    <w:basedOn w:val="Normal"/>
    <w:semiHidden/>
    <w:rsid w:val="00213792"/>
    <w:pPr>
      <w:kinsoku/>
      <w:overflowPunct/>
      <w:autoSpaceDE/>
      <w:autoSpaceDN/>
      <w:adjustRightInd/>
      <w:snapToGrid/>
      <w:ind w:left="1440" w:right="1440"/>
    </w:pPr>
    <w:rPr>
      <w:rFonts w:eastAsia="Times New Roman"/>
      <w:lang w:val="en-GB"/>
    </w:rPr>
  </w:style>
  <w:style w:type="character" w:styleId="Marquedecommentaire">
    <w:name w:val="annotation reference"/>
    <w:rsid w:val="00213792"/>
    <w:rPr>
      <w:sz w:val="6"/>
    </w:rPr>
  </w:style>
  <w:style w:type="paragraph" w:styleId="Commentaire">
    <w:name w:val="annotation text"/>
    <w:basedOn w:val="Normal"/>
    <w:link w:val="CommentaireCar"/>
    <w:rsid w:val="00213792"/>
    <w:pPr>
      <w:kinsoku/>
      <w:overflowPunct/>
      <w:autoSpaceDE/>
      <w:autoSpaceDN/>
      <w:adjustRightInd/>
      <w:snapToGrid/>
    </w:pPr>
    <w:rPr>
      <w:rFonts w:eastAsia="Times New Roman"/>
      <w:lang w:val="x-none"/>
    </w:rPr>
  </w:style>
  <w:style w:type="character" w:customStyle="1" w:styleId="CommentaireCar">
    <w:name w:val="Commentaire Car"/>
    <w:basedOn w:val="Policepardfaut"/>
    <w:link w:val="Commentaire"/>
    <w:rsid w:val="00213792"/>
    <w:rPr>
      <w:rFonts w:ascii="Times New Roman" w:hAnsi="Times New Roman" w:cs="Times New Roman"/>
      <w:sz w:val="20"/>
      <w:szCs w:val="20"/>
      <w:lang w:val="x-none" w:eastAsia="en-US"/>
    </w:rPr>
  </w:style>
  <w:style w:type="character" w:styleId="Numrodeligne">
    <w:name w:val="line number"/>
    <w:semiHidden/>
    <w:rsid w:val="00213792"/>
    <w:rPr>
      <w:sz w:val="14"/>
    </w:rPr>
  </w:style>
  <w:style w:type="numbering" w:styleId="111111">
    <w:name w:val="Outline List 2"/>
    <w:basedOn w:val="Aucuneliste"/>
    <w:semiHidden/>
    <w:rsid w:val="00213792"/>
    <w:pPr>
      <w:numPr>
        <w:numId w:val="17"/>
      </w:numPr>
    </w:pPr>
  </w:style>
  <w:style w:type="numbering" w:styleId="1ai">
    <w:name w:val="Outline List 1"/>
    <w:basedOn w:val="Aucuneliste"/>
    <w:semiHidden/>
    <w:rsid w:val="00213792"/>
    <w:pPr>
      <w:numPr>
        <w:numId w:val="18"/>
      </w:numPr>
    </w:pPr>
  </w:style>
  <w:style w:type="numbering" w:styleId="ArticleSection">
    <w:name w:val="Outline List 3"/>
    <w:basedOn w:val="Aucuneliste"/>
    <w:semiHidden/>
    <w:rsid w:val="00213792"/>
    <w:pPr>
      <w:numPr>
        <w:numId w:val="19"/>
      </w:numPr>
    </w:pPr>
  </w:style>
  <w:style w:type="paragraph" w:styleId="Corpsdetexte2">
    <w:name w:val="Body Text 2"/>
    <w:basedOn w:val="Normal"/>
    <w:link w:val="Corpsdetexte2Car"/>
    <w:semiHidden/>
    <w:rsid w:val="00213792"/>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213792"/>
    <w:rPr>
      <w:rFonts w:ascii="Times New Roman" w:hAnsi="Times New Roman" w:cs="Times New Roman"/>
      <w:sz w:val="20"/>
      <w:szCs w:val="20"/>
      <w:lang w:val="en-GB" w:eastAsia="en-US"/>
    </w:rPr>
  </w:style>
  <w:style w:type="paragraph" w:styleId="Corpsdetexte3">
    <w:name w:val="Body Text 3"/>
    <w:basedOn w:val="Normal"/>
    <w:link w:val="Corpsdetexte3Car"/>
    <w:semiHidden/>
    <w:rsid w:val="00213792"/>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213792"/>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213792"/>
    <w:pPr>
      <w:spacing w:after="120"/>
      <w:ind w:firstLine="210"/>
    </w:pPr>
  </w:style>
  <w:style w:type="character" w:customStyle="1" w:styleId="Retrait1religneCar">
    <w:name w:val="Retrait 1re ligne Car"/>
    <w:basedOn w:val="CorpsdetexteCar"/>
    <w:link w:val="Retrait1religne"/>
    <w:semiHidden/>
    <w:rsid w:val="00213792"/>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213792"/>
    <w:pPr>
      <w:ind w:firstLine="210"/>
    </w:pPr>
  </w:style>
  <w:style w:type="character" w:customStyle="1" w:styleId="Retraitcorpset1religCar">
    <w:name w:val="Retrait corps et 1re lig. Car"/>
    <w:basedOn w:val="RetraitcorpsdetexteCar"/>
    <w:link w:val="Retraitcorpset1relig"/>
    <w:semiHidden/>
    <w:rsid w:val="00213792"/>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213792"/>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213792"/>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213792"/>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213792"/>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213792"/>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213792"/>
    <w:rPr>
      <w:rFonts w:ascii="Times New Roman" w:hAnsi="Times New Roman" w:cs="Times New Roman"/>
      <w:sz w:val="20"/>
      <w:szCs w:val="20"/>
      <w:lang w:val="en-GB" w:eastAsia="en-US"/>
    </w:rPr>
  </w:style>
  <w:style w:type="paragraph" w:styleId="Date">
    <w:name w:val="Date"/>
    <w:basedOn w:val="Normal"/>
    <w:next w:val="Normal"/>
    <w:link w:val="DateCar"/>
    <w:semiHidden/>
    <w:rsid w:val="00213792"/>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213792"/>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213792"/>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213792"/>
    <w:rPr>
      <w:rFonts w:ascii="Times New Roman" w:hAnsi="Times New Roman" w:cs="Times New Roman"/>
      <w:sz w:val="20"/>
      <w:szCs w:val="20"/>
      <w:lang w:val="en-GB" w:eastAsia="en-US"/>
    </w:rPr>
  </w:style>
  <w:style w:type="character" w:styleId="Accentuation">
    <w:name w:val="Emphasis"/>
    <w:qFormat/>
    <w:rsid w:val="00213792"/>
    <w:rPr>
      <w:i/>
      <w:iCs/>
    </w:rPr>
  </w:style>
  <w:style w:type="paragraph" w:styleId="Adresseexpditeur">
    <w:name w:val="envelope return"/>
    <w:basedOn w:val="Normal"/>
    <w:semiHidden/>
    <w:rsid w:val="00213792"/>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213792"/>
  </w:style>
  <w:style w:type="paragraph" w:styleId="AdresseHTML">
    <w:name w:val="HTML Address"/>
    <w:basedOn w:val="Normal"/>
    <w:link w:val="AdresseHTMLCar"/>
    <w:semiHidden/>
    <w:rsid w:val="00213792"/>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213792"/>
    <w:rPr>
      <w:rFonts w:ascii="Times New Roman" w:hAnsi="Times New Roman" w:cs="Times New Roman"/>
      <w:i/>
      <w:iCs/>
      <w:sz w:val="20"/>
      <w:szCs w:val="20"/>
      <w:lang w:val="en-GB" w:eastAsia="en-US"/>
    </w:rPr>
  </w:style>
  <w:style w:type="character" w:styleId="CitationHTML">
    <w:name w:val="HTML Cite"/>
    <w:semiHidden/>
    <w:rsid w:val="00213792"/>
    <w:rPr>
      <w:i/>
      <w:iCs/>
    </w:rPr>
  </w:style>
  <w:style w:type="character" w:styleId="CodeHTML">
    <w:name w:val="HTML Code"/>
    <w:semiHidden/>
    <w:rsid w:val="00213792"/>
    <w:rPr>
      <w:rFonts w:ascii="Courier New" w:hAnsi="Courier New" w:cs="Courier New"/>
      <w:sz w:val="20"/>
      <w:szCs w:val="20"/>
    </w:rPr>
  </w:style>
  <w:style w:type="character" w:styleId="DfinitionHTML">
    <w:name w:val="HTML Definition"/>
    <w:semiHidden/>
    <w:rsid w:val="00213792"/>
    <w:rPr>
      <w:i/>
      <w:iCs/>
    </w:rPr>
  </w:style>
  <w:style w:type="character" w:styleId="ClavierHTML">
    <w:name w:val="HTML Keyboard"/>
    <w:semiHidden/>
    <w:rsid w:val="00213792"/>
    <w:rPr>
      <w:rFonts w:ascii="Courier New" w:hAnsi="Courier New" w:cs="Courier New"/>
      <w:sz w:val="20"/>
      <w:szCs w:val="20"/>
    </w:rPr>
  </w:style>
  <w:style w:type="paragraph" w:styleId="PrformatHTML">
    <w:name w:val="HTML Preformatted"/>
    <w:basedOn w:val="Normal"/>
    <w:link w:val="PrformatHTMLCar"/>
    <w:semiHidden/>
    <w:rsid w:val="00213792"/>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213792"/>
    <w:rPr>
      <w:rFonts w:ascii="Courier New" w:hAnsi="Courier New" w:cs="Courier New"/>
      <w:sz w:val="20"/>
      <w:szCs w:val="20"/>
      <w:lang w:val="en-GB" w:eastAsia="en-US"/>
    </w:rPr>
  </w:style>
  <w:style w:type="character" w:styleId="ExempleHTML">
    <w:name w:val="HTML Sample"/>
    <w:semiHidden/>
    <w:rsid w:val="00213792"/>
    <w:rPr>
      <w:rFonts w:ascii="Courier New" w:hAnsi="Courier New" w:cs="Courier New"/>
    </w:rPr>
  </w:style>
  <w:style w:type="character" w:styleId="MachinecrireHTML">
    <w:name w:val="HTML Typewriter"/>
    <w:semiHidden/>
    <w:rsid w:val="00213792"/>
    <w:rPr>
      <w:rFonts w:ascii="Courier New" w:hAnsi="Courier New" w:cs="Courier New"/>
      <w:sz w:val="20"/>
      <w:szCs w:val="20"/>
    </w:rPr>
  </w:style>
  <w:style w:type="character" w:styleId="VariableHTML">
    <w:name w:val="HTML Variable"/>
    <w:semiHidden/>
    <w:rsid w:val="00213792"/>
    <w:rPr>
      <w:i/>
      <w:iCs/>
    </w:rPr>
  </w:style>
  <w:style w:type="paragraph" w:styleId="Liste">
    <w:name w:val="List"/>
    <w:basedOn w:val="Normal"/>
    <w:semiHidden/>
    <w:rsid w:val="00213792"/>
    <w:pPr>
      <w:kinsoku/>
      <w:overflowPunct/>
      <w:autoSpaceDE/>
      <w:autoSpaceDN/>
      <w:adjustRightInd/>
      <w:snapToGrid/>
      <w:ind w:left="283" w:hanging="283"/>
    </w:pPr>
    <w:rPr>
      <w:rFonts w:eastAsia="Times New Roman"/>
      <w:lang w:val="en-GB"/>
    </w:rPr>
  </w:style>
  <w:style w:type="paragraph" w:styleId="Liste2">
    <w:name w:val="List 2"/>
    <w:basedOn w:val="Normal"/>
    <w:semiHidden/>
    <w:rsid w:val="00213792"/>
    <w:pPr>
      <w:kinsoku/>
      <w:overflowPunct/>
      <w:autoSpaceDE/>
      <w:autoSpaceDN/>
      <w:adjustRightInd/>
      <w:snapToGrid/>
      <w:ind w:left="566" w:hanging="283"/>
    </w:pPr>
    <w:rPr>
      <w:rFonts w:eastAsia="Times New Roman"/>
      <w:lang w:val="en-GB"/>
    </w:rPr>
  </w:style>
  <w:style w:type="paragraph" w:styleId="Liste3">
    <w:name w:val="List 3"/>
    <w:basedOn w:val="Normal"/>
    <w:semiHidden/>
    <w:rsid w:val="00213792"/>
    <w:pPr>
      <w:kinsoku/>
      <w:overflowPunct/>
      <w:autoSpaceDE/>
      <w:autoSpaceDN/>
      <w:adjustRightInd/>
      <w:snapToGrid/>
      <w:ind w:left="849" w:hanging="283"/>
    </w:pPr>
    <w:rPr>
      <w:rFonts w:eastAsia="Times New Roman"/>
      <w:lang w:val="en-GB"/>
    </w:rPr>
  </w:style>
  <w:style w:type="paragraph" w:styleId="Liste4">
    <w:name w:val="List 4"/>
    <w:basedOn w:val="Normal"/>
    <w:semiHidden/>
    <w:rsid w:val="00213792"/>
    <w:pPr>
      <w:kinsoku/>
      <w:overflowPunct/>
      <w:autoSpaceDE/>
      <w:autoSpaceDN/>
      <w:adjustRightInd/>
      <w:snapToGrid/>
      <w:ind w:left="1132" w:hanging="283"/>
    </w:pPr>
    <w:rPr>
      <w:rFonts w:eastAsia="Times New Roman"/>
      <w:lang w:val="en-GB"/>
    </w:rPr>
  </w:style>
  <w:style w:type="paragraph" w:styleId="Liste5">
    <w:name w:val="List 5"/>
    <w:basedOn w:val="Normal"/>
    <w:semiHidden/>
    <w:rsid w:val="00213792"/>
    <w:pPr>
      <w:kinsoku/>
      <w:overflowPunct/>
      <w:autoSpaceDE/>
      <w:autoSpaceDN/>
      <w:adjustRightInd/>
      <w:snapToGrid/>
      <w:ind w:left="1415" w:hanging="283"/>
    </w:pPr>
    <w:rPr>
      <w:rFonts w:eastAsia="Times New Roman"/>
      <w:lang w:val="en-GB"/>
    </w:rPr>
  </w:style>
  <w:style w:type="paragraph" w:styleId="Listepuces">
    <w:name w:val="List Bullet"/>
    <w:basedOn w:val="Normal"/>
    <w:rsid w:val="00213792"/>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213792"/>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213792"/>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213792"/>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213792"/>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213792"/>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213792"/>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213792"/>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213792"/>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213792"/>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213792"/>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213792"/>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213792"/>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213792"/>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213792"/>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21379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213792"/>
    <w:rPr>
      <w:rFonts w:ascii="Arial" w:hAnsi="Arial" w:cs="Arial"/>
      <w:sz w:val="24"/>
      <w:szCs w:val="24"/>
      <w:shd w:val="pct20" w:color="auto" w:fill="auto"/>
      <w:lang w:val="en-GB" w:eastAsia="en-US"/>
    </w:rPr>
  </w:style>
  <w:style w:type="paragraph" w:styleId="NormalWeb">
    <w:name w:val="Normal (Web)"/>
    <w:basedOn w:val="Normal"/>
    <w:link w:val="NormalWebCar"/>
    <w:rsid w:val="00213792"/>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213792"/>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213792"/>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213792"/>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213792"/>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213792"/>
    <w:rPr>
      <w:rFonts w:ascii="Times New Roman" w:hAnsi="Times New Roman" w:cs="Times New Roman"/>
      <w:sz w:val="20"/>
      <w:szCs w:val="20"/>
      <w:lang w:val="en-GB" w:eastAsia="en-US"/>
    </w:rPr>
  </w:style>
  <w:style w:type="paragraph" w:styleId="Signature">
    <w:name w:val="Signature"/>
    <w:basedOn w:val="Normal"/>
    <w:link w:val="SignatureCar"/>
    <w:semiHidden/>
    <w:rsid w:val="00213792"/>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213792"/>
    <w:rPr>
      <w:rFonts w:ascii="Times New Roman" w:hAnsi="Times New Roman" w:cs="Times New Roman"/>
      <w:sz w:val="20"/>
      <w:szCs w:val="20"/>
      <w:lang w:val="en-GB" w:eastAsia="en-US"/>
    </w:rPr>
  </w:style>
  <w:style w:type="character" w:styleId="lev">
    <w:name w:val="Strong"/>
    <w:qFormat/>
    <w:rsid w:val="00213792"/>
    <w:rPr>
      <w:b/>
      <w:bCs/>
    </w:rPr>
  </w:style>
  <w:style w:type="paragraph" w:styleId="Sous-titre">
    <w:name w:val="Subtitle"/>
    <w:basedOn w:val="Normal"/>
    <w:link w:val="Sous-titreCar"/>
    <w:qFormat/>
    <w:rsid w:val="00213792"/>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213792"/>
    <w:rPr>
      <w:rFonts w:ascii="Arial" w:hAnsi="Arial" w:cs="Arial"/>
      <w:sz w:val="24"/>
      <w:szCs w:val="24"/>
      <w:lang w:val="en-GB" w:eastAsia="en-US"/>
    </w:rPr>
  </w:style>
  <w:style w:type="table" w:styleId="Effetsdetableau3D1">
    <w:name w:val="Table 3D effects 1"/>
    <w:basedOn w:val="TableauNormal"/>
    <w:semiHidden/>
    <w:rsid w:val="0021379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1379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21379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21379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1379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1379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1379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1379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21379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21379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1379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21379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13792"/>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213792"/>
    <w:rPr>
      <w:rFonts w:ascii="Arial" w:hAnsi="Arial" w:cs="Arial"/>
      <w:b/>
      <w:bCs/>
      <w:kern w:val="28"/>
      <w:sz w:val="32"/>
      <w:szCs w:val="32"/>
      <w:lang w:val="en-GB" w:eastAsia="en-US"/>
    </w:rPr>
  </w:style>
  <w:style w:type="paragraph" w:styleId="Adressedestinataire">
    <w:name w:val="envelope address"/>
    <w:basedOn w:val="Normal"/>
    <w:semiHidden/>
    <w:rsid w:val="00213792"/>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Rom2">
    <w:name w:val="Rom2"/>
    <w:basedOn w:val="Normal"/>
    <w:rsid w:val="00213792"/>
    <w:pPr>
      <w:numPr>
        <w:numId w:val="22"/>
      </w:numPr>
      <w:suppressAutoHyphens w:val="0"/>
      <w:kinsoku/>
      <w:overflowPunct/>
      <w:autoSpaceDE/>
      <w:autoSpaceDN/>
      <w:adjustRightInd/>
      <w:snapToGrid/>
      <w:spacing w:after="240" w:line="240" w:lineRule="auto"/>
    </w:pPr>
    <w:rPr>
      <w:rFonts w:eastAsia="Times New Roman"/>
      <w:sz w:val="24"/>
      <w:lang w:val="en-GB"/>
    </w:rPr>
  </w:style>
  <w:style w:type="paragraph" w:customStyle="1" w:styleId="NormalLeft">
    <w:name w:val="Normal Left"/>
    <w:basedOn w:val="Normal"/>
    <w:rsid w:val="00213792"/>
    <w:pPr>
      <w:suppressAutoHyphens w:val="0"/>
      <w:kinsoku/>
      <w:overflowPunct/>
      <w:autoSpaceDE/>
      <w:autoSpaceDN/>
      <w:adjustRightInd/>
      <w:snapToGrid/>
      <w:spacing w:before="120" w:after="120" w:line="240" w:lineRule="auto"/>
    </w:pPr>
    <w:rPr>
      <w:rFonts w:eastAsia="Times New Roman"/>
      <w:sz w:val="24"/>
      <w:lang w:val="en-GB" w:eastAsia="ko-KR"/>
    </w:rPr>
  </w:style>
  <w:style w:type="paragraph" w:styleId="Paragraphedeliste">
    <w:name w:val="List Paragraph"/>
    <w:basedOn w:val="Normal"/>
    <w:uiPriority w:val="34"/>
    <w:qFormat/>
    <w:rsid w:val="00213792"/>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NormalWebCar">
    <w:name w:val="Normal (Web) Car"/>
    <w:link w:val="NormalWeb"/>
    <w:rsid w:val="00213792"/>
    <w:rPr>
      <w:rFonts w:ascii="Times New Roman" w:hAnsi="Times New Roman" w:cs="Times New Roman"/>
      <w:sz w:val="24"/>
      <w:szCs w:val="24"/>
      <w:lang w:val="en-GB" w:eastAsia="en-US"/>
    </w:rPr>
  </w:style>
  <w:style w:type="character" w:customStyle="1" w:styleId="CharChar11">
    <w:name w:val="Char Char11"/>
    <w:rsid w:val="00213792"/>
    <w:rPr>
      <w:sz w:val="24"/>
      <w:szCs w:val="24"/>
      <w:lang w:val="it-IT" w:eastAsia="it-IT" w:bidi="ar-SA"/>
    </w:rPr>
  </w:style>
  <w:style w:type="paragraph" w:customStyle="1" w:styleId="NormalCentered">
    <w:name w:val="Normal Centered"/>
    <w:basedOn w:val="Normal"/>
    <w:rsid w:val="00213792"/>
    <w:pPr>
      <w:suppressAutoHyphens w:val="0"/>
      <w:kinsoku/>
      <w:overflowPunct/>
      <w:autoSpaceDE/>
      <w:autoSpaceDN/>
      <w:adjustRightInd/>
      <w:snapToGrid/>
      <w:spacing w:before="120" w:after="120" w:line="288" w:lineRule="atLeast"/>
      <w:ind w:left="1134" w:hanging="1134"/>
      <w:jc w:val="center"/>
    </w:pPr>
    <w:rPr>
      <w:rFonts w:eastAsia="Times New Roman"/>
      <w:sz w:val="24"/>
      <w:lang w:val="en-GB"/>
    </w:rPr>
  </w:style>
  <w:style w:type="character" w:customStyle="1" w:styleId="FootnoteReference1">
    <w:name w:val="Footnote Reference1"/>
    <w:rsid w:val="00213792"/>
    <w:rPr>
      <w:sz w:val="20"/>
      <w:vertAlign w:val="superscript"/>
    </w:rPr>
  </w:style>
  <w:style w:type="character" w:customStyle="1" w:styleId="HChGChar">
    <w:name w:val="_ H _Ch_G Char"/>
    <w:link w:val="HChG"/>
    <w:rsid w:val="00213792"/>
    <w:rPr>
      <w:rFonts w:ascii="Times New Roman" w:eastAsiaTheme="minorHAnsi" w:hAnsi="Times New Roman" w:cs="Times New Roman"/>
      <w:b/>
      <w:sz w:val="28"/>
      <w:szCs w:val="20"/>
      <w:lang w:eastAsia="en-US"/>
    </w:rPr>
  </w:style>
  <w:style w:type="paragraph" w:customStyle="1" w:styleId="Default">
    <w:name w:val="Default"/>
    <w:rsid w:val="00213792"/>
    <w:pPr>
      <w:autoSpaceDE w:val="0"/>
      <w:autoSpaceDN w:val="0"/>
      <w:adjustRightInd w:val="0"/>
      <w:spacing w:after="0" w:line="240" w:lineRule="auto"/>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213792"/>
    <w:pPr>
      <w:kinsoku/>
      <w:overflowPunct/>
      <w:autoSpaceDE/>
      <w:autoSpaceDN/>
      <w:adjustRightInd/>
      <w:snapToGrid/>
      <w:ind w:left="2268" w:hanging="1134"/>
    </w:pPr>
    <w:rPr>
      <w:rFonts w:eastAsia="Times New Roman"/>
    </w:rPr>
  </w:style>
  <w:style w:type="character" w:customStyle="1" w:styleId="paraChar">
    <w:name w:val="para Char"/>
    <w:link w:val="para"/>
    <w:rsid w:val="00213792"/>
    <w:rPr>
      <w:rFonts w:ascii="Times New Roman" w:hAnsi="Times New Roman" w:cs="Times New Roman"/>
      <w:sz w:val="20"/>
      <w:szCs w:val="20"/>
      <w:lang w:eastAsia="en-US"/>
    </w:rPr>
  </w:style>
  <w:style w:type="paragraph" w:customStyle="1" w:styleId="Text1">
    <w:name w:val="Text 1"/>
    <w:basedOn w:val="Normal"/>
    <w:rsid w:val="00213792"/>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213792"/>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a">
    <w:name w:val="a)"/>
    <w:basedOn w:val="Normal"/>
    <w:qFormat/>
    <w:rsid w:val="00213792"/>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araNo">
    <w:name w:val="ParaNo."/>
    <w:basedOn w:val="Normal"/>
    <w:rsid w:val="00213792"/>
    <w:pPr>
      <w:numPr>
        <w:numId w:val="26"/>
      </w:numPr>
      <w:tabs>
        <w:tab w:val="clear" w:pos="360"/>
      </w:tabs>
      <w:suppressAutoHyphens w:val="0"/>
      <w:kinsoku/>
      <w:overflowPunct/>
      <w:autoSpaceDE/>
      <w:autoSpaceDN/>
      <w:adjustRightInd/>
      <w:snapToGrid/>
      <w:spacing w:line="240" w:lineRule="auto"/>
    </w:pPr>
    <w:rPr>
      <w:rFonts w:eastAsia="Times New Roman"/>
      <w:sz w:val="24"/>
      <w:lang w:val="fr-FR"/>
    </w:rPr>
  </w:style>
  <w:style w:type="paragraph" w:styleId="Objetducommentaire">
    <w:name w:val="annotation subject"/>
    <w:basedOn w:val="Commentaire"/>
    <w:next w:val="Commentaire"/>
    <w:link w:val="ObjetducommentaireCar"/>
    <w:rsid w:val="00213792"/>
    <w:pPr>
      <w:spacing w:line="240" w:lineRule="auto"/>
    </w:pPr>
    <w:rPr>
      <w:b/>
      <w:bCs/>
    </w:rPr>
  </w:style>
  <w:style w:type="character" w:customStyle="1" w:styleId="ObjetducommentaireCar">
    <w:name w:val="Objet du commentaire Car"/>
    <w:basedOn w:val="CommentaireCar"/>
    <w:link w:val="Objetducommentaire"/>
    <w:rsid w:val="00213792"/>
    <w:rPr>
      <w:rFonts w:ascii="Times New Roman" w:hAnsi="Times New Roman" w:cs="Times New Roman"/>
      <w:b/>
      <w:bCs/>
      <w:sz w:val="20"/>
      <w:szCs w:val="20"/>
      <w:lang w:val="x-none" w:eastAsia="en-US"/>
    </w:rPr>
  </w:style>
  <w:style w:type="paragraph" w:customStyle="1" w:styleId="Point2">
    <w:name w:val="Point 2"/>
    <w:basedOn w:val="Normal"/>
    <w:rsid w:val="00213792"/>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rPr>
  </w:style>
  <w:style w:type="paragraph" w:customStyle="1" w:styleId="StyleH23GLeft0781">
    <w:name w:val="Style _ H_2/3_G + Left:  0.78&quot;1"/>
    <w:basedOn w:val="H23G"/>
    <w:rsid w:val="00213792"/>
    <w:pPr>
      <w:kinsoku/>
      <w:overflowPunct/>
      <w:autoSpaceDE/>
      <w:autoSpaceDN/>
      <w:adjustRightInd/>
      <w:snapToGrid/>
      <w:ind w:left="2304" w:right="1138" w:hanging="1166"/>
    </w:pPr>
    <w:rPr>
      <w:rFonts w:eastAsia="Times New Roman"/>
      <w:bCs/>
      <w:lang w:val="x-none"/>
    </w:rPr>
  </w:style>
  <w:style w:type="paragraph" w:customStyle="1" w:styleId="t1jfr">
    <w:name w:val="t1_jfr"/>
    <w:basedOn w:val="Normal"/>
    <w:next w:val="Normal"/>
    <w:semiHidden/>
    <w:rsid w:val="00213792"/>
    <w:pPr>
      <w:suppressAutoHyphens w:val="0"/>
      <w:kinsoku/>
      <w:overflowPunct/>
      <w:autoSpaceDE/>
      <w:autoSpaceDN/>
      <w:adjustRightInd/>
      <w:snapToGrid/>
      <w:spacing w:line="240" w:lineRule="auto"/>
      <w:ind w:left="567" w:right="731"/>
    </w:pPr>
    <w:rPr>
      <w:rFonts w:eastAsia="Times New Roman"/>
      <w:b/>
      <w:sz w:val="22"/>
      <w:u w:val="single"/>
      <w:lang w:val="fr-FR"/>
    </w:rPr>
  </w:style>
  <w:style w:type="paragraph" w:customStyle="1" w:styleId="Point0">
    <w:name w:val="Point 0"/>
    <w:basedOn w:val="Normal"/>
    <w:rsid w:val="00213792"/>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H23GChar">
    <w:name w:val="_ H_2/3_G Char"/>
    <w:link w:val="H23G"/>
    <w:rsid w:val="00213792"/>
    <w:rPr>
      <w:rFonts w:ascii="Times New Roman" w:eastAsiaTheme="minorHAnsi" w:hAnsi="Times New Roman" w:cs="Times New Roman"/>
      <w:b/>
      <w:sz w:val="20"/>
      <w:szCs w:val="20"/>
      <w:lang w:eastAsia="en-US"/>
    </w:rPr>
  </w:style>
  <w:style w:type="character" w:customStyle="1" w:styleId="SingleTxtGCar">
    <w:name w:val="_ Single Txt_G Car"/>
    <w:rsid w:val="00213792"/>
    <w:rPr>
      <w:lang w:val="en-GB" w:eastAsia="en-US" w:bidi="ar-SA"/>
    </w:rPr>
  </w:style>
  <w:style w:type="paragraph" w:customStyle="1" w:styleId="ManualNumPar1">
    <w:name w:val="Manual NumPar 1"/>
    <w:basedOn w:val="Normal"/>
    <w:next w:val="Text1"/>
    <w:rsid w:val="00213792"/>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customStyle="1" w:styleId="Applicationdirecte">
    <w:name w:val="Application directe"/>
    <w:basedOn w:val="Normal"/>
    <w:next w:val="Normal"/>
    <w:semiHidden/>
    <w:rsid w:val="00213792"/>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paragraph" w:customStyle="1" w:styleId="PointDouble0">
    <w:name w:val="PointDouble 0"/>
    <w:basedOn w:val="Normal"/>
    <w:semiHidden/>
    <w:rsid w:val="00213792"/>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lang w:val="en-GB" w:eastAsia="en-GB"/>
    </w:rPr>
  </w:style>
  <w:style w:type="character" w:customStyle="1" w:styleId="FooterChar1">
    <w:name w:val="Footer Char1"/>
    <w:aliases w:val="3_G Char1"/>
    <w:rsid w:val="00213792"/>
    <w:rPr>
      <w:sz w:val="16"/>
      <w:lang w:val="en-GB" w:eastAsia="en-US" w:bidi="ar-SA"/>
    </w:rPr>
  </w:style>
  <w:style w:type="paragraph" w:customStyle="1" w:styleId="remjfr">
    <w:name w:val="rem_jfr"/>
    <w:basedOn w:val="Normal"/>
    <w:next w:val="Normal"/>
    <w:semiHidden/>
    <w:rsid w:val="00213792"/>
    <w:pPr>
      <w:tabs>
        <w:tab w:val="left" w:pos="1701"/>
        <w:tab w:val="left" w:pos="3686"/>
      </w:tabs>
      <w:suppressAutoHyphens w:val="0"/>
      <w:kinsoku/>
      <w:overflowPunct/>
      <w:autoSpaceDE/>
      <w:autoSpaceDN/>
      <w:adjustRightInd/>
      <w:snapToGrid/>
      <w:spacing w:line="240" w:lineRule="auto"/>
      <w:ind w:left="1985" w:right="589" w:hanging="1134"/>
    </w:pPr>
    <w:rPr>
      <w:rFonts w:eastAsia="Times New Roman"/>
      <w:i/>
      <w:sz w:val="22"/>
      <w:lang w:val="fr-FR"/>
    </w:rPr>
  </w:style>
  <w:style w:type="paragraph" w:customStyle="1" w:styleId="GTRnormal2Car">
    <w:name w:val="GTR normal 2 Car"/>
    <w:basedOn w:val="Normal"/>
    <w:rsid w:val="00213792"/>
    <w:pPr>
      <w:widowControl w:val="0"/>
      <w:tabs>
        <w:tab w:val="num" w:pos="595"/>
      </w:tabs>
      <w:suppressAutoHyphens w:val="0"/>
      <w:kinsoku/>
      <w:overflowPunct/>
      <w:snapToGrid/>
      <w:spacing w:after="240" w:line="240" w:lineRule="auto"/>
      <w:ind w:left="595" w:hanging="420"/>
    </w:pPr>
    <w:rPr>
      <w:rFonts w:ascii="Courier New" w:eastAsia="Times New Roman" w:hAnsi="Courier New" w:cs="Courier New"/>
      <w:color w:val="000000"/>
      <w:lang w:val="en-GB"/>
    </w:rPr>
  </w:style>
  <w:style w:type="paragraph" w:customStyle="1" w:styleId="GRPEfauxtitre1">
    <w:name w:val="GRPE faux titre 1"/>
    <w:basedOn w:val="Normal"/>
    <w:next w:val="Normal"/>
    <w:rsid w:val="00213792"/>
    <w:pPr>
      <w:tabs>
        <w:tab w:val="left" w:pos="1134"/>
      </w:tabs>
      <w:suppressAutoHyphens w:val="0"/>
      <w:kinsoku/>
      <w:overflowPunct/>
      <w:autoSpaceDE/>
      <w:autoSpaceDN/>
      <w:adjustRightInd/>
      <w:snapToGrid/>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character" w:customStyle="1" w:styleId="H1GChar">
    <w:name w:val="_ H_1_G Char"/>
    <w:link w:val="H1G"/>
    <w:rsid w:val="00213792"/>
    <w:rPr>
      <w:rFonts w:ascii="Times New Roman" w:eastAsiaTheme="minorHAnsi" w:hAnsi="Times New Roman" w:cs="Times New Roman"/>
      <w:b/>
      <w:sz w:val="24"/>
      <w:szCs w:val="20"/>
      <w:lang w:eastAsia="en-US"/>
    </w:rPr>
  </w:style>
  <w:style w:type="table" w:customStyle="1" w:styleId="TableGrid2">
    <w:name w:val="Table Grid2"/>
    <w:basedOn w:val="TableauNormal"/>
    <w:next w:val="Grilledutableau"/>
    <w:rsid w:val="0021379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21379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21379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21379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21379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213792"/>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styleId="Textedelespacerserv">
    <w:name w:val="Placeholder Text"/>
    <w:basedOn w:val="Policepardfaut"/>
    <w:uiPriority w:val="99"/>
    <w:semiHidden/>
    <w:rsid w:val="00213792"/>
    <w:rPr>
      <w:color w:val="808080"/>
    </w:rPr>
  </w:style>
  <w:style w:type="paragraph" w:styleId="Rvision">
    <w:name w:val="Revision"/>
    <w:hidden/>
    <w:uiPriority w:val="99"/>
    <w:semiHidden/>
    <w:rsid w:val="00213792"/>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8532-8F8F-49E6-8B51-B3B2CC6F6120}"/>
</file>

<file path=customXml/itemProps2.xml><?xml version="1.0" encoding="utf-8"?>
<ds:datastoreItem xmlns:ds="http://schemas.openxmlformats.org/officeDocument/2006/customXml" ds:itemID="{6C46EBA6-C8AC-47B0-ADB1-9BB0D5DB04CD}"/>
</file>

<file path=customXml/itemProps3.xml><?xml version="1.0" encoding="utf-8"?>
<ds:datastoreItem xmlns:ds="http://schemas.openxmlformats.org/officeDocument/2006/customXml" ds:itemID="{1017A883-5B3C-42EF-A06F-D3D8CFA42A40}"/>
</file>

<file path=docProps/app.xml><?xml version="1.0" encoding="utf-8"?>
<Properties xmlns="http://schemas.openxmlformats.org/officeDocument/2006/extended-properties" xmlns:vt="http://schemas.openxmlformats.org/officeDocument/2006/docPropsVTypes">
  <Template>ECE_TRANS.dotm</Template>
  <TotalTime>1</TotalTime>
  <Pages>30</Pages>
  <Words>9575</Words>
  <Characters>67028</Characters>
  <Application>Microsoft Office Word</Application>
  <DocSecurity>0</DocSecurity>
  <Lines>5585</Lines>
  <Paragraphs>3064</Paragraphs>
  <ScaleCrop>false</ScaleCrop>
  <HeadingPairs>
    <vt:vector size="2" baseType="variant">
      <vt:variant>
        <vt:lpstr>Titre</vt:lpstr>
      </vt:variant>
      <vt:variant>
        <vt:i4>1</vt:i4>
      </vt:variant>
    </vt:vector>
  </HeadingPairs>
  <TitlesOfParts>
    <vt:vector size="1" baseType="lpstr">
      <vt:lpstr>ECE/TRANS/WP.29/GRPE/2021/6</vt:lpstr>
    </vt:vector>
  </TitlesOfParts>
  <Company>DCM</Company>
  <LinksUpToDate>false</LinksUpToDate>
  <CharactersWithSpaces>73539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ECE/TRANS/WP.29/GRPE/2021/6</dc:title>
  <dc:subject/>
  <dc:creator>Maud DARICHE</dc:creator>
  <cp:keywords/>
  <cp:lastModifiedBy>Maud Dariche</cp:lastModifiedBy>
  <cp:revision>3</cp:revision>
  <cp:lastPrinted>2020-11-19T14:18:00Z</cp:lastPrinted>
  <dcterms:created xsi:type="dcterms:W3CDTF">2020-11-19T14:18:00Z</dcterms:created>
  <dcterms:modified xsi:type="dcterms:W3CDTF">2020-11-19T14:19:00Z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